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_Toc527637309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_Toc527637310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_Toc527637311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_Toc527637312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_Toc527637313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_Toc527637314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_Toc527637315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_Toc527637316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_Toc527637317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_Toc527637318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_Toc527637319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_Toc527637320 \h </w:instrText>
      </w:r>
      <w:r>
        <w:fldChar w:fldCharType="separate"/>
      </w:r>
      <w:r>
        <w:t>11</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_Toc527637321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_Toc527637322 \h </w:instrText>
      </w:r>
      <w:r>
        <w:fldChar w:fldCharType="separate"/>
      </w:r>
      <w:r>
        <w:t>12</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_Toc527637323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_Toc527637324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_Toc527637325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_Toc527637326 \h </w:instrText>
      </w:r>
      <w:r>
        <w:fldChar w:fldCharType="separate"/>
      </w:r>
      <w:r>
        <w:t>16</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_Toc527637327 \h </w:instrText>
      </w:r>
      <w:r>
        <w:fldChar w:fldCharType="separate"/>
      </w:r>
      <w:r>
        <w:t>17</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_Toc527637328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_Toc527637329 \h </w:instrText>
      </w:r>
      <w:r>
        <w:fldChar w:fldCharType="separate"/>
      </w:r>
      <w:r>
        <w:t>17</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_Toc527637330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_Toc527637331 \h </w:instrText>
      </w:r>
      <w:r>
        <w:fldChar w:fldCharType="separate"/>
      </w:r>
      <w:r>
        <w:t>18</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_Toc527637332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_Toc527637333 \h </w:instrText>
      </w:r>
      <w:r>
        <w:fldChar w:fldCharType="separate"/>
      </w:r>
      <w:r>
        <w:t>19</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_Toc527637334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_Toc527637335 \h </w:instrText>
      </w:r>
      <w:r>
        <w:fldChar w:fldCharType="separate"/>
      </w:r>
      <w:r>
        <w:t>20</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_Toc527637336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_Toc527637337 \h </w:instrText>
      </w:r>
      <w:r>
        <w:fldChar w:fldCharType="separate"/>
      </w:r>
      <w:r>
        <w:t>21</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_Toc527637338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_Toc527637343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527637309"/>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7637310"/>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27637311"/>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w:t>
      </w:r>
    </w:p>
    <w:p>
      <w:pPr>
        <w:pStyle w:val="Heading5"/>
      </w:pPr>
      <w:bookmarkStart w:id="7" w:name="_Toc527637312"/>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527637313"/>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9" w:name="_Toc527637314"/>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527637315"/>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527637316"/>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527637317"/>
      <w:r>
        <w:rPr>
          <w:rStyle w:val="CharSectno"/>
        </w:rPr>
        <w:t>6</w:t>
      </w:r>
      <w:r>
        <w:t>.</w:t>
      </w:r>
      <w:r>
        <w:tab/>
        <w:t>Conditions applying to certain exemptions under cl. 4: fees and charges</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527637318"/>
      <w:r>
        <w:rPr>
          <w:rStyle w:val="CharSectno"/>
        </w:rPr>
        <w:t>6A</w:t>
      </w:r>
      <w:r>
        <w:t>.</w:t>
      </w:r>
      <w:r>
        <w:tab/>
        <w:t>Conditions applying to certain exemptions under cl. 4: life support equipment</w:t>
      </w:r>
      <w:bookmarkEnd w:id="1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ageBreakBefore/>
        <w:spacing w:before="0"/>
      </w:pPr>
      <w:bookmarkStart w:id="14" w:name="_Toc527637319"/>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527637320"/>
      <w:r>
        <w:rPr>
          <w:rStyle w:val="CharSectno"/>
        </w:rPr>
        <w:t>8</w:t>
      </w:r>
      <w:r>
        <w:t>.</w:t>
      </w:r>
      <w:r>
        <w:tab/>
        <w:t>Exemptions for operations under Pilbara Energy Project Agreement</w:t>
      </w:r>
      <w:bookmarkEnd w:id="1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52763732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527637322"/>
      <w:r>
        <w:rPr>
          <w:rStyle w:val="CharSectno"/>
        </w:rPr>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527637323"/>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ageBreakBefore/>
        <w:spacing w:before="0"/>
      </w:pPr>
      <w:bookmarkStart w:id="19" w:name="_Toc527637324"/>
      <w:r>
        <w:rPr>
          <w:rStyle w:val="CharSectno"/>
        </w:rPr>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527637325"/>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52763732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527637327"/>
      <w:r>
        <w:rPr>
          <w:rStyle w:val="CharSectno"/>
        </w:rPr>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527637328"/>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4" w:name="_Toc527637329"/>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527637330"/>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527637331"/>
      <w:r>
        <w:rPr>
          <w:rStyle w:val="CharSectno"/>
        </w:rPr>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Gazette 29 Jun 2012 p. 2934</w:t>
      </w:r>
      <w:r>
        <w:noBreakHyphen/>
        <w:t>5; amended: Gazette 26 Jun 2015 p. 2254; 26 Jun 2018 p. 2361.]</w:t>
      </w:r>
    </w:p>
    <w:p>
      <w:pPr>
        <w:pStyle w:val="Heading5"/>
      </w:pPr>
      <w:bookmarkStart w:id="27" w:name="_Toc527637332"/>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527637333"/>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527637334"/>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527637335"/>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527637336"/>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527637337"/>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527637338"/>
      <w:r>
        <w:rPr>
          <w:rStyle w:val="CharSectno"/>
        </w:rPr>
        <w:t>26</w:t>
      </w:r>
      <w:r>
        <w:t>.</w:t>
      </w:r>
      <w:r>
        <w:tab/>
        <w:t>Exemption for certain connections to internet networks</w:t>
      </w:r>
      <w:bookmarkEnd w:id="33"/>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4" w:name="_Toc517966069"/>
      <w:bookmarkStart w:id="35" w:name="_Toc525652598"/>
      <w:bookmarkStart w:id="36" w:name="_Toc525803913"/>
      <w:bookmarkStart w:id="37" w:name="_Toc525803982"/>
      <w:bookmarkStart w:id="38" w:name="_Toc527636973"/>
      <w:bookmarkStart w:id="39" w:name="_Toc527637339"/>
      <w:r>
        <w:rPr>
          <w:rStyle w:val="CharSchNo"/>
        </w:rPr>
        <w:t>Schedule 1</w:t>
      </w:r>
      <w:r>
        <w:rPr>
          <w:rStyle w:val="CharSDivNo"/>
        </w:rPr>
        <w:t> </w:t>
      </w:r>
      <w:r>
        <w:t>—</w:t>
      </w:r>
      <w:r>
        <w:rPr>
          <w:rStyle w:val="CharSDivText"/>
        </w:rPr>
        <w:t> </w:t>
      </w:r>
      <w:r>
        <w:rPr>
          <w:rStyle w:val="CharSchText"/>
        </w:rPr>
        <w:t>Depiction of EDL NGD (WA) exempt distribution system</w:t>
      </w:r>
      <w:bookmarkEnd w:id="34"/>
      <w:bookmarkEnd w:id="35"/>
      <w:bookmarkEnd w:id="36"/>
      <w:bookmarkEnd w:id="37"/>
      <w:bookmarkEnd w:id="38"/>
      <w:bookmarkEnd w:id="39"/>
    </w:p>
    <w:p>
      <w:pPr>
        <w:pStyle w:val="yShoulderClause"/>
      </w:pPr>
      <w:r>
        <w:t>[cl. 18]</w:t>
      </w:r>
    </w:p>
    <w:p>
      <w:pPr>
        <w:pStyle w:val="yFootnoteheading"/>
      </w:pPr>
      <w:r>
        <w:tab/>
        <w:t>[Heading inserted: Gazette 9 Oct 2009 p. 3994.]</w:t>
      </w:r>
    </w:p>
    <w:p>
      <w:pPr>
        <w:pStyle w:val="yHeading3"/>
      </w:pPr>
      <w:bookmarkStart w:id="40" w:name="_Toc517966070"/>
      <w:bookmarkStart w:id="41" w:name="_Toc525652599"/>
      <w:bookmarkStart w:id="42" w:name="_Toc525803914"/>
      <w:bookmarkStart w:id="43" w:name="_Toc525803983"/>
      <w:bookmarkStart w:id="44" w:name="_Toc527636974"/>
      <w:bookmarkStart w:id="45" w:name="_Toc527637340"/>
      <w:r>
        <w:t>EDL NGD (WA) — HV Cabling Route</w:t>
      </w:r>
      <w:bookmarkEnd w:id="40"/>
      <w:bookmarkEnd w:id="41"/>
      <w:bookmarkEnd w:id="42"/>
      <w:bookmarkEnd w:id="43"/>
      <w:bookmarkEnd w:id="44"/>
      <w:bookmarkEnd w:id="45"/>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46" w:name="_Toc517966071"/>
      <w:bookmarkStart w:id="47" w:name="_Toc525652600"/>
      <w:bookmarkStart w:id="48" w:name="_Toc525803915"/>
      <w:bookmarkStart w:id="49" w:name="_Toc525803984"/>
      <w:bookmarkStart w:id="50" w:name="_Toc527636975"/>
      <w:bookmarkStart w:id="51" w:name="_Toc527637341"/>
      <w:r>
        <w:rPr>
          <w:rStyle w:val="CharSchNo"/>
        </w:rPr>
        <w:t>Schedule 2</w:t>
      </w:r>
      <w:r>
        <w:rPr>
          <w:rStyle w:val="CharSDivNo"/>
        </w:rPr>
        <w:t> </w:t>
      </w:r>
      <w:r>
        <w:t>—</w:t>
      </w:r>
      <w:r>
        <w:rPr>
          <w:rStyle w:val="CharSDivText"/>
        </w:rPr>
        <w:t> </w:t>
      </w:r>
      <w:r>
        <w:rPr>
          <w:rStyle w:val="CharSchText"/>
        </w:rPr>
        <w:t>Description of Kwinana site boundary line</w:t>
      </w:r>
      <w:bookmarkEnd w:id="46"/>
      <w:bookmarkEnd w:id="47"/>
      <w:bookmarkEnd w:id="48"/>
      <w:bookmarkEnd w:id="49"/>
      <w:bookmarkEnd w:id="50"/>
      <w:bookmarkEnd w:id="51"/>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53" w:name="_Toc517966072"/>
      <w:bookmarkStart w:id="54" w:name="_Toc525652601"/>
      <w:bookmarkStart w:id="55" w:name="_Toc525803916"/>
      <w:bookmarkStart w:id="56" w:name="_Toc525803985"/>
      <w:bookmarkStart w:id="57" w:name="_Toc527636976"/>
      <w:bookmarkStart w:id="58" w:name="_Toc527637342"/>
      <w:r>
        <w:t>Notes</w:t>
      </w:r>
      <w:bookmarkEnd w:id="53"/>
      <w:bookmarkEnd w:id="54"/>
      <w:bookmarkEnd w:id="55"/>
      <w:bookmarkEnd w:id="56"/>
      <w:bookmarkEnd w:id="57"/>
      <w:bookmarkEnd w:id="58"/>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59" w:name="_Toc527637343"/>
      <w:r>
        <w:t>Compilation table</w:t>
      </w:r>
      <w:bookmarkEnd w:id="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keepNext/>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c>
          <w:tcPr>
            <w:tcW w:w="3118" w:type="dxa"/>
            <w:tcBorders>
              <w:top w:val="nil"/>
              <w:bottom w:val="single" w:sz="4" w:space="0" w:color="auto"/>
            </w:tcBorders>
          </w:tcPr>
          <w:p>
            <w:pPr>
              <w:pStyle w:val="nTable"/>
              <w:keepNext/>
              <w:spacing w:after="40"/>
              <w:rPr>
                <w:i/>
              </w:rPr>
            </w:pPr>
            <w:r>
              <w:rPr>
                <w:i/>
              </w:rPr>
              <w:t>Electricity Industry Exemption Amendment Order 2018</w:t>
            </w:r>
          </w:p>
        </w:tc>
        <w:tc>
          <w:tcPr>
            <w:tcW w:w="1276" w:type="dxa"/>
            <w:tcBorders>
              <w:top w:val="nil"/>
              <w:bottom w:val="single" w:sz="4" w:space="0" w:color="auto"/>
            </w:tcBorders>
          </w:tcPr>
          <w:p>
            <w:pPr>
              <w:pStyle w:val="nTable"/>
              <w:keepNext/>
              <w:spacing w:after="40"/>
            </w:pPr>
            <w:r>
              <w:t>25 Sep 2018 p. 3557</w:t>
            </w:r>
            <w:r>
              <w:noBreakHyphen/>
              <w:t>9</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bl>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61" w:name="_Toc527636978"/>
      <w:bookmarkStart w:id="62" w:name="_Toc527637344"/>
      <w:r>
        <w:rPr>
          <w:sz w:val="28"/>
        </w:rPr>
        <w:t>Defined terms</w:t>
      </w:r>
      <w:bookmarkEnd w:id="61"/>
      <w:bookmarkEnd w:id="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t>South Hedland Power Station site</w:t>
      </w:r>
      <w:r>
        <w:tab/>
        <w:t>22(1)</w:t>
      </w:r>
    </w:p>
    <w:p>
      <w:pPr>
        <w:pStyle w:val="DefinedTerms"/>
      </w:pPr>
      <w:r>
        <w:t>supplier</w:t>
      </w:r>
      <w:r>
        <w:tab/>
        <w:t>4A(1) and (2), 4B</w:t>
      </w:r>
    </w:p>
    <w:p>
      <w:pPr>
        <w:pStyle w:val="DefinedTerms"/>
      </w:pPr>
      <w:r>
        <w:t>supply address</w:t>
      </w:r>
      <w:r>
        <w:tab/>
        <w:t>6A(1)</w:t>
      </w:r>
    </w:p>
    <w:p>
      <w:pPr>
        <w:pStyle w:val="DefinedTerms"/>
      </w:pPr>
      <w:r>
        <w:t>SWIS</w:t>
      </w:r>
      <w:r>
        <w:tab/>
        <w:t>3A</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00-u0-01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 w:name="Schedule"/>
    <w:bookmarkEnd w:id="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0" w:name="Compilation"/>
    <w:bookmarkEnd w:id="6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 w:name="DefinedTerms"/>
    <w:bookmarkEnd w:id="6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 w:name="Coversheet"/>
    <w:bookmarkEnd w:id="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3D49C-A797-4427-887F-01A36B92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6845</Words>
  <Characters>34160</Characters>
  <Application>Microsoft Office Word</Application>
  <DocSecurity>0</DocSecurity>
  <Lines>1035</Lines>
  <Paragraphs>577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2005 - 00-u0-01</dc:title>
  <dc:subject/>
  <dc:creator/>
  <cp:keywords/>
  <dc:description/>
  <cp:lastModifiedBy>svcMRProcess</cp:lastModifiedBy>
  <cp:revision>4</cp:revision>
  <cp:lastPrinted>2017-02-10T03:48:00Z</cp:lastPrinted>
  <dcterms:created xsi:type="dcterms:W3CDTF">2019-01-16T03:57:00Z</dcterms:created>
  <dcterms:modified xsi:type="dcterms:W3CDTF">2019-01-16T03:57:00Z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23 Oct 2018</vt:lpwstr>
  </property>
  <property fmtid="{D5CDD505-2E9C-101B-9397-08002B2CF9AE}" pid="6" name="Suffix">
    <vt:lpwstr>00-u0-01</vt:lpwstr>
  </property>
  <property fmtid="{D5CDD505-2E9C-101B-9397-08002B2CF9AE}" pid="7" name="CommencementDate">
    <vt:lpwstr>20181023</vt:lpwstr>
  </property>
</Properties>
</file>