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_Toc529883300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_Toc529883301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_Toc529883302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_Toc529883303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_Toc529883304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_Toc529883305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_Toc529883306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_Toc529883307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_Toc529883308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_Toc529883309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_Toc529883310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_Toc529883311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_Toc529883312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_Toc529883313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_Toc529883314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_Toc529883315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_Toc529883316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_Toc529883317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_Toc529883318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_Toc529883319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_Toc529883320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_Toc529883321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_Toc529883322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_Toc529883323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_Toc529883324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_Toc529883325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_Toc529883326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_Toc529883327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_Toc529883328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_Toc529883329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_Toc529883330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_Toc529883331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_Toc529883332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_Toc529883333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_Toc529883334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_Toc529883335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_Toc529883336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_Toc529883337 \h </w:instrText>
      </w:r>
      <w:r>
        <w:fldChar w:fldCharType="separate"/>
      </w:r>
      <w:r>
        <w:t>24</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_Toc529883338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_Toc529883340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_Toc529883341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_Toc529883342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_Toc529883343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_Toc529883344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_Toc529883345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_Toc529883346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_Toc529883348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_Toc529883349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529883300"/>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529883301"/>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529883302"/>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6" w:name="_Toc529883303"/>
      <w:r>
        <w:rPr>
          <w:rStyle w:val="CharSectno"/>
        </w:rPr>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529883304"/>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8" w:name="_Toc529883305"/>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9" w:name="_Toc529883306"/>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0" w:name="_Toc529883307"/>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 10 Jan 2017 p. 222.]</w:t>
      </w:r>
    </w:p>
    <w:p>
      <w:pPr>
        <w:pStyle w:val="Heading5"/>
      </w:pPr>
      <w:bookmarkStart w:id="11" w:name="_Toc529883308"/>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12" w:name="_Toc529883309"/>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529883310"/>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3"/>
    </w:p>
    <w:p>
      <w:pPr>
        <w:pStyle w:val="Subsection"/>
      </w:pPr>
      <w:r>
        <w:tab/>
      </w:r>
      <w:r>
        <w:tab/>
        <w:t>For the purposes of section 8 of the Act, 1 February 2005 is specified.</w:t>
      </w:r>
    </w:p>
    <w:p>
      <w:pPr>
        <w:pStyle w:val="Heading5"/>
      </w:pPr>
      <w:bookmarkStart w:id="14" w:name="_Toc529883311"/>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15" w:name="_Toc529883312"/>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16" w:name="_Toc529883313"/>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529883314"/>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529883315"/>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529883316"/>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20" w:name="_Toc529883317"/>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529883318"/>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22" w:name="_Toc529883319"/>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23" w:name="_Toc529883320"/>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24" w:name="_Toc529883321"/>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529883322"/>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26" w:name="_Toc529883323"/>
      <w:r>
        <w:rPr>
          <w:rStyle w:val="CharSectno"/>
        </w:rPr>
        <w:t>22</w:t>
      </w:r>
      <w:r>
        <w:t>.</w:t>
      </w:r>
      <w:r>
        <w:tab/>
        <w:t>Application for recognition of corresponding protection orders (s. 108(2)(a))</w:t>
      </w:r>
      <w:bookmarkEnd w:id="2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27" w:name="_Toc529883324"/>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28" w:name="_Toc529883325"/>
      <w:r>
        <w:rPr>
          <w:rStyle w:val="CharSectno"/>
        </w:rPr>
        <w:t>24</w:t>
      </w:r>
      <w:r>
        <w:t>.</w:t>
      </w:r>
      <w:r>
        <w:tab/>
        <w:t>Effect of recognition of corresponding protection orders (s. 108(2)(d))</w:t>
      </w:r>
      <w:bookmarkEnd w:id="2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29" w:name="_Toc529883326"/>
      <w:r>
        <w:rPr>
          <w:rStyle w:val="CharSectno"/>
        </w:rPr>
        <w:t>25</w:t>
      </w:r>
      <w:r>
        <w:t>.</w:t>
      </w:r>
      <w:r>
        <w:tab/>
        <w:t>Variation or revocation of recognised order in a foreign jurisdiction</w:t>
      </w:r>
      <w:bookmarkEnd w:id="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30" w:name="_Toc529883327"/>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31" w:name="_Toc529883328"/>
      <w:r>
        <w:rPr>
          <w:rStyle w:val="CharSectno"/>
        </w:rPr>
        <w:t>26B</w:t>
      </w:r>
      <w:r>
        <w:t>.</w:t>
      </w:r>
      <w:r>
        <w:tab/>
        <w:t>Reports by persons providing assessment or administering treatment (s. 94A(5)(c))</w:t>
      </w:r>
      <w:bookmarkEnd w:id="31"/>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32" w:name="_Toc529883329"/>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33" w:name="_Toc529883330"/>
      <w:r>
        <w:rPr>
          <w:rStyle w:val="CharSectno"/>
        </w:rPr>
        <w:t>26D</w:t>
      </w:r>
      <w:r>
        <w:t>.</w:t>
      </w:r>
      <w:r>
        <w:tab/>
        <w:t>Manner of conducting breath test (s. 94B(8)(b))</w:t>
      </w:r>
      <w:bookmarkEnd w:id="3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34" w:name="_Toc529883331"/>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35" w:name="_Toc529883332"/>
      <w:r>
        <w:rPr>
          <w:rStyle w:val="CharSectno"/>
        </w:rPr>
        <w:t>26F</w:t>
      </w:r>
      <w:r>
        <w:t>.</w:t>
      </w:r>
      <w:r>
        <w:tab/>
        <w:t>Manner of taking sample of blood or collecting sample of urine (s. 94B(8)(b))</w:t>
      </w:r>
      <w:bookmarkEnd w:id="35"/>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36" w:name="_Toc529883333"/>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37" w:name="_Toc529883334"/>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38" w:name="_Toc529883335"/>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39" w:name="_Toc529883336"/>
      <w:r>
        <w:rPr>
          <w:rStyle w:val="CharSectno"/>
        </w:rPr>
        <w:t>26J</w:t>
      </w:r>
      <w:r>
        <w:t>.</w:t>
      </w:r>
      <w:r>
        <w:tab/>
        <w:t>Testing of equipment used in conducting breath tests (s. 94B(8)(g))</w:t>
      </w:r>
      <w:bookmarkEnd w:id="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40" w:name="_Toc529883337"/>
      <w:r>
        <w:rPr>
          <w:rStyle w:val="CharSectno"/>
        </w:rPr>
        <w:t>26K</w:t>
      </w:r>
      <w:r>
        <w:t>.</w:t>
      </w:r>
      <w:r>
        <w:tab/>
        <w:t>Certificate evidence (s. 94B(8)(i))</w:t>
      </w:r>
      <w:bookmarkEnd w:id="40"/>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41" w:name="_Toc529883338"/>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529868730"/>
      <w:bookmarkStart w:id="43" w:name="_Toc529883339"/>
      <w:r>
        <w:rPr>
          <w:rStyle w:val="CharSchNo"/>
        </w:rPr>
        <w:t>Schedule 1</w:t>
      </w:r>
      <w:r>
        <w:rPr>
          <w:rStyle w:val="CharSDivNo"/>
        </w:rPr>
        <w:t> </w:t>
      </w:r>
      <w:r>
        <w:t>—</w:t>
      </w:r>
      <w:r>
        <w:rPr>
          <w:rStyle w:val="CharSDivText"/>
        </w:rPr>
        <w:t> </w:t>
      </w:r>
      <w:r>
        <w:rPr>
          <w:rStyle w:val="CharSchText"/>
        </w:rPr>
        <w:t>Forms</w:t>
      </w:r>
      <w:bookmarkEnd w:id="42"/>
      <w:bookmarkEnd w:id="43"/>
    </w:p>
    <w:p>
      <w:pPr>
        <w:pStyle w:val="yShoulderClause"/>
      </w:pPr>
      <w:r>
        <w:t>[r. 26]</w:t>
      </w:r>
    </w:p>
    <w:p>
      <w:pPr>
        <w:pStyle w:val="yFootnotesection"/>
      </w:pPr>
      <w:r>
        <w:tab/>
        <w:t>[Heading inserted in Gazette 9 Dec 2005 p. 5888; amended in Gazette 1 Jun 2007 p. 2528.]</w:t>
      </w:r>
    </w:p>
    <w:p>
      <w:pPr>
        <w:pStyle w:val="yHeading5"/>
        <w:spacing w:after="80"/>
      </w:pPr>
      <w:bookmarkStart w:id="44" w:name="_Toc529883340"/>
      <w:r>
        <w:rPr>
          <w:rStyle w:val="CharSClsNo"/>
        </w:rPr>
        <w:t>1</w:t>
      </w:r>
      <w:r>
        <w:t>.</w:t>
      </w:r>
      <w:r>
        <w:tab/>
        <w:t>Summons: Application for order</w:t>
      </w:r>
      <w:bookmarkEnd w:id="4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45" w:name="_Toc529883341"/>
      <w:r>
        <w:rPr>
          <w:rStyle w:val="CharSClsNo"/>
        </w:rPr>
        <w:t>2</w:t>
      </w:r>
      <w:r>
        <w:t>.</w:t>
      </w:r>
      <w:r>
        <w:tab/>
        <w:t>Summons: Further hearing after interim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46" w:name="_Toc529883342"/>
      <w:r>
        <w:rPr>
          <w:rStyle w:val="CharSClsNo"/>
        </w:rPr>
        <w:t>3</w:t>
      </w:r>
      <w:r>
        <w:t>.</w:t>
      </w:r>
      <w:r>
        <w:tab/>
        <w:t>Summons: Application to vary or revoke child protection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47" w:name="_Toc529883343"/>
      <w:r>
        <w:rPr>
          <w:rStyle w:val="CharSClsNo"/>
        </w:rPr>
        <w:t>4</w:t>
      </w:r>
      <w:r>
        <w:t>.</w:t>
      </w:r>
      <w:r>
        <w:tab/>
        <w:t>Certificate of authorised breath tester (r. 26D(8))</w:t>
      </w:r>
      <w:bookmarkEnd w:id="4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48" w:name="_Toc529883344"/>
      <w:r>
        <w:rPr>
          <w:rStyle w:val="CharSClsNo"/>
        </w:rPr>
        <w:t>5</w:t>
      </w:r>
      <w:r>
        <w:t>.</w:t>
      </w:r>
      <w:r>
        <w:tab/>
        <w:t>Request to take sample of blood or urine (r. 26F(2))</w:t>
      </w:r>
      <w:bookmarkEnd w:id="4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49" w:name="_Toc529883345"/>
      <w:r>
        <w:rPr>
          <w:rStyle w:val="CharSClsNo"/>
        </w:rPr>
        <w:t>6</w:t>
      </w:r>
      <w:r>
        <w:t>.</w:t>
      </w:r>
      <w:r>
        <w:tab/>
        <w:t>Certificate of authorised sample collector (r. 26G(5))</w:t>
      </w:r>
      <w:bookmarkEnd w:id="4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50" w:name="_Toc529883346"/>
      <w:r>
        <w:rPr>
          <w:rStyle w:val="CharSClsNo"/>
        </w:rPr>
        <w:t>7</w:t>
      </w:r>
      <w:r>
        <w:t>.</w:t>
      </w:r>
      <w:r>
        <w:tab/>
        <w:t>Certificate of analyst (r. 26I(3))</w:t>
      </w:r>
      <w:bookmarkEnd w:id="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6"/>
          <w:headerReference w:type="default" r:id="rId27"/>
          <w:headerReference w:type="first" r:id="rId28"/>
          <w:endnotePr>
            <w:numFmt w:val="decimal"/>
          </w:endnotePr>
          <w:pgSz w:w="11907" w:h="16840" w:code="9"/>
          <w:pgMar w:top="2376" w:right="2404" w:bottom="3544" w:left="2404" w:header="709" w:footer="3380" w:gutter="0"/>
          <w:cols w:space="720"/>
          <w:noEndnote/>
          <w:docGrid w:linePitch="326"/>
        </w:sectPr>
      </w:pPr>
    </w:p>
    <w:p>
      <w:pPr>
        <w:pStyle w:val="nHeading2"/>
      </w:pPr>
      <w:bookmarkStart w:id="52" w:name="_Toc529868738"/>
      <w:bookmarkStart w:id="53" w:name="_Toc529883347"/>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54" w:name="_Toc529883348"/>
      <w:r>
        <w:t>Compilation table</w:t>
      </w:r>
      <w:bookmarkEnd w:id="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pPr>
            <w:r>
              <w:rPr>
                <w:i/>
              </w:rPr>
              <w:t>Community Protection (Offender Reporting) Amendment Regulations 2017</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r>
              <w:rPr>
                <w:rFonts w:ascii="Times" w:hAnsi="Times"/>
                <w:snapToGrid w:val="0"/>
              </w:rPr>
              <w:br/>
              <w:t>r. 4(2): 2 Feb 2017 (see r. 2(b) and s. 2(2) of 2016/021 (Vic))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529883349"/>
      <w:r>
        <w:t>Provisions that have not come into operation</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Community Protection (Offender Reporting) Amendment Regulations 2018 </w:t>
            </w:r>
            <w:r>
              <w:t>r. 3 and 4</w:t>
            </w:r>
            <w:r>
              <w:rPr>
                <w:noProof/>
              </w:rPr>
              <w:t> </w:t>
            </w:r>
            <w:r>
              <w:rPr>
                <w:noProof/>
                <w:vertAlign w:val="superscript"/>
              </w:rPr>
              <w:t>4</w:t>
            </w:r>
          </w:p>
        </w:tc>
        <w:tc>
          <w:tcPr>
            <w:tcW w:w="1276" w:type="dxa"/>
            <w:tcBorders>
              <w:bottom w:val="single" w:sz="4" w:space="0" w:color="auto"/>
            </w:tcBorders>
          </w:tcPr>
          <w:p>
            <w:pPr>
              <w:pStyle w:val="nTable"/>
              <w:spacing w:after="40"/>
            </w:pPr>
            <w:r>
              <w:t>13 Nov 2018 p. 4432</w:t>
            </w:r>
            <w:r>
              <w:noBreakHyphen/>
              <w:t>3</w:t>
            </w:r>
          </w:p>
        </w:tc>
        <w:tc>
          <w:tcPr>
            <w:tcW w:w="2693" w:type="dxa"/>
            <w:tcBorders>
              <w:bottom w:val="single" w:sz="4" w:space="0" w:color="auto"/>
            </w:tcBorders>
          </w:tcPr>
          <w:p>
            <w:pPr>
              <w:pStyle w:val="nTable"/>
              <w:spacing w:after="40"/>
            </w:pPr>
            <w:r>
              <w:rPr>
                <w:noProof/>
              </w:rPr>
              <w:t>1 Dec 2018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 xml:space="preserve">Community Protection (Offender Reporting) Amendment Regulations 2018 </w:t>
      </w:r>
      <w:r>
        <w:t>r. 3 and 4</w:t>
      </w:r>
      <w:r>
        <w:rPr>
          <w:noProof/>
        </w:rPr>
        <w:t xml:space="preserve"> </w:t>
      </w:r>
      <w:r>
        <w:t>h</w:t>
      </w:r>
      <w:r>
        <w:rPr>
          <w:snapToGrid w:val="0"/>
        </w:rPr>
        <w:t>ad not come into operation.  They read as follows:</w:t>
      </w:r>
    </w:p>
    <w:p>
      <w:pPr>
        <w:pStyle w:val="BlankOpen"/>
        <w:rPr>
          <w:snapToGrid w:val="0"/>
        </w:rPr>
      </w:pPr>
    </w:p>
    <w:p>
      <w:pPr>
        <w:pStyle w:val="nzHeading5"/>
        <w:rPr>
          <w:snapToGrid w:val="0"/>
        </w:rPr>
      </w:pPr>
      <w:bookmarkStart w:id="56" w:name="_Toc523393683"/>
      <w:bookmarkStart w:id="57" w:name="_Toc523393768"/>
      <w:r>
        <w:rPr>
          <w:rStyle w:val="CharSectno"/>
        </w:rPr>
        <w:t>3</w:t>
      </w:r>
      <w:r>
        <w:rPr>
          <w:snapToGrid w:val="0"/>
        </w:rPr>
        <w:t>.</w:t>
      </w:r>
      <w:r>
        <w:rPr>
          <w:snapToGrid w:val="0"/>
        </w:rPr>
        <w:tab/>
        <w:t>Regulations amended</w:t>
      </w:r>
      <w:bookmarkEnd w:id="56"/>
      <w:bookmarkEnd w:id="57"/>
    </w:p>
    <w:p>
      <w:pPr>
        <w:pStyle w:val="nzSubsection"/>
      </w:pPr>
      <w:r>
        <w:tab/>
      </w:r>
      <w:r>
        <w:tab/>
        <w:t xml:space="preserve">These </w:t>
      </w:r>
      <w:r>
        <w:rPr>
          <w:spacing w:val="-2"/>
        </w:rPr>
        <w:t>regulations amend</w:t>
      </w:r>
      <w:r>
        <w:t xml:space="preserve"> the </w:t>
      </w:r>
      <w:r>
        <w:rPr>
          <w:i/>
        </w:rPr>
        <w:t>Community Protection (Offender Reporting) Regulations 2004</w:t>
      </w:r>
      <w:r>
        <w:t>.</w:t>
      </w:r>
    </w:p>
    <w:p>
      <w:pPr>
        <w:pStyle w:val="nzHeading5"/>
      </w:pPr>
      <w:bookmarkStart w:id="58" w:name="_Toc523393684"/>
      <w:bookmarkStart w:id="59" w:name="_Toc523393769"/>
      <w:r>
        <w:rPr>
          <w:rStyle w:val="CharSectno"/>
        </w:rPr>
        <w:t>4</w:t>
      </w:r>
      <w:r>
        <w:t>.</w:t>
      </w:r>
      <w:r>
        <w:tab/>
        <w:t>Regulation 3 amended</w:t>
      </w:r>
      <w:bookmarkEnd w:id="58"/>
      <w:bookmarkEnd w:id="59"/>
    </w:p>
    <w:p>
      <w:pPr>
        <w:pStyle w:val="nzSubsection"/>
      </w:pPr>
      <w:r>
        <w:tab/>
      </w:r>
      <w:r>
        <w:tab/>
        <w:t xml:space="preserve">In regulation 3 delete the definition of </w:t>
      </w:r>
      <w:r>
        <w:rPr>
          <w:b/>
          <w:i/>
        </w:rPr>
        <w:t>registered nurse</w:t>
      </w:r>
      <w:r>
        <w:t xml:space="preserve"> and insert:</w:t>
      </w:r>
    </w:p>
    <w:p>
      <w:pPr>
        <w:pStyle w:val="BlankOpen"/>
      </w:pPr>
    </w:p>
    <w:p>
      <w:pPr>
        <w:pStyle w:val="nz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1" w:name="_Toc529868741"/>
      <w:bookmarkStart w:id="62" w:name="_Toc529883350"/>
      <w:r>
        <w:rPr>
          <w:sz w:val="28"/>
        </w:rPr>
        <w:t>Defined terms</w:t>
      </w:r>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310154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81BF8-AEEC-4C5C-BB43-6572AAEF7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9169</Words>
  <Characters>50433</Characters>
  <Application>Microsoft Office Word</Application>
  <DocSecurity>0</DocSecurity>
  <Lines>1576</Lines>
  <Paragraphs>993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2004 - 03-h0-00</dc:title>
  <dc:subject/>
  <dc:creator/>
  <cp:keywords/>
  <dc:description/>
  <cp:lastModifiedBy>svcMRProcess</cp:lastModifiedBy>
  <cp:revision>4</cp:revision>
  <cp:lastPrinted>2014-04-04T05:23:00Z</cp:lastPrinted>
  <dcterms:created xsi:type="dcterms:W3CDTF">2018-11-13T07:56:00Z</dcterms:created>
  <dcterms:modified xsi:type="dcterms:W3CDTF">2018-11-13T07:56:00Z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AsAtDate">
    <vt:lpwstr>13 Nov 2018</vt:lpwstr>
  </property>
  <property fmtid="{D5CDD505-2E9C-101B-9397-08002B2CF9AE}" pid="8" name="Suffix">
    <vt:lpwstr>03-h0-00</vt:lpwstr>
  </property>
  <property fmtid="{D5CDD505-2E9C-101B-9397-08002B2CF9AE}" pid="9" name="CommencementDate">
    <vt:lpwstr>20181113</vt:lpwstr>
  </property>
</Properties>
</file>