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_Toc117047649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_Toc117047650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Meaning of terms used in these regulations</w:t>
      </w:r>
      <w:r>
        <w:rPr>
          <w:noProof/>
        </w:rPr>
        <w:tab/>
      </w:r>
      <w:r>
        <w:rPr>
          <w:noProof/>
        </w:rPr>
        <w:fldChar w:fldCharType="begin"/>
      </w:r>
      <w:r>
        <w:rPr>
          <w:noProof/>
        </w:rPr>
        <w:instrText xml:space="preserve"> PAGEREF _Toc117047651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Licensing of directors</w:t>
      </w:r>
    </w:p>
    <w:p>
      <w:pPr>
        <w:pStyle w:val="TOC4"/>
        <w:tabs>
          <w:tab w:val="left" w:pos="1701"/>
        </w:tabs>
        <w:rPr>
          <w:noProof/>
          <w:sz w:val="24"/>
          <w:szCs w:val="24"/>
        </w:rPr>
      </w:pPr>
      <w:r>
        <w:rPr>
          <w:noProof/>
          <w:szCs w:val="24"/>
        </w:rPr>
        <w:t>4.</w:t>
      </w:r>
      <w:r>
        <w:rPr>
          <w:noProof/>
          <w:sz w:val="24"/>
          <w:szCs w:val="24"/>
        </w:rPr>
        <w:tab/>
      </w:r>
      <w:r>
        <w:rPr>
          <w:noProof/>
          <w:szCs w:val="24"/>
        </w:rPr>
        <w:t>Notifications by RWWA to Commission</w:t>
      </w:r>
      <w:r>
        <w:rPr>
          <w:noProof/>
        </w:rPr>
        <w:tab/>
      </w:r>
      <w:r>
        <w:rPr>
          <w:noProof/>
        </w:rPr>
        <w:fldChar w:fldCharType="begin"/>
      </w:r>
      <w:r>
        <w:rPr>
          <w:noProof/>
        </w:rPr>
        <w:instrText xml:space="preserve"> PAGEREF _Toc117047653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Application for licence</w:t>
      </w:r>
      <w:r>
        <w:rPr>
          <w:noProof/>
        </w:rPr>
        <w:tab/>
      </w:r>
      <w:r>
        <w:rPr>
          <w:noProof/>
        </w:rPr>
        <w:fldChar w:fldCharType="begin"/>
      </w:r>
      <w:r>
        <w:rPr>
          <w:noProof/>
        </w:rPr>
        <w:instrText xml:space="preserve"> PAGEREF _Toc117047654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Form of application</w:t>
      </w:r>
      <w:r>
        <w:rPr>
          <w:noProof/>
        </w:rPr>
        <w:tab/>
      </w:r>
      <w:r>
        <w:rPr>
          <w:noProof/>
        </w:rPr>
        <w:fldChar w:fldCharType="begin"/>
      </w:r>
      <w:r>
        <w:rPr>
          <w:noProof/>
        </w:rPr>
        <w:instrText xml:space="preserve"> PAGEREF _Toc117047655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Investigation by police</w:t>
      </w:r>
      <w:r>
        <w:rPr>
          <w:noProof/>
        </w:rPr>
        <w:tab/>
      </w:r>
      <w:r>
        <w:rPr>
          <w:noProof/>
        </w:rPr>
        <w:fldChar w:fldCharType="begin"/>
      </w:r>
      <w:r>
        <w:rPr>
          <w:noProof/>
        </w:rPr>
        <w:instrText xml:space="preserve"> PAGEREF _Toc117047656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Commission may licence, or refuse to licence, director</w:t>
      </w:r>
      <w:r>
        <w:rPr>
          <w:noProof/>
        </w:rPr>
        <w:tab/>
      </w:r>
      <w:r>
        <w:rPr>
          <w:noProof/>
        </w:rPr>
        <w:fldChar w:fldCharType="begin"/>
      </w:r>
      <w:r>
        <w:rPr>
          <w:noProof/>
        </w:rPr>
        <w:instrText xml:space="preserve"> PAGEREF _Toc117047657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Duration of director’s licence</w:t>
      </w:r>
      <w:r>
        <w:rPr>
          <w:noProof/>
        </w:rPr>
        <w:tab/>
      </w:r>
      <w:r>
        <w:rPr>
          <w:noProof/>
        </w:rPr>
        <w:fldChar w:fldCharType="begin"/>
      </w:r>
      <w:r>
        <w:rPr>
          <w:noProof/>
        </w:rPr>
        <w:instrText xml:space="preserve"> PAGEREF _Toc117047658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Renewal of licence</w:t>
      </w:r>
      <w:r>
        <w:rPr>
          <w:noProof/>
        </w:rPr>
        <w:tab/>
      </w:r>
      <w:r>
        <w:rPr>
          <w:noProof/>
        </w:rPr>
        <w:fldChar w:fldCharType="begin"/>
      </w:r>
      <w:r>
        <w:rPr>
          <w:noProof/>
        </w:rPr>
        <w:instrText xml:space="preserve"> PAGEREF _Toc117047659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Further investigation</w:t>
      </w:r>
      <w:r>
        <w:rPr>
          <w:noProof/>
        </w:rPr>
        <w:tab/>
      </w:r>
      <w:r>
        <w:rPr>
          <w:noProof/>
        </w:rPr>
        <w:fldChar w:fldCharType="begin"/>
      </w:r>
      <w:r>
        <w:rPr>
          <w:noProof/>
        </w:rPr>
        <w:instrText xml:space="preserve"> PAGEREF _Toc117047660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3 — Licensing of RWWA key employees</w:t>
      </w:r>
    </w:p>
    <w:p>
      <w:pPr>
        <w:pStyle w:val="TOC4"/>
        <w:tabs>
          <w:tab w:val="left" w:pos="1701"/>
        </w:tabs>
        <w:rPr>
          <w:noProof/>
          <w:sz w:val="24"/>
          <w:szCs w:val="24"/>
        </w:rPr>
      </w:pPr>
      <w:r>
        <w:rPr>
          <w:noProof/>
          <w:szCs w:val="24"/>
        </w:rPr>
        <w:t>12.</w:t>
      </w:r>
      <w:r>
        <w:rPr>
          <w:noProof/>
          <w:sz w:val="24"/>
          <w:szCs w:val="24"/>
        </w:rPr>
        <w:tab/>
      </w:r>
      <w:r>
        <w:rPr>
          <w:noProof/>
          <w:szCs w:val="24"/>
        </w:rPr>
        <w:t>RWWA key employees taken to hold provisional licence</w:t>
      </w:r>
      <w:r>
        <w:rPr>
          <w:noProof/>
        </w:rPr>
        <w:tab/>
      </w:r>
      <w:r>
        <w:rPr>
          <w:noProof/>
        </w:rPr>
        <w:fldChar w:fldCharType="begin"/>
      </w:r>
      <w:r>
        <w:rPr>
          <w:noProof/>
        </w:rPr>
        <w:instrText xml:space="preserve"> PAGEREF _Toc117047662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Application for employee’s licence</w:t>
      </w:r>
      <w:r>
        <w:rPr>
          <w:noProof/>
        </w:rPr>
        <w:tab/>
      </w:r>
      <w:r>
        <w:rPr>
          <w:noProof/>
        </w:rPr>
        <w:fldChar w:fldCharType="begin"/>
      </w:r>
      <w:r>
        <w:rPr>
          <w:noProof/>
        </w:rPr>
        <w:instrText xml:space="preserve"> PAGEREF _Toc117047663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Investigation by police</w:t>
      </w:r>
      <w:r>
        <w:rPr>
          <w:noProof/>
        </w:rPr>
        <w:tab/>
      </w:r>
      <w:r>
        <w:rPr>
          <w:noProof/>
        </w:rPr>
        <w:fldChar w:fldCharType="begin"/>
      </w:r>
      <w:r>
        <w:rPr>
          <w:noProof/>
        </w:rPr>
        <w:instrText xml:space="preserve"> PAGEREF _Toc117047664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Commission may licence, or refuse to licence, employee</w:t>
      </w:r>
      <w:r>
        <w:rPr>
          <w:noProof/>
        </w:rPr>
        <w:tab/>
      </w:r>
      <w:r>
        <w:rPr>
          <w:noProof/>
        </w:rPr>
        <w:fldChar w:fldCharType="begin"/>
      </w:r>
      <w:r>
        <w:rPr>
          <w:noProof/>
        </w:rPr>
        <w:instrText xml:space="preserve"> PAGEREF _Toc117047665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Person may reapply for licence</w:t>
      </w:r>
      <w:r>
        <w:rPr>
          <w:noProof/>
        </w:rPr>
        <w:tab/>
      </w:r>
      <w:r>
        <w:rPr>
          <w:noProof/>
        </w:rPr>
        <w:fldChar w:fldCharType="begin"/>
      </w:r>
      <w:r>
        <w:rPr>
          <w:noProof/>
        </w:rPr>
        <w:instrText xml:space="preserve"> PAGEREF _Toc117047666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lastRenderedPageBreak/>
        <w:t>17.</w:t>
      </w:r>
      <w:r>
        <w:rPr>
          <w:noProof/>
          <w:sz w:val="24"/>
          <w:szCs w:val="24"/>
        </w:rPr>
        <w:tab/>
      </w:r>
      <w:r>
        <w:rPr>
          <w:noProof/>
          <w:szCs w:val="24"/>
        </w:rPr>
        <w:t>RWWA must not employ person who has been refused an employee’s licence</w:t>
      </w:r>
      <w:r>
        <w:rPr>
          <w:noProof/>
        </w:rPr>
        <w:tab/>
      </w:r>
      <w:r>
        <w:rPr>
          <w:noProof/>
        </w:rPr>
        <w:fldChar w:fldCharType="begin"/>
      </w:r>
      <w:r>
        <w:rPr>
          <w:noProof/>
        </w:rPr>
        <w:instrText xml:space="preserve"> PAGEREF _Toc117047667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Duration of employee’s licence</w:t>
      </w:r>
      <w:r>
        <w:rPr>
          <w:noProof/>
        </w:rPr>
        <w:tab/>
      </w:r>
      <w:r>
        <w:rPr>
          <w:noProof/>
        </w:rPr>
        <w:fldChar w:fldCharType="begin"/>
      </w:r>
      <w:r>
        <w:rPr>
          <w:noProof/>
        </w:rPr>
        <w:instrText xml:space="preserve"> PAGEREF _Toc117047668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Disciplinary action</w:t>
      </w:r>
      <w:r>
        <w:rPr>
          <w:noProof/>
        </w:rPr>
        <w:tab/>
      </w:r>
      <w:r>
        <w:rPr>
          <w:noProof/>
        </w:rPr>
        <w:fldChar w:fldCharType="begin"/>
      </w:r>
      <w:r>
        <w:rPr>
          <w:noProof/>
        </w:rPr>
        <w:instrText xml:space="preserve"> PAGEREF _Toc117047669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Surrender of licence</w:t>
      </w:r>
      <w:r>
        <w:rPr>
          <w:noProof/>
        </w:rPr>
        <w:tab/>
      </w:r>
      <w:r>
        <w:rPr>
          <w:noProof/>
        </w:rPr>
        <w:fldChar w:fldCharType="begin"/>
      </w:r>
      <w:r>
        <w:rPr>
          <w:noProof/>
        </w:rPr>
        <w:instrText xml:space="preserve"> PAGEREF _Toc117047670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Notification of termination of employment</w:t>
      </w:r>
      <w:r>
        <w:rPr>
          <w:noProof/>
        </w:rPr>
        <w:tab/>
      </w:r>
      <w:r>
        <w:rPr>
          <w:noProof/>
        </w:rPr>
        <w:fldChar w:fldCharType="begin"/>
      </w:r>
      <w:r>
        <w:rPr>
          <w:noProof/>
        </w:rPr>
        <w:instrText xml:space="preserve"> PAGEREF _Toc117047671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Further investigation</w:t>
      </w:r>
      <w:r>
        <w:rPr>
          <w:noProof/>
        </w:rPr>
        <w:tab/>
      </w:r>
      <w:r>
        <w:rPr>
          <w:noProof/>
        </w:rPr>
        <w:fldChar w:fldCharType="begin"/>
      </w:r>
      <w:r>
        <w:rPr>
          <w:noProof/>
        </w:rPr>
        <w:instrText xml:space="preserve"> PAGEREF _Toc117047672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4 — Offences</w:t>
      </w:r>
    </w:p>
    <w:p>
      <w:pPr>
        <w:pStyle w:val="TOC4"/>
        <w:tabs>
          <w:tab w:val="left" w:pos="1701"/>
        </w:tabs>
        <w:rPr>
          <w:noProof/>
          <w:sz w:val="24"/>
          <w:szCs w:val="24"/>
        </w:rPr>
      </w:pPr>
      <w:r>
        <w:rPr>
          <w:noProof/>
          <w:szCs w:val="24"/>
        </w:rPr>
        <w:t>23.</w:t>
      </w:r>
      <w:r>
        <w:rPr>
          <w:noProof/>
          <w:sz w:val="24"/>
          <w:szCs w:val="24"/>
        </w:rPr>
        <w:tab/>
      </w:r>
      <w:r>
        <w:rPr>
          <w:noProof/>
          <w:szCs w:val="24"/>
        </w:rPr>
        <w:t>Offence relating to misleading information</w:t>
      </w:r>
      <w:r>
        <w:rPr>
          <w:noProof/>
        </w:rPr>
        <w:tab/>
      </w:r>
      <w:r>
        <w:rPr>
          <w:noProof/>
        </w:rPr>
        <w:fldChar w:fldCharType="begin"/>
      </w:r>
      <w:r>
        <w:rPr>
          <w:noProof/>
        </w:rPr>
        <w:instrText xml:space="preserve"> PAGEREF _Toc117047674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Notification of conviction</w:t>
      </w:r>
      <w:r>
        <w:rPr>
          <w:noProof/>
        </w:rPr>
        <w:tab/>
      </w:r>
      <w:r>
        <w:rPr>
          <w:noProof/>
        </w:rPr>
        <w:fldChar w:fldCharType="begin"/>
      </w:r>
      <w:r>
        <w:rPr>
          <w:noProof/>
        </w:rPr>
        <w:instrText xml:space="preserve"> PAGEREF _Toc117047675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5 — Fees and taxes</w:t>
      </w:r>
    </w:p>
    <w:p>
      <w:pPr>
        <w:pStyle w:val="TOC4"/>
        <w:tabs>
          <w:tab w:val="left" w:pos="1701"/>
        </w:tabs>
        <w:rPr>
          <w:noProof/>
          <w:sz w:val="24"/>
          <w:szCs w:val="24"/>
        </w:rPr>
      </w:pPr>
      <w:r>
        <w:rPr>
          <w:noProof/>
          <w:szCs w:val="24"/>
        </w:rPr>
        <w:t>25.</w:t>
      </w:r>
      <w:r>
        <w:rPr>
          <w:noProof/>
          <w:sz w:val="24"/>
          <w:szCs w:val="24"/>
        </w:rPr>
        <w:tab/>
      </w:r>
      <w:r>
        <w:rPr>
          <w:noProof/>
          <w:szCs w:val="24"/>
        </w:rPr>
        <w:t>Section 53 fee</w:t>
      </w:r>
      <w:r>
        <w:rPr>
          <w:noProof/>
        </w:rPr>
        <w:tab/>
      </w:r>
      <w:r>
        <w:rPr>
          <w:noProof/>
        </w:rPr>
        <w:fldChar w:fldCharType="begin"/>
      </w:r>
      <w:r>
        <w:rPr>
          <w:noProof/>
        </w:rPr>
        <w:instrText xml:space="preserve"> PAGEREF _Toc117047677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RWWA wagering tax</w:t>
      </w:r>
      <w:r>
        <w:rPr>
          <w:noProof/>
        </w:rPr>
        <w:tab/>
      </w:r>
      <w:r>
        <w:rPr>
          <w:noProof/>
        </w:rPr>
        <w:fldChar w:fldCharType="begin"/>
      </w:r>
      <w:r>
        <w:rPr>
          <w:noProof/>
        </w:rPr>
        <w:instrText xml:space="preserve"> PAGEREF _Toc117047678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6 </w:t>
      </w:r>
      <w:r>
        <w:rPr>
          <w:b w:val="0"/>
          <w:noProof/>
          <w:szCs w:val="30"/>
        </w:rPr>
        <w:t>—</w:t>
      </w:r>
      <w:r>
        <w:rPr>
          <w:noProof/>
          <w:szCs w:val="30"/>
        </w:rPr>
        <w:t> General conditions relating to wagers made at or through totalisator agencies</w:t>
      </w:r>
    </w:p>
    <w:p>
      <w:pPr>
        <w:pStyle w:val="TOC4"/>
        <w:tabs>
          <w:tab w:val="left" w:pos="1701"/>
        </w:tabs>
        <w:rPr>
          <w:noProof/>
          <w:sz w:val="24"/>
          <w:szCs w:val="24"/>
        </w:rPr>
      </w:pPr>
      <w:r>
        <w:rPr>
          <w:noProof/>
          <w:szCs w:val="24"/>
        </w:rPr>
        <w:t>27.</w:t>
      </w:r>
      <w:r>
        <w:rPr>
          <w:noProof/>
          <w:sz w:val="24"/>
          <w:szCs w:val="24"/>
        </w:rPr>
        <w:tab/>
      </w:r>
      <w:r>
        <w:rPr>
          <w:noProof/>
          <w:szCs w:val="24"/>
        </w:rPr>
        <w:t>Persons excluded from totalisator agencies</w:t>
      </w:r>
      <w:r>
        <w:rPr>
          <w:noProof/>
        </w:rPr>
        <w:tab/>
      </w:r>
      <w:r>
        <w:rPr>
          <w:noProof/>
        </w:rPr>
        <w:fldChar w:fldCharType="begin"/>
      </w:r>
      <w:r>
        <w:rPr>
          <w:noProof/>
        </w:rPr>
        <w:instrText xml:space="preserve"> PAGEREF _Toc117047680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Person making wager bound by these regulations, the rules of wagering and instructions</w:t>
      </w:r>
      <w:r>
        <w:rPr>
          <w:noProof/>
        </w:rPr>
        <w:tab/>
      </w:r>
      <w:r>
        <w:rPr>
          <w:noProof/>
        </w:rPr>
        <w:fldChar w:fldCharType="begin"/>
      </w:r>
      <w:r>
        <w:rPr>
          <w:noProof/>
        </w:rPr>
        <w:instrText xml:space="preserve"> PAGEREF _Toc117047681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Wagers accepted subject to the rules and these regulations</w:t>
      </w:r>
      <w:r>
        <w:rPr>
          <w:noProof/>
        </w:rPr>
        <w:tab/>
      </w:r>
      <w:r>
        <w:rPr>
          <w:noProof/>
        </w:rPr>
        <w:fldChar w:fldCharType="begin"/>
      </w:r>
      <w:r>
        <w:rPr>
          <w:noProof/>
        </w:rPr>
        <w:instrText xml:space="preserve"> PAGEREF _Toc117047682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All wagers to be 50 cents or multiples of 50 cents</w:t>
      </w:r>
      <w:r>
        <w:rPr>
          <w:noProof/>
        </w:rPr>
        <w:tab/>
      </w:r>
      <w:r>
        <w:rPr>
          <w:noProof/>
        </w:rPr>
        <w:fldChar w:fldCharType="begin"/>
      </w:r>
      <w:r>
        <w:rPr>
          <w:noProof/>
        </w:rPr>
        <w:instrText xml:space="preserve"> PAGEREF _Toc117047683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Dividend as declared</w:t>
      </w:r>
      <w:r>
        <w:rPr>
          <w:noProof/>
        </w:rPr>
        <w:tab/>
      </w:r>
      <w:r>
        <w:rPr>
          <w:noProof/>
        </w:rPr>
        <w:fldChar w:fldCharType="begin"/>
      </w:r>
      <w:r>
        <w:rPr>
          <w:noProof/>
        </w:rPr>
        <w:instrText xml:space="preserve"> PAGEREF _Toc117047684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Wagers may be refused</w:t>
      </w:r>
      <w:r>
        <w:rPr>
          <w:noProof/>
        </w:rPr>
        <w:tab/>
      </w:r>
      <w:r>
        <w:rPr>
          <w:noProof/>
        </w:rPr>
        <w:fldChar w:fldCharType="begin"/>
      </w:r>
      <w:r>
        <w:rPr>
          <w:noProof/>
        </w:rPr>
        <w:instrText xml:space="preserve"> PAGEREF _Toc117047685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Only authorised wagers to be accepted</w:t>
      </w:r>
      <w:r>
        <w:rPr>
          <w:noProof/>
        </w:rPr>
        <w:tab/>
      </w:r>
      <w:r>
        <w:rPr>
          <w:noProof/>
        </w:rPr>
        <w:fldChar w:fldCharType="begin"/>
      </w:r>
      <w:r>
        <w:rPr>
          <w:noProof/>
        </w:rPr>
        <w:instrText xml:space="preserve"> PAGEREF _Toc117047686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Hours for opening</w:t>
      </w:r>
      <w:r>
        <w:rPr>
          <w:noProof/>
        </w:rPr>
        <w:tab/>
      </w:r>
      <w:r>
        <w:rPr>
          <w:noProof/>
        </w:rPr>
        <w:fldChar w:fldCharType="begin"/>
      </w:r>
      <w:r>
        <w:rPr>
          <w:noProof/>
        </w:rPr>
        <w:instrText xml:space="preserve"> PAGEREF _Toc117047687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Wagers may be made by various methods</w:t>
      </w:r>
      <w:r>
        <w:rPr>
          <w:noProof/>
        </w:rPr>
        <w:tab/>
      </w:r>
      <w:r>
        <w:rPr>
          <w:noProof/>
        </w:rPr>
        <w:fldChar w:fldCharType="begin"/>
      </w:r>
      <w:r>
        <w:rPr>
          <w:noProof/>
        </w:rPr>
        <w:instrText xml:space="preserve"> PAGEREF _Toc117047688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Wagers to be properly marked</w:t>
      </w:r>
      <w:r>
        <w:rPr>
          <w:noProof/>
        </w:rPr>
        <w:tab/>
      </w:r>
      <w:r>
        <w:rPr>
          <w:noProof/>
        </w:rPr>
        <w:fldChar w:fldCharType="begin"/>
      </w:r>
      <w:r>
        <w:rPr>
          <w:noProof/>
        </w:rPr>
        <w:instrText xml:space="preserve"> PAGEREF _Toc117047689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RWWA may decide particulars of wagers</w:t>
      </w:r>
      <w:r>
        <w:rPr>
          <w:noProof/>
        </w:rPr>
        <w:tab/>
      </w:r>
      <w:r>
        <w:rPr>
          <w:noProof/>
        </w:rPr>
        <w:fldChar w:fldCharType="begin"/>
      </w:r>
      <w:r>
        <w:rPr>
          <w:noProof/>
        </w:rPr>
        <w:instrText xml:space="preserve"> PAGEREF _Toc117047690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Tickets to be properly marked</w:t>
      </w:r>
      <w:r>
        <w:rPr>
          <w:noProof/>
        </w:rPr>
        <w:tab/>
      </w:r>
      <w:r>
        <w:rPr>
          <w:noProof/>
        </w:rPr>
        <w:fldChar w:fldCharType="begin"/>
      </w:r>
      <w:r>
        <w:rPr>
          <w:noProof/>
        </w:rPr>
        <w:instrText xml:space="preserve"> PAGEREF _Toc117047691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RWWA to exhibit notices</w:t>
      </w:r>
      <w:r>
        <w:rPr>
          <w:noProof/>
        </w:rPr>
        <w:tab/>
      </w:r>
      <w:r>
        <w:rPr>
          <w:noProof/>
        </w:rPr>
        <w:fldChar w:fldCharType="begin"/>
      </w:r>
      <w:r>
        <w:rPr>
          <w:noProof/>
        </w:rPr>
        <w:instrText xml:space="preserve"> PAGEREF _Toc117047692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Correction of errors and omissions, and the giving of certain refunds</w:t>
      </w:r>
      <w:r>
        <w:rPr>
          <w:noProof/>
        </w:rPr>
        <w:tab/>
      </w:r>
      <w:r>
        <w:rPr>
          <w:noProof/>
        </w:rPr>
        <w:fldChar w:fldCharType="begin"/>
      </w:r>
      <w:r>
        <w:rPr>
          <w:noProof/>
        </w:rPr>
        <w:instrText xml:space="preserve"> PAGEREF _Toc117047693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Time for payment of dividends or refunds for cash wagers</w:t>
      </w:r>
      <w:r>
        <w:rPr>
          <w:noProof/>
        </w:rPr>
        <w:tab/>
      </w:r>
      <w:r>
        <w:rPr>
          <w:noProof/>
        </w:rPr>
        <w:fldChar w:fldCharType="begin"/>
      </w:r>
      <w:r>
        <w:rPr>
          <w:noProof/>
        </w:rPr>
        <w:instrText xml:space="preserve"> PAGEREF _Toc117047694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Presentation of tickets or claims</w:t>
      </w:r>
      <w:r>
        <w:rPr>
          <w:noProof/>
        </w:rPr>
        <w:tab/>
      </w:r>
      <w:r>
        <w:rPr>
          <w:noProof/>
        </w:rPr>
        <w:fldChar w:fldCharType="begin"/>
      </w:r>
      <w:r>
        <w:rPr>
          <w:noProof/>
        </w:rPr>
        <w:instrText xml:space="preserve"> PAGEREF _Toc117047695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When refunds of wagers are payable</w:t>
      </w:r>
      <w:r>
        <w:rPr>
          <w:noProof/>
        </w:rPr>
        <w:tab/>
      </w:r>
      <w:r>
        <w:rPr>
          <w:noProof/>
        </w:rPr>
        <w:fldChar w:fldCharType="begin"/>
      </w:r>
      <w:r>
        <w:rPr>
          <w:noProof/>
        </w:rPr>
        <w:instrText xml:space="preserve"> PAGEREF _Toc117047696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7 </w:t>
      </w:r>
      <w:r>
        <w:rPr>
          <w:b w:val="0"/>
          <w:noProof/>
          <w:szCs w:val="30"/>
        </w:rPr>
        <w:t>—</w:t>
      </w:r>
      <w:r>
        <w:rPr>
          <w:noProof/>
          <w:szCs w:val="30"/>
        </w:rPr>
        <w:t> General conditions related to wagers received and transmitted by racing club to RWWA</w:t>
      </w:r>
    </w:p>
    <w:p>
      <w:pPr>
        <w:pStyle w:val="TOC4"/>
        <w:tabs>
          <w:tab w:val="left" w:pos="1701"/>
        </w:tabs>
        <w:rPr>
          <w:noProof/>
          <w:sz w:val="24"/>
          <w:szCs w:val="24"/>
        </w:rPr>
      </w:pPr>
      <w:r>
        <w:rPr>
          <w:noProof/>
          <w:szCs w:val="24"/>
        </w:rPr>
        <w:t>44.</w:t>
      </w:r>
      <w:r>
        <w:rPr>
          <w:noProof/>
          <w:sz w:val="24"/>
          <w:szCs w:val="24"/>
        </w:rPr>
        <w:tab/>
      </w:r>
      <w:r>
        <w:rPr>
          <w:noProof/>
          <w:szCs w:val="24"/>
        </w:rPr>
        <w:t>Authorised racing club may transmit wagers</w:t>
      </w:r>
      <w:r>
        <w:rPr>
          <w:noProof/>
        </w:rPr>
        <w:tab/>
      </w:r>
      <w:r>
        <w:rPr>
          <w:noProof/>
        </w:rPr>
        <w:fldChar w:fldCharType="begin"/>
      </w:r>
      <w:r>
        <w:rPr>
          <w:noProof/>
        </w:rPr>
        <w:instrText xml:space="preserve"> PAGEREF _Toc117047698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Person making wager bound by these regulations and rules of wagering</w:t>
      </w:r>
      <w:r>
        <w:rPr>
          <w:noProof/>
        </w:rPr>
        <w:tab/>
      </w:r>
      <w:r>
        <w:rPr>
          <w:noProof/>
        </w:rPr>
        <w:fldChar w:fldCharType="begin"/>
      </w:r>
      <w:r>
        <w:rPr>
          <w:noProof/>
        </w:rPr>
        <w:instrText xml:space="preserve"> PAGEREF _Toc117047699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Only authorised wagering to be accepted</w:t>
      </w:r>
      <w:r>
        <w:rPr>
          <w:noProof/>
        </w:rPr>
        <w:tab/>
      </w:r>
      <w:r>
        <w:rPr>
          <w:noProof/>
        </w:rPr>
        <w:fldChar w:fldCharType="begin"/>
      </w:r>
      <w:r>
        <w:rPr>
          <w:noProof/>
        </w:rPr>
        <w:instrText xml:space="preserve"> PAGEREF _Toc117047700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Wagers transmitted by racing club to be registered on RWWA’s totalisator</w:t>
      </w:r>
      <w:r>
        <w:rPr>
          <w:noProof/>
        </w:rPr>
        <w:tab/>
      </w:r>
      <w:r>
        <w:rPr>
          <w:noProof/>
        </w:rPr>
        <w:fldChar w:fldCharType="begin"/>
      </w:r>
      <w:r>
        <w:rPr>
          <w:noProof/>
        </w:rPr>
        <w:instrText xml:space="preserve"> PAGEREF _Toc117047701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Apportionment of profit or loss</w:t>
      </w:r>
      <w:r>
        <w:rPr>
          <w:noProof/>
        </w:rPr>
        <w:tab/>
      </w:r>
      <w:r>
        <w:rPr>
          <w:noProof/>
        </w:rPr>
        <w:fldChar w:fldCharType="begin"/>
      </w:r>
      <w:r>
        <w:rPr>
          <w:noProof/>
        </w:rPr>
        <w:instrText xml:space="preserve"> PAGEREF _Toc117047702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References to pool conducted by RWWA</w:t>
      </w:r>
      <w:r>
        <w:rPr>
          <w:noProof/>
        </w:rPr>
        <w:tab/>
      </w:r>
      <w:r>
        <w:rPr>
          <w:noProof/>
        </w:rPr>
        <w:fldChar w:fldCharType="begin"/>
      </w:r>
      <w:r>
        <w:rPr>
          <w:noProof/>
        </w:rPr>
        <w:instrText xml:space="preserve"> PAGEREF _Toc117047703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30"/>
        </w:rPr>
        <w:t>Part 8 — Wagering accounts</w:t>
      </w:r>
    </w:p>
    <w:p>
      <w:pPr>
        <w:pStyle w:val="TOC4"/>
        <w:tabs>
          <w:tab w:val="left" w:pos="1701"/>
        </w:tabs>
        <w:rPr>
          <w:noProof/>
          <w:sz w:val="24"/>
          <w:szCs w:val="24"/>
        </w:rPr>
      </w:pPr>
      <w:r>
        <w:rPr>
          <w:noProof/>
          <w:szCs w:val="24"/>
        </w:rPr>
        <w:t>50.</w:t>
      </w:r>
      <w:r>
        <w:rPr>
          <w:noProof/>
          <w:sz w:val="24"/>
          <w:szCs w:val="24"/>
        </w:rPr>
        <w:tab/>
      </w:r>
      <w:r>
        <w:rPr>
          <w:noProof/>
          <w:szCs w:val="24"/>
        </w:rPr>
        <w:t>Procedure for establishing wagering account</w:t>
      </w:r>
      <w:r>
        <w:rPr>
          <w:noProof/>
        </w:rPr>
        <w:tab/>
      </w:r>
      <w:r>
        <w:rPr>
          <w:noProof/>
        </w:rPr>
        <w:fldChar w:fldCharType="begin"/>
      </w:r>
      <w:r>
        <w:rPr>
          <w:noProof/>
        </w:rPr>
        <w:instrText xml:space="preserve"> PAGEREF _Toc117047705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Procedure for keeping, maintaining, increasing or renewing a wagering account</w:t>
      </w:r>
      <w:r>
        <w:rPr>
          <w:noProof/>
        </w:rPr>
        <w:tab/>
      </w:r>
      <w:r>
        <w:rPr>
          <w:noProof/>
        </w:rPr>
        <w:fldChar w:fldCharType="begin"/>
      </w:r>
      <w:r>
        <w:rPr>
          <w:noProof/>
        </w:rPr>
        <w:instrText xml:space="preserve"> PAGEREF _Toc117047706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Recording of wagers against a wagering account</w:t>
      </w:r>
      <w:r>
        <w:rPr>
          <w:noProof/>
        </w:rPr>
        <w:tab/>
      </w:r>
      <w:r>
        <w:rPr>
          <w:noProof/>
        </w:rPr>
        <w:fldChar w:fldCharType="begin"/>
      </w:r>
      <w:r>
        <w:rPr>
          <w:noProof/>
        </w:rPr>
        <w:instrText xml:space="preserve"> PAGEREF _Toc117047707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Crediting of dividends against a wagering account</w:t>
      </w:r>
      <w:r>
        <w:rPr>
          <w:noProof/>
        </w:rPr>
        <w:tab/>
      </w:r>
      <w:r>
        <w:rPr>
          <w:noProof/>
        </w:rPr>
        <w:fldChar w:fldCharType="begin"/>
      </w:r>
      <w:r>
        <w:rPr>
          <w:noProof/>
        </w:rPr>
        <w:instrText xml:space="preserve"> PAGEREF _Toc117047708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Wagering accounts to be disposed of in accordance with the instructions</w:t>
      </w:r>
      <w:r>
        <w:rPr>
          <w:noProof/>
        </w:rPr>
        <w:tab/>
      </w:r>
      <w:r>
        <w:rPr>
          <w:noProof/>
        </w:rPr>
        <w:fldChar w:fldCharType="begin"/>
      </w:r>
      <w:r>
        <w:rPr>
          <w:noProof/>
        </w:rPr>
        <w:instrText xml:space="preserve"> PAGEREF _Toc117047709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General conditions applicable to wagering accounts</w:t>
      </w:r>
      <w:r>
        <w:rPr>
          <w:noProof/>
        </w:rPr>
        <w:tab/>
      </w:r>
      <w:r>
        <w:rPr>
          <w:noProof/>
        </w:rPr>
        <w:fldChar w:fldCharType="begin"/>
      </w:r>
      <w:r>
        <w:rPr>
          <w:noProof/>
        </w:rPr>
        <w:instrText xml:space="preserve"> PAGEREF _Toc117047710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General conditions on statements of account</w:t>
      </w:r>
      <w:r>
        <w:rPr>
          <w:noProof/>
        </w:rPr>
        <w:tab/>
      </w:r>
      <w:r>
        <w:rPr>
          <w:noProof/>
        </w:rPr>
        <w:fldChar w:fldCharType="begin"/>
      </w:r>
      <w:r>
        <w:rPr>
          <w:noProof/>
        </w:rPr>
        <w:instrText xml:space="preserve"> PAGEREF _Toc117047711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General provisions relating to wagers made by post</w:t>
      </w:r>
      <w:r>
        <w:rPr>
          <w:noProof/>
        </w:rPr>
        <w:tab/>
      </w:r>
      <w:r>
        <w:rPr>
          <w:noProof/>
        </w:rPr>
        <w:fldChar w:fldCharType="begin"/>
      </w:r>
      <w:r>
        <w:rPr>
          <w:noProof/>
        </w:rPr>
        <w:instrText xml:space="preserve"> PAGEREF _Toc117047712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Crediting and payment of dividends and refunds on wagering accounts and wagers made by post</w:t>
      </w:r>
      <w:r>
        <w:rPr>
          <w:noProof/>
        </w:rPr>
        <w:tab/>
      </w:r>
      <w:r>
        <w:rPr>
          <w:noProof/>
        </w:rPr>
        <w:fldChar w:fldCharType="begin"/>
      </w:r>
      <w:r>
        <w:rPr>
          <w:noProof/>
        </w:rPr>
        <w:instrText xml:space="preserve"> PAGEREF _Toc117047713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Wagers by telephone or other electronic means</w:t>
      </w:r>
      <w:r>
        <w:rPr>
          <w:noProof/>
        </w:rPr>
        <w:tab/>
      </w:r>
      <w:r>
        <w:rPr>
          <w:noProof/>
        </w:rPr>
        <w:fldChar w:fldCharType="begin"/>
      </w:r>
      <w:r>
        <w:rPr>
          <w:noProof/>
        </w:rPr>
        <w:instrText xml:space="preserve"> PAGEREF _Toc117047714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Errors in wagers by telephone or other electronic means</w:t>
      </w:r>
      <w:r>
        <w:rPr>
          <w:noProof/>
          <w:szCs w:val="24"/>
        </w:rPr>
        <w:tab/>
      </w:r>
      <w:r>
        <w:rPr>
          <w:noProof/>
        </w:rPr>
        <w:tab/>
      </w:r>
      <w:r>
        <w:rPr>
          <w:noProof/>
        </w:rPr>
        <w:fldChar w:fldCharType="begin"/>
      </w:r>
      <w:r>
        <w:rPr>
          <w:noProof/>
        </w:rPr>
        <w:instrText xml:space="preserve"> PAGEREF _Toc117047715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9 — General provisions on wagering</w:t>
      </w:r>
    </w:p>
    <w:p>
      <w:pPr>
        <w:pStyle w:val="TOC4"/>
        <w:tabs>
          <w:tab w:val="left" w:pos="1701"/>
        </w:tabs>
        <w:rPr>
          <w:noProof/>
          <w:sz w:val="24"/>
          <w:szCs w:val="24"/>
        </w:rPr>
      </w:pPr>
      <w:r>
        <w:rPr>
          <w:noProof/>
          <w:szCs w:val="24"/>
        </w:rPr>
        <w:t>61.</w:t>
      </w:r>
      <w:r>
        <w:rPr>
          <w:noProof/>
          <w:sz w:val="24"/>
          <w:szCs w:val="24"/>
        </w:rPr>
        <w:tab/>
      </w:r>
      <w:r>
        <w:rPr>
          <w:noProof/>
          <w:szCs w:val="24"/>
        </w:rPr>
        <w:t>Closing time for acceptance of wagers</w:t>
      </w:r>
      <w:r>
        <w:rPr>
          <w:noProof/>
        </w:rPr>
        <w:tab/>
      </w:r>
      <w:r>
        <w:rPr>
          <w:noProof/>
        </w:rPr>
        <w:fldChar w:fldCharType="begin"/>
      </w:r>
      <w:r>
        <w:rPr>
          <w:noProof/>
        </w:rPr>
        <w:instrText xml:space="preserve"> PAGEREF _Toc117047717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Totalisator pools — generally</w:t>
      </w:r>
      <w:r>
        <w:rPr>
          <w:noProof/>
        </w:rPr>
        <w:tab/>
      </w:r>
      <w:r>
        <w:rPr>
          <w:noProof/>
        </w:rPr>
        <w:fldChar w:fldCharType="begin"/>
      </w:r>
      <w:r>
        <w:rPr>
          <w:noProof/>
        </w:rPr>
        <w:instrText xml:space="preserve"> PAGEREF _Toc117047718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Communication failure where a combined totalisator pool scheme is conducted</w:t>
      </w:r>
      <w:r>
        <w:rPr>
          <w:noProof/>
        </w:rPr>
        <w:tab/>
      </w:r>
      <w:r>
        <w:rPr>
          <w:noProof/>
        </w:rPr>
        <w:fldChar w:fldCharType="begin"/>
      </w:r>
      <w:r>
        <w:rPr>
          <w:noProof/>
        </w:rPr>
        <w:instrText xml:space="preserve"> PAGEREF _Toc117047719 \h </w:instrText>
      </w:r>
      <w:r>
        <w:rPr>
          <w:noProof/>
        </w:rPr>
      </w:r>
      <w:r>
        <w:rPr>
          <w:noProof/>
        </w:rPr>
        <w:fldChar w:fldCharType="separate"/>
      </w:r>
      <w:r>
        <w:rPr>
          <w:noProof/>
        </w:rPr>
        <w:t>43</w:t>
      </w:r>
      <w:r>
        <w:rPr>
          <w:noProof/>
        </w:rPr>
        <w:fldChar w:fldCharType="end"/>
      </w:r>
    </w:p>
    <w:p>
      <w:pPr>
        <w:pStyle w:val="TOC2"/>
        <w:tabs>
          <w:tab w:val="right" w:leader="dot" w:pos="7086"/>
        </w:tabs>
        <w:rPr>
          <w:b w:val="0"/>
          <w:noProof/>
          <w:sz w:val="24"/>
          <w:szCs w:val="24"/>
        </w:rPr>
      </w:pPr>
      <w:r>
        <w:rPr>
          <w:noProof/>
          <w:szCs w:val="30"/>
        </w:rPr>
        <w:t>Part 10 — Sporting events</w:t>
      </w:r>
    </w:p>
    <w:p>
      <w:pPr>
        <w:pStyle w:val="TOC4"/>
        <w:tabs>
          <w:tab w:val="left" w:pos="1701"/>
        </w:tabs>
        <w:rPr>
          <w:noProof/>
          <w:sz w:val="24"/>
          <w:szCs w:val="24"/>
        </w:rPr>
      </w:pPr>
      <w:r>
        <w:rPr>
          <w:noProof/>
          <w:szCs w:val="24"/>
        </w:rPr>
        <w:t>64.</w:t>
      </w:r>
      <w:r>
        <w:rPr>
          <w:noProof/>
          <w:sz w:val="24"/>
          <w:szCs w:val="24"/>
        </w:rPr>
        <w:tab/>
      </w:r>
      <w:r>
        <w:rPr>
          <w:noProof/>
          <w:szCs w:val="24"/>
        </w:rPr>
        <w:t>RWWA may specify aspects of sporting events</w:t>
      </w:r>
      <w:r>
        <w:rPr>
          <w:noProof/>
        </w:rPr>
        <w:tab/>
      </w:r>
      <w:r>
        <w:rPr>
          <w:noProof/>
        </w:rPr>
        <w:fldChar w:fldCharType="begin"/>
      </w:r>
      <w:r>
        <w:rPr>
          <w:noProof/>
        </w:rPr>
        <w:instrText xml:space="preserve"> PAGEREF _Toc117047721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General conditions relating to the conduct of totalisator pools</w:t>
      </w:r>
      <w:r>
        <w:rPr>
          <w:noProof/>
        </w:rPr>
        <w:tab/>
      </w:r>
      <w:r>
        <w:rPr>
          <w:noProof/>
        </w:rPr>
        <w:fldChar w:fldCharType="begin"/>
      </w:r>
      <w:r>
        <w:rPr>
          <w:noProof/>
        </w:rPr>
        <w:instrText xml:space="preserve"> PAGEREF _Toc117047722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General conditions relating to wagering on games and pools of games</w:t>
      </w:r>
      <w:r>
        <w:rPr>
          <w:noProof/>
        </w:rPr>
        <w:tab/>
      </w:r>
      <w:r>
        <w:rPr>
          <w:noProof/>
        </w:rPr>
        <w:fldChar w:fldCharType="begin"/>
      </w:r>
      <w:r>
        <w:rPr>
          <w:noProof/>
        </w:rPr>
        <w:instrText xml:space="preserve"> PAGEREF _Toc117047723 \h </w:instrText>
      </w:r>
      <w:r>
        <w:rPr>
          <w:noProof/>
        </w:rPr>
      </w:r>
      <w:r>
        <w:rPr>
          <w:noProof/>
        </w:rPr>
        <w:fldChar w:fldCharType="separate"/>
      </w:r>
      <w:r>
        <w:rPr>
          <w:noProof/>
        </w:rPr>
        <w:t>47</w:t>
      </w:r>
      <w:r>
        <w:rPr>
          <w:noProof/>
        </w:rPr>
        <w:fldChar w:fldCharType="end"/>
      </w:r>
    </w:p>
    <w:p>
      <w:pPr>
        <w:pStyle w:val="TOC2"/>
        <w:tabs>
          <w:tab w:val="right" w:leader="dot" w:pos="7086"/>
        </w:tabs>
        <w:rPr>
          <w:b w:val="0"/>
          <w:noProof/>
          <w:sz w:val="24"/>
          <w:szCs w:val="24"/>
        </w:rPr>
      </w:pPr>
      <w:r>
        <w:rPr>
          <w:noProof/>
          <w:szCs w:val="30"/>
        </w:rPr>
        <w:t>Part 11 — Totalisator agencies</w:t>
      </w:r>
    </w:p>
    <w:p>
      <w:pPr>
        <w:pStyle w:val="TOC4"/>
        <w:tabs>
          <w:tab w:val="left" w:pos="1701"/>
        </w:tabs>
        <w:rPr>
          <w:noProof/>
          <w:sz w:val="24"/>
          <w:szCs w:val="24"/>
        </w:rPr>
      </w:pPr>
      <w:r>
        <w:rPr>
          <w:noProof/>
          <w:szCs w:val="24"/>
        </w:rPr>
        <w:t>67.</w:t>
      </w:r>
      <w:r>
        <w:rPr>
          <w:noProof/>
          <w:sz w:val="24"/>
          <w:szCs w:val="24"/>
        </w:rPr>
        <w:tab/>
      </w:r>
      <w:r>
        <w:rPr>
          <w:noProof/>
          <w:szCs w:val="24"/>
        </w:rPr>
        <w:t>Notice of intention to establish long term totalisator agency (s. 52(2))</w:t>
      </w:r>
      <w:r>
        <w:rPr>
          <w:noProof/>
        </w:rPr>
        <w:tab/>
      </w:r>
      <w:r>
        <w:rPr>
          <w:noProof/>
        </w:rPr>
        <w:fldChar w:fldCharType="begin"/>
      </w:r>
      <w:r>
        <w:rPr>
          <w:noProof/>
        </w:rPr>
        <w:instrText xml:space="preserve"> PAGEREF _Toc117047725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Notice of intention to establish temporary totalisator agency (s. 52(2))</w:t>
      </w:r>
      <w:r>
        <w:rPr>
          <w:noProof/>
        </w:rPr>
        <w:tab/>
      </w:r>
      <w:r>
        <w:rPr>
          <w:noProof/>
        </w:rPr>
        <w:fldChar w:fldCharType="begin"/>
      </w:r>
      <w:r>
        <w:rPr>
          <w:noProof/>
        </w:rPr>
        <w:instrText xml:space="preserve"> PAGEREF _Toc117047726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Information on totalisator agencies</w:t>
      </w:r>
      <w:r>
        <w:rPr>
          <w:noProof/>
        </w:rPr>
        <w:tab/>
      </w:r>
      <w:r>
        <w:rPr>
          <w:noProof/>
        </w:rPr>
        <w:fldChar w:fldCharType="begin"/>
      </w:r>
      <w:r>
        <w:rPr>
          <w:noProof/>
        </w:rPr>
        <w:instrText xml:space="preserve"> PAGEREF _Toc117047727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Direction to close or not to establish totalisator agency (s. 52(3))</w:t>
      </w:r>
      <w:r>
        <w:rPr>
          <w:noProof/>
        </w:rPr>
        <w:tab/>
      </w:r>
      <w:r>
        <w:rPr>
          <w:noProof/>
        </w:rPr>
        <w:fldChar w:fldCharType="begin"/>
      </w:r>
      <w:r>
        <w:rPr>
          <w:noProof/>
        </w:rPr>
        <w:instrText xml:space="preserve"> PAGEREF _Toc117047728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30"/>
        </w:rPr>
        <w:t>Part 12</w:t>
      </w:r>
      <w:r>
        <w:rPr>
          <w:b w:val="0"/>
          <w:noProof/>
          <w:szCs w:val="30"/>
        </w:rPr>
        <w:t> </w:t>
      </w:r>
      <w:r>
        <w:rPr>
          <w:noProof/>
          <w:szCs w:val="30"/>
        </w:rPr>
        <w:t>—</w:t>
      </w:r>
      <w:r>
        <w:rPr>
          <w:b w:val="0"/>
          <w:noProof/>
          <w:szCs w:val="30"/>
        </w:rPr>
        <w:t> </w:t>
      </w:r>
      <w:r>
        <w:rPr>
          <w:noProof/>
          <w:szCs w:val="30"/>
        </w:rPr>
        <w:t>Consultation</w:t>
      </w:r>
    </w:p>
    <w:p>
      <w:pPr>
        <w:pStyle w:val="TOC4"/>
        <w:tabs>
          <w:tab w:val="left" w:pos="1701"/>
        </w:tabs>
        <w:rPr>
          <w:noProof/>
          <w:sz w:val="24"/>
          <w:szCs w:val="24"/>
        </w:rPr>
      </w:pPr>
      <w:r>
        <w:rPr>
          <w:noProof/>
          <w:szCs w:val="24"/>
        </w:rPr>
        <w:t>71.</w:t>
      </w:r>
      <w:r>
        <w:rPr>
          <w:noProof/>
          <w:sz w:val="24"/>
          <w:szCs w:val="24"/>
        </w:rPr>
        <w:tab/>
      </w:r>
      <w:r>
        <w:rPr>
          <w:noProof/>
          <w:szCs w:val="24"/>
        </w:rPr>
        <w:t>Consultation (s. 82)</w:t>
      </w:r>
      <w:r>
        <w:rPr>
          <w:noProof/>
        </w:rPr>
        <w:tab/>
      </w:r>
      <w:r>
        <w:rPr>
          <w:noProof/>
        </w:rPr>
        <w:fldChar w:fldCharType="begin"/>
      </w:r>
      <w:r>
        <w:rPr>
          <w:noProof/>
        </w:rPr>
        <w:instrText xml:space="preserve"> PAGEREF _Toc117047730 \h </w:instrText>
      </w:r>
      <w:r>
        <w:rPr>
          <w:noProof/>
        </w:rPr>
      </w:r>
      <w:r>
        <w:rPr>
          <w:noProof/>
        </w:rPr>
        <w:fldChar w:fldCharType="separate"/>
      </w:r>
      <w:r>
        <w:rPr>
          <w:noProof/>
        </w:rPr>
        <w:t>50</w:t>
      </w:r>
      <w:r>
        <w:rPr>
          <w:noProof/>
        </w:rPr>
        <w:fldChar w:fldCharType="end"/>
      </w:r>
    </w:p>
    <w:p>
      <w:pPr>
        <w:pStyle w:val="TOC2"/>
        <w:tabs>
          <w:tab w:val="right" w:leader="dot" w:pos="7086"/>
        </w:tabs>
        <w:rPr>
          <w:b w:val="0"/>
          <w:noProof/>
          <w:sz w:val="24"/>
          <w:szCs w:val="24"/>
        </w:rPr>
      </w:pPr>
      <w:r>
        <w:rPr>
          <w:noProof/>
          <w:szCs w:val="30"/>
        </w:rPr>
        <w:t>Part 13</w:t>
      </w:r>
      <w:r>
        <w:rPr>
          <w:b w:val="0"/>
          <w:noProof/>
          <w:szCs w:val="30"/>
        </w:rPr>
        <w:t> </w:t>
      </w:r>
      <w:r>
        <w:rPr>
          <w:noProof/>
          <w:szCs w:val="30"/>
        </w:rPr>
        <w:t>—</w:t>
      </w:r>
      <w:r>
        <w:rPr>
          <w:b w:val="0"/>
          <w:noProof/>
          <w:szCs w:val="30"/>
        </w:rPr>
        <w:t> </w:t>
      </w:r>
      <w:r>
        <w:rPr>
          <w:noProof/>
          <w:szCs w:val="30"/>
        </w:rPr>
        <w:t>Disciplinary action — Racing</w:t>
      </w:r>
    </w:p>
    <w:p>
      <w:pPr>
        <w:pStyle w:val="TOC4"/>
        <w:tabs>
          <w:tab w:val="left" w:pos="1701"/>
        </w:tabs>
        <w:rPr>
          <w:noProof/>
          <w:sz w:val="24"/>
          <w:szCs w:val="24"/>
        </w:rPr>
      </w:pPr>
      <w:r>
        <w:rPr>
          <w:noProof/>
          <w:szCs w:val="24"/>
        </w:rPr>
        <w:t>72.</w:t>
      </w:r>
      <w:r>
        <w:rPr>
          <w:noProof/>
          <w:sz w:val="24"/>
          <w:szCs w:val="24"/>
        </w:rPr>
        <w:tab/>
      </w:r>
      <w:r>
        <w:rPr>
          <w:noProof/>
          <w:szCs w:val="24"/>
        </w:rPr>
        <w:t>Warning off</w:t>
      </w:r>
      <w:r>
        <w:rPr>
          <w:noProof/>
        </w:rPr>
        <w:tab/>
      </w:r>
      <w:r>
        <w:rPr>
          <w:noProof/>
        </w:rPr>
        <w:fldChar w:fldCharType="begin"/>
      </w:r>
      <w:r>
        <w:rPr>
          <w:noProof/>
        </w:rPr>
        <w:instrText xml:space="preserve"> PAGEREF _Toc117047732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Failure to comply with a warning off</w:t>
      </w:r>
      <w:r>
        <w:rPr>
          <w:noProof/>
        </w:rPr>
        <w:tab/>
      </w:r>
      <w:r>
        <w:rPr>
          <w:noProof/>
        </w:rPr>
        <w:fldChar w:fldCharType="begin"/>
      </w:r>
      <w:r>
        <w:rPr>
          <w:noProof/>
        </w:rPr>
        <w:instrText xml:space="preserve"> PAGEREF _Toc117047733 \h </w:instrText>
      </w:r>
      <w:r>
        <w:rPr>
          <w:noProof/>
        </w:rPr>
      </w:r>
      <w:r>
        <w:rPr>
          <w:noProof/>
        </w:rPr>
        <w:fldChar w:fldCharType="separate"/>
      </w:r>
      <w:r>
        <w:rPr>
          <w:noProof/>
        </w:rPr>
        <w:t>53</w:t>
      </w:r>
      <w:r>
        <w:rPr>
          <w:noProof/>
        </w:rPr>
        <w:fldChar w:fldCharType="end"/>
      </w:r>
    </w:p>
    <w:p>
      <w:pPr>
        <w:pStyle w:val="TOC5"/>
        <w:rPr>
          <w:b w:val="0"/>
          <w:noProof/>
          <w:sz w:val="24"/>
          <w:szCs w:val="24"/>
        </w:rPr>
      </w:pPr>
      <w:r>
        <w:rPr>
          <w:noProof/>
          <w:szCs w:val="28"/>
        </w:rPr>
        <w:t>Schedule 1 — Fees</w:t>
      </w:r>
      <w:r>
        <w:rPr>
          <w:noProof/>
        </w:rPr>
        <w:tab/>
      </w:r>
      <w:r>
        <w:rPr>
          <w:b w:val="0"/>
          <w:noProof/>
          <w:sz w:val="22"/>
        </w:rPr>
        <w:fldChar w:fldCharType="begin"/>
      </w:r>
      <w:r>
        <w:rPr>
          <w:b w:val="0"/>
          <w:noProof/>
          <w:sz w:val="22"/>
        </w:rPr>
        <w:instrText xml:space="preserve"> PAGEREF _Toc117047734 \h </w:instrText>
      </w:r>
      <w:r>
        <w:rPr>
          <w:b w:val="0"/>
          <w:noProof/>
          <w:sz w:val="22"/>
        </w:rPr>
      </w:r>
      <w:r>
        <w:rPr>
          <w:b w:val="0"/>
          <w:noProof/>
          <w:sz w:val="22"/>
        </w:rPr>
        <w:fldChar w:fldCharType="separate"/>
      </w:r>
      <w:r>
        <w:rPr>
          <w:b w:val="0"/>
          <w:noProof/>
          <w:sz w:val="22"/>
        </w:rPr>
        <w:t>54</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_Toc117047736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_Toc117047737 \h </w:instrText>
      </w:r>
      <w:r>
        <w:rPr>
          <w:noProof/>
        </w:rPr>
      </w:r>
      <w:r>
        <w:rPr>
          <w:noProof/>
        </w:rPr>
        <w:fldChar w:fldCharType="separate"/>
      </w:r>
      <w:r>
        <w:rPr>
          <w:noProof/>
        </w:rPr>
        <w:t>55</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1" w:name="_Toc116990465"/>
      <w:bookmarkStart w:id="2" w:name="_Toc117047648"/>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44995631"/>
      <w:bookmarkStart w:id="10" w:name="_Toc117047649"/>
      <w:r>
        <w:rPr>
          <w:rStyle w:val="CharSectno"/>
        </w:rPr>
        <w:t>1</w:t>
      </w:r>
      <w:r>
        <w:t>.</w:t>
      </w:r>
      <w:r>
        <w:tab/>
        <w:t>Citation</w:t>
      </w:r>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44995632"/>
      <w:bookmarkStart w:id="18" w:name="_Toc11704765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pPr>
      <w:bookmarkStart w:id="19" w:name="_Toc44995633"/>
      <w:bookmarkStart w:id="20" w:name="_Toc117047651"/>
      <w:r>
        <w:rPr>
          <w:rStyle w:val="CharSectno"/>
        </w:rPr>
        <w:t>3</w:t>
      </w:r>
      <w:r>
        <w:t>.</w:t>
      </w:r>
      <w:r>
        <w:tab/>
        <w:t>Meaning of terms used in these regulations</w:t>
      </w:r>
      <w:bookmarkEnd w:id="19"/>
      <w:bookmarkEnd w:id="20"/>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w:t>
      </w:r>
    </w:p>
    <w:p>
      <w:pPr>
        <w:pStyle w:val="Heading2"/>
      </w:pPr>
      <w:bookmarkStart w:id="21" w:name="_Toc116990469"/>
      <w:bookmarkStart w:id="22" w:name="_Toc117047652"/>
      <w:r>
        <w:rPr>
          <w:rStyle w:val="CharPartNo"/>
        </w:rPr>
        <w:t>Part 2</w:t>
      </w:r>
      <w:r>
        <w:rPr>
          <w:rStyle w:val="CharDivNo"/>
        </w:rPr>
        <w:t> </w:t>
      </w:r>
      <w:r>
        <w:t>—</w:t>
      </w:r>
      <w:r>
        <w:rPr>
          <w:rStyle w:val="CharDivText"/>
        </w:rPr>
        <w:t> </w:t>
      </w:r>
      <w:r>
        <w:rPr>
          <w:rStyle w:val="CharPartText"/>
        </w:rPr>
        <w:t>Licensing of directors</w:t>
      </w:r>
      <w:bookmarkEnd w:id="21"/>
      <w:bookmarkEnd w:id="22"/>
    </w:p>
    <w:p>
      <w:pPr>
        <w:pStyle w:val="Heading5"/>
      </w:pPr>
      <w:bookmarkStart w:id="23" w:name="_Toc44995634"/>
      <w:bookmarkStart w:id="24" w:name="_Toc117047653"/>
      <w:r>
        <w:rPr>
          <w:rStyle w:val="CharSectno"/>
        </w:rPr>
        <w:t>4</w:t>
      </w:r>
      <w:r>
        <w:t>.</w:t>
      </w:r>
      <w:r>
        <w:tab/>
        <w:t>Notifications by RWWA to Commission</w:t>
      </w:r>
      <w:bookmarkEnd w:id="23"/>
      <w:bookmarkEnd w:id="24"/>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25" w:name="_Hlt44816361"/>
      <w:bookmarkStart w:id="26" w:name="_Toc44995635"/>
      <w:bookmarkStart w:id="27" w:name="_Toc117047654"/>
      <w:bookmarkEnd w:id="25"/>
      <w:r>
        <w:rPr>
          <w:rStyle w:val="CharSectno"/>
        </w:rPr>
        <w:t>5</w:t>
      </w:r>
      <w:r>
        <w:t>.</w:t>
      </w:r>
      <w:r>
        <w:tab/>
        <w:t>Application for licence</w:t>
      </w:r>
      <w:bookmarkEnd w:id="26"/>
      <w:bookmarkEnd w:id="27"/>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8" w:name="_Toc44995636"/>
      <w:bookmarkStart w:id="29" w:name="_Toc117047655"/>
      <w:r>
        <w:rPr>
          <w:rStyle w:val="CharSectno"/>
        </w:rPr>
        <w:t>6</w:t>
      </w:r>
      <w:r>
        <w:t>.</w:t>
      </w:r>
      <w:r>
        <w:tab/>
        <w:t>Form of application</w:t>
      </w:r>
      <w:bookmarkEnd w:id="28"/>
      <w:bookmarkEnd w:id="29"/>
    </w:p>
    <w:p>
      <w:pPr>
        <w:pStyle w:val="Subsection"/>
      </w:pPr>
      <w:r>
        <w:tab/>
      </w:r>
      <w:bookmarkStart w:id="30" w:name="_Hlt44815682"/>
      <w:bookmarkEnd w:id="30"/>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31" w:name="_Hlt44815639"/>
      <w:r>
        <w:t>1</w:t>
      </w:r>
      <w:bookmarkEnd w:id="31"/>
      <w:r>
        <w:t>; and</w:t>
      </w:r>
    </w:p>
    <w:p>
      <w:pPr>
        <w:pStyle w:val="Indenti"/>
      </w:pPr>
      <w:r>
        <w:tab/>
        <w:t>(ii)</w:t>
      </w:r>
      <w:r>
        <w:tab/>
        <w:t>any records that the Commission may require either generally or in relation to a specific person or matter.</w:t>
      </w:r>
    </w:p>
    <w:p>
      <w:pPr>
        <w:pStyle w:val="Subsection"/>
      </w:pPr>
      <w:r>
        <w:tab/>
      </w:r>
      <w:bookmarkStart w:id="32" w:name="_Hlt44815686"/>
      <w:bookmarkEnd w:id="32"/>
      <w:r>
        <w:t>(2)</w:t>
      </w:r>
      <w:r>
        <w:tab/>
        <w:t>The Commission may at any time request an applicant to provide further information or further records and the applicant must comply with that request.</w:t>
      </w:r>
    </w:p>
    <w:p>
      <w:pPr>
        <w:pStyle w:val="Heading5"/>
      </w:pPr>
      <w:bookmarkStart w:id="33" w:name="_Toc44995637"/>
      <w:bookmarkStart w:id="34" w:name="_Toc117047656"/>
      <w:r>
        <w:rPr>
          <w:rStyle w:val="CharSectno"/>
        </w:rPr>
        <w:t>7</w:t>
      </w:r>
      <w:r>
        <w:t>.</w:t>
      </w:r>
      <w:r>
        <w:tab/>
        <w:t>Investigation by police</w:t>
      </w:r>
      <w:bookmarkEnd w:id="33"/>
      <w:bookmarkEnd w:id="3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5" w:name="_Toc44995638"/>
      <w:bookmarkStart w:id="36" w:name="_Toc117047657"/>
      <w:r>
        <w:rPr>
          <w:rStyle w:val="CharSectno"/>
        </w:rPr>
        <w:t>8</w:t>
      </w:r>
      <w:r>
        <w:t>.</w:t>
      </w:r>
      <w:r>
        <w:tab/>
        <w:t>Commission may licence, or refuse to licence, director</w:t>
      </w:r>
      <w:bookmarkEnd w:id="35"/>
      <w:bookmarkEnd w:id="36"/>
    </w:p>
    <w:p>
      <w:pPr>
        <w:pStyle w:val="Subsection"/>
      </w:pPr>
      <w:r>
        <w:tab/>
        <w:t>(1)</w:t>
      </w:r>
      <w:r>
        <w:tab/>
        <w:t xml:space="preserve">If a director refuses or fails — </w:t>
      </w:r>
    </w:p>
    <w:p>
      <w:pPr>
        <w:pStyle w:val="Indenta"/>
      </w:pPr>
      <w:r>
        <w:tab/>
        <w:t>(a)</w:t>
      </w:r>
      <w:r>
        <w:tab/>
        <w:t>to apply for a licence under regulation </w:t>
      </w:r>
      <w:bookmarkStart w:id="37" w:name="_Hlt44816359"/>
      <w:r>
        <w:t>5</w:t>
      </w:r>
      <w:bookmarkEnd w:id="37"/>
      <w:r>
        <w:t xml:space="preserve"> or for renewal of a licence under regulation </w:t>
      </w:r>
      <w:bookmarkStart w:id="38" w:name="_Hlt44815689"/>
      <w:r>
        <w:t>10</w:t>
      </w:r>
      <w:bookmarkEnd w:id="38"/>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39" w:name="_Toc44995639"/>
      <w:bookmarkStart w:id="40" w:name="_Toc117047658"/>
      <w:r>
        <w:rPr>
          <w:rStyle w:val="CharSectno"/>
        </w:rPr>
        <w:t>9</w:t>
      </w:r>
      <w:r>
        <w:t>.</w:t>
      </w:r>
      <w:r>
        <w:tab/>
        <w:t>Duration of director’s licence</w:t>
      </w:r>
      <w:bookmarkEnd w:id="39"/>
      <w:bookmarkEnd w:id="40"/>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41" w:name="_Hlt44815691"/>
      <w:bookmarkStart w:id="42" w:name="_Toc44995640"/>
      <w:bookmarkStart w:id="43" w:name="_Toc117047659"/>
      <w:bookmarkEnd w:id="41"/>
      <w:r>
        <w:rPr>
          <w:rStyle w:val="CharSectno"/>
        </w:rPr>
        <w:t>10</w:t>
      </w:r>
      <w:r>
        <w:t>.</w:t>
      </w:r>
      <w:r>
        <w:tab/>
        <w:t>Renewal of licence</w:t>
      </w:r>
      <w:bookmarkEnd w:id="42"/>
      <w:bookmarkEnd w:id="43"/>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44" w:name="_Toc44995641"/>
      <w:bookmarkStart w:id="45" w:name="_Toc117047660"/>
      <w:r>
        <w:rPr>
          <w:rStyle w:val="CharSectno"/>
        </w:rPr>
        <w:t>11</w:t>
      </w:r>
      <w:r>
        <w:t>.</w:t>
      </w:r>
      <w:r>
        <w:tab/>
        <w:t>Further investigation</w:t>
      </w:r>
      <w:bookmarkEnd w:id="44"/>
      <w:bookmarkEnd w:id="45"/>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46" w:name="_Toc116990478"/>
      <w:bookmarkStart w:id="47" w:name="_Toc117047661"/>
      <w:r>
        <w:rPr>
          <w:rStyle w:val="CharPartNo"/>
        </w:rPr>
        <w:t>Part 3</w:t>
      </w:r>
      <w:r>
        <w:rPr>
          <w:rStyle w:val="CharDivNo"/>
        </w:rPr>
        <w:t> </w:t>
      </w:r>
      <w:r>
        <w:t>—</w:t>
      </w:r>
      <w:r>
        <w:rPr>
          <w:rStyle w:val="CharDivText"/>
        </w:rPr>
        <w:t> </w:t>
      </w:r>
      <w:r>
        <w:rPr>
          <w:rStyle w:val="CharPartText"/>
        </w:rPr>
        <w:t>Licensing of RWWA key employees</w:t>
      </w:r>
      <w:bookmarkEnd w:id="46"/>
      <w:bookmarkEnd w:id="47"/>
    </w:p>
    <w:p>
      <w:pPr>
        <w:pStyle w:val="Heading5"/>
      </w:pPr>
      <w:bookmarkStart w:id="48" w:name="_Toc44995642"/>
      <w:bookmarkStart w:id="49" w:name="_Toc117047662"/>
      <w:r>
        <w:rPr>
          <w:rStyle w:val="CharSectno"/>
        </w:rPr>
        <w:t>12</w:t>
      </w:r>
      <w:r>
        <w:t>.</w:t>
      </w:r>
      <w:r>
        <w:tab/>
        <w:t>RWWA key employees taken to hold provisional licence</w:t>
      </w:r>
      <w:bookmarkEnd w:id="48"/>
      <w:bookmarkEnd w:id="49"/>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50" w:name="_Toc44995643"/>
      <w:bookmarkStart w:id="51" w:name="_Toc117047663"/>
      <w:r>
        <w:rPr>
          <w:rStyle w:val="CharSectno"/>
        </w:rPr>
        <w:t>13</w:t>
      </w:r>
      <w:r>
        <w:t>.</w:t>
      </w:r>
      <w:r>
        <w:tab/>
        <w:t>Application for employee’s licence</w:t>
      </w:r>
      <w:bookmarkEnd w:id="50"/>
      <w:bookmarkEnd w:id="51"/>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52" w:name="_Hlt44757577"/>
      <w:bookmarkEnd w:id="52"/>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53" w:name="_Toc44995644"/>
      <w:bookmarkStart w:id="54" w:name="_Toc117047664"/>
      <w:r>
        <w:rPr>
          <w:rStyle w:val="CharSectno"/>
        </w:rPr>
        <w:t>14</w:t>
      </w:r>
      <w:r>
        <w:t>.</w:t>
      </w:r>
      <w:r>
        <w:tab/>
        <w:t>Investigation by police</w:t>
      </w:r>
      <w:bookmarkEnd w:id="53"/>
      <w:bookmarkEnd w:id="54"/>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55" w:name="_Hlt44816333"/>
      <w:bookmarkStart w:id="56" w:name="_Toc44995645"/>
      <w:bookmarkStart w:id="57" w:name="_Toc117047665"/>
      <w:bookmarkEnd w:id="55"/>
      <w:r>
        <w:rPr>
          <w:rStyle w:val="CharSectno"/>
        </w:rPr>
        <w:t>15</w:t>
      </w:r>
      <w:r>
        <w:t>.</w:t>
      </w:r>
      <w:r>
        <w:tab/>
        <w:t>Commission may licence, or refuse to licence, employee</w:t>
      </w:r>
      <w:bookmarkEnd w:id="56"/>
      <w:bookmarkEnd w:id="57"/>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58" w:name="_Toc44995646"/>
      <w:bookmarkStart w:id="59" w:name="_Toc117047666"/>
      <w:r>
        <w:rPr>
          <w:rStyle w:val="CharSectno"/>
        </w:rPr>
        <w:t>16</w:t>
      </w:r>
      <w:r>
        <w:t>.</w:t>
      </w:r>
      <w:r>
        <w:tab/>
        <w:t>Person may reapply for licence</w:t>
      </w:r>
      <w:bookmarkEnd w:id="58"/>
      <w:bookmarkEnd w:id="59"/>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60" w:name="_Toc44995647"/>
      <w:bookmarkStart w:id="61" w:name="_Toc117047667"/>
      <w:r>
        <w:rPr>
          <w:rStyle w:val="CharSectno"/>
        </w:rPr>
        <w:t>17</w:t>
      </w:r>
      <w:r>
        <w:t>.</w:t>
      </w:r>
      <w:r>
        <w:tab/>
        <w:t>RWWA must not employ person who has been refused an employee’s licence</w:t>
      </w:r>
      <w:bookmarkEnd w:id="60"/>
      <w:bookmarkEnd w:id="61"/>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62" w:name="_Toc44995648"/>
      <w:bookmarkStart w:id="63" w:name="_Toc117047668"/>
      <w:r>
        <w:rPr>
          <w:rStyle w:val="CharSectno"/>
        </w:rPr>
        <w:t>18</w:t>
      </w:r>
      <w:r>
        <w:t>.</w:t>
      </w:r>
      <w:r>
        <w:tab/>
        <w:t>Duration of employee’s licence</w:t>
      </w:r>
      <w:bookmarkEnd w:id="62"/>
      <w:bookmarkEnd w:id="63"/>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64" w:name="_Toc44995649"/>
      <w:bookmarkStart w:id="65" w:name="_Toc117047669"/>
      <w:r>
        <w:rPr>
          <w:rStyle w:val="CharSectno"/>
        </w:rPr>
        <w:t>19</w:t>
      </w:r>
      <w:r>
        <w:t>.</w:t>
      </w:r>
      <w:r>
        <w:tab/>
        <w:t>Disciplinary action</w:t>
      </w:r>
      <w:bookmarkEnd w:id="64"/>
      <w:bookmarkEnd w:id="65"/>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66" w:name="_Toc44995650"/>
      <w:bookmarkStart w:id="67" w:name="_Toc117047670"/>
      <w:r>
        <w:rPr>
          <w:rStyle w:val="CharSectno"/>
        </w:rPr>
        <w:t>20</w:t>
      </w:r>
      <w:r>
        <w:t>.</w:t>
      </w:r>
      <w:r>
        <w:tab/>
        <w:t>Surrender of licence</w:t>
      </w:r>
      <w:bookmarkEnd w:id="66"/>
      <w:bookmarkEnd w:id="67"/>
    </w:p>
    <w:p>
      <w:pPr>
        <w:pStyle w:val="Subsection"/>
      </w:pPr>
      <w:r>
        <w:tab/>
      </w:r>
      <w:r>
        <w:tab/>
        <w:t>The holder of an employee’s licence may, by written notice given to the Commission, surrender the licence.</w:t>
      </w:r>
    </w:p>
    <w:p>
      <w:pPr>
        <w:pStyle w:val="Heading5"/>
      </w:pPr>
      <w:bookmarkStart w:id="68" w:name="_Toc44995651"/>
      <w:bookmarkStart w:id="69" w:name="_Toc117047671"/>
      <w:r>
        <w:rPr>
          <w:rStyle w:val="CharSectno"/>
        </w:rPr>
        <w:t>21</w:t>
      </w:r>
      <w:r>
        <w:t>.</w:t>
      </w:r>
      <w:r>
        <w:tab/>
        <w:t>Notification of termination of employment</w:t>
      </w:r>
      <w:bookmarkEnd w:id="68"/>
      <w:bookmarkEnd w:id="69"/>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70" w:name="_Toc44995652"/>
      <w:bookmarkStart w:id="71" w:name="_Toc117047672"/>
      <w:r>
        <w:rPr>
          <w:rStyle w:val="CharSectno"/>
        </w:rPr>
        <w:t>22</w:t>
      </w:r>
      <w:r>
        <w:t>.</w:t>
      </w:r>
      <w:r>
        <w:tab/>
        <w:t>Further investigation</w:t>
      </w:r>
      <w:bookmarkEnd w:id="70"/>
      <w:bookmarkEnd w:id="71"/>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72" w:name="_Toc116990490"/>
      <w:bookmarkStart w:id="73" w:name="_Toc117047673"/>
      <w:r>
        <w:rPr>
          <w:rStyle w:val="CharPartNo"/>
        </w:rPr>
        <w:t>Part 4</w:t>
      </w:r>
      <w:r>
        <w:rPr>
          <w:rStyle w:val="CharDivNo"/>
        </w:rPr>
        <w:t> </w:t>
      </w:r>
      <w:r>
        <w:t>—</w:t>
      </w:r>
      <w:r>
        <w:rPr>
          <w:rStyle w:val="CharDivText"/>
        </w:rPr>
        <w:t> </w:t>
      </w:r>
      <w:r>
        <w:rPr>
          <w:rStyle w:val="CharPartText"/>
        </w:rPr>
        <w:t>Offences</w:t>
      </w:r>
      <w:bookmarkEnd w:id="72"/>
      <w:bookmarkEnd w:id="73"/>
    </w:p>
    <w:p>
      <w:pPr>
        <w:pStyle w:val="Footnoteheading"/>
        <w:tabs>
          <w:tab w:val="left" w:pos="851"/>
        </w:tabs>
        <w:jc w:val="left"/>
      </w:pPr>
      <w:r>
        <w:tab/>
        <w:t>[Heading inserted in Gazette 30 Jan 2004 p. 360.]</w:t>
      </w:r>
    </w:p>
    <w:p>
      <w:pPr>
        <w:pStyle w:val="Heading5"/>
      </w:pPr>
      <w:bookmarkStart w:id="74" w:name="_Toc44995653"/>
      <w:bookmarkStart w:id="75" w:name="_Toc117047674"/>
      <w:r>
        <w:rPr>
          <w:rStyle w:val="CharSectno"/>
        </w:rPr>
        <w:t>23</w:t>
      </w:r>
      <w:r>
        <w:t>.</w:t>
      </w:r>
      <w:r>
        <w:tab/>
        <w:t>Offence relating to misleading information</w:t>
      </w:r>
      <w:bookmarkEnd w:id="74"/>
      <w:bookmarkEnd w:id="75"/>
    </w:p>
    <w:p>
      <w:pPr>
        <w:pStyle w:val="Subsection"/>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pPr>
      <w:bookmarkStart w:id="76" w:name="_Toc44995654"/>
      <w:bookmarkStart w:id="77" w:name="_Toc117047675"/>
      <w:r>
        <w:rPr>
          <w:rStyle w:val="CharSectno"/>
        </w:rPr>
        <w:t>24</w:t>
      </w:r>
      <w:r>
        <w:t>.</w:t>
      </w:r>
      <w:r>
        <w:tab/>
        <w:t>Notification of conviction</w:t>
      </w:r>
      <w:bookmarkEnd w:id="76"/>
      <w:bookmarkEnd w:id="77"/>
    </w:p>
    <w:p>
      <w:pPr>
        <w:pStyle w:val="Subsection"/>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2"/>
      </w:pPr>
      <w:bookmarkStart w:id="78" w:name="_Toc116990493"/>
      <w:bookmarkStart w:id="79" w:name="_Toc117047676"/>
      <w:bookmarkStart w:id="80" w:name="_Toc44995655"/>
      <w:r>
        <w:rPr>
          <w:rStyle w:val="CharPartNo"/>
        </w:rPr>
        <w:t>Part 5</w:t>
      </w:r>
      <w:r>
        <w:rPr>
          <w:rStyle w:val="CharDivNo"/>
        </w:rPr>
        <w:t> </w:t>
      </w:r>
      <w:r>
        <w:t>—</w:t>
      </w:r>
      <w:r>
        <w:rPr>
          <w:rStyle w:val="CharDivText"/>
        </w:rPr>
        <w:t> </w:t>
      </w:r>
      <w:r>
        <w:rPr>
          <w:rStyle w:val="CharPartText"/>
        </w:rPr>
        <w:t>Fees and taxes</w:t>
      </w:r>
      <w:bookmarkEnd w:id="78"/>
      <w:bookmarkEnd w:id="79"/>
    </w:p>
    <w:p>
      <w:pPr>
        <w:pStyle w:val="Footnoteheading"/>
        <w:tabs>
          <w:tab w:val="left" w:pos="851"/>
        </w:tabs>
        <w:jc w:val="left"/>
      </w:pPr>
      <w:r>
        <w:tab/>
        <w:t>[Heading inserted in Gazette 30 Jan 2004 p. 360.]</w:t>
      </w:r>
    </w:p>
    <w:p>
      <w:pPr>
        <w:pStyle w:val="Heading5"/>
      </w:pPr>
      <w:bookmarkStart w:id="81" w:name="_Toc117047677"/>
      <w:r>
        <w:rPr>
          <w:rStyle w:val="CharSectno"/>
        </w:rPr>
        <w:t>25</w:t>
      </w:r>
      <w:r>
        <w:t>.</w:t>
      </w:r>
      <w:r>
        <w:tab/>
        <w:t>Section 53 fee</w:t>
      </w:r>
      <w:bookmarkEnd w:id="80"/>
      <w:bookmarkEnd w:id="81"/>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82" w:name="_Toc117047678"/>
      <w:r>
        <w:rPr>
          <w:rStyle w:val="CharSectno"/>
        </w:rPr>
        <w:t>26</w:t>
      </w:r>
      <w:r>
        <w:t>.</w:t>
      </w:r>
      <w:r>
        <w:tab/>
        <w:t>RWWA wagering tax</w:t>
      </w:r>
      <w:bookmarkEnd w:id="82"/>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r>
      <w:r>
        <w:tab/>
        <w:t>[Regulation 26 inserted in Gazette 30 Jan 2004 p. 360</w:t>
      </w:r>
      <w:r>
        <w:noBreakHyphen/>
        <w:t>1.]</w:t>
      </w:r>
    </w:p>
    <w:p>
      <w:pPr>
        <w:pStyle w:val="Heading2"/>
        <w:rPr>
          <w:b w:val="0"/>
        </w:rPr>
      </w:pPr>
      <w:bookmarkStart w:id="83" w:name="_Toc116990496"/>
      <w:bookmarkStart w:id="84" w:name="_Toc117047679"/>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83"/>
      <w:bookmarkEnd w:id="84"/>
    </w:p>
    <w:p>
      <w:pPr>
        <w:pStyle w:val="Footnoteheading"/>
        <w:tabs>
          <w:tab w:val="left" w:pos="851"/>
        </w:tabs>
        <w:jc w:val="left"/>
      </w:pPr>
      <w:r>
        <w:tab/>
        <w:t>[Heading inserted in Gazette 30 Jan 2004 p. 361.]</w:t>
      </w:r>
    </w:p>
    <w:p>
      <w:pPr>
        <w:pStyle w:val="Heading5"/>
      </w:pPr>
      <w:bookmarkStart w:id="85" w:name="_Toc117047680"/>
      <w:r>
        <w:rPr>
          <w:rStyle w:val="CharSectno"/>
        </w:rPr>
        <w:t>27</w:t>
      </w:r>
      <w:r>
        <w:t>.</w:t>
      </w:r>
      <w:r>
        <w:tab/>
        <w:t>Persons excluded from totalisator agencies</w:t>
      </w:r>
      <w:bookmarkEnd w:id="85"/>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r>
      <w:r>
        <w:tab/>
        <w:t>[Regulation 27 inserted in Gazette 30 Jan 2004 p. 361</w:t>
      </w:r>
      <w:r>
        <w:noBreakHyphen/>
        <w:t>2.]</w:t>
      </w:r>
    </w:p>
    <w:p>
      <w:pPr>
        <w:pStyle w:val="Heading5"/>
      </w:pPr>
      <w:bookmarkStart w:id="86" w:name="_Toc117047681"/>
      <w:r>
        <w:rPr>
          <w:rStyle w:val="CharSectno"/>
        </w:rPr>
        <w:t>28</w:t>
      </w:r>
      <w:r>
        <w:t>.</w:t>
      </w:r>
      <w:r>
        <w:tab/>
        <w:t>Person making wager bound by these regulations, the rules of wagering and instructions</w:t>
      </w:r>
      <w:bookmarkEnd w:id="86"/>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r>
      <w:r>
        <w:tab/>
        <w:t>[Regulation 28 inserted in Gazette 30 Jan 2004 p. 362.]</w:t>
      </w:r>
    </w:p>
    <w:p>
      <w:pPr>
        <w:pStyle w:val="Heading5"/>
      </w:pPr>
      <w:bookmarkStart w:id="87" w:name="_Toc117047682"/>
      <w:r>
        <w:rPr>
          <w:rStyle w:val="CharSectno"/>
        </w:rPr>
        <w:t>29</w:t>
      </w:r>
      <w:r>
        <w:t>.</w:t>
      </w:r>
      <w:r>
        <w:tab/>
        <w:t>Wagers accepted subject to the rules and these regulations</w:t>
      </w:r>
      <w:bookmarkEnd w:id="87"/>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r>
      <w:r>
        <w:tab/>
        <w:t>[Regulation 29 inserted in Gazette 30 Jan 2004 p. 362</w:t>
      </w:r>
      <w:r>
        <w:noBreakHyphen/>
        <w:t>3.]</w:t>
      </w:r>
    </w:p>
    <w:p>
      <w:pPr>
        <w:pStyle w:val="Heading5"/>
      </w:pPr>
      <w:bookmarkStart w:id="88" w:name="_Toc117047683"/>
      <w:r>
        <w:rPr>
          <w:rStyle w:val="CharSectno"/>
        </w:rPr>
        <w:t>30</w:t>
      </w:r>
      <w:r>
        <w:t>.</w:t>
      </w:r>
      <w:r>
        <w:tab/>
        <w:t>All wagers to be 50 cents or multiples of 50 cents</w:t>
      </w:r>
      <w:bookmarkEnd w:id="88"/>
    </w:p>
    <w:p>
      <w:pPr>
        <w:pStyle w:val="Subsection"/>
      </w:pPr>
      <w:r>
        <w:tab/>
        <w:t>(1)</w:t>
      </w:r>
      <w:r>
        <w:tab/>
        <w:t>The minimum wager that may be made with or through RWWA is to be a unit of 50 cents and larger wagers are to be made in multiples of 50 cents.</w:t>
      </w:r>
    </w:p>
    <w:p>
      <w:pPr>
        <w:pStyle w:val="Subsection"/>
      </w:pPr>
      <w:r>
        <w:tab/>
        <w:t>(2)</w:t>
      </w:r>
      <w:r>
        <w:tab/>
        <w:t>Dividends are to be calculated and payable in multiples of 5 cents, rounded down if the dividend declared by reference to one unit of wagering would not be divisible by 5 cents.</w:t>
      </w:r>
    </w:p>
    <w:p>
      <w:pPr>
        <w:pStyle w:val="Footnotesection"/>
      </w:pPr>
      <w:r>
        <w:tab/>
      </w:r>
      <w:r>
        <w:tab/>
        <w:t>[Regulation 30 inserted in Gazette 30 Jan 2004 p. 363</w:t>
      </w:r>
      <w:r>
        <w:noBreakHyphen/>
        <w:t>4.]</w:t>
      </w:r>
    </w:p>
    <w:p>
      <w:pPr>
        <w:pStyle w:val="Heading5"/>
      </w:pPr>
      <w:bookmarkStart w:id="89" w:name="_Toc117047684"/>
      <w:r>
        <w:rPr>
          <w:rStyle w:val="CharSectno"/>
        </w:rPr>
        <w:t>31</w:t>
      </w:r>
      <w:r>
        <w:t>.</w:t>
      </w:r>
      <w:r>
        <w:tab/>
        <w:t>Dividend as declared</w:t>
      </w:r>
      <w:bookmarkEnd w:id="89"/>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deduct the prescribed commission from the gross takings of the totalisator pool;</w:t>
      </w:r>
    </w:p>
    <w:p>
      <w:pPr>
        <w:pStyle w:val="Indenta"/>
      </w:pPr>
      <w:r>
        <w:tab/>
        <w:t>(b)</w:t>
      </w:r>
      <w:r>
        <w:tab/>
        <w:t>add any jackpot under these regulations or the rules of wagering, or any supplementary amount set aside for that purpose under section 103 of the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at 55 cents.</w:t>
      </w:r>
    </w:p>
    <w:p>
      <w:pPr>
        <w:pStyle w:val="Footnotesection"/>
      </w:pPr>
      <w:r>
        <w:tab/>
      </w:r>
      <w:r>
        <w:tab/>
        <w:t>[Regulation 31 inserted in Gazette 30 Jan 2004 p. 364</w:t>
      </w:r>
      <w:r>
        <w:noBreakHyphen/>
        <w:t>5.]</w:t>
      </w:r>
    </w:p>
    <w:p>
      <w:pPr>
        <w:pStyle w:val="Heading5"/>
      </w:pPr>
      <w:bookmarkStart w:id="90" w:name="_Toc117047685"/>
      <w:r>
        <w:rPr>
          <w:rStyle w:val="CharSectno"/>
        </w:rPr>
        <w:t>32</w:t>
      </w:r>
      <w:r>
        <w:t>.</w:t>
      </w:r>
      <w:r>
        <w:tab/>
        <w:t>Wagers may be refused</w:t>
      </w:r>
      <w:bookmarkEnd w:id="90"/>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Footnotesection"/>
      </w:pPr>
      <w:r>
        <w:tab/>
      </w:r>
      <w:r>
        <w:tab/>
        <w:t>[Regulation 32 inserted in Gazette 30 Jan 2004 p. 365.]</w:t>
      </w:r>
    </w:p>
    <w:p>
      <w:pPr>
        <w:pStyle w:val="Heading5"/>
      </w:pPr>
      <w:bookmarkStart w:id="91" w:name="_Toc117047686"/>
      <w:r>
        <w:rPr>
          <w:rStyle w:val="CharSectno"/>
        </w:rPr>
        <w:t>33</w:t>
      </w:r>
      <w:r>
        <w:t>.</w:t>
      </w:r>
      <w:r>
        <w:tab/>
        <w:t>Only authorised wagers to be accepted</w:t>
      </w:r>
      <w:bookmarkEnd w:id="91"/>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r>
      <w:r>
        <w:tab/>
        <w:t>[Regulation 33 inserted in Gazette 30 Jan 2004 p. 365.]</w:t>
      </w:r>
    </w:p>
    <w:p>
      <w:pPr>
        <w:pStyle w:val="Heading5"/>
      </w:pPr>
      <w:bookmarkStart w:id="92" w:name="_Toc117047687"/>
      <w:r>
        <w:rPr>
          <w:rStyle w:val="CharSectno"/>
        </w:rPr>
        <w:t>34</w:t>
      </w:r>
      <w:r>
        <w:t>.</w:t>
      </w:r>
      <w:r>
        <w:tab/>
        <w:t>Hours for opening</w:t>
      </w:r>
      <w:bookmarkEnd w:id="92"/>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accepts wagers or wagers of a particular kind.</w:t>
      </w:r>
    </w:p>
    <w:p>
      <w:pPr>
        <w:pStyle w:val="Footnotesection"/>
      </w:pPr>
      <w:r>
        <w:tab/>
      </w:r>
      <w:r>
        <w:tab/>
        <w:t>[Regulation 34 inserted in Gazette 30 Jan 2004 p. 365</w:t>
      </w:r>
      <w:r>
        <w:noBreakHyphen/>
        <w:t>6.]</w:t>
      </w:r>
    </w:p>
    <w:p>
      <w:pPr>
        <w:pStyle w:val="Heading5"/>
      </w:pPr>
      <w:bookmarkStart w:id="93" w:name="_Toc117047688"/>
      <w:r>
        <w:rPr>
          <w:rStyle w:val="CharSectno"/>
        </w:rPr>
        <w:t>35</w:t>
      </w:r>
      <w:r>
        <w:t>.</w:t>
      </w:r>
      <w:r>
        <w:tab/>
        <w:t>Wagers may be made by various methods</w:t>
      </w:r>
      <w:bookmarkEnd w:id="93"/>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r>
      <w:r>
        <w:tab/>
        <w:t>[Regulation 35 inserted in Gazette 30 Jan 2004 p. 366</w:t>
      </w:r>
      <w:r>
        <w:noBreakHyphen/>
        <w:t>7.]</w:t>
      </w:r>
    </w:p>
    <w:p>
      <w:pPr>
        <w:pStyle w:val="Heading5"/>
      </w:pPr>
      <w:bookmarkStart w:id="94" w:name="_Toc117047689"/>
      <w:r>
        <w:rPr>
          <w:rStyle w:val="CharSectno"/>
        </w:rPr>
        <w:t>36</w:t>
      </w:r>
      <w:r>
        <w:t>.</w:t>
      </w:r>
      <w:r>
        <w:tab/>
        <w:t>Wagers to be properly marked</w:t>
      </w:r>
      <w:bookmarkEnd w:id="94"/>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r>
      <w:r>
        <w:tab/>
        <w:t>[Regulation 36 inserted in Gazette 30 Jan 2004 p. 367.]</w:t>
      </w:r>
    </w:p>
    <w:p>
      <w:pPr>
        <w:pStyle w:val="Heading5"/>
      </w:pPr>
      <w:bookmarkStart w:id="95" w:name="_Toc117047690"/>
      <w:r>
        <w:rPr>
          <w:rStyle w:val="CharSectno"/>
        </w:rPr>
        <w:t>37</w:t>
      </w:r>
      <w:r>
        <w:t>.</w:t>
      </w:r>
      <w:r>
        <w:tab/>
        <w:t>RWWA may decide particulars of wagers</w:t>
      </w:r>
      <w:bookmarkEnd w:id="95"/>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r>
      <w:r>
        <w:tab/>
        <w:t>[Regulation 37 inserted in Gazette 30 Jan 2004 p. 368.]</w:t>
      </w:r>
    </w:p>
    <w:p>
      <w:pPr>
        <w:pStyle w:val="Heading5"/>
      </w:pPr>
      <w:bookmarkStart w:id="96" w:name="_Toc117047691"/>
      <w:r>
        <w:rPr>
          <w:rStyle w:val="CharSectno"/>
        </w:rPr>
        <w:t>38</w:t>
      </w:r>
      <w:r>
        <w:t>.</w:t>
      </w:r>
      <w:r>
        <w:tab/>
        <w:t>Tickets to be properly marked</w:t>
      </w:r>
      <w:bookmarkEnd w:id="96"/>
    </w:p>
    <w:p>
      <w:pPr>
        <w:pStyle w:val="Subsection"/>
      </w:pPr>
      <w:r>
        <w:tab/>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 and the amount of the wager expressed in units of 50 cents.</w:t>
      </w:r>
    </w:p>
    <w:p>
      <w:pPr>
        <w:pStyle w:val="Footnotesection"/>
      </w:pPr>
      <w:r>
        <w:tab/>
      </w:r>
      <w:r>
        <w:tab/>
        <w:t>[Regulation 38 inserted in Gazette 30 Jan 2004 p. 368</w:t>
      </w:r>
      <w:r>
        <w:noBreakHyphen/>
        <w:t>9.]</w:t>
      </w:r>
    </w:p>
    <w:p>
      <w:pPr>
        <w:pStyle w:val="Heading5"/>
      </w:pPr>
      <w:bookmarkStart w:id="97" w:name="_Toc117047692"/>
      <w:r>
        <w:rPr>
          <w:rStyle w:val="CharSectno"/>
        </w:rPr>
        <w:t>39</w:t>
      </w:r>
      <w:r>
        <w:t>.</w:t>
      </w:r>
      <w:r>
        <w:tab/>
        <w:t>RWWA to exhibit notices</w:t>
      </w:r>
      <w:bookmarkEnd w:id="97"/>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r>
      <w:r>
        <w:tab/>
        <w:t>[Regulation 39 inserted in Gazette 30 Jan 2004 p. 369</w:t>
      </w:r>
      <w:r>
        <w:noBreakHyphen/>
        <w:t>70.]</w:t>
      </w:r>
    </w:p>
    <w:p>
      <w:pPr>
        <w:pStyle w:val="Heading5"/>
      </w:pPr>
      <w:bookmarkStart w:id="98" w:name="_Toc117047693"/>
      <w:r>
        <w:rPr>
          <w:rStyle w:val="CharSectno"/>
        </w:rPr>
        <w:t>40</w:t>
      </w:r>
      <w:r>
        <w:t>.</w:t>
      </w:r>
      <w:r>
        <w:tab/>
        <w:t>Correction of errors and omissions, and the giving of certain refunds</w:t>
      </w:r>
      <w:bookmarkEnd w:id="98"/>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Subject to this regulation, the person to whom a ticket is issued by RWWA is taken to accept the ticket issued to that person and to have agreed that the particulars shown are correct, unless the person applies immediately after the issue of the ticket to the person who issued it to have an error or omission rectified.</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r>
      <w:r>
        <w:tab/>
        <w:t>[Regulation 40 inserted in Gazette 30 Jan 2004 p. 370</w:t>
      </w:r>
      <w:r>
        <w:noBreakHyphen/>
        <w:t>1.]</w:t>
      </w:r>
    </w:p>
    <w:p>
      <w:pPr>
        <w:pStyle w:val="Heading5"/>
      </w:pPr>
      <w:bookmarkStart w:id="99" w:name="_Toc117047694"/>
      <w:r>
        <w:rPr>
          <w:rStyle w:val="CharSectno"/>
        </w:rPr>
        <w:t>41</w:t>
      </w:r>
      <w:r>
        <w:t>.</w:t>
      </w:r>
      <w:r>
        <w:tab/>
        <w:t>Time for payment of dividends or refunds for cash wagers</w:t>
      </w:r>
      <w:bookmarkEnd w:id="99"/>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r>
      <w:r>
        <w:tab/>
        <w:t>[Regulation 41 inserted in Gazette 30 Jan 2004 p. 371</w:t>
      </w:r>
      <w:r>
        <w:noBreakHyphen/>
        <w:t>2.]</w:t>
      </w:r>
    </w:p>
    <w:p>
      <w:pPr>
        <w:pStyle w:val="Heading5"/>
      </w:pPr>
      <w:bookmarkStart w:id="100" w:name="_Toc117047695"/>
      <w:r>
        <w:rPr>
          <w:rStyle w:val="CharSectno"/>
        </w:rPr>
        <w:t>42</w:t>
      </w:r>
      <w:r>
        <w:t>.</w:t>
      </w:r>
      <w:r>
        <w:tab/>
        <w:t>Presentation of tickets or claims</w:t>
      </w:r>
      <w:bookmarkEnd w:id="100"/>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r>
      <w:r>
        <w:tab/>
        <w:t>[Regulation 42 inserted in Gazette 30 Jan 2004 p. 372</w:t>
      </w:r>
      <w:r>
        <w:noBreakHyphen/>
        <w:t>3.]</w:t>
      </w:r>
    </w:p>
    <w:p>
      <w:pPr>
        <w:pStyle w:val="Heading5"/>
      </w:pPr>
      <w:bookmarkStart w:id="101" w:name="_Toc117047696"/>
      <w:r>
        <w:rPr>
          <w:rStyle w:val="CharSectno"/>
        </w:rPr>
        <w:t>43</w:t>
      </w:r>
      <w:r>
        <w:t>.</w:t>
      </w:r>
      <w:r>
        <w:tab/>
        <w:t>When refunds of wagers are payable</w:t>
      </w:r>
      <w:bookmarkEnd w:id="101"/>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r>
      <w:r>
        <w:tab/>
        <w:t>[Regulation 43 inserted in Gazette 30 Jan 2004 p. 373</w:t>
      </w:r>
      <w:r>
        <w:noBreakHyphen/>
        <w:t>5.]</w:t>
      </w:r>
    </w:p>
    <w:p>
      <w:pPr>
        <w:pStyle w:val="Heading2"/>
        <w:rPr>
          <w:b w:val="0"/>
        </w:rPr>
      </w:pPr>
      <w:bookmarkStart w:id="102" w:name="_Toc116990514"/>
      <w:bookmarkStart w:id="103" w:name="_Toc117047697"/>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02"/>
      <w:bookmarkEnd w:id="103"/>
    </w:p>
    <w:p>
      <w:pPr>
        <w:pStyle w:val="Footnoteheading"/>
        <w:tabs>
          <w:tab w:val="left" w:pos="851"/>
        </w:tabs>
        <w:jc w:val="left"/>
      </w:pPr>
      <w:r>
        <w:tab/>
        <w:t>[Heading inserted in Gazette 30 Jan 2004 p. 375.]</w:t>
      </w:r>
    </w:p>
    <w:p>
      <w:pPr>
        <w:pStyle w:val="Heading5"/>
      </w:pPr>
      <w:bookmarkStart w:id="104" w:name="_Toc117047698"/>
      <w:r>
        <w:rPr>
          <w:rStyle w:val="CharSectno"/>
        </w:rPr>
        <w:t>44</w:t>
      </w:r>
      <w:r>
        <w:t>.</w:t>
      </w:r>
      <w:r>
        <w:tab/>
        <w:t>Authorised racing club may transmit wagers</w:t>
      </w:r>
      <w:bookmarkEnd w:id="104"/>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r>
      <w:r>
        <w:tab/>
        <w:t>[Regulation 44 inserted in Gazette 30 Jan 2004 p. 375.]</w:t>
      </w:r>
    </w:p>
    <w:p>
      <w:pPr>
        <w:pStyle w:val="Heading5"/>
      </w:pPr>
      <w:bookmarkStart w:id="105" w:name="_Toc117047699"/>
      <w:r>
        <w:rPr>
          <w:rStyle w:val="CharSectno"/>
        </w:rPr>
        <w:t>45</w:t>
      </w:r>
      <w:r>
        <w:t>.</w:t>
      </w:r>
      <w:r>
        <w:tab/>
        <w:t>Person making wager bound by these regulations and rules of wagering</w:t>
      </w:r>
      <w:bookmarkEnd w:id="105"/>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r>
      <w:r>
        <w:tab/>
        <w:t>[Regulation 45 inserted in Gazette 30 Jan 2004 p. 375.]</w:t>
      </w:r>
    </w:p>
    <w:p>
      <w:pPr>
        <w:pStyle w:val="Heading5"/>
      </w:pPr>
      <w:bookmarkStart w:id="106" w:name="_Toc117047700"/>
      <w:r>
        <w:rPr>
          <w:rStyle w:val="CharSectno"/>
        </w:rPr>
        <w:t>46</w:t>
      </w:r>
      <w:r>
        <w:t>.</w:t>
      </w:r>
      <w:r>
        <w:tab/>
        <w:t>Only authorised wagering to be accepted</w:t>
      </w:r>
      <w:bookmarkEnd w:id="10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r>
      <w:r>
        <w:tab/>
        <w:t>[Regulation 46 inserted in Gazette 30 Jan 2004 p. 375</w:t>
      </w:r>
      <w:r>
        <w:noBreakHyphen/>
        <w:t>6.]</w:t>
      </w:r>
    </w:p>
    <w:p>
      <w:pPr>
        <w:pStyle w:val="Heading5"/>
      </w:pPr>
      <w:bookmarkStart w:id="107" w:name="_Toc117047701"/>
      <w:r>
        <w:rPr>
          <w:rStyle w:val="CharSectno"/>
        </w:rPr>
        <w:t>47</w:t>
      </w:r>
      <w:r>
        <w:t>.</w:t>
      </w:r>
      <w:r>
        <w:tab/>
        <w:t>Wagers transmitted by racing club to be registered on RWWA’s totalisator</w:t>
      </w:r>
      <w:bookmarkEnd w:id="107"/>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r>
      <w:r>
        <w:tab/>
        <w:t>[Regulation 47 inserted in Gazette 30 Jan 2004 p. 376.]</w:t>
      </w:r>
    </w:p>
    <w:p>
      <w:pPr>
        <w:pStyle w:val="Heading5"/>
      </w:pPr>
      <w:bookmarkStart w:id="108" w:name="_Toc117047702"/>
      <w:r>
        <w:rPr>
          <w:rStyle w:val="CharSectno"/>
        </w:rPr>
        <w:t>48</w:t>
      </w:r>
      <w:r>
        <w:t>.</w:t>
      </w:r>
      <w:r>
        <w:tab/>
        <w:t>Apportionment of profit or loss</w:t>
      </w:r>
      <w:bookmarkEnd w:id="10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r>
      <w:r>
        <w:tab/>
        <w:t>[Regulation 48 inserted in Gazette 30 Jan 2004 p. 376.]</w:t>
      </w:r>
    </w:p>
    <w:p>
      <w:pPr>
        <w:pStyle w:val="Heading5"/>
      </w:pPr>
      <w:bookmarkStart w:id="109" w:name="_Toc117047703"/>
      <w:r>
        <w:rPr>
          <w:rStyle w:val="CharSectno"/>
        </w:rPr>
        <w:t>49</w:t>
      </w:r>
      <w:r>
        <w:t>.</w:t>
      </w:r>
      <w:r>
        <w:tab/>
        <w:t>References to pool conducted by RWWA</w:t>
      </w:r>
      <w:bookmarkEnd w:id="109"/>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r>
      <w:r>
        <w:tab/>
        <w:t>[Regulation 49 inserted in Gazette 30 Jan 2004 p. 376</w:t>
      </w:r>
      <w:r>
        <w:noBreakHyphen/>
        <w:t>7.]</w:t>
      </w:r>
    </w:p>
    <w:p>
      <w:pPr>
        <w:pStyle w:val="Heading2"/>
      </w:pPr>
      <w:bookmarkStart w:id="110" w:name="_Toc116990521"/>
      <w:bookmarkStart w:id="111" w:name="_Toc117047704"/>
      <w:r>
        <w:rPr>
          <w:rStyle w:val="CharPartNo"/>
        </w:rPr>
        <w:t>Part 8</w:t>
      </w:r>
      <w:r>
        <w:rPr>
          <w:rStyle w:val="CharDivNo"/>
        </w:rPr>
        <w:t> </w:t>
      </w:r>
      <w:r>
        <w:t>—</w:t>
      </w:r>
      <w:r>
        <w:rPr>
          <w:rStyle w:val="CharDivText"/>
        </w:rPr>
        <w:t> </w:t>
      </w:r>
      <w:r>
        <w:rPr>
          <w:rStyle w:val="CharPartText"/>
        </w:rPr>
        <w:t>Wagering accounts</w:t>
      </w:r>
      <w:bookmarkEnd w:id="110"/>
      <w:bookmarkEnd w:id="111"/>
    </w:p>
    <w:p>
      <w:pPr>
        <w:pStyle w:val="Footnoteheading"/>
        <w:tabs>
          <w:tab w:val="left" w:pos="851"/>
        </w:tabs>
        <w:jc w:val="left"/>
      </w:pPr>
      <w:r>
        <w:tab/>
        <w:t>[Heading inserted in Gazette 30 Jan 2004 p. 377.]</w:t>
      </w:r>
    </w:p>
    <w:p>
      <w:pPr>
        <w:pStyle w:val="Heading5"/>
      </w:pPr>
      <w:bookmarkStart w:id="112" w:name="_Toc117047705"/>
      <w:r>
        <w:rPr>
          <w:rStyle w:val="CharSectno"/>
        </w:rPr>
        <w:t>50</w:t>
      </w:r>
      <w:r>
        <w:t>.</w:t>
      </w:r>
      <w:r>
        <w:tab/>
        <w:t>Procedure for establishing wagering account</w:t>
      </w:r>
      <w:bookmarkEnd w:id="112"/>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r>
      <w:r>
        <w:tab/>
        <w:t>[Regulation 50 inserted in Gazette 30 Jan 2004 p. 377.]</w:t>
      </w:r>
    </w:p>
    <w:p>
      <w:pPr>
        <w:pStyle w:val="Heading5"/>
      </w:pPr>
      <w:bookmarkStart w:id="113" w:name="_Toc117047706"/>
      <w:r>
        <w:rPr>
          <w:rStyle w:val="CharSectno"/>
        </w:rPr>
        <w:t>51</w:t>
      </w:r>
      <w:r>
        <w:t>.</w:t>
      </w:r>
      <w:r>
        <w:tab/>
        <w:t>Procedure for keeping, maintaining, increasing or renewing a wagering account</w:t>
      </w:r>
      <w:bookmarkEnd w:id="113"/>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r>
      <w:r>
        <w:tab/>
        <w:t>[Regulation 51 inserted in Gazette 30 Jan 2004 p. 378.]</w:t>
      </w:r>
    </w:p>
    <w:p>
      <w:pPr>
        <w:pStyle w:val="Heading5"/>
      </w:pPr>
      <w:bookmarkStart w:id="114" w:name="_Toc117047707"/>
      <w:r>
        <w:rPr>
          <w:rStyle w:val="CharSectno"/>
        </w:rPr>
        <w:t>52</w:t>
      </w:r>
      <w:r>
        <w:t>.</w:t>
      </w:r>
      <w:r>
        <w:tab/>
        <w:t>Recording of wagers against a wagering account</w:t>
      </w:r>
      <w:bookmarkEnd w:id="114"/>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r>
      <w:r>
        <w:tab/>
        <w:t>[Regulation 52 inserted in Gazette 30 Jan 2004 p. 378</w:t>
      </w:r>
      <w:r>
        <w:noBreakHyphen/>
        <w:t>9.]</w:t>
      </w:r>
    </w:p>
    <w:p>
      <w:pPr>
        <w:pStyle w:val="Heading5"/>
      </w:pPr>
      <w:bookmarkStart w:id="115" w:name="_Toc117047708"/>
      <w:r>
        <w:rPr>
          <w:rStyle w:val="CharSectno"/>
        </w:rPr>
        <w:t>53</w:t>
      </w:r>
      <w:r>
        <w:t>.</w:t>
      </w:r>
      <w:r>
        <w:tab/>
        <w:t>Crediting of dividends against a wagering account</w:t>
      </w:r>
      <w:bookmarkEnd w:id="115"/>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r>
      <w:r>
        <w:tab/>
        <w:t>[Regulation 53 inserted in Gazette 30 Jan 2004 p. 379.]</w:t>
      </w:r>
    </w:p>
    <w:p>
      <w:pPr>
        <w:pStyle w:val="Heading5"/>
      </w:pPr>
      <w:bookmarkStart w:id="116" w:name="_Toc117047709"/>
      <w:r>
        <w:rPr>
          <w:rStyle w:val="CharSectno"/>
        </w:rPr>
        <w:t>54</w:t>
      </w:r>
      <w:r>
        <w:t>.</w:t>
      </w:r>
      <w:r>
        <w:tab/>
        <w:t>Wagering accounts to be disposed of in accordance with the instructions</w:t>
      </w:r>
      <w:bookmarkEnd w:id="116"/>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r>
      <w:r>
        <w:tab/>
        <w:t>[Regulation 54 inserted in Gazette 30 Jan 2004 p. 379.]</w:t>
      </w:r>
    </w:p>
    <w:p>
      <w:pPr>
        <w:pStyle w:val="Heading5"/>
      </w:pPr>
      <w:bookmarkStart w:id="117" w:name="_Toc117047710"/>
      <w:r>
        <w:rPr>
          <w:rStyle w:val="CharSectno"/>
        </w:rPr>
        <w:t>55</w:t>
      </w:r>
      <w:r>
        <w:t>.</w:t>
      </w:r>
      <w:r>
        <w:tab/>
        <w:t>General conditions applicable to wagering accounts</w:t>
      </w:r>
      <w:bookmarkEnd w:id="117"/>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r>
      <w:r>
        <w:tab/>
        <w:t>[Regulation 55 inserted in Gazette 30 Jan 2004 p. 379</w:t>
      </w:r>
      <w:r>
        <w:noBreakHyphen/>
        <w:t>80.]</w:t>
      </w:r>
    </w:p>
    <w:p>
      <w:pPr>
        <w:pStyle w:val="Heading5"/>
      </w:pPr>
      <w:bookmarkStart w:id="118" w:name="_Toc117047711"/>
      <w:r>
        <w:rPr>
          <w:rStyle w:val="CharSectno"/>
        </w:rPr>
        <w:t>56</w:t>
      </w:r>
      <w:r>
        <w:t>.</w:t>
      </w:r>
      <w:r>
        <w:tab/>
        <w:t>General conditions on statements of account</w:t>
      </w:r>
      <w:bookmarkEnd w:id="118"/>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r>
      <w:r>
        <w:tab/>
        <w:t>[Regulation 56 inserted in Gazette 30 Jan 2004 p. 380</w:t>
      </w:r>
      <w:r>
        <w:noBreakHyphen/>
        <w:t>1.]</w:t>
      </w:r>
    </w:p>
    <w:p>
      <w:pPr>
        <w:pStyle w:val="Heading5"/>
      </w:pPr>
      <w:bookmarkStart w:id="119" w:name="_Toc117047712"/>
      <w:r>
        <w:rPr>
          <w:rStyle w:val="CharSectno"/>
        </w:rPr>
        <w:t>57</w:t>
      </w:r>
      <w:r>
        <w:t>.</w:t>
      </w:r>
      <w:r>
        <w:tab/>
        <w:t>General provisions relating to wagers made by post</w:t>
      </w:r>
      <w:bookmarkEnd w:id="119"/>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r>
      <w:r>
        <w:tab/>
        <w:t>[Regulation 57 inserted in Gazette 30 Jan 2004 p. 381</w:t>
      </w:r>
      <w:r>
        <w:noBreakHyphen/>
        <w:t>2.]</w:t>
      </w:r>
    </w:p>
    <w:p>
      <w:pPr>
        <w:pStyle w:val="Heading5"/>
      </w:pPr>
      <w:bookmarkStart w:id="120" w:name="_Toc117047713"/>
      <w:r>
        <w:rPr>
          <w:rStyle w:val="CharSectno"/>
        </w:rPr>
        <w:t>58</w:t>
      </w:r>
      <w:r>
        <w:t>.</w:t>
      </w:r>
      <w:r>
        <w:tab/>
        <w:t>Crediting and payment of dividends and refunds on wagering accounts and wagers made by post</w:t>
      </w:r>
      <w:bookmarkEnd w:id="120"/>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r>
      <w:r>
        <w:tab/>
        <w:t>[Regulation 58 inserted in Gazette 30 Jan 2004 p. 383</w:t>
      </w:r>
      <w:r>
        <w:noBreakHyphen/>
        <w:t>4.]</w:t>
      </w:r>
    </w:p>
    <w:p>
      <w:pPr>
        <w:pStyle w:val="Heading5"/>
      </w:pPr>
      <w:bookmarkStart w:id="121" w:name="_Toc117047714"/>
      <w:r>
        <w:rPr>
          <w:rStyle w:val="CharSectno"/>
        </w:rPr>
        <w:t>59</w:t>
      </w:r>
      <w:r>
        <w:t>.</w:t>
      </w:r>
      <w:r>
        <w:tab/>
        <w:t>Wagers by telephone or other electronic means</w:t>
      </w:r>
      <w:bookmarkEnd w:id="121"/>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 </w:t>
      </w:r>
    </w:p>
    <w:p>
      <w:pPr>
        <w:pStyle w:val="Indenta"/>
      </w:pPr>
      <w:r>
        <w:tab/>
        <w:t>(a)</w:t>
      </w:r>
      <w:r>
        <w:tab/>
        <w:t>the wager is of $200 or less; and</w:t>
      </w:r>
    </w:p>
    <w:p>
      <w:pPr>
        <w:pStyle w:val="Indenta"/>
      </w:pPr>
      <w:r>
        <w:tab/>
        <w:t>(b)</w:t>
      </w:r>
      <w:r>
        <w:tab/>
        <w:t>the amendment or cancellation is made 15 minutes or more before the scheduled starting time of the race or sporting event.</w:t>
      </w:r>
    </w:p>
    <w:p>
      <w:pPr>
        <w:pStyle w:val="Footnotesection"/>
      </w:pPr>
      <w:r>
        <w:tab/>
      </w:r>
      <w:r>
        <w:tab/>
        <w:t>[Regulation 59 inserted in Gazette 30 Jan 2004 p. 384</w:t>
      </w:r>
      <w:r>
        <w:noBreakHyphen/>
        <w:t>5.]</w:t>
      </w:r>
    </w:p>
    <w:p>
      <w:pPr>
        <w:pStyle w:val="Heading5"/>
      </w:pPr>
      <w:bookmarkStart w:id="122" w:name="_Toc117047715"/>
      <w:r>
        <w:rPr>
          <w:rStyle w:val="CharSectno"/>
        </w:rPr>
        <w:t>60</w:t>
      </w:r>
      <w:r>
        <w:t>.</w:t>
      </w:r>
      <w:r>
        <w:tab/>
        <w:t>Errors in wagers by telephone or other electronic means</w:t>
      </w:r>
      <w:bookmarkEnd w:id="12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r>
      <w:r>
        <w:tab/>
        <w:t>[Regulation 60 inserted in Gazette 30 Jan 2004 p. 385</w:t>
      </w:r>
      <w:r>
        <w:noBreakHyphen/>
        <w:t>6.]</w:t>
      </w:r>
    </w:p>
    <w:p>
      <w:pPr>
        <w:pStyle w:val="Heading2"/>
      </w:pPr>
      <w:bookmarkStart w:id="123" w:name="_Toc116990533"/>
      <w:bookmarkStart w:id="124" w:name="_Toc117047716"/>
      <w:r>
        <w:rPr>
          <w:rStyle w:val="CharPartNo"/>
        </w:rPr>
        <w:t>Part 9</w:t>
      </w:r>
      <w:r>
        <w:rPr>
          <w:rStyle w:val="CharDivNo"/>
        </w:rPr>
        <w:t> </w:t>
      </w:r>
      <w:r>
        <w:t>—</w:t>
      </w:r>
      <w:r>
        <w:rPr>
          <w:rStyle w:val="CharDivText"/>
        </w:rPr>
        <w:t> </w:t>
      </w:r>
      <w:r>
        <w:rPr>
          <w:rStyle w:val="CharPartText"/>
        </w:rPr>
        <w:t>General provisions on wagering</w:t>
      </w:r>
      <w:bookmarkEnd w:id="123"/>
      <w:bookmarkEnd w:id="124"/>
    </w:p>
    <w:p>
      <w:pPr>
        <w:pStyle w:val="Footnoteheading"/>
        <w:tabs>
          <w:tab w:val="left" w:pos="851"/>
        </w:tabs>
        <w:jc w:val="left"/>
      </w:pPr>
      <w:r>
        <w:tab/>
        <w:t>[Heading inserted in Gazette 30 Jan 2004 p. 386.]</w:t>
      </w:r>
    </w:p>
    <w:p>
      <w:pPr>
        <w:pStyle w:val="Heading5"/>
      </w:pPr>
      <w:bookmarkStart w:id="125" w:name="_Toc117047717"/>
      <w:r>
        <w:rPr>
          <w:rStyle w:val="CharSectno"/>
        </w:rPr>
        <w:t>61</w:t>
      </w:r>
      <w:r>
        <w:t>.</w:t>
      </w:r>
      <w:r>
        <w:tab/>
        <w:t>Closing time for acceptance of wagers</w:t>
      </w:r>
      <w:bookmarkEnd w:id="125"/>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r>
      <w:r>
        <w:tab/>
        <w:t>[Regulation 61 inserted in Gazette 30 Jan 2004 p. 386.]</w:t>
      </w:r>
    </w:p>
    <w:p>
      <w:pPr>
        <w:pStyle w:val="Heading5"/>
      </w:pPr>
      <w:bookmarkStart w:id="126" w:name="_Toc117047718"/>
      <w:r>
        <w:rPr>
          <w:rStyle w:val="CharSectno"/>
        </w:rPr>
        <w:t>62</w:t>
      </w:r>
      <w:r>
        <w:t>.</w:t>
      </w:r>
      <w:r>
        <w:tab/>
        <w:t>Totalisator pools — generally</w:t>
      </w:r>
      <w:bookmarkEnd w:id="126"/>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r>
      <w:r>
        <w:tab/>
        <w:t>[Regulation 62 inserted in Gazette 30 Jan 2004 p. 386.]</w:t>
      </w:r>
    </w:p>
    <w:p>
      <w:pPr>
        <w:pStyle w:val="Heading5"/>
      </w:pPr>
      <w:bookmarkStart w:id="127" w:name="_Toc117047719"/>
      <w:r>
        <w:rPr>
          <w:rStyle w:val="CharSectno"/>
        </w:rPr>
        <w:t>63</w:t>
      </w:r>
      <w:r>
        <w:t>.</w:t>
      </w:r>
      <w:r>
        <w:tab/>
        <w:t>Communication failure where a combined totalisator pool scheme is conducted</w:t>
      </w:r>
      <w:bookmarkEnd w:id="127"/>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r>
      <w:r>
        <w:tab/>
        <w:t>[Regulation 63 inserted in Gazette 30 Jan 2004 p. 387.]</w:t>
      </w:r>
    </w:p>
    <w:p>
      <w:pPr>
        <w:pStyle w:val="Heading2"/>
      </w:pPr>
      <w:bookmarkStart w:id="128" w:name="_Toc116990537"/>
      <w:bookmarkStart w:id="129" w:name="_Toc117047720"/>
      <w:r>
        <w:rPr>
          <w:rStyle w:val="CharPartNo"/>
        </w:rPr>
        <w:t>Part 10</w:t>
      </w:r>
      <w:r>
        <w:rPr>
          <w:rStyle w:val="CharDivNo"/>
        </w:rPr>
        <w:t> </w:t>
      </w:r>
      <w:r>
        <w:t>—</w:t>
      </w:r>
      <w:r>
        <w:rPr>
          <w:rStyle w:val="CharDivText"/>
        </w:rPr>
        <w:t> </w:t>
      </w:r>
      <w:r>
        <w:rPr>
          <w:rStyle w:val="CharPartText"/>
        </w:rPr>
        <w:t>Sporting events</w:t>
      </w:r>
      <w:bookmarkEnd w:id="128"/>
      <w:bookmarkEnd w:id="129"/>
    </w:p>
    <w:p>
      <w:pPr>
        <w:pStyle w:val="Footnoteheading"/>
        <w:tabs>
          <w:tab w:val="left" w:pos="851"/>
        </w:tabs>
        <w:jc w:val="left"/>
      </w:pPr>
      <w:r>
        <w:tab/>
        <w:t>[Heading inserted in Gazette 30 Jan 2004 p. 387.]</w:t>
      </w:r>
    </w:p>
    <w:p>
      <w:pPr>
        <w:pStyle w:val="Heading5"/>
      </w:pPr>
      <w:bookmarkStart w:id="130" w:name="_Toc117047721"/>
      <w:r>
        <w:rPr>
          <w:rStyle w:val="CharSectno"/>
        </w:rPr>
        <w:t>64</w:t>
      </w:r>
      <w:r>
        <w:t>.</w:t>
      </w:r>
      <w:r>
        <w:tab/>
        <w:t>RWWA may specify aspects of sporting events</w:t>
      </w:r>
      <w:bookmarkEnd w:id="130"/>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 xml:space="preserve">” </w:t>
      </w:r>
      <w:r>
        <w:t>includes the description “match”, “bout”, “round”, “competition”, “ceremony” and other common methods of describing a sporting event.</w:t>
      </w:r>
    </w:p>
    <w:p>
      <w:pPr>
        <w:pStyle w:val="Footnotesection"/>
      </w:pPr>
      <w:r>
        <w:tab/>
      </w:r>
      <w:r>
        <w:tab/>
        <w:t>[Regulation 64 inserted in Gazette 30 Jan 2004 p. 387</w:t>
      </w:r>
      <w:r>
        <w:noBreakHyphen/>
        <w:t>8.]</w:t>
      </w:r>
    </w:p>
    <w:p>
      <w:pPr>
        <w:pStyle w:val="Heading5"/>
      </w:pPr>
      <w:bookmarkStart w:id="131" w:name="_Toc117047722"/>
      <w:r>
        <w:rPr>
          <w:rStyle w:val="CharSectno"/>
        </w:rPr>
        <w:t>65</w:t>
      </w:r>
      <w:r>
        <w:t>.</w:t>
      </w:r>
      <w:r>
        <w:tab/>
        <w:t>General conditions relating to the conduct of totalisator pools</w:t>
      </w:r>
      <w:bookmarkEnd w:id="131"/>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pPr>
      <w:r>
        <w:tab/>
        <w:t>(c)</w:t>
      </w:r>
      <w:r>
        <w:tab/>
        <w:t>the details required by RWWA to be marked, or otherwise given to RWWA, in making a wager.</w:t>
      </w:r>
    </w:p>
    <w:p>
      <w:pPr>
        <w:pStyle w:val="Footnotesection"/>
      </w:pPr>
      <w:r>
        <w:tab/>
      </w:r>
      <w:r>
        <w:tab/>
        <w:t>[Regulation 65 inserted in Gazette 30 Jan 2004 p. 389.]</w:t>
      </w:r>
    </w:p>
    <w:p>
      <w:pPr>
        <w:pStyle w:val="Heading5"/>
      </w:pPr>
      <w:bookmarkStart w:id="132" w:name="_Toc117047723"/>
      <w:r>
        <w:rPr>
          <w:rStyle w:val="CharSectno"/>
        </w:rPr>
        <w:t>66</w:t>
      </w:r>
      <w:r>
        <w:t>.</w:t>
      </w:r>
      <w:r>
        <w:tab/>
        <w:t>General conditions relating to wagering on games and pools of games</w:t>
      </w:r>
      <w:bookmarkEnd w:id="132"/>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r>
      <w:r>
        <w:tab/>
        <w:t>[Regulation 66 inserted in Gazette 30 Jan 2004 p. 389</w:t>
      </w:r>
      <w:r>
        <w:noBreakHyphen/>
        <w:t>90.]</w:t>
      </w:r>
    </w:p>
    <w:p>
      <w:pPr>
        <w:pStyle w:val="Heading2"/>
      </w:pPr>
      <w:bookmarkStart w:id="133" w:name="_Toc116990541"/>
      <w:bookmarkStart w:id="134" w:name="_Toc117047724"/>
      <w:r>
        <w:rPr>
          <w:rStyle w:val="CharPartNo"/>
        </w:rPr>
        <w:t>Part 11</w:t>
      </w:r>
      <w:r>
        <w:rPr>
          <w:rStyle w:val="CharDivNo"/>
        </w:rPr>
        <w:t> </w:t>
      </w:r>
      <w:r>
        <w:t>—</w:t>
      </w:r>
      <w:r>
        <w:rPr>
          <w:rStyle w:val="CharDivText"/>
        </w:rPr>
        <w:t> </w:t>
      </w:r>
      <w:r>
        <w:rPr>
          <w:rStyle w:val="CharPartText"/>
        </w:rPr>
        <w:t>Totalisator agencies</w:t>
      </w:r>
      <w:bookmarkEnd w:id="133"/>
      <w:bookmarkEnd w:id="134"/>
    </w:p>
    <w:p>
      <w:pPr>
        <w:pStyle w:val="Footnoteheading"/>
        <w:tabs>
          <w:tab w:val="left" w:pos="851"/>
        </w:tabs>
        <w:jc w:val="left"/>
      </w:pPr>
      <w:r>
        <w:tab/>
        <w:t>[Heading inserted in Gazette 30 Jan 2004 p. 390.]</w:t>
      </w:r>
    </w:p>
    <w:p>
      <w:pPr>
        <w:pStyle w:val="Heading5"/>
      </w:pPr>
      <w:bookmarkStart w:id="135" w:name="_Toc117047725"/>
      <w:r>
        <w:rPr>
          <w:rStyle w:val="CharSectno"/>
        </w:rPr>
        <w:t>67</w:t>
      </w:r>
      <w:r>
        <w:t>.</w:t>
      </w:r>
      <w:r>
        <w:tab/>
        <w:t>Notice of intention to establish long term totalisator agency (s. 52(2))</w:t>
      </w:r>
      <w:bookmarkEnd w:id="135"/>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r>
      <w:r>
        <w:tab/>
        <w:t>[Regulation 67 inserted in Gazette 30 Jan 2004 p. 390.]</w:t>
      </w:r>
    </w:p>
    <w:p>
      <w:pPr>
        <w:pStyle w:val="Heading5"/>
      </w:pPr>
      <w:bookmarkStart w:id="136" w:name="_Toc117047726"/>
      <w:r>
        <w:rPr>
          <w:rStyle w:val="CharSectno"/>
        </w:rPr>
        <w:t>68</w:t>
      </w:r>
      <w:r>
        <w:t>.</w:t>
      </w:r>
      <w:r>
        <w:tab/>
        <w:t>Notice of intention to establish temporary totalisator agency (s. 52(2))</w:t>
      </w:r>
      <w:bookmarkEnd w:id="13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r>
      <w:r>
        <w:tab/>
        <w:t>[Regulation 68 inserted in Gazette 30 Jan 2004 p. 391.]</w:t>
      </w:r>
    </w:p>
    <w:p>
      <w:pPr>
        <w:pStyle w:val="Heading5"/>
      </w:pPr>
      <w:bookmarkStart w:id="137" w:name="_Toc117047727"/>
      <w:r>
        <w:rPr>
          <w:rStyle w:val="CharSectno"/>
        </w:rPr>
        <w:t>69</w:t>
      </w:r>
      <w:r>
        <w:t>.</w:t>
      </w:r>
      <w:r>
        <w:tab/>
        <w:t>Information on totalisator agencies</w:t>
      </w:r>
      <w:bookmarkEnd w:id="137"/>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r>
      <w:r>
        <w:tab/>
        <w:t>[Regulation 69 inserted in Gazette 30 Jan 2004 p. 391.]</w:t>
      </w:r>
    </w:p>
    <w:p>
      <w:pPr>
        <w:pStyle w:val="Heading5"/>
      </w:pPr>
      <w:bookmarkStart w:id="138" w:name="_Toc117047728"/>
      <w:r>
        <w:rPr>
          <w:rStyle w:val="CharSectno"/>
        </w:rPr>
        <w:t>70</w:t>
      </w:r>
      <w:r>
        <w:t>.</w:t>
      </w:r>
      <w:r>
        <w:tab/>
        <w:t>Direction to close or not to establish totalisator agency (s. 52(3))</w:t>
      </w:r>
      <w:bookmarkEnd w:id="138"/>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r>
      <w:r>
        <w:tab/>
        <w:t>[Regulation 70 inserted in Gazette 30 Jan 2004 p. 391</w:t>
      </w:r>
      <w:r>
        <w:noBreakHyphen/>
        <w:t>2.]</w:t>
      </w:r>
    </w:p>
    <w:p>
      <w:pPr>
        <w:pStyle w:val="Heading2"/>
        <w:rPr>
          <w:rStyle w:val="CharPartText"/>
        </w:rPr>
      </w:pPr>
      <w:bookmarkStart w:id="139" w:name="_Toc116990546"/>
      <w:bookmarkStart w:id="140" w:name="_Toc117047729"/>
      <w:r>
        <w:rPr>
          <w:rStyle w:val="CharPartNo"/>
        </w:rPr>
        <w:t>Part 12</w:t>
      </w:r>
      <w:r>
        <w:rPr>
          <w:b w:val="0"/>
        </w:rPr>
        <w:t> </w:t>
      </w:r>
      <w:r>
        <w:t>—</w:t>
      </w:r>
      <w:r>
        <w:rPr>
          <w:b w:val="0"/>
        </w:rPr>
        <w:t> </w:t>
      </w:r>
      <w:r>
        <w:rPr>
          <w:rStyle w:val="CharPartText"/>
        </w:rPr>
        <w:t>Consultation</w:t>
      </w:r>
      <w:bookmarkEnd w:id="139"/>
      <w:bookmarkEnd w:id="140"/>
    </w:p>
    <w:p>
      <w:pPr>
        <w:pStyle w:val="Footnoteheading"/>
        <w:tabs>
          <w:tab w:val="left" w:pos="851"/>
        </w:tabs>
        <w:jc w:val="left"/>
      </w:pPr>
      <w:r>
        <w:tab/>
        <w:t>[Heading inserted in Gazette 30 Jan 2004 p. 392.]</w:t>
      </w:r>
    </w:p>
    <w:p>
      <w:pPr>
        <w:pStyle w:val="Heading5"/>
      </w:pPr>
      <w:bookmarkStart w:id="141" w:name="_Toc117047730"/>
      <w:r>
        <w:rPr>
          <w:rStyle w:val="CharSectno"/>
        </w:rPr>
        <w:t>71</w:t>
      </w:r>
      <w:r>
        <w:t>.</w:t>
      </w:r>
      <w:r>
        <w:tab/>
        <w:t>Consultation (s. 82)</w:t>
      </w:r>
      <w:bookmarkEnd w:id="14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Borders>
              <w:bottom w:val="single" w:sz="4" w:space="0" w:color="auto"/>
            </w:tcBorders>
          </w:tcPr>
          <w:p>
            <w:pPr>
              <w:pStyle w:val="Table"/>
              <w:keepNext/>
              <w:keepLines/>
            </w:pPr>
            <w:r>
              <w:t>25.</w:t>
            </w:r>
          </w:p>
        </w:tc>
        <w:tc>
          <w:tcPr>
            <w:tcW w:w="2835" w:type="dxa"/>
            <w:tcBorders>
              <w:bottom w:val="single" w:sz="4" w:space="0" w:color="auto"/>
            </w:tcBorders>
          </w:tcPr>
          <w:p>
            <w:pPr>
              <w:pStyle w:val="Table"/>
              <w:keepNext/>
              <w:keepLines/>
            </w:pPr>
            <w:r>
              <w:t>WA Racing Media Guild</w:t>
            </w:r>
          </w:p>
        </w:tc>
        <w:tc>
          <w:tcPr>
            <w:tcW w:w="2835" w:type="dxa"/>
            <w:tcBorders>
              <w:bottom w:val="single" w:sz="4" w:space="0" w:color="auto"/>
            </w:tcBorders>
          </w:tcPr>
          <w:p>
            <w:pPr>
              <w:pStyle w:val="Table"/>
              <w:keepNext/>
              <w:keepLines/>
            </w:pPr>
            <w:r>
              <w:t>Promotion of racing</w:t>
            </w:r>
          </w:p>
        </w:tc>
      </w:tr>
    </w:tbl>
    <w:p>
      <w:pPr>
        <w:pStyle w:val="Footnotesection"/>
      </w:pPr>
      <w:r>
        <w:tab/>
      </w:r>
      <w:r>
        <w:tab/>
        <w:t>[Regulation 71 inserted in Gazette 30 Jan 2004 p. 392</w:t>
      </w:r>
      <w:r>
        <w:noBreakHyphen/>
        <w:t>4.]</w:t>
      </w:r>
    </w:p>
    <w:p>
      <w:pPr>
        <w:pStyle w:val="Heading2"/>
      </w:pPr>
      <w:bookmarkStart w:id="142" w:name="_Toc116990548"/>
      <w:bookmarkStart w:id="143" w:name="_Toc117047731"/>
      <w:bookmarkStart w:id="144" w:name="_Toc44995656"/>
      <w:r>
        <w:rPr>
          <w:rStyle w:val="CharPartNo"/>
        </w:rPr>
        <w:t>Part 13</w:t>
      </w:r>
      <w:r>
        <w:rPr>
          <w:b w:val="0"/>
        </w:rPr>
        <w:t> </w:t>
      </w:r>
      <w:r>
        <w:t>—</w:t>
      </w:r>
      <w:r>
        <w:rPr>
          <w:b w:val="0"/>
        </w:rPr>
        <w:t> </w:t>
      </w:r>
      <w:r>
        <w:rPr>
          <w:rStyle w:val="CharPartText"/>
        </w:rPr>
        <w:t>Disciplinary action — Racing</w:t>
      </w:r>
      <w:bookmarkEnd w:id="142"/>
      <w:bookmarkEnd w:id="143"/>
    </w:p>
    <w:p>
      <w:pPr>
        <w:pStyle w:val="Footnoteheading"/>
        <w:tabs>
          <w:tab w:val="left" w:pos="851"/>
        </w:tabs>
        <w:jc w:val="left"/>
      </w:pPr>
      <w:r>
        <w:tab/>
        <w:t>[Heading inserted in Gazette 5 Nov 2004 p. 4984.]</w:t>
      </w:r>
    </w:p>
    <w:p>
      <w:pPr>
        <w:pStyle w:val="Heading5"/>
      </w:pPr>
      <w:bookmarkStart w:id="145" w:name="_Toc117047732"/>
      <w:r>
        <w:rPr>
          <w:rStyle w:val="CharSectno"/>
        </w:rPr>
        <w:t>72</w:t>
      </w:r>
      <w:r>
        <w:t>.</w:t>
      </w:r>
      <w:r>
        <w:tab/>
        <w:t>Warning off</w:t>
      </w:r>
      <w:bookmarkEnd w:id="145"/>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pPr>
      <w:r>
        <w:tab/>
        <w:t>(7)</w:t>
      </w:r>
      <w:r>
        <w:tab/>
        <w:t>Nothing in this regulation is to be taken to prevent RWWA delegating any function under this regulation.</w:t>
      </w:r>
    </w:p>
    <w:p>
      <w:pPr>
        <w:pStyle w:val="Footnotesection"/>
      </w:pPr>
      <w:r>
        <w:tab/>
        <w:t>[Regulation 72 inserted in Gazette 5 Nov 2004 p. 4984-5.]</w:t>
      </w:r>
    </w:p>
    <w:p>
      <w:pPr>
        <w:pStyle w:val="Heading5"/>
      </w:pPr>
      <w:bookmarkStart w:id="146" w:name="_Toc117047733"/>
      <w:r>
        <w:rPr>
          <w:rStyle w:val="CharSectno"/>
        </w:rPr>
        <w:t>73</w:t>
      </w:r>
      <w:r>
        <w:t>.</w:t>
      </w:r>
      <w:r>
        <w:tab/>
        <w:t>Failure to comply with a warning off</w:t>
      </w:r>
      <w:bookmarkEnd w:id="146"/>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47" w:name="_Toc117047734"/>
      <w:r>
        <w:rPr>
          <w:rStyle w:val="CharSchNo"/>
        </w:rPr>
        <w:t xml:space="preserve">Schedule </w:t>
      </w:r>
      <w:bookmarkStart w:id="148" w:name="_Hlt44815642"/>
      <w:bookmarkEnd w:id="148"/>
      <w:r>
        <w:rPr>
          <w:rStyle w:val="CharSchNo"/>
        </w:rPr>
        <w:t>1</w:t>
      </w:r>
      <w:r>
        <w:t> — </w:t>
      </w:r>
      <w:r>
        <w:rPr>
          <w:rStyle w:val="CharSchText"/>
        </w:rPr>
        <w:t>Fees</w:t>
      </w:r>
      <w:bookmarkEnd w:id="144"/>
      <w:bookmarkEnd w:id="147"/>
    </w:p>
    <w:p>
      <w:pPr>
        <w:pStyle w:val="yShoulderClause"/>
        <w:spacing w:after="120"/>
      </w:pPr>
      <w:r>
        <w:t>[r. 6(1), 13(4)]</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111"/>
        <w:gridCol w:w="992"/>
      </w:tblGrid>
      <w:tr>
        <w:tc>
          <w:tcPr>
            <w:tcW w:w="1134" w:type="dxa"/>
            <w:tcBorders>
              <w:left w:val="nil"/>
              <w:bottom w:val="single" w:sz="4" w:space="0" w:color="auto"/>
              <w:right w:val="nil"/>
            </w:tcBorders>
          </w:tcPr>
          <w:p>
            <w:pPr>
              <w:pStyle w:val="yTable"/>
              <w:jc w:val="center"/>
              <w:rPr>
                <w:b/>
              </w:rPr>
            </w:pPr>
            <w:r>
              <w:rPr>
                <w:b/>
              </w:rPr>
              <w:t>Item</w:t>
            </w:r>
          </w:p>
        </w:tc>
        <w:tc>
          <w:tcPr>
            <w:tcW w:w="4111" w:type="dxa"/>
            <w:tcBorders>
              <w:left w:val="nil"/>
              <w:bottom w:val="single" w:sz="4" w:space="0" w:color="auto"/>
              <w:right w:val="nil"/>
            </w:tcBorders>
          </w:tcPr>
          <w:p>
            <w:pPr>
              <w:pStyle w:val="yTable"/>
              <w:jc w:val="center"/>
              <w:rPr>
                <w:b/>
              </w:rPr>
            </w:pPr>
            <w:r>
              <w:rPr>
                <w:b/>
              </w:rPr>
              <w:t>Subject</w:t>
            </w:r>
          </w:p>
        </w:tc>
        <w:tc>
          <w:tcPr>
            <w:tcW w:w="992" w:type="dxa"/>
            <w:tcBorders>
              <w:left w:val="nil"/>
              <w:bottom w:val="single" w:sz="4" w:space="0" w:color="auto"/>
              <w:right w:val="nil"/>
            </w:tcBorders>
          </w:tcPr>
          <w:p>
            <w:pPr>
              <w:pStyle w:val="yTable"/>
              <w:jc w:val="center"/>
              <w:rPr>
                <w:b/>
              </w:rPr>
            </w:pPr>
            <w:r>
              <w:rPr>
                <w:b/>
              </w:rPr>
              <w:t>$</w:t>
            </w:r>
          </w:p>
        </w:tc>
      </w:tr>
      <w:tr>
        <w:tc>
          <w:tcPr>
            <w:tcW w:w="1134" w:type="dxa"/>
            <w:tcBorders>
              <w:top w:val="nil"/>
              <w:left w:val="nil"/>
              <w:bottom w:val="nil"/>
              <w:right w:val="nil"/>
            </w:tcBorders>
          </w:tcPr>
          <w:p>
            <w:pPr>
              <w:pStyle w:val="yTable"/>
              <w:jc w:val="center"/>
            </w:pPr>
            <w:r>
              <w:t>1</w:t>
            </w:r>
          </w:p>
        </w:tc>
        <w:tc>
          <w:tcPr>
            <w:tcW w:w="4111" w:type="dxa"/>
            <w:tcBorders>
              <w:top w:val="nil"/>
              <w:left w:val="nil"/>
              <w:bottom w:val="nil"/>
              <w:right w:val="nil"/>
            </w:tcBorders>
          </w:tcPr>
          <w:p>
            <w:pPr>
              <w:pStyle w:val="yTable"/>
            </w:pPr>
            <w:r>
              <w:t>Application fee for licence (regs 6(1)(c)(i);13(4)(c)(i))</w:t>
            </w:r>
          </w:p>
        </w:tc>
        <w:tc>
          <w:tcPr>
            <w:tcW w:w="992" w:type="dxa"/>
            <w:tcBorders>
              <w:top w:val="nil"/>
              <w:left w:val="nil"/>
              <w:bottom w:val="nil"/>
              <w:right w:val="nil"/>
            </w:tcBorders>
          </w:tcPr>
          <w:p>
            <w:pPr>
              <w:pStyle w:val="yTable"/>
              <w:tabs>
                <w:tab w:val="right" w:pos="600"/>
              </w:tabs>
              <w:ind w:right="34"/>
            </w:pPr>
          </w:p>
          <w:p>
            <w:pPr>
              <w:pStyle w:val="yTable"/>
              <w:tabs>
                <w:tab w:val="right" w:pos="600"/>
              </w:tabs>
              <w:spacing w:before="0"/>
              <w:ind w:right="34"/>
            </w:pPr>
            <w:r>
              <w:tab/>
              <w:t>300</w:t>
            </w:r>
          </w:p>
        </w:tc>
      </w:tr>
      <w:tr>
        <w:tc>
          <w:tcPr>
            <w:tcW w:w="1134" w:type="dxa"/>
            <w:tcBorders>
              <w:top w:val="nil"/>
              <w:left w:val="nil"/>
              <w:bottom w:val="single" w:sz="4" w:space="0" w:color="auto"/>
              <w:right w:val="nil"/>
            </w:tcBorders>
          </w:tcPr>
          <w:p>
            <w:pPr>
              <w:pStyle w:val="yTable"/>
              <w:jc w:val="center"/>
            </w:pPr>
            <w:r>
              <w:t>2</w:t>
            </w:r>
          </w:p>
        </w:tc>
        <w:tc>
          <w:tcPr>
            <w:tcW w:w="4111" w:type="dxa"/>
            <w:tcBorders>
              <w:top w:val="nil"/>
              <w:left w:val="nil"/>
              <w:bottom w:val="single" w:sz="4" w:space="0" w:color="auto"/>
              <w:right w:val="nil"/>
            </w:tcBorders>
          </w:tcPr>
          <w:p>
            <w:pPr>
              <w:pStyle w:val="yTable"/>
            </w:pPr>
            <w:r>
              <w:t>Application fee for renewal of licence (regs 6(1)(c)(i);13(4)(c)(i))</w:t>
            </w:r>
          </w:p>
        </w:tc>
        <w:tc>
          <w:tcPr>
            <w:tcW w:w="992" w:type="dxa"/>
            <w:tcBorders>
              <w:top w:val="nil"/>
              <w:left w:val="nil"/>
              <w:bottom w:val="single" w:sz="4" w:space="0" w:color="auto"/>
              <w:right w:val="nil"/>
            </w:tcBorders>
          </w:tcPr>
          <w:p>
            <w:pPr>
              <w:pStyle w:val="yTable"/>
              <w:tabs>
                <w:tab w:val="right" w:pos="600"/>
              </w:tabs>
              <w:ind w:right="34"/>
            </w:pPr>
          </w:p>
          <w:p>
            <w:pPr>
              <w:pStyle w:val="yTable"/>
              <w:tabs>
                <w:tab w:val="right" w:pos="600"/>
              </w:tabs>
              <w:spacing w:before="0"/>
              <w:ind w:right="34"/>
            </w:pPr>
            <w:r>
              <w:tab/>
              <w:t>75</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49" w:name="_Toc116990552"/>
      <w:bookmarkStart w:id="150" w:name="_Toc117047735"/>
      <w:r>
        <w:t>Notes</w:t>
      </w:r>
      <w:bookmarkEnd w:id="149"/>
      <w:bookmarkEnd w:id="150"/>
    </w:p>
    <w:p>
      <w:pPr>
        <w:pStyle w:val="nSubsection"/>
        <w:rPr>
          <w:snapToGrid w:val="0"/>
        </w:rPr>
      </w:pPr>
      <w:bookmarkStart w:id="151" w:name="_Toc511102520"/>
      <w:bookmarkStart w:id="152"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53" w:name="_Toc117047736"/>
      <w:r>
        <w:t>Compilation table</w:t>
      </w:r>
      <w:bookmarkEnd w:id="151"/>
      <w:bookmarkEnd w:id="152"/>
      <w:bookmarkEnd w:id="1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9" w:type="dxa"/>
            <w:tcBorders>
              <w:top w:val="single" w:sz="4" w:space="0" w:color="auto"/>
            </w:tcBorders>
          </w:tcPr>
          <w:p>
            <w:pPr>
              <w:pStyle w:val="nTable"/>
              <w:rPr>
                <w:sz w:val="19"/>
              </w:rPr>
            </w:pPr>
            <w:r>
              <w:rPr>
                <w:i/>
                <w:sz w:val="19"/>
              </w:rPr>
              <w:t>Racing and Wagering Western Australia Regulations 2003</w:t>
            </w:r>
          </w:p>
        </w:tc>
        <w:tc>
          <w:tcPr>
            <w:tcW w:w="1276" w:type="dxa"/>
            <w:tcBorders>
              <w:top w:val="single" w:sz="4" w:space="0" w:color="auto"/>
            </w:tcBorders>
          </w:tcPr>
          <w:p>
            <w:pPr>
              <w:pStyle w:val="nTable"/>
              <w:rPr>
                <w:sz w:val="19"/>
              </w:rPr>
            </w:pPr>
            <w:r>
              <w:rPr>
                <w:sz w:val="19"/>
              </w:rPr>
              <w:t>29 Jul 2003 p. 3273-91</w:t>
            </w:r>
          </w:p>
        </w:tc>
        <w:tc>
          <w:tcPr>
            <w:tcW w:w="2693" w:type="dxa"/>
            <w:tcBorders>
              <w:top w:val="single" w:sz="4" w:space="0" w:color="auto"/>
            </w:tcBorders>
          </w:tcPr>
          <w:p>
            <w:pPr>
              <w:pStyle w:val="nTable"/>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rPr>
                <w:i/>
                <w:sz w:val="19"/>
              </w:rPr>
            </w:pPr>
            <w:r>
              <w:rPr>
                <w:i/>
                <w:sz w:val="19"/>
              </w:rPr>
              <w:t>Racing and Wagering Western Australia Amendment Regulations 2004</w:t>
            </w:r>
          </w:p>
        </w:tc>
        <w:tc>
          <w:tcPr>
            <w:tcW w:w="1276" w:type="dxa"/>
          </w:tcPr>
          <w:p>
            <w:pPr>
              <w:pStyle w:val="nTable"/>
              <w:rPr>
                <w:sz w:val="19"/>
              </w:rPr>
            </w:pPr>
            <w:r>
              <w:rPr>
                <w:sz w:val="19"/>
              </w:rPr>
              <w:t>30 Jan 2004 p. 355</w:t>
            </w:r>
            <w:r>
              <w:rPr>
                <w:sz w:val="19"/>
              </w:rPr>
              <w:noBreakHyphen/>
              <w:t>394</w:t>
            </w:r>
          </w:p>
        </w:tc>
        <w:tc>
          <w:tcPr>
            <w:tcW w:w="2693" w:type="dxa"/>
          </w:tcPr>
          <w:p>
            <w:pPr>
              <w:pStyle w:val="nTable"/>
              <w:rPr>
                <w:sz w:val="19"/>
              </w:rPr>
            </w:pPr>
            <w:r>
              <w:rPr>
                <w:sz w:val="19"/>
              </w:rPr>
              <w:t>30 Jan 2004 (see r. 2)</w:t>
            </w:r>
          </w:p>
        </w:tc>
      </w:tr>
      <w:tr>
        <w:tc>
          <w:tcPr>
            <w:tcW w:w="3119" w:type="dxa"/>
            <w:tcBorders>
              <w:bottom w:val="single" w:sz="8" w:space="0" w:color="auto"/>
            </w:tcBorders>
          </w:tcPr>
          <w:p>
            <w:pPr>
              <w:pStyle w:val="nTable"/>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Borders>
              <w:bottom w:val="single" w:sz="8" w:space="0" w:color="auto"/>
            </w:tcBorders>
          </w:tcPr>
          <w:p>
            <w:pPr>
              <w:pStyle w:val="nTable"/>
              <w:rPr>
                <w:sz w:val="19"/>
              </w:rPr>
            </w:pPr>
            <w:r>
              <w:rPr>
                <w:sz w:val="19"/>
              </w:rPr>
              <w:t>5 Nov 2004 p. 4984-6</w:t>
            </w:r>
          </w:p>
        </w:tc>
        <w:tc>
          <w:tcPr>
            <w:tcW w:w="2693" w:type="dxa"/>
            <w:tcBorders>
              <w:bottom w:val="single" w:sz="8" w:space="0" w:color="auto"/>
            </w:tcBorders>
          </w:tcPr>
          <w:p>
            <w:pPr>
              <w:pStyle w:val="nTable"/>
              <w:rPr>
                <w:sz w:val="19"/>
              </w:rPr>
            </w:pPr>
            <w:r>
              <w:rPr>
                <w:sz w:val="19"/>
              </w:rPr>
              <w:t>5 Nov 2004 (see r. 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4" w:name="_Toc7405065"/>
      <w:bookmarkStart w:id="155" w:name="_Toc116984353"/>
      <w:bookmarkStart w:id="156" w:name="_Toc117047737"/>
      <w:r>
        <w:t>Provisions that have not come into operation</w:t>
      </w:r>
      <w:bookmarkEnd w:id="154"/>
      <w:bookmarkEnd w:id="155"/>
      <w:bookmarkEnd w:id="1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before="60" w:after="60"/>
              <w:ind w:right="113"/>
              <w:rPr>
                <w:b/>
                <w:sz w:val="19"/>
              </w:rPr>
            </w:pPr>
            <w:r>
              <w:rPr>
                <w:b/>
                <w:sz w:val="19"/>
              </w:rPr>
              <w:t>Citation</w:t>
            </w:r>
          </w:p>
        </w:tc>
        <w:tc>
          <w:tcPr>
            <w:tcW w:w="1276" w:type="dxa"/>
            <w:tcBorders>
              <w:top w:val="single" w:sz="4" w:space="0" w:color="auto"/>
              <w:bottom w:val="single" w:sz="4" w:space="0" w:color="auto"/>
            </w:tcBorders>
          </w:tcPr>
          <w:p>
            <w:pPr>
              <w:pStyle w:val="nTable"/>
              <w:spacing w:before="60" w:after="60"/>
              <w:rPr>
                <w:b/>
                <w:sz w:val="19"/>
              </w:rPr>
            </w:pPr>
            <w:r>
              <w:rPr>
                <w:b/>
                <w:sz w:val="19"/>
              </w:rPr>
              <w:t>Gazettal</w:t>
            </w:r>
          </w:p>
        </w:tc>
        <w:tc>
          <w:tcPr>
            <w:tcW w:w="2693" w:type="dxa"/>
            <w:tcBorders>
              <w:top w:val="single" w:sz="4" w:space="0" w:color="auto"/>
              <w:bottom w:val="single" w:sz="4" w:space="0" w:color="auto"/>
            </w:tcBorders>
          </w:tcPr>
          <w:p>
            <w:pPr>
              <w:pStyle w:val="nTable"/>
              <w:spacing w:before="60" w:after="60"/>
              <w:rPr>
                <w:b/>
                <w:sz w:val="19"/>
              </w:rPr>
            </w:pPr>
            <w:r>
              <w:rPr>
                <w:b/>
                <w:sz w:val="19"/>
              </w:rPr>
              <w:t>Commencement</w:t>
            </w:r>
          </w:p>
        </w:tc>
      </w:tr>
      <w:tr>
        <w:trPr>
          <w:cantSplit/>
        </w:trPr>
        <w:tc>
          <w:tcPr>
            <w:tcW w:w="3119" w:type="dxa"/>
            <w:tcBorders>
              <w:top w:val="single" w:sz="4" w:space="0" w:color="auto"/>
              <w:bottom w:val="single" w:sz="4" w:space="0" w:color="auto"/>
            </w:tcBorders>
          </w:tcPr>
          <w:p>
            <w:pPr>
              <w:pStyle w:val="nTable"/>
              <w:spacing w:before="120"/>
              <w:ind w:right="113"/>
              <w:rPr>
                <w:iCs/>
                <w:sz w:val="19"/>
              </w:rPr>
            </w:pPr>
            <w:r>
              <w:rPr>
                <w:i/>
                <w:sz w:val="19"/>
              </w:rPr>
              <w:t xml:space="preserve">Racing and Wagering Western Australia Amendment Regulations 2005 </w:t>
            </w:r>
            <w:r>
              <w:rPr>
                <w:iCs/>
                <w:sz w:val="19"/>
              </w:rPr>
              <w:t xml:space="preserve">r. 4 </w:t>
            </w:r>
            <w:r>
              <w:rPr>
                <w:iCs/>
                <w:sz w:val="19"/>
                <w:vertAlign w:val="superscript"/>
              </w:rPr>
              <w:t>3</w:t>
            </w:r>
          </w:p>
        </w:tc>
        <w:tc>
          <w:tcPr>
            <w:tcW w:w="1276" w:type="dxa"/>
            <w:tcBorders>
              <w:top w:val="single" w:sz="4" w:space="0" w:color="auto"/>
              <w:bottom w:val="single" w:sz="4" w:space="0" w:color="auto"/>
            </w:tcBorders>
          </w:tcPr>
          <w:p>
            <w:pPr>
              <w:pStyle w:val="nTable"/>
              <w:spacing w:before="120"/>
              <w:rPr>
                <w:sz w:val="19"/>
              </w:rPr>
            </w:pPr>
            <w:r>
              <w:rPr>
                <w:sz w:val="19"/>
              </w:rPr>
              <w:t>14 Oct 2005 p. 4567-8</w:t>
            </w:r>
          </w:p>
        </w:tc>
        <w:tc>
          <w:tcPr>
            <w:tcW w:w="2693" w:type="dxa"/>
            <w:tcBorders>
              <w:top w:val="single" w:sz="4" w:space="0" w:color="auto"/>
              <w:bottom w:val="single" w:sz="4" w:space="0" w:color="auto"/>
            </w:tcBorders>
          </w:tcPr>
          <w:p>
            <w:pPr>
              <w:pStyle w:val="nTable"/>
              <w:spacing w:before="120"/>
              <w:rPr>
                <w:sz w:val="19"/>
              </w:rPr>
            </w:pPr>
            <w:r>
              <w:rPr>
                <w:sz w:val="19"/>
              </w:rPr>
              <w:t>1 Jan 2006 (see r. 2)</w:t>
            </w:r>
          </w:p>
        </w:tc>
      </w:tr>
    </w:tbl>
    <w:p>
      <w:pPr>
        <w:pStyle w:val="nSubsection"/>
        <w:rPr>
          <w:iCs/>
        </w:rPr>
      </w:pPr>
      <w:r>
        <w:rPr>
          <w:vertAlign w:val="superscript"/>
        </w:rPr>
        <w:t>2</w:t>
      </w:r>
      <w:r>
        <w:tab/>
        <w:t xml:space="preserve">The </w:t>
      </w:r>
      <w:r>
        <w:rPr>
          <w:i/>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pPr>
      <w:r>
        <w:tab/>
        <w:t>(2)</w:t>
      </w:r>
      <w:r>
        <w:tab/>
        <w:t xml:space="preserve">In this regulation — </w:t>
      </w:r>
    </w:p>
    <w:p>
      <w:pPr>
        <w:pStyle w:val="nzDefstart"/>
      </w:pPr>
      <w:r>
        <w:rPr>
          <w:b/>
        </w:rPr>
        <w:tab/>
        <w:t>“</w:t>
      </w:r>
      <w:r>
        <w:rPr>
          <w:rStyle w:val="CharDefText"/>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Rules</w:t>
      </w:r>
      <w:r>
        <w:rPr>
          <w:b/>
        </w:rPr>
        <w:t>”</w:t>
      </w:r>
      <w:r>
        <w:t xml:space="preserve"> means the </w:t>
      </w:r>
      <w:r>
        <w:rPr>
          <w:iCs/>
        </w:rPr>
        <w:t>old Greyhound Racing Rules, the old Rules of Harness Racing and the old Rules of Racing;</w:t>
      </w:r>
    </w:p>
    <w:p>
      <w:pPr>
        <w:pStyle w:val="nzDefstart"/>
      </w:pPr>
      <w:r>
        <w:rPr>
          <w:b/>
        </w:rPr>
        <w:tab/>
        <w:t>“</w:t>
      </w:r>
      <w:r>
        <w:rPr>
          <w:rStyle w:val="CharDefText"/>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rStyle w:val="CharDefText"/>
        </w:rPr>
        <w:t>RWWA</w:t>
      </w:r>
      <w:r>
        <w:rPr>
          <w:b/>
        </w:rPr>
        <w:t>”</w:t>
      </w:r>
      <w:r>
        <w:t xml:space="preserve"> has the meaning given to that term in section 3(1) of the </w:t>
      </w:r>
      <w:r>
        <w:rPr>
          <w:i/>
          <w:iCs/>
        </w:rPr>
        <w:t>Racing and Wagering Western Australia Act 2003</w:t>
      </w:r>
      <w:r>
        <w:t>.</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z w:val="19"/>
        </w:rPr>
        <w:t xml:space="preserve">Racing and Wagering Western Australia Amendment Regulations 2005 </w:t>
      </w:r>
      <w:r>
        <w:rPr>
          <w:iCs/>
          <w:sz w:val="19"/>
        </w:rPr>
        <w:t>r. 4</w:t>
      </w:r>
      <w:r>
        <w:rPr>
          <w:snapToGrid w:val="0"/>
        </w:rPr>
        <w:t xml:space="preserve"> had not come into operation.  It reads as follows:</w:t>
      </w:r>
    </w:p>
    <w:p>
      <w:pPr>
        <w:pStyle w:val="MiscOpen"/>
        <w:keepNext w:val="0"/>
        <w:spacing w:before="60"/>
        <w:rPr>
          <w:sz w:val="20"/>
        </w:rPr>
      </w:pPr>
      <w:r>
        <w:rPr>
          <w:sz w:val="20"/>
        </w:rPr>
        <w:t>“</w:t>
      </w:r>
    </w:p>
    <w:p>
      <w:pPr>
        <w:pStyle w:val="nzHeading5"/>
      </w:pPr>
      <w:r>
        <w:rPr>
          <w:rStyle w:val="CharSectno"/>
        </w:rPr>
        <w:t>4</w:t>
      </w:r>
      <w:r>
        <w:t>.</w:t>
      </w:r>
      <w:r>
        <w:tab/>
        <w:t>Schedule 1 replaced</w:t>
      </w:r>
    </w:p>
    <w:p>
      <w:pPr>
        <w:pStyle w:val="nzSubsection"/>
      </w:pPr>
      <w:r>
        <w:tab/>
      </w:r>
      <w:r>
        <w:tab/>
        <w:t>Schedule 1 is repealed and the following Schedule is inserted instead —</w:t>
      </w:r>
    </w:p>
    <w:p>
      <w:pPr>
        <w:pStyle w:val="MiscOpen"/>
      </w:pPr>
      <w:r>
        <w:t xml:space="preserve">“    </w:t>
      </w:r>
    </w:p>
    <w:p>
      <w:pPr>
        <w:pStyle w:val="nzHeading2"/>
      </w:pPr>
      <w:r>
        <w:t>Schedule 1 — Fees</w:t>
      </w:r>
    </w:p>
    <w:p>
      <w:pPr>
        <w:pStyle w:val="nzMiscellaneousBody"/>
        <w:jc w:val="right"/>
      </w:pPr>
      <w:r>
        <w:t>[r. 6(1), 13(4)]</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111"/>
        <w:gridCol w:w="992"/>
      </w:tblGrid>
      <w:tr>
        <w:tc>
          <w:tcPr>
            <w:tcW w:w="1134" w:type="dxa"/>
            <w:tcBorders>
              <w:left w:val="nil"/>
              <w:bottom w:val="single" w:sz="4" w:space="0" w:color="auto"/>
              <w:right w:val="nil"/>
            </w:tcBorders>
          </w:tcPr>
          <w:p>
            <w:pPr>
              <w:pStyle w:val="nzTable"/>
              <w:jc w:val="center"/>
            </w:pPr>
            <w:r>
              <w:rPr>
                <w:b/>
              </w:rPr>
              <w:t>Item</w:t>
            </w:r>
          </w:p>
        </w:tc>
        <w:tc>
          <w:tcPr>
            <w:tcW w:w="4111" w:type="dxa"/>
            <w:tcBorders>
              <w:left w:val="nil"/>
              <w:bottom w:val="single" w:sz="4" w:space="0" w:color="auto"/>
              <w:right w:val="nil"/>
            </w:tcBorders>
          </w:tcPr>
          <w:p>
            <w:pPr>
              <w:pStyle w:val="nzTable"/>
              <w:jc w:val="center"/>
            </w:pPr>
            <w:r>
              <w:rPr>
                <w:b/>
              </w:rPr>
              <w:t>Subject</w:t>
            </w:r>
          </w:p>
        </w:tc>
        <w:tc>
          <w:tcPr>
            <w:tcW w:w="992" w:type="dxa"/>
            <w:tcBorders>
              <w:left w:val="nil"/>
              <w:bottom w:val="single" w:sz="4" w:space="0" w:color="auto"/>
              <w:right w:val="nil"/>
            </w:tcBorders>
          </w:tcPr>
          <w:p>
            <w:pPr>
              <w:pStyle w:val="nzTable"/>
              <w:jc w:val="center"/>
            </w:pPr>
            <w:r>
              <w:rPr>
                <w:b/>
              </w:rPr>
              <w:t>$</w:t>
            </w:r>
          </w:p>
        </w:tc>
      </w:tr>
      <w:tr>
        <w:tc>
          <w:tcPr>
            <w:tcW w:w="1134" w:type="dxa"/>
            <w:tcBorders>
              <w:top w:val="nil"/>
              <w:left w:val="nil"/>
              <w:bottom w:val="nil"/>
              <w:right w:val="nil"/>
            </w:tcBorders>
          </w:tcPr>
          <w:p>
            <w:pPr>
              <w:pStyle w:val="nzTable"/>
              <w:jc w:val="center"/>
            </w:pPr>
            <w:r>
              <w:t>1</w:t>
            </w:r>
          </w:p>
        </w:tc>
        <w:tc>
          <w:tcPr>
            <w:tcW w:w="4111" w:type="dxa"/>
            <w:tcBorders>
              <w:top w:val="nil"/>
              <w:left w:val="nil"/>
              <w:bottom w:val="nil"/>
              <w:right w:val="nil"/>
            </w:tcBorders>
          </w:tcPr>
          <w:p>
            <w:pPr>
              <w:pStyle w:val="nzTable"/>
            </w:pPr>
            <w:r>
              <w:t>Application fee for licence (r. 6(1)(c)(i);13(4)(c)(i))</w:t>
            </w:r>
          </w:p>
        </w:tc>
        <w:tc>
          <w:tcPr>
            <w:tcW w:w="992" w:type="dxa"/>
            <w:tcBorders>
              <w:top w:val="nil"/>
              <w:left w:val="nil"/>
              <w:bottom w:val="nil"/>
              <w:right w:val="nil"/>
            </w:tcBorders>
          </w:tcPr>
          <w:p>
            <w:pPr>
              <w:pStyle w:val="nzTable"/>
              <w:tabs>
                <w:tab w:val="right" w:pos="600"/>
              </w:tabs>
            </w:pPr>
            <w:r>
              <w:br/>
            </w:r>
            <w:r>
              <w:tab/>
              <w:t>345</w:t>
            </w:r>
          </w:p>
        </w:tc>
      </w:tr>
      <w:tr>
        <w:tc>
          <w:tcPr>
            <w:tcW w:w="1134" w:type="dxa"/>
            <w:tcBorders>
              <w:top w:val="nil"/>
              <w:left w:val="nil"/>
              <w:bottom w:val="single" w:sz="4" w:space="0" w:color="auto"/>
              <w:right w:val="nil"/>
            </w:tcBorders>
          </w:tcPr>
          <w:p>
            <w:pPr>
              <w:pStyle w:val="nzTable"/>
              <w:jc w:val="center"/>
            </w:pPr>
            <w:r>
              <w:t>2</w:t>
            </w:r>
          </w:p>
        </w:tc>
        <w:tc>
          <w:tcPr>
            <w:tcW w:w="4111" w:type="dxa"/>
            <w:tcBorders>
              <w:top w:val="nil"/>
              <w:left w:val="nil"/>
              <w:bottom w:val="single" w:sz="4" w:space="0" w:color="auto"/>
              <w:right w:val="nil"/>
            </w:tcBorders>
          </w:tcPr>
          <w:p>
            <w:pPr>
              <w:pStyle w:val="nzTable"/>
            </w:pPr>
            <w:r>
              <w:t>Application fee for renewal of licence (r. 6(1)(c)(i);13(4)(c)(i))</w:t>
            </w:r>
          </w:p>
        </w:tc>
        <w:tc>
          <w:tcPr>
            <w:tcW w:w="992" w:type="dxa"/>
            <w:tcBorders>
              <w:top w:val="nil"/>
              <w:left w:val="nil"/>
              <w:bottom w:val="single" w:sz="4" w:space="0" w:color="auto"/>
              <w:right w:val="nil"/>
            </w:tcBorders>
          </w:tcPr>
          <w:p>
            <w:pPr>
              <w:pStyle w:val="nzTable"/>
              <w:tabs>
                <w:tab w:val="right" w:pos="600"/>
              </w:tabs>
            </w:pPr>
            <w:r>
              <w:br/>
            </w:r>
            <w:r>
              <w:tab/>
              <w:t>95</w:t>
            </w:r>
          </w:p>
        </w:tc>
      </w:tr>
    </w:tbl>
    <w:p>
      <w:pPr>
        <w:pStyle w:val="MiscClose"/>
        <w:ind w:right="292"/>
      </w:pP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Racing and Wagering Western Australia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911"/>
    <w:docVar w:name="WAFER_20151209113911" w:val="RemoveTrackChanges"/>
    <w:docVar w:name="WAFER_20151209113911_GUID" w:val="2e2af70d-0ab9-4534-b0ea-9948aecfb4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13656</Words>
  <Characters>64598</Characters>
  <Application>Microsoft Office Word</Application>
  <DocSecurity>0</DocSecurity>
  <Lines>1794</Lines>
  <Paragraphs>978</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77276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2003 - 00-d0-03</dc:title>
  <dc:subject/>
  <dc:creator/>
  <cp:keywords/>
  <dc:description/>
  <cp:lastModifiedBy>svcMRProcess</cp:lastModifiedBy>
  <cp:revision>4</cp:revision>
  <cp:lastPrinted>2003-07-30T06:14:00Z</cp:lastPrinted>
  <dcterms:created xsi:type="dcterms:W3CDTF">2015-12-15T04:05:00Z</dcterms:created>
  <dcterms:modified xsi:type="dcterms:W3CDTF">2015-12-15T04:06:00Z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20051014</vt:lpwstr>
  </property>
  <property fmtid="{D5CDD505-2E9C-101B-9397-08002B2CF9AE}" pid="4" name="DocumentType">
    <vt:lpwstr>Reg</vt:lpwstr>
  </property>
  <property fmtid="{D5CDD505-2E9C-101B-9397-08002B2CF9AE}" pid="5" name="OwlsUID">
    <vt:i4>33853</vt:i4>
  </property>
  <property fmtid="{D5CDD505-2E9C-101B-9397-08002B2CF9AE}" pid="6" name="AsAtDate">
    <vt:lpwstr>14 Oct 2005</vt:lpwstr>
  </property>
  <property fmtid="{D5CDD505-2E9C-101B-9397-08002B2CF9AE}" pid="7" name="Suffix">
    <vt:lpwstr>00-d0-03</vt:lpwstr>
  </property>
</Properties>
</file>