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Strata Titles Act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Strata Titles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_Toc530554771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_Toc530554772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_Toc530554773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Single tier strata schemes to which s. 3AB applies</w:t>
      </w:r>
      <w:r>
        <w:tab/>
      </w:r>
      <w:r>
        <w:fldChar w:fldCharType="begin"/>
      </w:r>
      <w:r>
        <w:instrText xml:space="preserve"> PAGEREF _Toc530554774 \h </w:instrText>
      </w:r>
      <w:r>
        <w:fldChar w:fldCharType="separate"/>
      </w:r>
      <w:r>
        <w:t>10</w:t>
      </w:r>
      <w:r>
        <w:fldChar w:fldCharType="end"/>
      </w:r>
    </w:p>
    <w:p>
      <w:pPr>
        <w:pStyle w:val="TOC8"/>
        <w:rPr>
          <w:rFonts w:asciiTheme="minorHAnsi" w:eastAsiaTheme="minorEastAsia" w:hAnsiTheme="minorHAnsi" w:cstheme="minorBidi"/>
          <w:szCs w:val="22"/>
        </w:rPr>
      </w:pPr>
      <w:r>
        <w:t>3AB</w:t>
      </w:r>
      <w:r>
        <w:rPr>
          <w:snapToGrid w:val="0"/>
        </w:rPr>
        <w:t>.</w:t>
      </w:r>
      <w:r>
        <w:rPr>
          <w:snapToGrid w:val="0"/>
        </w:rPr>
        <w:tab/>
        <w:t>Alternative boundaries for lots in single tier strata schemes</w:t>
      </w:r>
      <w:r>
        <w:tab/>
      </w:r>
      <w:r>
        <w:fldChar w:fldCharType="begin"/>
      </w:r>
      <w:r>
        <w:instrText xml:space="preserve"> PAGEREF _Toc530554775 \h </w:instrText>
      </w:r>
      <w:r>
        <w:fldChar w:fldCharType="separate"/>
      </w:r>
      <w:r>
        <w:t>11</w:t>
      </w:r>
      <w:r>
        <w:fldChar w:fldCharType="end"/>
      </w:r>
    </w:p>
    <w:p>
      <w:pPr>
        <w:pStyle w:val="TOC8"/>
        <w:rPr>
          <w:rFonts w:asciiTheme="minorHAnsi" w:eastAsiaTheme="minorEastAsia" w:hAnsiTheme="minorHAnsi" w:cstheme="minorBidi"/>
          <w:szCs w:val="22"/>
        </w:rPr>
      </w:pPr>
      <w:r>
        <w:t>3AC</w:t>
      </w:r>
      <w:r>
        <w:rPr>
          <w:snapToGrid w:val="0"/>
        </w:rPr>
        <w:t>.</w:t>
      </w:r>
      <w:r>
        <w:rPr>
          <w:snapToGrid w:val="0"/>
        </w:rPr>
        <w:tab/>
        <w:t>R</w:t>
      </w:r>
      <w:r>
        <w:t>esolution without dissent</w:t>
      </w:r>
      <w:r>
        <w:tab/>
      </w:r>
      <w:r>
        <w:fldChar w:fldCharType="begin"/>
      </w:r>
      <w:r>
        <w:instrText xml:space="preserve"> PAGEREF _Toc530554776 \h </w:instrText>
      </w:r>
      <w:r>
        <w:fldChar w:fldCharType="separate"/>
      </w:r>
      <w:r>
        <w:t>12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Special resolution of strata company</w:t>
      </w:r>
      <w:r>
        <w:tab/>
      </w:r>
      <w:r>
        <w:fldChar w:fldCharType="begin"/>
      </w:r>
      <w:r>
        <w:instrText xml:space="preserve"> PAGEREF _Toc530554777 \h </w:instrText>
      </w:r>
      <w:r>
        <w:fldChar w:fldCharType="separate"/>
      </w:r>
      <w:r>
        <w:t>13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Supplementary provisions to s. 3AC and 3B</w:t>
      </w:r>
      <w:r>
        <w:tab/>
      </w:r>
      <w:r>
        <w:fldChar w:fldCharType="begin"/>
      </w:r>
      <w:r>
        <w:instrText xml:space="preserve"> PAGEREF _Toc530554778 \h </w:instrText>
      </w:r>
      <w:r>
        <w:fldChar w:fldCharType="separate"/>
      </w:r>
      <w:r>
        <w:t>15</w:t>
      </w:r>
      <w:r>
        <w:fldChar w:fldCharType="end"/>
      </w:r>
    </w:p>
    <w:p>
      <w:pPr>
        <w:pStyle w:val="TOC8"/>
        <w:rPr>
          <w:rFonts w:asciiTheme="minorHAnsi" w:eastAsiaTheme="minorEastAsia" w:hAnsiTheme="minorHAnsi" w:cstheme="minorBidi"/>
          <w:szCs w:val="22"/>
        </w:rPr>
      </w:pPr>
      <w:r>
        <w:t>3CA</w:t>
      </w:r>
      <w:r>
        <w:rPr>
          <w:snapToGrid w:val="0"/>
        </w:rPr>
        <w:t>.</w:t>
      </w:r>
      <w:r>
        <w:rPr>
          <w:snapToGrid w:val="0"/>
        </w:rPr>
        <w:tab/>
        <w:t>Certain resolutions deemed to be resolutions without dissent or special resolutions</w:t>
      </w:r>
      <w:r>
        <w:tab/>
      </w:r>
      <w:r>
        <w:fldChar w:fldCharType="begin"/>
      </w:r>
      <w:r>
        <w:instrText xml:space="preserve"> PAGEREF _Toc530554779 \h </w:instrText>
      </w:r>
      <w:r>
        <w:fldChar w:fldCharType="separate"/>
      </w:r>
      <w:r>
        <w:t>16</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Unfinancial proprietors may vote in certain cases</w:t>
      </w:r>
      <w:r>
        <w:tab/>
      </w:r>
      <w:r>
        <w:fldChar w:fldCharType="begin"/>
      </w:r>
      <w:r>
        <w:instrText xml:space="preserve"> PAGEREF _Toc530554780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Strata schemes and survey</w:t>
      </w:r>
      <w:r>
        <w:noBreakHyphen/>
        <w:t>strata schemes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Creation of lots and common property</w:t>
      </w:r>
    </w:p>
    <w:p>
      <w:pPr>
        <w:pStyle w:val="TOC8"/>
        <w:rPr>
          <w:rFonts w:asciiTheme="minorHAnsi" w:eastAsiaTheme="minorEastAsia" w:hAnsiTheme="minorHAnsi" w:cstheme="minorBidi"/>
          <w:szCs w:val="22"/>
        </w:rPr>
      </w:pPr>
      <w:r>
        <w:t>4</w:t>
      </w:r>
      <w:r>
        <w:rPr>
          <w:snapToGrid w:val="0"/>
        </w:rPr>
        <w:t>.</w:t>
      </w:r>
      <w:r>
        <w:rPr>
          <w:snapToGrid w:val="0"/>
        </w:rPr>
        <w:tab/>
        <w:t>Subdivision into lots and common property</w:t>
      </w:r>
      <w:r>
        <w:tab/>
      </w:r>
      <w:r>
        <w:fldChar w:fldCharType="begin"/>
      </w:r>
      <w:r>
        <w:instrText xml:space="preserve"> PAGEREF _Toc530554783 \h </w:instrText>
      </w:r>
      <w:r>
        <w:fldChar w:fldCharType="separate"/>
      </w:r>
      <w:r>
        <w:t>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Strata plan: requirements</w:t>
      </w:r>
      <w:r>
        <w:tab/>
      </w:r>
      <w:r>
        <w:fldChar w:fldCharType="begin"/>
      </w:r>
      <w:r>
        <w:instrText xml:space="preserve"> PAGEREF _Toc530554784 \h </w:instrText>
      </w:r>
      <w:r>
        <w:fldChar w:fldCharType="separate"/>
      </w:r>
      <w:r>
        <w:t>19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Survey</w:t>
      </w:r>
      <w:r>
        <w:rPr>
          <w:snapToGrid w:val="0"/>
        </w:rPr>
        <w:noBreakHyphen/>
        <w:t>strata plan: requirements</w:t>
      </w:r>
      <w:r>
        <w:tab/>
      </w:r>
      <w:r>
        <w:fldChar w:fldCharType="begin"/>
      </w:r>
      <w:r>
        <w:instrText xml:space="preserve"> PAGEREF _Toc530554785 \h </w:instrText>
      </w:r>
      <w:r>
        <w:fldChar w:fldCharType="separate"/>
      </w:r>
      <w:r>
        <w:t>20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Further provisions as to registration of plans</w:t>
      </w:r>
      <w:r>
        <w:tab/>
      </w:r>
      <w:r>
        <w:fldChar w:fldCharType="begin"/>
      </w:r>
      <w:r>
        <w:instrText xml:space="preserve"> PAGEREF _Toc530554786 \h </w:instrText>
      </w:r>
      <w:r>
        <w:fldChar w:fldCharType="separate"/>
      </w:r>
      <w:r>
        <w:t>21</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Management statement setting out by</w:t>
      </w:r>
      <w:r>
        <w:rPr>
          <w:snapToGrid w:val="0"/>
        </w:rPr>
        <w:noBreakHyphen/>
        <w:t>laws may be registered</w:t>
      </w:r>
      <w:r>
        <w:tab/>
      </w:r>
      <w:r>
        <w:fldChar w:fldCharType="begin"/>
      </w:r>
      <w:r>
        <w:instrText xml:space="preserve"> PAGEREF _Toc530554787 \h </w:instrText>
      </w:r>
      <w:r>
        <w:fldChar w:fldCharType="separate"/>
      </w:r>
      <w:r>
        <w:t>21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Creation of easements by notation on survey</w:t>
      </w:r>
      <w:r>
        <w:rPr>
          <w:snapToGrid w:val="0"/>
        </w:rPr>
        <w:noBreakHyphen/>
        <w:t>strata plans</w:t>
      </w:r>
      <w:r>
        <w:tab/>
      </w:r>
      <w:r>
        <w:fldChar w:fldCharType="begin"/>
      </w:r>
      <w:r>
        <w:instrText xml:space="preserve"> PAGEREF _Toc530554788 \h </w:instrText>
      </w:r>
      <w:r>
        <w:fldChar w:fldCharType="separate"/>
      </w:r>
      <w:r>
        <w:t>22</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Provision on plan etc. overrides regulations as to easements</w:t>
      </w:r>
      <w:r>
        <w:tab/>
      </w:r>
      <w:r>
        <w:fldChar w:fldCharType="begin"/>
      </w:r>
      <w:r>
        <w:instrText xml:space="preserve"> PAGEREF _Toc530554789 \h </w:instrText>
      </w:r>
      <w:r>
        <w:fldChar w:fldCharType="separate"/>
      </w:r>
      <w:r>
        <w:t>23</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Variation or discharge of easements under s. 5D</w:t>
      </w:r>
      <w:r>
        <w:tab/>
      </w:r>
      <w:r>
        <w:fldChar w:fldCharType="begin"/>
      </w:r>
      <w:r>
        <w:instrText xml:space="preserve"> PAGEREF _Toc530554790 \h </w:instrText>
      </w:r>
      <w:r>
        <w:fldChar w:fldCharType="separate"/>
      </w:r>
      <w:r>
        <w:t>24</w:t>
      </w:r>
      <w:r>
        <w:fldChar w:fldCharType="end"/>
      </w:r>
    </w:p>
    <w:p>
      <w:pPr>
        <w:pStyle w:val="TOC8"/>
        <w:rPr>
          <w:rFonts w:asciiTheme="minorHAnsi" w:eastAsiaTheme="minorEastAsia" w:hAnsiTheme="minorHAnsi" w:cstheme="minorBidi"/>
          <w:szCs w:val="22"/>
        </w:rPr>
      </w:pPr>
      <w:r>
        <w:t>5G</w:t>
      </w:r>
      <w:r>
        <w:rPr>
          <w:snapToGrid w:val="0"/>
        </w:rPr>
        <w:t>.</w:t>
      </w:r>
      <w:r>
        <w:rPr>
          <w:snapToGrid w:val="0"/>
        </w:rPr>
        <w:tab/>
        <w:t>Easement where common ownership</w:t>
      </w:r>
      <w:r>
        <w:tab/>
      </w:r>
      <w:r>
        <w:fldChar w:fldCharType="begin"/>
      </w:r>
      <w:r>
        <w:instrText xml:space="preserve"> PAGEREF _Toc530554791 \h </w:instrText>
      </w:r>
      <w:r>
        <w:fldChar w:fldCharType="separate"/>
      </w:r>
      <w:r>
        <w:t>24</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Regulations as to easements</w:t>
      </w:r>
      <w:r>
        <w:tab/>
      </w:r>
      <w:r>
        <w:fldChar w:fldCharType="begin"/>
      </w:r>
      <w:r>
        <w:instrText xml:space="preserve"> PAGEREF _Toc530554792 \h </w:instrText>
      </w:r>
      <w:r>
        <w:fldChar w:fldCharType="separate"/>
      </w:r>
      <w:r>
        <w:t>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Strata/survey</w:t>
      </w:r>
      <w:r>
        <w:rPr>
          <w:snapToGrid w:val="0"/>
        </w:rPr>
        <w:noBreakHyphen/>
        <w:t>strata plan may restrict use of parcel or part of parcel</w:t>
      </w:r>
      <w:r>
        <w:tab/>
      </w:r>
      <w:r>
        <w:fldChar w:fldCharType="begin"/>
      </w:r>
      <w:r>
        <w:instrText xml:space="preserve"> PAGEREF _Toc530554793 \h </w:instrText>
      </w:r>
      <w:r>
        <w:fldChar w:fldCharType="separate"/>
      </w:r>
      <w:r>
        <w:t>26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Restrictions relating to retired persons</w:t>
      </w:r>
      <w:r>
        <w:tab/>
      </w:r>
      <w:r>
        <w:fldChar w:fldCharType="begin"/>
      </w:r>
      <w:r>
        <w:instrText xml:space="preserve"> PAGEREF _Toc530554794 \h </w:instrText>
      </w:r>
      <w:r>
        <w:fldChar w:fldCharType="separate"/>
      </w:r>
      <w:r>
        <w:t>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Structural erections, alterations and extensions restricted, strata schemes</w:t>
      </w:r>
      <w:r>
        <w:tab/>
      </w:r>
      <w:r>
        <w:fldChar w:fldCharType="begin"/>
      </w:r>
      <w:r>
        <w:instrText xml:space="preserve"> PAGEREF _Toc530554795 \h </w:instrText>
      </w:r>
      <w:r>
        <w:fldChar w:fldCharType="separate"/>
      </w:r>
      <w:r>
        <w:t>27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Structural erections, alterations and extensions restricted, survey</w:t>
      </w:r>
      <w:r>
        <w:rPr>
          <w:snapToGrid w:val="0"/>
        </w:rPr>
        <w:noBreakHyphen/>
        <w:t>strata schemes</w:t>
      </w:r>
      <w:r>
        <w:tab/>
      </w:r>
      <w:r>
        <w:fldChar w:fldCharType="begin"/>
      </w:r>
      <w:r>
        <w:instrText xml:space="preserve"> PAGEREF _Toc530554796 \h </w:instrText>
      </w:r>
      <w:r>
        <w:fldChar w:fldCharType="separate"/>
      </w:r>
      <w:r>
        <w:t>29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Further provisions as to approvals for purposes of s. 7 and 7A</w:t>
      </w:r>
      <w:r>
        <w:tab/>
      </w:r>
      <w:r>
        <w:fldChar w:fldCharType="begin"/>
      </w:r>
      <w:r>
        <w:instrText xml:space="preserve"> PAGEREF _Toc530554797 \h </w:instrText>
      </w:r>
      <w:r>
        <w:fldChar w:fldCharType="separate"/>
      </w:r>
      <w:r>
        <w:t>30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w:t>
      </w:r>
      <w:r>
        <w:rPr>
          <w:snapToGrid w:val="0"/>
        </w:rPr>
        <w:noBreakHyphen/>
        <w:t>subdivision within a scheme</w:t>
      </w:r>
      <w:r>
        <w:tab/>
      </w:r>
      <w:r>
        <w:fldChar w:fldCharType="begin"/>
      </w:r>
      <w:r>
        <w:instrText xml:space="preserve"> PAGEREF _Toc530554798 \h </w:instrText>
      </w:r>
      <w:r>
        <w:fldChar w:fldCharType="separate"/>
      </w:r>
      <w:r>
        <w:t>32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Requirements for plan of re</w:t>
      </w:r>
      <w:r>
        <w:rPr>
          <w:snapToGrid w:val="0"/>
        </w:rPr>
        <w:noBreakHyphen/>
        <w:t>subdivision</w:t>
      </w:r>
      <w:r>
        <w:tab/>
      </w:r>
      <w:r>
        <w:fldChar w:fldCharType="begin"/>
      </w:r>
      <w:r>
        <w:instrText xml:space="preserve"> PAGEREF _Toc530554799 \h </w:instrText>
      </w:r>
      <w:r>
        <w:fldChar w:fldCharType="separate"/>
      </w:r>
      <w:r>
        <w:t>32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Transfers etc. to give effect to plan</w:t>
      </w:r>
      <w:r>
        <w:tab/>
      </w:r>
      <w:r>
        <w:fldChar w:fldCharType="begin"/>
      </w:r>
      <w:r>
        <w:instrText xml:space="preserve"> PAGEREF _Toc530554800 \h </w:instrText>
      </w:r>
      <w:r>
        <w:fldChar w:fldCharType="separate"/>
      </w:r>
      <w:r>
        <w:t>34</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Effect of registration of plan of re</w:t>
      </w:r>
      <w:r>
        <w:rPr>
          <w:snapToGrid w:val="0"/>
        </w:rPr>
        <w:noBreakHyphen/>
        <w:t>subdivision</w:t>
      </w:r>
      <w:r>
        <w:tab/>
      </w:r>
      <w:r>
        <w:fldChar w:fldCharType="begin"/>
      </w:r>
      <w:r>
        <w:instrText xml:space="preserve"> PAGEREF _Toc530554801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Consolidation of lots</w:t>
      </w:r>
      <w:r>
        <w:tab/>
      </w:r>
      <w:r>
        <w:fldChar w:fldCharType="begin"/>
      </w:r>
      <w:r>
        <w:instrText xml:space="preserve"> PAGEREF _Toc530554802 \h </w:instrText>
      </w:r>
      <w:r>
        <w:fldChar w:fldCharType="separate"/>
      </w:r>
      <w:r>
        <w:t>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Conversion of lots into common property</w:t>
      </w:r>
      <w:r>
        <w:tab/>
      </w:r>
      <w:r>
        <w:fldChar w:fldCharType="begin"/>
      </w:r>
      <w:r>
        <w:instrText xml:space="preserve"> PAGEREF _Toc530554803 \h </w:instrText>
      </w:r>
      <w:r>
        <w:fldChar w:fldCharType="separate"/>
      </w:r>
      <w:r>
        <w:t>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Support and services</w:t>
      </w:r>
      <w:r>
        <w:tab/>
      </w:r>
      <w:r>
        <w:fldChar w:fldCharType="begin"/>
      </w:r>
      <w:r>
        <w:instrText xml:space="preserve"> PAGEREF _Toc530554804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Shelter</w:t>
      </w:r>
      <w:r>
        <w:tab/>
      </w:r>
      <w:r>
        <w:fldChar w:fldCharType="begin"/>
      </w:r>
      <w:r>
        <w:instrText xml:space="preserve"> PAGEREF _Toc530554805 \h </w:instrText>
      </w:r>
      <w:r>
        <w:fldChar w:fldCharType="separate"/>
      </w:r>
      <w:r>
        <w:t>39</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Access for maintenance where part of building intrudes into another lot</w:t>
      </w:r>
      <w:r>
        <w:tab/>
      </w:r>
      <w:r>
        <w:fldChar w:fldCharType="begin"/>
      </w:r>
      <w:r>
        <w:instrText xml:space="preserve"> PAGEREF _Toc530554806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Ancillary rights</w:t>
      </w:r>
      <w:r>
        <w:tab/>
      </w:r>
      <w:r>
        <w:fldChar w:fldCharType="begin"/>
      </w:r>
      <w:r>
        <w:instrText xml:space="preserve"> PAGEREF _Toc530554807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Unit entitlement of lots</w:t>
      </w:r>
      <w:r>
        <w:tab/>
      </w:r>
      <w:r>
        <w:fldChar w:fldCharType="begin"/>
      </w:r>
      <w:r>
        <w:instrText xml:space="preserve"> PAGEREF _Toc530554808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Reallocation of unit entitlement by resolution without dissent (or unanimous resolution, in the case of a two</w:t>
      </w:r>
      <w:r>
        <w:rPr>
          <w:snapToGrid w:val="0"/>
        </w:rPr>
        <w:noBreakHyphen/>
        <w:t>lot scheme)</w:t>
      </w:r>
      <w:r>
        <w:tab/>
      </w:r>
      <w:r>
        <w:fldChar w:fldCharType="begin"/>
      </w:r>
      <w:r>
        <w:instrText xml:space="preserve"> PAGEREF _Toc530554809 \h </w:instrText>
      </w:r>
      <w:r>
        <w:fldChar w:fldCharType="separate"/>
      </w:r>
      <w:r>
        <w:t>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Reallocation of unit entitlement by SAT</w:t>
      </w:r>
      <w:r>
        <w:tab/>
      </w:r>
      <w:r>
        <w:fldChar w:fldCharType="begin"/>
      </w:r>
      <w:r>
        <w:instrText xml:space="preserve"> PAGEREF _Toc530554810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Common property</w:t>
      </w:r>
    </w:p>
    <w:p>
      <w:pPr>
        <w:pStyle w:val="TOC8"/>
        <w:rPr>
          <w:rFonts w:asciiTheme="minorHAnsi" w:eastAsiaTheme="minorEastAsia" w:hAnsiTheme="minorHAnsi" w:cstheme="minorBidi"/>
          <w:szCs w:val="22"/>
        </w:rPr>
      </w:pPr>
      <w:r>
        <w:t>17</w:t>
      </w:r>
      <w:r>
        <w:rPr>
          <w:snapToGrid w:val="0"/>
        </w:rPr>
        <w:t>.</w:t>
      </w:r>
      <w:r>
        <w:rPr>
          <w:snapToGrid w:val="0"/>
        </w:rPr>
        <w:tab/>
        <w:t>Ownership of common property</w:t>
      </w:r>
      <w:r>
        <w:tab/>
      </w:r>
      <w:r>
        <w:fldChar w:fldCharType="begin"/>
      </w:r>
      <w:r>
        <w:instrText xml:space="preserve"> PAGEREF _Toc530554812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Acquisition of additional common property</w:t>
      </w:r>
      <w:r>
        <w:tab/>
      </w:r>
      <w:r>
        <w:fldChar w:fldCharType="begin"/>
      </w:r>
      <w:r>
        <w:instrText xml:space="preserve"> PAGEREF _Toc530554813 \h </w:instrText>
      </w:r>
      <w:r>
        <w:fldChar w:fldCharType="separate"/>
      </w:r>
      <w:r>
        <w:t>45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 or lease of common property</w:t>
      </w:r>
      <w:r>
        <w:tab/>
      </w:r>
      <w:r>
        <w:fldChar w:fldCharType="begin"/>
      </w:r>
      <w:r>
        <w:instrText xml:space="preserve"> PAGEREF _Toc530554814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Creation of easements and covenants</w:t>
      </w:r>
      <w:r>
        <w:tab/>
      </w:r>
      <w:r>
        <w:fldChar w:fldCharType="begin"/>
      </w:r>
      <w:r>
        <w:instrText xml:space="preserve"> PAGEREF _Toc530554815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Encroachments treated as common property</w:t>
      </w:r>
      <w:r>
        <w:tab/>
      </w:r>
      <w:r>
        <w:fldChar w:fldCharType="begin"/>
      </w:r>
      <w:r>
        <w:instrText xml:space="preserve"> PAGEREF _Toc530554816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Merger of common property into lots in certain strata schemes</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21A</w:t>
      </w:r>
      <w:r>
        <w:rPr>
          <w:snapToGrid w:val="0"/>
        </w:rPr>
        <w:t>.</w:t>
      </w:r>
      <w:r>
        <w:rPr>
          <w:snapToGrid w:val="0"/>
        </w:rPr>
        <w:tab/>
        <w:t>Term used: existing small strata scheme</w:t>
      </w:r>
      <w:r>
        <w:tab/>
      </w:r>
      <w:r>
        <w:fldChar w:fldCharType="begin"/>
      </w:r>
      <w:r>
        <w:instrText xml:space="preserve"> PAGEREF _Toc530554819 \h </w:instrText>
      </w:r>
      <w:r>
        <w:fldChar w:fldCharType="separate"/>
      </w:r>
      <w:r>
        <w:t>52</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Division only applies to single tier strata schemes</w:t>
      </w:r>
      <w:r>
        <w:tab/>
      </w:r>
      <w:r>
        <w:fldChar w:fldCharType="begin"/>
      </w:r>
      <w:r>
        <w:instrText xml:space="preserve"> PAGEREF _Toc530554820 \h </w:instrText>
      </w:r>
      <w:r>
        <w:fldChar w:fldCharType="separate"/>
      </w:r>
      <w:r>
        <w:t>52</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Procedures cannot be invoked more than once</w:t>
      </w:r>
      <w:r>
        <w:tab/>
      </w:r>
      <w:r>
        <w:fldChar w:fldCharType="begin"/>
      </w:r>
      <w:r>
        <w:instrText xml:space="preserve"> PAGEREF _Toc530554821 \h </w:instrText>
      </w:r>
      <w:r>
        <w:fldChar w:fldCharType="separate"/>
      </w:r>
      <w:r>
        <w:t>52</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Saving</w:t>
      </w:r>
      <w:r>
        <w:tab/>
      </w:r>
      <w:r>
        <w:fldChar w:fldCharType="begin"/>
      </w:r>
      <w:r>
        <w:instrText xml:space="preserve"> PAGEREF _Toc530554822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Merger by resolution of buildings that are common property</w:t>
      </w:r>
    </w:p>
    <w:p>
      <w:pPr>
        <w:pStyle w:val="TOC8"/>
        <w:rPr>
          <w:rFonts w:asciiTheme="minorHAnsi" w:eastAsiaTheme="minorEastAsia" w:hAnsiTheme="minorHAnsi" w:cstheme="minorBidi"/>
          <w:szCs w:val="22"/>
        </w:rPr>
      </w:pPr>
      <w:r>
        <w:t>21E</w:t>
      </w:r>
      <w:r>
        <w:rPr>
          <w:snapToGrid w:val="0"/>
        </w:rPr>
        <w:t>.</w:t>
      </w:r>
      <w:r>
        <w:rPr>
          <w:snapToGrid w:val="0"/>
        </w:rPr>
        <w:tab/>
        <w:t>Application of this Subdivision</w:t>
      </w:r>
      <w:r>
        <w:tab/>
      </w:r>
      <w:r>
        <w:fldChar w:fldCharType="begin"/>
      </w:r>
      <w:r>
        <w:instrText xml:space="preserve"> PAGEREF _Toc530554824 \h </w:instrText>
      </w:r>
      <w:r>
        <w:fldChar w:fldCharType="separate"/>
      </w:r>
      <w:r>
        <w:t>53</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Resolution by strata company</w:t>
      </w:r>
      <w:r>
        <w:tab/>
      </w:r>
      <w:r>
        <w:fldChar w:fldCharType="begin"/>
      </w:r>
      <w:r>
        <w:instrText xml:space="preserve"> PAGEREF _Toc530554825 \h </w:instrText>
      </w:r>
      <w:r>
        <w:fldChar w:fldCharType="separate"/>
      </w:r>
      <w:r>
        <w:t>53</w:t>
      </w:r>
      <w:r>
        <w:fldChar w:fldCharType="end"/>
      </w:r>
    </w:p>
    <w:p>
      <w:pPr>
        <w:pStyle w:val="TOC8"/>
        <w:rPr>
          <w:rFonts w:asciiTheme="minorHAnsi" w:eastAsiaTheme="minorEastAsia" w:hAnsiTheme="minorHAnsi" w:cstheme="minorBidi"/>
          <w:szCs w:val="22"/>
        </w:rPr>
      </w:pPr>
      <w:r>
        <w:t>21G</w:t>
      </w:r>
      <w:r>
        <w:rPr>
          <w:snapToGrid w:val="0"/>
        </w:rPr>
        <w:t>.</w:t>
      </w:r>
      <w:r>
        <w:rPr>
          <w:snapToGrid w:val="0"/>
        </w:rPr>
        <w:tab/>
        <w:t>Lodgement of notice of resolution for registration</w:t>
      </w:r>
      <w:r>
        <w:tab/>
      </w:r>
      <w:r>
        <w:fldChar w:fldCharType="begin"/>
      </w:r>
      <w:r>
        <w:instrText xml:space="preserve"> PAGEREF _Toc530554826 \h </w:instrText>
      </w:r>
      <w:r>
        <w:fldChar w:fldCharType="separate"/>
      </w:r>
      <w:r>
        <w:t>53</w:t>
      </w:r>
      <w:r>
        <w:fldChar w:fldCharType="end"/>
      </w:r>
    </w:p>
    <w:p>
      <w:pPr>
        <w:pStyle w:val="TOC8"/>
        <w:rPr>
          <w:rFonts w:asciiTheme="minorHAnsi" w:eastAsiaTheme="minorEastAsia" w:hAnsiTheme="minorHAnsi" w:cstheme="minorBidi"/>
          <w:szCs w:val="22"/>
        </w:rPr>
      </w:pPr>
      <w:r>
        <w:t>21H</w:t>
      </w:r>
      <w:r>
        <w:rPr>
          <w:snapToGrid w:val="0"/>
        </w:rPr>
        <w:t>.</w:t>
      </w:r>
      <w:r>
        <w:rPr>
          <w:snapToGrid w:val="0"/>
        </w:rPr>
        <w:tab/>
        <w:t>Registration of notice of resolution</w:t>
      </w:r>
      <w:r>
        <w:tab/>
      </w:r>
      <w:r>
        <w:fldChar w:fldCharType="begin"/>
      </w:r>
      <w:r>
        <w:instrText xml:space="preserve"> PAGEREF _Toc530554827 \h </w:instrText>
      </w:r>
      <w:r>
        <w:fldChar w:fldCharType="separate"/>
      </w:r>
      <w:r>
        <w:t>54</w:t>
      </w:r>
      <w:r>
        <w:fldChar w:fldCharType="end"/>
      </w:r>
    </w:p>
    <w:p>
      <w:pPr>
        <w:pStyle w:val="TOC8"/>
        <w:rPr>
          <w:rFonts w:asciiTheme="minorHAnsi" w:eastAsiaTheme="minorEastAsia" w:hAnsiTheme="minorHAnsi" w:cstheme="minorBidi"/>
          <w:szCs w:val="22"/>
        </w:rPr>
      </w:pPr>
      <w:r>
        <w:t>21I</w:t>
      </w:r>
      <w:r>
        <w:rPr>
          <w:snapToGrid w:val="0"/>
        </w:rPr>
        <w:t>.</w:t>
      </w:r>
      <w:r>
        <w:rPr>
          <w:snapToGrid w:val="0"/>
        </w:rPr>
        <w:tab/>
        <w:t>Effect of registration</w:t>
      </w:r>
      <w:r>
        <w:tab/>
      </w:r>
      <w:r>
        <w:fldChar w:fldCharType="begin"/>
      </w:r>
      <w:r>
        <w:instrText xml:space="preserve"> PAGEREF _Toc530554828 \h </w:instrText>
      </w:r>
      <w:r>
        <w:fldChar w:fldCharType="separate"/>
      </w:r>
      <w:r>
        <w:t>54</w:t>
      </w:r>
      <w:r>
        <w:fldChar w:fldCharType="end"/>
      </w:r>
    </w:p>
    <w:p>
      <w:pPr>
        <w:pStyle w:val="TOC8"/>
        <w:rPr>
          <w:rFonts w:asciiTheme="minorHAnsi" w:eastAsiaTheme="minorEastAsia" w:hAnsiTheme="minorHAnsi" w:cstheme="minorBidi"/>
          <w:szCs w:val="22"/>
        </w:rPr>
      </w:pPr>
      <w:r>
        <w:t>21J</w:t>
      </w:r>
      <w:r>
        <w:rPr>
          <w:snapToGrid w:val="0"/>
        </w:rPr>
        <w:t>.</w:t>
      </w:r>
      <w:r>
        <w:rPr>
          <w:snapToGrid w:val="0"/>
        </w:rPr>
        <w:tab/>
        <w:t>Registrar of Titles to amend strata plan</w:t>
      </w:r>
      <w:r>
        <w:tab/>
      </w:r>
      <w:r>
        <w:fldChar w:fldCharType="begin"/>
      </w:r>
      <w:r>
        <w:instrText xml:space="preserve"> PAGEREF _Toc530554829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Automatic merger of buildings that are common property</w:t>
      </w:r>
    </w:p>
    <w:p>
      <w:pPr>
        <w:pStyle w:val="TOC8"/>
        <w:rPr>
          <w:rFonts w:asciiTheme="minorHAnsi" w:eastAsiaTheme="minorEastAsia" w:hAnsiTheme="minorHAnsi" w:cstheme="minorBidi"/>
          <w:szCs w:val="22"/>
        </w:rPr>
      </w:pPr>
      <w:r>
        <w:t>21K</w:t>
      </w:r>
      <w:r>
        <w:rPr>
          <w:snapToGrid w:val="0"/>
        </w:rPr>
        <w:t>.</w:t>
      </w:r>
      <w:r>
        <w:rPr>
          <w:snapToGrid w:val="0"/>
        </w:rPr>
        <w:tab/>
        <w:t>Terms used</w:t>
      </w:r>
      <w:r>
        <w:tab/>
      </w:r>
      <w:r>
        <w:fldChar w:fldCharType="begin"/>
      </w:r>
      <w:r>
        <w:instrText xml:space="preserve"> PAGEREF _Toc530554831 \h </w:instrText>
      </w:r>
      <w:r>
        <w:fldChar w:fldCharType="separate"/>
      </w:r>
      <w:r>
        <w:t>55</w:t>
      </w:r>
      <w:r>
        <w:fldChar w:fldCharType="end"/>
      </w:r>
    </w:p>
    <w:p>
      <w:pPr>
        <w:pStyle w:val="TOC8"/>
        <w:rPr>
          <w:rFonts w:asciiTheme="minorHAnsi" w:eastAsiaTheme="minorEastAsia" w:hAnsiTheme="minorHAnsi" w:cstheme="minorBidi"/>
          <w:szCs w:val="22"/>
        </w:rPr>
      </w:pPr>
      <w:r>
        <w:t>21L</w:t>
      </w:r>
      <w:r>
        <w:rPr>
          <w:snapToGrid w:val="0"/>
        </w:rPr>
        <w:t>.</w:t>
      </w:r>
      <w:r>
        <w:rPr>
          <w:snapToGrid w:val="0"/>
        </w:rPr>
        <w:tab/>
        <w:t>Application of this Subdivision</w:t>
      </w:r>
      <w:r>
        <w:tab/>
      </w:r>
      <w:r>
        <w:fldChar w:fldCharType="begin"/>
      </w:r>
      <w:r>
        <w:instrText xml:space="preserve"> PAGEREF _Toc530554832 \h </w:instrText>
      </w:r>
      <w:r>
        <w:fldChar w:fldCharType="separate"/>
      </w:r>
      <w:r>
        <w:t>55</w:t>
      </w:r>
      <w:r>
        <w:fldChar w:fldCharType="end"/>
      </w:r>
    </w:p>
    <w:p>
      <w:pPr>
        <w:pStyle w:val="TOC8"/>
        <w:rPr>
          <w:rFonts w:asciiTheme="minorHAnsi" w:eastAsiaTheme="minorEastAsia" w:hAnsiTheme="minorHAnsi" w:cstheme="minorBidi"/>
          <w:szCs w:val="22"/>
        </w:rPr>
      </w:pPr>
      <w:r>
        <w:t>21M</w:t>
      </w:r>
      <w:r>
        <w:rPr>
          <w:snapToGrid w:val="0"/>
        </w:rPr>
        <w:t>.</w:t>
      </w:r>
      <w:r>
        <w:rPr>
          <w:snapToGrid w:val="0"/>
        </w:rPr>
        <w:tab/>
        <w:t>Automatic application of lot boundaries under s. 3AB</w:t>
      </w:r>
      <w:r>
        <w:tab/>
      </w:r>
      <w:r>
        <w:fldChar w:fldCharType="begin"/>
      </w:r>
      <w:r>
        <w:instrText xml:space="preserve"> PAGEREF _Toc530554833 \h </w:instrText>
      </w:r>
      <w:r>
        <w:fldChar w:fldCharType="separate"/>
      </w:r>
      <w:r>
        <w:t>56</w:t>
      </w:r>
      <w:r>
        <w:fldChar w:fldCharType="end"/>
      </w:r>
    </w:p>
    <w:p>
      <w:pPr>
        <w:pStyle w:val="TOC8"/>
        <w:rPr>
          <w:rFonts w:asciiTheme="minorHAnsi" w:eastAsiaTheme="minorEastAsia" w:hAnsiTheme="minorHAnsi" w:cstheme="minorBidi"/>
          <w:szCs w:val="22"/>
        </w:rPr>
      </w:pPr>
      <w:r>
        <w:t>21N</w:t>
      </w:r>
      <w:r>
        <w:rPr>
          <w:snapToGrid w:val="0"/>
        </w:rPr>
        <w:t>.</w:t>
      </w:r>
      <w:r>
        <w:rPr>
          <w:snapToGrid w:val="0"/>
        </w:rPr>
        <w:tab/>
        <w:t>Plan to be noted</w:t>
      </w:r>
      <w:r>
        <w:tab/>
      </w:r>
      <w:r>
        <w:fldChar w:fldCharType="begin"/>
      </w:r>
      <w:r>
        <w:instrText xml:space="preserve"> PAGEREF _Toc530554834 \h </w:instrText>
      </w:r>
      <w:r>
        <w:fldChar w:fldCharType="separate"/>
      </w:r>
      <w:r>
        <w:t>56</w:t>
      </w:r>
      <w:r>
        <w:fldChar w:fldCharType="end"/>
      </w:r>
    </w:p>
    <w:p>
      <w:pPr>
        <w:pStyle w:val="TOC8"/>
        <w:rPr>
          <w:rFonts w:asciiTheme="minorHAnsi" w:eastAsiaTheme="minorEastAsia" w:hAnsiTheme="minorHAnsi" w:cstheme="minorBidi"/>
          <w:szCs w:val="22"/>
        </w:rPr>
      </w:pPr>
      <w:r>
        <w:t>21O</w:t>
      </w:r>
      <w:r>
        <w:rPr>
          <w:snapToGrid w:val="0"/>
        </w:rPr>
        <w:t>.</w:t>
      </w:r>
      <w:r>
        <w:rPr>
          <w:snapToGrid w:val="0"/>
        </w:rPr>
        <w:tab/>
        <w:t>Objection by proprietor</w:t>
      </w:r>
      <w:r>
        <w:tab/>
      </w:r>
      <w:r>
        <w:fldChar w:fldCharType="begin"/>
      </w:r>
      <w:r>
        <w:instrText xml:space="preserve"> PAGEREF _Toc530554835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Merger by resolution of land that is common property</w:t>
      </w:r>
    </w:p>
    <w:p>
      <w:pPr>
        <w:pStyle w:val="TOC8"/>
        <w:rPr>
          <w:rFonts w:asciiTheme="minorHAnsi" w:eastAsiaTheme="minorEastAsia" w:hAnsiTheme="minorHAnsi" w:cstheme="minorBidi"/>
          <w:szCs w:val="22"/>
        </w:rPr>
      </w:pPr>
      <w:r>
        <w:t>21P</w:t>
      </w:r>
      <w:r>
        <w:rPr>
          <w:snapToGrid w:val="0"/>
        </w:rPr>
        <w:t>.</w:t>
      </w:r>
      <w:r>
        <w:rPr>
          <w:snapToGrid w:val="0"/>
        </w:rPr>
        <w:tab/>
        <w:t>Application of this Subdivision</w:t>
      </w:r>
      <w:r>
        <w:tab/>
      </w:r>
      <w:r>
        <w:fldChar w:fldCharType="begin"/>
      </w:r>
      <w:r>
        <w:instrText xml:space="preserve"> PAGEREF _Toc530554837 \h </w:instrText>
      </w:r>
      <w:r>
        <w:fldChar w:fldCharType="separate"/>
      </w:r>
      <w:r>
        <w:t>57</w:t>
      </w:r>
      <w:r>
        <w:fldChar w:fldCharType="end"/>
      </w:r>
    </w:p>
    <w:p>
      <w:pPr>
        <w:pStyle w:val="TOC8"/>
        <w:rPr>
          <w:rFonts w:asciiTheme="minorHAnsi" w:eastAsiaTheme="minorEastAsia" w:hAnsiTheme="minorHAnsi" w:cstheme="minorBidi"/>
          <w:szCs w:val="22"/>
        </w:rPr>
      </w:pPr>
      <w:r>
        <w:t>21Q</w:t>
      </w:r>
      <w:r>
        <w:rPr>
          <w:snapToGrid w:val="0"/>
        </w:rPr>
        <w:t>.</w:t>
      </w:r>
      <w:r>
        <w:rPr>
          <w:snapToGrid w:val="0"/>
        </w:rPr>
        <w:tab/>
        <w:t>Resolution by strata company</w:t>
      </w:r>
      <w:r>
        <w:tab/>
      </w:r>
      <w:r>
        <w:fldChar w:fldCharType="begin"/>
      </w:r>
      <w:r>
        <w:instrText xml:space="preserve"> PAGEREF _Toc530554838 \h </w:instrText>
      </w:r>
      <w:r>
        <w:fldChar w:fldCharType="separate"/>
      </w:r>
      <w:r>
        <w:t>57</w:t>
      </w:r>
      <w:r>
        <w:fldChar w:fldCharType="end"/>
      </w:r>
    </w:p>
    <w:p>
      <w:pPr>
        <w:pStyle w:val="TOC8"/>
        <w:rPr>
          <w:rFonts w:asciiTheme="minorHAnsi" w:eastAsiaTheme="minorEastAsia" w:hAnsiTheme="minorHAnsi" w:cstheme="minorBidi"/>
          <w:szCs w:val="22"/>
        </w:rPr>
      </w:pPr>
      <w:r>
        <w:t>21R</w:t>
      </w:r>
      <w:r>
        <w:rPr>
          <w:snapToGrid w:val="0"/>
        </w:rPr>
        <w:t>.</w:t>
      </w:r>
      <w:r>
        <w:rPr>
          <w:snapToGrid w:val="0"/>
        </w:rPr>
        <w:tab/>
        <w:t>Further provisions as to contents of resolution</w:t>
      </w:r>
      <w:r>
        <w:tab/>
      </w:r>
      <w:r>
        <w:fldChar w:fldCharType="begin"/>
      </w:r>
      <w:r>
        <w:instrText xml:space="preserve"> PAGEREF _Toc530554839 \h </w:instrText>
      </w:r>
      <w:r>
        <w:fldChar w:fldCharType="separate"/>
      </w:r>
      <w:r>
        <w:t>58</w:t>
      </w:r>
      <w:r>
        <w:fldChar w:fldCharType="end"/>
      </w:r>
    </w:p>
    <w:p>
      <w:pPr>
        <w:pStyle w:val="TOC8"/>
        <w:rPr>
          <w:rFonts w:asciiTheme="minorHAnsi" w:eastAsiaTheme="minorEastAsia" w:hAnsiTheme="minorHAnsi" w:cstheme="minorBidi"/>
          <w:szCs w:val="22"/>
        </w:rPr>
      </w:pPr>
      <w:r>
        <w:t>21S</w:t>
      </w:r>
      <w:r>
        <w:rPr>
          <w:snapToGrid w:val="0"/>
        </w:rPr>
        <w:t>.</w:t>
      </w:r>
      <w:r>
        <w:rPr>
          <w:snapToGrid w:val="0"/>
        </w:rPr>
        <w:tab/>
        <w:t>Notice of resolution may be lodged for registration</w:t>
      </w:r>
      <w:r>
        <w:tab/>
      </w:r>
      <w:r>
        <w:fldChar w:fldCharType="begin"/>
      </w:r>
      <w:r>
        <w:instrText xml:space="preserve"> PAGEREF _Toc530554840 \h </w:instrText>
      </w:r>
      <w:r>
        <w:fldChar w:fldCharType="separate"/>
      </w:r>
      <w:r>
        <w:t>58</w:t>
      </w:r>
      <w:r>
        <w:fldChar w:fldCharType="end"/>
      </w:r>
    </w:p>
    <w:p>
      <w:pPr>
        <w:pStyle w:val="TOC8"/>
        <w:rPr>
          <w:rFonts w:asciiTheme="minorHAnsi" w:eastAsiaTheme="minorEastAsia" w:hAnsiTheme="minorHAnsi" w:cstheme="minorBidi"/>
          <w:szCs w:val="22"/>
        </w:rPr>
      </w:pPr>
      <w:r>
        <w:t>21T</w:t>
      </w:r>
      <w:r>
        <w:rPr>
          <w:snapToGrid w:val="0"/>
        </w:rPr>
        <w:t>.</w:t>
      </w:r>
      <w:r>
        <w:rPr>
          <w:snapToGrid w:val="0"/>
        </w:rPr>
        <w:tab/>
        <w:t>Documents to accompany notice</w:t>
      </w:r>
      <w:r>
        <w:tab/>
      </w:r>
      <w:r>
        <w:fldChar w:fldCharType="begin"/>
      </w:r>
      <w:r>
        <w:instrText xml:space="preserve"> PAGEREF _Toc530554841 \h </w:instrText>
      </w:r>
      <w:r>
        <w:fldChar w:fldCharType="separate"/>
      </w:r>
      <w:r>
        <w:t>59</w:t>
      </w:r>
      <w:r>
        <w:fldChar w:fldCharType="end"/>
      </w:r>
    </w:p>
    <w:p>
      <w:pPr>
        <w:pStyle w:val="TOC8"/>
        <w:rPr>
          <w:rFonts w:asciiTheme="minorHAnsi" w:eastAsiaTheme="minorEastAsia" w:hAnsiTheme="minorHAnsi" w:cstheme="minorBidi"/>
          <w:szCs w:val="22"/>
        </w:rPr>
      </w:pPr>
      <w:r>
        <w:t>21U</w:t>
      </w:r>
      <w:r>
        <w:rPr>
          <w:snapToGrid w:val="0"/>
        </w:rPr>
        <w:t>.</w:t>
      </w:r>
      <w:r>
        <w:rPr>
          <w:snapToGrid w:val="0"/>
        </w:rPr>
        <w:tab/>
        <w:t>Certificate of licensed surveyor</w:t>
      </w:r>
      <w:r>
        <w:tab/>
      </w:r>
      <w:r>
        <w:fldChar w:fldCharType="begin"/>
      </w:r>
      <w:r>
        <w:instrText xml:space="preserve"> PAGEREF _Toc530554842 \h </w:instrText>
      </w:r>
      <w:r>
        <w:fldChar w:fldCharType="separate"/>
      </w:r>
      <w:r>
        <w:t>60</w:t>
      </w:r>
      <w:r>
        <w:fldChar w:fldCharType="end"/>
      </w:r>
    </w:p>
    <w:p>
      <w:pPr>
        <w:pStyle w:val="TOC8"/>
        <w:rPr>
          <w:rFonts w:asciiTheme="minorHAnsi" w:eastAsiaTheme="minorEastAsia" w:hAnsiTheme="minorHAnsi" w:cstheme="minorBidi"/>
          <w:szCs w:val="22"/>
        </w:rPr>
      </w:pPr>
      <w:r>
        <w:t>21V</w:t>
      </w:r>
      <w:r>
        <w:rPr>
          <w:snapToGrid w:val="0"/>
        </w:rPr>
        <w:t>.</w:t>
      </w:r>
      <w:r>
        <w:rPr>
          <w:snapToGrid w:val="0"/>
        </w:rPr>
        <w:tab/>
        <w:t>Transfers etc. to give effect to notice of resolution</w:t>
      </w:r>
      <w:r>
        <w:tab/>
      </w:r>
      <w:r>
        <w:fldChar w:fldCharType="begin"/>
      </w:r>
      <w:r>
        <w:instrText xml:space="preserve"> PAGEREF _Toc530554843 \h </w:instrText>
      </w:r>
      <w:r>
        <w:fldChar w:fldCharType="separate"/>
      </w:r>
      <w:r>
        <w:t>62</w:t>
      </w:r>
      <w:r>
        <w:fldChar w:fldCharType="end"/>
      </w:r>
    </w:p>
    <w:p>
      <w:pPr>
        <w:pStyle w:val="TOC8"/>
        <w:rPr>
          <w:rFonts w:asciiTheme="minorHAnsi" w:eastAsiaTheme="minorEastAsia" w:hAnsiTheme="minorHAnsi" w:cstheme="minorBidi"/>
          <w:szCs w:val="22"/>
        </w:rPr>
      </w:pPr>
      <w:r>
        <w:t>21W</w:t>
      </w:r>
      <w:r>
        <w:rPr>
          <w:snapToGrid w:val="0"/>
        </w:rPr>
        <w:t>.</w:t>
      </w:r>
      <w:r>
        <w:rPr>
          <w:snapToGrid w:val="0"/>
        </w:rPr>
        <w:tab/>
        <w:t>Creation of easements for parking etc.</w:t>
      </w:r>
      <w:r>
        <w:tab/>
      </w:r>
      <w:r>
        <w:fldChar w:fldCharType="begin"/>
      </w:r>
      <w:r>
        <w:instrText xml:space="preserve"> PAGEREF _Toc530554844 \h </w:instrText>
      </w:r>
      <w:r>
        <w:fldChar w:fldCharType="separate"/>
      </w:r>
      <w:r>
        <w:t>62</w:t>
      </w:r>
      <w:r>
        <w:fldChar w:fldCharType="end"/>
      </w:r>
    </w:p>
    <w:p>
      <w:pPr>
        <w:pStyle w:val="TOC8"/>
        <w:rPr>
          <w:rFonts w:asciiTheme="minorHAnsi" w:eastAsiaTheme="minorEastAsia" w:hAnsiTheme="minorHAnsi" w:cstheme="minorBidi"/>
          <w:szCs w:val="22"/>
        </w:rPr>
      </w:pPr>
      <w:r>
        <w:t>21X</w:t>
      </w:r>
      <w:r>
        <w:rPr>
          <w:snapToGrid w:val="0"/>
        </w:rPr>
        <w:t>.</w:t>
      </w:r>
      <w:r>
        <w:rPr>
          <w:snapToGrid w:val="0"/>
        </w:rPr>
        <w:tab/>
        <w:t>Registration of notice of resolution</w:t>
      </w:r>
      <w:r>
        <w:tab/>
      </w:r>
      <w:r>
        <w:fldChar w:fldCharType="begin"/>
      </w:r>
      <w:r>
        <w:instrText xml:space="preserve"> PAGEREF _Toc530554845 \h </w:instrText>
      </w:r>
      <w:r>
        <w:fldChar w:fldCharType="separate"/>
      </w:r>
      <w:r>
        <w:t>63</w:t>
      </w:r>
      <w:r>
        <w:fldChar w:fldCharType="end"/>
      </w:r>
    </w:p>
    <w:p>
      <w:pPr>
        <w:pStyle w:val="TOC8"/>
        <w:rPr>
          <w:rFonts w:asciiTheme="minorHAnsi" w:eastAsiaTheme="minorEastAsia" w:hAnsiTheme="minorHAnsi" w:cstheme="minorBidi"/>
          <w:szCs w:val="22"/>
        </w:rPr>
      </w:pPr>
      <w:r>
        <w:t>21Y</w:t>
      </w:r>
      <w:r>
        <w:rPr>
          <w:snapToGrid w:val="0"/>
        </w:rPr>
        <w:t>.</w:t>
      </w:r>
      <w:r>
        <w:rPr>
          <w:snapToGrid w:val="0"/>
        </w:rPr>
        <w:tab/>
        <w:t>Effect of registration</w:t>
      </w:r>
      <w:r>
        <w:tab/>
      </w:r>
      <w:r>
        <w:fldChar w:fldCharType="begin"/>
      </w:r>
      <w:r>
        <w:instrText xml:space="preserve"> PAGEREF _Toc530554846 \h </w:instrText>
      </w:r>
      <w:r>
        <w:fldChar w:fldCharType="separate"/>
      </w:r>
      <w:r>
        <w:t>63</w:t>
      </w:r>
      <w:r>
        <w:fldChar w:fldCharType="end"/>
      </w:r>
    </w:p>
    <w:p>
      <w:pPr>
        <w:pStyle w:val="TOC8"/>
        <w:rPr>
          <w:rFonts w:asciiTheme="minorHAnsi" w:eastAsiaTheme="minorEastAsia" w:hAnsiTheme="minorHAnsi" w:cstheme="minorBidi"/>
          <w:szCs w:val="22"/>
        </w:rPr>
      </w:pPr>
      <w:r>
        <w:t>21Z</w:t>
      </w:r>
      <w:r>
        <w:rPr>
          <w:snapToGrid w:val="0"/>
        </w:rPr>
        <w:t>.</w:t>
      </w:r>
      <w:r>
        <w:rPr>
          <w:snapToGrid w:val="0"/>
        </w:rPr>
        <w:tab/>
        <w:t>Registrar of Titles to make necessary amendments</w:t>
      </w:r>
      <w:r>
        <w:tab/>
      </w:r>
      <w:r>
        <w:fldChar w:fldCharType="begin"/>
      </w:r>
      <w:r>
        <w:instrText xml:space="preserve"> PAGEREF _Toc530554847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Certificates and approvals</w:t>
      </w:r>
    </w:p>
    <w:p>
      <w:pPr>
        <w:pStyle w:val="TOC8"/>
        <w:rPr>
          <w:rFonts w:asciiTheme="minorHAnsi" w:eastAsiaTheme="minorEastAsia" w:hAnsiTheme="minorHAnsi" w:cstheme="minorBidi"/>
          <w:szCs w:val="22"/>
        </w:rPr>
      </w:pPr>
      <w:r>
        <w:t>22</w:t>
      </w:r>
      <w:r>
        <w:rPr>
          <w:snapToGrid w:val="0"/>
        </w:rPr>
        <w:t>.</w:t>
      </w:r>
      <w:r>
        <w:rPr>
          <w:snapToGrid w:val="0"/>
        </w:rPr>
        <w:tab/>
        <w:t>Certificate of licensed surveyor</w:t>
      </w:r>
      <w:r>
        <w:tab/>
      </w:r>
      <w:r>
        <w:fldChar w:fldCharType="begin"/>
      </w:r>
      <w:r>
        <w:instrText xml:space="preserve"> PAGEREF _Toc530554849 \h </w:instrText>
      </w:r>
      <w:r>
        <w:fldChar w:fldCharType="separate"/>
      </w:r>
      <w:r>
        <w:t>65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Preliminary determinations by local government</w:t>
      </w:r>
      <w:r>
        <w:tab/>
      </w:r>
      <w:r>
        <w:fldChar w:fldCharType="begin"/>
      </w:r>
      <w:r>
        <w:instrText xml:space="preserve"> PAGEREF _Toc530554850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Certificate of Commission</w:t>
      </w:r>
      <w:r>
        <w:tab/>
      </w:r>
      <w:r>
        <w:fldChar w:fldCharType="begin"/>
      </w:r>
      <w:r>
        <w:instrText xml:space="preserve"> PAGEREF _Toc530554851 \h </w:instrText>
      </w:r>
      <w:r>
        <w:fldChar w:fldCharType="separate"/>
      </w:r>
      <w:r>
        <w:t>67</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Commission to refer plan to other bodies in certain cases</w:t>
      </w:r>
      <w:r>
        <w:tab/>
      </w:r>
      <w:r>
        <w:fldChar w:fldCharType="begin"/>
      </w:r>
      <w:r>
        <w:instrText xml:space="preserve"> PAGEREF _Toc530554852 \h </w:instrText>
      </w:r>
      <w:r>
        <w:fldChar w:fldCharType="separate"/>
      </w:r>
      <w:r>
        <w:t>69</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Subdivision in survey</w:t>
      </w:r>
      <w:r>
        <w:rPr>
          <w:snapToGrid w:val="0"/>
        </w:rPr>
        <w:noBreakHyphen/>
        <w:t>strata scheme requires approval by Commission</w:t>
      </w:r>
      <w:r>
        <w:tab/>
      </w:r>
      <w:r>
        <w:fldChar w:fldCharType="begin"/>
      </w:r>
      <w:r>
        <w:instrText xml:space="preserve"> PAGEREF _Toc530554853 \h </w:instrText>
      </w:r>
      <w:r>
        <w:fldChar w:fldCharType="separate"/>
      </w:r>
      <w:r>
        <w:t>69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local government decision</w:t>
      </w:r>
      <w:r>
        <w:tab/>
      </w:r>
      <w:r>
        <w:fldChar w:fldCharType="begin"/>
      </w:r>
      <w:r>
        <w:instrText xml:space="preserve"> PAGEREF _Toc530554854 \h </w:instrText>
      </w:r>
      <w:r>
        <w:fldChar w:fldCharType="separate"/>
      </w:r>
      <w:r>
        <w:t>70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Review of Commission decision</w:t>
      </w:r>
      <w:r>
        <w:tab/>
      </w:r>
      <w:r>
        <w:fldChar w:fldCharType="begin"/>
      </w:r>
      <w:r>
        <w:instrText xml:space="preserve"> PAGEREF _Toc530554855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III — Variation, termination and conversion of schemes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Variation of schemes</w:t>
      </w:r>
    </w:p>
    <w:p>
      <w:pPr>
        <w:pStyle w:val="TOC8"/>
        <w:rPr>
          <w:rFonts w:asciiTheme="minorHAnsi" w:eastAsiaTheme="minorEastAsia" w:hAnsiTheme="minorHAnsi" w:cstheme="minorBidi"/>
          <w:szCs w:val="22"/>
        </w:rPr>
      </w:pPr>
      <w:r>
        <w:t>28</w:t>
      </w:r>
      <w:r>
        <w:rPr>
          <w:snapToGrid w:val="0"/>
        </w:rPr>
        <w:t>.</w:t>
      </w:r>
      <w:r>
        <w:rPr>
          <w:snapToGrid w:val="0"/>
        </w:rPr>
        <w:tab/>
        <w:t>Variation of strata scheme upon damage or destruction of building</w:t>
      </w:r>
      <w:r>
        <w:tab/>
      </w:r>
      <w:r>
        <w:fldChar w:fldCharType="begin"/>
      </w:r>
      <w:r>
        <w:instrText xml:space="preserve"> PAGEREF _Toc530554858 \h </w:instrText>
      </w:r>
      <w:r>
        <w:fldChar w:fldCharType="separate"/>
      </w:r>
      <w:r>
        <w:t>74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Variation of strata scheme upon taking</w:t>
      </w:r>
      <w:r>
        <w:tab/>
      </w:r>
      <w:r>
        <w:fldChar w:fldCharType="begin"/>
      </w:r>
      <w:r>
        <w:instrText xml:space="preserve"> PAGEREF _Toc530554859 \h </w:instrText>
      </w:r>
      <w:r>
        <w:fldChar w:fldCharType="separate"/>
      </w:r>
      <w:r>
        <w:t>76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Variation of survey</w:t>
      </w:r>
      <w:r>
        <w:rPr>
          <w:snapToGrid w:val="0"/>
        </w:rPr>
        <w:noBreakHyphen/>
        <w:t>strata scheme on resumption</w:t>
      </w:r>
      <w:r>
        <w:tab/>
      </w:r>
      <w:r>
        <w:fldChar w:fldCharType="begin"/>
      </w:r>
      <w:r>
        <w:instrText xml:space="preserve"> PAGEREF _Toc530554860 \h </w:instrText>
      </w:r>
      <w:r>
        <w:fldChar w:fldCharType="separate"/>
      </w:r>
      <w:r>
        <w:t>76</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Lodgement of documents with Registrar following partial taking in strata scheme</w:t>
      </w:r>
      <w:r>
        <w:tab/>
      </w:r>
      <w:r>
        <w:fldChar w:fldCharType="begin"/>
      </w:r>
      <w:r>
        <w:instrText xml:space="preserve"> PAGEREF _Toc530554861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Termination of schemes</w:t>
      </w:r>
    </w:p>
    <w:p>
      <w:pPr>
        <w:pStyle w:val="TOC8"/>
        <w:rPr>
          <w:rFonts w:asciiTheme="minorHAnsi" w:eastAsiaTheme="minorEastAsia" w:hAnsiTheme="minorHAnsi" w:cstheme="minorBidi"/>
          <w:szCs w:val="22"/>
        </w:rPr>
      </w:pPr>
      <w:r>
        <w:t>29C</w:t>
      </w:r>
      <w:r>
        <w:rPr>
          <w:snapToGrid w:val="0"/>
        </w:rPr>
        <w:t>.</w:t>
      </w:r>
      <w:r>
        <w:rPr>
          <w:snapToGrid w:val="0"/>
        </w:rPr>
        <w:tab/>
        <w:t>Termination of scheme by resumption</w:t>
      </w:r>
      <w:r>
        <w:tab/>
      </w:r>
      <w:r>
        <w:fldChar w:fldCharType="begin"/>
      </w:r>
      <w:r>
        <w:instrText xml:space="preserve"> PAGEREF _Toc530554863 \h </w:instrText>
      </w:r>
      <w:r>
        <w:fldChar w:fldCharType="separate"/>
      </w:r>
      <w:r>
        <w:t>78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Termination of strata scheme by unanimous resolution</w:t>
      </w:r>
      <w:r>
        <w:tab/>
      </w:r>
      <w:r>
        <w:fldChar w:fldCharType="begin"/>
      </w:r>
      <w:r>
        <w:instrText xml:space="preserve"> PAGEREF _Toc530554864 \h </w:instrText>
      </w:r>
      <w:r>
        <w:fldChar w:fldCharType="separate"/>
      </w:r>
      <w:r>
        <w:t>79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Termination of survey</w:t>
      </w:r>
      <w:r>
        <w:rPr>
          <w:snapToGrid w:val="0"/>
        </w:rPr>
        <w:noBreakHyphen/>
        <w:t>strata scheme by unanimous resolution</w:t>
      </w:r>
      <w:r>
        <w:tab/>
      </w:r>
      <w:r>
        <w:fldChar w:fldCharType="begin"/>
      </w:r>
      <w:r>
        <w:instrText xml:space="preserve"> PAGEREF _Toc530554865 \h </w:instrText>
      </w:r>
      <w:r>
        <w:fldChar w:fldCharType="separate"/>
      </w:r>
      <w:r>
        <w:t>80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Termination of scheme by order of District Court</w:t>
      </w:r>
      <w:r>
        <w:tab/>
      </w:r>
      <w:r>
        <w:fldChar w:fldCharType="begin"/>
      </w:r>
      <w:r>
        <w:instrText xml:space="preserve"> PAGEREF _Toc530554866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Conversion of strata schemes to survey</w:t>
      </w:r>
      <w:r>
        <w:noBreakHyphen/>
        <w:t>strata schemes</w:t>
      </w:r>
    </w:p>
    <w:p>
      <w:pPr>
        <w:pStyle w:val="TOC8"/>
        <w:rPr>
          <w:rFonts w:asciiTheme="minorHAnsi" w:eastAsiaTheme="minorEastAsia" w:hAnsiTheme="minorHAnsi" w:cstheme="minorBidi"/>
          <w:szCs w:val="22"/>
        </w:rPr>
      </w:pPr>
      <w:r>
        <w:t>31A</w:t>
      </w:r>
      <w:r>
        <w:rPr>
          <w:snapToGrid w:val="0"/>
        </w:rPr>
        <w:t>.</w:t>
      </w:r>
      <w:r>
        <w:rPr>
          <w:snapToGrid w:val="0"/>
        </w:rPr>
        <w:tab/>
        <w:t>Division only applies to single tier strata schemes registered before 1 January 1998</w:t>
      </w:r>
      <w:r>
        <w:tab/>
      </w:r>
      <w:r>
        <w:fldChar w:fldCharType="begin"/>
      </w:r>
      <w:r>
        <w:instrText xml:space="preserve"> PAGEREF _Toc530554868 \h </w:instrText>
      </w:r>
      <w:r>
        <w:fldChar w:fldCharType="separate"/>
      </w:r>
      <w:r>
        <w:t>83</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Saving</w:t>
      </w:r>
      <w:r>
        <w:tab/>
      </w:r>
      <w:r>
        <w:fldChar w:fldCharType="begin"/>
      </w:r>
      <w:r>
        <w:instrText xml:space="preserve"> PAGEREF _Toc530554869 \h </w:instrText>
      </w:r>
      <w:r>
        <w:fldChar w:fldCharType="separate"/>
      </w:r>
      <w:r>
        <w:t>84</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Resolution by strata company</w:t>
      </w:r>
      <w:r>
        <w:tab/>
      </w:r>
      <w:r>
        <w:fldChar w:fldCharType="begin"/>
      </w:r>
      <w:r>
        <w:instrText xml:space="preserve"> PAGEREF _Toc530554870 \h </w:instrText>
      </w:r>
      <w:r>
        <w:fldChar w:fldCharType="separate"/>
      </w:r>
      <w:r>
        <w:t>84</w:t>
      </w:r>
      <w:r>
        <w:fldChar w:fldCharType="end"/>
      </w:r>
    </w:p>
    <w:p>
      <w:pPr>
        <w:pStyle w:val="TOC8"/>
        <w:rPr>
          <w:rFonts w:asciiTheme="minorHAnsi" w:eastAsiaTheme="minorEastAsia" w:hAnsiTheme="minorHAnsi" w:cstheme="minorBidi"/>
          <w:szCs w:val="22"/>
        </w:rPr>
      </w:pPr>
      <w:r>
        <w:t>31D</w:t>
      </w:r>
      <w:r>
        <w:rPr>
          <w:snapToGrid w:val="0"/>
        </w:rPr>
        <w:t>.</w:t>
      </w:r>
      <w:r>
        <w:rPr>
          <w:snapToGrid w:val="0"/>
        </w:rPr>
        <w:tab/>
        <w:t>Notice of resolution may be lodged for registration</w:t>
      </w:r>
      <w:r>
        <w:tab/>
      </w:r>
      <w:r>
        <w:fldChar w:fldCharType="begin"/>
      </w:r>
      <w:r>
        <w:instrText xml:space="preserve"> PAGEREF _Toc530554871 \h </w:instrText>
      </w:r>
      <w:r>
        <w:fldChar w:fldCharType="separate"/>
      </w:r>
      <w:r>
        <w:t>84</w:t>
      </w:r>
      <w:r>
        <w:fldChar w:fldCharType="end"/>
      </w:r>
    </w:p>
    <w:p>
      <w:pPr>
        <w:pStyle w:val="TOC8"/>
        <w:rPr>
          <w:rFonts w:asciiTheme="minorHAnsi" w:eastAsiaTheme="minorEastAsia" w:hAnsiTheme="minorHAnsi" w:cstheme="minorBidi"/>
          <w:szCs w:val="22"/>
        </w:rPr>
      </w:pPr>
      <w:r>
        <w:t>31E</w:t>
      </w:r>
      <w:r>
        <w:rPr>
          <w:snapToGrid w:val="0"/>
        </w:rPr>
        <w:t>.</w:t>
      </w:r>
      <w:r>
        <w:rPr>
          <w:snapToGrid w:val="0"/>
        </w:rPr>
        <w:tab/>
        <w:t>Documents to accompany notice</w:t>
      </w:r>
      <w:r>
        <w:tab/>
      </w:r>
      <w:r>
        <w:fldChar w:fldCharType="begin"/>
      </w:r>
      <w:r>
        <w:instrText xml:space="preserve"> PAGEREF _Toc530554872 \h </w:instrText>
      </w:r>
      <w:r>
        <w:fldChar w:fldCharType="separate"/>
      </w:r>
      <w:r>
        <w:t>85</w:t>
      </w:r>
      <w:r>
        <w:fldChar w:fldCharType="end"/>
      </w:r>
    </w:p>
    <w:p>
      <w:pPr>
        <w:pStyle w:val="TOC8"/>
        <w:rPr>
          <w:rFonts w:asciiTheme="minorHAnsi" w:eastAsiaTheme="minorEastAsia" w:hAnsiTheme="minorHAnsi" w:cstheme="minorBidi"/>
          <w:szCs w:val="22"/>
        </w:rPr>
      </w:pPr>
      <w:r>
        <w:t>31F</w:t>
      </w:r>
      <w:r>
        <w:rPr>
          <w:snapToGrid w:val="0"/>
        </w:rPr>
        <w:t>.</w:t>
      </w:r>
      <w:r>
        <w:rPr>
          <w:snapToGrid w:val="0"/>
        </w:rPr>
        <w:tab/>
        <w:t>Certificate of licensed surveyor</w:t>
      </w:r>
      <w:r>
        <w:tab/>
      </w:r>
      <w:r>
        <w:fldChar w:fldCharType="begin"/>
      </w:r>
      <w:r>
        <w:instrText xml:space="preserve"> PAGEREF _Toc530554873 \h </w:instrText>
      </w:r>
      <w:r>
        <w:fldChar w:fldCharType="separate"/>
      </w:r>
      <w:r>
        <w:t>86</w:t>
      </w:r>
      <w:r>
        <w:fldChar w:fldCharType="end"/>
      </w:r>
    </w:p>
    <w:p>
      <w:pPr>
        <w:pStyle w:val="TOC8"/>
        <w:rPr>
          <w:rFonts w:asciiTheme="minorHAnsi" w:eastAsiaTheme="minorEastAsia" w:hAnsiTheme="minorHAnsi" w:cstheme="minorBidi"/>
          <w:szCs w:val="22"/>
        </w:rPr>
      </w:pPr>
      <w:r>
        <w:t>31G</w:t>
      </w:r>
      <w:r>
        <w:rPr>
          <w:snapToGrid w:val="0"/>
        </w:rPr>
        <w:t>.</w:t>
      </w:r>
      <w:r>
        <w:rPr>
          <w:snapToGrid w:val="0"/>
        </w:rPr>
        <w:tab/>
        <w:t>Creation of easements</w:t>
      </w:r>
      <w:r>
        <w:tab/>
      </w:r>
      <w:r>
        <w:fldChar w:fldCharType="begin"/>
      </w:r>
      <w:r>
        <w:instrText xml:space="preserve"> PAGEREF _Toc530554874 \h </w:instrText>
      </w:r>
      <w:r>
        <w:fldChar w:fldCharType="separate"/>
      </w:r>
      <w:r>
        <w:t>87</w:t>
      </w:r>
      <w:r>
        <w:fldChar w:fldCharType="end"/>
      </w:r>
    </w:p>
    <w:p>
      <w:pPr>
        <w:pStyle w:val="TOC8"/>
        <w:rPr>
          <w:rFonts w:asciiTheme="minorHAnsi" w:eastAsiaTheme="minorEastAsia" w:hAnsiTheme="minorHAnsi" w:cstheme="minorBidi"/>
          <w:szCs w:val="22"/>
        </w:rPr>
      </w:pPr>
      <w:r>
        <w:t>31H</w:t>
      </w:r>
      <w:r>
        <w:rPr>
          <w:snapToGrid w:val="0"/>
        </w:rPr>
        <w:t>.</w:t>
      </w:r>
      <w:r>
        <w:rPr>
          <w:snapToGrid w:val="0"/>
        </w:rPr>
        <w:tab/>
        <w:t>Transfers etc. to give effect to resolution</w:t>
      </w:r>
      <w:r>
        <w:tab/>
      </w:r>
      <w:r>
        <w:fldChar w:fldCharType="begin"/>
      </w:r>
      <w:r>
        <w:instrText xml:space="preserve"> PAGEREF _Toc530554875 \h </w:instrText>
      </w:r>
      <w:r>
        <w:fldChar w:fldCharType="separate"/>
      </w:r>
      <w:r>
        <w:t>88</w:t>
      </w:r>
      <w:r>
        <w:fldChar w:fldCharType="end"/>
      </w:r>
    </w:p>
    <w:p>
      <w:pPr>
        <w:pStyle w:val="TOC8"/>
        <w:rPr>
          <w:rFonts w:asciiTheme="minorHAnsi" w:eastAsiaTheme="minorEastAsia" w:hAnsiTheme="minorHAnsi" w:cstheme="minorBidi"/>
          <w:szCs w:val="22"/>
        </w:rPr>
      </w:pPr>
      <w:r>
        <w:t>31I</w:t>
      </w:r>
      <w:r>
        <w:rPr>
          <w:snapToGrid w:val="0"/>
        </w:rPr>
        <w:t>.</w:t>
      </w:r>
      <w:r>
        <w:rPr>
          <w:snapToGrid w:val="0"/>
        </w:rPr>
        <w:tab/>
        <w:t>Registration of notice of resolution</w:t>
      </w:r>
      <w:r>
        <w:tab/>
      </w:r>
      <w:r>
        <w:fldChar w:fldCharType="begin"/>
      </w:r>
      <w:r>
        <w:instrText xml:space="preserve"> PAGEREF _Toc530554876 \h </w:instrText>
      </w:r>
      <w:r>
        <w:fldChar w:fldCharType="separate"/>
      </w:r>
      <w:r>
        <w:t>88</w:t>
      </w:r>
      <w:r>
        <w:fldChar w:fldCharType="end"/>
      </w:r>
    </w:p>
    <w:p>
      <w:pPr>
        <w:pStyle w:val="TOC8"/>
        <w:rPr>
          <w:rFonts w:asciiTheme="minorHAnsi" w:eastAsiaTheme="minorEastAsia" w:hAnsiTheme="minorHAnsi" w:cstheme="minorBidi"/>
          <w:szCs w:val="22"/>
        </w:rPr>
      </w:pPr>
      <w:r>
        <w:t>31J</w:t>
      </w:r>
      <w:r>
        <w:rPr>
          <w:snapToGrid w:val="0"/>
        </w:rPr>
        <w:t>.</w:t>
      </w:r>
      <w:r>
        <w:rPr>
          <w:snapToGrid w:val="0"/>
        </w:rPr>
        <w:tab/>
        <w:t>Effect of registration</w:t>
      </w:r>
      <w:r>
        <w:tab/>
      </w:r>
      <w:r>
        <w:fldChar w:fldCharType="begin"/>
      </w:r>
      <w:r>
        <w:instrText xml:space="preserve"> PAGEREF _Toc530554877 \h </w:instrText>
      </w:r>
      <w:r>
        <w:fldChar w:fldCharType="separate"/>
      </w:r>
      <w:r>
        <w:t>88</w:t>
      </w:r>
      <w:r>
        <w:fldChar w:fldCharType="end"/>
      </w:r>
    </w:p>
    <w:p>
      <w:pPr>
        <w:pStyle w:val="TOC8"/>
        <w:rPr>
          <w:rFonts w:asciiTheme="minorHAnsi" w:eastAsiaTheme="minorEastAsia" w:hAnsiTheme="minorHAnsi" w:cstheme="minorBidi"/>
          <w:szCs w:val="22"/>
        </w:rPr>
      </w:pPr>
      <w:r>
        <w:t>31K</w:t>
      </w:r>
      <w:r>
        <w:rPr>
          <w:snapToGrid w:val="0"/>
        </w:rPr>
        <w:t>.</w:t>
      </w:r>
      <w:r>
        <w:rPr>
          <w:snapToGrid w:val="0"/>
        </w:rPr>
        <w:tab/>
        <w:t>Registrar of Titles to make necessary amendments</w:t>
      </w:r>
      <w:r>
        <w:tab/>
      </w:r>
      <w:r>
        <w:fldChar w:fldCharType="begin"/>
      </w:r>
      <w:r>
        <w:instrText xml:space="preserve"> PAGEREF _Toc530554878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IV —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Strata companies</w:t>
      </w:r>
    </w:p>
    <w:p>
      <w:pPr>
        <w:pStyle w:val="TOC8"/>
        <w:rPr>
          <w:rFonts w:asciiTheme="minorHAnsi" w:eastAsiaTheme="minorEastAsia" w:hAnsiTheme="minorHAnsi" w:cstheme="minorBidi"/>
          <w:szCs w:val="22"/>
        </w:rPr>
      </w:pPr>
      <w:r>
        <w:t>32</w:t>
      </w:r>
      <w:r>
        <w:rPr>
          <w:snapToGrid w:val="0"/>
        </w:rPr>
        <w:t>.</w:t>
      </w:r>
      <w:r>
        <w:rPr>
          <w:snapToGrid w:val="0"/>
        </w:rPr>
        <w:tab/>
        <w:t>Incorporation of proprietors</w:t>
      </w:r>
      <w:r>
        <w:tab/>
      </w:r>
      <w:r>
        <w:fldChar w:fldCharType="begin"/>
      </w:r>
      <w:r>
        <w:instrText xml:space="preserve"> PAGEREF _Toc530554881 \h </w:instrText>
      </w:r>
      <w:r>
        <w:fldChar w:fldCharType="separate"/>
      </w:r>
      <w:r>
        <w:t>91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Strata company is representative of proprietors in proceedings</w:t>
      </w:r>
      <w:r>
        <w:tab/>
      </w:r>
      <w:r>
        <w:fldChar w:fldCharType="begin"/>
      </w:r>
      <w:r>
        <w:instrText xml:space="preserve"> PAGEREF _Toc530554882 \h </w:instrText>
      </w:r>
      <w:r>
        <w:fldChar w:fldCharType="separate"/>
      </w:r>
      <w:r>
        <w:t>92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 formalities</w:t>
      </w:r>
      <w:r>
        <w:tab/>
      </w:r>
      <w:r>
        <w:fldChar w:fldCharType="begin"/>
      </w:r>
      <w:r>
        <w:instrText xml:space="preserve"> PAGEREF _Toc530554883 \h </w:instrText>
      </w:r>
      <w:r>
        <w:fldChar w:fldCharType="separate"/>
      </w:r>
      <w:r>
        <w:t>92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strata companies</w:t>
      </w:r>
      <w:r>
        <w:tab/>
      </w:r>
      <w:r>
        <w:fldChar w:fldCharType="begin"/>
      </w:r>
      <w:r>
        <w:instrText xml:space="preserve"> PAGEREF _Toc530554884 \h </w:instrText>
      </w:r>
      <w:r>
        <w:fldChar w:fldCharType="separate"/>
      </w:r>
      <w:r>
        <w:t>93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Roll to be kept by strata company</w:t>
      </w:r>
      <w:r>
        <w:tab/>
      </w:r>
      <w:r>
        <w:fldChar w:fldCharType="begin"/>
      </w:r>
      <w:r>
        <w:instrText xml:space="preserve"> PAGEREF _Toc530554885 \h </w:instrText>
      </w:r>
      <w:r>
        <w:fldChar w:fldCharType="separate"/>
      </w:r>
      <w:r>
        <w:t>95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Levy of contributions on proprietors</w:t>
      </w:r>
      <w:r>
        <w:tab/>
      </w:r>
      <w:r>
        <w:fldChar w:fldCharType="begin"/>
      </w:r>
      <w:r>
        <w:instrText xml:space="preserve"> PAGEREF _Toc530554886 \h </w:instrText>
      </w:r>
      <w:r>
        <w:fldChar w:fldCharType="separate"/>
      </w:r>
      <w:r>
        <w:t>96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Certain provisions do not apply to companies for two</w:t>
      </w:r>
      <w:r>
        <w:rPr>
          <w:snapToGrid w:val="0"/>
        </w:rPr>
        <w:noBreakHyphen/>
        <w:t>lot schemes</w:t>
      </w:r>
      <w:r>
        <w:tab/>
      </w:r>
      <w:r>
        <w:fldChar w:fldCharType="begin"/>
      </w:r>
      <w:r>
        <w:instrText xml:space="preserve"> PAGEREF _Toc530554887 \h </w:instrText>
      </w:r>
      <w:r>
        <w:fldChar w:fldCharType="separate"/>
      </w:r>
      <w:r>
        <w:t>98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provisions may be excluded for 3, 4 or 5 lot schemes</w:t>
      </w:r>
      <w:r>
        <w:tab/>
      </w:r>
      <w:r>
        <w:fldChar w:fldCharType="begin"/>
      </w:r>
      <w:r>
        <w:instrText xml:space="preserve"> PAGEREF _Toc530554888 \h </w:instrText>
      </w:r>
      <w:r>
        <w:fldChar w:fldCharType="separate"/>
      </w:r>
      <w:r>
        <w:t>99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strata company</w:t>
      </w:r>
      <w:r>
        <w:tab/>
      </w:r>
      <w:r>
        <w:fldChar w:fldCharType="begin"/>
      </w:r>
      <w:r>
        <w:instrText xml:space="preserve"> PAGEREF _Toc530554889 \h </w:instrText>
      </w:r>
      <w:r>
        <w:fldChar w:fldCharType="separate"/>
      </w:r>
      <w:r>
        <w:t>100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of strata company to carry out work</w:t>
      </w:r>
      <w:r>
        <w:tab/>
      </w:r>
      <w:r>
        <w:fldChar w:fldCharType="begin"/>
      </w:r>
      <w:r>
        <w:instrText xml:space="preserve"> PAGEREF _Toc530554890 \h </w:instrText>
      </w:r>
      <w:r>
        <w:fldChar w:fldCharType="separate"/>
      </w:r>
      <w:r>
        <w:t>101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of strata company to enter</w:t>
      </w:r>
      <w:r>
        <w:tab/>
      </w:r>
      <w:r>
        <w:fldChar w:fldCharType="begin"/>
      </w:r>
      <w:r>
        <w:instrText xml:space="preserve"> PAGEREF _Toc530554891 \h </w:instrText>
      </w:r>
      <w:r>
        <w:fldChar w:fldCharType="separate"/>
      </w:r>
      <w:r>
        <w:t>102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Power to terminate certain contracts for services</w:t>
      </w:r>
      <w:r>
        <w:tab/>
      </w:r>
      <w:r>
        <w:fldChar w:fldCharType="begin"/>
      </w:r>
      <w:r>
        <w:instrText xml:space="preserve"> PAGEREF _Toc530554892 \h </w:instrText>
      </w:r>
      <w:r>
        <w:fldChar w:fldCharType="separate"/>
      </w:r>
      <w:r>
        <w:t>103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Change of strata company’s address for service</w:t>
      </w:r>
      <w:r>
        <w:tab/>
      </w:r>
      <w:r>
        <w:fldChar w:fldCharType="begin"/>
      </w:r>
      <w:r>
        <w:instrText xml:space="preserve"> PAGEREF _Toc530554893 \h </w:instrText>
      </w:r>
      <w:r>
        <w:fldChar w:fldCharType="separate"/>
      </w:r>
      <w:r>
        <w:t>104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 of name of strata company</w:t>
      </w:r>
      <w:r>
        <w:tab/>
      </w:r>
      <w:r>
        <w:fldChar w:fldCharType="begin"/>
      </w:r>
      <w:r>
        <w:instrText xml:space="preserve"> PAGEREF _Toc530554894 \h </w:instrText>
      </w:r>
      <w:r>
        <w:fldChar w:fldCharType="separate"/>
      </w:r>
      <w:r>
        <w:t>105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By</w:t>
      </w:r>
      <w:r>
        <w:rPr>
          <w:snapToGrid w:val="0"/>
        </w:rPr>
        <w:noBreakHyphen/>
        <w:t>laws</w:t>
      </w:r>
      <w:r>
        <w:tab/>
      </w:r>
      <w:r>
        <w:fldChar w:fldCharType="begin"/>
      </w:r>
      <w:r>
        <w:instrText xml:space="preserve"> PAGEREF _Toc530554895 \h </w:instrText>
      </w:r>
      <w:r>
        <w:fldChar w:fldCharType="separate"/>
      </w:r>
      <w:r>
        <w:t>106</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By</w:t>
      </w:r>
      <w:r>
        <w:rPr>
          <w:snapToGrid w:val="0"/>
        </w:rPr>
        <w:noBreakHyphen/>
        <w:t>laws may provide for penalties</w:t>
      </w:r>
      <w:r>
        <w:tab/>
      </w:r>
      <w:r>
        <w:fldChar w:fldCharType="begin"/>
      </w:r>
      <w:r>
        <w:instrText xml:space="preserve"> PAGEREF _Toc530554896 \h </w:instrText>
      </w:r>
      <w:r>
        <w:fldChar w:fldCharType="separate"/>
      </w:r>
      <w:r>
        <w:t>111</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By</w:t>
      </w:r>
      <w:r>
        <w:rPr>
          <w:snapToGrid w:val="0"/>
        </w:rPr>
        <w:noBreakHyphen/>
        <w:t>laws may provide for different basis for levying contributions</w:t>
      </w:r>
      <w:r>
        <w:tab/>
      </w:r>
      <w:r>
        <w:fldChar w:fldCharType="begin"/>
      </w:r>
      <w:r>
        <w:instrText xml:space="preserve"> PAGEREF _Toc530554897 \h </w:instrText>
      </w:r>
      <w:r>
        <w:fldChar w:fldCharType="separate"/>
      </w:r>
      <w:r>
        <w:t>111</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Transitional provision</w:t>
      </w:r>
      <w:r>
        <w:tab/>
      </w:r>
      <w:r>
        <w:fldChar w:fldCharType="begin"/>
      </w:r>
      <w:r>
        <w:instrText xml:space="preserve"> PAGEREF _Toc530554898 \h </w:instrText>
      </w:r>
      <w:r>
        <w:fldChar w:fldCharType="separate"/>
      </w:r>
      <w:r>
        <w:t>111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Supply of information and certificates by strata company</w:t>
      </w:r>
      <w:r>
        <w:tab/>
      </w:r>
      <w:r>
        <w:fldChar w:fldCharType="begin"/>
      </w:r>
      <w:r>
        <w:instrText xml:space="preserve"> PAGEREF _Toc530554899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Councils</w:t>
      </w:r>
    </w:p>
    <w:p>
      <w:pPr>
        <w:pStyle w:val="TOC8"/>
        <w:rPr>
          <w:rFonts w:asciiTheme="minorHAnsi" w:eastAsiaTheme="minorEastAsia" w:hAnsiTheme="minorHAnsi" w:cstheme="minorBidi"/>
          <w:szCs w:val="22"/>
        </w:rPr>
      </w:pPr>
      <w:r>
        <w:t>44</w:t>
      </w:r>
      <w:r>
        <w:rPr>
          <w:snapToGrid w:val="0"/>
        </w:rPr>
        <w:t>.</w:t>
      </w:r>
      <w:r>
        <w:rPr>
          <w:snapToGrid w:val="0"/>
        </w:rPr>
        <w:tab/>
        <w:t>Functions of councils</w:t>
      </w:r>
      <w:r>
        <w:tab/>
      </w:r>
      <w:r>
        <w:fldChar w:fldCharType="begin"/>
      </w:r>
      <w:r>
        <w:instrText xml:space="preserve"> PAGEREF _Toc530554901 \h </w:instrText>
      </w:r>
      <w:r>
        <w:fldChar w:fldCharType="separate"/>
      </w:r>
      <w:r>
        <w:t>115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Corporate body may be chairman, secretary, treasurer or council member</w:t>
      </w:r>
      <w:r>
        <w:tab/>
      </w:r>
      <w:r>
        <w:fldChar w:fldCharType="begin"/>
      </w:r>
      <w:r>
        <w:instrText xml:space="preserve"> PAGEREF _Toc530554902 \h </w:instrText>
      </w:r>
      <w:r>
        <w:fldChar w:fldCharType="separate"/>
      </w:r>
      <w:r>
        <w:t>116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Performance of functions where no council or no quorum</w:t>
      </w:r>
      <w:r>
        <w:tab/>
      </w:r>
      <w:r>
        <w:fldChar w:fldCharType="begin"/>
      </w:r>
      <w:r>
        <w:instrText xml:space="preserve"> PAGEREF _Toc530554903 \h </w:instrText>
      </w:r>
      <w:r>
        <w:fldChar w:fldCharType="separate"/>
      </w:r>
      <w:r>
        <w:t>116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Restrictions on powers of expenditure</w:t>
      </w:r>
      <w:r>
        <w:tab/>
      </w:r>
      <w:r>
        <w:fldChar w:fldCharType="begin"/>
      </w:r>
      <w:r>
        <w:instrText xml:space="preserve"> PAGEREF _Toc530554904 \h </w:instrText>
      </w:r>
      <w:r>
        <w:fldChar w:fldCharType="separate"/>
      </w:r>
      <w:r>
        <w:t>116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Recovery of books and records by council</w:t>
      </w:r>
      <w:r>
        <w:tab/>
      </w:r>
      <w:r>
        <w:fldChar w:fldCharType="begin"/>
      </w:r>
      <w:r>
        <w:instrText xml:space="preserve"> PAGEREF _Toc530554905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Meetings</w:t>
      </w:r>
    </w:p>
    <w:p>
      <w:pPr>
        <w:pStyle w:val="TOC8"/>
        <w:rPr>
          <w:rFonts w:asciiTheme="minorHAnsi" w:eastAsiaTheme="minorEastAsia" w:hAnsiTheme="minorHAnsi" w:cstheme="minorBidi"/>
          <w:szCs w:val="22"/>
        </w:rPr>
      </w:pPr>
      <w:r>
        <w:t>49</w:t>
      </w:r>
      <w:r>
        <w:rPr>
          <w:snapToGrid w:val="0"/>
        </w:rPr>
        <w:t>.</w:t>
      </w:r>
      <w:r>
        <w:rPr>
          <w:snapToGrid w:val="0"/>
        </w:rPr>
        <w:tab/>
        <w:t>First annual general meeting</w:t>
      </w:r>
      <w:r>
        <w:tab/>
      </w:r>
      <w:r>
        <w:fldChar w:fldCharType="begin"/>
      </w:r>
      <w:r>
        <w:instrText xml:space="preserve"> PAGEREF _Toc530554907 \h </w:instrText>
      </w:r>
      <w:r>
        <w:fldChar w:fldCharType="separate"/>
      </w:r>
      <w:r>
        <w:t>119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Voting at meetings</w:t>
      </w:r>
      <w:r>
        <w:tab/>
      </w:r>
      <w:r>
        <w:fldChar w:fldCharType="begin"/>
      </w:r>
      <w:r>
        <w:instrText xml:space="preserve"> PAGEREF _Toc530554908 \h </w:instrText>
      </w:r>
      <w:r>
        <w:fldChar w:fldCharType="separate"/>
      </w:r>
      <w:r>
        <w:t>120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Disqualification from voting as proxy</w:t>
      </w:r>
      <w:r>
        <w:tab/>
      </w:r>
      <w:r>
        <w:fldChar w:fldCharType="begin"/>
      </w:r>
      <w:r>
        <w:instrText xml:space="preserve"> PAGEREF _Toc530554909 \h </w:instrText>
      </w:r>
      <w:r>
        <w:fldChar w:fldCharType="separate"/>
      </w:r>
      <w:r>
        <w:t>121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Quorum for meeting of strata company for two</w:t>
      </w:r>
      <w:r>
        <w:rPr>
          <w:snapToGrid w:val="0"/>
        </w:rPr>
        <w:noBreakHyphen/>
        <w:t>lot scheme</w:t>
      </w:r>
      <w:r>
        <w:tab/>
      </w:r>
      <w:r>
        <w:fldChar w:fldCharType="begin"/>
      </w:r>
      <w:r>
        <w:instrText xml:space="preserve"> PAGEREF _Toc530554910 \h </w:instrText>
      </w:r>
      <w:r>
        <w:fldChar w:fldCharType="separate"/>
      </w:r>
      <w:r>
        <w:t>122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Relief where unanimous resolution or resolution without dissent required</w:t>
      </w:r>
      <w:r>
        <w:tab/>
      </w:r>
      <w:r>
        <w:fldChar w:fldCharType="begin"/>
      </w:r>
      <w:r>
        <w:instrText xml:space="preserve"> PAGEREF _Toc530554911 \h </w:instrText>
      </w:r>
      <w:r>
        <w:fldChar w:fldCharType="separate"/>
      </w:r>
      <w:r>
        <w:t>122</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Relief where unanimous resolution required for two</w:t>
      </w:r>
      <w:r>
        <w:rPr>
          <w:snapToGrid w:val="0"/>
        </w:rPr>
        <w:noBreakHyphen/>
        <w:t>lot scheme</w:t>
      </w:r>
      <w:r>
        <w:tab/>
      </w:r>
      <w:r>
        <w:fldChar w:fldCharType="begin"/>
      </w:r>
      <w:r>
        <w:instrText xml:space="preserve"> PAGEREF _Toc530554912 \h </w:instrText>
      </w:r>
      <w:r>
        <w:fldChar w:fldCharType="separate"/>
      </w:r>
      <w:r>
        <w:t>123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Performance of functions by proprietors in general meeting</w:t>
      </w:r>
      <w:r>
        <w:tab/>
      </w:r>
      <w:r>
        <w:fldChar w:fldCharType="begin"/>
      </w:r>
      <w:r>
        <w:instrText xml:space="preserve"> PAGEREF _Toc530554913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Insurance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_Toc530554916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in single tier strata schemes</w:t>
      </w:r>
    </w:p>
    <w:p>
      <w:pPr>
        <w:pStyle w:val="TOC8"/>
        <w:rPr>
          <w:rFonts w:asciiTheme="minorHAnsi" w:eastAsiaTheme="minorEastAsia" w:hAnsiTheme="minorHAnsi" w:cstheme="minorBidi"/>
          <w:szCs w:val="22"/>
        </w:rPr>
      </w:pPr>
      <w:r>
        <w:t>53A</w:t>
      </w:r>
      <w:r>
        <w:rPr>
          <w:snapToGrid w:val="0"/>
        </w:rPr>
        <w:t>.</w:t>
      </w:r>
      <w:r>
        <w:rPr>
          <w:snapToGrid w:val="0"/>
        </w:rPr>
        <w:tab/>
        <w:t>Application of this Subdivision</w:t>
      </w:r>
      <w:r>
        <w:tab/>
      </w:r>
      <w:r>
        <w:fldChar w:fldCharType="begin"/>
      </w:r>
      <w:r>
        <w:instrText xml:space="preserve"> PAGEREF _Toc530554918 \h </w:instrText>
      </w:r>
      <w:r>
        <w:fldChar w:fldCharType="separate"/>
      </w:r>
      <w:r>
        <w:t>126</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Insurance for lots in single tier strata schemes</w:t>
      </w:r>
      <w:r>
        <w:tab/>
      </w:r>
      <w:r>
        <w:fldChar w:fldCharType="begin"/>
      </w:r>
      <w:r>
        <w:instrText xml:space="preserve"> PAGEREF _Toc530554919 \h </w:instrText>
      </w:r>
      <w:r>
        <w:fldChar w:fldCharType="separate"/>
      </w:r>
      <w:r>
        <w:t>126</w:t>
      </w:r>
      <w:r>
        <w:fldChar w:fldCharType="end"/>
      </w:r>
    </w:p>
    <w:p>
      <w:pPr>
        <w:pStyle w:val="TOC8"/>
        <w:rPr>
          <w:rFonts w:asciiTheme="minorHAnsi" w:eastAsiaTheme="minorEastAsia" w:hAnsiTheme="minorHAnsi" w:cstheme="minorBidi"/>
          <w:szCs w:val="22"/>
        </w:rPr>
      </w:pPr>
      <w:r>
        <w:t>53C</w:t>
      </w:r>
      <w:r>
        <w:rPr>
          <w:snapToGrid w:val="0"/>
        </w:rPr>
        <w:t>.</w:t>
      </w:r>
      <w:r>
        <w:rPr>
          <w:snapToGrid w:val="0"/>
        </w:rPr>
        <w:tab/>
        <w:t>Insurance for common property in single tier strata schemes</w:t>
      </w:r>
      <w:r>
        <w:tab/>
      </w:r>
      <w:r>
        <w:fldChar w:fldCharType="begin"/>
      </w:r>
      <w:r>
        <w:instrText xml:space="preserve"> PAGEREF _Toc530554920 \h </w:instrText>
      </w:r>
      <w:r>
        <w:fldChar w:fldCharType="separate"/>
      </w:r>
      <w:r>
        <w:t>127</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Strata company’s obligations where it has an insurance function in single tier strata schemes</w:t>
      </w:r>
      <w:r>
        <w:tab/>
      </w:r>
      <w:r>
        <w:fldChar w:fldCharType="begin"/>
      </w:r>
      <w:r>
        <w:instrText xml:space="preserve"> PAGEREF _Toc530554921 \h </w:instrText>
      </w:r>
      <w:r>
        <w:fldChar w:fldCharType="separate"/>
      </w:r>
      <w:r>
        <w:t>128</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Recovery of premium by strata company or proprietor where no administrative fund in single tier strata schemes</w:t>
      </w:r>
      <w:r>
        <w:tab/>
      </w:r>
      <w:r>
        <w:fldChar w:fldCharType="begin"/>
      </w:r>
      <w:r>
        <w:instrText xml:space="preserve"> PAGEREF _Toc530554922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 in schemes other than single tier strata schemes</w:t>
      </w:r>
    </w:p>
    <w:p>
      <w:pPr>
        <w:pStyle w:val="TOC8"/>
        <w:rPr>
          <w:rFonts w:asciiTheme="minorHAnsi" w:eastAsiaTheme="minorEastAsia" w:hAnsiTheme="minorHAnsi" w:cstheme="minorBidi"/>
          <w:szCs w:val="22"/>
        </w:rPr>
      </w:pPr>
      <w:r>
        <w:t>54</w:t>
      </w:r>
      <w:r>
        <w:rPr>
          <w:snapToGrid w:val="0"/>
        </w:rPr>
        <w:t>.</w:t>
      </w:r>
      <w:r>
        <w:rPr>
          <w:snapToGrid w:val="0"/>
        </w:rPr>
        <w:tab/>
        <w:t>Insurance of buildings and strata companies</w:t>
      </w:r>
      <w:r>
        <w:tab/>
      </w:r>
      <w:r>
        <w:fldChar w:fldCharType="begin"/>
      </w:r>
      <w:r>
        <w:instrText xml:space="preserve"> PAGEREF _Toc530554924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Insurance provisions applicable to all schemes</w:t>
      </w:r>
    </w:p>
    <w:p>
      <w:pPr>
        <w:pStyle w:val="TOC8"/>
        <w:rPr>
          <w:rFonts w:asciiTheme="minorHAnsi" w:eastAsiaTheme="minorEastAsia" w:hAnsiTheme="minorHAnsi" w:cstheme="minorBidi"/>
          <w:szCs w:val="22"/>
        </w:rPr>
      </w:pPr>
      <w:r>
        <w:t>54A</w:t>
      </w:r>
      <w:r>
        <w:rPr>
          <w:snapToGrid w:val="0"/>
        </w:rPr>
        <w:t>.</w:t>
      </w:r>
      <w:r>
        <w:rPr>
          <w:snapToGrid w:val="0"/>
        </w:rPr>
        <w:tab/>
        <w:t>Where insurance cover refused, proprietor may be required to take action</w:t>
      </w:r>
      <w:r>
        <w:tab/>
      </w:r>
      <w:r>
        <w:fldChar w:fldCharType="begin"/>
      </w:r>
      <w:r>
        <w:instrText xml:space="preserve"> PAGEREF _Toc530554926 \h </w:instrText>
      </w:r>
      <w:r>
        <w:fldChar w:fldCharType="separate"/>
      </w:r>
      <w:r>
        <w:t>131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Further insurance by strata company and actions by proprietor against strata company</w:t>
      </w:r>
      <w:r>
        <w:tab/>
      </w:r>
      <w:r>
        <w:fldChar w:fldCharType="begin"/>
      </w:r>
      <w:r>
        <w:instrText xml:space="preserve"> PAGEREF _Toc530554927 \h </w:instrText>
      </w:r>
      <w:r>
        <w:fldChar w:fldCharType="separate"/>
      </w:r>
      <w:r>
        <w:t>132</w:t>
      </w:r>
      <w:r>
        <w:fldChar w:fldCharType="end"/>
      </w:r>
    </w:p>
    <w:p>
      <w:pPr>
        <w:pStyle w:val="TOC8"/>
        <w:rPr>
          <w:rFonts w:asciiTheme="minorHAnsi" w:eastAsiaTheme="minorEastAsia" w:hAnsiTheme="minorHAnsi" w:cstheme="minorBidi"/>
          <w:szCs w:val="22"/>
        </w:rPr>
      </w:pPr>
      <w:r>
        <w:t>55A</w:t>
      </w:r>
      <w:r>
        <w:rPr>
          <w:snapToGrid w:val="0"/>
        </w:rPr>
        <w:t>.</w:t>
      </w:r>
      <w:r>
        <w:rPr>
          <w:snapToGrid w:val="0"/>
        </w:rPr>
        <w:tab/>
        <w:t>Proprietor liable for increased insurance premium in certain cases</w:t>
      </w:r>
      <w:r>
        <w:tab/>
      </w:r>
      <w:r>
        <w:fldChar w:fldCharType="begin"/>
      </w:r>
      <w:r>
        <w:instrText xml:space="preserve"> PAGEREF _Toc530554928 \h </w:instrText>
      </w:r>
      <w:r>
        <w:fldChar w:fldCharType="separate"/>
      </w:r>
      <w:r>
        <w:t>133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Insurance by proprietor</w:t>
      </w:r>
      <w:r>
        <w:tab/>
      </w:r>
      <w:r>
        <w:fldChar w:fldCharType="begin"/>
      </w:r>
      <w:r>
        <w:instrText xml:space="preserve"> PAGEREF _Toc530554929 \h </w:instrText>
      </w:r>
      <w:r>
        <w:fldChar w:fldCharType="separate"/>
      </w:r>
      <w:r>
        <w:t>133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Proprietor may insure if strata company in default</w:t>
      </w:r>
      <w:r>
        <w:tab/>
      </w:r>
      <w:r>
        <w:fldChar w:fldCharType="begin"/>
      </w:r>
      <w:r>
        <w:instrText xml:space="preserve"> PAGEREF _Toc530554930 \h </w:instrText>
      </w:r>
      <w:r>
        <w:fldChar w:fldCharType="separate"/>
      </w:r>
      <w:r>
        <w:t>133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Insurance of mortgaged lot</w:t>
      </w:r>
      <w:r>
        <w:tab/>
      </w:r>
      <w:r>
        <w:fldChar w:fldCharType="begin"/>
      </w:r>
      <w:r>
        <w:instrText xml:space="preserve"> PAGEREF _Toc530554931 \h </w:instrText>
      </w:r>
      <w:r>
        <w:fldChar w:fldCharType="separate"/>
      </w:r>
      <w:r>
        <w:t>134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Insurable interest</w:t>
      </w:r>
      <w:r>
        <w:tab/>
      </w:r>
      <w:r>
        <w:fldChar w:fldCharType="begin"/>
      </w:r>
      <w:r>
        <w:instrText xml:space="preserve"> PAGEREF _Toc530554932 \h </w:instrText>
      </w:r>
      <w:r>
        <w:fldChar w:fldCharType="separate"/>
      </w:r>
      <w:r>
        <w:t>135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of insurance moneys to rebuilding</w:t>
      </w:r>
      <w:r>
        <w:tab/>
      </w:r>
      <w:r>
        <w:fldChar w:fldCharType="begin"/>
      </w:r>
      <w:r>
        <w:instrText xml:space="preserve"> PAGEREF _Toc530554933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Rates, taxes and charges</w:t>
      </w:r>
    </w:p>
    <w:p>
      <w:pPr>
        <w:pStyle w:val="TOC8"/>
        <w:rPr>
          <w:rFonts w:asciiTheme="minorHAnsi" w:eastAsiaTheme="minorEastAsia" w:hAnsiTheme="minorHAnsi" w:cstheme="minorBidi"/>
          <w:szCs w:val="22"/>
        </w:rPr>
      </w:pPr>
      <w:r>
        <w:t>60</w:t>
      </w:r>
      <w:r>
        <w:rPr>
          <w:snapToGrid w:val="0"/>
        </w:rPr>
        <w:t>.</w:t>
      </w:r>
      <w:r>
        <w:rPr>
          <w:snapToGrid w:val="0"/>
        </w:rPr>
        <w:tab/>
        <w:t>Delivery of plans to authorities</w:t>
      </w:r>
      <w:r>
        <w:tab/>
      </w:r>
      <w:r>
        <w:fldChar w:fldCharType="begin"/>
      </w:r>
      <w:r>
        <w:instrText xml:space="preserve"> PAGEREF _Toc530554935 \h </w:instrText>
      </w:r>
      <w:r>
        <w:fldChar w:fldCharType="separate"/>
      </w:r>
      <w:r>
        <w:t>136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Particulars on plan to be conclusive for rating and taxing purposes</w:t>
      </w:r>
      <w:r>
        <w:tab/>
      </w:r>
      <w:r>
        <w:fldChar w:fldCharType="begin"/>
      </w:r>
      <w:r>
        <w:instrText xml:space="preserve"> PAGEREF _Toc530554936 \h </w:instrText>
      </w:r>
      <w:r>
        <w:fldChar w:fldCharType="separate"/>
      </w:r>
      <w:r>
        <w:t>136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Rating on unimproved value</w:t>
      </w:r>
      <w:r>
        <w:tab/>
      </w:r>
      <w:r>
        <w:fldChar w:fldCharType="begin"/>
      </w:r>
      <w:r>
        <w:instrText xml:space="preserve"> PAGEREF _Toc530554937 \h </w:instrText>
      </w:r>
      <w:r>
        <w:fldChar w:fldCharType="separate"/>
      </w:r>
      <w:r>
        <w:t>137</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Rating for survey</w:t>
      </w:r>
      <w:r>
        <w:rPr>
          <w:snapToGrid w:val="0"/>
        </w:rPr>
        <w:noBreakHyphen/>
        <w:t>strata schemes</w:t>
      </w:r>
      <w:r>
        <w:tab/>
      </w:r>
      <w:r>
        <w:fldChar w:fldCharType="begin"/>
      </w:r>
      <w:r>
        <w:instrText xml:space="preserve"> PAGEREF _Toc530554938 \h </w:instrText>
      </w:r>
      <w:r>
        <w:fldChar w:fldCharType="separate"/>
      </w:r>
      <w:r>
        <w:t>138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Rating on gross rental value</w:t>
      </w:r>
      <w:r>
        <w:tab/>
      </w:r>
      <w:r>
        <w:fldChar w:fldCharType="begin"/>
      </w:r>
      <w:r>
        <w:instrText xml:space="preserve"> PAGEREF _Toc530554939 \h </w:instrText>
      </w:r>
      <w:r>
        <w:fldChar w:fldCharType="separate"/>
      </w:r>
      <w:r>
        <w:t>139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Proprietor may seek a review of unimproved value of parcel</w:t>
      </w:r>
      <w:r>
        <w:tab/>
      </w:r>
      <w:r>
        <w:fldChar w:fldCharType="begin"/>
      </w:r>
      <w:r>
        <w:instrText xml:space="preserve"> PAGEREF _Toc530554940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Land tax and metropolitan region improvement tax</w:t>
      </w:r>
      <w:r>
        <w:tab/>
      </w:r>
      <w:r>
        <w:fldChar w:fldCharType="begin"/>
      </w:r>
      <w:r>
        <w:instrText xml:space="preserve"> PAGEREF _Toc530554941 \h </w:instrText>
      </w:r>
      <w:r>
        <w:fldChar w:fldCharType="separate"/>
      </w:r>
      <w:r>
        <w:t>140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Land tax etc. for survey</w:t>
      </w:r>
      <w:r>
        <w:rPr>
          <w:snapToGrid w:val="0"/>
        </w:rPr>
        <w:noBreakHyphen/>
        <w:t>strata schemes</w:t>
      </w:r>
      <w:r>
        <w:tab/>
      </w:r>
      <w:r>
        <w:fldChar w:fldCharType="begin"/>
      </w:r>
      <w:r>
        <w:instrText xml:space="preserve"> PAGEREF _Toc530554942 \h </w:instrText>
      </w:r>
      <w:r>
        <w:fldChar w:fldCharType="separate"/>
      </w:r>
      <w:r>
        <w:t>141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Charges for water supplied</w:t>
      </w:r>
      <w:r>
        <w:tab/>
      </w:r>
      <w:r>
        <w:fldChar w:fldCharType="begin"/>
      </w:r>
      <w:r>
        <w:instrText xml:space="preserve"> PAGEREF _Toc530554943 \h </w:instrText>
      </w:r>
      <w:r>
        <w:fldChar w:fldCharType="separate"/>
      </w:r>
      <w:r>
        <w:t>141</w:t>
      </w:r>
      <w:r>
        <w:fldChar w:fldCharType="end"/>
      </w:r>
    </w:p>
    <w:p>
      <w:pPr>
        <w:pStyle w:val="TOC8"/>
        <w:rPr>
          <w:rFonts w:asciiTheme="minorHAnsi" w:eastAsiaTheme="minorEastAsia" w:hAnsiTheme="minorHAnsi" w:cstheme="minorBidi"/>
          <w:szCs w:val="22"/>
        </w:rPr>
      </w:pPr>
      <w:r>
        <w:t>67.</w:t>
      </w:r>
      <w:r>
        <w:tab/>
        <w:t xml:space="preserve">Water service charges under the </w:t>
      </w:r>
      <w:r>
        <w:rPr>
          <w:i/>
          <w:iCs/>
        </w:rPr>
        <w:t>Water Services Act 2012</w:t>
      </w:r>
      <w:r>
        <w:tab/>
      </w:r>
      <w:r>
        <w:fldChar w:fldCharType="begin"/>
      </w:r>
      <w:r>
        <w:instrText xml:space="preserve"> PAGEREF _Toc530554944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Protection of purchasers</w:t>
      </w:r>
    </w:p>
    <w:p>
      <w:pPr>
        <w:pStyle w:val="TOC8"/>
        <w:rPr>
          <w:rFonts w:asciiTheme="minorHAnsi" w:eastAsiaTheme="minorEastAsia" w:hAnsiTheme="minorHAnsi" w:cstheme="minorBidi"/>
          <w:szCs w:val="22"/>
        </w:rPr>
      </w:pPr>
      <w:r>
        <w:t>68</w:t>
      </w:r>
      <w:r>
        <w:rPr>
          <w:snapToGrid w:val="0"/>
        </w:rPr>
        <w:t>.</w:t>
      </w:r>
      <w:r>
        <w:rPr>
          <w:snapToGrid w:val="0"/>
        </w:rPr>
        <w:tab/>
        <w:t>Terms used</w:t>
      </w:r>
      <w:r>
        <w:tab/>
      </w:r>
      <w:r>
        <w:fldChar w:fldCharType="begin"/>
      </w:r>
      <w:r>
        <w:instrText xml:space="preserve"> PAGEREF _Toc530554946 \h </w:instrText>
      </w:r>
      <w:r>
        <w:fldChar w:fldCharType="separate"/>
      </w:r>
      <w:r>
        <w:t>143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Information to be given to purchaser</w:t>
      </w:r>
      <w:r>
        <w:tab/>
      </w:r>
      <w:r>
        <w:fldChar w:fldCharType="begin"/>
      </w:r>
      <w:r>
        <w:instrText xml:space="preserve"> PAGEREF _Toc530554947 \h </w:instrText>
      </w:r>
      <w:r>
        <w:fldChar w:fldCharType="separate"/>
      </w:r>
      <w:r>
        <w:t>143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Notifiable information, to be given by every vendor</w:t>
      </w:r>
      <w:r>
        <w:tab/>
      </w:r>
      <w:r>
        <w:fldChar w:fldCharType="begin"/>
      </w:r>
      <w:r>
        <w:instrText xml:space="preserve"> PAGEREF _Toc530554948 \h </w:instrText>
      </w:r>
      <w:r>
        <w:fldChar w:fldCharType="separate"/>
      </w:r>
      <w:r>
        <w:t>144</w:t>
      </w:r>
      <w:r>
        <w:fldChar w:fldCharType="end"/>
      </w:r>
    </w:p>
    <w:p>
      <w:pPr>
        <w:pStyle w:val="TOC8"/>
        <w:rPr>
          <w:rFonts w:asciiTheme="minorHAnsi" w:eastAsiaTheme="minorEastAsia" w:hAnsiTheme="minorHAnsi" w:cstheme="minorBidi"/>
          <w:szCs w:val="22"/>
        </w:rPr>
      </w:pPr>
      <w:r>
        <w:t>69B</w:t>
      </w:r>
      <w:r>
        <w:rPr>
          <w:snapToGrid w:val="0"/>
        </w:rPr>
        <w:t>.</w:t>
      </w:r>
      <w:r>
        <w:rPr>
          <w:snapToGrid w:val="0"/>
        </w:rPr>
        <w:tab/>
        <w:t>Notifiable information to be given by original proprietor in certain cases</w:t>
      </w:r>
      <w:r>
        <w:tab/>
      </w:r>
      <w:r>
        <w:fldChar w:fldCharType="begin"/>
      </w:r>
      <w:r>
        <w:instrText xml:space="preserve"> PAGEREF _Toc530554949 \h </w:instrText>
      </w:r>
      <w:r>
        <w:fldChar w:fldCharType="separate"/>
      </w:r>
      <w:r>
        <w:t>144</w:t>
      </w:r>
      <w:r>
        <w:fldChar w:fldCharType="end"/>
      </w:r>
    </w:p>
    <w:p>
      <w:pPr>
        <w:pStyle w:val="TOC8"/>
        <w:rPr>
          <w:rFonts w:asciiTheme="minorHAnsi" w:eastAsiaTheme="minorEastAsia" w:hAnsiTheme="minorHAnsi" w:cstheme="minorBidi"/>
          <w:szCs w:val="22"/>
        </w:rPr>
      </w:pPr>
      <w:r>
        <w:t>69C</w:t>
      </w:r>
      <w:r>
        <w:rPr>
          <w:snapToGrid w:val="0"/>
        </w:rPr>
        <w:t>.</w:t>
      </w:r>
      <w:r>
        <w:rPr>
          <w:snapToGrid w:val="0"/>
        </w:rPr>
        <w:tab/>
        <w:t>Vendor to inform purchaser of full particulars of notifiable variation</w:t>
      </w:r>
      <w:r>
        <w:tab/>
      </w:r>
      <w:r>
        <w:fldChar w:fldCharType="begin"/>
      </w:r>
      <w:r>
        <w:instrText xml:space="preserve"> PAGEREF _Toc530554950 \h </w:instrText>
      </w:r>
      <w:r>
        <w:fldChar w:fldCharType="separate"/>
      </w:r>
      <w:r>
        <w:t>146</w:t>
      </w:r>
      <w:r>
        <w:fldChar w:fldCharType="end"/>
      </w:r>
    </w:p>
    <w:p>
      <w:pPr>
        <w:pStyle w:val="TOC8"/>
        <w:rPr>
          <w:rFonts w:asciiTheme="minorHAnsi" w:eastAsiaTheme="minorEastAsia" w:hAnsiTheme="minorHAnsi" w:cstheme="minorBidi"/>
          <w:szCs w:val="22"/>
        </w:rPr>
      </w:pPr>
      <w:r>
        <w:t>69D</w:t>
      </w:r>
      <w:r>
        <w:rPr>
          <w:snapToGrid w:val="0"/>
        </w:rPr>
        <w:t>.</w:t>
      </w:r>
      <w:r>
        <w:rPr>
          <w:snapToGrid w:val="0"/>
        </w:rPr>
        <w:tab/>
        <w:t>When purchaser may avoid contract</w:t>
      </w:r>
      <w:r>
        <w:tab/>
      </w:r>
      <w:r>
        <w:fldChar w:fldCharType="begin"/>
      </w:r>
      <w:r>
        <w:instrText xml:space="preserve"> PAGEREF _Toc530554951 \h </w:instrText>
      </w:r>
      <w:r>
        <w:fldChar w:fldCharType="separate"/>
      </w:r>
      <w:r>
        <w:t>147</w:t>
      </w:r>
      <w:r>
        <w:fldChar w:fldCharType="end"/>
      </w:r>
    </w:p>
    <w:p>
      <w:pPr>
        <w:pStyle w:val="TOC8"/>
        <w:rPr>
          <w:rFonts w:asciiTheme="minorHAnsi" w:eastAsiaTheme="minorEastAsia" w:hAnsiTheme="minorHAnsi" w:cstheme="minorBidi"/>
          <w:szCs w:val="22"/>
        </w:rPr>
      </w:pPr>
      <w:r>
        <w:t>69E</w:t>
      </w:r>
      <w:r>
        <w:rPr>
          <w:snapToGrid w:val="0"/>
        </w:rPr>
        <w:t>.</w:t>
      </w:r>
      <w:r>
        <w:rPr>
          <w:snapToGrid w:val="0"/>
        </w:rPr>
        <w:tab/>
        <w:t>Effect of avoidance</w:t>
      </w:r>
      <w:r>
        <w:tab/>
      </w:r>
      <w:r>
        <w:fldChar w:fldCharType="begin"/>
      </w:r>
      <w:r>
        <w:instrText xml:space="preserve"> PAGEREF _Toc530554952 \h </w:instrText>
      </w:r>
      <w:r>
        <w:fldChar w:fldCharType="separate"/>
      </w:r>
      <w:r>
        <w:t>149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Holding of deposit and other contract moneys when a lot is pre</w:t>
      </w:r>
      <w:r>
        <w:rPr>
          <w:snapToGrid w:val="0"/>
        </w:rPr>
        <w:noBreakHyphen/>
        <w:t>sold</w:t>
      </w:r>
      <w:r>
        <w:tab/>
      </w:r>
      <w:r>
        <w:fldChar w:fldCharType="begin"/>
      </w:r>
      <w:r>
        <w:instrText xml:space="preserve"> PAGEREF _Toc530554953 \h </w:instrText>
      </w:r>
      <w:r>
        <w:fldChar w:fldCharType="separate"/>
      </w:r>
      <w:r>
        <w:t>149</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Contracting out prohibited</w:t>
      </w:r>
      <w:r>
        <w:tab/>
      </w:r>
      <w:r>
        <w:fldChar w:fldCharType="begin"/>
      </w:r>
      <w:r>
        <w:instrText xml:space="preserve"> PAGEREF _Toc530554954 \h </w:instrText>
      </w:r>
      <w:r>
        <w:fldChar w:fldCharType="separate"/>
      </w:r>
      <w:r>
        <w:t>151</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Saving</w:t>
      </w:r>
      <w:r>
        <w:tab/>
      </w:r>
      <w:r>
        <w:fldChar w:fldCharType="begin"/>
      </w:r>
      <w:r>
        <w:instrText xml:space="preserve"> PAGEREF _Toc530554955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VI — Resolution of disputes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Applications for orders</w:t>
      </w:r>
    </w:p>
    <w:p>
      <w:pPr>
        <w:pStyle w:val="TOC8"/>
        <w:rPr>
          <w:rFonts w:asciiTheme="minorHAnsi" w:eastAsiaTheme="minorEastAsia" w:hAnsiTheme="minorHAnsi" w:cstheme="minorBidi"/>
          <w:szCs w:val="22"/>
        </w:rPr>
      </w:pPr>
      <w:r>
        <w:t>77</w:t>
      </w:r>
      <w:r>
        <w:rPr>
          <w:snapToGrid w:val="0"/>
        </w:rPr>
        <w:t>.</w:t>
      </w:r>
      <w:r>
        <w:rPr>
          <w:snapToGrid w:val="0"/>
        </w:rPr>
        <w:tab/>
        <w:t>How applications are made</w:t>
      </w:r>
      <w:r>
        <w:tab/>
      </w:r>
      <w:r>
        <w:fldChar w:fldCharType="begin"/>
      </w:r>
      <w:r>
        <w:instrText xml:space="preserve"> PAGEREF _Toc530554958 \h </w:instrText>
      </w:r>
      <w:r>
        <w:fldChar w:fldCharType="separate"/>
      </w:r>
      <w:r>
        <w:t>152</w:t>
      </w:r>
      <w:r>
        <w:fldChar w:fldCharType="end"/>
      </w:r>
    </w:p>
    <w:p>
      <w:pPr>
        <w:pStyle w:val="TOC8"/>
        <w:rPr>
          <w:rFonts w:asciiTheme="minorHAnsi" w:eastAsiaTheme="minorEastAsia" w:hAnsiTheme="minorHAnsi" w:cstheme="minorBidi"/>
          <w:szCs w:val="22"/>
        </w:rPr>
      </w:pPr>
      <w:r>
        <w:t>77B</w:t>
      </w:r>
      <w:r>
        <w:rPr>
          <w:snapToGrid w:val="0"/>
        </w:rPr>
        <w:t>.</w:t>
      </w:r>
      <w:r>
        <w:rPr>
          <w:snapToGrid w:val="0"/>
        </w:rPr>
        <w:tab/>
        <w:t>Disputes procedures for scheme to be followed</w:t>
      </w:r>
      <w:r>
        <w:tab/>
      </w:r>
      <w:r>
        <w:fldChar w:fldCharType="begin"/>
      </w:r>
      <w:r>
        <w:instrText xml:space="preserve"> PAGEREF _Toc530554959 \h </w:instrText>
      </w:r>
      <w:r>
        <w:fldChar w:fldCharType="separate"/>
      </w:r>
      <w:r>
        <w:t>152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SAT may inspect certain records</w:t>
      </w:r>
      <w:r>
        <w:tab/>
      </w:r>
      <w:r>
        <w:fldChar w:fldCharType="begin"/>
      </w:r>
      <w:r>
        <w:instrText xml:space="preserve"> PAGEREF _Toc530554960 \h </w:instrText>
      </w:r>
      <w:r>
        <w:fldChar w:fldCharType="separate"/>
      </w:r>
      <w:r>
        <w:t>152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Notice of application to be given</w:t>
      </w:r>
      <w:r>
        <w:tab/>
      </w:r>
      <w:r>
        <w:fldChar w:fldCharType="begin"/>
      </w:r>
      <w:r>
        <w:instrText xml:space="preserve"> PAGEREF _Toc530554961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Orders by State Administrative Tribunal</w:t>
      </w:r>
    </w:p>
    <w:p>
      <w:pPr>
        <w:pStyle w:val="TOC8"/>
        <w:rPr>
          <w:rFonts w:asciiTheme="minorHAnsi" w:eastAsiaTheme="minorEastAsia" w:hAnsiTheme="minorHAnsi" w:cstheme="minorBidi"/>
          <w:szCs w:val="22"/>
        </w:rPr>
      </w:pPr>
      <w:r>
        <w:t>81</w:t>
      </w:r>
      <w:r>
        <w:rPr>
          <w:snapToGrid w:val="0"/>
        </w:rPr>
        <w:t>.</w:t>
      </w:r>
      <w:r>
        <w:rPr>
          <w:snapToGrid w:val="0"/>
        </w:rPr>
        <w:tab/>
        <w:t>Orders under this Division</w:t>
      </w:r>
      <w:r>
        <w:tab/>
      </w:r>
      <w:r>
        <w:fldChar w:fldCharType="begin"/>
      </w:r>
      <w:r>
        <w:instrText xml:space="preserve"> PAGEREF _Toc530554963 \h </w:instrText>
      </w:r>
      <w:r>
        <w:fldChar w:fldCharType="separate"/>
      </w:r>
      <w:r>
        <w:t>153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Interim orders</w:t>
      </w:r>
      <w:r>
        <w:tab/>
      </w:r>
      <w:r>
        <w:fldChar w:fldCharType="begin"/>
      </w:r>
      <w:r>
        <w:instrText xml:space="preserve"> PAGEREF _Toc530554964 \h </w:instrText>
      </w:r>
      <w:r>
        <w:fldChar w:fldCharType="separate"/>
      </w:r>
      <w:r>
        <w:t>155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General powers of SAT to make orders</w:t>
      </w:r>
      <w:r>
        <w:tab/>
      </w:r>
      <w:r>
        <w:fldChar w:fldCharType="begin"/>
      </w:r>
      <w:r>
        <w:instrText xml:space="preserve"> PAGEREF _Toc530554965 \h </w:instrText>
      </w:r>
      <w:r>
        <w:fldChar w:fldCharType="separate"/>
      </w:r>
      <w:r>
        <w:t>156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Further powers of SAT</w:t>
      </w:r>
      <w:r>
        <w:tab/>
      </w:r>
      <w:r>
        <w:fldChar w:fldCharType="begin"/>
      </w:r>
      <w:r>
        <w:instrText xml:space="preserve"> PAGEREF _Toc530554966 \h </w:instrText>
      </w:r>
      <w:r>
        <w:fldChar w:fldCharType="separate"/>
      </w:r>
      <w:r>
        <w:t>157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Order with respect to certain consents affecting common property</w:t>
      </w:r>
      <w:r>
        <w:tab/>
      </w:r>
      <w:r>
        <w:fldChar w:fldCharType="begin"/>
      </w:r>
      <w:r>
        <w:instrText xml:space="preserve"> PAGEREF _Toc530554967 \h </w:instrText>
      </w:r>
      <w:r>
        <w:fldChar w:fldCharType="separate"/>
      </w:r>
      <w:r>
        <w:t>158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Order with respect to acquisition of personal property</w:t>
      </w:r>
      <w:r>
        <w:tab/>
      </w:r>
      <w:r>
        <w:fldChar w:fldCharType="begin"/>
      </w:r>
      <w:r>
        <w:instrText xml:space="preserve"> PAGEREF _Toc530554968 \h </w:instrText>
      </w:r>
      <w:r>
        <w:fldChar w:fldCharType="separate"/>
      </w:r>
      <w:r>
        <w:t>158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Order to acquire personal property</w:t>
      </w:r>
      <w:r>
        <w:tab/>
      </w:r>
      <w:r>
        <w:fldChar w:fldCharType="begin"/>
      </w:r>
      <w:r>
        <w:instrText xml:space="preserve"> PAGEREF _Toc530554969 \h </w:instrText>
      </w:r>
      <w:r>
        <w:fldChar w:fldCharType="separate"/>
      </w:r>
      <w:r>
        <w:t>159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Order to make or pursue insurance claim</w:t>
      </w:r>
      <w:r>
        <w:tab/>
      </w:r>
      <w:r>
        <w:fldChar w:fldCharType="begin"/>
      </w:r>
      <w:r>
        <w:instrText xml:space="preserve"> PAGEREF _Toc530554970 \h </w:instrText>
      </w:r>
      <w:r>
        <w:fldChar w:fldCharType="separate"/>
      </w:r>
      <w:r>
        <w:t>159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Order varying certain rates of interest</w:t>
      </w:r>
      <w:r>
        <w:tab/>
      </w:r>
      <w:r>
        <w:fldChar w:fldCharType="begin"/>
      </w:r>
      <w:r>
        <w:instrText xml:space="preserve"> PAGEREF _Toc530554971 \h </w:instrText>
      </w:r>
      <w:r>
        <w:fldChar w:fldCharType="separate"/>
      </w:r>
      <w:r>
        <w:t>159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Order to supply information or documents</w:t>
      </w:r>
      <w:r>
        <w:tab/>
      </w:r>
      <w:r>
        <w:fldChar w:fldCharType="begin"/>
      </w:r>
      <w:r>
        <w:instrText xml:space="preserve"> PAGEREF _Toc530554972 \h </w:instrText>
      </w:r>
      <w:r>
        <w:fldChar w:fldCharType="separate"/>
      </w:r>
      <w:r>
        <w:t>160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Order relating to animal kept contrary to by</w:t>
      </w:r>
      <w:r>
        <w:rPr>
          <w:snapToGrid w:val="0"/>
        </w:rPr>
        <w:noBreakHyphen/>
        <w:t>laws</w:t>
      </w:r>
      <w:r>
        <w:tab/>
      </w:r>
      <w:r>
        <w:fldChar w:fldCharType="begin"/>
      </w:r>
      <w:r>
        <w:instrText xml:space="preserve"> PAGEREF _Toc530554973 \h </w:instrText>
      </w:r>
      <w:r>
        <w:fldChar w:fldCharType="separate"/>
      </w:r>
      <w:r>
        <w:t>160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Order relating to animal kept pursuant to by</w:t>
      </w:r>
      <w:r>
        <w:rPr>
          <w:snapToGrid w:val="0"/>
        </w:rPr>
        <w:noBreakHyphen/>
        <w:t>laws</w:t>
      </w:r>
      <w:r>
        <w:tab/>
      </w:r>
      <w:r>
        <w:fldChar w:fldCharType="begin"/>
      </w:r>
      <w:r>
        <w:instrText xml:space="preserve"> PAGEREF _Toc530554974 \h </w:instrText>
      </w:r>
      <w:r>
        <w:fldChar w:fldCharType="separate"/>
      </w:r>
      <w:r>
        <w:t>161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Order relating to by</w:t>
      </w:r>
      <w:r>
        <w:rPr>
          <w:snapToGrid w:val="0"/>
        </w:rPr>
        <w:noBreakHyphen/>
        <w:t>laws</w:t>
      </w:r>
      <w:r>
        <w:tab/>
      </w:r>
      <w:r>
        <w:fldChar w:fldCharType="begin"/>
      </w:r>
      <w:r>
        <w:instrText xml:space="preserve"> PAGEREF _Toc530554975 \h </w:instrText>
      </w:r>
      <w:r>
        <w:fldChar w:fldCharType="separate"/>
      </w:r>
      <w:r>
        <w:t>161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granting certain licence</w:t>
      </w:r>
      <w:r>
        <w:tab/>
      </w:r>
      <w:r>
        <w:fldChar w:fldCharType="begin"/>
      </w:r>
      <w:r>
        <w:instrText xml:space="preserve"> PAGEREF _Toc530554976 \h </w:instrText>
      </w:r>
      <w:r>
        <w:fldChar w:fldCharType="separate"/>
      </w:r>
      <w:r>
        <w:t>163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SAT may make certain by</w:t>
      </w:r>
      <w:r>
        <w:rPr>
          <w:snapToGrid w:val="0"/>
        </w:rPr>
        <w:noBreakHyphen/>
        <w:t>laws</w:t>
      </w:r>
      <w:r>
        <w:tab/>
      </w:r>
      <w:r>
        <w:fldChar w:fldCharType="begin"/>
      </w:r>
      <w:r>
        <w:instrText xml:space="preserve"> PAGEREF _Toc530554977 \h </w:instrText>
      </w:r>
      <w:r>
        <w:fldChar w:fldCharType="separate"/>
      </w:r>
      <w:r>
        <w:t>163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Power of SAT to invalidate a resolution or election</w:t>
      </w:r>
      <w:r>
        <w:tab/>
      </w:r>
      <w:r>
        <w:fldChar w:fldCharType="begin"/>
      </w:r>
      <w:r>
        <w:instrText xml:space="preserve"> PAGEREF _Toc530554978 \h </w:instrText>
      </w:r>
      <w:r>
        <w:fldChar w:fldCharType="separate"/>
      </w:r>
      <w:r>
        <w:t>164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Order authorising application to SAT</w:t>
      </w:r>
      <w:r>
        <w:tab/>
      </w:r>
      <w:r>
        <w:fldChar w:fldCharType="begin"/>
      </w:r>
      <w:r>
        <w:instrText xml:space="preserve"> PAGEREF _Toc530554979 \h </w:instrText>
      </w:r>
      <w:r>
        <w:fldChar w:fldCharType="separate"/>
      </w:r>
      <w:r>
        <w:t>165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for variation or manner of payment of contributions</w:t>
      </w:r>
      <w:r>
        <w:tab/>
      </w:r>
      <w:r>
        <w:fldChar w:fldCharType="begin"/>
      </w:r>
      <w:r>
        <w:instrText xml:space="preserve"> PAGEREF _Toc530554980 \h </w:instrText>
      </w:r>
      <w:r>
        <w:fldChar w:fldCharType="separate"/>
      </w:r>
      <w:r>
        <w:t>165</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Order fixing different basis for levying contributions</w:t>
      </w:r>
      <w:r>
        <w:tab/>
      </w:r>
      <w:r>
        <w:fldChar w:fldCharType="begin"/>
      </w:r>
      <w:r>
        <w:instrText xml:space="preserve"> PAGEREF _Toc530554981 \h </w:instrText>
      </w:r>
      <w:r>
        <w:fldChar w:fldCharType="separate"/>
      </w:r>
      <w:r>
        <w:t>166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where voting rights denied or due notice of item of business not given</w:t>
      </w:r>
      <w:r>
        <w:tab/>
      </w:r>
      <w:r>
        <w:fldChar w:fldCharType="begin"/>
      </w:r>
      <w:r>
        <w:instrText xml:space="preserve"> PAGEREF _Toc530554982 \h </w:instrText>
      </w:r>
      <w:r>
        <w:fldChar w:fldCharType="separate"/>
      </w:r>
      <w:r>
        <w:t>167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varying amount of insurance to be provided</w:t>
      </w:r>
      <w:r>
        <w:tab/>
      </w:r>
      <w:r>
        <w:fldChar w:fldCharType="begin"/>
      </w:r>
      <w:r>
        <w:instrText xml:space="preserve"> PAGEREF _Toc530554983 \h </w:instrText>
      </w:r>
      <w:r>
        <w:fldChar w:fldCharType="separate"/>
      </w:r>
      <w:r>
        <w:t>168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Order appointing administrator</w:t>
      </w:r>
      <w:r>
        <w:tab/>
      </w:r>
      <w:r>
        <w:fldChar w:fldCharType="begin"/>
      </w:r>
      <w:r>
        <w:instrText xml:space="preserve"> PAGEREF _Toc530554984 \h </w:instrText>
      </w:r>
      <w:r>
        <w:fldChar w:fldCharType="separate"/>
      </w:r>
      <w:r>
        <w:t>168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Order calling first annual general meeting of strata company</w:t>
      </w:r>
      <w:r>
        <w:tab/>
      </w:r>
      <w:r>
        <w:fldChar w:fldCharType="begin"/>
      </w:r>
      <w:r>
        <w:instrText xml:space="preserve"> PAGEREF _Toc530554985 \h </w:instrText>
      </w:r>
      <w:r>
        <w:fldChar w:fldCharType="separate"/>
      </w:r>
      <w:r>
        <w:t>170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Order for compliance, despite s. 36A</w:t>
      </w:r>
      <w:r>
        <w:tab/>
      </w:r>
      <w:r>
        <w:fldChar w:fldCharType="begin"/>
      </w:r>
      <w:r>
        <w:instrText xml:space="preserve"> PAGEREF _Toc530554986 \h </w:instrText>
      </w:r>
      <w:r>
        <w:fldChar w:fldCharType="separate"/>
      </w:r>
      <w:r>
        <w:t>172</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Order to enable quorum in two</w:t>
      </w:r>
      <w:r>
        <w:rPr>
          <w:snapToGrid w:val="0"/>
        </w:rPr>
        <w:noBreakHyphen/>
        <w:t>lot scheme</w:t>
      </w:r>
      <w:r>
        <w:tab/>
      </w:r>
      <w:r>
        <w:fldChar w:fldCharType="begin"/>
      </w:r>
      <w:r>
        <w:instrText xml:space="preserve"> PAGEREF _Toc530554987 \h </w:instrText>
      </w:r>
      <w:r>
        <w:fldChar w:fldCharType="separate"/>
      </w:r>
      <w:r>
        <w:t>172</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Order making resolution for two</w:t>
      </w:r>
      <w:r>
        <w:rPr>
          <w:snapToGrid w:val="0"/>
        </w:rPr>
        <w:noBreakHyphen/>
        <w:t>lot scheme</w:t>
      </w:r>
      <w:r>
        <w:tab/>
      </w:r>
      <w:r>
        <w:fldChar w:fldCharType="begin"/>
      </w:r>
      <w:r>
        <w:instrText xml:space="preserve"> PAGEREF _Toc530554988 \h </w:instrText>
      </w:r>
      <w:r>
        <w:fldChar w:fldCharType="separate"/>
      </w:r>
      <w:r>
        <w:t>173</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Order cancelling special resolution</w:t>
      </w:r>
      <w:r>
        <w:tab/>
      </w:r>
      <w:r>
        <w:fldChar w:fldCharType="begin"/>
      </w:r>
      <w:r>
        <w:instrText xml:space="preserve"> PAGEREF _Toc530554989 \h </w:instrText>
      </w:r>
      <w:r>
        <w:fldChar w:fldCharType="separate"/>
      </w:r>
      <w:r>
        <w:t>174</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Order for termination of contract for services to strata company</w:t>
      </w:r>
      <w:r>
        <w:tab/>
      </w:r>
      <w:r>
        <w:fldChar w:fldCharType="begin"/>
      </w:r>
      <w:r>
        <w:instrText xml:space="preserve"> PAGEREF _Toc530554990 \h </w:instrText>
      </w:r>
      <w:r>
        <w:fldChar w:fldCharType="separate"/>
      </w:r>
      <w:r>
        <w:t>174</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Order dispensing with approval under s. 7(2) or 7A(2)</w:t>
      </w:r>
      <w:r>
        <w:tab/>
      </w:r>
      <w:r>
        <w:fldChar w:fldCharType="begin"/>
      </w:r>
      <w:r>
        <w:instrText xml:space="preserve"> PAGEREF _Toc530554991 \h </w:instrText>
      </w:r>
      <w:r>
        <w:fldChar w:fldCharType="separate"/>
      </w:r>
      <w:r>
        <w:t>175</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Order granting relief for breach of s. 7(2)</w:t>
      </w:r>
      <w:r>
        <w:tab/>
      </w:r>
      <w:r>
        <w:fldChar w:fldCharType="begin"/>
      </w:r>
      <w:r>
        <w:instrText xml:space="preserve"> PAGEREF _Toc530554992 \h </w:instrText>
      </w:r>
      <w:r>
        <w:fldChar w:fldCharType="separate"/>
      </w:r>
      <w:r>
        <w:t>176</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Order for variation of unit entitlement</w:t>
      </w:r>
      <w:r>
        <w:tab/>
      </w:r>
      <w:r>
        <w:fldChar w:fldCharType="begin"/>
      </w:r>
      <w:r>
        <w:instrText xml:space="preserve"> PAGEREF _Toc530554993 \h </w:instrText>
      </w:r>
      <w:r>
        <w:fldChar w:fldCharType="separate"/>
      </w:r>
      <w:r>
        <w:t>177</w:t>
      </w:r>
      <w:r>
        <w:fldChar w:fldCharType="end"/>
      </w:r>
    </w:p>
    <w:p>
      <w:pPr>
        <w:pStyle w:val="TOC8"/>
        <w:rPr>
          <w:rFonts w:asciiTheme="minorHAnsi" w:eastAsiaTheme="minorEastAsia" w:hAnsiTheme="minorHAnsi" w:cstheme="minorBidi"/>
          <w:szCs w:val="22"/>
        </w:rPr>
      </w:pPr>
      <w:r>
        <w:t>103I</w:t>
      </w:r>
      <w:r>
        <w:rPr>
          <w:snapToGrid w:val="0"/>
        </w:rPr>
        <w:t>.</w:t>
      </w:r>
      <w:r>
        <w:rPr>
          <w:snapToGrid w:val="0"/>
        </w:rPr>
        <w:tab/>
        <w:t>Order for payment of penalty</w:t>
      </w:r>
      <w:r>
        <w:tab/>
      </w:r>
      <w:r>
        <w:fldChar w:fldCharType="begin"/>
      </w:r>
      <w:r>
        <w:instrText xml:space="preserve"> PAGEREF _Toc530554994 \h </w:instrText>
      </w:r>
      <w:r>
        <w:fldChar w:fldCharType="separate"/>
      </w:r>
      <w:r>
        <w:t>179</w:t>
      </w:r>
      <w:r>
        <w:fldChar w:fldCharType="end"/>
      </w:r>
    </w:p>
    <w:p>
      <w:pPr>
        <w:pStyle w:val="TOC8"/>
        <w:rPr>
          <w:rFonts w:asciiTheme="minorHAnsi" w:eastAsiaTheme="minorEastAsia" w:hAnsiTheme="minorHAnsi" w:cstheme="minorBidi"/>
          <w:szCs w:val="22"/>
        </w:rPr>
      </w:pPr>
      <w:r>
        <w:t>103J</w:t>
      </w:r>
      <w:r>
        <w:rPr>
          <w:snapToGrid w:val="0"/>
        </w:rPr>
        <w:t>.</w:t>
      </w:r>
      <w:r>
        <w:rPr>
          <w:snapToGrid w:val="0"/>
        </w:rPr>
        <w:tab/>
        <w:t>Order for exemption from s. 54 or 55(1)</w:t>
      </w:r>
      <w:r>
        <w:tab/>
      </w:r>
      <w:r>
        <w:fldChar w:fldCharType="begin"/>
      </w:r>
      <w:r>
        <w:instrText xml:space="preserve"> PAGEREF _Toc530554995 \h </w:instrText>
      </w:r>
      <w:r>
        <w:fldChar w:fldCharType="separate"/>
      </w:r>
      <w:r>
        <w:t>179</w:t>
      </w:r>
      <w:r>
        <w:fldChar w:fldCharType="end"/>
      </w:r>
    </w:p>
    <w:p>
      <w:pPr>
        <w:pStyle w:val="TOC8"/>
        <w:rPr>
          <w:rFonts w:asciiTheme="minorHAnsi" w:eastAsiaTheme="minorEastAsia" w:hAnsiTheme="minorHAnsi" w:cstheme="minorBidi"/>
          <w:szCs w:val="22"/>
        </w:rPr>
      </w:pPr>
      <w:r>
        <w:t>103K</w:t>
      </w:r>
      <w:r>
        <w:rPr>
          <w:snapToGrid w:val="0"/>
        </w:rPr>
        <w:t>.</w:t>
      </w:r>
      <w:r>
        <w:rPr>
          <w:snapToGrid w:val="0"/>
        </w:rPr>
        <w:tab/>
        <w:t>Order for compliance with s. 54A</w:t>
      </w:r>
      <w:r>
        <w:tab/>
      </w:r>
      <w:r>
        <w:fldChar w:fldCharType="begin"/>
      </w:r>
      <w:r>
        <w:instrText xml:space="preserve"> PAGEREF _Toc530554996 \h </w:instrText>
      </w:r>
      <w:r>
        <w:fldChar w:fldCharType="separate"/>
      </w:r>
      <w:r>
        <w:t>180</w:t>
      </w:r>
      <w:r>
        <w:fldChar w:fldCharType="end"/>
      </w:r>
    </w:p>
    <w:p>
      <w:pPr>
        <w:pStyle w:val="TOC8"/>
        <w:rPr>
          <w:rFonts w:asciiTheme="minorHAnsi" w:eastAsiaTheme="minorEastAsia" w:hAnsiTheme="minorHAnsi" w:cstheme="minorBidi"/>
          <w:szCs w:val="22"/>
        </w:rPr>
      </w:pPr>
      <w:r>
        <w:t>103L</w:t>
      </w:r>
      <w:r>
        <w:rPr>
          <w:snapToGrid w:val="0"/>
        </w:rPr>
        <w:t>.</w:t>
      </w:r>
      <w:r>
        <w:rPr>
          <w:snapToGrid w:val="0"/>
        </w:rPr>
        <w:tab/>
        <w:t>Order to contribute to insurance premium paid by proprietor</w:t>
      </w:r>
      <w:r>
        <w:tab/>
      </w:r>
      <w:r>
        <w:fldChar w:fldCharType="begin"/>
      </w:r>
      <w:r>
        <w:instrText xml:space="preserve"> PAGEREF _Toc530554997 \h </w:instrText>
      </w:r>
      <w:r>
        <w:fldChar w:fldCharType="separate"/>
      </w:r>
      <w:r>
        <w:t>181</w:t>
      </w:r>
      <w:r>
        <w:fldChar w:fldCharType="end"/>
      </w:r>
    </w:p>
    <w:p>
      <w:pPr>
        <w:pStyle w:val="TOC8"/>
        <w:rPr>
          <w:rFonts w:asciiTheme="minorHAnsi" w:eastAsiaTheme="minorEastAsia" w:hAnsiTheme="minorHAnsi" w:cstheme="minorBidi"/>
          <w:szCs w:val="22"/>
        </w:rPr>
      </w:pPr>
      <w:r>
        <w:t>103M</w:t>
      </w:r>
      <w:r>
        <w:rPr>
          <w:snapToGrid w:val="0"/>
        </w:rPr>
        <w:t>.</w:t>
      </w:r>
      <w:r>
        <w:rPr>
          <w:snapToGrid w:val="0"/>
        </w:rPr>
        <w:tab/>
        <w:t>Order as to resolution under s. 21F or 21Q</w:t>
      </w:r>
      <w:r>
        <w:tab/>
      </w:r>
      <w:r>
        <w:fldChar w:fldCharType="begin"/>
      </w:r>
      <w:r>
        <w:instrText xml:space="preserve"> PAGEREF _Toc530554998 \h </w:instrText>
      </w:r>
      <w:r>
        <w:fldChar w:fldCharType="separate"/>
      </w:r>
      <w:r>
        <w:t>183</w:t>
      </w:r>
      <w:r>
        <w:fldChar w:fldCharType="end"/>
      </w:r>
    </w:p>
    <w:p>
      <w:pPr>
        <w:pStyle w:val="TOC8"/>
        <w:rPr>
          <w:rFonts w:asciiTheme="minorHAnsi" w:eastAsiaTheme="minorEastAsia" w:hAnsiTheme="minorHAnsi" w:cstheme="minorBidi"/>
          <w:szCs w:val="22"/>
        </w:rPr>
      </w:pPr>
      <w:r>
        <w:t>103N</w:t>
      </w:r>
      <w:r>
        <w:rPr>
          <w:snapToGrid w:val="0"/>
        </w:rPr>
        <w:t>.</w:t>
      </w:r>
      <w:r>
        <w:rPr>
          <w:snapToGrid w:val="0"/>
        </w:rPr>
        <w:tab/>
        <w:t>Order for extension of period for reinstatement of building under s. 3AB(2)</w:t>
      </w:r>
      <w:r>
        <w:tab/>
      </w:r>
      <w:r>
        <w:fldChar w:fldCharType="begin"/>
      </w:r>
      <w:r>
        <w:instrText xml:space="preserve"> PAGEREF _Toc530554999 \h </w:instrText>
      </w:r>
      <w:r>
        <w:fldChar w:fldCharType="separate"/>
      </w:r>
      <w:r>
        <w:t>183</w:t>
      </w:r>
      <w:r>
        <w:fldChar w:fldCharType="end"/>
      </w:r>
    </w:p>
    <w:p>
      <w:pPr>
        <w:pStyle w:val="TOC8"/>
        <w:rPr>
          <w:rFonts w:asciiTheme="minorHAnsi" w:eastAsiaTheme="minorEastAsia" w:hAnsiTheme="minorHAnsi" w:cstheme="minorBidi"/>
          <w:szCs w:val="22"/>
        </w:rPr>
      </w:pPr>
      <w:r>
        <w:t>103O</w:t>
      </w:r>
      <w:r>
        <w:rPr>
          <w:snapToGrid w:val="0"/>
        </w:rPr>
        <w:t>.</w:t>
      </w:r>
      <w:r>
        <w:rPr>
          <w:snapToGrid w:val="0"/>
        </w:rPr>
        <w:tab/>
        <w:t>Order for extension of period for reinstatement of building under regulations</w:t>
      </w:r>
      <w:r>
        <w:tab/>
      </w:r>
      <w:r>
        <w:fldChar w:fldCharType="begin"/>
      </w:r>
      <w:r>
        <w:instrText xml:space="preserve"> PAGEREF _Toc530555000 \h </w:instrText>
      </w:r>
      <w:r>
        <w:fldChar w:fldCharType="separate"/>
      </w:r>
      <w:r>
        <w:t>184</w:t>
      </w:r>
      <w:r>
        <w:fldChar w:fldCharType="end"/>
      </w:r>
    </w:p>
    <w:p>
      <w:pPr>
        <w:pStyle w:val="TOC8"/>
        <w:rPr>
          <w:rFonts w:asciiTheme="minorHAnsi" w:eastAsiaTheme="minorEastAsia" w:hAnsiTheme="minorHAnsi" w:cstheme="minorBidi"/>
          <w:szCs w:val="22"/>
        </w:rPr>
      </w:pPr>
      <w:r>
        <w:t>103P</w:t>
      </w:r>
      <w:r>
        <w:rPr>
          <w:snapToGrid w:val="0"/>
        </w:rPr>
        <w:t>.</w:t>
      </w:r>
      <w:r>
        <w:rPr>
          <w:snapToGrid w:val="0"/>
        </w:rPr>
        <w:tab/>
        <w:t>Order reversing the effect of s. 21M</w:t>
      </w:r>
      <w:r>
        <w:tab/>
      </w:r>
      <w:r>
        <w:fldChar w:fldCharType="begin"/>
      </w:r>
      <w:r>
        <w:instrText xml:space="preserve"> PAGEREF _Toc530555001 \h </w:instrText>
      </w:r>
      <w:r>
        <w:fldChar w:fldCharType="separate"/>
      </w:r>
      <w:r>
        <w:t>185</w:t>
      </w:r>
      <w:r>
        <w:fldChar w:fldCharType="end"/>
      </w:r>
    </w:p>
    <w:p>
      <w:pPr>
        <w:pStyle w:val="TOC8"/>
        <w:rPr>
          <w:rFonts w:asciiTheme="minorHAnsi" w:eastAsiaTheme="minorEastAsia" w:hAnsiTheme="minorHAnsi" w:cstheme="minorBidi"/>
          <w:szCs w:val="22"/>
        </w:rPr>
      </w:pPr>
      <w:r>
        <w:t>103Q</w:t>
      </w:r>
      <w:r>
        <w:rPr>
          <w:snapToGrid w:val="0"/>
        </w:rPr>
        <w:t>.</w:t>
      </w:r>
      <w:r>
        <w:rPr>
          <w:snapToGrid w:val="0"/>
        </w:rPr>
        <w:tab/>
        <w:t>Order rectifying failure to give notice under s. 123A</w:t>
      </w:r>
      <w:r>
        <w:tab/>
      </w:r>
      <w:r>
        <w:fldChar w:fldCharType="begin"/>
      </w:r>
      <w:r>
        <w:instrText xml:space="preserve"> PAGEREF _Toc530555002 \h </w:instrText>
      </w:r>
      <w:r>
        <w:fldChar w:fldCharType="separate"/>
      </w:r>
      <w:r>
        <w:t>186</w:t>
      </w:r>
      <w:r>
        <w:fldChar w:fldCharType="end"/>
      </w:r>
    </w:p>
    <w:p>
      <w:pPr>
        <w:pStyle w:val="TOC8"/>
        <w:rPr>
          <w:rFonts w:asciiTheme="minorHAnsi" w:eastAsiaTheme="minorEastAsia" w:hAnsiTheme="minorHAnsi" w:cstheme="minorBidi"/>
          <w:szCs w:val="22"/>
        </w:rPr>
      </w:pPr>
      <w:r>
        <w:t>103R</w:t>
      </w:r>
      <w:r>
        <w:rPr>
          <w:snapToGrid w:val="0"/>
        </w:rPr>
        <w:t>.</w:t>
      </w:r>
      <w:r>
        <w:rPr>
          <w:snapToGrid w:val="0"/>
        </w:rPr>
        <w:tab/>
        <w:t>Order rectifying failure to give notice under s. 123C</w:t>
      </w:r>
      <w:r>
        <w:tab/>
      </w:r>
      <w:r>
        <w:fldChar w:fldCharType="begin"/>
      </w:r>
      <w:r>
        <w:instrText xml:space="preserve"> PAGEREF _Toc530555003 \h </w:instrText>
      </w:r>
      <w:r>
        <w:fldChar w:fldCharType="separate"/>
      </w:r>
      <w:r>
        <w:t>187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Copy of order to be served</w:t>
      </w:r>
      <w:r>
        <w:tab/>
      </w:r>
      <w:r>
        <w:fldChar w:fldCharType="begin"/>
      </w:r>
      <w:r>
        <w:instrText xml:space="preserve"> PAGEREF _Toc530555004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Appeals</w:t>
      </w:r>
    </w:p>
    <w:p>
      <w:pPr>
        <w:pStyle w:val="TOC8"/>
        <w:rPr>
          <w:rFonts w:asciiTheme="minorHAnsi" w:eastAsiaTheme="minorEastAsia" w:hAnsiTheme="minorHAnsi" w:cstheme="minorBidi"/>
          <w:szCs w:val="22"/>
        </w:rPr>
      </w:pPr>
      <w:r>
        <w:t>111</w:t>
      </w:r>
      <w:r>
        <w:rPr>
          <w:snapToGrid w:val="0"/>
        </w:rPr>
        <w:t>.</w:t>
      </w:r>
      <w:r>
        <w:rPr>
          <w:snapToGrid w:val="0"/>
        </w:rPr>
        <w:tab/>
        <w:t>Expenses of strata company on appeal</w:t>
      </w:r>
      <w:r>
        <w:tab/>
      </w:r>
      <w:r>
        <w:fldChar w:fldCharType="begin"/>
      </w:r>
      <w:r>
        <w:instrText xml:space="preserve"> PAGEREF _Toc530555006 \h </w:instrText>
      </w:r>
      <w:r>
        <w:fldChar w:fldCharType="separate"/>
      </w:r>
      <w:r>
        <w:t>189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Copy of order to be served</w:t>
      </w:r>
      <w:r>
        <w:tab/>
      </w:r>
      <w:r>
        <w:fldChar w:fldCharType="begin"/>
      </w:r>
      <w:r>
        <w:instrText xml:space="preserve"> PAGEREF _Toc530555007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114</w:t>
      </w:r>
      <w:r>
        <w:rPr>
          <w:snapToGrid w:val="0"/>
        </w:rPr>
        <w:t>.</w:t>
      </w:r>
      <w:r>
        <w:rPr>
          <w:snapToGrid w:val="0"/>
        </w:rPr>
        <w:tab/>
        <w:t>Effect of certain orders</w:t>
      </w:r>
      <w:r>
        <w:tab/>
      </w:r>
      <w:r>
        <w:fldChar w:fldCharType="begin"/>
      </w:r>
      <w:r>
        <w:instrText xml:space="preserve"> PAGEREF _Toc530555009 \h </w:instrText>
      </w:r>
      <w:r>
        <w:fldChar w:fldCharType="separate"/>
      </w:r>
      <w:r>
        <w:t>190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Recording of certain orders</w:t>
      </w:r>
      <w:r>
        <w:tab/>
      </w:r>
      <w:r>
        <w:fldChar w:fldCharType="begin"/>
      </w:r>
      <w:r>
        <w:instrText xml:space="preserve"> PAGEREF _Toc530555010 \h </w:instrText>
      </w:r>
      <w:r>
        <w:fldChar w:fldCharType="separate"/>
      </w:r>
      <w:r>
        <w:t>191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SAT not to have jurisdiction where title to land in question</w:t>
      </w:r>
      <w:r>
        <w:tab/>
      </w:r>
      <w:r>
        <w:fldChar w:fldCharType="begin"/>
      </w:r>
      <w:r>
        <w:instrText xml:space="preserve"> PAGEREF _Toc530555011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122</w:t>
      </w:r>
      <w:r>
        <w:rPr>
          <w:snapToGrid w:val="0"/>
        </w:rPr>
        <w:t>.</w:t>
      </w:r>
      <w:r>
        <w:rPr>
          <w:snapToGrid w:val="0"/>
        </w:rPr>
        <w:tab/>
        <w:t>Other rights and remedies not affected by this Act</w:t>
      </w:r>
      <w:r>
        <w:tab/>
      </w:r>
      <w:r>
        <w:fldChar w:fldCharType="begin"/>
      </w:r>
      <w:r>
        <w:instrText xml:space="preserve"> PAGEREF _Toc530555013 \h </w:instrText>
      </w:r>
      <w:r>
        <w:fldChar w:fldCharType="separate"/>
      </w:r>
      <w:r>
        <w:t>193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Caravan and camping areas not to be subdivided</w:t>
      </w:r>
      <w:r>
        <w:tab/>
      </w:r>
      <w:r>
        <w:fldChar w:fldCharType="begin"/>
      </w:r>
      <w:r>
        <w:instrText xml:space="preserve"> PAGEREF _Toc530555014 \h </w:instrText>
      </w:r>
      <w:r>
        <w:fldChar w:fldCharType="separate"/>
      </w:r>
      <w:r>
        <w:t>193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Dividing fences</w:t>
      </w:r>
      <w:r>
        <w:tab/>
      </w:r>
      <w:r>
        <w:fldChar w:fldCharType="begin"/>
      </w:r>
      <w:r>
        <w:instrText xml:space="preserve"> PAGEREF _Toc530555015 \h </w:instrText>
      </w:r>
      <w:r>
        <w:fldChar w:fldCharType="separate"/>
      </w:r>
      <w:r>
        <w:t>194</w:t>
      </w:r>
      <w:r>
        <w:fldChar w:fldCharType="end"/>
      </w:r>
    </w:p>
    <w:p>
      <w:pPr>
        <w:pStyle w:val="TOC8"/>
        <w:rPr>
          <w:rFonts w:asciiTheme="minorHAnsi" w:eastAsiaTheme="minorEastAsia" w:hAnsiTheme="minorHAnsi" w:cstheme="minorBidi"/>
          <w:szCs w:val="22"/>
        </w:rPr>
      </w:pPr>
      <w:r>
        <w:t>123A</w:t>
      </w:r>
      <w:r>
        <w:rPr>
          <w:snapToGrid w:val="0"/>
        </w:rPr>
        <w:t>.</w:t>
      </w:r>
      <w:r>
        <w:rPr>
          <w:snapToGrid w:val="0"/>
        </w:rPr>
        <w:tab/>
        <w:t>Transitional provision as to dividing fences</w:t>
      </w:r>
      <w:r>
        <w:tab/>
      </w:r>
      <w:r>
        <w:fldChar w:fldCharType="begin"/>
      </w:r>
      <w:r>
        <w:instrText xml:space="preserve"> PAGEREF _Toc530555016 \h </w:instrText>
      </w:r>
      <w:r>
        <w:fldChar w:fldCharType="separate"/>
      </w:r>
      <w:r>
        <w:t>194</w:t>
      </w:r>
      <w:r>
        <w:fldChar w:fldCharType="end"/>
      </w:r>
    </w:p>
    <w:p>
      <w:pPr>
        <w:pStyle w:val="TOC8"/>
        <w:rPr>
          <w:rFonts w:asciiTheme="minorHAnsi" w:eastAsiaTheme="minorEastAsia" w:hAnsiTheme="minorHAnsi" w:cstheme="minorBidi"/>
          <w:szCs w:val="22"/>
        </w:rPr>
      </w:pPr>
      <w:r>
        <w:t>123B</w:t>
      </w:r>
      <w:r>
        <w:rPr>
          <w:snapToGrid w:val="0"/>
        </w:rPr>
        <w:t>.</w:t>
      </w:r>
      <w:r>
        <w:rPr>
          <w:snapToGrid w:val="0"/>
        </w:rPr>
        <w:tab/>
        <w:t>Internal fencing</w:t>
      </w:r>
      <w:r>
        <w:tab/>
      </w:r>
      <w:r>
        <w:fldChar w:fldCharType="begin"/>
      </w:r>
      <w:r>
        <w:instrText xml:space="preserve"> PAGEREF _Toc530555017 \h </w:instrText>
      </w:r>
      <w:r>
        <w:fldChar w:fldCharType="separate"/>
      </w:r>
      <w:r>
        <w:t>196</w:t>
      </w:r>
      <w:r>
        <w:fldChar w:fldCharType="end"/>
      </w:r>
    </w:p>
    <w:p>
      <w:pPr>
        <w:pStyle w:val="TOC8"/>
        <w:rPr>
          <w:rFonts w:asciiTheme="minorHAnsi" w:eastAsiaTheme="minorEastAsia" w:hAnsiTheme="minorHAnsi" w:cstheme="minorBidi"/>
          <w:szCs w:val="22"/>
        </w:rPr>
      </w:pPr>
      <w:r>
        <w:t>123C</w:t>
      </w:r>
      <w:r>
        <w:rPr>
          <w:snapToGrid w:val="0"/>
        </w:rPr>
        <w:t>.</w:t>
      </w:r>
      <w:r>
        <w:rPr>
          <w:snapToGrid w:val="0"/>
        </w:rPr>
        <w:tab/>
        <w:t>Transitional provision as to internal fencing</w:t>
      </w:r>
      <w:r>
        <w:tab/>
      </w:r>
      <w:r>
        <w:fldChar w:fldCharType="begin"/>
      </w:r>
      <w:r>
        <w:instrText xml:space="preserve"> PAGEREF _Toc530555018 \h </w:instrText>
      </w:r>
      <w:r>
        <w:fldChar w:fldCharType="separate"/>
      </w:r>
      <w:r>
        <w:t>196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Notice of application for order under s. 28, 29 or 31</w:t>
      </w:r>
      <w:r>
        <w:tab/>
      </w:r>
      <w:r>
        <w:fldChar w:fldCharType="begin"/>
      </w:r>
      <w:r>
        <w:instrText xml:space="preserve"> PAGEREF _Toc530555019 \h </w:instrText>
      </w:r>
      <w:r>
        <w:fldChar w:fldCharType="separate"/>
      </w:r>
      <w:r>
        <w:t>198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Service of documents on strata company, proprietors and others</w:t>
      </w:r>
      <w:r>
        <w:tab/>
      </w:r>
      <w:r>
        <w:fldChar w:fldCharType="begin"/>
      </w:r>
      <w:r>
        <w:instrText xml:space="preserve"> PAGEREF _Toc530555020 \h </w:instrText>
      </w:r>
      <w:r>
        <w:fldChar w:fldCharType="separate"/>
      </w:r>
      <w:r>
        <w:t>198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entry by public authority or local government</w:t>
      </w:r>
      <w:r>
        <w:tab/>
      </w:r>
      <w:r>
        <w:fldChar w:fldCharType="begin"/>
      </w:r>
      <w:r>
        <w:instrText xml:space="preserve"> PAGEREF _Toc530555021 \h </w:instrText>
      </w:r>
      <w:r>
        <w:fldChar w:fldCharType="separate"/>
      </w:r>
      <w:r>
        <w:t>200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orders by public authority or local government</w:t>
      </w:r>
      <w:r>
        <w:tab/>
      </w:r>
      <w:r>
        <w:fldChar w:fldCharType="begin"/>
      </w:r>
      <w:r>
        <w:instrText xml:space="preserve"> PAGEREF _Toc530555022 \h </w:instrText>
      </w:r>
      <w:r>
        <w:fldChar w:fldCharType="separate"/>
      </w:r>
      <w:r>
        <w:t>200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Procedure upon application to District Court</w:t>
      </w:r>
      <w:r>
        <w:tab/>
      </w:r>
      <w:r>
        <w:fldChar w:fldCharType="begin"/>
      </w:r>
      <w:r>
        <w:instrText xml:space="preserve"> PAGEREF _Toc530555023 \h </w:instrText>
      </w:r>
      <w:r>
        <w:fldChar w:fldCharType="separate"/>
      </w:r>
      <w:r>
        <w:t>201</w:t>
      </w:r>
      <w:r>
        <w:fldChar w:fldCharType="end"/>
      </w:r>
    </w:p>
    <w:p>
      <w:pPr>
        <w:pStyle w:val="TOC8"/>
        <w:rPr>
          <w:rFonts w:asciiTheme="minorHAnsi" w:eastAsiaTheme="minorEastAsia" w:hAnsiTheme="minorHAnsi" w:cstheme="minorBidi"/>
          <w:szCs w:val="22"/>
        </w:rPr>
      </w:pPr>
      <w:r>
        <w:t>129A</w:t>
      </w:r>
      <w:r>
        <w:rPr>
          <w:snapToGrid w:val="0"/>
        </w:rPr>
        <w:t>.</w:t>
      </w:r>
      <w:r>
        <w:rPr>
          <w:snapToGrid w:val="0"/>
        </w:rPr>
        <w:tab/>
        <w:t>Correction of errors by Registrar</w:t>
      </w:r>
      <w:r>
        <w:tab/>
      </w:r>
      <w:r>
        <w:fldChar w:fldCharType="begin"/>
      </w:r>
      <w:r>
        <w:instrText xml:space="preserve"> PAGEREF _Toc530555024 \h </w:instrText>
      </w:r>
      <w:r>
        <w:fldChar w:fldCharType="separate"/>
      </w:r>
      <w:r>
        <w:t>201</w:t>
      </w:r>
      <w:r>
        <w:fldChar w:fldCharType="end"/>
      </w:r>
    </w:p>
    <w:p>
      <w:pPr>
        <w:pStyle w:val="TOC8"/>
        <w:rPr>
          <w:rFonts w:asciiTheme="minorHAnsi" w:eastAsiaTheme="minorEastAsia" w:hAnsiTheme="minorHAnsi" w:cstheme="minorBidi"/>
          <w:szCs w:val="22"/>
        </w:rPr>
      </w:pPr>
      <w:r>
        <w:t>129B.</w:t>
      </w:r>
      <w:r>
        <w:tab/>
        <w:t>Delegation by Commissioner of Titles</w:t>
      </w:r>
      <w:r>
        <w:tab/>
      </w:r>
      <w:r>
        <w:fldChar w:fldCharType="begin"/>
      </w:r>
      <w:r>
        <w:instrText xml:space="preserve"> PAGEREF _Toc530555025 \h </w:instrText>
      </w:r>
      <w:r>
        <w:fldChar w:fldCharType="separate"/>
      </w:r>
      <w:r>
        <w:t>202</w:t>
      </w:r>
      <w:r>
        <w:fldChar w:fldCharType="end"/>
      </w:r>
    </w:p>
    <w:p>
      <w:pPr>
        <w:pStyle w:val="TOC8"/>
        <w:rPr>
          <w:rFonts w:asciiTheme="minorHAnsi" w:eastAsiaTheme="minorEastAsia" w:hAnsiTheme="minorHAnsi" w:cstheme="minorBidi"/>
          <w:szCs w:val="22"/>
        </w:rPr>
      </w:pPr>
      <w:r>
        <w:t>129C.</w:t>
      </w:r>
      <w:r>
        <w:tab/>
        <w:t>Delegation by Registrar of Titles</w:t>
      </w:r>
      <w:r>
        <w:tab/>
      </w:r>
      <w:r>
        <w:fldChar w:fldCharType="begin"/>
      </w:r>
      <w:r>
        <w:instrText xml:space="preserve"> PAGEREF _Toc530555026 \h </w:instrText>
      </w:r>
      <w:r>
        <w:fldChar w:fldCharType="separate"/>
      </w:r>
      <w:r>
        <w:t>203</w:t>
      </w:r>
      <w:r>
        <w:fldChar w:fldCharType="end"/>
      </w:r>
    </w:p>
    <w:p>
      <w:pPr>
        <w:pStyle w:val="TOC8"/>
        <w:rPr>
          <w:rFonts w:asciiTheme="minorHAnsi" w:eastAsiaTheme="minorEastAsia" w:hAnsiTheme="minorHAnsi" w:cstheme="minorBidi"/>
          <w:szCs w:val="22"/>
        </w:rPr>
      </w:pPr>
      <w:r>
        <w:t>129D.</w:t>
      </w:r>
      <w:r>
        <w:tab/>
        <w:t>Money received by Registrar</w:t>
      </w:r>
      <w:r>
        <w:tab/>
      </w:r>
      <w:r>
        <w:fldChar w:fldCharType="begin"/>
      </w:r>
      <w:r>
        <w:instrText xml:space="preserve"> PAGEREF _Toc530555027 \h </w:instrText>
      </w:r>
      <w:r>
        <w:fldChar w:fldCharType="separate"/>
      </w:r>
      <w:r>
        <w:t>203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w:t>
      </w:r>
      <w:r>
        <w:tab/>
      </w:r>
      <w:r>
        <w:fldChar w:fldCharType="begin"/>
      </w:r>
      <w:r>
        <w:instrText xml:space="preserve"> PAGEREF _Toc530555028 \h </w:instrText>
      </w:r>
      <w:r>
        <w:fldChar w:fldCharType="separate"/>
      </w:r>
      <w:r>
        <w:t>204</w:t>
      </w:r>
      <w:r>
        <w:fldChar w:fldCharType="end"/>
      </w:r>
    </w:p>
    <w:p>
      <w:pPr>
        <w:pStyle w:val="TOC8"/>
        <w:rPr>
          <w:rFonts w:asciiTheme="minorHAnsi" w:eastAsiaTheme="minorEastAsia" w:hAnsiTheme="minorHAnsi" w:cstheme="minorBidi"/>
          <w:szCs w:val="22"/>
        </w:rPr>
      </w:pPr>
      <w:r>
        <w:t>131A.</w:t>
      </w:r>
      <w:r>
        <w:tab/>
        <w:t>Certain prescribed fees may exceed cost recovery</w:t>
      </w:r>
      <w:r>
        <w:tab/>
      </w:r>
      <w:r>
        <w:fldChar w:fldCharType="begin"/>
      </w:r>
      <w:r>
        <w:instrText xml:space="preserve"> PAGEREF _Toc530555029 \h </w:instrText>
      </w:r>
      <w:r>
        <w:fldChar w:fldCharType="separate"/>
      </w:r>
      <w:r>
        <w:t>205</w:t>
      </w:r>
      <w:r>
        <w:fldChar w:fldCharType="end"/>
      </w:r>
    </w:p>
    <w:p>
      <w:pPr>
        <w:pStyle w:val="TOC8"/>
        <w:rPr>
          <w:rFonts w:asciiTheme="minorHAnsi" w:eastAsiaTheme="minorEastAsia" w:hAnsiTheme="minorHAnsi" w:cstheme="minorBidi"/>
          <w:szCs w:val="22"/>
        </w:rPr>
      </w:pPr>
      <w:r>
        <w:t>131B.</w:t>
      </w:r>
      <w:r>
        <w:tab/>
        <w:t>Expiry of section 131A</w:t>
      </w:r>
      <w:r>
        <w:tab/>
      </w:r>
      <w:r>
        <w:fldChar w:fldCharType="begin"/>
      </w:r>
      <w:r>
        <w:instrText xml:space="preserve"> PAGEREF _Toc530555030 \h </w:instrText>
      </w:r>
      <w:r>
        <w:fldChar w:fldCharType="separate"/>
      </w:r>
      <w:r>
        <w:t>206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Transitional and savings</w:t>
      </w:r>
      <w:r>
        <w:tab/>
      </w:r>
      <w:r>
        <w:fldChar w:fldCharType="begin"/>
      </w:r>
      <w:r>
        <w:instrText xml:space="preserve"> PAGEREF _Toc530555031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VIII</w:t>
      </w:r>
      <w:r>
        <w:rPr>
          <w:b w:val="0"/>
        </w:rPr>
        <w:t> </w:t>
      </w:r>
      <w:r>
        <w:t>—</w:t>
      </w:r>
      <w:r>
        <w:rPr>
          <w:b w:val="0"/>
        </w:rPr>
        <w:t> </w:t>
      </w:r>
      <w:r>
        <w:t>Transitional provisions for amendments made to this Act</w:t>
      </w:r>
    </w:p>
    <w:p>
      <w:pPr>
        <w:pStyle w:val="TOC8"/>
        <w:rPr>
          <w:rFonts w:asciiTheme="minorHAnsi" w:eastAsiaTheme="minorEastAsia" w:hAnsiTheme="minorHAnsi" w:cstheme="minorBidi"/>
          <w:szCs w:val="22"/>
        </w:rPr>
      </w:pPr>
      <w:r>
        <w:tab/>
        <w:t xml:space="preserve">Division 1 — Transitional provisions arising from certain amendments made by the </w:t>
      </w:r>
      <w:r>
        <w:rPr>
          <w:i/>
        </w:rPr>
        <w:t>Building Act 2011</w:t>
      </w:r>
      <w:r>
        <w:tab/>
      </w:r>
      <w:r>
        <w:fldChar w:fldCharType="begin"/>
      </w:r>
      <w:r>
        <w:instrText xml:space="preserve"> PAGEREF _Toc530555033 \h </w:instrText>
      </w:r>
      <w:r>
        <w:fldChar w:fldCharType="separate"/>
      </w:r>
      <w:r>
        <w:t>208</w:t>
      </w:r>
      <w:r>
        <w:fldChar w:fldCharType="end"/>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_Toc530555034 \h </w:instrText>
      </w:r>
      <w:r>
        <w:fldChar w:fldCharType="separate"/>
      </w:r>
      <w:r>
        <w:t>208</w:t>
      </w:r>
      <w:r>
        <w:fldChar w:fldCharType="end"/>
      </w:r>
    </w:p>
    <w:p>
      <w:pPr>
        <w:pStyle w:val="TOC8"/>
        <w:rPr>
          <w:rFonts w:asciiTheme="minorHAnsi" w:eastAsiaTheme="minorEastAsia" w:hAnsiTheme="minorHAnsi" w:cstheme="minorBidi"/>
          <w:szCs w:val="22"/>
        </w:rPr>
      </w:pPr>
      <w:r>
        <w:t>134.</w:t>
      </w:r>
      <w:r>
        <w:tab/>
        <w:t>Certificates of local government required by s. 5B(2)</w:t>
      </w:r>
      <w:r>
        <w:tab/>
      </w:r>
      <w:r>
        <w:fldChar w:fldCharType="begin"/>
      </w:r>
      <w:r>
        <w:instrText xml:space="preserve"> PAGEREF _Toc530555035 \h </w:instrText>
      </w:r>
      <w:r>
        <w:fldChar w:fldCharType="separate"/>
      </w:r>
      <w:r>
        <w:t>208</w:t>
      </w:r>
      <w:r>
        <w:fldChar w:fldCharType="end"/>
      </w:r>
    </w:p>
    <w:p>
      <w:pPr>
        <w:pStyle w:val="TOC8"/>
        <w:rPr>
          <w:rFonts w:asciiTheme="minorHAnsi" w:eastAsiaTheme="minorEastAsia" w:hAnsiTheme="minorHAnsi" w:cstheme="minorBidi"/>
          <w:szCs w:val="22"/>
        </w:rPr>
      </w:pPr>
      <w:r>
        <w:t>135.</w:t>
      </w:r>
      <w:r>
        <w:tab/>
        <w:t>Certificates of local government required by s. 8A(f)</w:t>
      </w:r>
      <w:r>
        <w:tab/>
      </w:r>
      <w:r>
        <w:fldChar w:fldCharType="begin"/>
      </w:r>
      <w:r>
        <w:instrText xml:space="preserve"> PAGEREF _Toc530555036 \h </w:instrText>
      </w:r>
      <w:r>
        <w:fldChar w:fldCharType="separate"/>
      </w:r>
      <w:r>
        <w:t>208</w:t>
      </w:r>
      <w:r>
        <w:fldChar w:fldCharType="end"/>
      </w:r>
    </w:p>
    <w:p>
      <w:pPr>
        <w:pStyle w:val="TOC8"/>
        <w:rPr>
          <w:rFonts w:asciiTheme="minorHAnsi" w:eastAsiaTheme="minorEastAsia" w:hAnsiTheme="minorHAnsi" w:cstheme="minorBidi"/>
          <w:szCs w:val="22"/>
        </w:rPr>
      </w:pPr>
      <w:r>
        <w:t>136.</w:t>
      </w:r>
      <w:r>
        <w:tab/>
        <w:t>Applications for certificates of local government and review of related decisions</w:t>
      </w:r>
      <w:r>
        <w:tab/>
      </w:r>
      <w:r>
        <w:fldChar w:fldCharType="begin"/>
      </w:r>
      <w:r>
        <w:instrText xml:space="preserve"> PAGEREF _Toc530555037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By-laws</w:t>
      </w:r>
    </w:p>
    <w:p>
      <w:pPr>
        <w:pStyle w:val="TOC8"/>
        <w:rPr>
          <w:rFonts w:asciiTheme="minorHAnsi" w:eastAsiaTheme="minorEastAsia" w:hAnsiTheme="minorHAnsi" w:cstheme="minorBidi"/>
          <w:szCs w:val="22"/>
        </w:rPr>
      </w:pPr>
      <w:r>
        <w:t>1</w:t>
      </w:r>
      <w:r>
        <w:rPr>
          <w:snapToGrid w:val="0"/>
        </w:rPr>
        <w:t>.</w:t>
      </w:r>
      <w:r>
        <w:rPr>
          <w:snapToGrid w:val="0"/>
        </w:rPr>
        <w:tab/>
        <w:t>Duties of proprietor, occupiers etc.</w:t>
      </w:r>
      <w:r>
        <w:tab/>
      </w:r>
      <w:r>
        <w:fldChar w:fldCharType="begin"/>
      </w:r>
      <w:r>
        <w:instrText xml:space="preserve"> PAGEREF _Toc530555039 \h </w:instrText>
      </w:r>
      <w:r>
        <w:fldChar w:fldCharType="separate"/>
      </w:r>
      <w:r>
        <w:t>210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of proprietor to decorate etc.</w:t>
      </w:r>
      <w:r>
        <w:tab/>
      </w:r>
      <w:r>
        <w:fldChar w:fldCharType="begin"/>
      </w:r>
      <w:r>
        <w:instrText xml:space="preserve"> PAGEREF _Toc530555040 \h </w:instrText>
      </w:r>
      <w:r>
        <w:fldChar w:fldCharType="separate"/>
      </w:r>
      <w:r>
        <w:t>211</w:t>
      </w:r>
      <w:r>
        <w:fldChar w:fldCharType="end"/>
      </w:r>
    </w:p>
    <w:p>
      <w:pPr>
        <w:pStyle w:val="TOC8"/>
        <w:rPr>
          <w:rFonts w:asciiTheme="minorHAnsi" w:eastAsiaTheme="minorEastAsia" w:hAnsiTheme="minorHAnsi" w:cstheme="minorBidi"/>
          <w:szCs w:val="22"/>
        </w:rPr>
      </w:pPr>
      <w:r>
        <w:rPr>
          <w:snapToGrid w:val="0"/>
        </w:rPr>
        <w:t>3.</w:t>
      </w:r>
      <w:r>
        <w:rPr>
          <w:snapToGrid w:val="0"/>
        </w:rPr>
        <w:tab/>
        <w:t>Power of strata company regarding submeters</w:t>
      </w:r>
      <w:r>
        <w:tab/>
      </w:r>
      <w:r>
        <w:fldChar w:fldCharType="begin"/>
      </w:r>
      <w:r>
        <w:instrText xml:space="preserve"> PAGEREF _Toc530555041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Constitution of council</w:t>
      </w:r>
      <w:r>
        <w:tab/>
      </w:r>
      <w:r>
        <w:fldChar w:fldCharType="begin"/>
      </w:r>
      <w:r>
        <w:instrText xml:space="preserve"> PAGEREF _Toc530555042 \h </w:instrText>
      </w:r>
      <w:r>
        <w:fldChar w:fldCharType="separate"/>
      </w:r>
      <w:r>
        <w:t>212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Election of council</w:t>
      </w:r>
      <w:r>
        <w:tab/>
      </w:r>
      <w:r>
        <w:fldChar w:fldCharType="begin"/>
      </w:r>
      <w:r>
        <w:instrText xml:space="preserve"> PAGEREF _Toc530555043 \h </w:instrText>
      </w:r>
      <w:r>
        <w:fldChar w:fldCharType="separate"/>
      </w:r>
      <w:r>
        <w:t>214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 secretary and treasurer of council</w:t>
      </w:r>
      <w:r>
        <w:tab/>
      </w:r>
      <w:r>
        <w:fldChar w:fldCharType="begin"/>
      </w:r>
      <w:r>
        <w:instrText xml:space="preserve"> PAGEREF _Toc530555044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Chairman, secretary and treasurer of strata company</w:t>
      </w:r>
      <w:r>
        <w:tab/>
      </w:r>
      <w:r>
        <w:fldChar w:fldCharType="begin"/>
      </w:r>
      <w:r>
        <w:instrText xml:space="preserve"> PAGEREF _Toc530555045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Meetings of council</w:t>
      </w:r>
      <w:r>
        <w:tab/>
      </w:r>
      <w:r>
        <w:fldChar w:fldCharType="begin"/>
      </w:r>
      <w:r>
        <w:instrText xml:space="preserve"> PAGEREF _Toc530555046 \h </w:instrText>
      </w:r>
      <w:r>
        <w:fldChar w:fldCharType="separate"/>
      </w:r>
      <w:r>
        <w:t>217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and duties of secretary of strata company</w:t>
      </w:r>
      <w:r>
        <w:tab/>
      </w:r>
      <w:r>
        <w:fldChar w:fldCharType="begin"/>
      </w:r>
      <w:r>
        <w:instrText xml:space="preserve"> PAGEREF _Toc530555047 \h </w:instrText>
      </w:r>
      <w:r>
        <w:fldChar w:fldCharType="separate"/>
      </w:r>
      <w:r>
        <w:t>217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and duties of treasurer of strata company</w:t>
      </w:r>
      <w:r>
        <w:tab/>
      </w:r>
      <w:r>
        <w:fldChar w:fldCharType="begin"/>
      </w:r>
      <w:r>
        <w:instrText xml:space="preserve"> PAGEREF _Toc530555048 \h </w:instrText>
      </w:r>
      <w:r>
        <w:fldChar w:fldCharType="separate"/>
      </w:r>
      <w:r>
        <w:t>218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General meetings of strata company</w:t>
      </w:r>
      <w:r>
        <w:tab/>
      </w:r>
      <w:r>
        <w:fldChar w:fldCharType="begin"/>
      </w:r>
      <w:r>
        <w:instrText xml:space="preserve"> PAGEREF _Toc530555049 \h </w:instrText>
      </w:r>
      <w:r>
        <w:fldChar w:fldCharType="separate"/>
      </w:r>
      <w:r>
        <w:t>218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at general meetings</w:t>
      </w:r>
      <w:r>
        <w:tab/>
      </w:r>
      <w:r>
        <w:fldChar w:fldCharType="begin"/>
      </w:r>
      <w:r>
        <w:instrText xml:space="preserve"> PAGEREF _Toc530555050 \h </w:instrText>
      </w:r>
      <w:r>
        <w:fldChar w:fldCharType="separate"/>
      </w:r>
      <w:r>
        <w:t>219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moving motion or nominating candidate</w:t>
      </w:r>
      <w:r>
        <w:tab/>
      </w:r>
      <w:r>
        <w:fldChar w:fldCharType="begin"/>
      </w:r>
      <w:r>
        <w:instrText xml:space="preserve"> PAGEREF _Toc530555051 \h </w:instrText>
      </w:r>
      <w:r>
        <w:fldChar w:fldCharType="separate"/>
      </w:r>
      <w:r>
        <w:t>221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Votes of proprietors</w:t>
      </w:r>
      <w:r>
        <w:tab/>
      </w:r>
      <w:r>
        <w:fldChar w:fldCharType="begin"/>
      </w:r>
      <w:r>
        <w:instrText xml:space="preserve"> PAGEREF _Toc530555052 \h </w:instrText>
      </w:r>
      <w:r>
        <w:fldChar w:fldCharType="separate"/>
      </w:r>
      <w:r>
        <w:t>221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t>Common</w:t>
      </w:r>
      <w:r>
        <w:rPr>
          <w:snapToGrid w:val="0"/>
        </w:rPr>
        <w:t xml:space="preserve"> seal</w:t>
      </w:r>
      <w:r>
        <w:tab/>
      </w:r>
      <w:r>
        <w:fldChar w:fldCharType="begin"/>
      </w:r>
      <w:r>
        <w:instrText xml:space="preserve"> PAGEREF _Toc530555053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 2 by-laws</w:t>
      </w:r>
    </w:p>
    <w:p>
      <w:pPr>
        <w:pStyle w:val="TOC8"/>
        <w:rPr>
          <w:rFonts w:asciiTheme="minorHAnsi" w:eastAsiaTheme="minorEastAsia" w:hAnsiTheme="minorHAnsi" w:cstheme="minorBidi"/>
          <w:szCs w:val="22"/>
        </w:rPr>
      </w:pPr>
      <w:r>
        <w:t>1</w:t>
      </w:r>
      <w:r>
        <w:rPr>
          <w:snapToGrid w:val="0"/>
        </w:rPr>
        <w:t>.</w:t>
      </w:r>
      <w:r>
        <w:rPr>
          <w:snapToGrid w:val="0"/>
        </w:rPr>
        <w:tab/>
        <w:t>Vehicles</w:t>
      </w:r>
      <w:r>
        <w:tab/>
      </w:r>
      <w:r>
        <w:fldChar w:fldCharType="begin"/>
      </w:r>
      <w:r>
        <w:instrText xml:space="preserve"> PAGEREF _Toc530555055 \h </w:instrText>
      </w:r>
      <w:r>
        <w:fldChar w:fldCharType="separate"/>
      </w:r>
      <w:r>
        <w:t>223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Obstruction of common property</w:t>
      </w:r>
      <w:r>
        <w:tab/>
      </w:r>
      <w:r>
        <w:fldChar w:fldCharType="begin"/>
      </w:r>
      <w:r>
        <w:instrText xml:space="preserve"> PAGEREF _Toc530555056 \h </w:instrText>
      </w:r>
      <w:r>
        <w:fldChar w:fldCharType="separate"/>
      </w:r>
      <w:r>
        <w:t>223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Damage to lawns etc. on common property</w:t>
      </w:r>
      <w:r>
        <w:tab/>
      </w:r>
      <w:r>
        <w:fldChar w:fldCharType="begin"/>
      </w:r>
      <w:r>
        <w:instrText xml:space="preserve"> PAGEREF _Toc530555057 \h </w:instrText>
      </w:r>
      <w:r>
        <w:fldChar w:fldCharType="separate"/>
      </w:r>
      <w:r>
        <w:t>223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Behaviour of proprietors and occupiers</w:t>
      </w:r>
      <w:r>
        <w:tab/>
      </w:r>
      <w:r>
        <w:fldChar w:fldCharType="begin"/>
      </w:r>
      <w:r>
        <w:instrText xml:space="preserve"> PAGEREF _Toc530555058 \h </w:instrText>
      </w:r>
      <w:r>
        <w:fldChar w:fldCharType="separate"/>
      </w:r>
      <w:r>
        <w:t>223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Children playing upon common property in building</w:t>
      </w:r>
      <w:r>
        <w:tab/>
      </w:r>
      <w:r>
        <w:fldChar w:fldCharType="begin"/>
      </w:r>
      <w:r>
        <w:instrText xml:space="preserve"> PAGEREF _Toc530555059 \h </w:instrText>
      </w:r>
      <w:r>
        <w:fldChar w:fldCharType="separate"/>
      </w:r>
      <w:r>
        <w:t>223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Depositing rubbish etc. on common property</w:t>
      </w:r>
      <w:r>
        <w:tab/>
      </w:r>
      <w:r>
        <w:fldChar w:fldCharType="begin"/>
      </w:r>
      <w:r>
        <w:instrText xml:space="preserve"> PAGEREF _Toc530555060 \h </w:instrText>
      </w:r>
      <w:r>
        <w:fldChar w:fldCharType="separate"/>
      </w:r>
      <w:r>
        <w:t>224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Drying of laundry items</w:t>
      </w:r>
      <w:r>
        <w:tab/>
      </w:r>
      <w:r>
        <w:fldChar w:fldCharType="begin"/>
      </w:r>
      <w:r>
        <w:instrText xml:space="preserve"> PAGEREF _Toc530555061 \h </w:instrText>
      </w:r>
      <w:r>
        <w:fldChar w:fldCharType="separate"/>
      </w:r>
      <w:r>
        <w:t>224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Storage of inflammable liquids etc.</w:t>
      </w:r>
      <w:r>
        <w:tab/>
      </w:r>
      <w:r>
        <w:fldChar w:fldCharType="begin"/>
      </w:r>
      <w:r>
        <w:instrText xml:space="preserve"> PAGEREF _Toc530555062 \h </w:instrText>
      </w:r>
      <w:r>
        <w:fldChar w:fldCharType="separate"/>
      </w:r>
      <w:r>
        <w:t>224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Moving furniture etc. on or through common property</w:t>
      </w:r>
      <w:r>
        <w:tab/>
      </w:r>
      <w:r>
        <w:fldChar w:fldCharType="begin"/>
      </w:r>
      <w:r>
        <w:instrText xml:space="preserve"> PAGEREF _Toc530555063 \h </w:instrText>
      </w:r>
      <w:r>
        <w:fldChar w:fldCharType="separate"/>
      </w:r>
      <w:r>
        <w:t>224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 coverings</w:t>
      </w:r>
      <w:r>
        <w:tab/>
      </w:r>
      <w:r>
        <w:fldChar w:fldCharType="begin"/>
      </w:r>
      <w:r>
        <w:instrText xml:space="preserve"> PAGEREF _Toc530555064 \h </w:instrText>
      </w:r>
      <w:r>
        <w:fldChar w:fldCharType="separate"/>
      </w:r>
      <w:r>
        <w:t>225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Garbage disposal</w:t>
      </w:r>
      <w:r>
        <w:tab/>
      </w:r>
      <w:r>
        <w:fldChar w:fldCharType="begin"/>
      </w:r>
      <w:r>
        <w:instrText xml:space="preserve"> PAGEREF _Toc530555065 \h </w:instrText>
      </w:r>
      <w:r>
        <w:fldChar w:fldCharType="separate"/>
      </w:r>
      <w:r>
        <w:t>225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Additional duties of proprietors, occupiers etc.</w:t>
      </w:r>
      <w:r>
        <w:tab/>
      </w:r>
      <w:r>
        <w:fldChar w:fldCharType="begin"/>
      </w:r>
      <w:r>
        <w:instrText xml:space="preserve"> PAGEREF _Toc530555066 \h </w:instrText>
      </w:r>
      <w:r>
        <w:fldChar w:fldCharType="separate"/>
      </w:r>
      <w:r>
        <w:t>225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Notice of alteration to lot</w:t>
      </w:r>
      <w:r>
        <w:tab/>
      </w:r>
      <w:r>
        <w:fldChar w:fldCharType="begin"/>
      </w:r>
      <w:r>
        <w:instrText xml:space="preserve"> PAGEREF _Toc530555067 \h </w:instrText>
      </w:r>
      <w:r>
        <w:fldChar w:fldCharType="separate"/>
      </w:r>
      <w:r>
        <w:t>226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Appearance of lot</w:t>
      </w:r>
      <w:r>
        <w:tab/>
      </w:r>
      <w:r>
        <w:fldChar w:fldCharType="begin"/>
      </w:r>
      <w:r>
        <w:instrText xml:space="preserve"> PAGEREF _Toc530555068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Schedule 2A — Matters that may be provided for in management statement</w:t>
      </w:r>
    </w:p>
    <w:p>
      <w:pPr>
        <w:pStyle w:val="TOC2"/>
        <w:tabs>
          <w:tab w:val="right" w:leader="dot" w:pos="7077"/>
        </w:tabs>
        <w:rPr>
          <w:rFonts w:asciiTheme="minorHAnsi" w:eastAsiaTheme="minorEastAsia" w:hAnsiTheme="minorHAnsi" w:cstheme="minorBidi"/>
          <w:b w:val="0"/>
          <w:sz w:val="22"/>
          <w:szCs w:val="22"/>
        </w:rPr>
      </w:pPr>
      <w:r>
        <w:t>Schedule 3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_Toc530555071 \h </w:instrText>
      </w:r>
      <w:r>
        <w:fldChar w:fldCharType="separate"/>
      </w:r>
      <w:r>
        <w:t>229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unregistered former strata plans</w:t>
      </w:r>
      <w:r>
        <w:tab/>
      </w:r>
      <w:r>
        <w:fldChar w:fldCharType="begin"/>
      </w:r>
      <w:r>
        <w:instrText xml:space="preserve"> PAGEREF _Toc530555072 \h </w:instrText>
      </w:r>
      <w:r>
        <w:fldChar w:fldCharType="separate"/>
      </w:r>
      <w:r>
        <w:t>230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Former lots and former common property to be derived lots and derived common property</w:t>
      </w:r>
      <w:r>
        <w:tab/>
      </w:r>
      <w:r>
        <w:fldChar w:fldCharType="begin"/>
      </w:r>
      <w:r>
        <w:instrText xml:space="preserve"> PAGEREF _Toc530555073 \h </w:instrText>
      </w:r>
      <w:r>
        <w:fldChar w:fldCharType="separate"/>
      </w:r>
      <w:r>
        <w:t>232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Continuation of companies</w:t>
      </w:r>
      <w:r>
        <w:tab/>
      </w:r>
      <w:r>
        <w:fldChar w:fldCharType="begin"/>
      </w:r>
      <w:r>
        <w:instrText xml:space="preserve"> PAGEREF _Toc530555074 \h </w:instrText>
      </w:r>
      <w:r>
        <w:fldChar w:fldCharType="separate"/>
      </w:r>
      <w:r>
        <w:t>233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Continuation of estates or interests in former lots and former common property and rights in former common property</w:t>
      </w:r>
      <w:r>
        <w:tab/>
      </w:r>
      <w:r>
        <w:fldChar w:fldCharType="begin"/>
      </w:r>
      <w:r>
        <w:instrText xml:space="preserve"> PAGEREF _Toc530555075 \h </w:instrText>
      </w:r>
      <w:r>
        <w:fldChar w:fldCharType="separate"/>
      </w:r>
      <w:r>
        <w:t>233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former strata schemes, former parcels, derived lots and common property</w:t>
      </w:r>
      <w:r>
        <w:tab/>
      </w:r>
      <w:r>
        <w:fldChar w:fldCharType="begin"/>
      </w:r>
      <w:r>
        <w:instrText xml:space="preserve"> PAGEREF _Toc530555076 \h </w:instrText>
      </w:r>
      <w:r>
        <w:fldChar w:fldCharType="separate"/>
      </w:r>
      <w:r>
        <w:t>234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Registration of transfers or leases of derived common property registrable under s. 10 of former Act</w:t>
      </w:r>
      <w:r>
        <w:tab/>
      </w:r>
      <w:r>
        <w:fldChar w:fldCharType="begin"/>
      </w:r>
      <w:r>
        <w:instrText xml:space="preserve"> PAGEREF _Toc530555077 \h </w:instrText>
      </w:r>
      <w:r>
        <w:fldChar w:fldCharType="separate"/>
      </w:r>
      <w:r>
        <w:t>234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Reallocation of unit entitlement</w:t>
      </w:r>
      <w:r>
        <w:tab/>
      </w:r>
      <w:r>
        <w:fldChar w:fldCharType="begin"/>
      </w:r>
      <w:r>
        <w:instrText xml:space="preserve"> PAGEREF _Toc530555078 \h </w:instrText>
      </w:r>
      <w:r>
        <w:fldChar w:fldCharType="separate"/>
      </w:r>
      <w:r>
        <w:t>235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meetings of certain continued companies</w:t>
      </w:r>
      <w:r>
        <w:tab/>
      </w:r>
      <w:r>
        <w:fldChar w:fldCharType="begin"/>
      </w:r>
      <w:r>
        <w:instrText xml:space="preserve"> PAGEREF _Toc530555079 \h </w:instrText>
      </w:r>
      <w:r>
        <w:fldChar w:fldCharType="separate"/>
      </w:r>
      <w:r>
        <w:t>235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former companies held within 2 months after appointed day</w:t>
      </w:r>
      <w:r>
        <w:tab/>
      </w:r>
      <w:r>
        <w:fldChar w:fldCharType="begin"/>
      </w:r>
      <w:r>
        <w:instrText xml:space="preserve"> PAGEREF _Toc530555080 \h </w:instrText>
      </w:r>
      <w:r>
        <w:fldChar w:fldCharType="separate"/>
      </w:r>
      <w:r>
        <w:t>237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Notices served by public or local government authority before appointed day</w:t>
      </w:r>
      <w:r>
        <w:tab/>
      </w:r>
      <w:r>
        <w:fldChar w:fldCharType="begin"/>
      </w:r>
      <w:r>
        <w:instrText xml:space="preserve"> PAGEREF _Toc530555081 \h </w:instrText>
      </w:r>
      <w:r>
        <w:fldChar w:fldCharType="separate"/>
      </w:r>
      <w:r>
        <w:t>237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Effect of former by</w:t>
      </w:r>
      <w:r>
        <w:rPr>
          <w:snapToGrid w:val="0"/>
        </w:rPr>
        <w:noBreakHyphen/>
        <w:t>laws</w:t>
      </w:r>
      <w:r>
        <w:tab/>
      </w:r>
      <w:r>
        <w:fldChar w:fldCharType="begin"/>
      </w:r>
      <w:r>
        <w:instrText xml:space="preserve"> PAGEREF _Toc530555082 \h </w:instrText>
      </w:r>
      <w:r>
        <w:fldChar w:fldCharType="separate"/>
      </w:r>
      <w:r>
        <w:t>237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Maintenance of exclusive use of, or special privileges in respect of, common property</w:t>
      </w:r>
      <w:r>
        <w:tab/>
      </w:r>
      <w:r>
        <w:fldChar w:fldCharType="begin"/>
      </w:r>
      <w:r>
        <w:instrText xml:space="preserve"> PAGEREF _Toc530555083 \h </w:instrText>
      </w:r>
      <w:r>
        <w:fldChar w:fldCharType="separate"/>
      </w:r>
      <w:r>
        <w:t>240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Exclusive use and privileges to lapse unless provided for by by</w:t>
      </w:r>
      <w:r>
        <w:rPr>
          <w:snapToGrid w:val="0"/>
        </w:rPr>
        <w:noBreakHyphen/>
        <w:t>law or SAT’s order</w:t>
      </w:r>
      <w:r>
        <w:tab/>
      </w:r>
      <w:r>
        <w:fldChar w:fldCharType="begin"/>
      </w:r>
      <w:r>
        <w:instrText xml:space="preserve"> PAGEREF _Toc530555084 \h </w:instrText>
      </w:r>
      <w:r>
        <w:fldChar w:fldCharType="separate"/>
      </w:r>
      <w:r>
        <w:t>240</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Strata companies to notify proprietors of operation of cl. 13A</w:t>
      </w:r>
      <w:r>
        <w:tab/>
      </w:r>
      <w:r>
        <w:fldChar w:fldCharType="begin"/>
      </w:r>
      <w:r>
        <w:instrText xml:space="preserve"> PAGEREF _Toc530555085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contributions levied under former Acts</w:t>
      </w:r>
      <w:r>
        <w:tab/>
      </w:r>
      <w:r>
        <w:fldChar w:fldCharType="begin"/>
      </w:r>
      <w:r>
        <w:instrText xml:space="preserve"> PAGEREF _Toc530555086 \h </w:instrText>
      </w:r>
      <w:r>
        <w:fldChar w:fldCharType="separate"/>
      </w:r>
      <w:r>
        <w:t>243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Modification of s. 35(1)(j) in relation to companies</w:t>
      </w:r>
      <w:r>
        <w:tab/>
      </w:r>
      <w:r>
        <w:fldChar w:fldCharType="begin"/>
      </w:r>
      <w:r>
        <w:instrText xml:space="preserve"> PAGEREF _Toc530555087 \h </w:instrText>
      </w:r>
      <w:r>
        <w:fldChar w:fldCharType="separate"/>
      </w:r>
      <w:r>
        <w:t>243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Inspection of former records etc.</w:t>
      </w:r>
      <w:r>
        <w:tab/>
      </w:r>
      <w:r>
        <w:fldChar w:fldCharType="begin"/>
      </w:r>
      <w:r>
        <w:instrText xml:space="preserve"> PAGEREF _Toc530555088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Administrative funds of continued companies</w:t>
      </w:r>
      <w:r>
        <w:tab/>
      </w:r>
      <w:r>
        <w:fldChar w:fldCharType="begin"/>
      </w:r>
      <w:r>
        <w:instrText xml:space="preserve"> PAGEREF _Toc530555089 \h </w:instrText>
      </w:r>
      <w:r>
        <w:fldChar w:fldCharType="separate"/>
      </w:r>
      <w:r>
        <w:t>244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Modification of s. 43(1)(c) in relation to continued companies</w:t>
      </w:r>
      <w:r>
        <w:tab/>
      </w:r>
      <w:r>
        <w:fldChar w:fldCharType="begin"/>
      </w:r>
      <w:r>
        <w:instrText xml:space="preserve"> PAGEREF _Toc530555090 \h </w:instrText>
      </w:r>
      <w:r>
        <w:fldChar w:fldCharType="separate"/>
      </w:r>
      <w:r>
        <w:t>244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Continuation of councils of former companies</w:t>
      </w:r>
      <w:r>
        <w:tab/>
      </w:r>
      <w:r>
        <w:fldChar w:fldCharType="begin"/>
      </w:r>
      <w:r>
        <w:instrText xml:space="preserve"> PAGEREF _Toc530555091 \h </w:instrText>
      </w:r>
      <w:r>
        <w:fldChar w:fldCharType="separate"/>
      </w:r>
      <w:r>
        <w:t>244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Ope</w:t>
      </w:r>
      <w:r>
        <w:t>r</w:t>
      </w:r>
      <w:r>
        <w:rPr>
          <w:snapToGrid w:val="0"/>
        </w:rPr>
        <w:t>ation of by</w:t>
      </w:r>
      <w:r>
        <w:rPr>
          <w:snapToGrid w:val="0"/>
        </w:rPr>
        <w:noBreakHyphen/>
        <w:t>law 1, Part I of Sch. 1</w:t>
      </w:r>
      <w:r>
        <w:tab/>
      </w:r>
      <w:r>
        <w:fldChar w:fldCharType="begin"/>
      </w:r>
      <w:r>
        <w:instrText xml:space="preserve"> PAGEREF _Toc530555092 \h </w:instrText>
      </w:r>
      <w:r>
        <w:fldChar w:fldCharType="separate"/>
      </w:r>
      <w:r>
        <w:t>244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Modification</w:t>
      </w:r>
      <w:r>
        <w:rPr>
          <w:snapToGrid w:val="0"/>
        </w:rPr>
        <w:t xml:space="preserve"> of Part IV Div. 4</w:t>
      </w:r>
      <w:r>
        <w:tab/>
      </w:r>
      <w:r>
        <w:fldChar w:fldCharType="begin"/>
      </w:r>
      <w:r>
        <w:instrText xml:space="preserve"> PAGEREF _Toc530555093 \h </w:instrText>
      </w:r>
      <w:r>
        <w:fldChar w:fldCharType="separate"/>
      </w:r>
      <w:r>
        <w:t>245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Evidentiary effect under s. 61 of particulars furnished under s. 21(3) of former Act</w:t>
      </w:r>
      <w:r>
        <w:tab/>
      </w:r>
      <w:r>
        <w:fldChar w:fldCharType="begin"/>
      </w:r>
      <w:r>
        <w:instrText xml:space="preserve"> PAGEREF _Toc530555094 \h </w:instrText>
      </w:r>
      <w:r>
        <w:fldChar w:fldCharType="separate"/>
      </w:r>
      <w:r>
        <w:t>245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Destruction of or damage to building under former Act</w:t>
      </w:r>
      <w:r>
        <w:tab/>
      </w:r>
      <w:r>
        <w:fldChar w:fldCharType="begin"/>
      </w:r>
      <w:r>
        <w:instrText xml:space="preserve"> PAGEREF _Toc530555095 \h </w:instrText>
      </w:r>
      <w:r>
        <w:fldChar w:fldCharType="separate"/>
      </w:r>
      <w:r>
        <w:t>246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Administrators under former Act</w:t>
      </w:r>
      <w:r>
        <w:tab/>
      </w:r>
      <w:r>
        <w:fldChar w:fldCharType="begin"/>
      </w:r>
      <w:r>
        <w:instrText xml:space="preserve"> PAGEREF _Toc530555096 \h </w:instrText>
      </w:r>
      <w:r>
        <w:fldChar w:fldCharType="separate"/>
      </w:r>
      <w:r>
        <w:t>246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Recovery of rates paid by company</w:t>
      </w:r>
      <w:r>
        <w:tab/>
      </w:r>
      <w:r>
        <w:fldChar w:fldCharType="begin"/>
      </w:r>
      <w:r>
        <w:instrText xml:space="preserve"> PAGEREF _Toc530555097 \h </w:instrText>
      </w:r>
      <w:r>
        <w:fldChar w:fldCharType="separate"/>
      </w:r>
      <w:r>
        <w:t>247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 Transitional</w:t>
      </w:r>
      <w:r>
        <w:tab/>
      </w:r>
      <w:r>
        <w:fldChar w:fldCharType="begin"/>
      </w:r>
      <w:r>
        <w:instrText xml:space="preserve"> PAGEREF _Toc530555098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Schedule 4 — Transitional provisions for by</w:t>
      </w:r>
      <w:r>
        <w:noBreakHyphen/>
        <w:t>laws of strata companies other than companies to which Schedule 3 applies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_Toc530555100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provisions</w:t>
      </w:r>
      <w:r>
        <w:tab/>
      </w:r>
      <w:r>
        <w:fldChar w:fldCharType="begin"/>
      </w:r>
      <w:r>
        <w:instrText xml:space="preserve"> PAGEREF _Toc530555101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_Toc530555103 \h </w:instrText>
      </w:r>
      <w:r>
        <w:fldChar w:fldCharType="separate"/>
      </w:r>
      <w:r>
        <w:t>250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_Toc530555104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1000"/>
      </w:pPr>
      <w:r>
        <w:t>Strata Titles Act 1985</w:t>
      </w:r>
    </w:p>
    <w:p>
      <w:pPr>
        <w:pStyle w:val="LongTitle"/>
        <w:rPr>
          <w:snapToGrid w:val="0"/>
        </w:rPr>
      </w:pPr>
      <w:r>
        <w:rPr>
          <w:snapToGrid w:val="0"/>
        </w:rPr>
        <w:t xml:space="preserve">An Act to facilitate the horizontal and vertical subdivision of land and the disposition of titles thereto, to provide for incidental and connected purposes and to repeal the </w:t>
      </w:r>
      <w:r>
        <w:rPr>
          <w:i/>
          <w:snapToGrid w:val="0"/>
        </w:rPr>
        <w:t>Strata Titles Act 1966</w:t>
      </w:r>
      <w:r>
        <w:rPr>
          <w:snapToGrid w:val="0"/>
        </w:rPr>
        <w:t>.</w:t>
      </w:r>
    </w:p>
    <w:p>
      <w:pPr>
        <w:pStyle w:val="Footnotelongtitle"/>
      </w:pPr>
      <w:r>
        <w:tab/>
        <w:t>[Long title amended: No. 58 of 1995 s. 4.]</w:t>
      </w:r>
    </w:p>
    <w:p>
      <w:pPr>
        <w:pStyle w:val="Heading2"/>
      </w:pPr>
      <w:bookmarkStart w:id="3" w:name="_Toc525288398"/>
      <w:bookmarkStart w:id="4" w:name="_Toc530554434"/>
      <w:bookmarkStart w:id="5" w:name="_Toc53055477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3055477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 xml:space="preserve"> </w:t>
      </w:r>
      <w:r>
        <w:rPr>
          <w:snapToGrid w:val="0"/>
          <w:vertAlign w:val="superscript"/>
        </w:rPr>
        <w:t>1</w:t>
      </w:r>
      <w:r>
        <w:rPr>
          <w:snapToGrid w:val="0"/>
        </w:rPr>
        <w:t>.</w:t>
      </w:r>
    </w:p>
    <w:p>
      <w:pPr>
        <w:pStyle w:val="Heading5"/>
        <w:rPr>
          <w:snapToGrid w:val="0"/>
        </w:rPr>
      </w:pPr>
      <w:bookmarkStart w:id="7" w:name="_Toc53055477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3055477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administrator</w:t>
      </w:r>
      <w:r>
        <w:t xml:space="preserve"> means an administrator appointed by the State Administrative Tribunal under section 102;</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means a building or buildings shown on a strata plan;</w:t>
      </w:r>
    </w:p>
    <w:p>
      <w:pPr>
        <w:pStyle w:val="Defstart"/>
      </w:pPr>
      <w:r>
        <w:rPr>
          <w:b/>
        </w:rPr>
        <w:tab/>
      </w:r>
      <w:r>
        <w:rPr>
          <w:rStyle w:val="CharDefText"/>
        </w:rPr>
        <w:t>Commission</w:t>
      </w:r>
      <w:r>
        <w:t xml:space="preserve"> means Western Australian Planning Commission established under the </w:t>
      </w:r>
      <w:r>
        <w:rPr>
          <w:i/>
        </w:rPr>
        <w:t>Planning and Development Act 2005</w:t>
      </w:r>
      <w:r>
        <w:t>;</w:t>
      </w:r>
    </w:p>
    <w:p>
      <w:pPr>
        <w:pStyle w:val="Defstart"/>
        <w:keepNext/>
      </w:pPr>
      <w:r>
        <w:rPr>
          <w:b/>
        </w:rPr>
        <w:tab/>
      </w:r>
      <w:r>
        <w:rPr>
          <w:rStyle w:val="CharDefText"/>
        </w:rPr>
        <w:t>common property</w:t>
      </w:r>
      <w:r>
        <w:t xml:space="preserve"> means —</w:t>
      </w:r>
    </w:p>
    <w:p>
      <w:pPr>
        <w:pStyle w:val="Defpara"/>
        <w:rPr>
          <w:spacing w:val="-4"/>
        </w:rPr>
      </w:pPr>
      <w:r>
        <w:rPr>
          <w:spacing w:val="-4"/>
        </w:rPr>
        <w:tab/>
        <w:t>(a)</w:t>
      </w:r>
      <w:r>
        <w:rPr>
          <w:spacing w:val="-4"/>
        </w:rPr>
        <w:tab/>
        <w:t>so much of the land comprised in a strata plan as from time to time is not comprised in a lot shown on the plan; and</w:t>
      </w:r>
    </w:p>
    <w:p>
      <w:pPr>
        <w:pStyle w:val="Defpara"/>
      </w:pPr>
      <w:r>
        <w:tab/>
        <w:t>(b)</w:t>
      </w:r>
      <w:r>
        <w:tab/>
        <w:t xml:space="preserve">any </w:t>
      </w:r>
      <w:r>
        <w:rPr>
          <w:spacing w:val="-4"/>
        </w:rPr>
        <w:t>leasehold</w:t>
      </w:r>
      <w:r>
        <w:t xml:space="preserve"> interest acquired by a strata company under section 18; and</w:t>
      </w:r>
    </w:p>
    <w:p>
      <w:pPr>
        <w:pStyle w:val="Defpara"/>
      </w:pPr>
      <w:r>
        <w:tab/>
        <w:t>(c)</w:t>
      </w:r>
      <w:r>
        <w:tab/>
        <w:t>the lot or lots shown on a survey</w:t>
      </w:r>
      <w:r>
        <w:noBreakHyphen/>
        <w:t>strata plan as common property;</w:t>
      </w:r>
    </w:p>
    <w:p>
      <w:pPr>
        <w:pStyle w:val="Defstart"/>
      </w:pPr>
      <w:r>
        <w:rPr>
          <w:b/>
        </w:rPr>
        <w:tab/>
      </w:r>
      <w:r>
        <w:rPr>
          <w:rStyle w:val="CharDefText"/>
        </w:rPr>
        <w:t>council</w:t>
      </w:r>
      <w:r>
        <w:t xml:space="preserve"> means the council of a strata company constituted or deemed to have been constituted under this Act;</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spacing w:val="-4"/>
        </w:rPr>
        <w:t>floor area</w:t>
      </w:r>
      <w:r>
        <w:rPr>
          <w:spacing w:val="-4"/>
        </w:rPr>
        <w:t xml:space="preserve"> in relation </w:t>
      </w:r>
      <w:r>
        <w:t>to</w:t>
      </w:r>
      <w:r>
        <w:rPr>
          <w:spacing w:val="-4"/>
        </w:rPr>
        <w:t xml:space="preserve"> a cubic space, means the area occupied on a horizontal plane by the base of that cubic space;</w:t>
      </w:r>
    </w:p>
    <w:p>
      <w:pPr>
        <w:pStyle w:val="Defstart"/>
        <w:keepNext/>
        <w:keepLines/>
      </w:pPr>
      <w:r>
        <w:rPr>
          <w:b/>
        </w:rPr>
        <w:tab/>
      </w:r>
      <w:r>
        <w:rPr>
          <w:rStyle w:val="CharDefText"/>
        </w:rPr>
        <w:t>floor plan</w:t>
      </w:r>
      <w:r>
        <w:t xml:space="preserve"> means a plan, consisting of one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proposed lot, or the whole of any part of a proposed lot, to which the plan relates; and</w:t>
      </w:r>
    </w:p>
    <w:p>
      <w:pPr>
        <w:pStyle w:val="Defpara"/>
      </w:pPr>
      <w:r>
        <w:tab/>
        <w:t>(b)</w:t>
      </w:r>
      <w:r>
        <w:tab/>
        <w:t>shows —</w:t>
      </w:r>
    </w:p>
    <w:p>
      <w:pPr>
        <w:pStyle w:val="Defsubpara"/>
        <w:keepLines w:val="0"/>
      </w:pPr>
      <w:r>
        <w:tab/>
        <w:t>(i)</w:t>
      </w:r>
      <w:r>
        <w:tab/>
        <w:t>the floor area of any such cubic space; and</w:t>
      </w:r>
    </w:p>
    <w:p>
      <w:pPr>
        <w:pStyle w:val="Defsubpara"/>
        <w:keepLines w:val="0"/>
      </w:pPr>
      <w:r>
        <w:tab/>
        <w:t>(ii)</w:t>
      </w:r>
      <w:r>
        <w:tab/>
        <w:t>where any such cubic space forms part only of a proposed lot, the aggregate of the floor areas of every cubic space that forms part of the proposed lot;</w:t>
      </w:r>
    </w:p>
    <w:p>
      <w:pPr>
        <w:pStyle w:val="Defpara"/>
      </w:pPr>
      <w:r>
        <w:tab/>
      </w:r>
      <w:r>
        <w:tab/>
        <w:t>and</w:t>
      </w:r>
    </w:p>
    <w:p>
      <w:pPr>
        <w:pStyle w:val="Defpara"/>
      </w:pPr>
      <w:r>
        <w:tab/>
        <w:t>(c)</w:t>
      </w:r>
      <w:r>
        <w:tab/>
        <w:t>where proposed lots or parts thereof to which the plan relates are superimposed on other proposed lots or parts thereof to which the plan relates —</w:t>
      </w:r>
    </w:p>
    <w:p>
      <w:pPr>
        <w:pStyle w:val="Defsubpara"/>
        <w:keepLines w:val="0"/>
      </w:pPr>
      <w:r>
        <w:tab/>
        <w:t>(i)</w:t>
      </w:r>
      <w:r>
        <w:tab/>
        <w:t>shows the base lines in respect of the proposed lots or parts thereof that are so superimposed separately from those in respect of the other proposed lots or parts thereof upon which they are superimposed; and</w:t>
      </w:r>
    </w:p>
    <w:p>
      <w:pPr>
        <w:pStyle w:val="Defsubpara"/>
      </w:pPr>
      <w:r>
        <w:tab/>
        <w:t>(ii)</w:t>
      </w:r>
      <w:r>
        <w:tab/>
        <w:t>specifies, by reference to floors or levels, the order in which that superimposition occurs;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pPr>
      <w:r>
        <w:rPr>
          <w:b/>
        </w:rPr>
        <w:tab/>
      </w:r>
      <w:r>
        <w:rPr>
          <w:rStyle w:val="CharDefText"/>
        </w:rPr>
        <w:t>licensed surveyor</w:t>
      </w:r>
      <w:r>
        <w:t xml:space="preserve"> means a surveyor licensed under the </w:t>
      </w:r>
      <w:r>
        <w:rPr>
          <w:i/>
        </w:rPr>
        <w:t>Licensed Surveyors Act 1909</w:t>
      </w:r>
      <w:r>
        <w:t>;</w:t>
      </w:r>
    </w:p>
    <w:p>
      <w:pPr>
        <w:pStyle w:val="Defstart"/>
      </w:pPr>
      <w:r>
        <w:rPr>
          <w:b/>
        </w:rPr>
        <w:tab/>
      </w:r>
      <w:r>
        <w:rPr>
          <w:rStyle w:val="CharDefText"/>
        </w:rPr>
        <w:t>licensed valuer</w:t>
      </w:r>
      <w:r>
        <w:t xml:space="preserve"> means a licensed valuer licensed under the </w:t>
      </w:r>
      <w:r>
        <w:rPr>
          <w:i/>
        </w:rPr>
        <w:t>Land Valuers Licensing Act 1978</w:t>
      </w:r>
      <w:r>
        <w:t>;</w:t>
      </w:r>
    </w:p>
    <w:p>
      <w:pPr>
        <w:pStyle w:val="Defstart"/>
      </w:pPr>
      <w:r>
        <w:rPr>
          <w:b/>
        </w:rPr>
        <w:tab/>
      </w:r>
      <w:r>
        <w:rPr>
          <w:rStyle w:val="CharDefText"/>
        </w:rPr>
        <w:t>local government</w:t>
      </w:r>
      <w:r>
        <w:t xml:space="preserve"> means the local government of the district in which the parcel in question is situated;</w:t>
      </w:r>
    </w:p>
    <w:p>
      <w:pPr>
        <w:pStyle w:val="Defstart"/>
      </w:pPr>
      <w:r>
        <w:rPr>
          <w:b/>
        </w:rPr>
        <w:tab/>
      </w:r>
      <w:r>
        <w:rPr>
          <w:rStyle w:val="CharDefText"/>
        </w:rPr>
        <w:t>location plan</w:t>
      </w:r>
      <w:r>
        <w:t>, in relation to a strata plan, means a plan, consisting of one or more sheets, which relates to land and delineates the perimeter of that land and, in relation to that perimeter, the location of any building erected on that land and of any proposed lots or part of proposed lots not within any such building;</w:t>
      </w:r>
    </w:p>
    <w:p>
      <w:pPr>
        <w:pStyle w:val="Defstart"/>
      </w:pPr>
      <w:r>
        <w:rPr>
          <w:b/>
        </w:rPr>
        <w:tab/>
      </w:r>
      <w:r>
        <w:rPr>
          <w:rStyle w:val="CharDefText"/>
        </w:rPr>
        <w:t>lot</w:t>
      </w:r>
      <w:r>
        <w:t>, in relation to a strata scheme, means one or more cubic spaces forming part of the parcel to which a strata scheme relates, the base of each such cubic space being designated as one lot or part of one lot on the floor plan forming part of the strata plan, plan of re</w:t>
      </w:r>
      <w:r>
        <w:noBreakHyphen/>
        <w:t>subdivision or plan of consolidation to which that strata scheme relates, being in each case, but subject to section 3AB, cubic space the base of whose vertical boundaries is as delineated on a sheet of that floor plan and which has horizontal boundaries as ascertained under subsection (2), but does not include any structural cubic space except where —</w:t>
      </w:r>
    </w:p>
    <w:p>
      <w:pPr>
        <w:pStyle w:val="Defpara"/>
      </w:pPr>
      <w:r>
        <w:tab/>
        <w:t>(a)</w:t>
      </w:r>
      <w:r>
        <w:tab/>
        <w:t>the boundaries of the cubic space are fixed under section 3AB; or</w:t>
      </w:r>
    </w:p>
    <w:p>
      <w:pPr>
        <w:pStyle w:val="Defpara"/>
        <w:keepNext/>
      </w:pPr>
      <w:r>
        <w:tab/>
        <w:t>(b)</w:t>
      </w:r>
      <w:r>
        <w:tab/>
        <w:t>the boundaries are not so fixed and that structural cubic space —</w:t>
      </w:r>
    </w:p>
    <w:p>
      <w:pPr>
        <w:pStyle w:val="Defsubpara"/>
      </w:pPr>
      <w:r>
        <w:tab/>
        <w:t>(i)</w:t>
      </w:r>
      <w:r>
        <w:tab/>
        <w:t>has boundaries described in accordance with the regulations; and</w:t>
      </w:r>
    </w:p>
    <w:p>
      <w:pPr>
        <w:pStyle w:val="Defsubpara"/>
      </w:pPr>
      <w:r>
        <w:tab/>
        <w:t>(ii)</w:t>
      </w:r>
      <w:r>
        <w:tab/>
        <w:t>is shown in that floor plan as part of a lot;</w:t>
      </w:r>
    </w:p>
    <w:p>
      <w:pPr>
        <w:pStyle w:val="Defstart"/>
        <w:keepNext/>
      </w:pPr>
      <w:r>
        <w:rPr>
          <w:b/>
        </w:rPr>
        <w:tab/>
      </w:r>
      <w:r>
        <w:rPr>
          <w:rStyle w:val="CharDefText"/>
        </w:rPr>
        <w:t>lot</w:t>
      </w:r>
      <w:r>
        <w:t>, in relation to a survey</w:t>
      </w:r>
      <w:r>
        <w:noBreakHyphen/>
        <w:t>strata scheme, means land that is shown as a lot consisting of one or more parts on the plan for that scheme, but does not include —</w:t>
      </w:r>
    </w:p>
    <w:p>
      <w:pPr>
        <w:pStyle w:val="Defpara"/>
      </w:pPr>
      <w:r>
        <w:tab/>
        <w:t>(a)</w:t>
      </w:r>
      <w:r>
        <w:tab/>
        <w:t>a lot shown as common property; or</w:t>
      </w:r>
    </w:p>
    <w:p>
      <w:pPr>
        <w:pStyle w:val="Defpara"/>
      </w:pPr>
      <w:r>
        <w:tab/>
        <w:t>(b)</w:t>
      </w:r>
      <w:r>
        <w:tab/>
        <w:t>land shown as being set aside for a road or reserve;</w:t>
      </w:r>
    </w:p>
    <w:p>
      <w:pPr>
        <w:pStyle w:val="Defstart"/>
      </w:pPr>
      <w:r>
        <w:rPr>
          <w:b/>
        </w:rPr>
        <w:tab/>
      </w:r>
      <w:r>
        <w:rPr>
          <w:rStyle w:val="CharDefText"/>
        </w:rPr>
        <w:t>mortgage</w:t>
      </w:r>
      <w:r>
        <w:t xml:space="preserve"> includes a charge for securing money or money’s worth;</w:t>
      </w:r>
    </w:p>
    <w:p>
      <w:pPr>
        <w:pStyle w:val="Defstart"/>
      </w:pPr>
      <w:r>
        <w:rPr>
          <w:b/>
        </w:rPr>
        <w:tab/>
      </w:r>
      <w:r>
        <w:rPr>
          <w:rStyle w:val="CharDefText"/>
        </w:rPr>
        <w:t>occupier</w:t>
      </w:r>
      <w:r>
        <w:t xml:space="preserve"> in relation to a lot, means a person in lawful occupation of that lot;</w:t>
      </w:r>
    </w:p>
    <w:p>
      <w:pPr>
        <w:pStyle w:val="Defstart"/>
      </w:pPr>
      <w:r>
        <w:tab/>
      </w:r>
      <w:r>
        <w:rPr>
          <w:rStyle w:val="CharDefText"/>
        </w:rPr>
        <w:t>open space</w:t>
      </w:r>
      <w:r>
        <w:t xml:space="preserve"> means the area of a lot that is not occupied by any building and is to be calculated in such manner as is prescribed;</w:t>
      </w:r>
    </w:p>
    <w:p>
      <w:pPr>
        <w:pStyle w:val="Defstart"/>
      </w:pPr>
      <w:r>
        <w:rPr>
          <w:b/>
        </w:rPr>
        <w:tab/>
      </w:r>
      <w:r>
        <w:rPr>
          <w:rStyle w:val="CharDefText"/>
        </w:rPr>
        <w:t>original proprietor</w:t>
      </w:r>
      <w:r>
        <w:t xml:space="preserve"> in relation to a scheme, means the person by whom the parcel that is the subject of that scheme is held in fee simple at the time of registration of the strata/survey</w:t>
      </w:r>
      <w:r>
        <w:noBreakHyphen/>
        <w:t>strata plan to which the scheme relates;</w:t>
      </w:r>
    </w:p>
    <w:p>
      <w:pPr>
        <w:pStyle w:val="Defstart"/>
      </w:pPr>
      <w:r>
        <w:rPr>
          <w:b/>
        </w:rPr>
        <w:tab/>
      </w:r>
      <w:r>
        <w:rPr>
          <w:rStyle w:val="CharDefText"/>
        </w:rPr>
        <w:t>parcel</w:t>
      </w:r>
      <w:r>
        <w:t xml:space="preserve"> means the land comprised in a strata/survey</w:t>
      </w:r>
      <w:r>
        <w:noBreakHyphen/>
        <w:t>strata plan;</w:t>
      </w:r>
    </w:p>
    <w:p>
      <w:pPr>
        <w:pStyle w:val="Defstart"/>
      </w:pPr>
      <w:r>
        <w:rPr>
          <w:b/>
        </w:rPr>
        <w:tab/>
      </w:r>
      <w:r>
        <w:rPr>
          <w:rStyle w:val="CharDefText"/>
        </w:rPr>
        <w:t>permitted boundary deviation</w:t>
      </w:r>
      <w:r>
        <w:t xml:space="preserve"> for the purposes of the definition of </w:t>
      </w:r>
      <w:r>
        <w:rPr>
          <w:b/>
          <w:i/>
        </w:rPr>
        <w:t>single tier strata scheme</w:t>
      </w:r>
      <w:r>
        <w:t xml:space="preserve"> and other provisions, means a part of a lot that is above or below another lot in circumstances allowed by the regulations;</w:t>
      </w:r>
    </w:p>
    <w:p>
      <w:pPr>
        <w:pStyle w:val="Defstart"/>
        <w:keepNext/>
      </w:pPr>
      <w:r>
        <w:rPr>
          <w:b/>
        </w:rPr>
        <w:tab/>
      </w:r>
      <w:r>
        <w:rPr>
          <w:rStyle w:val="CharDefText"/>
        </w:rPr>
        <w:t>person concerned</w:t>
      </w:r>
      <w:r>
        <w:t xml:space="preserve"> means —</w:t>
      </w:r>
    </w:p>
    <w:p>
      <w:pPr>
        <w:pStyle w:val="Defpara"/>
      </w:pPr>
      <w:r>
        <w:tab/>
        <w:t>(a)</w:t>
      </w:r>
      <w:r>
        <w:tab/>
        <w:t>a person appearing by the Register to have an estate or interest in the common property; and</w:t>
      </w:r>
    </w:p>
    <w:p>
      <w:pPr>
        <w:pStyle w:val="Defpara"/>
      </w:pPr>
      <w:r>
        <w:tab/>
        <w:t>(b)</w:t>
      </w:r>
      <w:r>
        <w:tab/>
        <w:t>a person having an estate or interest (other than a charge for a tax, rate or other statutory liability) that has been notified to the strata company;</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proprietor</w:t>
      </w:r>
      <w:r>
        <w:t xml:space="preserve"> means the person who is for the time being registered under the </w:t>
      </w:r>
      <w:r>
        <w:rPr>
          <w:i/>
        </w:rPr>
        <w:t>Transfer of Land Act 1893</w:t>
      </w:r>
      <w:r>
        <w:t xml:space="preserve"> as proprietor of an estate in fee simple or an estate for life in a lot;</w:t>
      </w:r>
    </w:p>
    <w:p>
      <w:pPr>
        <w:pStyle w:val="Defstart"/>
      </w:pPr>
      <w:r>
        <w:rPr>
          <w:b/>
        </w:rPr>
        <w:tab/>
      </w:r>
      <w:r>
        <w:rPr>
          <w:rStyle w:val="CharDefText"/>
        </w:rPr>
        <w:t>Register</w:t>
      </w:r>
      <w:r>
        <w:t xml:space="preserve"> has the meaning given by the </w:t>
      </w:r>
      <w:r>
        <w:rPr>
          <w:i/>
        </w:rPr>
        <w:t>Transfer of Land Act 1893</w:t>
      </w:r>
      <w:r>
        <w:t>;</w:t>
      </w:r>
    </w:p>
    <w:p>
      <w:pPr>
        <w:pStyle w:val="Defstart"/>
      </w:pPr>
      <w:r>
        <w:rPr>
          <w:b/>
        </w:rPr>
        <w:tab/>
      </w:r>
      <w:r>
        <w:rPr>
          <w:rStyle w:val="CharDefText"/>
        </w:rPr>
        <w:t>Registrar of Titles</w:t>
      </w:r>
      <w:r>
        <w:t xml:space="preserve"> means the person who is Registrar of Titles under the </w:t>
      </w:r>
      <w:r>
        <w:rPr>
          <w:i/>
        </w:rPr>
        <w:t>Transfer of Land Act 1893</w:t>
      </w:r>
      <w:r>
        <w:t xml:space="preserve"> and includes any person who is an Assistant Registrar under that Act;</w:t>
      </w:r>
    </w:p>
    <w:p>
      <w:pPr>
        <w:pStyle w:val="Defstart"/>
      </w:pPr>
      <w:r>
        <w:rPr>
          <w:b/>
        </w:rPr>
        <w:tab/>
      </w:r>
      <w:r>
        <w:rPr>
          <w:rStyle w:val="CharDefText"/>
        </w:rPr>
        <w:t>resolution without dissent</w:t>
      </w:r>
      <w:r>
        <w:t xml:space="preserve"> means a resolution that complies with sections 3AC and 3C and also has the meaning given by section 3CA;</w:t>
      </w:r>
    </w:p>
    <w:p>
      <w:pPr>
        <w:pStyle w:val="Defstart"/>
      </w:pPr>
      <w:r>
        <w:rPr>
          <w:b/>
        </w:rPr>
        <w:tab/>
      </w:r>
      <w:r>
        <w:rPr>
          <w:rStyle w:val="CharDefText"/>
        </w:rPr>
        <w:t>re</w:t>
      </w:r>
      <w:r>
        <w:rPr>
          <w:rStyle w:val="CharDefText"/>
        </w:rPr>
        <w:noBreakHyphen/>
        <w:t>subdivision</w:t>
      </w:r>
      <w:r>
        <w:t xml:space="preserve"> has the meaning given by subsection (5) and section 8(1);</w:t>
      </w:r>
    </w:p>
    <w:p>
      <w:pPr>
        <w:pStyle w:val="Defstart"/>
      </w:pPr>
      <w:r>
        <w:rPr>
          <w:b/>
        </w:rPr>
        <w:tab/>
      </w:r>
      <w:r>
        <w:rPr>
          <w:rStyle w:val="CharDefText"/>
        </w:rPr>
        <w:t>scheme</w:t>
      </w:r>
      <w:r>
        <w:t xml:space="preserve"> means a strata scheme or a survey</w:t>
      </w:r>
      <w:r>
        <w:noBreakHyphen/>
        <w:t>strata scheme;</w:t>
      </w:r>
    </w:p>
    <w:p>
      <w:pPr>
        <w:pStyle w:val="Defstart"/>
        <w:keepNext/>
      </w:pPr>
      <w:r>
        <w:rPr>
          <w:b/>
        </w:rPr>
        <w:tab/>
      </w:r>
      <w:r>
        <w:rPr>
          <w:rStyle w:val="CharDefText"/>
        </w:rPr>
        <w:t>single tier strata scheme</w:t>
      </w:r>
      <w:r>
        <w:t xml:space="preserve"> means a strata scheme —</w:t>
      </w:r>
    </w:p>
    <w:p>
      <w:pPr>
        <w:pStyle w:val="Defpara"/>
      </w:pPr>
      <w:r>
        <w:tab/>
        <w:t>(a)</w:t>
      </w:r>
      <w:r>
        <w:tab/>
        <w:t>in which no lot or part of a lot is above or below another lot; or</w:t>
      </w:r>
    </w:p>
    <w:p>
      <w:pPr>
        <w:pStyle w:val="Defpara"/>
      </w:pPr>
      <w:r>
        <w:tab/>
        <w:t>(b)</w:t>
      </w:r>
      <w:r>
        <w:tab/>
        <w:t>which comes within paragraph (a) except for any lot that has a permitted boundary deviation;</w:t>
      </w:r>
    </w:p>
    <w:p>
      <w:pPr>
        <w:pStyle w:val="Defstart"/>
      </w:pPr>
      <w:r>
        <w:rPr>
          <w:b/>
        </w:rPr>
        <w:tab/>
      </w:r>
      <w:r>
        <w:rPr>
          <w:rStyle w:val="CharDefText"/>
        </w:rPr>
        <w:t>special resolution</w:t>
      </w:r>
      <w:r>
        <w:t xml:space="preserve"> means a resolution that complies with sections 3B and 3C and also has the meaning given by section 3CA;</w:t>
      </w:r>
    </w:p>
    <w:p>
      <w:pPr>
        <w:pStyle w:val="Defstart"/>
      </w:pPr>
      <w:r>
        <w:rPr>
          <w:b/>
        </w:rPr>
        <w:tab/>
      </w:r>
      <w:r>
        <w:rPr>
          <w:rStyle w:val="CharDefText"/>
        </w:rPr>
        <w:t>strata company</w:t>
      </w:r>
      <w:r>
        <w:t xml:space="preserve"> means a body corporate constituted under section 32 whether for a strata scheme or a survey</w:t>
      </w:r>
      <w:r>
        <w:noBreakHyphen/>
        <w:t>strata scheme;</w:t>
      </w:r>
    </w:p>
    <w:p>
      <w:pPr>
        <w:pStyle w:val="Defstart"/>
      </w:pPr>
      <w:r>
        <w:rPr>
          <w:b/>
        </w:rPr>
        <w:tab/>
      </w:r>
      <w:r>
        <w:rPr>
          <w:rStyle w:val="CharDefText"/>
        </w:rPr>
        <w:t>strata/survey</w:t>
      </w:r>
      <w:r>
        <w:rPr>
          <w:rStyle w:val="CharDefText"/>
        </w:rPr>
        <w:noBreakHyphen/>
        <w:t>strata plan</w:t>
      </w:r>
      <w:r>
        <w:t xml:space="preserve"> means a strata plan or a survey</w:t>
      </w:r>
      <w:r>
        <w:noBreakHyphen/>
        <w:t>strata plan;</w:t>
      </w:r>
    </w:p>
    <w:p>
      <w:pPr>
        <w:pStyle w:val="Defstart"/>
      </w:pPr>
      <w:r>
        <w:rPr>
          <w:b/>
        </w:rPr>
        <w:tab/>
      </w:r>
      <w:r>
        <w:rPr>
          <w:rStyle w:val="CharDefText"/>
        </w:rPr>
        <w:t>strata plan</w:t>
      </w:r>
      <w:r>
        <w:t xml:space="preserve"> has the meaning given by section 4(1a);</w:t>
      </w:r>
    </w:p>
    <w:p>
      <w:pPr>
        <w:pStyle w:val="Defstart"/>
        <w:keepNext/>
      </w:pPr>
      <w:r>
        <w:rPr>
          <w:b/>
        </w:rPr>
        <w:tab/>
      </w:r>
      <w:r>
        <w:rPr>
          <w:rStyle w:val="CharDefText"/>
        </w:rPr>
        <w:t>strata scheme</w:t>
      </w:r>
      <w:r>
        <w:t xml:space="preserve"> means —</w:t>
      </w:r>
    </w:p>
    <w:p>
      <w:pPr>
        <w:pStyle w:val="Defpara"/>
      </w:pPr>
      <w:r>
        <w:tab/>
        <w:t>(a)</w:t>
      </w:r>
      <w:r>
        <w:tab/>
        <w:t>the manner of division, from time to time, of a parcel into lots or into lots and common property under a 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 and as in force from time to time;</w:t>
      </w:r>
    </w:p>
    <w:p>
      <w:pPr>
        <w:pStyle w:val="Defstart"/>
        <w:keepNext/>
      </w:pPr>
      <w:r>
        <w:rPr>
          <w:b/>
        </w:rPr>
        <w:tab/>
      </w:r>
      <w:r>
        <w:rPr>
          <w:rStyle w:val="CharDefText"/>
        </w:rPr>
        <w:t>structural cubic space</w:t>
      </w:r>
      <w:r>
        <w:t xml:space="preserve"> means —</w:t>
      </w:r>
    </w:p>
    <w:p>
      <w:pPr>
        <w:pStyle w:val="Defpara"/>
      </w:pPr>
      <w:r>
        <w:tab/>
        <w:t>(a)</w:t>
      </w:r>
      <w:r>
        <w:tab/>
        <w:t>cubic space occupied by a vertical structural member, not being a wall, of a building; and</w:t>
      </w:r>
    </w:p>
    <w:p>
      <w:pPr>
        <w:pStyle w:val="Defpara"/>
      </w:pPr>
      <w:r>
        <w:tab/>
        <w:t>(b)</w:t>
      </w:r>
      <w:r>
        <w:tab/>
        <w:t>any pipes, wires, cables or ducts in a building; and</w:t>
      </w:r>
    </w:p>
    <w:p>
      <w:pPr>
        <w:pStyle w:val="Defpara"/>
      </w:pPr>
      <w:r>
        <w:tab/>
        <w:t>(c)</w:t>
      </w:r>
      <w:r>
        <w:tab/>
        <w:t>any cubic space enclosed by a structure enclosing any such pipes, wires, cables or ducts,</w:t>
      </w:r>
    </w:p>
    <w:p>
      <w:pPr>
        <w:pStyle w:val="Defstart"/>
      </w:pPr>
      <w:r>
        <w:tab/>
        <w:t>but, except where section 3AB applies, does not include any pipes, wires, cables or ducts that are for the exclusive use or enjoyment of one lot;</w:t>
      </w:r>
    </w:p>
    <w:p>
      <w:pPr>
        <w:pStyle w:val="Defstart"/>
      </w:pPr>
      <w:r>
        <w:rPr>
          <w:b/>
        </w:rPr>
        <w:tab/>
      </w:r>
      <w:r>
        <w:rPr>
          <w:rStyle w:val="CharDefText"/>
        </w:rPr>
        <w:t>survey</w:t>
      </w:r>
      <w:r>
        <w:rPr>
          <w:rStyle w:val="CharDefText"/>
        </w:rPr>
        <w:noBreakHyphen/>
        <w:t>strata plan</w:t>
      </w:r>
      <w:r>
        <w:t xml:space="preserve"> has the meaning given by section 4(1b);</w:t>
      </w:r>
    </w:p>
    <w:p>
      <w:pPr>
        <w:pStyle w:val="Defstart"/>
        <w:keepNext/>
      </w:pPr>
      <w:r>
        <w:rPr>
          <w:b/>
        </w:rPr>
        <w:tab/>
      </w:r>
      <w:r>
        <w:rPr>
          <w:rStyle w:val="CharDefText"/>
        </w:rPr>
        <w:t>survey</w:t>
      </w:r>
      <w:r>
        <w:rPr>
          <w:rStyle w:val="CharDefText"/>
        </w:rPr>
        <w:noBreakHyphen/>
        <w:t>strata scheme</w:t>
      </w:r>
      <w:r>
        <w:t xml:space="preserve"> means —</w:t>
      </w:r>
    </w:p>
    <w:p>
      <w:pPr>
        <w:pStyle w:val="Defpara"/>
      </w:pPr>
      <w:r>
        <w:tab/>
        <w:t>(a)</w:t>
      </w:r>
      <w:r>
        <w:tab/>
        <w:t>the manner of division, from time to time, of a parcel into lots or into lots and common property under a survey</w:t>
      </w:r>
      <w:r>
        <w:noBreakHyphen/>
        <w:t>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w:t>
      </w:r>
    </w:p>
    <w:p>
      <w:pPr>
        <w:pStyle w:val="Defstart"/>
      </w:pPr>
      <w:r>
        <w:tab/>
      </w:r>
      <w:r>
        <w:rPr>
          <w:rStyle w:val="CharDefText"/>
        </w:rPr>
        <w:t>take</w:t>
      </w:r>
      <w:r>
        <w:rPr>
          <w:snapToGrid/>
        </w:rPr>
        <w:t xml:space="preserve">, </w:t>
      </w:r>
      <w:r>
        <w:rPr>
          <w:rStyle w:val="CharDefText"/>
        </w:rPr>
        <w:t>taken</w:t>
      </w:r>
      <w:r>
        <w:t xml:space="preserve"> and </w:t>
      </w:r>
      <w:r>
        <w:rPr>
          <w:rStyle w:val="CharDefText"/>
        </w:rPr>
        <w:t>taking</w:t>
      </w:r>
      <w:r>
        <w:t xml:space="preserve"> have the same meanings as they have for the purposes of Parts 9 and 10 of the </w:t>
      </w:r>
      <w:r>
        <w:rPr>
          <w:i/>
        </w:rPr>
        <w:t>Land Administration Act 1997</w:t>
      </w:r>
      <w:r>
        <w:t xml:space="preserve"> and include a reference to the compulsory acquisition of land under any Act of the Commonwealth authorising the compulsory acquisition of land;</w:t>
      </w:r>
    </w:p>
    <w:p>
      <w:pPr>
        <w:pStyle w:val="Defstart"/>
        <w:keepNext/>
      </w:pPr>
      <w:r>
        <w:rPr>
          <w:b/>
        </w:rPr>
        <w:tab/>
      </w:r>
      <w:r>
        <w:rPr>
          <w:rStyle w:val="CharDefText"/>
        </w:rPr>
        <w:t>two</w:t>
      </w:r>
      <w:r>
        <w:rPr>
          <w:rStyle w:val="CharDefText"/>
        </w:rPr>
        <w:noBreakHyphen/>
        <w:t>lot scheme</w:t>
      </w:r>
      <w:r>
        <w:t xml:space="preserve"> means —</w:t>
      </w:r>
    </w:p>
    <w:p>
      <w:pPr>
        <w:pStyle w:val="Defpara"/>
      </w:pPr>
      <w:r>
        <w:tab/>
        <w:t>(a)</w:t>
      </w:r>
      <w:r>
        <w:tab/>
        <w:t>a strata scheme in which there are not more than 2 lots; or</w:t>
      </w:r>
    </w:p>
    <w:p>
      <w:pPr>
        <w:pStyle w:val="Defpara"/>
      </w:pPr>
      <w:r>
        <w:tab/>
        <w:t>(b)</w:t>
      </w:r>
      <w:r>
        <w:tab/>
        <w:t>a survey</w:t>
      </w:r>
      <w:r>
        <w:noBreakHyphen/>
        <w:t>strata scheme in which there are not more than 2 lots, not including lots designated as common property lots;</w:t>
      </w:r>
    </w:p>
    <w:p>
      <w:pPr>
        <w:pStyle w:val="Defstart"/>
        <w:keepNext/>
      </w:pPr>
      <w:r>
        <w:rPr>
          <w:b/>
        </w:rPr>
        <w:tab/>
      </w:r>
      <w:r>
        <w:rPr>
          <w:rStyle w:val="CharDefText"/>
        </w:rPr>
        <w:t>unanimous resolution</w:t>
      </w:r>
      <w:r>
        <w:t xml:space="preserve"> means —</w:t>
      </w:r>
    </w:p>
    <w:p>
      <w:pPr>
        <w:pStyle w:val="Defpara"/>
        <w:keepNext/>
      </w:pPr>
      <w:r>
        <w:tab/>
        <w:t>(a)</w:t>
      </w:r>
      <w:r>
        <w:tab/>
        <w:t>a resolution that is passed unanimously at a duly convened general meeting of the strata company —</w:t>
      </w:r>
    </w:p>
    <w:p>
      <w:pPr>
        <w:pStyle w:val="Defsubpara"/>
      </w:pPr>
      <w:r>
        <w:tab/>
        <w:t>(i)</w:t>
      </w:r>
      <w:r>
        <w:tab/>
        <w:t>of which at least 14 days’ notice specifying the proposed resolution has been given; and</w:t>
      </w:r>
    </w:p>
    <w:p>
      <w:pPr>
        <w:pStyle w:val="Defsubpara"/>
        <w:rPr>
          <w:spacing w:val="-4"/>
        </w:rPr>
      </w:pPr>
      <w:r>
        <w:rPr>
          <w:spacing w:val="-4"/>
        </w:rPr>
        <w:tab/>
        <w:t>(ii)</w:t>
      </w:r>
      <w:r>
        <w:rPr>
          <w:spacing w:val="-4"/>
        </w:rPr>
        <w:tab/>
        <w:t>at which all persons entitled to exercise the powers of voting conferred under this Act are present and vote, either personally or by proxy;</w:t>
      </w:r>
    </w:p>
    <w:p>
      <w:pPr>
        <w:pStyle w:val="Defpara"/>
      </w:pPr>
      <w:r>
        <w:tab/>
      </w:r>
      <w:r>
        <w:tab/>
        <w:t>or</w:t>
      </w:r>
    </w:p>
    <w:p>
      <w:pPr>
        <w:pStyle w:val="Defpara"/>
      </w:pPr>
      <w:r>
        <w:tab/>
        <w:t>(b)</w:t>
      </w:r>
      <w:r>
        <w:tab/>
        <w:t>a resolution that is passed unanimously at a duly convened general meeting of the strata company by every person entitled to exercise the powers of voting conferred under this Act who is present and votes either personally or by proxy and agreed to, in writing signed by him, within 28 days after the day of the meeting by every other person who was entitled to exercise the powers of voting conferred under this Act at the meeting, or by every person who at the time of his signature was entitled to exercise those powers in place of such other persons;</w:t>
      </w:r>
    </w:p>
    <w:p>
      <w:pPr>
        <w:pStyle w:val="Defstart"/>
      </w:pPr>
      <w:r>
        <w:rPr>
          <w:b/>
        </w:rPr>
        <w:tab/>
      </w:r>
      <w:r>
        <w:rPr>
          <w:rStyle w:val="CharDefText"/>
        </w:rPr>
        <w:t>unit entitlement</w:t>
      </w:r>
      <w:r>
        <w:t xml:space="preserve"> in respect of a lot, means the unit entitlement of that lot shown on the schedule of unit entitlement registered with the Registrar of Titles;</w:t>
      </w:r>
    </w:p>
    <w:p>
      <w:pPr>
        <w:pStyle w:val="Defstart"/>
      </w:pPr>
      <w:r>
        <w:rPr>
          <w:b/>
        </w:rPr>
        <w:tab/>
      </w:r>
      <w:r>
        <w:rPr>
          <w:rStyle w:val="CharDefText"/>
        </w:rPr>
        <w:t>wall</w:t>
      </w:r>
      <w:r>
        <w:t xml:space="preserve"> includes a door, window or other structure dividing a lot from common property or from another lot.</w:t>
      </w:r>
    </w:p>
    <w:p>
      <w:pPr>
        <w:pStyle w:val="Subsection"/>
        <w:keepNext/>
        <w:rPr>
          <w:snapToGrid w:val="0"/>
        </w:rPr>
      </w:pPr>
      <w:r>
        <w:rPr>
          <w:snapToGrid w:val="0"/>
        </w:rPr>
        <w:tab/>
        <w:t>(2)</w:t>
      </w:r>
      <w:r>
        <w:rPr>
          <w:snapToGrid w:val="0"/>
        </w:rPr>
        <w:tab/>
        <w:t xml:space="preserve">Except where section 3AB applies, the boundaries of any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are in the case of a vertical boundary, where the base of any wall corresponds substantially with any line referred to in paragraph (a) of that definition — the inner surface of that wall; and</w:t>
      </w:r>
    </w:p>
    <w:p>
      <w:pPr>
        <w:pStyle w:val="Indenti"/>
        <w:rPr>
          <w:snapToGrid w:val="0"/>
        </w:rPr>
      </w:pPr>
      <w:r>
        <w:rPr>
          <w:snapToGrid w:val="0"/>
        </w:rPr>
        <w:tab/>
        <w:t>(ii)</w:t>
      </w:r>
      <w:r>
        <w:rPr>
          <w:snapToGrid w:val="0"/>
        </w:rPr>
        <w:tab/>
        <w:t>are, in the case of a horizontal boundary, where any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are such boundaries as are described on a sheet of the floor plan relating to that cubic space (those boundaries being described in the prescribed manner by reference to a wall, floor or ceiling in a building to which that plan relates or to structural cubic space within that building).</w:t>
      </w:r>
    </w:p>
    <w:p>
      <w:pPr>
        <w:pStyle w:val="Subsection"/>
        <w:keepNext/>
        <w:rPr>
          <w:snapToGrid w:val="0"/>
        </w:rPr>
      </w:pPr>
      <w:r>
        <w:rPr>
          <w:snapToGrid w:val="0"/>
        </w:rPr>
        <w:tab/>
        <w:t>(2a)</w:t>
      </w:r>
      <w:r>
        <w:rPr>
          <w:snapToGrid w:val="0"/>
        </w:rPr>
        <w:tab/>
        <w:t>Notwithstanding subsection (2), where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other prescribed circumstances apply,</w:t>
      </w:r>
    </w:p>
    <w:p>
      <w:pPr>
        <w:pStyle w:val="Subsection"/>
        <w:spacing w:before="120"/>
        <w:rPr>
          <w:snapToGrid w:val="0"/>
        </w:rPr>
      </w:pPr>
      <w:r>
        <w:rPr>
          <w:snapToGrid w:val="0"/>
        </w:rPr>
        <w:tab/>
      </w:r>
      <w:r>
        <w:rPr>
          <w:snapToGrid w:val="0"/>
        </w:rPr>
        <w:tab/>
        <w:t>the floor plan may include dimensions or survey information defining that boundary, in the prescribed manner,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Subsection"/>
        <w:keepNext/>
        <w:rPr>
          <w:snapToGrid w:val="0"/>
        </w:rPr>
      </w:pPr>
      <w:r>
        <w:rPr>
          <w:snapToGrid w:val="0"/>
        </w:rPr>
        <w:tab/>
        <w:t>(5)</w:t>
      </w:r>
      <w:r>
        <w:rPr>
          <w:snapToGrid w:val="0"/>
        </w:rPr>
        <w:tab/>
        <w:t>A reference in this Act to a re</w:t>
      </w:r>
      <w:r>
        <w:rPr>
          <w:snapToGrid w:val="0"/>
        </w:rPr>
        <w:noBreakHyphen/>
        <w:t>subdivision of a lot or common property is a reference to the alteration of the boundaries of —</w:t>
      </w:r>
    </w:p>
    <w:p>
      <w:pPr>
        <w:pStyle w:val="Indenta"/>
        <w:spacing w:before="70"/>
        <w:rPr>
          <w:snapToGrid w:val="0"/>
        </w:rPr>
      </w:pPr>
      <w:r>
        <w:rPr>
          <w:snapToGrid w:val="0"/>
        </w:rPr>
        <w:tab/>
        <w:t>(a)</w:t>
      </w:r>
      <w:r>
        <w:rPr>
          <w:snapToGrid w:val="0"/>
        </w:rPr>
        <w:tab/>
        <w:t>one or more lots so as to create only 2 or more different lots; or</w:t>
      </w:r>
    </w:p>
    <w:p>
      <w:pPr>
        <w:pStyle w:val="Indenta"/>
        <w:spacing w:before="70"/>
        <w:rPr>
          <w:snapToGrid w:val="0"/>
        </w:rPr>
      </w:pPr>
      <w:r>
        <w:rPr>
          <w:snapToGrid w:val="0"/>
        </w:rPr>
        <w:tab/>
        <w:t>(b)</w:t>
      </w:r>
      <w:r>
        <w:rPr>
          <w:snapToGrid w:val="0"/>
        </w:rPr>
        <w:tab/>
        <w:t>one or more lots so to create one or more different lots and common property; or</w:t>
      </w:r>
    </w:p>
    <w:p>
      <w:pPr>
        <w:pStyle w:val="Indenta"/>
        <w:spacing w:before="70"/>
        <w:rPr>
          <w:snapToGrid w:val="0"/>
        </w:rPr>
      </w:pPr>
      <w:r>
        <w:rPr>
          <w:snapToGrid w:val="0"/>
        </w:rPr>
        <w:tab/>
        <w:t>(c)</w:t>
      </w:r>
      <w:r>
        <w:rPr>
          <w:snapToGrid w:val="0"/>
        </w:rPr>
        <w:tab/>
        <w:t>one or more lots and common property so as to create one or more different lots or one or more different lots and common property; or</w:t>
      </w:r>
    </w:p>
    <w:p>
      <w:pPr>
        <w:pStyle w:val="Indenta"/>
        <w:spacing w:before="70"/>
        <w:rPr>
          <w:snapToGrid w:val="0"/>
        </w:rPr>
      </w:pPr>
      <w:r>
        <w:rPr>
          <w:snapToGrid w:val="0"/>
        </w:rPr>
        <w:tab/>
        <w:t>(d)</w:t>
      </w:r>
      <w:r>
        <w:rPr>
          <w:snapToGrid w:val="0"/>
        </w:rPr>
        <w:tab/>
        <w:t>common property so as to create one or more lots,</w:t>
      </w:r>
    </w:p>
    <w:p>
      <w:pPr>
        <w:pStyle w:val="Subsection"/>
        <w:spacing w:before="120"/>
        <w:rPr>
          <w:snapToGrid w:val="0"/>
        </w:rPr>
      </w:pPr>
      <w:r>
        <w:rPr>
          <w:snapToGrid w:val="0"/>
        </w:rPr>
        <w:tab/>
      </w:r>
      <w:r>
        <w:rPr>
          <w:snapToGrid w:val="0"/>
        </w:rPr>
        <w:tab/>
        <w:t>but does not include a reference to the consolidation of 2 or more lots into one lot or the conversion of one or more lots into common property.</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w:t>
      </w:r>
    </w:p>
    <w:p>
      <w:pPr>
        <w:pStyle w:val="Heading5"/>
        <w:rPr>
          <w:snapToGrid w:val="0"/>
        </w:rPr>
      </w:pPr>
      <w:bookmarkStart w:id="9" w:name="_Toc530554774"/>
      <w:r>
        <w:rPr>
          <w:rStyle w:val="CharSectno"/>
        </w:rPr>
        <w:t>3A</w:t>
      </w:r>
      <w:r>
        <w:rPr>
          <w:snapToGrid w:val="0"/>
        </w:rPr>
        <w:t>.</w:t>
      </w:r>
      <w:r>
        <w:rPr>
          <w:snapToGrid w:val="0"/>
        </w:rPr>
        <w:tab/>
        <w:t>Single tier strata schemes to which s. 3AB applies</w:t>
      </w:r>
      <w:bookmarkEnd w:id="9"/>
    </w:p>
    <w:p>
      <w:pPr>
        <w:pStyle w:val="Subsection"/>
        <w:keepNext/>
        <w:rPr>
          <w:snapToGrid w:val="0"/>
        </w:rPr>
      </w:pPr>
      <w:r>
        <w:rPr>
          <w:snapToGrid w:val="0"/>
        </w:rPr>
        <w:tab/>
        <w:t>(1)</w:t>
      </w:r>
      <w:r>
        <w:rPr>
          <w:snapToGrid w:val="0"/>
        </w:rPr>
        <w:tab/>
        <w:t>Section 3AB fixes the boundaries of lots and parts of lots, other than boundaries that are external to a building, for single tier strata schemes in the following cases —</w:t>
      </w:r>
    </w:p>
    <w:p>
      <w:pPr>
        <w:pStyle w:val="Indenta"/>
        <w:rPr>
          <w:snapToGrid w:val="0"/>
        </w:rPr>
      </w:pPr>
      <w:r>
        <w:rPr>
          <w:snapToGrid w:val="0"/>
        </w:rPr>
        <w:tab/>
        <w:t>(a)</w:t>
      </w:r>
      <w:r>
        <w:rPr>
          <w:snapToGrid w:val="0"/>
        </w:rPr>
        <w:tab/>
      </w:r>
      <w:r>
        <w:t>for</w:t>
      </w:r>
      <w:r>
        <w:rPr>
          <w:snapToGrid w:val="0"/>
        </w:rPr>
        <w:t xml:space="preserve"> a scheme the strata plan for which is registered —</w:t>
      </w:r>
    </w:p>
    <w:p>
      <w:pPr>
        <w:pStyle w:val="Indenti"/>
        <w:rPr>
          <w:snapToGrid w:val="0"/>
        </w:rPr>
      </w:pPr>
      <w:r>
        <w:rPr>
          <w:snapToGrid w:val="0"/>
        </w:rPr>
        <w:tab/>
        <w:t>(i)</w:t>
      </w:r>
      <w:r>
        <w:rPr>
          <w:snapToGrid w:val="0"/>
        </w:rPr>
        <w:tab/>
        <w:t xml:space="preserve">on or after the commencement of section 6 of the </w:t>
      </w:r>
      <w:r>
        <w:rPr>
          <w:i/>
          <w:snapToGrid w:val="0"/>
        </w:rPr>
        <w:t>Strata Titles Amendment Act 1996</w:t>
      </w:r>
      <w:r>
        <w:rPr>
          <w:snapToGrid w:val="0"/>
        </w:rPr>
        <w:t>; and</w:t>
      </w:r>
    </w:p>
    <w:p>
      <w:pPr>
        <w:pStyle w:val="Indenti"/>
        <w:keepNext/>
        <w:rPr>
          <w:snapToGrid w:val="0"/>
        </w:rPr>
      </w:pPr>
      <w:r>
        <w:rPr>
          <w:snapToGrid w:val="0"/>
        </w:rPr>
        <w:tab/>
        <w:t>(ii)</w:t>
      </w:r>
      <w:r>
        <w:rPr>
          <w:snapToGrid w:val="0"/>
        </w:rPr>
        <w:tab/>
        <w:t>before 1 January 1998,</w:t>
      </w:r>
    </w:p>
    <w:p>
      <w:pPr>
        <w:pStyle w:val="Indenta"/>
        <w:rPr>
          <w:snapToGrid w:val="0"/>
        </w:rPr>
      </w:pPr>
      <w:r>
        <w:rPr>
          <w:snapToGrid w:val="0"/>
        </w:rPr>
        <w:tab/>
      </w:r>
      <w:r>
        <w:rPr>
          <w:snapToGrid w:val="0"/>
        </w:rPr>
        <w:tab/>
        <w:t>unless the plan provides that section 3AB does not apply to it;</w:t>
      </w:r>
    </w:p>
    <w:p>
      <w:pPr>
        <w:pStyle w:val="Indenta"/>
        <w:rPr>
          <w:snapToGrid w:val="0"/>
        </w:rPr>
      </w:pPr>
      <w:r>
        <w:rPr>
          <w:snapToGrid w:val="0"/>
        </w:rPr>
        <w:tab/>
        <w:t>(b)</w:t>
      </w:r>
      <w:r>
        <w:rPr>
          <w:snapToGrid w:val="0"/>
        </w:rPr>
        <w:tab/>
        <w:t>for a scheme in respect of which —</w:t>
      </w:r>
    </w:p>
    <w:p>
      <w:pPr>
        <w:pStyle w:val="Indenti"/>
        <w:rPr>
          <w:snapToGrid w:val="0"/>
        </w:rPr>
      </w:pPr>
      <w:r>
        <w:rPr>
          <w:snapToGrid w:val="0"/>
        </w:rPr>
        <w:tab/>
        <w:t>(i)</w:t>
      </w:r>
      <w:r>
        <w:rPr>
          <w:snapToGrid w:val="0"/>
        </w:rPr>
        <w:tab/>
        <w:t>a notice of resolution has been registered under section 21H; or</w:t>
      </w:r>
    </w:p>
    <w:p>
      <w:pPr>
        <w:pStyle w:val="Indenti"/>
        <w:rPr>
          <w:snapToGrid w:val="0"/>
        </w:rPr>
      </w:pPr>
      <w:r>
        <w:rPr>
          <w:snapToGrid w:val="0"/>
        </w:rPr>
        <w:tab/>
        <w:t>(ii)</w:t>
      </w:r>
      <w:r>
        <w:rPr>
          <w:snapToGrid w:val="0"/>
        </w:rPr>
        <w:tab/>
        <w:t>section 21M has effect (but subject to any order under section 103P),</w:t>
      </w:r>
    </w:p>
    <w:p>
      <w:pPr>
        <w:pStyle w:val="Indenta"/>
        <w:rPr>
          <w:snapToGrid w:val="0"/>
        </w:rPr>
      </w:pPr>
      <w:r>
        <w:rPr>
          <w:snapToGrid w:val="0"/>
        </w:rPr>
        <w:tab/>
      </w:r>
      <w:r>
        <w:rPr>
          <w:snapToGrid w:val="0"/>
        </w:rPr>
        <w:tab/>
        <w:t>including any lot or part of a lot in such a scheme the boundaries of which are amended by registration of a notice of resolution under section 21X;</w:t>
      </w:r>
    </w:p>
    <w:p>
      <w:pPr>
        <w:pStyle w:val="Indenta"/>
        <w:rPr>
          <w:snapToGrid w:val="0"/>
        </w:rPr>
      </w:pPr>
      <w:r>
        <w:rPr>
          <w:snapToGrid w:val="0"/>
        </w:rPr>
        <w:tab/>
        <w:t>(c)</w:t>
      </w:r>
      <w:r>
        <w:rPr>
          <w:snapToGrid w:val="0"/>
        </w:rPr>
        <w:tab/>
        <w:t>for a scheme the strata plan for which is registered on or after 1 January 1998, except where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Subsection"/>
        <w:rPr>
          <w:snapToGrid w:val="0"/>
        </w:rPr>
      </w:pPr>
      <w:r>
        <w:rPr>
          <w:snapToGrid w:val="0"/>
        </w:rPr>
        <w:tab/>
        <w:t>(2)</w:t>
      </w:r>
      <w:r>
        <w:rPr>
          <w:snapToGrid w:val="0"/>
        </w:rPr>
        <w:tab/>
        <w:t>Section 3AB also fixes the boundaries of lots or parts of lots, other than boundaries that are external to a building, created by way of re</w:t>
      </w:r>
      <w:r>
        <w:rPr>
          <w:snapToGrid w:val="0"/>
        </w:rPr>
        <w:noBreakHyphen/>
        <w:t>subdivision or consolidation in a scheme to which subsection (1) applies.</w:t>
      </w:r>
    </w:p>
    <w:p>
      <w:pPr>
        <w:pStyle w:val="Footnotesection"/>
        <w:ind w:left="890" w:hanging="890"/>
      </w:pPr>
      <w:r>
        <w:tab/>
        <w:t>[Section 3A inserted: No. 61 of 1996 s. 6.]</w:t>
      </w:r>
    </w:p>
    <w:p>
      <w:pPr>
        <w:pStyle w:val="Heading5"/>
        <w:rPr>
          <w:snapToGrid w:val="0"/>
        </w:rPr>
      </w:pPr>
      <w:bookmarkStart w:id="10" w:name="_Toc530554775"/>
      <w:r>
        <w:rPr>
          <w:rStyle w:val="CharSectno"/>
        </w:rPr>
        <w:t>3AB</w:t>
      </w:r>
      <w:r>
        <w:rPr>
          <w:snapToGrid w:val="0"/>
        </w:rPr>
        <w:t>.</w:t>
      </w:r>
      <w:r>
        <w:rPr>
          <w:snapToGrid w:val="0"/>
        </w:rPr>
        <w:tab/>
        <w:t>Alternative boundaries for lots in single tier strata schemes</w:t>
      </w:r>
      <w:bookmarkEnd w:id="10"/>
    </w:p>
    <w:p>
      <w:pPr>
        <w:pStyle w:val="Subsection"/>
        <w:rPr>
          <w:snapToGrid w:val="0"/>
        </w:rPr>
      </w:pPr>
      <w:r>
        <w:rPr>
          <w:snapToGrid w:val="0"/>
        </w:rPr>
        <w:tab/>
        <w:t>(1)</w:t>
      </w:r>
      <w:r>
        <w:rPr>
          <w:snapToGrid w:val="0"/>
        </w:rPr>
        <w:tab/>
        <w:t xml:space="preserve">Where this section applies the boundaries of any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Indenta"/>
        <w:rPr>
          <w:snapToGrid w:val="0"/>
        </w:rPr>
      </w:pPr>
      <w:r>
        <w:rPr>
          <w:snapToGrid w:val="0"/>
        </w:rPr>
        <w:tab/>
        <w:t>(a)</w:t>
      </w:r>
      <w:r>
        <w:rPr>
          <w:snapToGrid w:val="0"/>
        </w:rPr>
        <w:tab/>
        <w:t>the external surfaces of the building occupying the area represented on that floor plan —</w:t>
      </w:r>
    </w:p>
    <w:p>
      <w:pPr>
        <w:pStyle w:val="Indenti"/>
        <w:rPr>
          <w:snapToGrid w:val="0"/>
        </w:rPr>
      </w:pPr>
      <w:r>
        <w:rPr>
          <w:snapToGrid w:val="0"/>
        </w:rPr>
        <w:tab/>
        <w:t>(i)</w:t>
      </w:r>
      <w:r>
        <w:rPr>
          <w:snapToGrid w:val="0"/>
        </w:rPr>
        <w:tab/>
        <w:t>including any thing that —</w:t>
      </w:r>
    </w:p>
    <w:p>
      <w:pPr>
        <w:pStyle w:val="IndentI0"/>
        <w:rPr>
          <w:snapToGrid w:val="0"/>
        </w:rPr>
      </w:pPr>
      <w:r>
        <w:rPr>
          <w:snapToGrid w:val="0"/>
        </w:rPr>
        <w:tab/>
        <w:t>(I)</w:t>
      </w:r>
      <w:r>
        <w:rPr>
          <w:snapToGrid w:val="0"/>
        </w:rPr>
        <w:tab/>
        <w:t>is attached to and projects from the building; and</w:t>
      </w:r>
    </w:p>
    <w:p>
      <w:pPr>
        <w:pStyle w:val="IndentI0"/>
        <w:rPr>
          <w:snapToGrid w:val="0"/>
        </w:rPr>
      </w:pPr>
      <w:r>
        <w:rPr>
          <w:snapToGrid w:val="0"/>
        </w:rPr>
        <w:tab/>
        <w:t>(II)</w:t>
      </w:r>
      <w:r>
        <w:rPr>
          <w:snapToGrid w:val="0"/>
        </w:rPr>
        <w:tab/>
        <w:t>is prescribed by the regulations to be included as part of a lot;</w:t>
      </w:r>
    </w:p>
    <w:p>
      <w:pPr>
        <w:pStyle w:val="Indenti"/>
        <w:rPr>
          <w:snapToGrid w:val="0"/>
        </w:rPr>
      </w:pPr>
      <w:r>
        <w:rPr>
          <w:snapToGrid w:val="0"/>
        </w:rPr>
        <w:tab/>
      </w:r>
      <w:r>
        <w:rPr>
          <w:snapToGrid w:val="0"/>
        </w:rPr>
        <w:tab/>
        <w:t>but</w:t>
      </w:r>
    </w:p>
    <w:p>
      <w:pPr>
        <w:pStyle w:val="Indenti"/>
        <w:rPr>
          <w:snapToGrid w:val="0"/>
        </w:rPr>
      </w:pPr>
      <w:r>
        <w:rPr>
          <w:snapToGrid w:val="0"/>
        </w:rPr>
        <w:tab/>
        <w:t>(ii)</w:t>
      </w:r>
      <w:r>
        <w:rPr>
          <w:snapToGrid w:val="0"/>
        </w:rPr>
        <w:tab/>
        <w:t>excluding any thing that is prescribed by the regulations not to be included as part of a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despite paragraph (a), where 2 lots —</w:t>
      </w:r>
    </w:p>
    <w:p>
      <w:pPr>
        <w:pStyle w:val="Indenti"/>
        <w:rPr>
          <w:snapToGrid w:val="0"/>
        </w:rPr>
      </w:pPr>
      <w:r>
        <w:rPr>
          <w:snapToGrid w:val="0"/>
        </w:rPr>
        <w:tab/>
        <w:t>(i)</w:t>
      </w:r>
      <w:r>
        <w:rPr>
          <w:snapToGrid w:val="0"/>
        </w:rPr>
        <w:tab/>
        <w:t>have a common or party wall, the centre plane of that wall; or</w:t>
      </w:r>
    </w:p>
    <w:p>
      <w:pPr>
        <w:pStyle w:val="Indenti"/>
        <w:rPr>
          <w:snapToGrid w:val="0"/>
        </w:rPr>
      </w:pPr>
      <w:r>
        <w:rPr>
          <w:snapToGrid w:val="0"/>
        </w:rPr>
        <w:tab/>
        <w:t>(ii)</w:t>
      </w:r>
      <w:r>
        <w:rPr>
          <w:snapToGrid w:val="0"/>
        </w:rPr>
        <w:tab/>
        <w:t>have buildings on them that are joined, the plane or planes at which they are joined.</w:t>
      </w:r>
    </w:p>
    <w:p>
      <w:pPr>
        <w:pStyle w:val="Subsection"/>
        <w:rPr>
          <w:snapToGrid w:val="0"/>
        </w:rPr>
      </w:pPr>
      <w:r>
        <w:rPr>
          <w:snapToGrid w:val="0"/>
        </w:rPr>
        <w:tab/>
        <w:t>(2)</w:t>
      </w:r>
      <w:r>
        <w:rPr>
          <w:snapToGrid w:val="0"/>
        </w:rPr>
        <w:tab/>
        <w:t>If under subsection (1) —</w:t>
      </w:r>
    </w:p>
    <w:p>
      <w:pPr>
        <w:pStyle w:val="Indenta"/>
        <w:rPr>
          <w:snapToGrid w:val="0"/>
        </w:rPr>
      </w:pPr>
      <w:r>
        <w:rPr>
          <w:snapToGrid w:val="0"/>
        </w:rPr>
        <w:tab/>
        <w:t>(a)</w:t>
      </w:r>
      <w:r>
        <w:rPr>
          <w:snapToGrid w:val="0"/>
        </w:rPr>
        <w:tab/>
        <w:t>the boundary of a lot is a part of a building that constitutes a permitted boundary deviation; and</w:t>
      </w:r>
    </w:p>
    <w:p>
      <w:pPr>
        <w:pStyle w:val="Indenta"/>
        <w:keepNext/>
        <w:rPr>
          <w:snapToGrid w:val="0"/>
        </w:rPr>
      </w:pPr>
      <w:r>
        <w:rPr>
          <w:snapToGrid w:val="0"/>
        </w:rPr>
        <w:tab/>
        <w:t>(b)</w:t>
      </w:r>
      <w:r>
        <w:rPr>
          <w:snapToGrid w:val="0"/>
        </w:rPr>
        <w:tab/>
        <w:t>the part is destroyed and is not reinstated within one year, or a longer period allowed under section 103N, after the destruction,</w:t>
      </w:r>
    </w:p>
    <w:p>
      <w:pPr>
        <w:pStyle w:val="Subsection"/>
        <w:spacing w:before="120"/>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Subsection"/>
        <w:rPr>
          <w:snapToGrid w:val="0"/>
        </w:rPr>
      </w:pPr>
      <w:r>
        <w:rPr>
          <w:snapToGrid w:val="0"/>
        </w:rPr>
        <w:tab/>
        <w:t>(3)</w:t>
      </w:r>
      <w:r>
        <w:rPr>
          <w:snapToGrid w:val="0"/>
        </w:rPr>
        <w:tab/>
        <w:t>Nothing in this section applies to a boundary of a lot or a part of a lot that is external to a building.</w:t>
      </w:r>
    </w:p>
    <w:p>
      <w:pPr>
        <w:pStyle w:val="Subsection"/>
        <w:rPr>
          <w:snapToGrid w:val="0"/>
        </w:rPr>
      </w:pPr>
      <w:r>
        <w:rPr>
          <w:snapToGrid w:val="0"/>
        </w:rPr>
        <w:tab/>
        <w:t>(4)</w:t>
      </w:r>
      <w:r>
        <w:rPr>
          <w:snapToGrid w:val="0"/>
        </w:rPr>
        <w:tab/>
        <w:t>Where this section applies it —</w:t>
      </w:r>
    </w:p>
    <w:p>
      <w:pPr>
        <w:pStyle w:val="Indenta"/>
        <w:keepNext/>
        <w:spacing w:before="60"/>
        <w:rPr>
          <w:snapToGrid w:val="0"/>
        </w:rPr>
      </w:pPr>
      <w:r>
        <w:rPr>
          <w:snapToGrid w:val="0"/>
        </w:rPr>
        <w:tab/>
        <w:t>(a)</w:t>
      </w:r>
      <w:r>
        <w:rPr>
          <w:snapToGrid w:val="0"/>
        </w:rPr>
        <w:tab/>
        <w:t>displaces the operation of section 3(2)(a); but</w:t>
      </w:r>
    </w:p>
    <w:p>
      <w:pPr>
        <w:pStyle w:val="Indenta"/>
        <w:spacing w:before="60"/>
        <w:rPr>
          <w:snapToGrid w:val="0"/>
        </w:rPr>
      </w:pPr>
      <w:r>
        <w:rPr>
          <w:snapToGrid w:val="0"/>
        </w:rPr>
        <w:tab/>
        <w:t>(b)</w:t>
      </w:r>
      <w:r>
        <w:rPr>
          <w:snapToGrid w:val="0"/>
        </w:rPr>
        <w:tab/>
        <w:t>does not affect the operation of subsection (2)(b) of that section.</w:t>
      </w:r>
    </w:p>
    <w:p>
      <w:pPr>
        <w:pStyle w:val="Footnotesection"/>
        <w:spacing w:before="100"/>
        <w:ind w:left="890" w:hanging="890"/>
      </w:pPr>
      <w:r>
        <w:tab/>
        <w:t>[Section 3AB inserted: No. 61 of 1996 s. 6; amended: No. 55 of 2004 s. 1157.]</w:t>
      </w:r>
    </w:p>
    <w:p>
      <w:pPr>
        <w:pStyle w:val="Heading5"/>
        <w:rPr>
          <w:snapToGrid w:val="0"/>
        </w:rPr>
      </w:pPr>
      <w:bookmarkStart w:id="11" w:name="_Toc530554776"/>
      <w:r>
        <w:rPr>
          <w:rStyle w:val="CharSectno"/>
        </w:rPr>
        <w:t>3AC</w:t>
      </w:r>
      <w:r>
        <w:rPr>
          <w:snapToGrid w:val="0"/>
        </w:rPr>
        <w:t>.</w:t>
      </w:r>
      <w:r>
        <w:rPr>
          <w:snapToGrid w:val="0"/>
        </w:rPr>
        <w:tab/>
        <w:t>R</w:t>
      </w:r>
      <w:r>
        <w:t>esolution without dissent</w:t>
      </w:r>
      <w:bookmarkEnd w:id="11"/>
    </w:p>
    <w:p>
      <w:pPr>
        <w:pStyle w:val="Subsection"/>
        <w:keepNext/>
      </w:pPr>
      <w:r>
        <w:tab/>
        <w:t>(1)</w:t>
      </w:r>
      <w:r>
        <w:tab/>
        <w:t>For the purposes of this Act a resolution without dissent is a resolution —</w:t>
      </w:r>
    </w:p>
    <w:p>
      <w:pPr>
        <w:pStyle w:val="Indenta"/>
        <w:spacing w:before="60"/>
        <w:rPr>
          <w:snapToGrid w:val="0"/>
        </w:rPr>
      </w:pPr>
      <w:r>
        <w:rPr>
          <w:snapToGrid w:val="0"/>
        </w:rPr>
        <w:tab/>
        <w:t>(a)</w:t>
      </w:r>
      <w:r>
        <w:rPr>
          <w:snapToGrid w:val="0"/>
        </w:rPr>
        <w:tab/>
        <w:t>passed at a duly convened general meeting of the strata company of which sufficient notice (as defined by section 3C) has been given and at which a sufficient quorum (as so defined) is present; and</w:t>
      </w:r>
    </w:p>
    <w:p>
      <w:pPr>
        <w:pStyle w:val="Indenta"/>
        <w:spacing w:before="60"/>
        <w:rPr>
          <w:snapToGrid w:val="0"/>
        </w:rPr>
      </w:pPr>
      <w:r>
        <w:rPr>
          <w:snapToGrid w:val="0"/>
        </w:rPr>
        <w:tab/>
        <w:t>(b)</w:t>
      </w:r>
      <w:r>
        <w:rPr>
          <w:snapToGrid w:val="0"/>
        </w:rPr>
        <w:tab/>
        <w:t>against which no vote is cast by a person entitled to exercise the powers of voting on the resolution conferred under this Act —</w:t>
      </w:r>
    </w:p>
    <w:p>
      <w:pPr>
        <w:pStyle w:val="Indenti"/>
        <w:spacing w:before="60"/>
        <w:rPr>
          <w:snapToGrid w:val="0"/>
        </w:rPr>
      </w:pPr>
      <w:r>
        <w:rPr>
          <w:snapToGrid w:val="0"/>
        </w:rPr>
        <w:tab/>
        <w:t>(i)</w:t>
      </w:r>
      <w:r>
        <w:rPr>
          <w:snapToGrid w:val="0"/>
        </w:rPr>
        <w:tab/>
        <w:t>voting at the meeting either personally or by proxy; or</w:t>
      </w:r>
    </w:p>
    <w:p>
      <w:pPr>
        <w:pStyle w:val="Indenti"/>
        <w:spacing w:before="60"/>
        <w:rPr>
          <w:snapToGrid w:val="0"/>
        </w:rPr>
      </w:pPr>
      <w:r>
        <w:rPr>
          <w:snapToGrid w:val="0"/>
        </w:rPr>
        <w:tab/>
        <w:t>(ii)</w:t>
      </w:r>
      <w:r>
        <w:rPr>
          <w:snapToGrid w:val="0"/>
        </w:rPr>
        <w:tab/>
        <w:t>voting in accordance with subsection (2).</w:t>
      </w:r>
    </w:p>
    <w:p>
      <w:pPr>
        <w:pStyle w:val="Subsection"/>
      </w:pPr>
      <w:r>
        <w:tab/>
        <w:t>(2)</w:t>
      </w:r>
      <w:r>
        <w:tab/>
        <w:t>A person entitled to exercise the powers of voting conferred under this Act is also to be taken to vote —</w:t>
      </w:r>
    </w:p>
    <w:p>
      <w:pPr>
        <w:pStyle w:val="Indenta"/>
        <w:rPr>
          <w:snapToGrid w:val="0"/>
        </w:rPr>
      </w:pPr>
      <w:r>
        <w:rPr>
          <w:snapToGrid w:val="0"/>
        </w:rPr>
        <w:tab/>
        <w:t>(a)</w:t>
      </w:r>
      <w:r>
        <w:rPr>
          <w:snapToGrid w:val="0"/>
        </w:rPr>
        <w:tab/>
        <w:t>in support of a resolution if he signifies in writing served in accordance with subsection (3)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(3) that he disagrees with the resolution,</w:t>
      </w:r>
    </w:p>
    <w:p>
      <w:pPr>
        <w:pStyle w:val="Subsection"/>
        <w:spacing w:before="12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pPr>
      <w:r>
        <w:tab/>
        <w:t>(3)</w:t>
      </w:r>
      <w:r>
        <w:tab/>
      </w:r>
      <w:r>
        <w:rPr>
          <w:snapToGrid w:val="0"/>
        </w:rPr>
        <w:t>The</w:t>
      </w:r>
      <w:r>
        <w:t xml:space="preserve"> writing referred to in subsection (2) is not effective unless it is served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Footnotesection"/>
        <w:spacing w:before="80"/>
        <w:ind w:left="890" w:hanging="890"/>
      </w:pPr>
      <w:r>
        <w:tab/>
        <w:t>[Section 3AC inserted as section 3A: No. 58 of 1995 s. 6; renumbered as section 3AC: No. 61 of 1996 s. 5.]</w:t>
      </w:r>
    </w:p>
    <w:p>
      <w:pPr>
        <w:pStyle w:val="Heading5"/>
        <w:rPr>
          <w:snapToGrid w:val="0"/>
        </w:rPr>
      </w:pPr>
      <w:bookmarkStart w:id="12" w:name="_Toc530554777"/>
      <w:r>
        <w:rPr>
          <w:rStyle w:val="CharSectno"/>
        </w:rPr>
        <w:t>3B</w:t>
      </w:r>
      <w:r>
        <w:rPr>
          <w:snapToGrid w:val="0"/>
        </w:rPr>
        <w:t>.</w:t>
      </w:r>
      <w:r>
        <w:rPr>
          <w:snapToGrid w:val="0"/>
        </w:rPr>
        <w:tab/>
        <w:t>Special resolution of strata company</w:t>
      </w:r>
      <w:bookmarkEnd w:id="12"/>
    </w:p>
    <w:p>
      <w:pPr>
        <w:pStyle w:val="Subsection"/>
        <w:keepNext/>
        <w:rPr>
          <w:snapToGrid w:val="0"/>
        </w:rPr>
      </w:pPr>
      <w:r>
        <w:rPr>
          <w:snapToGrid w:val="0"/>
        </w:rPr>
        <w:tab/>
        <w:t>(1)</w:t>
      </w:r>
      <w:r>
        <w:rPr>
          <w:snapToGrid w:val="0"/>
        </w:rPr>
        <w:tab/>
        <w:t>For the purposes of this Act a special resolution of a strata company shall be passed at a duly convened general meeting —</w:t>
      </w:r>
    </w:p>
    <w:p>
      <w:pPr>
        <w:pStyle w:val="Indenta"/>
        <w:rPr>
          <w:snapToGrid w:val="0"/>
        </w:rPr>
      </w:pPr>
      <w:r>
        <w:rPr>
          <w:snapToGrid w:val="0"/>
        </w:rPr>
        <w:tab/>
        <w:t>(a)</w:t>
      </w:r>
      <w:r>
        <w:rPr>
          <w:snapToGrid w:val="0"/>
        </w:rPr>
        <w:tab/>
        <w:t>of which sufficient notice (as defined by section 3C) has been given; and</w:t>
      </w:r>
    </w:p>
    <w:p>
      <w:pPr>
        <w:pStyle w:val="Indenta"/>
        <w:rPr>
          <w:snapToGrid w:val="0"/>
        </w:rPr>
      </w:pPr>
      <w:r>
        <w:rPr>
          <w:snapToGrid w:val="0"/>
        </w:rPr>
        <w:tab/>
        <w:t>(b)</w:t>
      </w:r>
      <w:r>
        <w:rPr>
          <w:snapToGrid w:val="0"/>
        </w:rPr>
        <w:tab/>
        <w:t>without limiting subsection (5), at which a sufficient quorum (as defined by section 3C) is present.</w:t>
      </w:r>
    </w:p>
    <w:p>
      <w:pPr>
        <w:pStyle w:val="Subsection"/>
        <w:keepNext/>
        <w:rPr>
          <w:snapToGrid w:val="0"/>
        </w:rPr>
      </w:pPr>
      <w:r>
        <w:rPr>
          <w:snapToGrid w:val="0"/>
        </w:rPr>
        <w:tab/>
        <w:t>(2)</w:t>
      </w:r>
      <w:r>
        <w:rPr>
          <w:snapToGrid w:val="0"/>
        </w:rPr>
        <w:tab/>
        <w:t>Except where subsection (3) applies, a special resolution is passed if —</w:t>
      </w:r>
    </w:p>
    <w:p>
      <w:pPr>
        <w:pStyle w:val="Indenta"/>
        <w:keepNext/>
        <w:rPr>
          <w:snapToGrid w:val="0"/>
        </w:rPr>
      </w:pPr>
      <w:r>
        <w:rPr>
          <w:snapToGrid w:val="0"/>
        </w:rPr>
        <w:tab/>
        <w:t>(a)</w:t>
      </w:r>
      <w:r>
        <w:rPr>
          <w:snapToGrid w:val="0"/>
        </w:rPr>
        <w:tab/>
        <w:t>it is supported by votes, within the meaning in subsections (4) and (5) —</w:t>
      </w:r>
    </w:p>
    <w:p>
      <w:pPr>
        <w:pStyle w:val="Indenti"/>
        <w:rPr>
          <w:snapToGrid w:val="0"/>
        </w:rPr>
      </w:pPr>
      <w:r>
        <w:rPr>
          <w:snapToGrid w:val="0"/>
        </w:rPr>
        <w:tab/>
        <w:t>(i)</w:t>
      </w:r>
      <w:r>
        <w:rPr>
          <w:snapToGrid w:val="0"/>
        </w:rPr>
        <w:tab/>
        <w:t>having a value of not less than 50% of the aggregate unit entitlement of the lots in the scheme; and</w:t>
      </w:r>
    </w:p>
    <w:p>
      <w:pPr>
        <w:pStyle w:val="Indenti"/>
        <w:rPr>
          <w:snapToGrid w:val="0"/>
        </w:rPr>
      </w:pPr>
      <w:r>
        <w:rPr>
          <w:snapToGrid w:val="0"/>
        </w:rPr>
        <w:tab/>
        <w:t>(ii)</w:t>
      </w:r>
      <w:r>
        <w:rPr>
          <w:snapToGrid w:val="0"/>
        </w:rPr>
        <w:tab/>
        <w:t>of the proprietors of not less than 50% of the lots in the scheme;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the votes, within the meaning in subsections (4) and (5), against the resolution —</w:t>
      </w:r>
    </w:p>
    <w:p>
      <w:pPr>
        <w:pStyle w:val="Indenti"/>
        <w:spacing w:before="60"/>
        <w:rPr>
          <w:snapToGrid w:val="0"/>
        </w:rPr>
      </w:pPr>
      <w:r>
        <w:rPr>
          <w:snapToGrid w:val="0"/>
        </w:rPr>
        <w:tab/>
        <w:t>(i)</w:t>
      </w:r>
      <w:r>
        <w:rPr>
          <w:snapToGrid w:val="0"/>
        </w:rPr>
        <w:tab/>
        <w:t>do not have a value of 25% or more of the aggregate unit entitlement of the lots in the scheme; or</w:t>
      </w:r>
    </w:p>
    <w:p>
      <w:pPr>
        <w:pStyle w:val="Indenti"/>
        <w:spacing w:before="60"/>
        <w:rPr>
          <w:snapToGrid w:val="0"/>
        </w:rPr>
      </w:pPr>
      <w:r>
        <w:rPr>
          <w:snapToGrid w:val="0"/>
        </w:rPr>
        <w:tab/>
        <w:t>(ii)</w:t>
      </w:r>
      <w:r>
        <w:rPr>
          <w:snapToGrid w:val="0"/>
        </w:rPr>
        <w:tab/>
        <w:t>are not cast by the proprietors of 25% or more of the lots in the scheme.</w:t>
      </w:r>
    </w:p>
    <w:p>
      <w:pPr>
        <w:pStyle w:val="Subsection"/>
        <w:spacing w:before="120"/>
        <w:rPr>
          <w:snapToGrid w:val="0"/>
        </w:rPr>
      </w:pPr>
      <w:r>
        <w:rPr>
          <w:snapToGrid w:val="0"/>
        </w:rPr>
        <w:tab/>
        <w:t>(3)</w:t>
      </w:r>
      <w:r>
        <w:rPr>
          <w:snapToGrid w:val="0"/>
        </w:rPr>
        <w:tab/>
        <w:t>A special resolution is passed in the case of a strata company for a scheme in which there are no more than the following number of lots, if it is supported by the votes, within the meaning in subsections (4) and (5), of the following number of proprietors —</w:t>
      </w:r>
    </w:p>
    <w:p>
      <w:pPr>
        <w:pStyle w:val="Indenta"/>
        <w:spacing w:before="60"/>
        <w:rPr>
          <w:snapToGrid w:val="0"/>
        </w:rPr>
      </w:pPr>
      <w:r>
        <w:rPr>
          <w:snapToGrid w:val="0"/>
        </w:rPr>
        <w:tab/>
        <w:t>(a)</w:t>
      </w:r>
      <w:r>
        <w:rPr>
          <w:snapToGrid w:val="0"/>
        </w:rPr>
        <w:tab/>
        <w:t>3 lots, the votes of the proprietors of not less than 2 of the lots; or</w:t>
      </w:r>
    </w:p>
    <w:p>
      <w:pPr>
        <w:pStyle w:val="Indenta"/>
        <w:spacing w:before="60"/>
        <w:rPr>
          <w:snapToGrid w:val="0"/>
        </w:rPr>
      </w:pPr>
      <w:r>
        <w:rPr>
          <w:snapToGrid w:val="0"/>
        </w:rPr>
        <w:tab/>
        <w:t>(b)</w:t>
      </w:r>
      <w:r>
        <w:rPr>
          <w:snapToGrid w:val="0"/>
        </w:rPr>
        <w:tab/>
        <w:t>4 lots, the votes of the proprietors of not less than 3 of the lots; or</w:t>
      </w:r>
    </w:p>
    <w:p>
      <w:pPr>
        <w:pStyle w:val="Indenta"/>
        <w:spacing w:before="60"/>
        <w:rPr>
          <w:snapToGrid w:val="0"/>
        </w:rPr>
      </w:pPr>
      <w:r>
        <w:rPr>
          <w:snapToGrid w:val="0"/>
        </w:rPr>
        <w:tab/>
        <w:t>(c)</w:t>
      </w:r>
      <w:r>
        <w:rPr>
          <w:snapToGrid w:val="0"/>
        </w:rPr>
        <w:tab/>
        <w:t>5 lots, the votes of the proprietors of not less than 4 of the lots,</w:t>
      </w:r>
    </w:p>
    <w:p>
      <w:pPr>
        <w:pStyle w:val="Subsection"/>
        <w:spacing w:before="100"/>
        <w:rPr>
          <w:snapToGrid w:val="0"/>
        </w:rPr>
      </w:pPr>
      <w:r>
        <w:rPr>
          <w:snapToGrid w:val="0"/>
        </w:rPr>
        <w:tab/>
      </w:r>
      <w:r>
        <w:rPr>
          <w:snapToGrid w:val="0"/>
        </w:rPr>
        <w:tab/>
        <w:t>and if those votes have a value of not less than 50% of the aggregate unit entitlement of the lots.</w:t>
      </w:r>
    </w:p>
    <w:p>
      <w:pPr>
        <w:pStyle w:val="Subsection"/>
        <w:spacing w:before="120"/>
        <w:rPr>
          <w:snapToGrid w:val="0"/>
        </w:rPr>
      </w:pPr>
      <w:r>
        <w:rPr>
          <w:snapToGrid w:val="0"/>
        </w:rPr>
        <w:tab/>
        <w:t>(4)</w:t>
      </w:r>
      <w:r>
        <w:rPr>
          <w:snapToGrid w:val="0"/>
        </w:rPr>
        <w:tab/>
        <w:t>References in subsections (2) and (3) to votes are to the votes of persons entitled to exercise the powers of voting conferred under this Act voting at the meeting either personally or by proxy.</w:t>
      </w:r>
    </w:p>
    <w:p>
      <w:pPr>
        <w:pStyle w:val="Subsection"/>
        <w:keepNext/>
        <w:spacing w:before="120"/>
        <w:rPr>
          <w:snapToGrid w:val="0"/>
        </w:rPr>
      </w:pPr>
      <w:r>
        <w:rPr>
          <w:snapToGrid w:val="0"/>
        </w:rPr>
        <w:tab/>
        <w:t>(5)</w:t>
      </w:r>
      <w:r>
        <w:rPr>
          <w:snapToGrid w:val="0"/>
        </w:rPr>
        <w:tab/>
        <w:t>Despite subsection (4), a person entitled to exercise the powers of voting conferred under this Act is also to be taken to vote —</w:t>
      </w:r>
    </w:p>
    <w:p>
      <w:pPr>
        <w:pStyle w:val="Indenta"/>
        <w:spacing w:before="60"/>
        <w:rPr>
          <w:snapToGrid w:val="0"/>
        </w:rPr>
      </w:pPr>
      <w:r>
        <w:rPr>
          <w:snapToGrid w:val="0"/>
        </w:rPr>
        <w:tab/>
        <w:t>(a)</w:t>
      </w:r>
      <w:r>
        <w:rPr>
          <w:snapToGrid w:val="0"/>
        </w:rPr>
        <w:tab/>
        <w:t>in support of a resolution if he signifies in writing served in accordance with subsection (6)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(6) that he disagrees with the resolution,</w:t>
      </w:r>
    </w:p>
    <w:p>
      <w:pPr>
        <w:pStyle w:val="Subsection"/>
        <w:spacing w:before="10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rPr>
          <w:snapToGrid w:val="0"/>
        </w:rPr>
      </w:pPr>
      <w:r>
        <w:rPr>
          <w:snapToGrid w:val="0"/>
        </w:rPr>
        <w:tab/>
        <w:t>(6)</w:t>
      </w:r>
      <w:r>
        <w:rPr>
          <w:snapToGrid w:val="0"/>
        </w:rPr>
        <w:tab/>
        <w:t>The writing referred to in subsection (5) is not effective unless it is served —</w:t>
      </w:r>
    </w:p>
    <w:p>
      <w:pPr>
        <w:pStyle w:val="Indenta"/>
        <w:spacing w:before="70"/>
        <w:rPr>
          <w:snapToGrid w:val="0"/>
        </w:rPr>
      </w:pPr>
      <w:r>
        <w:rPr>
          <w:snapToGrid w:val="0"/>
        </w:rPr>
        <w:tab/>
        <w:t>(a)</w:t>
      </w:r>
      <w:r>
        <w:rPr>
          <w:snapToGrid w:val="0"/>
        </w:rPr>
        <w:tab/>
        <w:t>on the strata company; or</w:t>
      </w:r>
    </w:p>
    <w:p>
      <w:pPr>
        <w:pStyle w:val="Indenta"/>
        <w:spacing w:before="70"/>
        <w:rPr>
          <w:snapToGrid w:val="0"/>
        </w:rPr>
      </w:pPr>
      <w:r>
        <w:rPr>
          <w:snapToGrid w:val="0"/>
        </w:rPr>
        <w:tab/>
        <w:t>(b)</w:t>
      </w:r>
      <w:r>
        <w:rPr>
          <w:snapToGrid w:val="0"/>
        </w:rPr>
        <w:tab/>
        <w:t>where under section 36A or 36B a roll is not maintained by the strata company, on the other proprietors.</w:t>
      </w:r>
    </w:p>
    <w:p>
      <w:pPr>
        <w:pStyle w:val="Subsection"/>
        <w:keepNext/>
        <w:rPr>
          <w:snapToGrid w:val="0"/>
        </w:rPr>
      </w:pPr>
      <w:r>
        <w:rPr>
          <w:snapToGrid w:val="0"/>
        </w:rPr>
        <w:tab/>
        <w:t>(7)</w:t>
      </w:r>
      <w:r>
        <w:rPr>
          <w:snapToGrid w:val="0"/>
        </w:rPr>
        <w:tab/>
        <w:t>A special resolution referred to in subsection (3) does not have effect —</w:t>
      </w:r>
    </w:p>
    <w:p>
      <w:pPr>
        <w:pStyle w:val="Indenta"/>
        <w:spacing w:before="70"/>
        <w:rPr>
          <w:snapToGrid w:val="0"/>
        </w:rPr>
      </w:pPr>
      <w:r>
        <w:rPr>
          <w:snapToGrid w:val="0"/>
        </w:rPr>
        <w:tab/>
        <w:t>(a)</w:t>
      </w:r>
      <w:r>
        <w:rPr>
          <w:snapToGrid w:val="0"/>
        </w:rPr>
        <w:tab/>
        <w:t>until the expiration of the period referred to in section 103D(2); or</w:t>
      </w:r>
    </w:p>
    <w:p>
      <w:pPr>
        <w:pStyle w:val="Indenta"/>
        <w:spacing w:before="70"/>
        <w:rPr>
          <w:snapToGrid w:val="0"/>
        </w:rPr>
      </w:pPr>
      <w:r>
        <w:rPr>
          <w:snapToGrid w:val="0"/>
        </w:rPr>
        <w:tab/>
        <w:t>(b)</w:t>
      </w:r>
      <w:r>
        <w:rPr>
          <w:snapToGrid w:val="0"/>
        </w:rPr>
        <w:tab/>
        <w:t>if an application is made for an order under that section, until the application is dismissed, or withdrawn; or</w:t>
      </w:r>
    </w:p>
    <w:p>
      <w:pPr>
        <w:pStyle w:val="Indenta"/>
        <w:spacing w:before="70"/>
        <w:rPr>
          <w:snapToGrid w:val="0"/>
        </w:rPr>
      </w:pPr>
      <w:r>
        <w:rPr>
          <w:snapToGrid w:val="0"/>
        </w:rPr>
        <w:tab/>
        <w:t>(c)</w:t>
      </w:r>
      <w:r>
        <w:rPr>
          <w:snapToGrid w:val="0"/>
        </w:rPr>
        <w:tab/>
        <w:t>if the State Administrative Tribunal refuses to make the order, until the time for appeal against the refusal has expired or any appeal has been dismissed or withdrawn or determined in such a way that an order under section 103D is not made.</w:t>
      </w:r>
    </w:p>
    <w:p>
      <w:pPr>
        <w:pStyle w:val="Subsection"/>
        <w:keepNext/>
        <w:rPr>
          <w:snapToGrid w:val="0"/>
        </w:rPr>
      </w:pPr>
      <w:r>
        <w:rPr>
          <w:snapToGrid w:val="0"/>
        </w:rPr>
        <w:tab/>
        <w:t>(8)</w:t>
      </w:r>
      <w:r>
        <w:rPr>
          <w:snapToGrid w:val="0"/>
        </w:rPr>
        <w:tab/>
        <w:t xml:space="preserve">In subsection (3)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pPr>
      <w:r>
        <w:tab/>
        <w:t>[Section 3B inserted: No. 58 of 1995 s. 6; amended: No. 55 of 2004 s. 1108 and 1156(3).]</w:t>
      </w:r>
    </w:p>
    <w:p>
      <w:pPr>
        <w:pStyle w:val="Heading5"/>
        <w:rPr>
          <w:snapToGrid w:val="0"/>
        </w:rPr>
      </w:pPr>
      <w:bookmarkStart w:id="13" w:name="_Toc530554778"/>
      <w:r>
        <w:rPr>
          <w:rStyle w:val="CharSectno"/>
        </w:rPr>
        <w:t>3C</w:t>
      </w:r>
      <w:r>
        <w:rPr>
          <w:snapToGrid w:val="0"/>
        </w:rPr>
        <w:t>.</w:t>
      </w:r>
      <w:r>
        <w:rPr>
          <w:snapToGrid w:val="0"/>
        </w:rPr>
        <w:tab/>
        <w:t>Supplementary provisions to s. 3AC and 3B</w:t>
      </w:r>
      <w:bookmarkEnd w:id="13"/>
    </w:p>
    <w:p>
      <w:pPr>
        <w:pStyle w:val="Subsection"/>
        <w:keepNext/>
        <w:rPr>
          <w:snapToGrid w:val="0"/>
        </w:rPr>
      </w:pPr>
      <w:r>
        <w:rPr>
          <w:snapToGrid w:val="0"/>
        </w:rPr>
        <w:tab/>
        <w:t>(1)</w:t>
      </w:r>
      <w:r>
        <w:rPr>
          <w:snapToGrid w:val="0"/>
        </w:rPr>
        <w:tab/>
        <w:t>For the purposes of sections 3AC and 3B —</w:t>
      </w:r>
    </w:p>
    <w:p>
      <w:pPr>
        <w:pStyle w:val="Indenta"/>
        <w:spacing w:before="70"/>
        <w:rPr>
          <w:snapToGrid w:val="0"/>
          <w:spacing w:val="-4"/>
        </w:rPr>
      </w:pPr>
      <w:r>
        <w:rPr>
          <w:snapToGrid w:val="0"/>
          <w:spacing w:val="-4"/>
        </w:rPr>
        <w:tab/>
        <w:t>(a)</w:t>
      </w:r>
      <w:r>
        <w:rPr>
          <w:snapToGrid w:val="0"/>
          <w:spacing w:val="-4"/>
        </w:rPr>
        <w:tab/>
        <w:t>a sufficient notice of a meeting is given if at least 14 days’ notice specifying the proposed resolution has been given; and</w:t>
      </w:r>
    </w:p>
    <w:p>
      <w:pPr>
        <w:pStyle w:val="Indenta"/>
        <w:keepNext/>
        <w:spacing w:before="70"/>
        <w:rPr>
          <w:snapToGrid w:val="0"/>
        </w:rPr>
      </w:pPr>
      <w:r>
        <w:rPr>
          <w:snapToGrid w:val="0"/>
        </w:rPr>
        <w:tab/>
        <w:t>(b)</w:t>
      </w:r>
      <w:r>
        <w:rPr>
          <w:snapToGrid w:val="0"/>
        </w:rPr>
        <w:tab/>
        <w:t>a sufficient quorum is present if there are present at the meeting either personally or by proxy at the time when the resolution is voted on —</w:t>
      </w:r>
    </w:p>
    <w:p>
      <w:pPr>
        <w:pStyle w:val="Indenti"/>
        <w:spacing w:before="70"/>
        <w:rPr>
          <w:snapToGrid w:val="0"/>
        </w:rPr>
      </w:pPr>
      <w:r>
        <w:rPr>
          <w:snapToGrid w:val="0"/>
        </w:rPr>
        <w:tab/>
        <w:t>(i)</w:t>
      </w:r>
      <w:r>
        <w:rPr>
          <w:snapToGrid w:val="0"/>
        </w:rPr>
        <w:tab/>
        <w:t>the proprietors of not less than 50% of the lots in the scheme; and</w:t>
      </w:r>
    </w:p>
    <w:p>
      <w:pPr>
        <w:pStyle w:val="Indenti"/>
        <w:spacing w:before="60"/>
        <w:rPr>
          <w:snapToGrid w:val="0"/>
        </w:rPr>
      </w:pPr>
      <w:r>
        <w:rPr>
          <w:snapToGrid w:val="0"/>
        </w:rPr>
        <w:tab/>
        <w:t>(ii)</w:t>
      </w:r>
      <w:r>
        <w:rPr>
          <w:snapToGrid w:val="0"/>
        </w:rPr>
        <w:tab/>
        <w:t>proprietors whose votes have a value of not less than 50% of the aggregate unit entitlement of the lots in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value of a vote cast by a proprietor of a lot entitled to vote in respect of that lot is equal to the unit entitlement of that lot.</w:t>
      </w:r>
    </w:p>
    <w:p>
      <w:pPr>
        <w:pStyle w:val="Subsection"/>
        <w:rPr>
          <w:snapToGrid w:val="0"/>
        </w:rPr>
      </w:pPr>
      <w:r>
        <w:rPr>
          <w:snapToGrid w:val="0"/>
        </w:rPr>
        <w:tab/>
        <w:t>(2)</w:t>
      </w:r>
      <w:r>
        <w:rPr>
          <w:snapToGrid w:val="0"/>
        </w:rPr>
        <w:tab/>
        <w:t>If a resolution specified in a notice of a meeting is passed with amendment at the meeting the strata company shall, not later than 7 days after the meeting, serve a copy of the amended resolution on each proprietor who was not present at the meeting either personally or by proxy at the time when the resolution was voted on.</w:t>
      </w:r>
    </w:p>
    <w:p>
      <w:pPr>
        <w:pStyle w:val="Subsection"/>
        <w:rPr>
          <w:snapToGrid w:val="0"/>
        </w:rPr>
      </w:pPr>
      <w:r>
        <w:rPr>
          <w:snapToGrid w:val="0"/>
        </w:rPr>
        <w:tab/>
        <w:t>(3)</w:t>
      </w:r>
      <w:r>
        <w:rPr>
          <w:snapToGrid w:val="0"/>
        </w:rPr>
        <w:tab/>
        <w:t>If subsection (2) is not complied with the amended resolution is of no effect.</w:t>
      </w:r>
    </w:p>
    <w:p>
      <w:pPr>
        <w:pStyle w:val="Subsection"/>
        <w:rPr>
          <w:snapToGrid w:val="0"/>
        </w:rPr>
      </w:pPr>
      <w:r>
        <w:rPr>
          <w:snapToGrid w:val="0"/>
        </w:rPr>
        <w:tab/>
        <w:t>(4)</w:t>
      </w:r>
      <w:r>
        <w:rPr>
          <w:snapToGrid w:val="0"/>
        </w:rPr>
        <w:tab/>
        <w:t>If subsection (2) applies, the right to vote conferred by section 3AC(2) or 3B(5) may be exercised in respect of the amended resolution.</w:t>
      </w:r>
    </w:p>
    <w:p>
      <w:pPr>
        <w:pStyle w:val="Footnotesection"/>
      </w:pPr>
      <w:r>
        <w:tab/>
        <w:t>[Section 3C inserted: No. 58 of 1995 s. 6; amended: No. 61 of 1996 s. 5.]</w:t>
      </w:r>
    </w:p>
    <w:p>
      <w:pPr>
        <w:pStyle w:val="Heading5"/>
        <w:rPr>
          <w:snapToGrid w:val="0"/>
        </w:rPr>
      </w:pPr>
      <w:bookmarkStart w:id="14" w:name="_Toc530554779"/>
      <w:r>
        <w:rPr>
          <w:rStyle w:val="CharSectno"/>
        </w:rPr>
        <w:t>3CA</w:t>
      </w:r>
      <w:r>
        <w:rPr>
          <w:snapToGrid w:val="0"/>
        </w:rPr>
        <w:t>.</w:t>
      </w:r>
      <w:r>
        <w:rPr>
          <w:snapToGrid w:val="0"/>
        </w:rPr>
        <w:tab/>
        <w:t>Certain resolutions deemed to be resolutions without dissent or special resolutions</w:t>
      </w:r>
      <w:bookmarkEnd w:id="14"/>
    </w:p>
    <w:p>
      <w:pPr>
        <w:pStyle w:val="Subsection"/>
        <w:rPr>
          <w:snapToGrid w:val="0"/>
        </w:rPr>
      </w:pPr>
      <w:r>
        <w:rPr>
          <w:snapToGrid w:val="0"/>
        </w:rPr>
        <w:tab/>
        <w:t>(1)</w:t>
      </w:r>
      <w:r>
        <w:rPr>
          <w:snapToGrid w:val="0"/>
        </w:rPr>
        <w:tab/>
        <w:t>Where under this Act a thing may be done or a result occurs only if a strata company has passed a resolution without dissent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resolution without dissent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(2)</w:t>
      </w:r>
      <w:r>
        <w:rPr>
          <w:snapToGrid w:val="0"/>
        </w:rPr>
        <w:tab/>
        <w:t>Where a resolution comes within subsection (1)(b), section 3C(2) and (3) do not apply.</w:t>
      </w:r>
    </w:p>
    <w:p>
      <w:pPr>
        <w:pStyle w:val="Subsection"/>
        <w:rPr>
          <w:snapToGrid w:val="0"/>
        </w:rPr>
      </w:pPr>
      <w:r>
        <w:rPr>
          <w:snapToGrid w:val="0"/>
        </w:rPr>
        <w:tab/>
        <w:t>(3)</w:t>
      </w:r>
      <w:r>
        <w:rPr>
          <w:snapToGrid w:val="0"/>
        </w:rPr>
        <w:tab/>
        <w:t>Where under this Act a thing may be done or a result occurs only if a strata company has passed a special resolution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special resolution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(4)</w:t>
      </w:r>
      <w:r>
        <w:rPr>
          <w:snapToGrid w:val="0"/>
        </w:rPr>
        <w:tab/>
        <w:t>Where a resolution comes within subsection (3)(b), section 3B(5), (6) and (7) do not apply.</w:t>
      </w:r>
    </w:p>
    <w:p>
      <w:pPr>
        <w:pStyle w:val="Footnotesection"/>
      </w:pPr>
      <w:r>
        <w:tab/>
        <w:t>[Section 3CA inserted: No. 61 of 1996 s. 7.]</w:t>
      </w:r>
    </w:p>
    <w:p>
      <w:pPr>
        <w:pStyle w:val="Heading5"/>
        <w:rPr>
          <w:snapToGrid w:val="0"/>
        </w:rPr>
      </w:pPr>
      <w:bookmarkStart w:id="15" w:name="_Toc530554780"/>
      <w:r>
        <w:rPr>
          <w:rStyle w:val="CharSectno"/>
        </w:rPr>
        <w:t>3D</w:t>
      </w:r>
      <w:r>
        <w:rPr>
          <w:snapToGrid w:val="0"/>
        </w:rPr>
        <w:t>.</w:t>
      </w:r>
      <w:r>
        <w:rPr>
          <w:snapToGrid w:val="0"/>
        </w:rPr>
        <w:tab/>
        <w:t>Unfinancial proprietors may vote in certain cases</w:t>
      </w:r>
      <w:bookmarkEnd w:id="15"/>
    </w:p>
    <w:p>
      <w:pPr>
        <w:pStyle w:val="Subsection"/>
        <w:rPr>
          <w:snapToGrid w:val="0"/>
        </w:rPr>
      </w:pPr>
      <w:r>
        <w:rPr>
          <w:snapToGrid w:val="0"/>
        </w:rPr>
        <w:tab/>
      </w:r>
      <w:r>
        <w:rPr>
          <w:snapToGrid w:val="0"/>
        </w:rPr>
        <w:tab/>
        <w:t>Despite anything in the by</w:t>
      </w:r>
      <w:r>
        <w:rPr>
          <w:snapToGrid w:val="0"/>
        </w:rPr>
        <w:noBreakHyphen/>
        <w:t>laws of the strata company, a proprietor is entitled to exercise his powers of voting on a matter requiring a unanimous resolution or a resolution without dissent even though all contributions payable in respect of his lot have not been duly paid or other moneys recoverable under the Act by the strata company from him have not been paid.</w:t>
      </w:r>
    </w:p>
    <w:p>
      <w:pPr>
        <w:pStyle w:val="Footnotesection"/>
      </w:pPr>
      <w:r>
        <w:tab/>
        <w:t>[Section 3D inserted: No. 58 of 1995 s. 6.]</w:t>
      </w:r>
    </w:p>
    <w:p>
      <w:pPr>
        <w:pStyle w:val="Heading2"/>
      </w:pPr>
      <w:bookmarkStart w:id="16" w:name="_Toc525288409"/>
      <w:bookmarkStart w:id="17" w:name="_Toc530554445"/>
      <w:bookmarkStart w:id="18" w:name="_Toc530554781"/>
      <w:r>
        <w:rPr>
          <w:rStyle w:val="CharPartNo"/>
        </w:rPr>
        <w:t>Part II</w:t>
      </w:r>
      <w:r>
        <w:t> — </w:t>
      </w:r>
      <w:r>
        <w:rPr>
          <w:rStyle w:val="CharPartText"/>
        </w:rPr>
        <w:t>Strata schemes and survey</w:t>
      </w:r>
      <w:r>
        <w:rPr>
          <w:rStyle w:val="CharPartText"/>
        </w:rPr>
        <w:noBreakHyphen/>
        <w:t>strata schemes</w:t>
      </w:r>
      <w:bookmarkEnd w:id="16"/>
      <w:bookmarkEnd w:id="17"/>
      <w:bookmarkEnd w:id="18"/>
    </w:p>
    <w:p>
      <w:pPr>
        <w:pStyle w:val="Footnoteheading"/>
      </w:pPr>
      <w:r>
        <w:tab/>
        <w:t>[Heading inserted: No. 58 of 1995 s. 7.]</w:t>
      </w:r>
    </w:p>
    <w:p>
      <w:pPr>
        <w:pStyle w:val="Heading3"/>
        <w:spacing w:before="180"/>
      </w:pPr>
      <w:bookmarkStart w:id="19" w:name="_Toc525288410"/>
      <w:bookmarkStart w:id="20" w:name="_Toc530554446"/>
      <w:bookmarkStart w:id="21" w:name="_Toc530554782"/>
      <w:r>
        <w:rPr>
          <w:rStyle w:val="CharDivNo"/>
        </w:rPr>
        <w:t>Division 1</w:t>
      </w:r>
      <w:r>
        <w:rPr>
          <w:snapToGrid w:val="0"/>
        </w:rPr>
        <w:t> — </w:t>
      </w:r>
      <w:r>
        <w:rPr>
          <w:rStyle w:val="CharDivText"/>
        </w:rPr>
        <w:t>Creation of lots and common property</w:t>
      </w:r>
      <w:bookmarkEnd w:id="19"/>
      <w:bookmarkEnd w:id="20"/>
      <w:bookmarkEnd w:id="21"/>
    </w:p>
    <w:p>
      <w:pPr>
        <w:pStyle w:val="Heading5"/>
        <w:spacing w:before="180"/>
        <w:rPr>
          <w:snapToGrid w:val="0"/>
        </w:rPr>
      </w:pPr>
      <w:bookmarkStart w:id="22" w:name="_Toc530554783"/>
      <w:r>
        <w:rPr>
          <w:rStyle w:val="CharSectno"/>
        </w:rPr>
        <w:t>4</w:t>
      </w:r>
      <w:r>
        <w:rPr>
          <w:snapToGrid w:val="0"/>
        </w:rPr>
        <w:t>.</w:t>
      </w:r>
      <w:r>
        <w:rPr>
          <w:snapToGrid w:val="0"/>
        </w:rPr>
        <w:tab/>
        <w:t>Subdivision into lots and common property</w:t>
      </w:r>
      <w:bookmarkEnd w:id="22"/>
    </w:p>
    <w:p>
      <w:pPr>
        <w:pStyle w:val="Subsection"/>
        <w:rPr>
          <w:snapToGrid w:val="0"/>
        </w:rPr>
      </w:pPr>
      <w:r>
        <w:rPr>
          <w:snapToGrid w:val="0"/>
        </w:rPr>
        <w:tab/>
        <w:t>(1)</w:t>
      </w:r>
      <w:r>
        <w:rPr>
          <w:snapToGrid w:val="0"/>
        </w:rPr>
        <w:tab/>
        <w:t>Land may be subdivided into lots, or lots and common property, by the registration of a strata plan or a survey</w:t>
      </w:r>
      <w:r>
        <w:rPr>
          <w:snapToGrid w:val="0"/>
        </w:rPr>
        <w:noBreakHyphen/>
        <w:t>strata plan.</w:t>
      </w:r>
    </w:p>
    <w:p>
      <w:pPr>
        <w:pStyle w:val="Subsection"/>
        <w:rPr>
          <w:snapToGrid w:val="0"/>
        </w:rPr>
      </w:pPr>
      <w:r>
        <w:rPr>
          <w:snapToGrid w:val="0"/>
        </w:rPr>
        <w:tab/>
        <w:t>(1a)</w:t>
      </w:r>
      <w:r>
        <w:rPr>
          <w:snapToGrid w:val="0"/>
        </w:rPr>
        <w:tab/>
        <w:t>A 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(1b)</w:t>
      </w:r>
      <w:r>
        <w:rPr>
          <w:snapToGrid w:val="0"/>
        </w:rPr>
        <w:tab/>
        <w:t>A survey</w:t>
      </w:r>
      <w:r>
        <w:rPr>
          <w:snapToGrid w:val="0"/>
        </w:rPr>
        <w:noBreakHyphen/>
        <w:t>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5A,</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(1c)</w:t>
      </w:r>
      <w:r>
        <w:rPr>
          <w:snapToGrid w:val="0"/>
        </w:rPr>
        <w:tab/>
        <w:t>Except as otherwise allowed by the regulations, a lot can only be created in a survey</w:t>
      </w:r>
      <w:r>
        <w:rPr>
          <w:snapToGrid w:val="0"/>
        </w:rPr>
        <w:noBreakHyphen/>
        <w:t>strata scheme as a cubic space lot (limited in height and depth) if the balance of the land above and below the lot is common property.</w:t>
      </w:r>
    </w:p>
    <w:p>
      <w:pPr>
        <w:pStyle w:val="Subsection"/>
        <w:rPr>
          <w:snapToGrid w:val="0"/>
        </w:rPr>
      </w:pPr>
      <w:r>
        <w:rPr>
          <w:snapToGrid w:val="0"/>
        </w:rPr>
        <w:tab/>
        <w:t>(2)</w:t>
      </w:r>
      <w:r>
        <w:rPr>
          <w:snapToGrid w:val="0"/>
        </w:rPr>
        <w:tab/>
        <w:t>Where a strata/survey</w:t>
      </w:r>
      <w:r>
        <w:rPr>
          <w:snapToGrid w:val="0"/>
        </w:rPr>
        <w:noBreakHyphen/>
        <w:t xml:space="preserve">strata plan is registered under this Act, the lots comprised in the plan, or any one or more of them, may devolve or be transferred, leased, mortgaged or otherwise dealt with in the same manner and form as land held under the provisions of the </w:t>
      </w:r>
      <w:r>
        <w:rPr>
          <w:i/>
          <w:snapToGrid w:val="0"/>
        </w:rPr>
        <w:t>Transfer of Land Act 1893</w:t>
      </w:r>
      <w:r>
        <w:rPr>
          <w:snapToGrid w:val="0"/>
        </w:rPr>
        <w:t>.</w:t>
      </w:r>
    </w:p>
    <w:p>
      <w:pPr>
        <w:pStyle w:val="Subsection"/>
        <w:rPr>
          <w:snapToGrid w:val="0"/>
        </w:rPr>
      </w:pPr>
      <w:r>
        <w:rPr>
          <w:snapToGrid w:val="0"/>
        </w:rPr>
        <w:tab/>
        <w:t>(3)</w:t>
      </w:r>
      <w:r>
        <w:rPr>
          <w:snapToGrid w:val="0"/>
        </w:rPr>
        <w:tab/>
        <w:t>A strata/survey</w:t>
      </w:r>
      <w:r>
        <w:rPr>
          <w:snapToGrid w:val="0"/>
        </w:rPr>
        <w:noBreakHyphen/>
        <w:t xml:space="preserve">strata plan shall, for the purposes of the </w:t>
      </w:r>
      <w:r>
        <w:rPr>
          <w:i/>
          <w:snapToGrid w:val="0"/>
        </w:rPr>
        <w:t>Transfer of Land Act 1893</w:t>
      </w:r>
      <w:r>
        <w:rPr>
          <w:snapToGrid w:val="0"/>
        </w:rPr>
        <w:t>, be deemed upon registration under this Act to be embodied in the Register; and notwithstanding the provisions of that Act, a proprietor shall hold his lot and share in the common property subject to —</w:t>
      </w:r>
    </w:p>
    <w:p>
      <w:pPr>
        <w:pStyle w:val="Indenta"/>
        <w:rPr>
          <w:snapToGrid w:val="0"/>
        </w:rPr>
      </w:pPr>
      <w:r>
        <w:rPr>
          <w:snapToGrid w:val="0"/>
        </w:rPr>
        <w:tab/>
        <w:t>(a)</w:t>
      </w:r>
      <w:r>
        <w:rPr>
          <w:snapToGrid w:val="0"/>
        </w:rPr>
        <w:tab/>
        <w:t>any interests for the time being notified on the registered strata/survey</w:t>
      </w:r>
      <w:r>
        <w:rPr>
          <w:snapToGrid w:val="0"/>
        </w:rPr>
        <w:noBreakHyphen/>
        <w:t>strata plan; and</w:t>
      </w:r>
    </w:p>
    <w:p>
      <w:pPr>
        <w:pStyle w:val="Indenta"/>
        <w:rPr>
          <w:snapToGrid w:val="0"/>
        </w:rPr>
      </w:pPr>
      <w:r>
        <w:rPr>
          <w:snapToGrid w:val="0"/>
        </w:rPr>
        <w:tab/>
        <w:t>(b)</w:t>
      </w:r>
      <w:r>
        <w:rPr>
          <w:snapToGrid w:val="0"/>
        </w:rPr>
        <w:tab/>
        <w:t>any amendments to lots or common property shown on that plan.</w:t>
      </w:r>
    </w:p>
    <w:p>
      <w:pPr>
        <w:pStyle w:val="Subsection"/>
        <w:rPr>
          <w:snapToGrid w:val="0"/>
        </w:rPr>
      </w:pPr>
      <w:r>
        <w:rPr>
          <w:snapToGrid w:val="0"/>
        </w:rPr>
        <w:tab/>
        <w:t>(4)</w:t>
      </w:r>
      <w:r>
        <w:rPr>
          <w:snapToGrid w:val="0"/>
        </w:rPr>
        <w:tab/>
        <w:t>Where a strata/survey</w:t>
      </w:r>
      <w:r>
        <w:rPr>
          <w:snapToGrid w:val="0"/>
        </w:rPr>
        <w:noBreakHyphen/>
        <w:t>strata plan is registered under this Act, a memorial shall be entered on the certificate of title relating to the parcel and thereupon the Registrar of Titles may create and register a separate certificate of title for each lot together with the share of common property appurtenant to that lot.</w:t>
      </w:r>
    </w:p>
    <w:p>
      <w:pPr>
        <w:pStyle w:val="Subsection"/>
        <w:rPr>
          <w:snapToGrid w:val="0"/>
        </w:rPr>
      </w:pPr>
      <w:r>
        <w:rPr>
          <w:snapToGrid w:val="0"/>
        </w:rPr>
        <w:tab/>
        <w:t>(5)</w:t>
      </w:r>
      <w:r>
        <w:rPr>
          <w:snapToGrid w:val="0"/>
        </w:rPr>
        <w:tab/>
        <w:t>Easements and restrictions as to use implied or created by this Act, other than an easement created by section 5D, shall take effect without any memorial or notification in the Register in relation to the dominant or servient tenements and without any express indication of those tenements.</w:t>
      </w:r>
    </w:p>
    <w:p>
      <w:pPr>
        <w:pStyle w:val="Subsection"/>
        <w:rPr>
          <w:snapToGrid w:val="0"/>
        </w:rPr>
      </w:pPr>
      <w:r>
        <w:rPr>
          <w:snapToGrid w:val="0"/>
        </w:rPr>
        <w:tab/>
        <w:t>(6)</w:t>
      </w:r>
      <w:r>
        <w:rPr>
          <w:snapToGrid w:val="0"/>
        </w:rPr>
        <w:tab/>
        <w:t xml:space="preserve">Subject to this section, any transfer, lease, mortgage or other dealing affecting a lot has the same effect in relation to the lot as a similar dealing affecting a lot on a plan of subdivision lodged pursuant to section 166 of the </w:t>
      </w:r>
      <w:r>
        <w:rPr>
          <w:i/>
          <w:snapToGrid w:val="0"/>
        </w:rPr>
        <w:t>Transfer of Land Act 1893</w:t>
      </w:r>
      <w:r>
        <w:rPr>
          <w:snapToGrid w:val="0"/>
        </w:rPr>
        <w:t xml:space="preserve"> has in relation to such a lot.</w:t>
      </w:r>
    </w:p>
    <w:p>
      <w:pPr>
        <w:pStyle w:val="Footnotesection"/>
        <w:spacing w:before="80"/>
        <w:ind w:left="890" w:hanging="890"/>
      </w:pPr>
      <w:r>
        <w:tab/>
        <w:t>[Section 4 amended: No. 58 of 1995 s. 8 and 95; No. 61 of 1996 s. 8; No. 81 of 1996 s. 153(1).]</w:t>
      </w:r>
    </w:p>
    <w:p>
      <w:pPr>
        <w:pStyle w:val="Heading5"/>
        <w:rPr>
          <w:snapToGrid w:val="0"/>
        </w:rPr>
      </w:pPr>
      <w:bookmarkStart w:id="23" w:name="_Toc530554784"/>
      <w:r>
        <w:rPr>
          <w:rStyle w:val="CharSectno"/>
        </w:rPr>
        <w:t>5</w:t>
      </w:r>
      <w:r>
        <w:rPr>
          <w:snapToGrid w:val="0"/>
        </w:rPr>
        <w:t>.</w:t>
      </w:r>
      <w:r>
        <w:rPr>
          <w:snapToGrid w:val="0"/>
        </w:rPr>
        <w:tab/>
        <w:t>Strata plan: requirements</w:t>
      </w:r>
      <w:bookmarkEnd w:id="23"/>
    </w:p>
    <w:p>
      <w:pPr>
        <w:pStyle w:val="Subsection"/>
        <w:rPr>
          <w:snapToGrid w:val="0"/>
        </w:rPr>
      </w:pPr>
      <w:r>
        <w:rPr>
          <w:snapToGrid w:val="0"/>
        </w:rPr>
        <w:tab/>
        <w:t>(1)</w:t>
      </w:r>
      <w:r>
        <w:rPr>
          <w:snapToGrid w:val="0"/>
        </w:rPr>
        <w:tab/>
        <w:t>A strata plan shall —</w:t>
      </w:r>
    </w:p>
    <w:p>
      <w:pPr>
        <w:pStyle w:val="Indenta"/>
        <w:rPr>
          <w:snapToGrid w:val="0"/>
        </w:rPr>
      </w:pPr>
      <w:r>
        <w:rPr>
          <w:snapToGrid w:val="0"/>
        </w:rPr>
        <w:tab/>
        <w:t>(a)</w:t>
      </w:r>
      <w:r>
        <w:rPr>
          <w:snapToGrid w:val="0"/>
        </w:rPr>
        <w:tab/>
        <w:t>consist of a location plan and a floor plan in respect of the parcel; and</w:t>
      </w:r>
    </w:p>
    <w:p>
      <w:pPr>
        <w:pStyle w:val="Indenta"/>
        <w:rPr>
          <w:snapToGrid w:val="0"/>
        </w:rPr>
      </w:pPr>
      <w:r>
        <w:rPr>
          <w:snapToGrid w:val="0"/>
        </w:rPr>
        <w:tab/>
        <w:t>(aa)</w:t>
      </w:r>
      <w:r>
        <w:rPr>
          <w:snapToGrid w:val="0"/>
        </w:rPr>
        <w:tab/>
        <w:t>where section 3(2)(a) or 3AB applies, contain a statement in the prescribed form describing all of the boundaries of a lot, or part of a lot, on the plan that are fixed by reference to a building or part of a building; and</w:t>
      </w:r>
    </w:p>
    <w:p>
      <w:pPr>
        <w:pStyle w:val="Indenta"/>
        <w:keepNext/>
        <w:spacing w:before="70"/>
        <w:rPr>
          <w:snapToGrid w:val="0"/>
        </w:rPr>
      </w:pPr>
      <w:r>
        <w:rPr>
          <w:snapToGrid w:val="0"/>
        </w:rPr>
        <w:tab/>
        <w:t>(b)</w:t>
      </w:r>
      <w:r>
        <w:rPr>
          <w:snapToGrid w:val="0"/>
        </w:rPr>
        <w:tab/>
        <w:t>bear a statement containing such particulars as may be necessary to identify the title to the parcel; and</w:t>
      </w:r>
    </w:p>
    <w:p>
      <w:pPr>
        <w:pStyle w:val="Indenta"/>
        <w:spacing w:before="70"/>
        <w:rPr>
          <w:snapToGrid w:val="0"/>
        </w:rPr>
      </w:pPr>
      <w:r>
        <w:rPr>
          <w:snapToGrid w:val="0"/>
        </w:rPr>
        <w:tab/>
        <w:t>(c)</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(d)</w:t>
      </w:r>
      <w:r>
        <w:rPr>
          <w:snapToGrid w:val="0"/>
        </w:rPr>
        <w:tab/>
        <w:t>have endorsed on it the name of the scheme; and</w:t>
      </w:r>
    </w:p>
    <w:p>
      <w:pPr>
        <w:pStyle w:val="Indenta"/>
        <w:spacing w:before="70"/>
        <w:rPr>
          <w:snapToGrid w:val="0"/>
        </w:rPr>
      </w:pPr>
      <w:r>
        <w:rPr>
          <w:snapToGrid w:val="0"/>
        </w:rPr>
        <w:tab/>
        <w:t>(e)</w:t>
      </w:r>
      <w:r>
        <w:rPr>
          <w:snapToGrid w:val="0"/>
        </w:rPr>
        <w:tab/>
        <w:t>have endorsed on it the address of the parcel; and</w:t>
      </w:r>
    </w:p>
    <w:p>
      <w:pPr>
        <w:pStyle w:val="Indenta"/>
        <w:spacing w:before="70"/>
        <w:rPr>
          <w:snapToGrid w:val="0"/>
        </w:rPr>
      </w:pPr>
      <w:r>
        <w:rPr>
          <w:snapToGrid w:val="0"/>
        </w:rPr>
        <w:tab/>
        <w:t>(f)</w:t>
      </w:r>
      <w:r>
        <w:rPr>
          <w:snapToGrid w:val="0"/>
        </w:rPr>
        <w:tab/>
        <w:t>contain such other features as may be prescribed.</w:t>
      </w:r>
    </w:p>
    <w:p>
      <w:pPr>
        <w:pStyle w:val="Ednotesubsection"/>
      </w:pPr>
      <w:r>
        <w:tab/>
        <w:t>[(2)</w:t>
      </w:r>
      <w:r>
        <w:tab/>
        <w:t>deleted]</w:t>
      </w:r>
    </w:p>
    <w:p>
      <w:pPr>
        <w:pStyle w:val="Footnotesection"/>
        <w:spacing w:before="100"/>
      </w:pPr>
      <w:r>
        <w:tab/>
        <w:t>[Section 5 amended: No. 84 of 1994 s. 46; No. 58 of 1995 s. 9; No. 61 of 1996 s. 9.]</w:t>
      </w:r>
    </w:p>
    <w:p>
      <w:pPr>
        <w:pStyle w:val="Heading5"/>
        <w:rPr>
          <w:snapToGrid w:val="0"/>
        </w:rPr>
      </w:pPr>
      <w:bookmarkStart w:id="24" w:name="_Toc530554785"/>
      <w:r>
        <w:rPr>
          <w:rStyle w:val="CharSectno"/>
        </w:rPr>
        <w:t>5A</w:t>
      </w:r>
      <w:r>
        <w:rPr>
          <w:snapToGrid w:val="0"/>
        </w:rPr>
        <w:t>.</w:t>
      </w:r>
      <w:r>
        <w:rPr>
          <w:snapToGrid w:val="0"/>
        </w:rPr>
        <w:tab/>
        <w:t>Survey</w:t>
      </w:r>
      <w:r>
        <w:rPr>
          <w:snapToGrid w:val="0"/>
        </w:rPr>
        <w:noBreakHyphen/>
        <w:t>strata plan: requirements</w:t>
      </w:r>
      <w:bookmarkEnd w:id="24"/>
    </w:p>
    <w:p>
      <w:pPr>
        <w:pStyle w:val="Subsection"/>
        <w:keepNext/>
        <w:rPr>
          <w:snapToGrid w:val="0"/>
        </w:rPr>
      </w:pPr>
      <w:r>
        <w:rPr>
          <w:snapToGrid w:val="0"/>
        </w:rPr>
        <w:tab/>
      </w:r>
      <w:r>
        <w:rPr>
          <w:snapToGrid w:val="0"/>
        </w:rPr>
        <w:tab/>
        <w:t>A survey</w:t>
      </w:r>
      <w:r>
        <w:rPr>
          <w:snapToGrid w:val="0"/>
        </w:rPr>
        <w:noBreakHyphen/>
        <w:t>strata plan shall —</w:t>
      </w:r>
    </w:p>
    <w:p>
      <w:pPr>
        <w:pStyle w:val="Indenta"/>
        <w:spacing w:before="70"/>
        <w:rPr>
          <w:snapToGrid w:val="0"/>
          <w:spacing w:val="-4"/>
        </w:rPr>
      </w:pPr>
      <w:r>
        <w:rPr>
          <w:snapToGrid w:val="0"/>
          <w:spacing w:val="-4"/>
        </w:rPr>
        <w:tab/>
        <w:t>(a)</w:t>
      </w:r>
      <w:r>
        <w:rPr>
          <w:snapToGrid w:val="0"/>
          <w:spacing w:val="-4"/>
        </w:rPr>
        <w:tab/>
        <w:t>contain a survey plan in respect of the parcel, that is a plan that defines, in the prescribed manner, the boundaries of lots and common property by dimensions and survey information obtained from a survey of the parcel; and</w:t>
      </w:r>
    </w:p>
    <w:p>
      <w:pPr>
        <w:pStyle w:val="Indenta"/>
        <w:spacing w:before="70"/>
        <w:rPr>
          <w:snapToGrid w:val="0"/>
        </w:rPr>
      </w:pPr>
      <w:r>
        <w:rPr>
          <w:snapToGrid w:val="0"/>
        </w:rPr>
        <w:tab/>
        <w:t>(b)</w:t>
      </w:r>
      <w:r>
        <w:rPr>
          <w:snapToGrid w:val="0"/>
        </w:rPr>
        <w:tab/>
        <w:t>bear a statement containing such particulars as may be necessary to identify the title to such parcel; and</w:t>
      </w:r>
    </w:p>
    <w:p>
      <w:pPr>
        <w:pStyle w:val="Indenta"/>
        <w:spacing w:before="70"/>
        <w:rPr>
          <w:snapToGrid w:val="0"/>
        </w:rPr>
      </w:pPr>
      <w:r>
        <w:rPr>
          <w:snapToGrid w:val="0"/>
        </w:rPr>
        <w:tab/>
        <w:t>(c)</w:t>
      </w:r>
      <w:r>
        <w:rPr>
          <w:snapToGrid w:val="0"/>
        </w:rPr>
        <w:tab/>
        <w:t>show the area of each lot and of any common property; and</w:t>
      </w:r>
    </w:p>
    <w:p>
      <w:pPr>
        <w:pStyle w:val="Indenta"/>
        <w:spacing w:before="70"/>
        <w:rPr>
          <w:snapToGrid w:val="0"/>
        </w:rPr>
      </w:pPr>
      <w:r>
        <w:rPr>
          <w:snapToGrid w:val="0"/>
        </w:rPr>
        <w:tab/>
        <w:t>(d)</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(e)</w:t>
      </w:r>
      <w:r>
        <w:rPr>
          <w:snapToGrid w:val="0"/>
        </w:rPr>
        <w:tab/>
        <w:t>have endorsed on it the name of the scheme; and</w:t>
      </w:r>
    </w:p>
    <w:p>
      <w:pPr>
        <w:pStyle w:val="Indenta"/>
        <w:spacing w:before="70"/>
        <w:rPr>
          <w:snapToGrid w:val="0"/>
        </w:rPr>
      </w:pPr>
      <w:r>
        <w:rPr>
          <w:snapToGrid w:val="0"/>
        </w:rPr>
        <w:tab/>
        <w:t>(f)</w:t>
      </w:r>
      <w:r>
        <w:rPr>
          <w:snapToGrid w:val="0"/>
        </w:rPr>
        <w:tab/>
        <w:t>have endorsed on it the address of the parcel; and</w:t>
      </w:r>
    </w:p>
    <w:p>
      <w:pPr>
        <w:pStyle w:val="Indenta"/>
        <w:spacing w:before="70"/>
        <w:rPr>
          <w:snapToGrid w:val="0"/>
        </w:rPr>
      </w:pPr>
      <w:r>
        <w:rPr>
          <w:snapToGrid w:val="0"/>
        </w:rPr>
        <w:tab/>
        <w:t>(g)</w:t>
      </w:r>
      <w:r>
        <w:rPr>
          <w:snapToGrid w:val="0"/>
        </w:rPr>
        <w:tab/>
        <w:t>contain such other features as may be prescribed.</w:t>
      </w:r>
    </w:p>
    <w:p>
      <w:pPr>
        <w:pStyle w:val="Footnotesection"/>
        <w:keepLines w:val="0"/>
        <w:spacing w:before="100"/>
      </w:pPr>
      <w:r>
        <w:tab/>
        <w:t>[Section 5A inserted: No. 58 of 1995 s. 10.]</w:t>
      </w:r>
    </w:p>
    <w:p>
      <w:pPr>
        <w:pStyle w:val="Heading5"/>
        <w:rPr>
          <w:snapToGrid w:val="0"/>
        </w:rPr>
      </w:pPr>
      <w:bookmarkStart w:id="25" w:name="_Toc530554786"/>
      <w:r>
        <w:rPr>
          <w:rStyle w:val="CharSectno"/>
        </w:rPr>
        <w:t>5B</w:t>
      </w:r>
      <w:r>
        <w:rPr>
          <w:snapToGrid w:val="0"/>
        </w:rPr>
        <w:t>.</w:t>
      </w:r>
      <w:r>
        <w:rPr>
          <w:snapToGrid w:val="0"/>
        </w:rPr>
        <w:tab/>
        <w:t>Further provisions as to registration of plans</w:t>
      </w:r>
      <w:bookmarkEnd w:id="25"/>
    </w:p>
    <w:p>
      <w:pPr>
        <w:pStyle w:val="Subsection"/>
        <w:keepNext/>
        <w:rPr>
          <w:snapToGrid w:val="0"/>
        </w:rPr>
      </w:pPr>
      <w:r>
        <w:rPr>
          <w:snapToGrid w:val="0"/>
        </w:rPr>
        <w:tab/>
        <w:t>(1)</w:t>
      </w:r>
      <w:r>
        <w:rPr>
          <w:snapToGrid w:val="0"/>
        </w:rPr>
        <w:tab/>
        <w:t>A strata/survey</w:t>
      </w:r>
      <w:r>
        <w:rPr>
          <w:snapToGrid w:val="0"/>
        </w:rPr>
        <w:noBreakHyphen/>
        <w:t>strata plan lodged for registration shall be accompanied by certificates given by —</w:t>
      </w:r>
    </w:p>
    <w:p>
      <w:pPr>
        <w:pStyle w:val="Indenta"/>
        <w:rPr>
          <w:snapToGrid w:val="0"/>
        </w:rPr>
      </w:pPr>
      <w:r>
        <w:rPr>
          <w:snapToGrid w:val="0"/>
        </w:rPr>
        <w:tab/>
        <w:t>(a)</w:t>
      </w:r>
      <w:r>
        <w:rPr>
          <w:snapToGrid w:val="0"/>
        </w:rPr>
        <w:tab/>
        <w:t>a licensed surveyor in accordance with section 22; and</w:t>
      </w:r>
    </w:p>
    <w:p>
      <w:pPr>
        <w:pStyle w:val="Indenta"/>
        <w:rPr>
          <w:snapToGrid w:val="0"/>
        </w:rPr>
      </w:pPr>
      <w:r>
        <w:rPr>
          <w:snapToGrid w:val="0"/>
        </w:rPr>
        <w:tab/>
        <w:t>(b)</w:t>
      </w:r>
      <w:r>
        <w:rPr>
          <w:snapToGrid w:val="0"/>
        </w:rPr>
        <w:tab/>
        <w:t>a licensed valuer in accordance with section 14(2); and</w:t>
      </w:r>
    </w:p>
    <w:p>
      <w:pPr>
        <w:pStyle w:val="Indenta"/>
        <w:keepNext/>
        <w:rPr>
          <w:snapToGrid w:val="0"/>
        </w:rPr>
      </w:pPr>
      <w:r>
        <w:rPr>
          <w:snapToGrid w:val="0"/>
        </w:rPr>
        <w:tab/>
        <w:t>(c)</w:t>
      </w:r>
      <w:r>
        <w:rPr>
          <w:snapToGrid w:val="0"/>
        </w:rPr>
        <w:tab/>
        <w:t>the Commission —</w:t>
      </w:r>
    </w:p>
    <w:p>
      <w:pPr>
        <w:pStyle w:val="Indenti"/>
        <w:rPr>
          <w:snapToGrid w:val="0"/>
        </w:rPr>
      </w:pPr>
      <w:r>
        <w:rPr>
          <w:snapToGrid w:val="0"/>
        </w:rPr>
        <w:tab/>
        <w:t>(i)</w:t>
      </w:r>
      <w:r>
        <w:rPr>
          <w:snapToGrid w:val="0"/>
        </w:rPr>
        <w:tab/>
        <w:t>where required under section 25(1), in the case of a strata plan; or</w:t>
      </w:r>
    </w:p>
    <w:p>
      <w:pPr>
        <w:pStyle w:val="Indenti"/>
        <w:rPr>
          <w:snapToGrid w:val="0"/>
        </w:rPr>
      </w:pPr>
      <w:r>
        <w:rPr>
          <w:snapToGrid w:val="0"/>
        </w:rPr>
        <w:tab/>
        <w:t>(ii)</w:t>
      </w:r>
      <w:r>
        <w:rPr>
          <w:snapToGrid w:val="0"/>
        </w:rPr>
        <w:tab/>
        <w:t>in the case of a survey</w:t>
      </w:r>
      <w:r>
        <w:rPr>
          <w:snapToGrid w:val="0"/>
        </w:rPr>
        <w:noBreakHyphen/>
        <w:t>strata plan, under section 25B(2).</w:t>
      </w:r>
    </w:p>
    <w:p>
      <w:pPr>
        <w:pStyle w:val="Subsection"/>
      </w:pPr>
      <w:r>
        <w:rPr>
          <w:snapToGrid w:val="0"/>
        </w:rPr>
        <w:tab/>
        <w:t>(2)</w:t>
      </w:r>
      <w:r>
        <w:rPr>
          <w:snapToGrid w:val="0"/>
        </w:rPr>
        <w:tab/>
        <w:t xml:space="preserve">A strata plan lodged for registration shall be accompanied </w:t>
      </w:r>
      <w:r>
        <w:t xml:space="preserve">by — </w:t>
      </w:r>
    </w:p>
    <w:p>
      <w:pPr>
        <w:pStyle w:val="Indenta"/>
        <w:rPr>
          <w:snapToGrid w:val="0"/>
        </w:rPr>
      </w:pPr>
      <w:r>
        <w:tab/>
        <w:t>(a)</w:t>
      </w:r>
      <w:r>
        <w:tab/>
      </w:r>
      <w:r>
        <w:rPr>
          <w:snapToGrid w:val="0"/>
        </w:rPr>
        <w:t xml:space="preserve">an occupancy permit granted under an application mentioned in the </w:t>
      </w:r>
      <w:r>
        <w:rPr>
          <w:i/>
          <w:iCs/>
          <w:snapToGrid w:val="0"/>
        </w:rPr>
        <w:t xml:space="preserve">Building Act 2011 </w:t>
      </w:r>
      <w:r>
        <w:rPr>
          <w:snapToGrid w:val="0"/>
        </w:rPr>
        <w:t>section 50(1)(a); or</w:t>
      </w:r>
    </w:p>
    <w:p>
      <w:pPr>
        <w:pStyle w:val="Indenta"/>
      </w:pPr>
      <w:r>
        <w:tab/>
        <w:t>(b)</w:t>
      </w:r>
      <w:r>
        <w:tab/>
        <w:t xml:space="preserve">a building approval certificate granted under an application mentioned in the </w:t>
      </w:r>
      <w:r>
        <w:rPr>
          <w:i/>
          <w:iCs/>
        </w:rPr>
        <w:t xml:space="preserve">Building Act 2011 </w:t>
      </w:r>
      <w:r>
        <w:t>section 50(1)(b).</w:t>
      </w:r>
    </w:p>
    <w:p>
      <w:pPr>
        <w:pStyle w:val="Subsection"/>
        <w:rPr>
          <w:snapToGrid w:val="0"/>
        </w:rPr>
      </w:pPr>
      <w:r>
        <w:rPr>
          <w:snapToGrid w:val="0"/>
        </w:rPr>
        <w:tab/>
        <w:t>(3)</w:t>
      </w:r>
      <w:r>
        <w:rPr>
          <w:snapToGrid w:val="0"/>
        </w:rPr>
        <w:tab/>
        <w:t>A strata/survey</w:t>
      </w:r>
      <w:r>
        <w:rPr>
          <w:snapToGrid w:val="0"/>
        </w:rPr>
        <w:noBreakHyphen/>
        <w:t>strata plan shall not be registered if, in the opinion of the Registrar of Titles, the name of the scheme endorsed on the plan is undesirable.</w:t>
      </w:r>
    </w:p>
    <w:p>
      <w:pPr>
        <w:pStyle w:val="Subsection"/>
        <w:rPr>
          <w:snapToGrid w:val="0"/>
        </w:rPr>
      </w:pPr>
      <w:r>
        <w:rPr>
          <w:snapToGrid w:val="0"/>
        </w:rPr>
        <w:tab/>
        <w:t>(4)</w:t>
      </w:r>
      <w:r>
        <w:rPr>
          <w:snapToGrid w:val="0"/>
        </w:rPr>
        <w:tab/>
        <w:t>When a strata/survey</w:t>
      </w:r>
      <w:r>
        <w:rPr>
          <w:snapToGrid w:val="0"/>
        </w:rPr>
        <w:noBreakHyphen/>
        <w:t>strata plan is lodged for registration the Registrar of Titles shall allocate a number to the plan, and, if it complies with this Act and the regulations, shall register it in the prescribed manner.</w:t>
      </w:r>
    </w:p>
    <w:p>
      <w:pPr>
        <w:pStyle w:val="Footnotesection"/>
      </w:pPr>
      <w:r>
        <w:tab/>
        <w:t>[Section 5B inserted: No. 58 of 1995 s. 10; amended: No. 57 of 1997 s. 115(1); No. 24 of 2011 s. 174(2).]</w:t>
      </w:r>
    </w:p>
    <w:p>
      <w:pPr>
        <w:pStyle w:val="Heading5"/>
        <w:keepLines w:val="0"/>
        <w:rPr>
          <w:snapToGrid w:val="0"/>
        </w:rPr>
      </w:pPr>
      <w:bookmarkStart w:id="26" w:name="_Toc530554787"/>
      <w:r>
        <w:rPr>
          <w:rStyle w:val="CharSectno"/>
        </w:rPr>
        <w:t>5C</w:t>
      </w:r>
      <w:r>
        <w:rPr>
          <w:snapToGrid w:val="0"/>
        </w:rPr>
        <w:t>.</w:t>
      </w:r>
      <w:r>
        <w:rPr>
          <w:snapToGrid w:val="0"/>
        </w:rPr>
        <w:tab/>
        <w:t>Management statement setting out by</w:t>
      </w:r>
      <w:r>
        <w:rPr>
          <w:snapToGrid w:val="0"/>
        </w:rPr>
        <w:noBreakHyphen/>
        <w:t>laws may be registered</w:t>
      </w:r>
      <w:bookmarkEnd w:id="26"/>
    </w:p>
    <w:p>
      <w:pPr>
        <w:pStyle w:val="Subsection"/>
        <w:keepNext/>
        <w:rPr>
          <w:snapToGrid w:val="0"/>
        </w:rPr>
      </w:pPr>
      <w:r>
        <w:rPr>
          <w:snapToGrid w:val="0"/>
        </w:rPr>
        <w:tab/>
        <w:t>(1)</w:t>
      </w:r>
      <w:r>
        <w:rPr>
          <w:snapToGrid w:val="0"/>
        </w:rPr>
        <w:tab/>
        <w:t>When a strata/survey</w:t>
      </w:r>
      <w:r>
        <w:rPr>
          <w:snapToGrid w:val="0"/>
        </w:rPr>
        <w:noBreakHyphen/>
        <w:t>strata plan is lodged for registration a management statement —</w:t>
      </w:r>
    </w:p>
    <w:p>
      <w:pPr>
        <w:pStyle w:val="Indenta"/>
        <w:rPr>
          <w:snapToGrid w:val="0"/>
        </w:rPr>
      </w:pPr>
      <w:r>
        <w:rPr>
          <w:snapToGrid w:val="0"/>
        </w:rPr>
        <w:tab/>
        <w:t>(a)</w:t>
      </w:r>
      <w:r>
        <w:rPr>
          <w:snapToGrid w:val="0"/>
        </w:rPr>
        <w:tab/>
        <w:t>that is in the prescribed form; and</w:t>
      </w:r>
    </w:p>
    <w:p>
      <w:pPr>
        <w:pStyle w:val="Indenta"/>
        <w:rPr>
          <w:snapToGrid w:val="0"/>
        </w:rPr>
      </w:pPr>
      <w:r>
        <w:rPr>
          <w:snapToGrid w:val="0"/>
        </w:rPr>
        <w:tab/>
        <w:t>(b)</w:t>
      </w:r>
      <w:r>
        <w:rPr>
          <w:snapToGrid w:val="0"/>
        </w:rPr>
        <w:tab/>
        <w:t>that complies with subsection (3),</w:t>
      </w:r>
    </w:p>
    <w:p>
      <w:pPr>
        <w:pStyle w:val="Subsection"/>
        <w:rPr>
          <w:snapToGrid w:val="0"/>
        </w:rPr>
      </w:pPr>
      <w:r>
        <w:rPr>
          <w:snapToGrid w:val="0"/>
        </w:rPr>
        <w:tab/>
      </w:r>
      <w:r>
        <w:rPr>
          <w:snapToGrid w:val="0"/>
        </w:rPr>
        <w:tab/>
        <w:t>may be lodged for registration with it.</w:t>
      </w:r>
    </w:p>
    <w:p>
      <w:pPr>
        <w:pStyle w:val="Subsection"/>
        <w:keepNext/>
        <w:rPr>
          <w:snapToGrid w:val="0"/>
        </w:rPr>
      </w:pPr>
      <w:r>
        <w:rPr>
          <w:snapToGrid w:val="0"/>
        </w:rPr>
        <w:tab/>
        <w:t>(2)</w:t>
      </w:r>
      <w:r>
        <w:rPr>
          <w:snapToGrid w:val="0"/>
        </w:rPr>
        <w:tab/>
        <w:t>A management statement is a document setting out —</w:t>
      </w:r>
    </w:p>
    <w:p>
      <w:pPr>
        <w:pStyle w:val="Indenta"/>
        <w:rPr>
          <w:snapToGrid w:val="0"/>
        </w:rPr>
      </w:pPr>
      <w:r>
        <w:rPr>
          <w:snapToGrid w:val="0"/>
        </w:rPr>
        <w:tab/>
        <w:t>(a)</w:t>
      </w:r>
      <w:r>
        <w:rPr>
          <w:snapToGrid w:val="0"/>
        </w:rPr>
        <w:tab/>
        <w:t>by</w:t>
      </w:r>
      <w:r>
        <w:rPr>
          <w:snapToGrid w:val="0"/>
        </w:rPr>
        <w:noBreakHyphen/>
        <w:t>laws of the strata company that are to have effect under sections 42, 42A and 42B; and</w:t>
      </w:r>
    </w:p>
    <w:p>
      <w:pPr>
        <w:pStyle w:val="Indenta"/>
        <w:rPr>
          <w:snapToGrid w:val="0"/>
        </w:rPr>
      </w:pPr>
      <w:r>
        <w:rPr>
          <w:snapToGrid w:val="0"/>
        </w:rPr>
        <w:tab/>
        <w:t>(b)</w:t>
      </w:r>
      <w:r>
        <w:rPr>
          <w:snapToGrid w:val="0"/>
        </w:rPr>
        <w:tab/>
        <w:t>amendments and repeals referred to in section 42(2),</w:t>
      </w:r>
    </w:p>
    <w:p>
      <w:pPr>
        <w:pStyle w:val="Subsection"/>
        <w:rPr>
          <w:snapToGrid w:val="0"/>
        </w:rPr>
      </w:pPr>
      <w:r>
        <w:rPr>
          <w:snapToGrid w:val="0"/>
        </w:rPr>
        <w:tab/>
      </w:r>
      <w:r>
        <w:rPr>
          <w:snapToGrid w:val="0"/>
        </w:rPr>
        <w:tab/>
        <w:t>and may include by</w:t>
      </w:r>
      <w:r>
        <w:rPr>
          <w:snapToGrid w:val="0"/>
        </w:rPr>
        <w:noBreakHyphen/>
        <w:t>laws in relation to any matter specified in Schedule 2A.</w:t>
      </w:r>
    </w:p>
    <w:p>
      <w:pPr>
        <w:pStyle w:val="Subsection"/>
        <w:keepNext/>
        <w:rPr>
          <w:snapToGrid w:val="0"/>
        </w:rPr>
      </w:pPr>
      <w:r>
        <w:rPr>
          <w:snapToGrid w:val="0"/>
        </w:rPr>
        <w:tab/>
        <w:t>(3)</w:t>
      </w:r>
      <w:r>
        <w:rPr>
          <w:snapToGrid w:val="0"/>
        </w:rPr>
        <w:tab/>
        <w:t>A management statement shall be signed by —</w:t>
      </w:r>
    </w:p>
    <w:p>
      <w:pPr>
        <w:pStyle w:val="Indenta"/>
        <w:rPr>
          <w:snapToGrid w:val="0"/>
        </w:rPr>
      </w:pPr>
      <w:r>
        <w:rPr>
          <w:snapToGrid w:val="0"/>
        </w:rPr>
        <w:tab/>
        <w:t>(a)</w:t>
      </w:r>
      <w:r>
        <w:rPr>
          <w:snapToGrid w:val="0"/>
        </w:rPr>
        <w:tab/>
        <w:t>the person who is registered as proprietor of the fee simple of the parcel; and</w:t>
      </w:r>
    </w:p>
    <w:p>
      <w:pPr>
        <w:pStyle w:val="Indenta"/>
        <w:rPr>
          <w:snapToGrid w:val="0"/>
        </w:rPr>
      </w:pPr>
      <w:r>
        <w:rPr>
          <w:snapToGrid w:val="0"/>
        </w:rPr>
        <w:tab/>
        <w:t>(b)</w:t>
      </w:r>
      <w:r>
        <w:rPr>
          <w:snapToGrid w:val="0"/>
        </w:rPr>
        <w:tab/>
        <w:t>each person who has a registered interest in, or is a caveator in respect of, the parcel.</w:t>
      </w:r>
    </w:p>
    <w:p>
      <w:pPr>
        <w:pStyle w:val="Ednotesubsection"/>
      </w:pPr>
      <w:r>
        <w:tab/>
        <w:t>[(4)</w:t>
      </w:r>
      <w:r>
        <w:tab/>
        <w:t>deleted]</w:t>
      </w:r>
    </w:p>
    <w:p>
      <w:pPr>
        <w:pStyle w:val="Subsection"/>
        <w:rPr>
          <w:snapToGrid w:val="0"/>
        </w:rPr>
      </w:pPr>
      <w:r>
        <w:rPr>
          <w:snapToGrid w:val="0"/>
        </w:rPr>
        <w:tab/>
        <w:t>(5)</w:t>
      </w:r>
      <w:r>
        <w:rPr>
          <w:snapToGrid w:val="0"/>
        </w:rPr>
        <w:tab/>
        <w:t>Upon registration of a management statement, the by</w:t>
      </w:r>
      <w:r>
        <w:rPr>
          <w:snapToGrid w:val="0"/>
        </w:rPr>
        <w:noBreakHyphen/>
        <w:t>laws set out in the statement, and any amendments and repeals, have effect for the purposes of section 42.</w:t>
      </w:r>
    </w:p>
    <w:p>
      <w:pPr>
        <w:pStyle w:val="Subsection"/>
        <w:rPr>
          <w:snapToGrid w:val="0"/>
        </w:rPr>
      </w:pPr>
      <w:r>
        <w:rPr>
          <w:snapToGrid w:val="0"/>
        </w:rPr>
        <w:tab/>
        <w:t>(6)</w:t>
      </w:r>
      <w:r>
        <w:rPr>
          <w:snapToGrid w:val="0"/>
        </w:rPr>
        <w:tab/>
        <w:t>By</w:t>
      </w:r>
      <w:r>
        <w:rPr>
          <w:snapToGrid w:val="0"/>
        </w:rPr>
        <w:noBreakHyphen/>
        <w:t>laws set out in a management statement may be amended in accordance with section 42 or as otherwise provided by this Act.</w:t>
      </w:r>
    </w:p>
    <w:p>
      <w:pPr>
        <w:pStyle w:val="Footnotesection"/>
      </w:pPr>
      <w:r>
        <w:tab/>
        <w:t>[Section 5C inserted: No. 58 of 1995 s. 10; amended: No. 61 of 1996 s. 10.]</w:t>
      </w:r>
    </w:p>
    <w:p>
      <w:pPr>
        <w:pStyle w:val="Heading5"/>
        <w:rPr>
          <w:snapToGrid w:val="0"/>
        </w:rPr>
      </w:pPr>
      <w:bookmarkStart w:id="27" w:name="_Toc530554788"/>
      <w:r>
        <w:rPr>
          <w:rStyle w:val="CharSectno"/>
        </w:rPr>
        <w:t>5D</w:t>
      </w:r>
      <w:r>
        <w:rPr>
          <w:snapToGrid w:val="0"/>
        </w:rPr>
        <w:t>.</w:t>
      </w:r>
      <w:r>
        <w:rPr>
          <w:snapToGrid w:val="0"/>
        </w:rPr>
        <w:tab/>
        <w:t>Creation of easements by notation on survey</w:t>
      </w:r>
      <w:r>
        <w:rPr>
          <w:snapToGrid w:val="0"/>
        </w:rPr>
        <w:noBreakHyphen/>
        <w:t>strata plans</w:t>
      </w:r>
      <w:bookmarkEnd w:id="27"/>
    </w:p>
    <w:p>
      <w:pPr>
        <w:pStyle w:val="Subsection"/>
        <w:rPr>
          <w:snapToGrid w:val="0"/>
        </w:rPr>
      </w:pPr>
      <w:r>
        <w:rPr>
          <w:snapToGrid w:val="0"/>
        </w:rPr>
        <w:tab/>
        <w:t>(1)</w:t>
      </w:r>
      <w:r>
        <w:rPr>
          <w:snapToGrid w:val="0"/>
        </w:rPr>
        <w:tab/>
        <w:t>A survey</w:t>
      </w:r>
      <w:r>
        <w:rPr>
          <w:snapToGrid w:val="0"/>
        </w:rPr>
        <w:noBreakHyphen/>
        <w:t>strata plan lodged for registration may, in accordance with this section, provide for easements that will have effect on registration of the plan.</w:t>
      </w:r>
    </w:p>
    <w:p>
      <w:pPr>
        <w:pStyle w:val="Subsection"/>
        <w:keepNext/>
        <w:rPr>
          <w:snapToGrid w:val="0"/>
        </w:rPr>
      </w:pPr>
      <w:r>
        <w:rPr>
          <w:snapToGrid w:val="0"/>
        </w:rPr>
        <w:tab/>
        <w:t>(2)</w:t>
      </w:r>
      <w:r>
        <w:rPr>
          <w:snapToGrid w:val="0"/>
        </w:rPr>
        <w:tab/>
        <w:t>An easement that may be provided for under this section on a survey</w:t>
      </w:r>
      <w:r>
        <w:rPr>
          <w:snapToGrid w:val="0"/>
        </w:rPr>
        <w:noBreakHyphen/>
        <w:t>strata plan is an easement —</w:t>
      </w:r>
    </w:p>
    <w:p>
      <w:pPr>
        <w:pStyle w:val="Indenta"/>
        <w:rPr>
          <w:snapToGrid w:val="0"/>
        </w:rPr>
      </w:pPr>
      <w:r>
        <w:rPr>
          <w:snapToGrid w:val="0"/>
        </w:rPr>
        <w:tab/>
        <w:t>(a)</w:t>
      </w:r>
      <w:r>
        <w:rPr>
          <w:snapToGrid w:val="0"/>
        </w:rPr>
        <w:tab/>
        <w:t>of a kind prescribed by the regulations made for the purposes of section 5H; and</w:t>
      </w:r>
    </w:p>
    <w:p>
      <w:pPr>
        <w:pStyle w:val="Indenta"/>
        <w:rPr>
          <w:snapToGrid w:val="0"/>
        </w:rPr>
      </w:pPr>
      <w:r>
        <w:rPr>
          <w:snapToGrid w:val="0"/>
        </w:rPr>
        <w:tab/>
        <w:t>(b)</w:t>
      </w:r>
      <w:r>
        <w:rPr>
          <w:snapToGrid w:val="0"/>
        </w:rPr>
        <w:tab/>
        <w:t>having effect in favour of a lot (</w:t>
      </w:r>
      <w:r>
        <w:t xml:space="preserve">the </w:t>
      </w:r>
      <w:r>
        <w:rPr>
          <w:rStyle w:val="CharDefText"/>
        </w:rPr>
        <w:t>dominant lot</w:t>
      </w:r>
      <w:r>
        <w:rPr>
          <w:snapToGrid w:val="0"/>
        </w:rPr>
        <w:t>), and against another lot (</w:t>
      </w:r>
      <w:r>
        <w:t xml:space="preserve">the </w:t>
      </w:r>
      <w:r>
        <w:rPr>
          <w:rStyle w:val="CharDefText"/>
        </w:rPr>
        <w:t>servient lot</w:t>
      </w:r>
      <w:r>
        <w:rPr>
          <w:snapToGrid w:val="0"/>
        </w:rPr>
        <w:t>), in the scheme to which the plan relates.</w:t>
      </w:r>
    </w:p>
    <w:p>
      <w:pPr>
        <w:pStyle w:val="Subsection"/>
        <w:keepNext/>
        <w:rPr>
          <w:snapToGrid w:val="0"/>
        </w:rPr>
      </w:pPr>
      <w:r>
        <w:rPr>
          <w:snapToGrid w:val="0"/>
        </w:rPr>
        <w:tab/>
        <w:t>(3)</w:t>
      </w:r>
      <w:r>
        <w:rPr>
          <w:snapToGrid w:val="0"/>
        </w:rPr>
        <w:tab/>
        <w:t>An easement under this section is created on the registration of the plan if there are noted on the plan —</w:t>
      </w:r>
    </w:p>
    <w:p>
      <w:pPr>
        <w:pStyle w:val="Indenta"/>
        <w:rPr>
          <w:snapToGrid w:val="0"/>
        </w:rPr>
      </w:pPr>
      <w:r>
        <w:rPr>
          <w:snapToGrid w:val="0"/>
        </w:rPr>
        <w:tab/>
        <w:t>(a)</w:t>
      </w:r>
      <w:r>
        <w:rPr>
          <w:snapToGrid w:val="0"/>
        </w:rPr>
        <w:tab/>
        <w:t>the location of the easement; and</w:t>
      </w:r>
    </w:p>
    <w:p>
      <w:pPr>
        <w:pStyle w:val="Indenta"/>
        <w:rPr>
          <w:snapToGrid w:val="0"/>
        </w:rPr>
      </w:pPr>
      <w:r>
        <w:rPr>
          <w:snapToGrid w:val="0"/>
        </w:rPr>
        <w:tab/>
        <w:t>(b)</w:t>
      </w:r>
      <w:r>
        <w:rPr>
          <w:snapToGrid w:val="0"/>
        </w:rPr>
        <w:tab/>
        <w:t>the dominant and servient lots; and</w:t>
      </w:r>
    </w:p>
    <w:p>
      <w:pPr>
        <w:pStyle w:val="Indenta"/>
        <w:rPr>
          <w:snapToGrid w:val="0"/>
        </w:rPr>
      </w:pPr>
      <w:r>
        <w:rPr>
          <w:snapToGrid w:val="0"/>
        </w:rPr>
        <w:tab/>
        <w:t>(c)</w:t>
      </w:r>
      <w:r>
        <w:rPr>
          <w:snapToGrid w:val="0"/>
        </w:rPr>
        <w:tab/>
        <w:t>a specification of the easement by use of the short form description prescribed by the regulations for that kind of easement.</w:t>
      </w:r>
    </w:p>
    <w:p>
      <w:pPr>
        <w:pStyle w:val="Subsection"/>
        <w:rPr>
          <w:snapToGrid w:val="0"/>
        </w:rPr>
      </w:pPr>
      <w:r>
        <w:rPr>
          <w:snapToGrid w:val="0"/>
        </w:rPr>
        <w:tab/>
        <w:t>(4)</w:t>
      </w:r>
      <w:r>
        <w:rPr>
          <w:snapToGrid w:val="0"/>
        </w:rPr>
        <w:tab/>
        <w:t>A notation under subsection (3)(a) or (b) is to be in accordance with the regulations.</w:t>
      </w:r>
    </w:p>
    <w:p>
      <w:pPr>
        <w:pStyle w:val="Subsection"/>
        <w:rPr>
          <w:snapToGrid w:val="0"/>
        </w:rPr>
      </w:pPr>
      <w:r>
        <w:rPr>
          <w:snapToGrid w:val="0"/>
        </w:rPr>
        <w:tab/>
        <w:t>(5)</w:t>
      </w:r>
      <w:r>
        <w:rPr>
          <w:snapToGrid w:val="0"/>
        </w:rPr>
        <w:tab/>
        <w:t>This section is in addition to any other method by which an easement may be created in respect of lots in a survey</w:t>
      </w:r>
      <w:r>
        <w:rPr>
          <w:snapToGrid w:val="0"/>
        </w:rPr>
        <w:noBreakHyphen/>
        <w:t>strata scheme.</w:t>
      </w:r>
    </w:p>
    <w:p>
      <w:pPr>
        <w:pStyle w:val="Footnotesection"/>
      </w:pPr>
      <w:r>
        <w:tab/>
        <w:t>[Section 5D inserted: No. 61 of 1996 s. 11.]</w:t>
      </w:r>
    </w:p>
    <w:p>
      <w:pPr>
        <w:pStyle w:val="Heading5"/>
        <w:rPr>
          <w:snapToGrid w:val="0"/>
        </w:rPr>
      </w:pPr>
      <w:bookmarkStart w:id="28" w:name="_Toc530554789"/>
      <w:r>
        <w:rPr>
          <w:rStyle w:val="CharSectno"/>
        </w:rPr>
        <w:t>5E</w:t>
      </w:r>
      <w:r>
        <w:rPr>
          <w:snapToGrid w:val="0"/>
        </w:rPr>
        <w:t>.</w:t>
      </w:r>
      <w:r>
        <w:rPr>
          <w:snapToGrid w:val="0"/>
        </w:rPr>
        <w:tab/>
        <w:t>Provision on plan etc. overrides regulations as to easements</w:t>
      </w:r>
      <w:bookmarkEnd w:id="28"/>
    </w:p>
    <w:p>
      <w:pPr>
        <w:pStyle w:val="Subsection"/>
        <w:keepNext/>
        <w:rPr>
          <w:snapToGrid w:val="0"/>
        </w:rPr>
      </w:pPr>
      <w:r>
        <w:rPr>
          <w:snapToGrid w:val="0"/>
        </w:rPr>
        <w:tab/>
        <w:t>(1)</w:t>
      </w:r>
      <w:r>
        <w:rPr>
          <w:snapToGrid w:val="0"/>
        </w:rPr>
        <w:tab/>
        <w:t>To the extent allowed by the regulations provision may be made by —</w:t>
      </w:r>
    </w:p>
    <w:p>
      <w:pPr>
        <w:pStyle w:val="Indenta"/>
        <w:rPr>
          <w:snapToGrid w:val="0"/>
        </w:rPr>
      </w:pPr>
      <w:r>
        <w:rPr>
          <w:snapToGrid w:val="0"/>
        </w:rPr>
        <w:tab/>
        <w:t>(a)</w:t>
      </w:r>
      <w:r>
        <w:rPr>
          <w:snapToGrid w:val="0"/>
        </w:rPr>
        <w:tab/>
        <w:t>notation on a survey</w:t>
      </w:r>
      <w:r>
        <w:rPr>
          <w:snapToGrid w:val="0"/>
        </w:rPr>
        <w:noBreakHyphen/>
        <w:t>strata plan; or</w:t>
      </w:r>
    </w:p>
    <w:p>
      <w:pPr>
        <w:pStyle w:val="Indenta"/>
        <w:rPr>
          <w:snapToGrid w:val="0"/>
        </w:rPr>
      </w:pPr>
      <w:r>
        <w:rPr>
          <w:snapToGrid w:val="0"/>
        </w:rPr>
        <w:tab/>
        <w:t>(b)</w:t>
      </w:r>
      <w:r>
        <w:rPr>
          <w:snapToGrid w:val="0"/>
        </w:rPr>
        <w:tab/>
        <w:t>memorial or other instrument lodged with such a plan,</w:t>
      </w:r>
    </w:p>
    <w:p>
      <w:pPr>
        <w:pStyle w:val="Subsection"/>
        <w:rPr>
          <w:snapToGrid w:val="0"/>
        </w:rPr>
      </w:pPr>
      <w:r>
        <w:rPr>
          <w:snapToGrid w:val="0"/>
        </w:rPr>
        <w:tab/>
      </w:r>
      <w:r>
        <w:rPr>
          <w:snapToGrid w:val="0"/>
        </w:rPr>
        <w:tab/>
        <w:t>for any term, condition or provision of or in relation to an easement under section 5D.</w:t>
      </w:r>
    </w:p>
    <w:p>
      <w:pPr>
        <w:pStyle w:val="Subsection"/>
        <w:rPr>
          <w:snapToGrid w:val="0"/>
        </w:rPr>
      </w:pPr>
      <w:r>
        <w:rPr>
          <w:snapToGrid w:val="0"/>
        </w:rPr>
        <w:tab/>
        <w:t>(2)</w:t>
      </w:r>
      <w:r>
        <w:rPr>
          <w:snapToGrid w:val="0"/>
        </w:rPr>
        <w:tab/>
        <w:t>The fact that any such provision is made does not prevent an easement being treated as one that is created under section 5D.</w:t>
      </w:r>
    </w:p>
    <w:p>
      <w:pPr>
        <w:pStyle w:val="Subsection"/>
        <w:keepNext/>
        <w:rPr>
          <w:snapToGrid w:val="0"/>
        </w:rPr>
      </w:pPr>
      <w:r>
        <w:rPr>
          <w:snapToGrid w:val="0"/>
        </w:rPr>
        <w:tab/>
        <w:t>(3)</w:t>
      </w:r>
      <w:r>
        <w:rPr>
          <w:snapToGrid w:val="0"/>
        </w:rPr>
        <w:tab/>
        <w:t>Any term, condition or provision prescribed by the regulations of or in relation to an easement under section 5D has effect subject to any express provision in that behalf —</w:t>
      </w:r>
    </w:p>
    <w:p>
      <w:pPr>
        <w:pStyle w:val="Indenta"/>
        <w:rPr>
          <w:snapToGrid w:val="0"/>
        </w:rPr>
      </w:pPr>
      <w:r>
        <w:rPr>
          <w:snapToGrid w:val="0"/>
        </w:rPr>
        <w:tab/>
        <w:t>(a)</w:t>
      </w:r>
      <w:r>
        <w:rPr>
          <w:snapToGrid w:val="0"/>
        </w:rPr>
        <w:tab/>
        <w:t>made under subsection (1); or</w:t>
      </w:r>
    </w:p>
    <w:p>
      <w:pPr>
        <w:pStyle w:val="Indenta"/>
        <w:rPr>
          <w:snapToGrid w:val="0"/>
        </w:rPr>
      </w:pPr>
      <w:r>
        <w:rPr>
          <w:snapToGrid w:val="0"/>
        </w:rPr>
        <w:tab/>
        <w:t>(b)</w:t>
      </w:r>
      <w:r>
        <w:rPr>
          <w:snapToGrid w:val="0"/>
        </w:rPr>
        <w:tab/>
        <w:t>made by any by</w:t>
      </w:r>
      <w:r>
        <w:rPr>
          <w:snapToGrid w:val="0"/>
        </w:rPr>
        <w:noBreakHyphen/>
        <w:t>law of the strata company that is classified under section 42(2a) as a Schedule 1 by</w:t>
      </w:r>
      <w:r>
        <w:rPr>
          <w:snapToGrid w:val="0"/>
        </w:rPr>
        <w:noBreakHyphen/>
        <w:t>law.</w:t>
      </w:r>
    </w:p>
    <w:p>
      <w:pPr>
        <w:pStyle w:val="Footnotesection"/>
        <w:spacing w:before="100"/>
      </w:pPr>
      <w:r>
        <w:tab/>
        <w:t>[Section 5E inserted: No. 61 of 1996 s. 11.]</w:t>
      </w:r>
    </w:p>
    <w:p>
      <w:pPr>
        <w:pStyle w:val="Heading5"/>
        <w:rPr>
          <w:snapToGrid w:val="0"/>
        </w:rPr>
      </w:pPr>
      <w:bookmarkStart w:id="29" w:name="_Toc530554790"/>
      <w:r>
        <w:rPr>
          <w:rStyle w:val="CharSectno"/>
        </w:rPr>
        <w:t>5F</w:t>
      </w:r>
      <w:r>
        <w:rPr>
          <w:snapToGrid w:val="0"/>
        </w:rPr>
        <w:t>.</w:t>
      </w:r>
      <w:r>
        <w:rPr>
          <w:snapToGrid w:val="0"/>
        </w:rPr>
        <w:tab/>
        <w:t>Variation or discharge of easements under s. 5D</w:t>
      </w:r>
      <w:bookmarkEnd w:id="29"/>
    </w:p>
    <w:p>
      <w:pPr>
        <w:pStyle w:val="Subsection"/>
        <w:keepNext/>
        <w:rPr>
          <w:snapToGrid w:val="0"/>
        </w:rPr>
      </w:pPr>
      <w:r>
        <w:rPr>
          <w:snapToGrid w:val="0"/>
        </w:rPr>
        <w:tab/>
        <w:t>(1)</w:t>
      </w:r>
      <w:r>
        <w:rPr>
          <w:snapToGrid w:val="0"/>
        </w:rPr>
        <w:tab/>
        <w:t>An easement under section 5D —</w:t>
      </w:r>
    </w:p>
    <w:p>
      <w:pPr>
        <w:pStyle w:val="Indenta"/>
        <w:spacing w:before="60"/>
        <w:rPr>
          <w:snapToGrid w:val="0"/>
        </w:rPr>
      </w:pPr>
      <w:r>
        <w:rPr>
          <w:snapToGrid w:val="0"/>
        </w:rPr>
        <w:tab/>
        <w:t>(a)</w:t>
      </w:r>
      <w:r>
        <w:rPr>
          <w:snapToGrid w:val="0"/>
        </w:rPr>
        <w:tab/>
        <w:t>is automatically discharged by the termination of the scheme in which it has effect;</w:t>
      </w:r>
    </w:p>
    <w:p>
      <w:pPr>
        <w:pStyle w:val="Indenta"/>
        <w:keepNext/>
        <w:spacing w:before="60"/>
        <w:rPr>
          <w:snapToGrid w:val="0"/>
        </w:rPr>
      </w:pPr>
      <w:r>
        <w:rPr>
          <w:snapToGrid w:val="0"/>
        </w:rPr>
        <w:tab/>
        <w:t>(b)</w:t>
      </w:r>
      <w:r>
        <w:rPr>
          <w:snapToGrid w:val="0"/>
        </w:rPr>
        <w:tab/>
        <w:t>may with the approval in writing of the Commission —</w:t>
      </w:r>
    </w:p>
    <w:p>
      <w:pPr>
        <w:pStyle w:val="Indenti"/>
        <w:spacing w:before="60"/>
        <w:rPr>
          <w:snapToGrid w:val="0"/>
        </w:rPr>
      </w:pPr>
      <w:r>
        <w:rPr>
          <w:snapToGrid w:val="0"/>
        </w:rPr>
        <w:tab/>
        <w:t>(i)</w:t>
      </w:r>
      <w:r>
        <w:rPr>
          <w:snapToGrid w:val="0"/>
        </w:rPr>
        <w:tab/>
        <w:t>be varied by instrument signed by each person who has a registered interest in, or is a caveator in respect of, the dominant lot and the servient lot; and</w:t>
      </w:r>
    </w:p>
    <w:p>
      <w:pPr>
        <w:pStyle w:val="Indenti"/>
        <w:spacing w:before="60"/>
        <w:rPr>
          <w:snapToGrid w:val="0"/>
        </w:rPr>
      </w:pPr>
      <w:r>
        <w:rPr>
          <w:snapToGrid w:val="0"/>
        </w:rPr>
        <w:tab/>
        <w:t>(ii)</w:t>
      </w:r>
      <w:r>
        <w:rPr>
          <w:snapToGrid w:val="0"/>
        </w:rPr>
        <w:tab/>
        <w:t>be discharged by instrument signed by each person who has a registered interest in, or is a caveator in respect of, the dominant lot.</w:t>
      </w:r>
    </w:p>
    <w:p>
      <w:pPr>
        <w:pStyle w:val="Subsection"/>
        <w:keepNext/>
        <w:rPr>
          <w:snapToGrid w:val="0"/>
        </w:rPr>
      </w:pPr>
      <w:r>
        <w:rPr>
          <w:snapToGrid w:val="0"/>
        </w:rPr>
        <w:tab/>
        <w:t>(2)</w:t>
      </w:r>
      <w:r>
        <w:rPr>
          <w:snapToGrid w:val="0"/>
        </w:rPr>
        <w:tab/>
        <w:t>An instrument under subsection (1)(b) varying or discharging an easement is not effective until it is registered by the Registrar of Titles.</w:t>
      </w:r>
    </w:p>
    <w:p>
      <w:pPr>
        <w:pStyle w:val="Subsection"/>
        <w:keepNext/>
        <w:rPr>
          <w:snapToGrid w:val="0"/>
        </w:rPr>
      </w:pPr>
      <w:r>
        <w:rPr>
          <w:snapToGrid w:val="0"/>
        </w:rPr>
        <w:tab/>
        <w:t>(3)</w:t>
      </w:r>
      <w:r>
        <w:rPr>
          <w:snapToGrid w:val="0"/>
        </w:rPr>
        <w:tab/>
        <w:t>On registration of an instrument under subsection (1)(b) the Registrar of Titles is to amend the survey</w:t>
      </w:r>
      <w:r>
        <w:rPr>
          <w:snapToGrid w:val="0"/>
        </w:rPr>
        <w:noBreakHyphen/>
      </w:r>
      <w:r>
        <w:rPr>
          <w:snapToGrid w:val="0"/>
        </w:rPr>
        <w:softHyphen/>
        <w:t>strata plan to show the effect of the instrument.</w:t>
      </w:r>
    </w:p>
    <w:p>
      <w:pPr>
        <w:pStyle w:val="Footnotesection"/>
        <w:spacing w:before="100"/>
      </w:pPr>
      <w:r>
        <w:tab/>
        <w:t>[Section 5F inserted: No. 61 of 1996 s. 11.]</w:t>
      </w:r>
    </w:p>
    <w:p>
      <w:pPr>
        <w:pStyle w:val="Heading5"/>
        <w:rPr>
          <w:snapToGrid w:val="0"/>
        </w:rPr>
      </w:pPr>
      <w:bookmarkStart w:id="30" w:name="_Toc530554791"/>
      <w:r>
        <w:rPr>
          <w:rStyle w:val="CharSectno"/>
        </w:rPr>
        <w:t>5G</w:t>
      </w:r>
      <w:r>
        <w:rPr>
          <w:snapToGrid w:val="0"/>
        </w:rPr>
        <w:t>.</w:t>
      </w:r>
      <w:r>
        <w:rPr>
          <w:snapToGrid w:val="0"/>
        </w:rPr>
        <w:tab/>
        <w:t>Easement where common ownership</w:t>
      </w:r>
      <w:bookmarkEnd w:id="30"/>
    </w:p>
    <w:p>
      <w:pPr>
        <w:pStyle w:val="Subsection"/>
        <w:keepNext/>
        <w:rPr>
          <w:snapToGrid w:val="0"/>
        </w:rPr>
      </w:pPr>
      <w:r>
        <w:rPr>
          <w:snapToGrid w:val="0"/>
        </w:rPr>
        <w:tab/>
      </w:r>
      <w:r>
        <w:rPr>
          <w:snapToGrid w:val="0"/>
        </w:rPr>
        <w:tab/>
        <w:t>An easement created under section 5D has effect even though the dominant lot and the servient lot have the same proprietor.</w:t>
      </w:r>
    </w:p>
    <w:p>
      <w:pPr>
        <w:pStyle w:val="Footnotesection"/>
        <w:spacing w:before="100"/>
      </w:pPr>
      <w:r>
        <w:tab/>
        <w:t>[Section 5G inserted: No. 61 of 1996 s. 11.]</w:t>
      </w:r>
    </w:p>
    <w:p>
      <w:pPr>
        <w:pStyle w:val="Heading5"/>
        <w:rPr>
          <w:snapToGrid w:val="0"/>
        </w:rPr>
      </w:pPr>
      <w:bookmarkStart w:id="31" w:name="_Toc530554792"/>
      <w:r>
        <w:rPr>
          <w:rStyle w:val="CharSectno"/>
        </w:rPr>
        <w:t>5H</w:t>
      </w:r>
      <w:r>
        <w:rPr>
          <w:snapToGrid w:val="0"/>
        </w:rPr>
        <w:t>.</w:t>
      </w:r>
      <w:r>
        <w:rPr>
          <w:snapToGrid w:val="0"/>
        </w:rPr>
        <w:tab/>
        <w:t>Regulations as to easements</w:t>
      </w:r>
      <w:bookmarkEnd w:id="31"/>
    </w:p>
    <w:p>
      <w:pPr>
        <w:pStyle w:val="Subsection"/>
        <w:rPr>
          <w:snapToGrid w:val="0"/>
        </w:rPr>
      </w:pPr>
      <w:r>
        <w:rPr>
          <w:snapToGrid w:val="0"/>
        </w:rPr>
        <w:tab/>
        <w:t>(1)</w:t>
      </w:r>
      <w:r>
        <w:rPr>
          <w:snapToGrid w:val="0"/>
        </w:rPr>
        <w:tab/>
        <w:t>The regulations may prescribe —</w:t>
      </w:r>
    </w:p>
    <w:p>
      <w:pPr>
        <w:pStyle w:val="Indenta"/>
        <w:spacing w:before="60"/>
        <w:rPr>
          <w:snapToGrid w:val="0"/>
        </w:rPr>
      </w:pPr>
      <w:r>
        <w:rPr>
          <w:snapToGrid w:val="0"/>
        </w:rPr>
        <w:tab/>
        <w:t>(a)</w:t>
      </w:r>
      <w:r>
        <w:rPr>
          <w:snapToGrid w:val="0"/>
        </w:rPr>
        <w:tab/>
        <w:t>the terms, conditions and provisions of and relating to easements that may be created under section 5D; and</w:t>
      </w:r>
    </w:p>
    <w:p>
      <w:pPr>
        <w:pStyle w:val="Indenta"/>
        <w:spacing w:before="60"/>
        <w:rPr>
          <w:snapToGrid w:val="0"/>
        </w:rPr>
      </w:pPr>
      <w:r>
        <w:rPr>
          <w:snapToGrid w:val="0"/>
        </w:rPr>
        <w:tab/>
        <w:t>(b)</w:t>
      </w:r>
      <w:r>
        <w:rPr>
          <w:snapToGrid w:val="0"/>
        </w:rPr>
        <w:tab/>
        <w:t>a short form description by which each kind of easement may be referred to and which is to be deemed to be a reference to the full terms, conditions and provisions of an easement of that kind.</w:t>
      </w:r>
    </w:p>
    <w:p>
      <w:pPr>
        <w:pStyle w:val="Subsection"/>
        <w:rPr>
          <w:snapToGrid w:val="0"/>
        </w:rPr>
      </w:pPr>
      <w:r>
        <w:rPr>
          <w:snapToGrid w:val="0"/>
        </w:rPr>
        <w:tab/>
        <w:t>(2)</w:t>
      </w:r>
      <w:r>
        <w:rPr>
          <w:snapToGrid w:val="0"/>
        </w:rPr>
        <w:tab/>
        <w:t xml:space="preserve">Regulations </w:t>
      </w:r>
      <w:r>
        <w:t>made</w:t>
      </w:r>
      <w:r>
        <w:rPr>
          <w:snapToGrid w:val="0"/>
        </w:rPr>
        <w:t xml:space="preserve"> for the </w:t>
      </w:r>
      <w:r>
        <w:t>purposes</w:t>
      </w:r>
      <w:r>
        <w:rPr>
          <w:snapToGrid w:val="0"/>
        </w:rPr>
        <w:t xml:space="preserve"> of subsection (1)(a) may make provision for and in relation to —</w:t>
      </w:r>
    </w:p>
    <w:p>
      <w:pPr>
        <w:pStyle w:val="Indenta"/>
      </w:pPr>
      <w:r>
        <w:tab/>
        <w:t>(a)</w:t>
      </w:r>
      <w:r>
        <w:tab/>
        <w:t>liability for the costs of the upkeep of an area over which an easement is created; and</w:t>
      </w:r>
    </w:p>
    <w:p>
      <w:pPr>
        <w:pStyle w:val="Indenta"/>
        <w:rPr>
          <w:snapToGrid w:val="0"/>
          <w:spacing w:val="-4"/>
        </w:rPr>
      </w:pPr>
      <w:r>
        <w:rPr>
          <w:snapToGrid w:val="0"/>
          <w:spacing w:val="-4"/>
        </w:rPr>
        <w:tab/>
        <w:t>(b)</w:t>
      </w:r>
      <w:r>
        <w:rPr>
          <w:snapToGrid w:val="0"/>
          <w:spacing w:val="-4"/>
        </w:rPr>
        <w:tab/>
        <w:t xml:space="preserve">a </w:t>
      </w:r>
      <w:r>
        <w:t>proprietor’s</w:t>
      </w:r>
      <w:r>
        <w:rPr>
          <w:snapToGrid w:val="0"/>
          <w:spacing w:val="-4"/>
        </w:rPr>
        <w:t xml:space="preserve"> right of access to an area over which an easement is created to inspect any thing or carry out work; and</w:t>
      </w:r>
    </w:p>
    <w:p>
      <w:pPr>
        <w:pStyle w:val="Indenta"/>
        <w:rPr>
          <w:snapToGrid w:val="0"/>
        </w:rPr>
      </w:pPr>
      <w:r>
        <w:rPr>
          <w:snapToGrid w:val="0"/>
        </w:rPr>
        <w:tab/>
        <w:t>(c)</w:t>
      </w:r>
      <w:r>
        <w:rPr>
          <w:snapToGrid w:val="0"/>
        </w:rPr>
        <w:tab/>
        <w:t xml:space="preserve">the proprietor of the dominant lot keeping the proprietor of the </w:t>
      </w:r>
      <w:r>
        <w:t>servient</w:t>
      </w:r>
      <w:r>
        <w:rPr>
          <w:snapToGrid w:val="0"/>
        </w:rPr>
        <w:t xml:space="preserve"> lot indemnified in respect of liability arising from the use of, or the activities undertaken in, an area by the first</w:t>
      </w:r>
      <w:r>
        <w:rPr>
          <w:snapToGrid w:val="0"/>
        </w:rPr>
        <w:noBreakHyphen/>
        <w:t>mentioned proprietor; and</w:t>
      </w:r>
    </w:p>
    <w:p>
      <w:pPr>
        <w:pStyle w:val="Indenta"/>
        <w:rPr>
          <w:snapToGrid w:val="0"/>
        </w:rPr>
      </w:pPr>
      <w:r>
        <w:rPr>
          <w:snapToGrid w:val="0"/>
        </w:rPr>
        <w:tab/>
        <w:t>(d)</w:t>
      </w:r>
      <w:r>
        <w:rPr>
          <w:snapToGrid w:val="0"/>
        </w:rPr>
        <w:tab/>
        <w:t xml:space="preserve">the </w:t>
      </w:r>
      <w:r>
        <w:t>circumstances</w:t>
      </w:r>
      <w:r>
        <w:rPr>
          <w:snapToGrid w:val="0"/>
        </w:rPr>
        <w:t xml:space="preserve"> in which an easement is terminated where a building to which it relates is destroyed.</w:t>
      </w:r>
    </w:p>
    <w:p>
      <w:pPr>
        <w:pStyle w:val="Subsection"/>
        <w:rPr>
          <w:snapToGrid w:val="0"/>
        </w:rPr>
      </w:pPr>
      <w:r>
        <w:rPr>
          <w:snapToGrid w:val="0"/>
        </w:rPr>
        <w:tab/>
        <w:t>(3)</w:t>
      </w:r>
      <w:r>
        <w:rPr>
          <w:snapToGrid w:val="0"/>
        </w:rPr>
        <w:tab/>
      </w:r>
      <w:r>
        <w:t>Regulations</w:t>
      </w:r>
      <w:r>
        <w:rPr>
          <w:snapToGrid w:val="0"/>
        </w:rPr>
        <w:t xml:space="preserve"> made for the </w:t>
      </w:r>
      <w:r>
        <w:t>purposes</w:t>
      </w:r>
      <w:r>
        <w:rPr>
          <w:snapToGrid w:val="0"/>
        </w:rPr>
        <w:t xml:space="preserve"> of subsection (1) may provide that —</w:t>
      </w:r>
    </w:p>
    <w:p>
      <w:pPr>
        <w:pStyle w:val="Indenta"/>
        <w:rPr>
          <w:snapToGrid w:val="0"/>
        </w:rPr>
      </w:pPr>
      <w:r>
        <w:rPr>
          <w:snapToGrid w:val="0"/>
        </w:rPr>
        <w:tab/>
        <w:t>(a)</w:t>
      </w:r>
      <w:r>
        <w:rPr>
          <w:snapToGrid w:val="0"/>
        </w:rPr>
        <w:tab/>
        <w:t>in specified circumstances a proprietor of a lot is to be taken to have agreed to undertake any positive obligation specified in the regulations in connection with an easement; and</w:t>
      </w:r>
    </w:p>
    <w:p>
      <w:pPr>
        <w:pStyle w:val="Indenta"/>
        <w:rPr>
          <w:snapToGrid w:val="0"/>
        </w:rPr>
      </w:pPr>
      <w:r>
        <w:rPr>
          <w:snapToGrid w:val="0"/>
        </w:rPr>
        <w:tab/>
        <w:t>(b)</w:t>
      </w:r>
      <w:r>
        <w:rPr>
          <w:snapToGrid w:val="0"/>
        </w:rPr>
        <w:tab/>
        <w:t>any such obligation runs with the land and is binding on a succeeding proprietor of the lot.</w:t>
      </w:r>
    </w:p>
    <w:p>
      <w:pPr>
        <w:pStyle w:val="Subsection"/>
      </w:pPr>
      <w:r>
        <w:tab/>
        <w:t>(4)</w:t>
      </w:r>
      <w:r>
        <w:tab/>
        <w:t xml:space="preserve">If the regulations prescribe any easement for access or use of light or air, section 121 of the </w:t>
      </w:r>
      <w:r>
        <w:rPr>
          <w:i/>
        </w:rPr>
        <w:t>Property Law Act 1969</w:t>
      </w:r>
      <w:r>
        <w:t xml:space="preserve"> does not apply to the creation of any such easement under section 5D.</w:t>
      </w:r>
    </w:p>
    <w:p>
      <w:pPr>
        <w:pStyle w:val="Footnotesection"/>
      </w:pPr>
      <w:r>
        <w:tab/>
        <w:t>[Section 5H inserted: No. 61 of 1996 s. 11.]</w:t>
      </w:r>
    </w:p>
    <w:p>
      <w:pPr>
        <w:pStyle w:val="Heading5"/>
        <w:keepLines w:val="0"/>
        <w:rPr>
          <w:snapToGrid w:val="0"/>
        </w:rPr>
      </w:pPr>
      <w:bookmarkStart w:id="32" w:name="_Toc530554793"/>
      <w:r>
        <w:rPr>
          <w:rStyle w:val="CharSectno"/>
        </w:rPr>
        <w:t>6</w:t>
      </w:r>
      <w:r>
        <w:rPr>
          <w:snapToGrid w:val="0"/>
        </w:rPr>
        <w:t>.</w:t>
      </w:r>
      <w:r>
        <w:rPr>
          <w:snapToGrid w:val="0"/>
        </w:rPr>
        <w:tab/>
        <w:t>Strata/survey</w:t>
      </w:r>
      <w:r>
        <w:rPr>
          <w:snapToGrid w:val="0"/>
        </w:rPr>
        <w:noBreakHyphen/>
        <w:t>strata plan may restrict use of parcel or part of parcel</w:t>
      </w:r>
      <w:bookmarkEnd w:id="32"/>
    </w:p>
    <w:p>
      <w:pPr>
        <w:pStyle w:val="Subsection"/>
        <w:rPr>
          <w:snapToGrid w:val="0"/>
        </w:rPr>
      </w:pPr>
      <w:r>
        <w:rPr>
          <w:snapToGrid w:val="0"/>
        </w:rPr>
        <w:tab/>
        <w:t>(1)</w:t>
      </w:r>
      <w:r>
        <w:rPr>
          <w:snapToGrid w:val="0"/>
        </w:rPr>
        <w:tab/>
        <w:t>A strata/survey</w:t>
      </w:r>
      <w:r>
        <w:rPr>
          <w:snapToGrid w:val="0"/>
        </w:rPr>
        <w:noBreakHyphen/>
        <w:t>strata plan lodged for registration under this Act may, by an appropriate endorsement that delineates the area or space affected and refers to this section, restrict the use to which the parcel or part of the parcel may be put.</w:t>
      </w:r>
    </w:p>
    <w:p>
      <w:pPr>
        <w:pStyle w:val="Subsection"/>
        <w:rPr>
          <w:snapToGrid w:val="0"/>
        </w:rPr>
      </w:pPr>
      <w:r>
        <w:rPr>
          <w:snapToGrid w:val="0"/>
        </w:rPr>
        <w:tab/>
        <w:t>(1a)</w:t>
      </w:r>
      <w:r>
        <w:rPr>
          <w:snapToGrid w:val="0"/>
        </w:rPr>
        <w:tab/>
        <w:t>Subject to subsections (3a) and (4), a registered strata/survey</w:t>
      </w:r>
      <w:r>
        <w:rPr>
          <w:snapToGrid w:val="0"/>
        </w:rPr>
        <w:noBreakHyphen/>
        <w:t xml:space="preserve">strata plan may be amended, by resolution without dissent </w:t>
      </w:r>
      <w:r>
        <w:rPr>
          <w:snapToGrid w:val="0"/>
          <w:spacing w:val="-4"/>
        </w:rPr>
        <w:t>(or unanimous resolution, in the case of a two</w:t>
      </w:r>
      <w:r>
        <w:rPr>
          <w:snapToGrid w:val="0"/>
          <w:spacing w:val="-4"/>
        </w:rPr>
        <w:noBreakHyphen/>
        <w:t>lot scheme)</w:t>
      </w:r>
      <w:r>
        <w:rPr>
          <w:snapToGrid w:val="0"/>
        </w:rPr>
        <w:t xml:space="preserve"> of the strata company, to restrict the use to which the parcel or part of the parcel may be put.</w:t>
      </w:r>
    </w:p>
    <w:p>
      <w:pPr>
        <w:pStyle w:val="Subsection"/>
        <w:rPr>
          <w:snapToGrid w:val="0"/>
        </w:rPr>
      </w:pPr>
      <w:r>
        <w:rPr>
          <w:snapToGrid w:val="0"/>
        </w:rPr>
        <w:tab/>
        <w:t>(1b)</w:t>
      </w:r>
      <w:r>
        <w:rPr>
          <w:snapToGrid w:val="0"/>
        </w:rPr>
        <w:tab/>
        <w:t>A resolution under subsection (1a) shall refer to a plan of the parcel showing the area or space affected.</w:t>
      </w:r>
    </w:p>
    <w:p>
      <w:pPr>
        <w:pStyle w:val="Subsection"/>
        <w:rPr>
          <w:snapToGrid w:val="0"/>
        </w:rPr>
      </w:pPr>
      <w:r>
        <w:rPr>
          <w:snapToGrid w:val="0"/>
        </w:rPr>
        <w:tab/>
        <w:t>(2)</w:t>
      </w:r>
      <w:r>
        <w:rPr>
          <w:snapToGrid w:val="0"/>
        </w:rPr>
        <w:tab/>
        <w:t>Where a registered strata/survey</w:t>
      </w:r>
      <w:r>
        <w:rPr>
          <w:snapToGrid w:val="0"/>
        </w:rPr>
        <w:noBreakHyphen/>
        <w:t>strata plan restricts the use to which the parcel or part of the parcel may be put, a proprietor, occupier or other resident of any lot that is part of the parcel shall not use, or permit to be used, the parcel or part of the parcel in any manner that contravenes the restriction.</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Subject to subsections (3a) and (4) a restriction endorsed on a registered strata/survey</w:t>
      </w:r>
      <w:r>
        <w:rPr>
          <w:snapToGrid w:val="0"/>
        </w:rPr>
        <w:noBreakHyphen/>
        <w:t xml:space="preserve">strata plan under this section may be varied or removed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w:t>
      </w:r>
    </w:p>
    <w:p>
      <w:pPr>
        <w:pStyle w:val="Subsection"/>
        <w:rPr>
          <w:snapToGrid w:val="0"/>
        </w:rPr>
      </w:pPr>
      <w:r>
        <w:rPr>
          <w:snapToGrid w:val="0"/>
        </w:rPr>
        <w:tab/>
        <w:t>(3a)</w:t>
      </w:r>
      <w:r>
        <w:rPr>
          <w:snapToGrid w:val="0"/>
        </w:rPr>
        <w:tab/>
        <w:t>An addition of a restriction under subsection (1a) or a variation or removal under subsection (3) is effective only if the local government approves the resolution and, if the subdivision in the plan was one to which the consent of the Commission was required under this Act, the Commission approves the resolution.</w:t>
      </w:r>
    </w:p>
    <w:p>
      <w:pPr>
        <w:pStyle w:val="Subsection"/>
        <w:rPr>
          <w:snapToGrid w:val="0"/>
        </w:rPr>
      </w:pPr>
      <w:r>
        <w:rPr>
          <w:snapToGrid w:val="0"/>
        </w:rPr>
        <w:tab/>
        <w:t>(4)</w:t>
      </w:r>
      <w:r>
        <w:rPr>
          <w:snapToGrid w:val="0"/>
        </w:rPr>
        <w:tab/>
        <w:t>A resolution adding a restriction to or varying or removing a restriction endorsed on a registered strata/survey</w:t>
      </w:r>
      <w:r>
        <w:rPr>
          <w:snapToGrid w:val="0"/>
        </w:rPr>
        <w:noBreakHyphen/>
        <w:t>strata plan under this section shall not be effective until notice of the resolution is registered in the prescribed manner with the Registrar of Titles and upon registration the Registrar of Titles shall amend the strata/survey</w:t>
      </w:r>
      <w:r>
        <w:rPr>
          <w:snapToGrid w:val="0"/>
        </w:rPr>
        <w:noBreakHyphen/>
        <w:t>strata plan accordingly.</w:t>
      </w:r>
    </w:p>
    <w:p>
      <w:pPr>
        <w:pStyle w:val="Footnotesection"/>
      </w:pPr>
      <w:r>
        <w:tab/>
        <w:t>[Section 6 amended: No. 84 of 1994 s. 46; No. 58 of 1995 s. 11 and 95; No. 57 of 1997 s. 115(1); No. 24 of 2000 s. 40(1) and (2).]</w:t>
      </w:r>
    </w:p>
    <w:p>
      <w:pPr>
        <w:pStyle w:val="Heading5"/>
        <w:rPr>
          <w:snapToGrid w:val="0"/>
        </w:rPr>
      </w:pPr>
      <w:bookmarkStart w:id="33" w:name="_Toc530554794"/>
      <w:r>
        <w:rPr>
          <w:rStyle w:val="CharSectno"/>
        </w:rPr>
        <w:t>6A</w:t>
      </w:r>
      <w:r>
        <w:rPr>
          <w:snapToGrid w:val="0"/>
        </w:rPr>
        <w:t>.</w:t>
      </w:r>
      <w:r>
        <w:rPr>
          <w:snapToGrid w:val="0"/>
        </w:rPr>
        <w:tab/>
        <w:t>Restrictions relating to retired persons</w:t>
      </w:r>
      <w:bookmarkEnd w:id="33"/>
    </w:p>
    <w:p>
      <w:pPr>
        <w:pStyle w:val="Subsection"/>
        <w:rPr>
          <w:snapToGrid w:val="0"/>
        </w:rPr>
      </w:pPr>
      <w:r>
        <w:rPr>
          <w:snapToGrid w:val="0"/>
        </w:rPr>
        <w:tab/>
        <w:t>(1)</w:t>
      </w:r>
      <w:r>
        <w:rPr>
          <w:snapToGrid w:val="0"/>
        </w:rPr>
        <w:tab/>
        <w:t>A restriction under section 6 may limit the use of the lots by requiring that each lot is to be occupied only, or predominantly, by retired persons.</w:t>
      </w:r>
    </w:p>
    <w:p>
      <w:pPr>
        <w:pStyle w:val="Subsection"/>
        <w:rPr>
          <w:snapToGrid w:val="0"/>
        </w:rPr>
      </w:pPr>
      <w:r>
        <w:rPr>
          <w:snapToGrid w:val="0"/>
        </w:rPr>
        <w:tab/>
        <w:t>(2)</w:t>
      </w:r>
      <w:r>
        <w:rPr>
          <w:snapToGrid w:val="0"/>
        </w:rPr>
        <w:tab/>
        <w:t>Nothing in this section or section 6 is to be read as limiting the power of the strata company to make by</w:t>
      </w:r>
      <w:r>
        <w:rPr>
          <w:snapToGrid w:val="0"/>
        </w:rPr>
        <w:noBreakHyphen/>
        <w:t>laws under section 42 relating to the circumstances in which persons, other than the occupier, may reside in a lot which is subject to a restriction referred to in subsection (1).</w:t>
      </w:r>
    </w:p>
    <w:p>
      <w:pPr>
        <w:pStyle w:val="Subsection"/>
      </w:pPr>
      <w:r>
        <w:tab/>
        <w:t>(3)</w:t>
      </w:r>
      <w:r>
        <w:tab/>
        <w:t>In subsection (1) —</w:t>
      </w:r>
    </w:p>
    <w:p>
      <w:pPr>
        <w:pStyle w:val="Defstart"/>
      </w:pPr>
      <w:r>
        <w:rPr>
          <w:b/>
        </w:rPr>
        <w:tab/>
      </w:r>
      <w:r>
        <w:rPr>
          <w:rStyle w:val="CharDefText"/>
        </w:rPr>
        <w:t>retired person</w:t>
      </w:r>
      <w:r>
        <w:t xml:space="preserve"> means a person who has —</w:t>
      </w:r>
    </w:p>
    <w:p>
      <w:pPr>
        <w:pStyle w:val="Defpara"/>
        <w:spacing w:before="60"/>
      </w:pPr>
      <w:r>
        <w:tab/>
        <w:t>(a)</w:t>
      </w:r>
      <w:r>
        <w:tab/>
        <w:t>attained the age of 55 years; or</w:t>
      </w:r>
    </w:p>
    <w:p>
      <w:pPr>
        <w:pStyle w:val="Defpara"/>
        <w:spacing w:before="60"/>
      </w:pPr>
      <w:r>
        <w:tab/>
        <w:t>(b)</w:t>
      </w:r>
      <w:r>
        <w:tab/>
        <w:t>retired from full</w:t>
      </w:r>
      <w:r>
        <w:noBreakHyphen/>
        <w:t>time employment,</w:t>
      </w:r>
    </w:p>
    <w:p>
      <w:pPr>
        <w:pStyle w:val="Defstart"/>
        <w:spacing w:before="120"/>
      </w:pPr>
      <w:r>
        <w:tab/>
        <w:t>and is deemed to include a person who is or was the spouse or de facto partner of such a person.</w:t>
      </w:r>
    </w:p>
    <w:p>
      <w:pPr>
        <w:pStyle w:val="Footnotesection"/>
      </w:pPr>
      <w:r>
        <w:tab/>
        <w:t>[Section 6A inserted: No. 58 of 1995 s. 12; amended: No. 28 of 2003 s. 195.]</w:t>
      </w:r>
    </w:p>
    <w:p>
      <w:pPr>
        <w:pStyle w:val="Heading5"/>
        <w:rPr>
          <w:snapToGrid w:val="0"/>
        </w:rPr>
      </w:pPr>
      <w:bookmarkStart w:id="34" w:name="_Toc530554795"/>
      <w:r>
        <w:rPr>
          <w:rStyle w:val="CharSectno"/>
        </w:rPr>
        <w:t>7</w:t>
      </w:r>
      <w:r>
        <w:rPr>
          <w:snapToGrid w:val="0"/>
        </w:rPr>
        <w:t>.</w:t>
      </w:r>
      <w:r>
        <w:rPr>
          <w:snapToGrid w:val="0"/>
        </w:rPr>
        <w:tab/>
        <w:t>Structural erections, alterations and extensions restricted, strata schemes</w:t>
      </w:r>
      <w:bookmarkEnd w:id="34"/>
    </w:p>
    <w:p>
      <w:pPr>
        <w:pStyle w:val="Subsection"/>
        <w:rPr>
          <w:snapToGrid w:val="0"/>
        </w:rPr>
      </w:pPr>
      <w:r>
        <w:rPr>
          <w:snapToGrid w:val="0"/>
        </w:rPr>
        <w:tab/>
        <w:t>(1)</w:t>
      </w:r>
      <w:r>
        <w:rPr>
          <w:snapToGrid w:val="0"/>
        </w:rPr>
        <w:tab/>
        <w:t>This section does not apply to —</w:t>
      </w:r>
    </w:p>
    <w:p>
      <w:pPr>
        <w:pStyle w:val="Indenta"/>
        <w:spacing w:before="60"/>
        <w:rPr>
          <w:snapToGrid w:val="0"/>
        </w:rPr>
      </w:pPr>
      <w:r>
        <w:rPr>
          <w:snapToGrid w:val="0"/>
        </w:rPr>
        <w:tab/>
        <w:t>(a)</w:t>
      </w:r>
      <w:r>
        <w:rPr>
          <w:snapToGrid w:val="0"/>
        </w:rPr>
        <w:tab/>
        <w:t>a lot in a survey</w:t>
      </w:r>
      <w:r>
        <w:rPr>
          <w:snapToGrid w:val="0"/>
        </w:rPr>
        <w:noBreakHyphen/>
        <w:t>strata scheme; or</w:t>
      </w:r>
    </w:p>
    <w:p>
      <w:pPr>
        <w:pStyle w:val="Indenta"/>
        <w:keepNext/>
        <w:spacing w:before="60"/>
        <w:rPr>
          <w:snapToGrid w:val="0"/>
        </w:rPr>
      </w:pPr>
      <w:r>
        <w:rPr>
          <w:snapToGrid w:val="0"/>
        </w:rPr>
        <w:tab/>
        <w:t>(b)</w:t>
      </w:r>
      <w:r>
        <w:rPr>
          <w:snapToGrid w:val="0"/>
        </w:rPr>
        <w:tab/>
        <w:t>the erection of, alteration to or extension of a structure on a lot in a strata scheme if —</w:t>
      </w:r>
    </w:p>
    <w:p>
      <w:pPr>
        <w:pStyle w:val="Indenti"/>
        <w:spacing w:before="60"/>
        <w:rPr>
          <w:snapToGrid w:val="0"/>
        </w:rPr>
      </w:pPr>
      <w:r>
        <w:rPr>
          <w:snapToGrid w:val="0"/>
        </w:rPr>
        <w:tab/>
        <w:t>(i)</w:t>
      </w:r>
      <w:r>
        <w:rPr>
          <w:snapToGrid w:val="0"/>
        </w:rPr>
        <w:tab/>
        <w:t>each proprietor of a lot in the scheme has in writing given approval to the erection, alteration or extension; and</w:t>
      </w:r>
    </w:p>
    <w:p>
      <w:pPr>
        <w:pStyle w:val="Indenti"/>
        <w:spacing w:before="60"/>
        <w:rPr>
          <w:snapToGrid w:val="0"/>
        </w:rPr>
      </w:pPr>
      <w:r>
        <w:rPr>
          <w:snapToGrid w:val="0"/>
        </w:rPr>
        <w:tab/>
        <w:t>(ii)</w:t>
      </w:r>
      <w:r>
        <w:rPr>
          <w:snapToGrid w:val="0"/>
        </w:rPr>
        <w:tab/>
        <w:t>that approval, if subject to conditions, is given by each proprietor subject to the same conditions; and</w:t>
      </w:r>
    </w:p>
    <w:p>
      <w:pPr>
        <w:pStyle w:val="Indenti"/>
        <w:spacing w:before="60"/>
        <w:rPr>
          <w:snapToGrid w:val="0"/>
        </w:rPr>
      </w:pPr>
      <w:r>
        <w:rPr>
          <w:snapToGrid w:val="0"/>
        </w:rPr>
        <w:tab/>
        <w:t>(iii)</w:t>
      </w:r>
      <w:r>
        <w:rPr>
          <w:snapToGrid w:val="0"/>
        </w:rPr>
        <w:tab/>
        <w:t>a copy of each such approval is served on the strata company.</w:t>
      </w:r>
    </w:p>
    <w:p>
      <w:pPr>
        <w:pStyle w:val="Subsection"/>
        <w:keepNext/>
        <w:rPr>
          <w:snapToGrid w:val="0"/>
        </w:rPr>
      </w:pPr>
      <w:r>
        <w:rPr>
          <w:snapToGrid w:val="0"/>
        </w:rPr>
        <w:tab/>
        <w:t>(2)</w:t>
      </w:r>
      <w:r>
        <w:rPr>
          <w:snapToGrid w:val="0"/>
        </w:rPr>
        <w:tab/>
        <w:t>The proprietor of a lot shall not cause or permit —</w:t>
      </w:r>
    </w:p>
    <w:p>
      <w:pPr>
        <w:pStyle w:val="Indenta"/>
        <w:spacing w:before="60"/>
        <w:rPr>
          <w:snapToGrid w:val="0"/>
        </w:rPr>
      </w:pPr>
      <w:r>
        <w:rPr>
          <w:snapToGrid w:val="0"/>
        </w:rPr>
        <w:tab/>
        <w:t>(a)</w:t>
      </w:r>
      <w:r>
        <w:rPr>
          <w:snapToGrid w:val="0"/>
        </w:rPr>
        <w:tab/>
        <w:t>any structure to be erected; or</w:t>
      </w:r>
    </w:p>
    <w:p>
      <w:pPr>
        <w:pStyle w:val="Indenta"/>
        <w:spacing w:before="60"/>
        <w:rPr>
          <w:snapToGrid w:val="0"/>
        </w:rPr>
      </w:pPr>
      <w:r>
        <w:rPr>
          <w:snapToGrid w:val="0"/>
        </w:rPr>
        <w:tab/>
        <w:t>(b)</w:t>
      </w:r>
      <w:r>
        <w:rPr>
          <w:snapToGrid w:val="0"/>
        </w:rPr>
        <w:tab/>
        <w:t>any alteration of a structural kind to, or extension of, a structure,</w:t>
      </w:r>
    </w:p>
    <w:p>
      <w:pPr>
        <w:pStyle w:val="Subsection"/>
        <w:keepNext/>
        <w:spacing w:before="120"/>
        <w:rPr>
          <w:snapToGrid w:val="0"/>
        </w:rPr>
      </w:pPr>
      <w:r>
        <w:rPr>
          <w:snapToGrid w:val="0"/>
        </w:rPr>
        <w:tab/>
      </w:r>
      <w:r>
        <w:rPr>
          <w:snapToGrid w:val="0"/>
        </w:rPr>
        <w:tab/>
        <w:t>on his lot except —</w:t>
      </w:r>
    </w:p>
    <w:p>
      <w:pPr>
        <w:pStyle w:val="Indenta"/>
        <w:spacing w:before="60"/>
        <w:rPr>
          <w:snapToGrid w:val="0"/>
        </w:rPr>
      </w:pPr>
      <w:r>
        <w:rPr>
          <w:snapToGrid w:val="0"/>
        </w:rPr>
        <w:tab/>
        <w:t>(c)</w:t>
      </w:r>
      <w:r>
        <w:rPr>
          <w:snapToGrid w:val="0"/>
        </w:rPr>
        <w:tab/>
        <w:t>with the prior approval of the proprietor of the other lot in the case of a strata scheme in which there are not more than 2 lots; and</w:t>
      </w:r>
    </w:p>
    <w:p>
      <w:pPr>
        <w:pStyle w:val="Indenta"/>
        <w:spacing w:before="60"/>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Where an application is made to a proprietor in accordance with section 7B the proprietor may refuse to give approval on any ground that is permitted by subsection (5), but not otherwise.</w:t>
      </w:r>
    </w:p>
    <w:p>
      <w:pPr>
        <w:pStyle w:val="Subsection"/>
        <w:keepNext/>
        <w:rPr>
          <w:snapToGrid w:val="0"/>
        </w:rPr>
      </w:pPr>
      <w:r>
        <w:rPr>
          <w:snapToGrid w:val="0"/>
        </w:rPr>
        <w:tab/>
        <w:t>(4)</w:t>
      </w:r>
      <w:r>
        <w:rPr>
          <w:snapToGrid w:val="0"/>
        </w:rPr>
        <w:tab/>
        <w:t>Where an application is made to a strata company in accordance with section 7B —</w:t>
      </w:r>
    </w:p>
    <w:p>
      <w:pPr>
        <w:pStyle w:val="Indenta"/>
        <w:spacing w:before="60"/>
        <w:rPr>
          <w:snapToGrid w:val="0"/>
        </w:rPr>
      </w:pPr>
      <w:r>
        <w:rPr>
          <w:snapToGrid w:val="0"/>
        </w:rPr>
        <w:tab/>
        <w:t>(a)</w:t>
      </w:r>
      <w:r>
        <w:rPr>
          <w:snapToGrid w:val="0"/>
        </w:rPr>
        <w:tab/>
        <w:t>notice of the general meeting to which the application is to be submitted shall contain or be accompanied by a statement, in the prescribed form, of the effect of paragraphs (c) and (d); and</w:t>
      </w:r>
    </w:p>
    <w:p>
      <w:pPr>
        <w:pStyle w:val="Indenta"/>
        <w:spacing w:before="60"/>
        <w:rPr>
          <w:snapToGrid w:val="0"/>
        </w:rPr>
      </w:pPr>
      <w:r>
        <w:rPr>
          <w:snapToGrid w:val="0"/>
        </w:rPr>
        <w:tab/>
        <w:t>(b)</w:t>
      </w:r>
      <w:r>
        <w:rPr>
          <w:snapToGrid w:val="0"/>
        </w:rPr>
        <w:tab/>
        <w:t>the chairman of the general meeting shall before a vote is taken on the application read out the statement referred to in paragraph (a); and</w:t>
      </w:r>
    </w:p>
    <w:p>
      <w:pPr>
        <w:pStyle w:val="Indenta"/>
        <w:keepNext/>
        <w:spacing w:before="60"/>
        <w:rPr>
          <w:snapToGrid w:val="0"/>
        </w:rPr>
      </w:pPr>
      <w:r>
        <w:rPr>
          <w:snapToGrid w:val="0"/>
        </w:rPr>
        <w:tab/>
        <w:t>(c)</w:t>
      </w:r>
      <w:r>
        <w:rPr>
          <w:snapToGrid w:val="0"/>
        </w:rPr>
        <w:tab/>
        <w:t>a proprietor may vote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on any ground that is permitted by subsection (5), but not otherwise; and</w:t>
      </w:r>
    </w:p>
    <w:p>
      <w:pPr>
        <w:pStyle w:val="Indenta"/>
        <w:rPr>
          <w:snapToGrid w:val="0"/>
        </w:rPr>
      </w:pPr>
      <w:r>
        <w:rPr>
          <w:snapToGrid w:val="0"/>
        </w:rPr>
        <w:tab/>
        <w:t>(d)</w:t>
      </w:r>
      <w:r>
        <w:rPr>
          <w:snapToGrid w:val="0"/>
        </w:rPr>
        <w:tab/>
        <w:t>a vote referred to in paragraph (c) is of no effect unless the person casting the vote discloses as a ground for his vote one 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that the carrying out of the proposal will breach the plot ratio restrictions or open space requirements for the lot ascertained in accordance with section 7A(3);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may interfere with any easement created by section 11 or 12;</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ground that is prescribed.</w:t>
      </w:r>
    </w:p>
    <w:p>
      <w:pPr>
        <w:pStyle w:val="Subsection"/>
        <w:rPr>
          <w:snapToGrid w:val="0"/>
        </w:rPr>
      </w:pPr>
      <w:r>
        <w:rPr>
          <w:snapToGrid w:val="0"/>
        </w:rPr>
        <w:tab/>
        <w:t>(6)</w:t>
      </w:r>
      <w:r>
        <w:rPr>
          <w:snapToGrid w:val="0"/>
        </w:rPr>
        <w:tab/>
        <w:t>In this section —</w:t>
      </w:r>
    </w:p>
    <w:p>
      <w:pPr>
        <w:pStyle w:val="Defstart"/>
      </w:pPr>
      <w:r>
        <w:rPr>
          <w:b/>
        </w:rPr>
        <w:tab/>
      </w:r>
      <w:r>
        <w:rPr>
          <w:rStyle w:val="CharDefText"/>
        </w:rPr>
        <w:t>structure</w:t>
      </w:r>
      <w:r>
        <w:t xml:space="preserve"> includes any prescribed improvement;</w:t>
      </w:r>
    </w:p>
    <w:p>
      <w:pPr>
        <w:pStyle w:val="Defstart"/>
      </w:pPr>
      <w:r>
        <w:rPr>
          <w:b/>
        </w:rPr>
        <w:tab/>
      </w:r>
      <w:r>
        <w:rPr>
          <w:rStyle w:val="CharDefText"/>
        </w:rPr>
        <w:t>vacant lot</w:t>
      </w:r>
      <w:r>
        <w:t xml:space="preserve"> means a lot that is wholly unimproved apart from having merged improvements within the meaning of that expression in the </w:t>
      </w:r>
      <w:r>
        <w:rPr>
          <w:i/>
        </w:rPr>
        <w:t>Valuation of Land Act 1978</w:t>
      </w:r>
      <w:r>
        <w:t>.</w:t>
      </w:r>
    </w:p>
    <w:p>
      <w:pPr>
        <w:pStyle w:val="Footnotesection"/>
      </w:pPr>
      <w:r>
        <w:tab/>
        <w:t>[Section 7 inserted: No. 58 of 1995 s. 13.]</w:t>
      </w:r>
    </w:p>
    <w:p>
      <w:pPr>
        <w:pStyle w:val="Heading5"/>
        <w:rPr>
          <w:snapToGrid w:val="0"/>
        </w:rPr>
      </w:pPr>
      <w:bookmarkStart w:id="35" w:name="_Toc530554796"/>
      <w:r>
        <w:rPr>
          <w:rStyle w:val="CharSectno"/>
        </w:rPr>
        <w:t>7A</w:t>
      </w:r>
      <w:r>
        <w:rPr>
          <w:snapToGrid w:val="0"/>
        </w:rPr>
        <w:t>.</w:t>
      </w:r>
      <w:r>
        <w:rPr>
          <w:snapToGrid w:val="0"/>
        </w:rPr>
        <w:tab/>
        <w:t>Structural erections, alterations and extensions restricted, survey</w:t>
      </w:r>
      <w:r>
        <w:rPr>
          <w:snapToGrid w:val="0"/>
        </w:rPr>
        <w:noBreakHyphen/>
        <w:t>strata schemes</w:t>
      </w:r>
      <w:bookmarkEnd w:id="35"/>
    </w:p>
    <w:p>
      <w:pPr>
        <w:pStyle w:val="Subsection"/>
        <w:rPr>
          <w:snapToGrid w:val="0"/>
        </w:rPr>
      </w:pPr>
      <w:r>
        <w:rPr>
          <w:snapToGrid w:val="0"/>
        </w:rPr>
        <w:tab/>
        <w:t>(1)</w:t>
      </w:r>
      <w:r>
        <w:rPr>
          <w:snapToGrid w:val="0"/>
        </w:rPr>
        <w:tab/>
        <w:t>This section does not apply to a lot in a strata scheme.</w:t>
      </w:r>
    </w:p>
    <w:p>
      <w:pPr>
        <w:pStyle w:val="Subsection"/>
        <w:rPr>
          <w:snapToGrid w:val="0"/>
        </w:rPr>
      </w:pPr>
      <w:r>
        <w:rPr>
          <w:snapToGrid w:val="0"/>
        </w:rPr>
        <w:tab/>
        <w:t>(2)</w:t>
      </w:r>
      <w:r>
        <w:rPr>
          <w:snapToGrid w:val="0"/>
        </w:rPr>
        <w:tab/>
        <w:t>The proprietor of a lot shall not cause or permit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 to be made,</w:t>
      </w:r>
    </w:p>
    <w:p>
      <w:pPr>
        <w:pStyle w:val="Subsection"/>
        <w:keepNext/>
        <w:spacing w:before="120"/>
        <w:rPr>
          <w:snapToGrid w:val="0"/>
        </w:rPr>
      </w:pPr>
      <w:r>
        <w:rPr>
          <w:snapToGrid w:val="0"/>
        </w:rPr>
        <w:tab/>
      </w:r>
      <w:r>
        <w:rPr>
          <w:snapToGrid w:val="0"/>
        </w:rPr>
        <w:tab/>
        <w:t>on his lot if on completion of the work the structures on the lot will not conform to plot ratio restrictions or open space requirements for the lot, except —</w:t>
      </w:r>
    </w:p>
    <w:p>
      <w:pPr>
        <w:pStyle w:val="Indenta"/>
        <w:rPr>
          <w:snapToGrid w:val="0"/>
        </w:rPr>
      </w:pPr>
      <w:r>
        <w:rPr>
          <w:snapToGrid w:val="0"/>
        </w:rPr>
        <w:tab/>
        <w:t>(c)</w:t>
      </w:r>
      <w:r>
        <w:rPr>
          <w:snapToGrid w:val="0"/>
        </w:rPr>
        <w:tab/>
        <w:t>with the prior approval of the proprietor of the other lot in the case of a survey</w:t>
      </w:r>
      <w:r>
        <w:rPr>
          <w:snapToGrid w:val="0"/>
        </w:rPr>
        <w:noBreakHyphen/>
        <w:t>strata scheme in which there are not more than 2 lots (not including lots designated as common property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For the purposes of subsection (2) the plot ratio restrictions or open space requirements for a lot are —</w:t>
      </w:r>
    </w:p>
    <w:p>
      <w:pPr>
        <w:pStyle w:val="Indenta"/>
        <w:rPr>
          <w:snapToGrid w:val="0"/>
        </w:rPr>
      </w:pPr>
      <w:r>
        <w:rPr>
          <w:snapToGrid w:val="0"/>
        </w:rPr>
        <w:tab/>
        <w:t>(a)</w:t>
      </w:r>
      <w:r>
        <w:rPr>
          <w:snapToGrid w:val="0"/>
        </w:rPr>
        <w:tab/>
        <w:t>those provided for by the by</w:t>
      </w:r>
      <w:r>
        <w:rPr>
          <w:snapToGrid w:val="0"/>
        </w:rPr>
        <w:noBreakHyphen/>
        <w:t>laws of the strata company; or</w:t>
      </w:r>
    </w:p>
    <w:p>
      <w:pPr>
        <w:pStyle w:val="Indenta"/>
        <w:rPr>
          <w:snapToGrid w:val="0"/>
        </w:rPr>
      </w:pPr>
      <w:r>
        <w:rPr>
          <w:snapToGrid w:val="0"/>
        </w:rPr>
        <w:tab/>
        <w:t>(b)</w:t>
      </w:r>
      <w:r>
        <w:rPr>
          <w:snapToGrid w:val="0"/>
        </w:rPr>
        <w:tab/>
        <w:t xml:space="preserve">in the absence of any such provision, those that represent the </w:t>
      </w:r>
      <w:r>
        <w:rPr>
          <w:i/>
          <w:snapToGrid w:val="0"/>
        </w:rPr>
        <w:t>pro rata</w:t>
      </w:r>
      <w:r>
        <w:rPr>
          <w:snapToGrid w:val="0"/>
        </w:rPr>
        <w:t xml:space="preserve"> entitlements of or requirements for the lot calculated on the proportion that the area of the lot bears to the area of the parcel.</w:t>
      </w:r>
    </w:p>
    <w:p>
      <w:pPr>
        <w:pStyle w:val="Subsection"/>
        <w:rPr>
          <w:snapToGrid w:val="0"/>
        </w:rPr>
      </w:pPr>
      <w:r>
        <w:rPr>
          <w:snapToGrid w:val="0"/>
        </w:rPr>
        <w:tab/>
        <w:t>(4)</w:t>
      </w:r>
      <w:r>
        <w:rPr>
          <w:snapToGrid w:val="0"/>
        </w:rPr>
        <w:tab/>
        <w:t>In this section —</w:t>
      </w:r>
    </w:p>
    <w:p>
      <w:pPr>
        <w:pStyle w:val="Defstart"/>
      </w:pPr>
      <w:r>
        <w:rPr>
          <w:b/>
        </w:rPr>
        <w:tab/>
      </w:r>
      <w:r>
        <w:rPr>
          <w:rStyle w:val="CharDefText"/>
        </w:rPr>
        <w:t>structure</w:t>
      </w:r>
      <w:r>
        <w:t xml:space="preserve"> includes any prescribed improvement.</w:t>
      </w:r>
    </w:p>
    <w:p>
      <w:pPr>
        <w:pStyle w:val="Footnotesection"/>
      </w:pPr>
      <w:r>
        <w:tab/>
        <w:t>[Section 7A inserted: No. 58 of 1995 s. 13.]</w:t>
      </w:r>
    </w:p>
    <w:p>
      <w:pPr>
        <w:pStyle w:val="Heading5"/>
        <w:rPr>
          <w:snapToGrid w:val="0"/>
        </w:rPr>
      </w:pPr>
      <w:bookmarkStart w:id="36" w:name="_Toc530554797"/>
      <w:r>
        <w:rPr>
          <w:rStyle w:val="CharSectno"/>
        </w:rPr>
        <w:t>7B</w:t>
      </w:r>
      <w:r>
        <w:rPr>
          <w:snapToGrid w:val="0"/>
        </w:rPr>
        <w:t>.</w:t>
      </w:r>
      <w:r>
        <w:rPr>
          <w:snapToGrid w:val="0"/>
        </w:rPr>
        <w:tab/>
        <w:t>Further provisions as to approvals for purposes of s. 7 and 7A</w:t>
      </w:r>
      <w:bookmarkEnd w:id="36"/>
    </w:p>
    <w:p>
      <w:pPr>
        <w:pStyle w:val="Subsection"/>
        <w:rPr>
          <w:snapToGrid w:val="0"/>
        </w:rPr>
      </w:pPr>
      <w:r>
        <w:rPr>
          <w:snapToGrid w:val="0"/>
        </w:rPr>
        <w:tab/>
        <w:t>(1)</w:t>
      </w:r>
      <w:r>
        <w:rPr>
          <w:snapToGrid w:val="0"/>
        </w:rPr>
        <w:tab/>
        <w:t>A proprietor who wishes to obtain an approval of a proposal that comes within section 7(2) or 7A(2) shall serve an application on the strata company or the other proprietor, as the case may require, and in the application shall set out details of the proposal and such other information as may be prescribed.</w:t>
      </w:r>
    </w:p>
    <w:p>
      <w:pPr>
        <w:pStyle w:val="Subsection"/>
        <w:rPr>
          <w:snapToGrid w:val="0"/>
        </w:rPr>
      </w:pPr>
      <w:r>
        <w:rPr>
          <w:snapToGrid w:val="0"/>
        </w:rPr>
        <w:tab/>
        <w:t>(2)</w:t>
      </w:r>
      <w:r>
        <w:rPr>
          <w:snapToGrid w:val="0"/>
        </w:rPr>
        <w:tab/>
        <w:t>Where an application is made to a strata company under subsection (1) the council of the company shall submit the application to a general meeting of the company convened for the purpose, or for purposes which include that purpose, within 35 days after the application is received (</w:t>
      </w:r>
      <w:r>
        <w:t xml:space="preserve">the </w:t>
      </w:r>
      <w:r>
        <w:rPr>
          <w:rStyle w:val="CharDefText"/>
        </w:rPr>
        <w:t>allowed period</w:t>
      </w:r>
      <w:r>
        <w:rPr>
          <w:snapToGrid w:val="0"/>
        </w:rPr>
        <w:t>).</w:t>
      </w:r>
    </w:p>
    <w:p>
      <w:pPr>
        <w:pStyle w:val="Subsection"/>
        <w:rPr>
          <w:snapToGrid w:val="0"/>
        </w:rPr>
      </w:pPr>
      <w:r>
        <w:rPr>
          <w:snapToGrid w:val="0"/>
        </w:rPr>
        <w:tab/>
        <w:t>(3)</w:t>
      </w:r>
      <w:r>
        <w:rPr>
          <w:snapToGrid w:val="0"/>
        </w:rPr>
        <w:tab/>
        <w:t>If the council does not —</w:t>
      </w:r>
    </w:p>
    <w:p>
      <w:pPr>
        <w:pStyle w:val="Indenta"/>
        <w:rPr>
          <w:snapToGrid w:val="0"/>
        </w:rPr>
      </w:pPr>
      <w:r>
        <w:rPr>
          <w:snapToGrid w:val="0"/>
        </w:rPr>
        <w:tab/>
        <w:t>(a)</w:t>
      </w:r>
      <w:r>
        <w:rPr>
          <w:snapToGrid w:val="0"/>
        </w:rPr>
        <w:tab/>
        <w:t>give notice of such a meeting, within 14 days after the application is served on the strata company, to each proprietor and registered mortgagee who has notified his interest to the strata company; or</w:t>
      </w:r>
    </w:p>
    <w:p>
      <w:pPr>
        <w:pStyle w:val="Indenta"/>
        <w:rPr>
          <w:snapToGrid w:val="0"/>
        </w:rPr>
      </w:pPr>
      <w:r>
        <w:rPr>
          <w:snapToGrid w:val="0"/>
        </w:rPr>
        <w:tab/>
        <w:t>(b)</w:t>
      </w:r>
      <w:r>
        <w:rPr>
          <w:snapToGrid w:val="0"/>
        </w:rPr>
        <w:tab/>
        <w:t>convene a general meeting of the company within the allowed period,</w:t>
      </w:r>
    </w:p>
    <w:p>
      <w:pPr>
        <w:pStyle w:val="Subsection"/>
        <w:rPr>
          <w:snapToGrid w:val="0"/>
        </w:rPr>
      </w:pPr>
      <w:r>
        <w:rPr>
          <w:snapToGrid w:val="0"/>
        </w:rPr>
        <w:tab/>
      </w:r>
      <w:r>
        <w:rPr>
          <w:snapToGrid w:val="0"/>
        </w:rPr>
        <w:tab/>
        <w:t>any proprietor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Notice in writing of the decision on an application shall be given to the applicant —</w:t>
      </w:r>
    </w:p>
    <w:p>
      <w:pPr>
        <w:pStyle w:val="Indenta"/>
        <w:spacing w:before="60"/>
        <w:rPr>
          <w:snapToGrid w:val="0"/>
        </w:rPr>
      </w:pPr>
      <w:r>
        <w:rPr>
          <w:snapToGrid w:val="0"/>
        </w:rPr>
        <w:tab/>
        <w:t>(a)</w:t>
      </w:r>
      <w:r>
        <w:rPr>
          <w:snapToGrid w:val="0"/>
        </w:rPr>
        <w:tab/>
        <w:t>in the case of a two</w:t>
      </w:r>
      <w:r>
        <w:rPr>
          <w:snapToGrid w:val="0"/>
        </w:rPr>
        <w:noBreakHyphen/>
        <w:t>lot scheme, by the other proprietor within 42 days after the service of the application on him; and</w:t>
      </w:r>
    </w:p>
    <w:p>
      <w:pPr>
        <w:pStyle w:val="Indenta"/>
        <w:spacing w:before="60"/>
        <w:rPr>
          <w:snapToGrid w:val="0"/>
        </w:rPr>
      </w:pPr>
      <w:r>
        <w:rPr>
          <w:snapToGrid w:val="0"/>
        </w:rPr>
        <w:tab/>
        <w:t>(b)</w:t>
      </w:r>
      <w:r>
        <w:rPr>
          <w:snapToGrid w:val="0"/>
        </w:rPr>
        <w:tab/>
        <w:t>in any other case, by the strata company within 77 days after service of the application on the company.</w:t>
      </w:r>
    </w:p>
    <w:p>
      <w:pPr>
        <w:pStyle w:val="Subsection"/>
        <w:rPr>
          <w:snapToGrid w:val="0"/>
        </w:rPr>
      </w:pPr>
      <w:r>
        <w:rPr>
          <w:snapToGrid w:val="0"/>
        </w:rPr>
        <w:tab/>
        <w:t>(6)</w:t>
      </w:r>
      <w:r>
        <w:rPr>
          <w:snapToGrid w:val="0"/>
        </w:rPr>
        <w:tab/>
        <w:t>If an application made to a strata company or the other proprietor for approval under section 7 is not approved, a notice under subsection (5) shall show the ground or grounds —</w:t>
      </w:r>
    </w:p>
    <w:p>
      <w:pPr>
        <w:pStyle w:val="Indenta"/>
        <w:rPr>
          <w:snapToGrid w:val="0"/>
        </w:rPr>
      </w:pPr>
      <w:r>
        <w:rPr>
          <w:snapToGrid w:val="0"/>
        </w:rPr>
        <w:tab/>
        <w:t>(a)</w:t>
      </w:r>
      <w:r>
        <w:rPr>
          <w:snapToGrid w:val="0"/>
        </w:rPr>
        <w:tab/>
        <w:t>disclosed by each proprietor who cast a vote of a kind referred to in section 7(4)(c); or</w:t>
      </w:r>
    </w:p>
    <w:p>
      <w:pPr>
        <w:pStyle w:val="Indenta"/>
        <w:rPr>
          <w:snapToGrid w:val="0"/>
        </w:rPr>
      </w:pPr>
      <w:r>
        <w:rPr>
          <w:snapToGrid w:val="0"/>
        </w:rPr>
        <w:tab/>
        <w:t>(b)</w:t>
      </w:r>
      <w:r>
        <w:rPr>
          <w:snapToGrid w:val="0"/>
        </w:rPr>
        <w:tab/>
        <w:t>on which approval is refused by the other proprietors,</w:t>
      </w:r>
    </w:p>
    <w:p>
      <w:pPr>
        <w:pStyle w:val="Subsection"/>
        <w:rPr>
          <w:snapToGrid w:val="0"/>
        </w:rPr>
      </w:pPr>
      <w:r>
        <w:rPr>
          <w:snapToGrid w:val="0"/>
        </w:rPr>
        <w:tab/>
      </w:r>
      <w:r>
        <w:rPr>
          <w:snapToGrid w:val="0"/>
        </w:rPr>
        <w:tab/>
        <w:t>as the case may be.</w:t>
      </w:r>
    </w:p>
    <w:p>
      <w:pPr>
        <w:pStyle w:val="Subsection"/>
        <w:keepNext/>
        <w:keepLines/>
        <w:rPr>
          <w:snapToGrid w:val="0"/>
        </w:rPr>
      </w:pPr>
      <w:r>
        <w:rPr>
          <w:snapToGrid w:val="0"/>
        </w:rPr>
        <w:tab/>
        <w:t>(7)</w:t>
      </w:r>
      <w:r>
        <w:rPr>
          <w:snapToGrid w:val="0"/>
        </w:rPr>
        <w:tab/>
        <w:t>If notice of a decision is not given to the applicant in accordance with subsection (5) and, where applicable, subsection (6) the approval applied for is to be taken to have been given.</w:t>
      </w:r>
    </w:p>
    <w:p>
      <w:pPr>
        <w:pStyle w:val="Footnotesection"/>
      </w:pPr>
      <w:r>
        <w:tab/>
        <w:t>[Section 7B inserted: No. 58 of 1995 s. 13.]</w:t>
      </w:r>
    </w:p>
    <w:p>
      <w:pPr>
        <w:pStyle w:val="Heading5"/>
        <w:rPr>
          <w:snapToGrid w:val="0"/>
        </w:rPr>
      </w:pPr>
      <w:bookmarkStart w:id="37" w:name="_Toc530554798"/>
      <w:r>
        <w:rPr>
          <w:rStyle w:val="CharSectno"/>
        </w:rPr>
        <w:t>8</w:t>
      </w:r>
      <w:r>
        <w:rPr>
          <w:snapToGrid w:val="0"/>
        </w:rPr>
        <w:t>.</w:t>
      </w:r>
      <w:r>
        <w:rPr>
          <w:snapToGrid w:val="0"/>
        </w:rPr>
        <w:tab/>
        <w:t>Re</w:t>
      </w:r>
      <w:r>
        <w:rPr>
          <w:snapToGrid w:val="0"/>
        </w:rPr>
        <w:noBreakHyphen/>
        <w:t>subdivision within a scheme</w:t>
      </w:r>
      <w:bookmarkEnd w:id="37"/>
    </w:p>
    <w:p>
      <w:pPr>
        <w:pStyle w:val="Subsection"/>
        <w:rPr>
          <w:snapToGrid w:val="0"/>
        </w:rPr>
      </w:pPr>
      <w:r>
        <w:rPr>
          <w:snapToGrid w:val="0"/>
        </w:rPr>
        <w:tab/>
        <w:t>(1)</w:t>
      </w:r>
      <w:r>
        <w:rPr>
          <w:snapToGrid w:val="0"/>
        </w:rPr>
        <w:tab/>
        <w:t>Lots or common property, or lots and common property, may be re</w:t>
      </w:r>
      <w:r>
        <w:rPr>
          <w:snapToGrid w:val="0"/>
        </w:rPr>
        <w:noBreakHyphen/>
        <w:t>subdivided by the registration of a plan under and in the manner provided by this Act as a plan of re</w:t>
      </w:r>
      <w:r>
        <w:rPr>
          <w:snapToGrid w:val="0"/>
        </w:rPr>
        <w:noBreakHyphen/>
        <w:t>subdivision.</w:t>
      </w:r>
    </w:p>
    <w:p>
      <w:pPr>
        <w:pStyle w:val="Subsection"/>
        <w:rPr>
          <w:snapToGrid w:val="0"/>
        </w:rPr>
      </w:pPr>
      <w:r>
        <w:rPr>
          <w:snapToGrid w:val="0"/>
        </w:rPr>
        <w:tab/>
        <w:t>(2)</w:t>
      </w:r>
      <w:r>
        <w:rPr>
          <w:snapToGrid w:val="0"/>
        </w:rPr>
        <w:tab/>
        <w:t>A lot in a strata scheme may only be re</w:t>
      </w:r>
      <w:r>
        <w:rPr>
          <w:snapToGrid w:val="0"/>
        </w:rPr>
        <w:noBreakHyphen/>
        <w:t>subdivided by a strata plan of re</w:t>
      </w:r>
      <w:r>
        <w:rPr>
          <w:snapToGrid w:val="0"/>
        </w:rPr>
        <w:noBreakHyphen/>
        <w:t>subdivision.</w:t>
      </w:r>
    </w:p>
    <w:p>
      <w:pPr>
        <w:pStyle w:val="Subsection"/>
        <w:rPr>
          <w:snapToGrid w:val="0"/>
        </w:rPr>
      </w:pPr>
      <w:r>
        <w:rPr>
          <w:snapToGrid w:val="0"/>
        </w:rPr>
        <w:tab/>
        <w:t>(3)</w:t>
      </w:r>
      <w:r>
        <w:rPr>
          <w:snapToGrid w:val="0"/>
        </w:rPr>
        <w:tab/>
        <w:t>A lot in a survey</w:t>
      </w:r>
      <w:r>
        <w:rPr>
          <w:snapToGrid w:val="0"/>
        </w:rPr>
        <w:noBreakHyphen/>
        <w:t>strata scheme may only be re</w:t>
      </w:r>
      <w:r>
        <w:rPr>
          <w:snapToGrid w:val="0"/>
        </w:rPr>
        <w:noBreakHyphen/>
        <w:t>subdivided by a survey</w:t>
      </w:r>
      <w:r>
        <w:rPr>
          <w:snapToGrid w:val="0"/>
        </w:rPr>
        <w:noBreakHyphen/>
        <w:t>strata plan of re</w:t>
      </w:r>
      <w:r>
        <w:rPr>
          <w:snapToGrid w:val="0"/>
        </w:rPr>
        <w:noBreakHyphen/>
        <w:t>subdivision.</w:t>
      </w:r>
    </w:p>
    <w:p>
      <w:pPr>
        <w:pStyle w:val="Subsection"/>
        <w:rPr>
          <w:snapToGrid w:val="0"/>
        </w:rPr>
      </w:pPr>
      <w:r>
        <w:rPr>
          <w:snapToGrid w:val="0"/>
        </w:rPr>
        <w:tab/>
        <w:t>(4)</w:t>
      </w:r>
      <w:r>
        <w:rPr>
          <w:snapToGrid w:val="0"/>
        </w:rPr>
        <w:tab/>
        <w:t>The reference in subsection (1) to common property does not include common property that is the subject of a lease accepted by the strata company under section 18.</w:t>
      </w:r>
    </w:p>
    <w:p>
      <w:pPr>
        <w:pStyle w:val="Footnotesection"/>
      </w:pPr>
      <w:r>
        <w:tab/>
        <w:t>[Section 8 inserted: No. 58 of 1995 s. 14.]</w:t>
      </w:r>
    </w:p>
    <w:p>
      <w:pPr>
        <w:pStyle w:val="Heading5"/>
        <w:rPr>
          <w:snapToGrid w:val="0"/>
        </w:rPr>
      </w:pPr>
      <w:bookmarkStart w:id="38" w:name="_Toc530554799"/>
      <w:r>
        <w:rPr>
          <w:rStyle w:val="CharSectno"/>
        </w:rPr>
        <w:t>8A</w:t>
      </w:r>
      <w:r>
        <w:rPr>
          <w:snapToGrid w:val="0"/>
        </w:rPr>
        <w:t>.</w:t>
      </w:r>
      <w:r>
        <w:rPr>
          <w:snapToGrid w:val="0"/>
        </w:rPr>
        <w:tab/>
        <w:t>Requirements for plan of re</w:t>
      </w:r>
      <w:r>
        <w:rPr>
          <w:snapToGrid w:val="0"/>
        </w:rPr>
        <w:noBreakHyphen/>
        <w:t>subdivision</w:t>
      </w:r>
      <w:bookmarkEnd w:id="38"/>
    </w:p>
    <w:p>
      <w:pPr>
        <w:pStyle w:val="Subsection"/>
        <w:keepNext/>
        <w:rPr>
          <w:snapToGrid w:val="0"/>
        </w:rPr>
      </w:pPr>
      <w:r>
        <w:rPr>
          <w:snapToGrid w:val="0"/>
        </w:rPr>
        <w:tab/>
      </w:r>
      <w:r>
        <w:rPr>
          <w:snapToGrid w:val="0"/>
        </w:rPr>
        <w:tab/>
        <w:t>A plan of re</w:t>
      </w:r>
      <w:r>
        <w:rPr>
          <w:snapToGrid w:val="0"/>
        </w:rPr>
        <w:noBreakHyphen/>
        <w:t>subdivision shall —</w:t>
      </w:r>
    </w:p>
    <w:p>
      <w:pPr>
        <w:pStyle w:val="Indenta"/>
        <w:keepNext/>
        <w:rPr>
          <w:snapToGrid w:val="0"/>
        </w:rPr>
      </w:pPr>
      <w:r>
        <w:rPr>
          <w:snapToGrid w:val="0"/>
        </w:rPr>
        <w:tab/>
        <w:t>(a)</w:t>
      </w:r>
      <w:r>
        <w:rPr>
          <w:snapToGrid w:val="0"/>
        </w:rPr>
        <w:tab/>
        <w:t>be accompanied by an application in the prescribed form requesting the Registrar of Titles to register the plan; and the application —</w:t>
      </w:r>
    </w:p>
    <w:p>
      <w:pPr>
        <w:pStyle w:val="Indenti"/>
        <w:rPr>
          <w:snapToGrid w:val="0"/>
        </w:rPr>
      </w:pPr>
      <w:r>
        <w:rPr>
          <w:snapToGrid w:val="0"/>
        </w:rPr>
        <w:tab/>
        <w:t>(i)</w:t>
      </w:r>
      <w:r>
        <w:rPr>
          <w:snapToGrid w:val="0"/>
        </w:rPr>
        <w:tab/>
        <w:t>shall be under the seal of the strata company; and</w:t>
      </w:r>
    </w:p>
    <w:p>
      <w:pPr>
        <w:pStyle w:val="Indenti"/>
        <w:keepNext/>
        <w:rPr>
          <w:snapToGrid w:val="0"/>
        </w:rPr>
      </w:pPr>
      <w:r>
        <w:rPr>
          <w:snapToGrid w:val="0"/>
        </w:rPr>
        <w:tab/>
        <w:t>(ii)</w:t>
      </w:r>
      <w:r>
        <w:rPr>
          <w:snapToGrid w:val="0"/>
        </w:rPr>
        <w:tab/>
        <w:t>shall confirm that —</w:t>
      </w:r>
    </w:p>
    <w:p>
      <w:pPr>
        <w:pStyle w:val="IndentI0"/>
        <w:rPr>
          <w:snapToGrid w:val="0"/>
        </w:rPr>
      </w:pPr>
      <w:r>
        <w:rPr>
          <w:snapToGrid w:val="0"/>
        </w:rPr>
        <w:tab/>
        <w:t>(I)</w:t>
      </w:r>
      <w:r>
        <w:rPr>
          <w:snapToGrid w:val="0"/>
        </w:rPr>
        <w:tab/>
        <w:t>the strata company has by unanimous resolution consented to the proposed re</w:t>
      </w:r>
      <w:r>
        <w:rPr>
          <w:snapToGrid w:val="0"/>
        </w:rPr>
        <w:noBreakHyphen/>
        <w:t>subdivision and to the proposed allocation of unit entitlement set out in the application; or</w:t>
      </w:r>
    </w:p>
    <w:p>
      <w:pPr>
        <w:pStyle w:val="IndentI0"/>
        <w:rPr>
          <w:snapToGrid w:val="0"/>
        </w:rPr>
      </w:pPr>
      <w:r>
        <w:rPr>
          <w:snapToGrid w:val="0"/>
        </w:rPr>
        <w:tab/>
        <w:t>(II)</w:t>
      </w:r>
      <w:r>
        <w:rPr>
          <w:snapToGrid w:val="0"/>
        </w:rPr>
        <w:tab/>
        <w:t>the plan either complies with any by</w:t>
      </w:r>
      <w:r>
        <w:rPr>
          <w:snapToGrid w:val="0"/>
        </w:rPr>
        <w:noBreakHyphen/>
        <w:t>laws of the kind described in item 8 in Schedule 2A or sufficiently complies with those by</w:t>
      </w:r>
      <w:r>
        <w:rPr>
          <w:snapToGrid w:val="0"/>
        </w:rPr>
        <w:noBreakHyphen/>
        <w:t>laws in a way that is allowed by the regulations;</w:t>
      </w:r>
    </w:p>
    <w:p>
      <w:pPr>
        <w:pStyle w:val="Indenta"/>
        <w:rPr>
          <w:snapToGrid w:val="0"/>
          <w:spacing w:val="-4"/>
        </w:rPr>
      </w:pPr>
      <w:r>
        <w:rPr>
          <w:snapToGrid w:val="0"/>
          <w:spacing w:val="-4"/>
        </w:rPr>
        <w:tab/>
      </w:r>
      <w:r>
        <w:rPr>
          <w:snapToGrid w:val="0"/>
          <w:spacing w:val="-4"/>
        </w:rPr>
        <w:tab/>
        <w:t>and</w:t>
      </w:r>
    </w:p>
    <w:p>
      <w:pPr>
        <w:pStyle w:val="Indenta"/>
        <w:rPr>
          <w:snapToGrid w:val="0"/>
          <w:spacing w:val="-4"/>
        </w:rPr>
      </w:pPr>
      <w:r>
        <w:rPr>
          <w:snapToGrid w:val="0"/>
          <w:spacing w:val="-4"/>
        </w:rPr>
        <w:tab/>
        <w:t>(b)</w:t>
      </w:r>
      <w:r>
        <w:rPr>
          <w:snapToGrid w:val="0"/>
          <w:spacing w:val="-4"/>
        </w:rPr>
        <w:tab/>
        <w:t>define, in the prescribed manner, the boundaries of each lot in the parcel that is to be altered or created by the plan of re</w:t>
      </w:r>
      <w:r>
        <w:rPr>
          <w:snapToGrid w:val="0"/>
          <w:spacing w:val="-4"/>
        </w:rPr>
        <w:noBreakHyphen/>
        <w:t>subdivision and, in the case of a plan of re</w:t>
      </w:r>
      <w:r>
        <w:rPr>
          <w:snapToGrid w:val="0"/>
          <w:spacing w:val="-4"/>
        </w:rPr>
        <w:noBreakHyphen/>
        <w:t>subdivision for a strata scheme, do so by reference to a floor plan; and</w:t>
      </w:r>
    </w:p>
    <w:p>
      <w:pPr>
        <w:pStyle w:val="Indenta"/>
        <w:rPr>
          <w:snapToGrid w:val="0"/>
        </w:rPr>
      </w:pPr>
      <w:r>
        <w:rPr>
          <w:snapToGrid w:val="0"/>
        </w:rPr>
        <w:tab/>
        <w:t>(c)</w:t>
      </w:r>
      <w:r>
        <w:rPr>
          <w:snapToGrid w:val="0"/>
        </w:rPr>
        <w:tab/>
        <w:t>where amendment of the location plan is necessary in consequence of the re</w:t>
      </w:r>
      <w:r>
        <w:rPr>
          <w:snapToGrid w:val="0"/>
        </w:rPr>
        <w:noBreakHyphen/>
        <w:t>subdivision, be accompanied by an amended location plan or a plan sufficient to enable the Registrar of Titles to amend the location plan to the extent made necessary by the re</w:t>
      </w:r>
      <w:r>
        <w:rPr>
          <w:snapToGrid w:val="0"/>
        </w:rPr>
        <w:noBreakHyphen/>
        <w:t>subdivision; and</w:t>
      </w:r>
    </w:p>
    <w:p>
      <w:pPr>
        <w:pStyle w:val="Indenta"/>
        <w:rPr>
          <w:snapToGrid w:val="0"/>
        </w:rPr>
      </w:pPr>
      <w:r>
        <w:rPr>
          <w:snapToGrid w:val="0"/>
        </w:rPr>
        <w:tab/>
        <w:t>(d)</w:t>
      </w:r>
      <w:r>
        <w:rPr>
          <w:snapToGrid w:val="0"/>
        </w:rPr>
        <w:tab/>
        <w:t>be accompanied by a certificate given by a licensed surveyor containing, subject to appropriate and necessary modifications, the same particulars as are required by section 22(1) or (2), as the case may require; and</w:t>
      </w:r>
    </w:p>
    <w:p>
      <w:pPr>
        <w:pStyle w:val="Indenta"/>
        <w:rPr>
          <w:snapToGrid w:val="0"/>
        </w:rPr>
      </w:pPr>
      <w:r>
        <w:rPr>
          <w:snapToGrid w:val="0"/>
        </w:rPr>
        <w:tab/>
        <w:t>(e)</w:t>
      </w:r>
      <w:r>
        <w:rPr>
          <w:snapToGrid w:val="0"/>
        </w:rPr>
        <w:tab/>
        <w:t>where paragraph (a)(ii)(II) applies, be accompanied by a certificate in the prescribed form given by a licensed surveyor; and</w:t>
      </w:r>
    </w:p>
    <w:p>
      <w:pPr>
        <w:pStyle w:val="Indenta"/>
      </w:pPr>
      <w:r>
        <w:rPr>
          <w:snapToGrid w:val="0"/>
        </w:rPr>
        <w:tab/>
        <w:t>(f)</w:t>
      </w:r>
      <w:r>
        <w:rPr>
          <w:snapToGrid w:val="0"/>
        </w:rPr>
        <w:tab/>
        <w:t>in the case of a re</w:t>
      </w:r>
      <w:r>
        <w:rPr>
          <w:snapToGrid w:val="0"/>
        </w:rPr>
        <w:noBreakHyphen/>
        <w:t xml:space="preserve">subdivision of a lot in a strata scheme, be accompanied </w:t>
      </w:r>
      <w:r>
        <w:t xml:space="preserve">by — </w:t>
      </w:r>
    </w:p>
    <w:p>
      <w:pPr>
        <w:pStyle w:val="Indenti"/>
        <w:rPr>
          <w:snapToGrid w:val="0"/>
        </w:rPr>
      </w:pPr>
      <w:r>
        <w:rPr>
          <w:snapToGrid w:val="0"/>
        </w:rPr>
        <w:tab/>
        <w:t>(i)</w:t>
      </w:r>
      <w:r>
        <w:rPr>
          <w:snapToGrid w:val="0"/>
        </w:rPr>
        <w:tab/>
        <w:t xml:space="preserve">an occupancy permit granted under an application mentioned in the </w:t>
      </w:r>
      <w:r>
        <w:rPr>
          <w:i/>
          <w:iCs/>
          <w:snapToGrid w:val="0"/>
        </w:rPr>
        <w:t xml:space="preserve">Building Act 2011 </w:t>
      </w:r>
      <w:r>
        <w:rPr>
          <w:snapToGrid w:val="0"/>
        </w:rPr>
        <w:t>section 50(2)(a); or</w:t>
      </w:r>
    </w:p>
    <w:p>
      <w:pPr>
        <w:pStyle w:val="Indenti"/>
        <w:rPr>
          <w:snapToGrid w:val="0"/>
        </w:rPr>
      </w:pPr>
      <w:r>
        <w:tab/>
        <w:t>(ii)</w:t>
      </w:r>
      <w:r>
        <w:tab/>
        <w:t xml:space="preserve">a building approval certificate granted under an application mentioned in the </w:t>
      </w:r>
      <w:r>
        <w:rPr>
          <w:i/>
          <w:iCs/>
        </w:rPr>
        <w:t xml:space="preserve">Building Act 2011 </w:t>
      </w:r>
      <w:r>
        <w:t>section </w:t>
      </w:r>
      <w:r>
        <w:rPr>
          <w:snapToGrid w:val="0"/>
        </w:rPr>
        <w:t>50(2)(b)</w:t>
      </w:r>
      <w:r>
        <w:t>;</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where section 25(1) requires or section 25B(2) applies, be accompanied by a certificate of approval of the re</w:t>
      </w:r>
      <w:r>
        <w:rPr>
          <w:snapToGrid w:val="0"/>
        </w:rPr>
        <w:noBreakHyphen/>
        <w:t>subdivision given by the Commission; and</w:t>
      </w:r>
    </w:p>
    <w:p>
      <w:pPr>
        <w:pStyle w:val="Indenta"/>
        <w:rPr>
          <w:snapToGrid w:val="0"/>
        </w:rPr>
      </w:pPr>
      <w:r>
        <w:rPr>
          <w:snapToGrid w:val="0"/>
        </w:rPr>
        <w:tab/>
        <w:t>(h)</w:t>
      </w:r>
      <w:r>
        <w:rPr>
          <w:snapToGrid w:val="0"/>
        </w:rPr>
        <w:tab/>
        <w:t>be accompanied by a certificate of a licensed valuer in accordance with section 14(2); and</w:t>
      </w:r>
    </w:p>
    <w:p>
      <w:pPr>
        <w:pStyle w:val="Indenta"/>
        <w:rPr>
          <w:snapToGrid w:val="0"/>
        </w:rPr>
      </w:pPr>
      <w:r>
        <w:rPr>
          <w:snapToGrid w:val="0"/>
        </w:rPr>
        <w:tab/>
        <w:t>(i)</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re</w:t>
      </w:r>
      <w:r>
        <w:rPr>
          <w:snapToGrid w:val="0"/>
        </w:rPr>
        <w:noBreakHyphen/>
        <w:t>subdivision; and</w:t>
      </w:r>
    </w:p>
    <w:p>
      <w:pPr>
        <w:pStyle w:val="Indenta"/>
        <w:rPr>
          <w:snapToGrid w:val="0"/>
        </w:rPr>
      </w:pPr>
      <w:r>
        <w:rPr>
          <w:snapToGrid w:val="0"/>
        </w:rPr>
        <w:tab/>
        <w:t>(j)</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the unit entitlement of which is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allocation of unit entitlement set out in the application.</w:t>
      </w:r>
    </w:p>
    <w:p>
      <w:pPr>
        <w:pStyle w:val="Footnotesection"/>
        <w:ind w:left="890" w:hanging="890"/>
      </w:pPr>
      <w:r>
        <w:tab/>
        <w:t>[Section 8A inserted: No. 58 of 1995 s. 14; amended: No. 61 of 1996 s. 12; No. 57 of 1997 s. 115(1); No. 24 of 2011 s. 174(3).]</w:t>
      </w:r>
    </w:p>
    <w:p>
      <w:pPr>
        <w:pStyle w:val="Heading5"/>
        <w:rPr>
          <w:snapToGrid w:val="0"/>
        </w:rPr>
      </w:pPr>
      <w:bookmarkStart w:id="39" w:name="_Toc530554800"/>
      <w:r>
        <w:rPr>
          <w:rStyle w:val="CharSectno"/>
        </w:rPr>
        <w:t>8B</w:t>
      </w:r>
      <w:r>
        <w:rPr>
          <w:snapToGrid w:val="0"/>
        </w:rPr>
        <w:t>.</w:t>
      </w:r>
      <w:r>
        <w:rPr>
          <w:snapToGrid w:val="0"/>
        </w:rPr>
        <w:tab/>
        <w:t>Transfers etc. to give effect to plan</w:t>
      </w:r>
      <w:bookmarkEnd w:id="39"/>
    </w:p>
    <w:p>
      <w:pPr>
        <w:pStyle w:val="Subsection"/>
        <w:rPr>
          <w:snapToGrid w:val="0"/>
        </w:rPr>
      </w:pPr>
      <w:r>
        <w:rPr>
          <w:snapToGrid w:val="0"/>
        </w:rPr>
        <w:tab/>
        <w:t>(1)</w:t>
      </w:r>
      <w:r>
        <w:rPr>
          <w:snapToGrid w:val="0"/>
        </w:rPr>
        <w:tab/>
        <w:t>Subject to subsection (2), every transfer or other document that is necessary to give effect to the plan of re</w:t>
      </w:r>
      <w:r>
        <w:rPr>
          <w:snapToGrid w:val="0"/>
        </w:rPr>
        <w:noBreakHyphen/>
        <w:t>subdivision shall be lodged for registration together with the plan of re</w:t>
      </w:r>
      <w:r>
        <w:rPr>
          <w:snapToGrid w:val="0"/>
        </w:rPr>
        <w:noBreakHyphen/>
        <w:t>subdivision.</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proposed re</w:t>
      </w:r>
      <w:r>
        <w:rPr>
          <w:snapToGrid w:val="0"/>
        </w:rPr>
        <w:noBreakHyphen/>
        <w:t>subdivision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keepNext/>
        <w:rPr>
          <w:snapToGrid w:val="0"/>
        </w:rPr>
      </w:pPr>
      <w:r>
        <w:rPr>
          <w:snapToGrid w:val="0"/>
        </w:rPr>
        <w:tab/>
        <w:t>(c)</w:t>
      </w:r>
      <w:r>
        <w:rPr>
          <w:snapToGrid w:val="0"/>
        </w:rPr>
        <w:tab/>
        <w:t>in which any certificate required by section 8A(i) is set out,</w:t>
      </w:r>
    </w:p>
    <w:p>
      <w:pPr>
        <w:pStyle w:val="Subsection"/>
        <w:rPr>
          <w:snapToGrid w:val="0"/>
        </w:rPr>
      </w:pPr>
      <w:r>
        <w:rPr>
          <w:snapToGrid w:val="0"/>
        </w:rPr>
        <w:tab/>
      </w:r>
      <w:r>
        <w:rPr>
          <w:snapToGrid w:val="0"/>
        </w:rPr>
        <w:tab/>
        <w:t>and subsection (1) does not apply if a disposition statement is lodged for registration with the plan of re</w:t>
      </w:r>
      <w:r>
        <w:rPr>
          <w:snapToGrid w:val="0"/>
        </w:rPr>
        <w:noBreakHyphen/>
        <w:t>subdivision.</w:t>
      </w:r>
    </w:p>
    <w:p>
      <w:pPr>
        <w:pStyle w:val="Footnotesection"/>
      </w:pPr>
      <w:r>
        <w:tab/>
        <w:t>[Section 8B inserted: No. 58 of 1995 s. 14.]</w:t>
      </w:r>
    </w:p>
    <w:p>
      <w:pPr>
        <w:pStyle w:val="Heading5"/>
        <w:rPr>
          <w:snapToGrid w:val="0"/>
        </w:rPr>
      </w:pPr>
      <w:bookmarkStart w:id="40" w:name="_Toc530554801"/>
      <w:r>
        <w:rPr>
          <w:rStyle w:val="CharSectno"/>
        </w:rPr>
        <w:t>8C</w:t>
      </w:r>
      <w:r>
        <w:rPr>
          <w:snapToGrid w:val="0"/>
        </w:rPr>
        <w:t>.</w:t>
      </w:r>
      <w:r>
        <w:rPr>
          <w:snapToGrid w:val="0"/>
        </w:rPr>
        <w:tab/>
        <w:t>Effect of registration of plan of re</w:t>
      </w:r>
      <w:r>
        <w:rPr>
          <w:snapToGrid w:val="0"/>
        </w:rPr>
        <w:noBreakHyphen/>
        <w:t>subdivision</w:t>
      </w:r>
      <w:bookmarkEnd w:id="40"/>
    </w:p>
    <w:p>
      <w:pPr>
        <w:pStyle w:val="Subsection"/>
        <w:rPr>
          <w:snapToGrid w:val="0"/>
        </w:rPr>
      </w:pPr>
      <w:r>
        <w:rPr>
          <w:snapToGrid w:val="0"/>
        </w:rPr>
        <w:tab/>
        <w:t>(1)</w:t>
      </w:r>
      <w:r>
        <w:rPr>
          <w:snapToGrid w:val="0"/>
        </w:rPr>
        <w:tab/>
        <w:t>Upon registration, a plan of re</w:t>
      </w:r>
      <w:r>
        <w:rPr>
          <w:snapToGrid w:val="0"/>
        </w:rPr>
        <w:noBreakHyphen/>
        <w:t>subdivision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in the manner prescribed.</w:t>
      </w:r>
    </w:p>
    <w:p>
      <w:pPr>
        <w:pStyle w:val="Subsection"/>
        <w:rPr>
          <w:snapToGrid w:val="0"/>
        </w:rPr>
      </w:pPr>
      <w:r>
        <w:rPr>
          <w:snapToGrid w:val="0"/>
        </w:rPr>
        <w:tab/>
        <w:t>(2)</w:t>
      </w:r>
      <w:r>
        <w:rPr>
          <w:snapToGrid w:val="0"/>
        </w:rPr>
        <w:tab/>
        <w:t>Upon registration of a plan of re</w:t>
      </w:r>
      <w:r>
        <w:rPr>
          <w:snapToGrid w:val="0"/>
        </w:rPr>
        <w:noBreakHyphen/>
        <w:t>subdivision every lot of the strata/survey</w:t>
      </w:r>
      <w:r>
        <w:rPr>
          <w:snapToGrid w:val="0"/>
        </w:rPr>
        <w:noBreakHyphen/>
        <w:t>strata plan as previously registered that —</w:t>
      </w:r>
    </w:p>
    <w:p>
      <w:pPr>
        <w:pStyle w:val="Indenta"/>
        <w:rPr>
          <w:snapToGrid w:val="0"/>
        </w:rPr>
      </w:pPr>
      <w:r>
        <w:rPr>
          <w:snapToGrid w:val="0"/>
        </w:rPr>
        <w:tab/>
        <w:t>(a)</w:t>
      </w:r>
      <w:r>
        <w:rPr>
          <w:snapToGrid w:val="0"/>
        </w:rPr>
        <w:tab/>
        <w:t>is enlarged under the plan of re</w:t>
      </w:r>
      <w:r>
        <w:rPr>
          <w:snapToGrid w:val="0"/>
        </w:rPr>
        <w:noBreakHyphen/>
        <w:t>subdivision by the addition of part of a lot or common property of the strata/survey</w:t>
      </w:r>
      <w:r>
        <w:rPr>
          <w:snapToGrid w:val="0"/>
        </w:rPr>
        <w:noBreakHyphen/>
      </w:r>
      <w:r>
        <w:rPr>
          <w:snapToGrid w:val="0"/>
        </w:rPr>
        <w:softHyphen/>
        <w:t>strata plan as previously registered; or</w:t>
      </w:r>
    </w:p>
    <w:p>
      <w:pPr>
        <w:pStyle w:val="Indenta"/>
        <w:rPr>
          <w:snapToGrid w:val="0"/>
        </w:rPr>
      </w:pPr>
      <w:r>
        <w:rPr>
          <w:snapToGrid w:val="0"/>
        </w:rPr>
        <w:tab/>
        <w:t>(b)</w:t>
      </w:r>
      <w:r>
        <w:rPr>
          <w:snapToGrid w:val="0"/>
        </w:rPr>
        <w:tab/>
        <w:t>is diminished under the plan of re</w:t>
      </w:r>
      <w:r>
        <w:rPr>
          <w:snapToGrid w:val="0"/>
        </w:rPr>
        <w:noBreakHyphen/>
        <w:t>subdivision,</w:t>
      </w:r>
    </w:p>
    <w:p>
      <w:pPr>
        <w:pStyle w:val="Subsection"/>
        <w:rPr>
          <w:snapToGrid w:val="0"/>
        </w:rPr>
      </w:pPr>
      <w:r>
        <w:rPr>
          <w:snapToGrid w:val="0"/>
        </w:rPr>
        <w:tab/>
      </w:r>
      <w:r>
        <w:rPr>
          <w:snapToGrid w:val="0"/>
        </w:rPr>
        <w:tab/>
        <w:t>is by operation of law subject to any encumbrance registered or caveat lodged with the Registrar of Titles against the first</w:t>
      </w:r>
      <w:r>
        <w:rPr>
          <w:snapToGrid w:val="0"/>
        </w:rPr>
        <w:noBreakHyphen/>
        <w:t>mentioned lot and every such encumbrance or caveat is deemed to be amended accordingly.</w:t>
      </w:r>
    </w:p>
    <w:p>
      <w:pPr>
        <w:pStyle w:val="Subsection"/>
        <w:rPr>
          <w:snapToGrid w:val="0"/>
        </w:rPr>
      </w:pPr>
      <w:r>
        <w:rPr>
          <w:snapToGrid w:val="0"/>
        </w:rPr>
        <w:tab/>
        <w:t>(3)</w:t>
      </w:r>
      <w:r>
        <w:rPr>
          <w:snapToGrid w:val="0"/>
        </w:rPr>
        <w:tab/>
        <w:t>Upon registration of a plan of re</w:t>
      </w:r>
      <w:r>
        <w:rPr>
          <w:snapToGrid w:val="0"/>
        </w:rPr>
        <w:noBreakHyphen/>
        <w:t>subdivision —</w:t>
      </w:r>
    </w:p>
    <w:p>
      <w:pPr>
        <w:pStyle w:val="Indenta"/>
        <w:rPr>
          <w:snapToGrid w:val="0"/>
        </w:rPr>
      </w:pPr>
      <w:r>
        <w:rPr>
          <w:snapToGrid w:val="0"/>
        </w:rPr>
        <w:tab/>
        <w:t>(a)</w:t>
      </w:r>
      <w:r>
        <w:rPr>
          <w:snapToGrid w:val="0"/>
        </w:rPr>
        <w:tab/>
        <w:t>every lot or part lot of the strata/survey</w:t>
      </w:r>
      <w:r>
        <w:rPr>
          <w:snapToGrid w:val="0"/>
        </w:rPr>
        <w:noBreakHyphen/>
        <w:t>strata plan as previously registered that is common property under the plan of re</w:t>
      </w:r>
      <w:r>
        <w:rPr>
          <w:snapToGrid w:val="0"/>
        </w:rPr>
        <w:noBreakHyphen/>
        <w:t>subdivision by operation of law vests in the proprietors to be held by them as tenants in common in shares proportional to the unit entitlements of their respective lots; and</w:t>
      </w:r>
    </w:p>
    <w:p>
      <w:pPr>
        <w:pStyle w:val="Indenta"/>
        <w:rPr>
          <w:snapToGrid w:val="0"/>
        </w:rPr>
      </w:pPr>
      <w:r>
        <w:rPr>
          <w:snapToGrid w:val="0"/>
        </w:rPr>
        <w:tab/>
        <w:t>(b)</w:t>
      </w:r>
      <w:r>
        <w:rPr>
          <w:snapToGrid w:val="0"/>
        </w:rPr>
        <w:tab/>
        <w:t>the share of a proprietor in common property vested in the proprietors pursuant to the amended schedule of unit entitlement by operation of law is subject to any encumbrance registered or caveat lodged with the Registrar of Titles against his lot and every such encumbrance or caveat is deemed to be amended accordingly.</w:t>
      </w:r>
    </w:p>
    <w:p>
      <w:pPr>
        <w:pStyle w:val="Footnotesection"/>
      </w:pPr>
      <w:r>
        <w:tab/>
        <w:t>[Section 8C inserted: No. 58 of 1995 s. 14.]</w:t>
      </w:r>
    </w:p>
    <w:p>
      <w:pPr>
        <w:pStyle w:val="Heading5"/>
        <w:rPr>
          <w:snapToGrid w:val="0"/>
        </w:rPr>
      </w:pPr>
      <w:bookmarkStart w:id="41" w:name="_Toc530554802"/>
      <w:r>
        <w:rPr>
          <w:rStyle w:val="CharSectno"/>
        </w:rPr>
        <w:t>9</w:t>
      </w:r>
      <w:r>
        <w:rPr>
          <w:snapToGrid w:val="0"/>
        </w:rPr>
        <w:t>.</w:t>
      </w:r>
      <w:r>
        <w:rPr>
          <w:snapToGrid w:val="0"/>
        </w:rPr>
        <w:tab/>
        <w:t>Consolidation of lots</w:t>
      </w:r>
      <w:bookmarkEnd w:id="41"/>
    </w:p>
    <w:p>
      <w:pPr>
        <w:pStyle w:val="Subsection"/>
        <w:rPr>
          <w:snapToGrid w:val="0"/>
        </w:rPr>
      </w:pPr>
      <w:r>
        <w:rPr>
          <w:snapToGrid w:val="0"/>
        </w:rPr>
        <w:tab/>
        <w:t>(1)</w:t>
      </w:r>
      <w:r>
        <w:rPr>
          <w:snapToGrid w:val="0"/>
        </w:rPr>
        <w:tab/>
        <w:t>Two or more lots may be consolidated into one lot by the registration of a plan under and in the manner provided by this Act as a strata/survey</w:t>
      </w:r>
      <w:r>
        <w:rPr>
          <w:snapToGrid w:val="0"/>
        </w:rPr>
        <w:noBreakHyphen/>
        <w:t>strata plan of consolidation.</w:t>
      </w:r>
    </w:p>
    <w:p>
      <w:pPr>
        <w:pStyle w:val="Subsection"/>
        <w:rPr>
          <w:snapToGrid w:val="0"/>
        </w:rPr>
      </w:pPr>
      <w:r>
        <w:rPr>
          <w:snapToGrid w:val="0"/>
        </w:rPr>
        <w:tab/>
        <w:t>(2)</w:t>
      </w:r>
      <w:r>
        <w:rPr>
          <w:snapToGrid w:val="0"/>
        </w:rPr>
        <w:tab/>
        <w:t>The unit entitlement of a lot created by the consolidation of 2 or more lots shall be the sum of the unit entitlements of each of those lots.</w:t>
      </w:r>
    </w:p>
    <w:p>
      <w:pPr>
        <w:pStyle w:val="Subsection"/>
        <w:rPr>
          <w:snapToGrid w:val="0"/>
        </w:rPr>
      </w:pPr>
      <w:r>
        <w:rPr>
          <w:snapToGrid w:val="0"/>
        </w:rPr>
        <w:tab/>
        <w:t>(3)</w:t>
      </w:r>
      <w:r>
        <w:rPr>
          <w:snapToGrid w:val="0"/>
        </w:rPr>
        <w:tab/>
        <w:t>A strata/survey</w:t>
      </w:r>
      <w:r>
        <w:rPr>
          <w:snapToGrid w:val="0"/>
        </w:rPr>
        <w:noBreakHyphen/>
        <w:t>strata plan of consolidation shall —</w:t>
      </w:r>
    </w:p>
    <w:p>
      <w:pPr>
        <w:pStyle w:val="Indenta"/>
        <w:spacing w:before="60"/>
        <w:rPr>
          <w:snapToGrid w:val="0"/>
        </w:rPr>
      </w:pPr>
      <w:r>
        <w:rPr>
          <w:snapToGrid w:val="0"/>
        </w:rPr>
        <w:tab/>
        <w:t>(a)</w:t>
      </w:r>
      <w:r>
        <w:rPr>
          <w:snapToGrid w:val="0"/>
        </w:rPr>
        <w:tab/>
        <w:t>where section 25(1) requires, be accompanied by a certificate of approval of the consolidation given by the Commission; and</w:t>
      </w:r>
    </w:p>
    <w:p>
      <w:pPr>
        <w:pStyle w:val="Indenta"/>
        <w:spacing w:before="60"/>
        <w:rPr>
          <w:snapToGrid w:val="0"/>
        </w:rPr>
      </w:pPr>
      <w:r>
        <w:rPr>
          <w:snapToGrid w:val="0"/>
        </w:rPr>
        <w:tab/>
        <w:t>(b)</w:t>
      </w:r>
      <w:r>
        <w:rPr>
          <w:snapToGrid w:val="0"/>
        </w:rPr>
        <w:tab/>
        <w:t>in the case of a consolidation of lots in a strata scheme, be accompanied by a certificate given by the local government certifying —</w:t>
      </w:r>
    </w:p>
    <w:p>
      <w:pPr>
        <w:pStyle w:val="Indenti"/>
        <w:spacing w:before="60"/>
        <w:rPr>
          <w:snapToGrid w:val="0"/>
        </w:rPr>
      </w:pPr>
      <w:r>
        <w:rPr>
          <w:snapToGrid w:val="0"/>
        </w:rPr>
        <w:tab/>
        <w:t>(i)</w:t>
      </w:r>
      <w:r>
        <w:rPr>
          <w:snapToGrid w:val="0"/>
        </w:rPr>
        <w:tab/>
        <w:t>that the local government consents to the consolidation; and</w:t>
      </w:r>
    </w:p>
    <w:p>
      <w:pPr>
        <w:pStyle w:val="Indenti"/>
        <w:spacing w:before="60"/>
        <w:rPr>
          <w:snapToGrid w:val="0"/>
        </w:rPr>
      </w:pPr>
      <w:r>
        <w:rPr>
          <w:snapToGrid w:val="0"/>
        </w:rPr>
        <w:tab/>
        <w:t>(ii)</w:t>
      </w:r>
      <w:r>
        <w:rPr>
          <w:snapToGrid w:val="0"/>
        </w:rPr>
        <w:tab/>
        <w:t>in a case where the proposed consolidation is exempt from the requirement of approval by the Commission, that the proposed consolidation is so exempt; and</w:t>
      </w:r>
    </w:p>
    <w:p>
      <w:pPr>
        <w:pStyle w:val="Indenti"/>
        <w:spacing w:before="60"/>
        <w:rPr>
          <w:snapToGrid w:val="0"/>
        </w:rPr>
      </w:pPr>
      <w:r>
        <w:rPr>
          <w:snapToGrid w:val="0"/>
        </w:rPr>
        <w:tab/>
        <w:t>(iii)</w:t>
      </w:r>
      <w:r>
        <w:rPr>
          <w:snapToGrid w:val="0"/>
        </w:rPr>
        <w:tab/>
        <w:t>in a case where the Commission has granted approval subject to conditions under section 25, that the conditions attached to the approval of the Commission have been complied with;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consent to the consolidation given in the prescribed manner by every person registered as proprietor of an interest in any lot proposed to be consolidated.</w:t>
      </w:r>
    </w:p>
    <w:p>
      <w:pPr>
        <w:pStyle w:val="Subsection"/>
        <w:rPr>
          <w:snapToGrid w:val="0"/>
        </w:rPr>
      </w:pPr>
      <w:r>
        <w:rPr>
          <w:snapToGrid w:val="0"/>
        </w:rPr>
        <w:tab/>
        <w:t>(4)</w:t>
      </w:r>
      <w:r>
        <w:rPr>
          <w:snapToGrid w:val="0"/>
        </w:rPr>
        <w:tab/>
        <w:t>Upon registration a strata/survey</w:t>
      </w:r>
      <w:r>
        <w:rPr>
          <w:snapToGrid w:val="0"/>
        </w:rPr>
        <w:noBreakHyphen/>
        <w:t>strata plan of consolidation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accordingly in the prescribed manner.</w:t>
      </w:r>
    </w:p>
    <w:p>
      <w:pPr>
        <w:pStyle w:val="Footnotesection"/>
      </w:pPr>
      <w:r>
        <w:tab/>
        <w:t>[Section 9 amended: No. 84 of 1994 s. 46; No. 58 of 1995 s. 15 and 95; No. 14 of 1996 s. 4.]</w:t>
      </w:r>
    </w:p>
    <w:p>
      <w:pPr>
        <w:pStyle w:val="Heading5"/>
        <w:rPr>
          <w:snapToGrid w:val="0"/>
        </w:rPr>
      </w:pPr>
      <w:bookmarkStart w:id="42" w:name="_Toc530554803"/>
      <w:r>
        <w:rPr>
          <w:rStyle w:val="CharSectno"/>
        </w:rPr>
        <w:t>10</w:t>
      </w:r>
      <w:r>
        <w:rPr>
          <w:snapToGrid w:val="0"/>
        </w:rPr>
        <w:t>.</w:t>
      </w:r>
      <w:r>
        <w:rPr>
          <w:snapToGrid w:val="0"/>
        </w:rPr>
        <w:tab/>
        <w:t>Conversion of lots into common property</w:t>
      </w:r>
      <w:bookmarkEnd w:id="42"/>
    </w:p>
    <w:p>
      <w:pPr>
        <w:pStyle w:val="Subsection"/>
        <w:rPr>
          <w:snapToGrid w:val="0"/>
        </w:rPr>
      </w:pPr>
      <w:r>
        <w:rPr>
          <w:snapToGrid w:val="0"/>
        </w:rPr>
        <w:tab/>
        <w:t>(1)</w:t>
      </w:r>
      <w:r>
        <w:rPr>
          <w:snapToGrid w:val="0"/>
        </w:rPr>
        <w:tab/>
        <w:t>One or more lots may be converted into common property by the registration of a transfer executed by the proprietor or proprietors of that lot or those lots and by the strata company.</w:t>
      </w:r>
    </w:p>
    <w:p>
      <w:pPr>
        <w:pStyle w:val="Subsection"/>
        <w:rPr>
          <w:snapToGrid w:val="0"/>
        </w:rPr>
      </w:pPr>
      <w:r>
        <w:rPr>
          <w:snapToGrid w:val="0"/>
        </w:rPr>
        <w:tab/>
        <w:t>(2)</w:t>
      </w:r>
      <w:r>
        <w:rPr>
          <w:snapToGrid w:val="0"/>
        </w:rPr>
        <w:tab/>
        <w:t>A transfer under subsection (1) shall not be registered unless —</w:t>
      </w:r>
    </w:p>
    <w:p>
      <w:pPr>
        <w:pStyle w:val="Indenta"/>
        <w:rPr>
          <w:snapToGrid w:val="0"/>
        </w:rPr>
      </w:pPr>
      <w:r>
        <w:rPr>
          <w:snapToGrid w:val="0"/>
        </w:rPr>
        <w:tab/>
        <w:t>(a)</w:t>
      </w:r>
      <w:r>
        <w:rPr>
          <w:snapToGrid w:val="0"/>
        </w:rPr>
        <w:tab/>
        <w:t>it is accompanied by a certificate given by the local government consenting to the conversion into common property effected by the transfer; and</w:t>
      </w:r>
    </w:p>
    <w:p>
      <w:pPr>
        <w:pStyle w:val="Indenta"/>
        <w:rPr>
          <w:snapToGrid w:val="0"/>
        </w:rPr>
      </w:pPr>
      <w:r>
        <w:rPr>
          <w:snapToGrid w:val="0"/>
        </w:rPr>
        <w:tab/>
        <w:t>(b)</w:t>
      </w:r>
      <w:r>
        <w:rPr>
          <w:snapToGrid w:val="0"/>
        </w:rPr>
        <w:tab/>
        <w:t>it is accompanied by a certificate under seal of the strata company certifying that the strata company has by resolution without dissent (or unanimous resolution, in the case of a two</w:t>
      </w:r>
      <w:r>
        <w:rPr>
          <w:snapToGrid w:val="0"/>
        </w:rPr>
        <w:noBreakHyphen/>
        <w:t>lot scheme) consented to the conversion effected by the transfer; and</w:t>
      </w:r>
    </w:p>
    <w:p>
      <w:pPr>
        <w:pStyle w:val="Indenta"/>
        <w:rPr>
          <w:snapToGrid w:val="0"/>
        </w:rPr>
      </w:pPr>
      <w:r>
        <w:rPr>
          <w:snapToGrid w:val="0"/>
        </w:rPr>
        <w:tab/>
        <w:t>(c)</w:t>
      </w:r>
      <w:r>
        <w:rPr>
          <w:snapToGrid w:val="0"/>
        </w:rPr>
        <w:tab/>
        <w:t>every mortgage, charge, current lease, caveat or other interest recorded in the Register in relation to the lot or each lot to which the transfer relates has, in so far as it affects any such lot, been discharged or surrendered or withdrawn or otherwise disposed of, as the case may be.</w:t>
      </w:r>
    </w:p>
    <w:p>
      <w:pPr>
        <w:pStyle w:val="Subsection"/>
        <w:rPr>
          <w:snapToGrid w:val="0"/>
        </w:rPr>
      </w:pPr>
      <w:r>
        <w:rPr>
          <w:snapToGrid w:val="0"/>
        </w:rPr>
        <w:tab/>
        <w:t>(3)</w:t>
      </w:r>
      <w:r>
        <w:rPr>
          <w:snapToGrid w:val="0"/>
        </w:rPr>
        <w:tab/>
        <w:t>Upon the registration of a transfer under this section, the land comprised in the transfer becomes common property and is subject to the provisions of this Act relating to common property and the Registrar of Titles shall —</w:t>
      </w:r>
    </w:p>
    <w:p>
      <w:pPr>
        <w:pStyle w:val="Indenta"/>
        <w:rPr>
          <w:snapToGrid w:val="0"/>
        </w:rPr>
      </w:pPr>
      <w:r>
        <w:rPr>
          <w:snapToGrid w:val="0"/>
        </w:rPr>
        <w:tab/>
        <w:t>(a)</w:t>
      </w:r>
      <w:r>
        <w:rPr>
          <w:snapToGrid w:val="0"/>
        </w:rPr>
        <w:tab/>
        <w:t>amend the strata/survey</w:t>
      </w:r>
      <w:r>
        <w:rPr>
          <w:snapToGrid w:val="0"/>
        </w:rPr>
        <w:noBreakHyphen/>
        <w:t>strata plan in the prescribed manner; and</w:t>
      </w:r>
    </w:p>
    <w:p>
      <w:pPr>
        <w:pStyle w:val="Indenta"/>
        <w:rPr>
          <w:snapToGrid w:val="0"/>
        </w:rPr>
      </w:pPr>
      <w:r>
        <w:rPr>
          <w:snapToGrid w:val="0"/>
        </w:rPr>
        <w:tab/>
        <w:t>(b)</w:t>
      </w:r>
      <w:r>
        <w:rPr>
          <w:snapToGrid w:val="0"/>
        </w:rPr>
        <w:tab/>
        <w:t>amend the schedule of unit entitlement in the prescribed manner; and</w:t>
      </w:r>
    </w:p>
    <w:p>
      <w:pPr>
        <w:pStyle w:val="Indenta"/>
        <w:rPr>
          <w:snapToGrid w:val="0"/>
        </w:rPr>
      </w:pPr>
      <w:r>
        <w:rPr>
          <w:snapToGrid w:val="0"/>
        </w:rPr>
        <w:tab/>
        <w:t>(c)</w:t>
      </w:r>
      <w:r>
        <w:rPr>
          <w:snapToGrid w:val="0"/>
        </w:rPr>
        <w:tab/>
        <w:t>cancel the certificate of title for each lot converted into common property.</w:t>
      </w:r>
    </w:p>
    <w:p>
      <w:pPr>
        <w:pStyle w:val="Subsection"/>
        <w:rPr>
          <w:snapToGrid w:val="0"/>
        </w:rPr>
      </w:pPr>
      <w:r>
        <w:rPr>
          <w:snapToGrid w:val="0"/>
        </w:rPr>
        <w:tab/>
        <w:t>(4)</w:t>
      </w:r>
      <w:r>
        <w:rPr>
          <w:snapToGrid w:val="0"/>
        </w:rPr>
        <w:tab/>
        <w:t>Upon the registration of a transfer under this section, 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[Section 10 amended: No. 58 of 1995 s. 92 and 95; No. 14 of 1996 s. 4; No. 81 of 1996 s. 153(1).]</w:t>
      </w:r>
    </w:p>
    <w:p>
      <w:pPr>
        <w:pStyle w:val="Heading5"/>
        <w:rPr>
          <w:snapToGrid w:val="0"/>
        </w:rPr>
      </w:pPr>
      <w:bookmarkStart w:id="43" w:name="_Toc530554804"/>
      <w:r>
        <w:rPr>
          <w:rStyle w:val="CharSectno"/>
        </w:rPr>
        <w:t>11</w:t>
      </w:r>
      <w:r>
        <w:rPr>
          <w:snapToGrid w:val="0"/>
        </w:rPr>
        <w:t>.</w:t>
      </w:r>
      <w:r>
        <w:rPr>
          <w:snapToGrid w:val="0"/>
        </w:rPr>
        <w:tab/>
        <w:t>Support and services</w:t>
      </w:r>
      <w:bookmarkEnd w:id="43"/>
    </w:p>
    <w:p>
      <w:pPr>
        <w:pStyle w:val="Subsection"/>
        <w:rPr>
          <w:snapToGrid w:val="0"/>
        </w:rPr>
      </w:pPr>
      <w:r>
        <w:rPr>
          <w:snapToGrid w:val="0"/>
        </w:rPr>
        <w:tab/>
        <w:t>(1)</w:t>
      </w:r>
      <w:r>
        <w:rPr>
          <w:snapToGrid w:val="0"/>
        </w:rPr>
        <w:tab/>
        <w:t>In respect of each lot there shall be implied —</w:t>
      </w:r>
    </w:p>
    <w:p>
      <w:pPr>
        <w:pStyle w:val="Indenta"/>
        <w:keepNext/>
        <w:rPr>
          <w:snapToGrid w:val="0"/>
          <w:spacing w:val="-4"/>
        </w:rPr>
      </w:pPr>
      <w:r>
        <w:rPr>
          <w:snapToGrid w:val="0"/>
          <w:spacing w:val="-4"/>
        </w:rPr>
        <w:tab/>
        <w:t>(a)</w:t>
      </w:r>
      <w:r>
        <w:rPr>
          <w:snapToGrid w:val="0"/>
          <w:spacing w:val="-4"/>
        </w:rPr>
        <w:tab/>
        <w:t>in favour of the proprietor and as appurtenant to his lot —</w:t>
      </w:r>
    </w:p>
    <w:p>
      <w:pPr>
        <w:pStyle w:val="Indenti"/>
        <w:rPr>
          <w:snapToGrid w:val="0"/>
        </w:rPr>
      </w:pPr>
      <w:r>
        <w:rPr>
          <w:snapToGrid w:val="0"/>
        </w:rPr>
        <w:tab/>
        <w:t>(i)</w:t>
      </w:r>
      <w:r>
        <w:rPr>
          <w:snapToGrid w:val="0"/>
        </w:rPr>
        <w:tab/>
        <w:t>an easement for the subjacent and lateral support thereof by the common property and by every other lot capable of affording support; and</w:t>
      </w:r>
    </w:p>
    <w:p>
      <w:pPr>
        <w:pStyle w:val="Indenti"/>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in the land comprising the parcel to the extent to which those pipes, wires, cables or ducts are capable of being used in connection with the enjoyment of that lot;</w:t>
      </w:r>
    </w:p>
    <w:p>
      <w:pPr>
        <w:pStyle w:val="Indenta"/>
        <w:keepNext/>
        <w:rPr>
          <w:snapToGrid w:val="0"/>
        </w:rPr>
      </w:pPr>
      <w:r>
        <w:rPr>
          <w:snapToGrid w:val="0"/>
        </w:rPr>
        <w:tab/>
        <w:t>(b)</w:t>
      </w:r>
      <w:r>
        <w:rPr>
          <w:snapToGrid w:val="0"/>
        </w:rPr>
        <w:tab/>
        <w:t>as against the proprietor and to which his lot shall be subject —</w:t>
      </w:r>
    </w:p>
    <w:p>
      <w:pPr>
        <w:pStyle w:val="Indenti"/>
        <w:rPr>
          <w:snapToGrid w:val="0"/>
        </w:rPr>
      </w:pPr>
      <w:r>
        <w:rPr>
          <w:snapToGrid w:val="0"/>
        </w:rPr>
        <w:tab/>
        <w:t>(i)</w:t>
      </w:r>
      <w:r>
        <w:rPr>
          <w:snapToGrid w:val="0"/>
        </w:rPr>
        <w:tab/>
        <w:t>an easement for the subjacent and lateral support of the common property and of every other lot capable of enjoying support; and</w:t>
      </w:r>
    </w:p>
    <w:p>
      <w:pPr>
        <w:pStyle w:val="Indenti"/>
        <w:keepNext/>
        <w:keepLines/>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within that lot, as appurtenant to the common property and also to every other lot capable of enjoying such easements.</w:t>
      </w:r>
    </w:p>
    <w:p>
      <w:pPr>
        <w:pStyle w:val="Subsection"/>
        <w:keepNext/>
        <w:rPr>
          <w:snapToGrid w:val="0"/>
        </w:rPr>
      </w:pPr>
      <w:r>
        <w:rPr>
          <w:snapToGrid w:val="0"/>
        </w:rPr>
        <w:tab/>
        <w:t>(2)</w:t>
      </w:r>
      <w:r>
        <w:rPr>
          <w:snapToGrid w:val="0"/>
        </w:rPr>
        <w:tab/>
        <w:t>A proprietor, mortgagee in possession or occupier of a lot shall not do any thing or permit any thing to be done on or in relation to that lot so that —</w:t>
      </w:r>
    </w:p>
    <w:p>
      <w:pPr>
        <w:pStyle w:val="Indenta"/>
        <w:rPr>
          <w:snapToGrid w:val="0"/>
        </w:rPr>
      </w:pPr>
      <w:r>
        <w:rPr>
          <w:snapToGrid w:val="0"/>
        </w:rPr>
        <w:tab/>
        <w:t>(a)</w:t>
      </w:r>
      <w:r>
        <w:rPr>
          <w:snapToGrid w:val="0"/>
        </w:rPr>
        <w:tab/>
        <w:t>any support or shelter provided by that lot for another lot or common property is interfered with; or</w:t>
      </w:r>
    </w:p>
    <w:p>
      <w:pPr>
        <w:pStyle w:val="Indenta"/>
        <w:rPr>
          <w:snapToGrid w:val="0"/>
        </w:rPr>
      </w:pPr>
      <w:r>
        <w:rPr>
          <w:snapToGrid w:val="0"/>
        </w:rPr>
        <w:tab/>
        <w:t>(b)</w:t>
      </w:r>
      <w:r>
        <w:rPr>
          <w:snapToGrid w:val="0"/>
        </w:rPr>
        <w:tab/>
        <w:t>the passage or provision of water, sewerage, drainage, gas, electricity, garbage, artificially heated or cooled air, heating oil and other services, including telephone, radio and television services, through or by means of any pipes, wires, cables or ducts for the time being in the lot is interfered with.</w:t>
      </w:r>
    </w:p>
    <w:p>
      <w:pPr>
        <w:pStyle w:val="Heading5"/>
        <w:keepNext w:val="0"/>
        <w:keepLines w:val="0"/>
        <w:rPr>
          <w:snapToGrid w:val="0"/>
        </w:rPr>
      </w:pPr>
      <w:bookmarkStart w:id="44" w:name="_Toc530554805"/>
      <w:r>
        <w:rPr>
          <w:rStyle w:val="CharSectno"/>
        </w:rPr>
        <w:t>12</w:t>
      </w:r>
      <w:r>
        <w:rPr>
          <w:snapToGrid w:val="0"/>
        </w:rPr>
        <w:t>.</w:t>
      </w:r>
      <w:r>
        <w:rPr>
          <w:snapToGrid w:val="0"/>
        </w:rPr>
        <w:tab/>
        <w:t>Shelter</w:t>
      </w:r>
      <w:bookmarkEnd w:id="44"/>
    </w:p>
    <w:p>
      <w:pPr>
        <w:pStyle w:val="Subsection"/>
        <w:rPr>
          <w:snapToGrid w:val="0"/>
        </w:rPr>
      </w:pPr>
      <w:r>
        <w:rPr>
          <w:snapToGrid w:val="0"/>
        </w:rPr>
        <w:tab/>
        <w:t>(1)</w:t>
      </w:r>
      <w:r>
        <w:rPr>
          <w:snapToGrid w:val="0"/>
        </w:rPr>
        <w:tab/>
        <w:t>Every proprietor of a lot on a strata plan is entitled to have his lot sheltered by all such parts of the building as are capable of affording shelter.</w:t>
      </w:r>
    </w:p>
    <w:p>
      <w:pPr>
        <w:pStyle w:val="Subsection"/>
        <w:rPr>
          <w:snapToGrid w:val="0"/>
        </w:rPr>
      </w:pPr>
      <w:r>
        <w:rPr>
          <w:snapToGrid w:val="0"/>
        </w:rPr>
        <w:tab/>
        <w:t>(2)</w:t>
      </w:r>
      <w:r>
        <w:rPr>
          <w:snapToGrid w:val="0"/>
        </w:rPr>
        <w:tab/>
        <w:t>The right created by subsection (1) is an easement to which such parts of the building as are referred to in that subsection shall be subject.</w:t>
      </w:r>
    </w:p>
    <w:p>
      <w:pPr>
        <w:pStyle w:val="Subsection"/>
        <w:rPr>
          <w:snapToGrid w:val="0"/>
        </w:rPr>
      </w:pPr>
      <w:r>
        <w:rPr>
          <w:snapToGrid w:val="0"/>
        </w:rPr>
        <w:tab/>
        <w:t>(3)</w:t>
      </w:r>
      <w:r>
        <w:rPr>
          <w:snapToGrid w:val="0"/>
        </w:rPr>
        <w:tab/>
        <w:t>The easement of shelter created by this section entitles the proprietor of the dominant tenement to enter on the servient tenement to replace, renew or restore any shelter.</w:t>
      </w:r>
    </w:p>
    <w:p>
      <w:pPr>
        <w:pStyle w:val="Footnotesection"/>
      </w:pPr>
      <w:r>
        <w:tab/>
        <w:t>[Section 12 amended: No. 58 of 1995 s. 16.]</w:t>
      </w:r>
    </w:p>
    <w:p>
      <w:pPr>
        <w:pStyle w:val="Heading5"/>
        <w:rPr>
          <w:snapToGrid w:val="0"/>
        </w:rPr>
      </w:pPr>
      <w:bookmarkStart w:id="45" w:name="_Toc530554806"/>
      <w:r>
        <w:rPr>
          <w:rStyle w:val="CharSectno"/>
        </w:rPr>
        <w:t>12A</w:t>
      </w:r>
      <w:r>
        <w:rPr>
          <w:snapToGrid w:val="0"/>
        </w:rPr>
        <w:t>.</w:t>
      </w:r>
      <w:r>
        <w:rPr>
          <w:snapToGrid w:val="0"/>
        </w:rPr>
        <w:tab/>
        <w:t>Access for maintenance where part of building intrudes into another lot</w:t>
      </w:r>
      <w:bookmarkEnd w:id="45"/>
    </w:p>
    <w:p>
      <w:pPr>
        <w:pStyle w:val="Subsection"/>
        <w:keepNext/>
      </w:pPr>
      <w:r>
        <w:tab/>
        <w:t>(1)</w:t>
      </w:r>
      <w:r>
        <w:tab/>
        <w:t xml:space="preserve">Where </w:t>
      </w:r>
      <w:r>
        <w:rPr>
          <w:snapToGrid w:val="0"/>
        </w:rPr>
        <w:t>under</w:t>
      </w:r>
      <w:r>
        <w:t xml:space="preserve"> section 3AB(1) the boundary of a lot or part of a lot is the external surface of a part of a building and the part —</w:t>
      </w:r>
    </w:p>
    <w:p>
      <w:pPr>
        <w:pStyle w:val="Indenta"/>
        <w:rPr>
          <w:snapToGrid w:val="0"/>
        </w:rPr>
      </w:pPr>
      <w:r>
        <w:rPr>
          <w:snapToGrid w:val="0"/>
        </w:rPr>
        <w:tab/>
        <w:t>(a)</w:t>
      </w:r>
      <w:r>
        <w:rPr>
          <w:snapToGrid w:val="0"/>
        </w:rPr>
        <w:tab/>
        <w:t>constitutes a permitted boundary deviation; or</w:t>
      </w:r>
    </w:p>
    <w:p>
      <w:pPr>
        <w:pStyle w:val="Indenta"/>
        <w:rPr>
          <w:snapToGrid w:val="0"/>
        </w:rPr>
      </w:pPr>
      <w:r>
        <w:rPr>
          <w:snapToGrid w:val="0"/>
        </w:rPr>
        <w:tab/>
        <w:t>(b)</w:t>
      </w:r>
      <w:r>
        <w:rPr>
          <w:snapToGrid w:val="0"/>
        </w:rPr>
        <w:tab/>
        <w:t>is on the boundary with another lot,</w:t>
      </w:r>
    </w:p>
    <w:p>
      <w:pPr>
        <w:pStyle w:val="Subsection"/>
        <w:spacing w:before="120"/>
        <w:rPr>
          <w:snapToGrid w:val="0"/>
        </w:rPr>
      </w:pPr>
      <w:r>
        <w:rPr>
          <w:snapToGrid w:val="0"/>
        </w:rPr>
        <w:tab/>
      </w:r>
      <w:r>
        <w:rPr>
          <w:snapToGrid w:val="0"/>
        </w:rPr>
        <w:tab/>
        <w:t>the proprietor of the lot that includes that part, and his employees and agents, may —</w:t>
      </w:r>
    </w:p>
    <w:p>
      <w:pPr>
        <w:pStyle w:val="Indenta"/>
        <w:rPr>
          <w:snapToGrid w:val="0"/>
        </w:rPr>
      </w:pPr>
      <w:r>
        <w:rPr>
          <w:snapToGrid w:val="0"/>
        </w:rPr>
        <w:tab/>
        <w:t>(c)</w:t>
      </w:r>
      <w:r>
        <w:rPr>
          <w:snapToGrid w:val="0"/>
        </w:rPr>
        <w:tab/>
        <w:t>inspect, alter, repair and replace the part; and</w:t>
      </w:r>
    </w:p>
    <w:p>
      <w:pPr>
        <w:pStyle w:val="Indenta"/>
        <w:rPr>
          <w:snapToGrid w:val="0"/>
        </w:rPr>
      </w:pPr>
      <w:r>
        <w:rPr>
          <w:snapToGrid w:val="0"/>
        </w:rPr>
        <w:tab/>
        <w:t>(d)</w:t>
      </w:r>
      <w:r>
        <w:rPr>
          <w:snapToGrid w:val="0"/>
        </w:rPr>
        <w:tab/>
        <w:t>enter on the other lot, if necessary with vehicles and equipment, for the purpose of doing so.</w:t>
      </w:r>
    </w:p>
    <w:p>
      <w:pPr>
        <w:pStyle w:val="Subsection"/>
        <w:keepNext/>
      </w:pPr>
      <w:r>
        <w:tab/>
        <w:t>(2)</w:t>
      </w:r>
      <w:r>
        <w:tab/>
        <w:t>The rights created by subsection (1) are an easement to which the other lot is subject.</w:t>
      </w:r>
    </w:p>
    <w:p>
      <w:pPr>
        <w:pStyle w:val="Footnotesection"/>
      </w:pPr>
      <w:r>
        <w:tab/>
        <w:t>[Section 12A inserted: No. 61 of 1996 s. 13.]</w:t>
      </w:r>
    </w:p>
    <w:p>
      <w:pPr>
        <w:pStyle w:val="Heading5"/>
        <w:rPr>
          <w:snapToGrid w:val="0"/>
        </w:rPr>
      </w:pPr>
      <w:bookmarkStart w:id="46" w:name="_Toc530554807"/>
      <w:r>
        <w:rPr>
          <w:rStyle w:val="CharSectno"/>
        </w:rPr>
        <w:t>13</w:t>
      </w:r>
      <w:r>
        <w:rPr>
          <w:snapToGrid w:val="0"/>
        </w:rPr>
        <w:t>.</w:t>
      </w:r>
      <w:r>
        <w:rPr>
          <w:snapToGrid w:val="0"/>
        </w:rPr>
        <w:tab/>
        <w:t>Ancillary rights</w:t>
      </w:r>
      <w:bookmarkEnd w:id="46"/>
    </w:p>
    <w:p>
      <w:pPr>
        <w:pStyle w:val="Subsection"/>
        <w:rPr>
          <w:snapToGrid w:val="0"/>
        </w:rPr>
      </w:pPr>
      <w:r>
        <w:rPr>
          <w:snapToGrid w:val="0"/>
        </w:rPr>
        <w:tab/>
      </w:r>
      <w:r>
        <w:rPr>
          <w:snapToGrid w:val="0"/>
        </w:rPr>
        <w:tab/>
        <w:t>All ancillary rights and obligations reasonably necessary to make them effective belong to easements implied or created by this Act.</w:t>
      </w:r>
    </w:p>
    <w:p>
      <w:pPr>
        <w:pStyle w:val="Heading5"/>
        <w:keepNext w:val="0"/>
        <w:keepLines w:val="0"/>
        <w:rPr>
          <w:snapToGrid w:val="0"/>
        </w:rPr>
      </w:pPr>
      <w:bookmarkStart w:id="47" w:name="_Toc530554808"/>
      <w:r>
        <w:rPr>
          <w:rStyle w:val="CharSectno"/>
        </w:rPr>
        <w:t>14</w:t>
      </w:r>
      <w:r>
        <w:rPr>
          <w:snapToGrid w:val="0"/>
        </w:rPr>
        <w:t>.</w:t>
      </w:r>
      <w:r>
        <w:rPr>
          <w:snapToGrid w:val="0"/>
        </w:rPr>
        <w:tab/>
        <w:t>Unit entitlement of lots</w:t>
      </w:r>
      <w:bookmarkEnd w:id="47"/>
    </w:p>
    <w:p>
      <w:pPr>
        <w:pStyle w:val="Subsection"/>
        <w:spacing w:before="120"/>
        <w:rPr>
          <w:snapToGrid w:val="0"/>
        </w:rPr>
      </w:pPr>
      <w:r>
        <w:rPr>
          <w:snapToGrid w:val="0"/>
        </w:rPr>
        <w:tab/>
        <w:t>(1)</w:t>
      </w:r>
      <w:r>
        <w:rPr>
          <w:snapToGrid w:val="0"/>
        </w:rPr>
        <w:tab/>
        <w:t>The unit entitlement of a lot, as stated in the schedule referred to in section 5, determines —</w:t>
      </w:r>
    </w:p>
    <w:p>
      <w:pPr>
        <w:pStyle w:val="Indenta"/>
        <w:rPr>
          <w:snapToGrid w:val="0"/>
        </w:rPr>
      </w:pPr>
      <w:r>
        <w:rPr>
          <w:snapToGrid w:val="0"/>
        </w:rPr>
        <w:tab/>
        <w:t>(a)</w:t>
      </w:r>
      <w:r>
        <w:rPr>
          <w:snapToGrid w:val="0"/>
        </w:rPr>
        <w:tab/>
        <w:t>the voting rights of a proprietor; and</w:t>
      </w:r>
    </w:p>
    <w:p>
      <w:pPr>
        <w:pStyle w:val="Indenta"/>
        <w:rPr>
          <w:snapToGrid w:val="0"/>
        </w:rPr>
      </w:pPr>
      <w:r>
        <w:rPr>
          <w:snapToGrid w:val="0"/>
        </w:rPr>
        <w:tab/>
        <w:t>(b)</w:t>
      </w:r>
      <w:r>
        <w:rPr>
          <w:snapToGrid w:val="0"/>
        </w:rPr>
        <w:tab/>
        <w:t>the quantum of the undivided share of each proprietor in the common property; and</w:t>
      </w:r>
    </w:p>
    <w:p>
      <w:pPr>
        <w:pStyle w:val="Indenta"/>
        <w:rPr>
          <w:snapToGrid w:val="0"/>
        </w:rPr>
      </w:pPr>
      <w:r>
        <w:rPr>
          <w:snapToGrid w:val="0"/>
        </w:rPr>
        <w:tab/>
        <w:t>(c)</w:t>
      </w:r>
      <w:r>
        <w:rPr>
          <w:snapToGrid w:val="0"/>
        </w:rPr>
        <w:tab/>
      </w:r>
      <w:r>
        <w:t>subject to subsection (1)(c)(ii) of section 36, the proportion payable by each proprietor of contributions levied under that section.</w:t>
      </w:r>
    </w:p>
    <w:p>
      <w:pPr>
        <w:pStyle w:val="Subsection"/>
        <w:rPr>
          <w:snapToGrid w:val="0"/>
        </w:rPr>
      </w:pPr>
      <w:r>
        <w:rPr>
          <w:snapToGrid w:val="0"/>
        </w:rPr>
        <w:tab/>
        <w:t>(2)</w:t>
      </w:r>
      <w:r>
        <w:rPr>
          <w:snapToGrid w:val="0"/>
        </w:rPr>
        <w:tab/>
        <w:t>The certificate of a licensed valuer which is required by sections 5B(1)(b), 8A(h), 21T(1)(d) and 31E(1)(d) to accompany a strata/survey</w:t>
      </w:r>
      <w:r>
        <w:rPr>
          <w:snapToGrid w:val="0"/>
        </w:rPr>
        <w:noBreakHyphen/>
        <w:t>strata plan and a plan of re</w:t>
      </w:r>
      <w:r>
        <w:rPr>
          <w:snapToGrid w:val="0"/>
        </w:rPr>
        <w:noBreakHyphen/>
        <w:t>subdivision lodged for registration shall be in the prescribed form and shall certify that, or to the effect that, the unit entitlement of each lot, as stated in the schedule referred to in those sections,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Subsection"/>
        <w:keepNext/>
        <w:rPr>
          <w:snapToGrid w:val="0"/>
        </w:rPr>
      </w:pPr>
      <w:r>
        <w:rPr>
          <w:snapToGrid w:val="0"/>
        </w:rPr>
        <w:tab/>
        <w:t>(2a)</w:t>
      </w:r>
      <w:r>
        <w:rPr>
          <w:snapToGrid w:val="0"/>
        </w:rPr>
        <w:tab/>
        <w:t>In subsection (2)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 xml:space="preserve">strata scheme, the </w:t>
      </w:r>
      <w:r>
        <w:rPr>
          <w:rStyle w:val="CharDefText"/>
        </w:rPr>
        <w:t>site value</w:t>
      </w:r>
      <w:r>
        <w:t xml:space="preserve"> within the meaning of that Act.</w:t>
      </w:r>
    </w:p>
    <w:p>
      <w:pPr>
        <w:pStyle w:val="Subsection"/>
        <w:rPr>
          <w:snapToGrid w:val="0"/>
        </w:rPr>
      </w:pPr>
      <w:r>
        <w:rPr>
          <w:snapToGrid w:val="0"/>
        </w:rPr>
        <w:tab/>
        <w:t>(3)</w:t>
      </w:r>
      <w:r>
        <w:rPr>
          <w:snapToGrid w:val="0"/>
        </w:rPr>
        <w:tab/>
        <w:t>A certificate given by a licensed valuer for the purposes of this Act shall be valid for such period as is prescribed.</w:t>
      </w:r>
    </w:p>
    <w:p>
      <w:pPr>
        <w:pStyle w:val="Footnotesection"/>
      </w:pPr>
      <w:r>
        <w:tab/>
        <w:t>[Section 14 amended: No. 58 of 1995 s. 17 and 95; No. 61 of 1996 s. 14; No. 24 of 2000 s. 40(3).]</w:t>
      </w:r>
    </w:p>
    <w:p>
      <w:pPr>
        <w:pStyle w:val="Heading5"/>
        <w:rPr>
          <w:snapToGrid w:val="0"/>
        </w:rPr>
      </w:pPr>
      <w:bookmarkStart w:id="48" w:name="_Toc530554809"/>
      <w:r>
        <w:rPr>
          <w:rStyle w:val="CharSectno"/>
        </w:rPr>
        <w:t>15</w:t>
      </w:r>
      <w:r>
        <w:rPr>
          <w:snapToGrid w:val="0"/>
        </w:rPr>
        <w:t>.</w:t>
      </w:r>
      <w:r>
        <w:rPr>
          <w:snapToGrid w:val="0"/>
        </w:rPr>
        <w:tab/>
        <w:t>Reallocation of unit entitlement by resolution without dissent (or unanimous resolution, in the case of a two</w:t>
      </w:r>
      <w:r>
        <w:rPr>
          <w:snapToGrid w:val="0"/>
        </w:rPr>
        <w:noBreakHyphen/>
        <w:t>lot scheme)</w:t>
      </w:r>
      <w:bookmarkEnd w:id="48"/>
    </w:p>
    <w:p>
      <w:pPr>
        <w:pStyle w:val="Subsection"/>
        <w:rPr>
          <w:snapToGrid w:val="0"/>
        </w:rPr>
      </w:pPr>
      <w:r>
        <w:rPr>
          <w:snapToGrid w:val="0"/>
        </w:rPr>
        <w:tab/>
        <w:t>(1)</w:t>
      </w:r>
      <w:r>
        <w:rPr>
          <w:snapToGrid w:val="0"/>
        </w:rPr>
        <w:tab/>
        <w:t>The schedule of unit entitlement registered in respect of a scheme may be amended by the registration with the Registrar of Titles of an amended schedule of unit entitlement under and in the manner provided by this section.</w:t>
      </w:r>
    </w:p>
    <w:p>
      <w:pPr>
        <w:pStyle w:val="Subsection"/>
        <w:keepNext/>
        <w:rPr>
          <w:snapToGrid w:val="0"/>
        </w:rPr>
      </w:pPr>
      <w:r>
        <w:rPr>
          <w:snapToGrid w:val="0"/>
        </w:rPr>
        <w:tab/>
        <w:t>(2)</w:t>
      </w:r>
      <w:r>
        <w:rPr>
          <w:snapToGrid w:val="0"/>
        </w:rPr>
        <w:tab/>
        <w:t>An amended schedule of unit entitlement shall not be registered under this section unless it is accompanied by —</w:t>
      </w:r>
    </w:p>
    <w:p>
      <w:pPr>
        <w:pStyle w:val="Indenta"/>
        <w:rPr>
          <w:snapToGrid w:val="0"/>
        </w:rPr>
      </w:pPr>
      <w:r>
        <w:rPr>
          <w:snapToGrid w:val="0"/>
        </w:rPr>
        <w:tab/>
        <w:t>(a)</w:t>
      </w:r>
      <w:r>
        <w:rPr>
          <w:snapToGrid w:val="0"/>
        </w:rPr>
        <w:tab/>
        <w:t>a certificate under seal of the strata company certifying that the strata company has by resolution without dissent (or unanimous resolution, in the case of a two</w:t>
      </w:r>
      <w:r>
        <w:rPr>
          <w:snapToGrid w:val="0"/>
        </w:rPr>
        <w:noBreakHyphen/>
        <w:t>lot scheme) consented to the registration of the amended schedule of unit entitlement; and</w:t>
      </w:r>
    </w:p>
    <w:p>
      <w:pPr>
        <w:pStyle w:val="Indenta"/>
        <w:rPr>
          <w:snapToGrid w:val="0"/>
        </w:rPr>
      </w:pPr>
      <w:r>
        <w:rPr>
          <w:snapToGrid w:val="0"/>
        </w:rPr>
        <w:tab/>
        <w:t>(b)</w:t>
      </w:r>
      <w:r>
        <w:rPr>
          <w:snapToGrid w:val="0"/>
        </w:rPr>
        <w:tab/>
        <w:t>a certificate given by every person, other than a proprietor, who has a registered interest in any lot the unit entitlement of which is affected by the amended schedule of unit entitlement certifying his consent to the registration of the amended schedule; and</w:t>
      </w:r>
    </w:p>
    <w:p>
      <w:pPr>
        <w:pStyle w:val="Indenta"/>
        <w:rPr>
          <w:snapToGrid w:val="0"/>
        </w:rPr>
      </w:pPr>
      <w:r>
        <w:rPr>
          <w:snapToGrid w:val="0"/>
        </w:rPr>
        <w:tab/>
        <w:t>(c)</w:t>
      </w:r>
      <w:r>
        <w:rPr>
          <w:snapToGrid w:val="0"/>
        </w:rPr>
        <w:tab/>
        <w:t>a certificate given in the prescribed form by a licensed valuer certifying that, or to the effect that, the unit entitlement of each lot, as stated in the amended schedule of unit entitlement,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Ednotesubsection"/>
      </w:pPr>
      <w:r>
        <w:tab/>
        <w:t>[(3)</w:t>
      </w:r>
      <w:r>
        <w:tab/>
        <w:t>deleted]</w:t>
      </w:r>
    </w:p>
    <w:p>
      <w:pPr>
        <w:pStyle w:val="Subsection"/>
        <w:rPr>
          <w:snapToGrid w:val="0"/>
        </w:rPr>
      </w:pPr>
      <w:r>
        <w:rPr>
          <w:snapToGrid w:val="0"/>
        </w:rPr>
        <w:tab/>
        <w:t>(4)</w:t>
      </w:r>
      <w:r>
        <w:rPr>
          <w:snapToGrid w:val="0"/>
        </w:rPr>
        <w:tab/>
        <w:t>Upon the registration of an amended schedule of unit entitlement under this section,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keepNext/>
        <w:rPr>
          <w:snapToGrid w:val="0"/>
        </w:rPr>
      </w:pPr>
      <w:r>
        <w:rPr>
          <w:snapToGrid w:val="0"/>
        </w:rPr>
        <w:tab/>
        <w:t>(5)</w:t>
      </w:r>
      <w:r>
        <w:rPr>
          <w:snapToGrid w:val="0"/>
        </w:rPr>
        <w:tab/>
        <w:t>In subsection (2) —</w:t>
      </w:r>
    </w:p>
    <w:p>
      <w:pPr>
        <w:pStyle w:val="Defstart"/>
      </w:pPr>
      <w:r>
        <w:tab/>
      </w:r>
      <w:r>
        <w:rPr>
          <w:rStyle w:val="CharDefText"/>
        </w:rPr>
        <w:t>registered interest</w:t>
      </w:r>
      <w:r>
        <w:t xml:space="preserve"> includes a caveat in respect of a lot but excludes an order or other legal process issued in respect of a lot for the purposes of enforcing a judgment or fine;</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[Section 15 amended: No. 58 of 1995 s. 18, 92, 95 and 96; No. 59 of 2004 Sch. 1 cl. 150.]</w:t>
      </w:r>
    </w:p>
    <w:p>
      <w:pPr>
        <w:pStyle w:val="Heading5"/>
        <w:rPr>
          <w:snapToGrid w:val="0"/>
        </w:rPr>
      </w:pPr>
      <w:bookmarkStart w:id="49" w:name="_Toc530554810"/>
      <w:r>
        <w:rPr>
          <w:rStyle w:val="CharSectno"/>
        </w:rPr>
        <w:t>16</w:t>
      </w:r>
      <w:r>
        <w:rPr>
          <w:snapToGrid w:val="0"/>
        </w:rPr>
        <w:t>.</w:t>
      </w:r>
      <w:r>
        <w:rPr>
          <w:snapToGrid w:val="0"/>
        </w:rPr>
        <w:tab/>
        <w:t>Reallocation of unit entitlement by SAT</w:t>
      </w:r>
      <w:bookmarkEnd w:id="49"/>
    </w:p>
    <w:p>
      <w:pPr>
        <w:pStyle w:val="Subsection"/>
        <w:rPr>
          <w:snapToGrid w:val="0"/>
        </w:rPr>
      </w:pPr>
      <w:r>
        <w:rPr>
          <w:snapToGrid w:val="0"/>
        </w:rPr>
        <w:tab/>
        <w:t>(1)</w:t>
      </w:r>
      <w:r>
        <w:rPr>
          <w:snapToGrid w:val="0"/>
        </w:rPr>
        <w:tab/>
        <w:t xml:space="preserve">Upon the application of a proprietor of a lot within a scheme or a strata company, the State </w:t>
      </w:r>
      <w:r>
        <w:rPr>
          <w:snapToGrid w:val="0"/>
          <w:spacing w:val="-4"/>
        </w:rPr>
        <w:t>Administrative Tribunal</w:t>
      </w:r>
      <w:r>
        <w:rPr>
          <w:snapToGrid w:val="0"/>
        </w:rPr>
        <w:t xml:space="preserve"> may, under and in the manner provided by this section, order that the schedule of unit entitlement registered in respect of the scheme be amended.</w:t>
      </w:r>
    </w:p>
    <w:p>
      <w:pPr>
        <w:pStyle w:val="Subsection"/>
        <w:keepNext/>
        <w:rPr>
          <w:snapToGrid w:val="0"/>
        </w:rPr>
      </w:pPr>
      <w:r>
        <w:rPr>
          <w:snapToGrid w:val="0"/>
        </w:rPr>
        <w:tab/>
        <w:t>(2)</w:t>
      </w:r>
      <w:r>
        <w:rPr>
          <w:snapToGrid w:val="0"/>
        </w:rPr>
        <w:tab/>
        <w:t xml:space="preserve">An application under this section shall not be accepted by the State </w:t>
      </w:r>
      <w:r>
        <w:rPr>
          <w:snapToGrid w:val="0"/>
          <w:spacing w:val="-4"/>
        </w:rPr>
        <w:t>Administrative Tribunal</w:t>
      </w:r>
      <w:r>
        <w:rPr>
          <w:snapToGrid w:val="0"/>
        </w:rPr>
        <w:t xml:space="preserve"> unless it is accompanied by —</w:t>
      </w:r>
    </w:p>
    <w:p>
      <w:pPr>
        <w:pStyle w:val="Indenta"/>
        <w:rPr>
          <w:snapToGrid w:val="0"/>
        </w:rPr>
      </w:pPr>
      <w:r>
        <w:rPr>
          <w:snapToGrid w:val="0"/>
        </w:rPr>
        <w:tab/>
        <w:t>(a)</w:t>
      </w:r>
      <w:r>
        <w:rPr>
          <w:snapToGrid w:val="0"/>
        </w:rPr>
        <w:tab/>
        <w:t xml:space="preserve">a certificate under seal of the strata company certifying that the strata company has by special resolution authorised an application to the State </w:t>
      </w:r>
      <w:r>
        <w:rPr>
          <w:snapToGrid w:val="0"/>
          <w:spacing w:val="-4"/>
        </w:rPr>
        <w:t>Administrative Tribunal</w:t>
      </w:r>
      <w:r>
        <w:rPr>
          <w:snapToGrid w:val="0"/>
        </w:rPr>
        <w:t xml:space="preserve"> under this section for an order that the schedule of unit entitlement be amended; and</w:t>
      </w:r>
    </w:p>
    <w:p>
      <w:pPr>
        <w:pStyle w:val="Indenta"/>
        <w:rPr>
          <w:snapToGrid w:val="0"/>
        </w:rPr>
      </w:pPr>
      <w:r>
        <w:rPr>
          <w:snapToGrid w:val="0"/>
        </w:rPr>
        <w:tab/>
        <w:t>(b)</w:t>
      </w:r>
      <w:r>
        <w:rPr>
          <w:snapToGrid w:val="0"/>
        </w:rPr>
        <w:tab/>
        <w:t>a certificate given by a licensed valuer certifying that, or to the effect that, the value of a lot identified in the certificate has varied by more than 5% in relation to the value of another lot identified in the certificate since the registration of the strata/survey</w:t>
      </w:r>
      <w:r>
        <w:rPr>
          <w:snapToGrid w:val="0"/>
        </w:rPr>
        <w:noBreakHyphen/>
        <w:t>strata plan or, if an amended schedule or schedules of unit entitlement has or have been registered, since the most recent registration of an amended schedule of unit entitlement.</w:t>
      </w:r>
    </w:p>
    <w:p>
      <w:pPr>
        <w:pStyle w:val="Subsection"/>
        <w:keepNext/>
        <w:rPr>
          <w:snapToGrid w:val="0"/>
        </w:rPr>
      </w:pPr>
      <w:r>
        <w:rPr>
          <w:snapToGrid w:val="0"/>
        </w:rPr>
        <w:tab/>
        <w:t>(3)</w:t>
      </w:r>
      <w:r>
        <w:rPr>
          <w:snapToGrid w:val="0"/>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authorising the application; and</w:t>
      </w:r>
    </w:p>
    <w:p>
      <w:pPr>
        <w:pStyle w:val="Indenta"/>
        <w:rPr>
          <w:snapToGrid w:val="0"/>
        </w:rPr>
      </w:pPr>
      <w:r>
        <w:rPr>
          <w:snapToGrid w:val="0"/>
          <w:spacing w:val="-4"/>
        </w:rPr>
        <w:tab/>
        <w:t>(b)</w:t>
      </w:r>
      <w:r>
        <w:rPr>
          <w:snapToGrid w:val="0"/>
          <w:spacing w:val="-4"/>
        </w:rPr>
        <w:tab/>
        <w:t xml:space="preserve">every person whom </w:t>
      </w:r>
      <w:r>
        <w:rPr>
          <w:snapToGrid w:val="0"/>
        </w:rPr>
        <w:t xml:space="preserve">the State </w:t>
      </w:r>
      <w:r>
        <w:rPr>
          <w:snapToGrid w:val="0"/>
          <w:spacing w:val="-4"/>
        </w:rPr>
        <w:t>Administrative Tribunal declares to have a sufficient interest in the proceedings to require that he should be served with notice of the application</w:t>
      </w:r>
      <w:r>
        <w:rPr>
          <w:snapToGrid w:val="0"/>
        </w:rPr>
        <w:t>.</w:t>
      </w:r>
    </w:p>
    <w:p>
      <w:pPr>
        <w:pStyle w:val="Subsection"/>
        <w:rPr>
          <w:snapToGrid w:val="0"/>
        </w:rPr>
      </w:pPr>
      <w:r>
        <w:rPr>
          <w:snapToGrid w:val="0"/>
        </w:rPr>
        <w:tab/>
        <w:t>(3a)</w:t>
      </w:r>
      <w:r>
        <w:rPr>
          <w:snapToGrid w:val="0"/>
        </w:rPr>
        <w:tab/>
        <w:t>Subsection (3) does not limit the ability of the State</w:t>
      </w:r>
      <w:r>
        <w:rPr>
          <w:snapToGrid w:val="0"/>
          <w:spacing w:val="-4"/>
        </w:rPr>
        <w:t xml:space="preserve"> Administrative Tribunal</w:t>
      </w:r>
      <w:r>
        <w:rPr>
          <w:snapToGrid w:val="0"/>
        </w:rPr>
        <w:t xml:space="preserve"> to order that a person be joined as a party to the proceedings.</w:t>
      </w:r>
    </w:p>
    <w:p>
      <w:pPr>
        <w:pStyle w:val="Subsection"/>
        <w:rPr>
          <w:snapToGrid w:val="0"/>
        </w:rPr>
      </w:pPr>
      <w:r>
        <w:rPr>
          <w:snapToGrid w:val="0"/>
        </w:rPr>
        <w:tab/>
        <w:t>(4)</w:t>
      </w:r>
      <w:r>
        <w:rPr>
          <w:snapToGrid w:val="0"/>
        </w:rPr>
        <w:tab/>
        <w:t xml:space="preserve">Except where in the circumstances of a particular application </w:t>
      </w:r>
      <w:r>
        <w:t>the State Administrative Tribunal</w:t>
      </w:r>
      <w:r>
        <w:rPr>
          <w:snapToGrid w:val="0"/>
        </w:rPr>
        <w:t xml:space="preserve"> is satisfied that there are good and sufficient reasons for not making an order under this subsection, </w:t>
      </w:r>
      <w:r>
        <w:t>the State Administrative Tribunal</w:t>
      </w:r>
      <w:r>
        <w:rPr>
          <w:snapToGrid w:val="0"/>
        </w:rPr>
        <w:t xml:space="preserve"> shall —</w:t>
      </w:r>
    </w:p>
    <w:p>
      <w:pPr>
        <w:pStyle w:val="Indenta"/>
        <w:rPr>
          <w:snapToGrid w:val="0"/>
        </w:rPr>
      </w:pPr>
      <w:r>
        <w:rPr>
          <w:snapToGrid w:val="0"/>
        </w:rPr>
        <w:tab/>
        <w:t>(a)</w:t>
      </w:r>
      <w:r>
        <w:rPr>
          <w:snapToGrid w:val="0"/>
        </w:rPr>
        <w:tab/>
        <w:t>determine every application under this section by the allocation to each lot in the scheme of a unit entitlement that bears in relation to the aggregate unit entitlement of all lots delineated on the strata/survey</w:t>
      </w:r>
      <w:r>
        <w:rPr>
          <w:snapToGrid w:val="0"/>
        </w:rPr>
        <w:noBreakHyphen/>
        <w:t>strata plan a proportion not greater than 5% more or 5% less than the proportion that the value of each lot bears to the aggregate value of all the lots delineated on the plan; and</w:t>
      </w:r>
    </w:p>
    <w:p>
      <w:pPr>
        <w:pStyle w:val="Indenta"/>
        <w:rPr>
          <w:snapToGrid w:val="0"/>
        </w:rPr>
      </w:pPr>
      <w:r>
        <w:rPr>
          <w:snapToGrid w:val="0"/>
        </w:rPr>
        <w:tab/>
        <w:t>(b)</w:t>
      </w:r>
      <w:r>
        <w:rPr>
          <w:snapToGrid w:val="0"/>
        </w:rPr>
        <w:tab/>
        <w:t>order that the schedule of unit entitlement registered in respect of the scheme be amended in accordance with the allocation of unit entitlements made under paragraph (a).</w:t>
      </w:r>
    </w:p>
    <w:p>
      <w:pPr>
        <w:pStyle w:val="Subsection"/>
        <w:rPr>
          <w:snapToGrid w:val="0"/>
        </w:rPr>
      </w:pPr>
      <w:r>
        <w:rPr>
          <w:snapToGrid w:val="0"/>
        </w:rPr>
        <w:tab/>
        <w:t>(5)</w:t>
      </w:r>
      <w:r>
        <w:rPr>
          <w:snapToGrid w:val="0"/>
        </w:rPr>
        <w:tab/>
        <w:t>Upon receiving a copy of an order made under this section, the Registrar of Titles shall amend the schedule of unit entitlement registered in respect of the scheme in the manner prescribed and thereupon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rPr>
          <w:snapToGrid w:val="0"/>
          <w:spacing w:val="-4"/>
        </w:rPr>
      </w:pPr>
      <w:r>
        <w:rPr>
          <w:snapToGrid w:val="0"/>
          <w:spacing w:val="-4"/>
        </w:rPr>
        <w:tab/>
        <w:t>(6)</w:t>
      </w:r>
      <w:r>
        <w:rPr>
          <w:snapToGrid w:val="0"/>
          <w:spacing w:val="-4"/>
        </w:rPr>
        <w:tab/>
      </w:r>
      <w:r>
        <w:t>The State Administrative Tribunal</w:t>
      </w:r>
      <w:r>
        <w:rPr>
          <w:snapToGrid w:val="0"/>
          <w:spacing w:val="-4"/>
        </w:rPr>
        <w:t xml:space="preserve"> shall not order a party who opposes an application under this section to pay the costs of a successful applicant unless </w:t>
      </w:r>
      <w:r>
        <w:t>the State Administrative Tribunal</w:t>
      </w:r>
      <w:r>
        <w:rPr>
          <w:snapToGrid w:val="0"/>
          <w:spacing w:val="-4"/>
        </w:rPr>
        <w:t xml:space="preserve"> considers the actions of that party in relation to the application to have been unreasonable.</w:t>
      </w:r>
    </w:p>
    <w:p>
      <w:pPr>
        <w:pStyle w:val="Subsection"/>
        <w:keepNext/>
        <w:rPr>
          <w:snapToGrid w:val="0"/>
        </w:rPr>
      </w:pPr>
      <w:r>
        <w:rPr>
          <w:snapToGrid w:val="0"/>
        </w:rPr>
        <w:tab/>
        <w:t>(7)</w:t>
      </w:r>
      <w:r>
        <w:rPr>
          <w:snapToGrid w:val="0"/>
        </w:rPr>
        <w:tab/>
        <w:t>In subsections (2) and (4)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strata scheme, the site value within the meaning of that Act.</w:t>
      </w:r>
    </w:p>
    <w:p>
      <w:pPr>
        <w:pStyle w:val="Footnotesection"/>
      </w:pPr>
      <w:r>
        <w:tab/>
        <w:t>[Section 16 amended: No. 58 of 1995 s. 19, 95 and 96; No. 55 of 2004 s. 1109.]</w:t>
      </w:r>
    </w:p>
    <w:p>
      <w:pPr>
        <w:pStyle w:val="Heading3"/>
        <w:spacing w:before="300"/>
      </w:pPr>
      <w:bookmarkStart w:id="50" w:name="_Toc525288439"/>
      <w:bookmarkStart w:id="51" w:name="_Toc530554475"/>
      <w:bookmarkStart w:id="52" w:name="_Toc530554811"/>
      <w:r>
        <w:rPr>
          <w:rStyle w:val="CharDivNo"/>
        </w:rPr>
        <w:t>Division 2</w:t>
      </w:r>
      <w:r>
        <w:rPr>
          <w:snapToGrid w:val="0"/>
        </w:rPr>
        <w:t> — </w:t>
      </w:r>
      <w:r>
        <w:rPr>
          <w:rStyle w:val="CharDivText"/>
        </w:rPr>
        <w:t>Common property</w:t>
      </w:r>
      <w:bookmarkEnd w:id="50"/>
      <w:bookmarkEnd w:id="51"/>
      <w:bookmarkEnd w:id="52"/>
    </w:p>
    <w:p>
      <w:pPr>
        <w:pStyle w:val="Heading5"/>
        <w:rPr>
          <w:snapToGrid w:val="0"/>
        </w:rPr>
      </w:pPr>
      <w:bookmarkStart w:id="53" w:name="_Toc530554812"/>
      <w:r>
        <w:rPr>
          <w:rStyle w:val="CharSectno"/>
        </w:rPr>
        <w:t>17</w:t>
      </w:r>
      <w:r>
        <w:rPr>
          <w:snapToGrid w:val="0"/>
        </w:rPr>
        <w:t>.</w:t>
      </w:r>
      <w:r>
        <w:rPr>
          <w:snapToGrid w:val="0"/>
        </w:rPr>
        <w:tab/>
        <w:t>Ownership of common property</w:t>
      </w:r>
      <w:bookmarkEnd w:id="53"/>
    </w:p>
    <w:p>
      <w:pPr>
        <w:pStyle w:val="Subsection"/>
        <w:rPr>
          <w:snapToGrid w:val="0"/>
        </w:rPr>
      </w:pPr>
      <w:r>
        <w:rPr>
          <w:snapToGrid w:val="0"/>
        </w:rPr>
        <w:tab/>
        <w:t>(1)</w:t>
      </w:r>
      <w:r>
        <w:rPr>
          <w:snapToGrid w:val="0"/>
        </w:rPr>
        <w:tab/>
        <w:t>Common property shall be held by the proprietors as tenants in common in shares proportional to the unit entitlements of their respective lots.</w:t>
      </w:r>
    </w:p>
    <w:p>
      <w:pPr>
        <w:pStyle w:val="Subsection"/>
        <w:rPr>
          <w:snapToGrid w:val="0"/>
        </w:rPr>
      </w:pPr>
      <w:r>
        <w:rPr>
          <w:snapToGrid w:val="0"/>
        </w:rPr>
        <w:tab/>
        <w:t>(2)</w:t>
      </w:r>
      <w:r>
        <w:rPr>
          <w:snapToGrid w:val="0"/>
        </w:rPr>
        <w:tab/>
        <w:t>The Registrar of Titles shall in the certificate of title to a lot certify that the proprietor holds the share in the common property appurtenant to the lot in accordance with the unit entitlement of that lot as stated in the schedule of unit entitlement registered in respect of the scheme.</w:t>
      </w:r>
    </w:p>
    <w:p>
      <w:pPr>
        <w:pStyle w:val="Footnotesection"/>
      </w:pPr>
      <w:r>
        <w:tab/>
        <w:t>[Section 17 amended: No. 58 of 1995 s. 96.]</w:t>
      </w:r>
    </w:p>
    <w:p>
      <w:pPr>
        <w:pStyle w:val="Heading5"/>
        <w:spacing w:before="240"/>
        <w:rPr>
          <w:snapToGrid w:val="0"/>
        </w:rPr>
      </w:pPr>
      <w:bookmarkStart w:id="54" w:name="_Toc530554813"/>
      <w:r>
        <w:rPr>
          <w:rStyle w:val="CharSectno"/>
        </w:rPr>
        <w:t>18</w:t>
      </w:r>
      <w:r>
        <w:rPr>
          <w:snapToGrid w:val="0"/>
        </w:rPr>
        <w:t>.</w:t>
      </w:r>
      <w:r>
        <w:rPr>
          <w:snapToGrid w:val="0"/>
        </w:rPr>
        <w:tab/>
        <w:t>Acquisition of additional common property</w:t>
      </w:r>
      <w:bookmarkEnd w:id="54"/>
    </w:p>
    <w:p>
      <w:pPr>
        <w:pStyle w:val="Subsection"/>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accept a transfer or lease of land which is part of, or contiguous to, the parcel and is not subject to a mortgage, charge or other encumbrance, for the purpose of creating, or creating additional, common property.</w:t>
      </w:r>
    </w:p>
    <w:p>
      <w:pPr>
        <w:pStyle w:val="Subsection"/>
        <w:rPr>
          <w:snapToGrid w:val="0"/>
        </w:rPr>
      </w:pPr>
      <w:r>
        <w:rPr>
          <w:snapToGrid w:val="0"/>
        </w:rPr>
        <w:tab/>
        <w:t>(2)</w:t>
      </w:r>
      <w:r>
        <w:rPr>
          <w:snapToGrid w:val="0"/>
        </w:rPr>
        <w:tab/>
        <w:t>A transfer or lease referred to in subsection (1) shall be accompanied by —</w:t>
      </w:r>
    </w:p>
    <w:p>
      <w:pPr>
        <w:pStyle w:val="Indenta"/>
        <w:rPr>
          <w:snapToGrid w:val="0"/>
        </w:rPr>
      </w:pPr>
      <w:r>
        <w:rPr>
          <w:snapToGrid w:val="0"/>
        </w:rPr>
        <w:tab/>
        <w:t>(a)</w:t>
      </w:r>
      <w:r>
        <w:rPr>
          <w:snapToGrid w:val="0"/>
        </w:rPr>
        <w:tab/>
        <w:t>the certificate of title comprising the land described in the transfer or lease or, in the case of a transfer of a lease or sub</w:t>
      </w:r>
      <w:r>
        <w:rPr>
          <w:snapToGrid w:val="0"/>
        </w:rPr>
        <w:noBreakHyphen/>
        <w:t>lease, the registered lease referred to in the transfer or sub</w:t>
      </w:r>
      <w:r>
        <w:rPr>
          <w:snapToGrid w:val="0"/>
        </w:rPr>
        <w:noBreakHyphen/>
        <w:t>lease;</w:t>
      </w:r>
    </w:p>
    <w:p>
      <w:pPr>
        <w:pStyle w:val="Indenta"/>
        <w:rPr>
          <w:snapToGrid w:val="0"/>
        </w:rPr>
      </w:pPr>
      <w:r>
        <w:rPr>
          <w:snapToGrid w:val="0"/>
        </w:rPr>
        <w:tab/>
        <w:t>(b)</w:t>
      </w:r>
      <w:r>
        <w:rPr>
          <w:snapToGrid w:val="0"/>
        </w:rPr>
        <w:tab/>
        <w:t>a certificate under the seal of the strata company certifying that the resolution authorising the acceptance of the transfer or lease was a resolution without dissent (or unanimous resolution, in the case of a two</w:t>
      </w:r>
      <w:r>
        <w:rPr>
          <w:snapToGrid w:val="0"/>
        </w:rPr>
        <w:noBreakHyphen/>
        <w:t>lot scheme),</w:t>
      </w:r>
    </w:p>
    <w:p>
      <w:pPr>
        <w:pStyle w:val="Subsection"/>
        <w:rPr>
          <w:snapToGrid w:val="0"/>
        </w:rPr>
      </w:pPr>
      <w:r>
        <w:rPr>
          <w:snapToGrid w:val="0"/>
        </w:rPr>
        <w:tab/>
      </w:r>
      <w:r>
        <w:rPr>
          <w:snapToGrid w:val="0"/>
        </w:rPr>
        <w:tab/>
        <w:t xml:space="preserve">and, in the case of a transfer other than a transfer of a lease, there shall be lodged in the </w:t>
      </w:r>
      <w:r>
        <w:t xml:space="preserve">Authority’s office </w:t>
      </w:r>
      <w:r>
        <w:rPr>
          <w:snapToGrid w:val="0"/>
        </w:rPr>
        <w:t>a plan showing as a single lot the land comprised in the transfer and the land comprised in the parcel before the registration of the transfer.</w:t>
      </w:r>
    </w:p>
    <w:p>
      <w:pPr>
        <w:pStyle w:val="Subsection"/>
        <w:rPr>
          <w:snapToGrid w:val="0"/>
        </w:rPr>
      </w:pPr>
      <w:r>
        <w:rPr>
          <w:snapToGrid w:val="0"/>
        </w:rPr>
        <w:tab/>
        <w:t>(3)</w:t>
      </w:r>
      <w:r>
        <w:rPr>
          <w:snapToGrid w:val="0"/>
        </w:rPr>
        <w:tab/>
        <w:t>Upon the registration in the prescribed manner of any such transfer, other than a transfer of a lease, the land comprised in the transfer becomes common property and is subject to the provisions of this Act relating to common property and the Registrar of Titles shall make an appropriate recording on the registered strata/survey</w:t>
      </w:r>
      <w:r>
        <w:rPr>
          <w:snapToGrid w:val="0"/>
        </w:rPr>
        <w:noBreakHyphen/>
        <w:t>strata plan to which the parcel relates and on the certificate of title of the land transferred.</w:t>
      </w:r>
    </w:p>
    <w:p>
      <w:pPr>
        <w:pStyle w:val="Subsection"/>
        <w:rPr>
          <w:snapToGrid w:val="0"/>
        </w:rPr>
      </w:pPr>
      <w:r>
        <w:rPr>
          <w:snapToGrid w:val="0"/>
        </w:rPr>
        <w:tab/>
        <w:t>(4)</w:t>
      </w:r>
      <w:r>
        <w:rPr>
          <w:snapToGrid w:val="0"/>
        </w:rPr>
        <w:tab/>
        <w:t>Upon the registration of any such lease, transfer of a lease or sub</w:t>
      </w:r>
      <w:r>
        <w:rPr>
          <w:snapToGrid w:val="0"/>
        </w:rPr>
        <w:noBreakHyphen/>
        <w:t>lease —</w:t>
      </w:r>
    </w:p>
    <w:p>
      <w:pPr>
        <w:pStyle w:val="Indenta"/>
        <w:rPr>
          <w:snapToGrid w:val="0"/>
        </w:rPr>
      </w:pPr>
      <w:r>
        <w:rPr>
          <w:snapToGrid w:val="0"/>
        </w:rPr>
        <w:tab/>
        <w:t>(a)</w:t>
      </w:r>
      <w:r>
        <w:rPr>
          <w:snapToGrid w:val="0"/>
        </w:rPr>
        <w:tab/>
        <w:t>the leasehold interest becomes common property and thereupon is subject to such of the provisions of this Act relating to common property as are applicable to a leasehold interest; and</w:t>
      </w:r>
    </w:p>
    <w:p>
      <w:pPr>
        <w:pStyle w:val="Indenta"/>
        <w:rPr>
          <w:snapToGrid w:val="0"/>
        </w:rPr>
      </w:pPr>
      <w:r>
        <w:rPr>
          <w:snapToGrid w:val="0"/>
        </w:rPr>
        <w:tab/>
        <w:t>(b)</w:t>
      </w:r>
      <w:r>
        <w:rPr>
          <w:snapToGrid w:val="0"/>
        </w:rPr>
        <w:tab/>
        <w:t>the strata company is responsible for all payments and the performance of all duties required of the lessee by the terms of the lease or sub</w:t>
      </w:r>
      <w:r>
        <w:rPr>
          <w:snapToGrid w:val="0"/>
        </w:rPr>
        <w:noBreakHyphen/>
        <w:t>lease, as the case may be; and</w:t>
      </w:r>
    </w:p>
    <w:p>
      <w:pPr>
        <w:pStyle w:val="Indenta"/>
        <w:rPr>
          <w:snapToGrid w:val="0"/>
        </w:rPr>
      </w:pPr>
      <w:r>
        <w:rPr>
          <w:snapToGrid w:val="0"/>
        </w:rPr>
        <w:tab/>
        <w:t>(c)</w:t>
      </w:r>
      <w:r>
        <w:rPr>
          <w:snapToGrid w:val="0"/>
        </w:rPr>
        <w:tab/>
        <w:t>the Registrar of Titles shall make an appropriate note on the registered strata/survey</w:t>
      </w:r>
      <w:r>
        <w:rPr>
          <w:snapToGrid w:val="0"/>
        </w:rPr>
        <w:noBreakHyphen/>
        <w:t>strata plan to which the parcel relates and on the certificate of title or the lease, as the case may be, comprising the demised land to the effect that during the term of the lease or sub</w:t>
      </w:r>
      <w:r>
        <w:rPr>
          <w:snapToGrid w:val="0"/>
        </w:rPr>
        <w:noBreakHyphen/>
        <w:t>lease the demised land is incorporated with and as part of the common property.</w:t>
      </w:r>
    </w:p>
    <w:p>
      <w:pPr>
        <w:pStyle w:val="Subsection"/>
        <w:rPr>
          <w:snapToGrid w:val="0"/>
        </w:rPr>
      </w:pPr>
      <w:r>
        <w:rPr>
          <w:snapToGrid w:val="0"/>
        </w:rPr>
        <w:tab/>
        <w:t>(5)</w:t>
      </w:r>
      <w:r>
        <w:rPr>
          <w:snapToGrid w:val="0"/>
        </w:rPr>
        <w:tab/>
        <w:t>A strata company may, pursuant to a resolution without dissent (or unanimous resolution, in the case of a two</w:t>
      </w:r>
      <w:r>
        <w:rPr>
          <w:snapToGrid w:val="0"/>
        </w:rPr>
        <w:noBreakHyphen/>
        <w:t>lot scheme) and with the concurrence of the lessor, surrender a lease accepted by it under this section, but if the lessor is also a proprietor, that proprietor may participate in debate on the resolution that the lease be surrendered but may not vote on that resolution.</w:t>
      </w:r>
    </w:p>
    <w:p>
      <w:pPr>
        <w:pStyle w:val="Subsection"/>
        <w:spacing w:before="200"/>
        <w:rPr>
          <w:snapToGrid w:val="0"/>
        </w:rPr>
      </w:pPr>
      <w:r>
        <w:rPr>
          <w:snapToGrid w:val="0"/>
        </w:rPr>
        <w:tab/>
        <w:t>(6)</w:t>
      </w:r>
      <w:r>
        <w:rPr>
          <w:snapToGrid w:val="0"/>
        </w:rPr>
        <w:tab/>
        <w:t>Upon the registration of any such surrender, the Registrar of Titles shall make an appropriate recording on the registered strata/survey</w:t>
      </w:r>
      <w:r>
        <w:rPr>
          <w:snapToGrid w:val="0"/>
        </w:rPr>
        <w:noBreakHyphen/>
        <w:t>strata plan on which the lease was recorded.</w:t>
      </w:r>
    </w:p>
    <w:p>
      <w:pPr>
        <w:pStyle w:val="Subsection"/>
        <w:spacing w:before="200"/>
        <w:rPr>
          <w:snapToGrid w:val="0"/>
        </w:rPr>
      </w:pPr>
      <w:r>
        <w:rPr>
          <w:snapToGrid w:val="0"/>
        </w:rPr>
        <w:tab/>
        <w:t>(7)</w:t>
      </w:r>
      <w:r>
        <w:rPr>
          <w:snapToGrid w:val="0"/>
        </w:rPr>
        <w:tab/>
        <w:t>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spacing w:before="140"/>
      </w:pPr>
      <w:r>
        <w:tab/>
        <w:t>[Section 18 amended: No. 58 of 1995 s. 20, 92 and 95; No. 60 of 2006 s. 160(3).]</w:t>
      </w:r>
    </w:p>
    <w:p>
      <w:pPr>
        <w:pStyle w:val="Heading5"/>
        <w:spacing w:before="300"/>
        <w:rPr>
          <w:snapToGrid w:val="0"/>
        </w:rPr>
      </w:pPr>
      <w:bookmarkStart w:id="55" w:name="_Toc530554814"/>
      <w:r>
        <w:rPr>
          <w:rStyle w:val="CharSectno"/>
        </w:rPr>
        <w:t>19</w:t>
      </w:r>
      <w:r>
        <w:rPr>
          <w:snapToGrid w:val="0"/>
        </w:rPr>
        <w:t>.</w:t>
      </w:r>
      <w:r>
        <w:rPr>
          <w:snapToGrid w:val="0"/>
        </w:rPr>
        <w:tab/>
        <w:t>Transfer or lease of common property</w:t>
      </w:r>
      <w:bookmarkEnd w:id="55"/>
    </w:p>
    <w:p>
      <w:pPr>
        <w:pStyle w:val="Subsection"/>
        <w:keepNext/>
        <w:spacing w:before="200"/>
        <w:rPr>
          <w:snapToGrid w:val="0"/>
        </w:rPr>
      </w:pPr>
      <w:r>
        <w:rPr>
          <w:snapToGrid w:val="0"/>
        </w:rPr>
        <w:tab/>
        <w:t>(1)</w:t>
      </w:r>
      <w:r>
        <w:rPr>
          <w:snapToGrid w:val="0"/>
        </w:rPr>
        <w:tab/>
        <w:t>Except as otherwise provided in this section —</w:t>
      </w:r>
    </w:p>
    <w:p>
      <w:pPr>
        <w:pStyle w:val="Indenta"/>
        <w:spacing w:before="100"/>
        <w:rPr>
          <w:snapToGrid w:val="0"/>
        </w:rPr>
      </w:pPr>
      <w:r>
        <w:rPr>
          <w:snapToGrid w:val="0"/>
        </w:rPr>
        <w:tab/>
        <w:t>(a)</w:t>
      </w:r>
      <w:r>
        <w:rPr>
          <w:snapToGrid w:val="0"/>
        </w:rPr>
        <w:tab/>
        <w:t>no share in the common property may be disposed of except as appurtenant to the lot of the proprietor thereof; and</w:t>
      </w:r>
    </w:p>
    <w:p>
      <w:pPr>
        <w:pStyle w:val="Indenta"/>
        <w:spacing w:before="100"/>
        <w:rPr>
          <w:snapToGrid w:val="0"/>
        </w:rPr>
      </w:pPr>
      <w:r>
        <w:rPr>
          <w:snapToGrid w:val="0"/>
        </w:rPr>
        <w:tab/>
        <w:t>(b)</w:t>
      </w:r>
      <w:r>
        <w:rPr>
          <w:snapToGrid w:val="0"/>
        </w:rPr>
        <w:tab/>
        <w:t>an assurance of a lot operates to assure the share of the disposing party in the common property, without express reference thereto.</w:t>
      </w:r>
    </w:p>
    <w:p>
      <w:pPr>
        <w:pStyle w:val="Subsection"/>
        <w:spacing w:before="200"/>
        <w:rPr>
          <w:snapToGrid w:val="0"/>
        </w:rPr>
      </w:pPr>
      <w:r>
        <w:rPr>
          <w:snapToGrid w:val="0"/>
        </w:rPr>
        <w:tab/>
        <w:t>(2)</w:t>
      </w:r>
      <w:r>
        <w:rPr>
          <w:snapToGrid w:val="0"/>
        </w:rPr>
        <w:tab/>
        <w:t>Subject to subsection (10), a strata company may, pursuant to a resolution without dissent (or unanimous resolution, in the case of a two</w:t>
      </w:r>
      <w:r>
        <w:rPr>
          <w:snapToGrid w:val="0"/>
        </w:rPr>
        <w:noBreakHyphen/>
        <w:t>lot scheme) and where satisfied that all persons concerned have consented in writing to the transfer or lease, execute a transfer or lease of common property, other than common property the subject of a lease accepted or acquired by the strata company under section 18(1).</w:t>
      </w:r>
    </w:p>
    <w:p>
      <w:pPr>
        <w:pStyle w:val="Subsection"/>
        <w:spacing w:before="200"/>
        <w:rPr>
          <w:snapToGrid w:val="0"/>
        </w:rPr>
      </w:pPr>
      <w:r>
        <w:rPr>
          <w:snapToGrid w:val="0"/>
        </w:rPr>
        <w:tab/>
        <w:t>(3)</w:t>
      </w:r>
      <w:r>
        <w:rPr>
          <w:snapToGrid w:val="0"/>
        </w:rPr>
        <w:tab/>
        <w:t>Subject to subsection (10), a strata company, pursuant to a resolution without dissent (or unanimous resolution, in the case of a two</w:t>
      </w:r>
      <w:r>
        <w:rPr>
          <w:snapToGrid w:val="0"/>
        </w:rPr>
        <w:noBreakHyphen/>
        <w:t>lot scheme) and where satisfied that all persons concerned have consented in writing to the transfer, may, if not prevented by the terms of the lease, transfer a lease of common property accepted or acquired by the strata company under section 18(1) or grant, by way of sub</w:t>
      </w:r>
      <w:r>
        <w:rPr>
          <w:snapToGrid w:val="0"/>
        </w:rPr>
        <w:noBreakHyphen/>
        <w:t>lease, a lease of its estate or interest in common property the subject of a lease so accepted or acquired.</w:t>
      </w:r>
    </w:p>
    <w:p>
      <w:pPr>
        <w:pStyle w:val="Subsection"/>
        <w:spacing w:before="180"/>
        <w:rPr>
          <w:snapToGrid w:val="0"/>
        </w:rPr>
      </w:pPr>
      <w:r>
        <w:rPr>
          <w:snapToGrid w:val="0"/>
        </w:rPr>
        <w:tab/>
        <w:t>(4)</w:t>
      </w:r>
      <w:r>
        <w:rPr>
          <w:snapToGrid w:val="0"/>
        </w:rPr>
        <w:tab/>
        <w:t>A strata company may, if otherwise empowered so to do, re</w:t>
      </w:r>
      <w:r>
        <w:rPr>
          <w:snapToGrid w:val="0"/>
        </w:rPr>
        <w:noBreakHyphen/>
        <w:t>enter under a lease, or, pursuant to a resolution without dissent (or unanimous resolution, in the case of a two</w:t>
      </w:r>
      <w:r>
        <w:rPr>
          <w:snapToGrid w:val="0"/>
        </w:rPr>
        <w:noBreakHyphen/>
        <w:t>lot scheme), accept a surrender of a lease, granted under subsection (2) or (3).</w:t>
      </w:r>
    </w:p>
    <w:p>
      <w:pPr>
        <w:pStyle w:val="Subsection"/>
        <w:keepNext/>
        <w:spacing w:before="180"/>
        <w:rPr>
          <w:snapToGrid w:val="0"/>
        </w:rPr>
      </w:pPr>
      <w:r>
        <w:rPr>
          <w:snapToGrid w:val="0"/>
        </w:rPr>
        <w:tab/>
        <w:t>(5)</w:t>
      </w:r>
      <w:r>
        <w:rPr>
          <w:snapToGrid w:val="0"/>
        </w:rPr>
        <w:tab/>
        <w:t>Upon execution of a transfer or lease or sub</w:t>
      </w:r>
      <w:r>
        <w:rPr>
          <w:snapToGrid w:val="0"/>
        </w:rPr>
        <w:noBreakHyphen/>
        <w:t>lease in accordance with subsection (2) or (3) —</w:t>
      </w:r>
    </w:p>
    <w:p>
      <w:pPr>
        <w:pStyle w:val="Indenta"/>
        <w:rPr>
          <w:snapToGrid w:val="0"/>
        </w:rPr>
      </w:pPr>
      <w:r>
        <w:rPr>
          <w:snapToGrid w:val="0"/>
        </w:rPr>
        <w:tab/>
        <w:t>(a)</w:t>
      </w:r>
      <w:r>
        <w:rPr>
          <w:snapToGrid w:val="0"/>
        </w:rPr>
        <w:tab/>
        <w:t>the transfer or lease or sub</w:t>
      </w:r>
      <w:r>
        <w:rPr>
          <w:snapToGrid w:val="0"/>
        </w:rPr>
        <w:noBreakHyphen/>
        <w:t>lease is valid and effective without execution by any person having any estate or interest in the common property; and</w:t>
      </w:r>
    </w:p>
    <w:p>
      <w:pPr>
        <w:pStyle w:val="Indenta"/>
        <w:keepNext/>
        <w:rPr>
          <w:snapToGrid w:val="0"/>
        </w:rPr>
      </w:pPr>
      <w:r>
        <w:rPr>
          <w:snapToGrid w:val="0"/>
        </w:rPr>
        <w:tab/>
        <w:t>(b)</w:t>
      </w:r>
      <w:r>
        <w:rPr>
          <w:snapToGrid w:val="0"/>
        </w:rPr>
        <w:tab/>
        <w:t>the receipt of the strata company —</w:t>
      </w:r>
    </w:p>
    <w:p>
      <w:pPr>
        <w:pStyle w:val="Indenti"/>
        <w:rPr>
          <w:snapToGrid w:val="0"/>
        </w:rPr>
      </w:pPr>
      <w:r>
        <w:rPr>
          <w:snapToGrid w:val="0"/>
        </w:rPr>
        <w:tab/>
        <w:t>(i)</w:t>
      </w:r>
      <w:r>
        <w:rPr>
          <w:snapToGrid w:val="0"/>
        </w:rPr>
        <w:tab/>
        <w:t>is a sufficient discharge for; and</w:t>
      </w:r>
    </w:p>
    <w:p>
      <w:pPr>
        <w:pStyle w:val="Indenti"/>
        <w:rPr>
          <w:snapToGrid w:val="0"/>
        </w:rPr>
      </w:pPr>
      <w:r>
        <w:rPr>
          <w:snapToGrid w:val="0"/>
        </w:rPr>
        <w:tab/>
        <w:t>(ii)</w:t>
      </w:r>
      <w:r>
        <w:rPr>
          <w:snapToGrid w:val="0"/>
        </w:rPr>
        <w:tab/>
        <w:t>exonerates the person taking under the transfer or lease or sub</w:t>
      </w:r>
      <w:r>
        <w:rPr>
          <w:snapToGrid w:val="0"/>
        </w:rPr>
        <w:noBreakHyphen/>
        <w:t>lease from responsibility for the application of,</w:t>
      </w:r>
    </w:p>
    <w:p>
      <w:pPr>
        <w:pStyle w:val="Indenta"/>
        <w:rPr>
          <w:snapToGrid w:val="0"/>
        </w:rPr>
      </w:pPr>
      <w:r>
        <w:rPr>
          <w:snapToGrid w:val="0"/>
        </w:rPr>
        <w:tab/>
      </w:r>
      <w:r>
        <w:rPr>
          <w:snapToGrid w:val="0"/>
        </w:rPr>
        <w:tab/>
        <w:t>the moneys expressed to have been received by it and is likewise a sufficient discharge and exoneration for all moneys payable to the strata company under the transfer or lease or sub</w:t>
      </w:r>
      <w:r>
        <w:rPr>
          <w:snapToGrid w:val="0"/>
        </w:rPr>
        <w:noBreakHyphen/>
        <w:t>lease.</w:t>
      </w:r>
    </w:p>
    <w:p>
      <w:pPr>
        <w:pStyle w:val="Subsection"/>
        <w:spacing w:before="180"/>
        <w:rPr>
          <w:snapToGrid w:val="0"/>
        </w:rPr>
      </w:pPr>
      <w:r>
        <w:rPr>
          <w:snapToGrid w:val="0"/>
        </w:rPr>
        <w:tab/>
        <w:t>(6)</w:t>
      </w:r>
      <w:r>
        <w:rPr>
          <w:snapToGrid w:val="0"/>
        </w:rPr>
        <w:tab/>
        <w:t>Every transfer or lease or sub</w:t>
      </w:r>
      <w:r>
        <w:rPr>
          <w:snapToGrid w:val="0"/>
        </w:rPr>
        <w:noBreakHyphen/>
        <w:t>lease executed under subsection (2) or (3) shall be endorsed with or accompanied by a certificate under the seal of the strata company that the resolution referred to in the relevant subsection was duly passed and that all necessary consents were given.</w:t>
      </w:r>
    </w:p>
    <w:p>
      <w:pPr>
        <w:pStyle w:val="Subsection"/>
        <w:keepNext/>
        <w:spacing w:before="180"/>
        <w:rPr>
          <w:snapToGrid w:val="0"/>
        </w:rPr>
      </w:pPr>
      <w:r>
        <w:rPr>
          <w:snapToGrid w:val="0"/>
        </w:rPr>
        <w:tab/>
        <w:t>(7)</w:t>
      </w:r>
      <w:r>
        <w:rPr>
          <w:snapToGrid w:val="0"/>
        </w:rPr>
        <w:tab/>
        <w:t>In favour of —</w:t>
      </w:r>
    </w:p>
    <w:p>
      <w:pPr>
        <w:pStyle w:val="Indenta"/>
        <w:rPr>
          <w:snapToGrid w:val="0"/>
        </w:rPr>
      </w:pPr>
      <w:r>
        <w:rPr>
          <w:snapToGrid w:val="0"/>
        </w:rPr>
        <w:tab/>
        <w:t>(a)</w:t>
      </w:r>
      <w:r>
        <w:rPr>
          <w:snapToGrid w:val="0"/>
        </w:rPr>
        <w:tab/>
        <w:t>a purchaser or lessee of the common property; and</w:t>
      </w:r>
    </w:p>
    <w:p>
      <w:pPr>
        <w:pStyle w:val="Indenta"/>
        <w:rPr>
          <w:snapToGrid w:val="0"/>
        </w:rPr>
      </w:pPr>
      <w:r>
        <w:rPr>
          <w:snapToGrid w:val="0"/>
        </w:rPr>
        <w:tab/>
        <w:t>(b)</w:t>
      </w:r>
      <w:r>
        <w:rPr>
          <w:snapToGrid w:val="0"/>
        </w:rPr>
        <w:tab/>
        <w:t>the Registrar of Titles,</w:t>
      </w:r>
    </w:p>
    <w:p>
      <w:pPr>
        <w:pStyle w:val="Subsection"/>
        <w:spacing w:before="120"/>
        <w:rPr>
          <w:snapToGrid w:val="0"/>
        </w:rPr>
      </w:pPr>
      <w:r>
        <w:rPr>
          <w:snapToGrid w:val="0"/>
        </w:rPr>
        <w:tab/>
      </w:r>
      <w:r>
        <w:rPr>
          <w:snapToGrid w:val="0"/>
        </w:rPr>
        <w:tab/>
        <w:t>a certificate under subsection (6) is conclusive evidence of the facts stated in it.</w:t>
      </w:r>
    </w:p>
    <w:p>
      <w:pPr>
        <w:pStyle w:val="Subsection"/>
        <w:keepNext/>
        <w:keepLines/>
        <w:rPr>
          <w:snapToGrid w:val="0"/>
        </w:rPr>
      </w:pPr>
      <w:r>
        <w:rPr>
          <w:snapToGrid w:val="0"/>
        </w:rPr>
        <w:tab/>
        <w:t>(8)</w:t>
      </w:r>
      <w:r>
        <w:rPr>
          <w:snapToGrid w:val="0"/>
        </w:rPr>
        <w:tab/>
        <w:t>The Registrar of Titles shall —</w:t>
      </w:r>
    </w:p>
    <w:p>
      <w:pPr>
        <w:pStyle w:val="Indenta"/>
        <w:keepNext/>
        <w:keepLines/>
        <w:rPr>
          <w:snapToGrid w:val="0"/>
        </w:rPr>
      </w:pPr>
      <w:r>
        <w:rPr>
          <w:snapToGrid w:val="0"/>
        </w:rPr>
        <w:tab/>
        <w:t>(a)</w:t>
      </w:r>
      <w:r>
        <w:rPr>
          <w:snapToGrid w:val="0"/>
        </w:rPr>
        <w:tab/>
        <w:t>in the case of a transfer of common property under this section, register the transfer by creating and registering in the transferee’s name a certificate of title for the land transferred, and no notification of the transfer shall be otherwise made in the Register; and</w:t>
      </w:r>
    </w:p>
    <w:p>
      <w:pPr>
        <w:pStyle w:val="Indenta"/>
        <w:rPr>
          <w:snapToGrid w:val="0"/>
        </w:rPr>
      </w:pPr>
      <w:r>
        <w:rPr>
          <w:snapToGrid w:val="0"/>
        </w:rPr>
        <w:tab/>
        <w:t>(b)</w:t>
      </w:r>
      <w:r>
        <w:rPr>
          <w:snapToGrid w:val="0"/>
        </w:rPr>
        <w:tab/>
        <w:t>in the case of a lease or sub</w:t>
      </w:r>
      <w:r>
        <w:rPr>
          <w:snapToGrid w:val="0"/>
        </w:rPr>
        <w:noBreakHyphen/>
        <w:t>lease of common property under this section, register the lease or sub</w:t>
      </w:r>
      <w:r>
        <w:rPr>
          <w:snapToGrid w:val="0"/>
        </w:rPr>
        <w:noBreakHyphen/>
        <w:t>lease in the manner prescribed.</w:t>
      </w:r>
    </w:p>
    <w:p>
      <w:pPr>
        <w:pStyle w:val="Subsection"/>
        <w:keepNext/>
        <w:rPr>
          <w:snapToGrid w:val="0"/>
        </w:rPr>
      </w:pPr>
      <w:r>
        <w:rPr>
          <w:snapToGrid w:val="0"/>
        </w:rPr>
        <w:tab/>
        <w:t>(9)</w:t>
      </w:r>
      <w:r>
        <w:rPr>
          <w:snapToGrid w:val="0"/>
        </w:rPr>
        <w:tab/>
        <w:t>Upon the lodging for registration of a transfer of common property, the Registrar of Titles shall, before creating and registering a certificate of title, amend the registered strata/survey</w:t>
      </w:r>
      <w:r>
        <w:rPr>
          <w:snapToGrid w:val="0"/>
        </w:rPr>
        <w:noBreakHyphen/>
        <w:t>strata plan in the manner prescribed.</w:t>
      </w:r>
    </w:p>
    <w:p>
      <w:pPr>
        <w:pStyle w:val="Subsection"/>
        <w:keepNext/>
        <w:rPr>
          <w:snapToGrid w:val="0"/>
        </w:rPr>
      </w:pPr>
      <w:r>
        <w:rPr>
          <w:snapToGrid w:val="0"/>
        </w:rPr>
        <w:tab/>
        <w:t>(10)</w:t>
      </w:r>
      <w:r>
        <w:rPr>
          <w:snapToGrid w:val="0"/>
        </w:rPr>
        <w:tab/>
        <w:t>Subject to subsections (11), (12) and (13) —</w:t>
      </w:r>
    </w:p>
    <w:p>
      <w:pPr>
        <w:pStyle w:val="Indenta"/>
        <w:rPr>
          <w:snapToGrid w:val="0"/>
        </w:rPr>
      </w:pPr>
      <w:r>
        <w:rPr>
          <w:snapToGrid w:val="0"/>
        </w:rPr>
        <w:tab/>
        <w:t>(a)</w:t>
      </w:r>
      <w:r>
        <w:rPr>
          <w:snapToGrid w:val="0"/>
        </w:rPr>
        <w:tab/>
        <w:t>a transfer or mortgage of the common property or part of the common property; or</w:t>
      </w:r>
    </w:p>
    <w:p>
      <w:pPr>
        <w:pStyle w:val="Indenta"/>
        <w:rPr>
          <w:snapToGrid w:val="0"/>
        </w:rPr>
      </w:pPr>
      <w:r>
        <w:rPr>
          <w:snapToGrid w:val="0"/>
        </w:rPr>
        <w:tab/>
        <w:t>(b)</w:t>
      </w:r>
      <w:r>
        <w:rPr>
          <w:snapToGrid w:val="0"/>
        </w:rPr>
        <w:tab/>
        <w:t>a lease or licence, or lease and licence, to use or occupy the common property or part of the common property, for any term or terms exceeding the prescribed period in the aggregate including an option to extend or renew the term of a lease or licence granted in respect of the common property or part thereof,</w:t>
      </w:r>
    </w:p>
    <w:p>
      <w:pPr>
        <w:pStyle w:val="Subsection"/>
        <w:rPr>
          <w:snapToGrid w:val="0"/>
        </w:rPr>
      </w:pPr>
      <w:r>
        <w:rPr>
          <w:snapToGrid w:val="0"/>
        </w:rPr>
        <w:tab/>
      </w:r>
      <w:r>
        <w:rPr>
          <w:snapToGrid w:val="0"/>
        </w:rPr>
        <w:tab/>
        <w:t>is not effective unless it has been approved in writing by the Commission and the local government.</w:t>
      </w:r>
    </w:p>
    <w:p>
      <w:pPr>
        <w:pStyle w:val="Subsection"/>
        <w:rPr>
          <w:snapToGrid w:val="0"/>
        </w:rPr>
      </w:pPr>
      <w:r>
        <w:rPr>
          <w:snapToGrid w:val="0"/>
        </w:rPr>
        <w:tab/>
        <w:t>(11)</w:t>
      </w:r>
      <w:r>
        <w:rPr>
          <w:snapToGrid w:val="0"/>
        </w:rPr>
        <w:tab/>
        <w:t>Subsection (10) does not apply so as to require the approval of the Commission in the case of a subdivision of a parcel exempted from the requirement of a certificate of approval of the Commission by regulations made under section 25(2).</w:t>
      </w:r>
    </w:p>
    <w:p>
      <w:pPr>
        <w:pStyle w:val="Subsection"/>
        <w:rPr>
          <w:snapToGrid w:val="0"/>
        </w:rPr>
      </w:pPr>
      <w:r>
        <w:rPr>
          <w:snapToGrid w:val="0"/>
        </w:rPr>
        <w:tab/>
        <w:t>(12)</w:t>
      </w:r>
      <w:r>
        <w:rPr>
          <w:snapToGrid w:val="0"/>
        </w:rPr>
        <w:tab/>
        <w:t>Subsection (10) does not apply to a by</w:t>
      </w:r>
      <w:r>
        <w:rPr>
          <w:snapToGrid w:val="0"/>
        </w:rPr>
        <w:noBreakHyphen/>
        <w:t xml:space="preserve">law referred to in section 42(8), whether made before or after the commencement of section 15 of the </w:t>
      </w:r>
      <w:r>
        <w:rPr>
          <w:i/>
          <w:snapToGrid w:val="0"/>
        </w:rPr>
        <w:t>Strata Titles Amendment Act 1996</w:t>
      </w:r>
      <w:r>
        <w:rPr>
          <w:snapToGrid w:val="0"/>
        </w:rPr>
        <w:t>, and no such by</w:t>
      </w:r>
      <w:r>
        <w:rPr>
          <w:snapToGrid w:val="0"/>
        </w:rPr>
        <w:noBreakHyphen/>
        <w:t>law shall be called in question for non</w:t>
      </w:r>
      <w:r>
        <w:rPr>
          <w:snapToGrid w:val="0"/>
        </w:rPr>
        <w:noBreakHyphen/>
        <w:t>compliance with that subsection.</w:t>
      </w:r>
    </w:p>
    <w:p>
      <w:pPr>
        <w:pStyle w:val="Subsection"/>
        <w:keepNext/>
        <w:rPr>
          <w:snapToGrid w:val="0"/>
        </w:rPr>
      </w:pPr>
      <w:r>
        <w:rPr>
          <w:snapToGrid w:val="0"/>
        </w:rPr>
        <w:tab/>
        <w:t>(13)</w:t>
      </w:r>
      <w:r>
        <w:rPr>
          <w:snapToGrid w:val="0"/>
        </w:rPr>
        <w:tab/>
        <w:t>Subsection (10) does not apply to anything done under Division 2A of Part II or Division 3 of Part III.</w:t>
      </w:r>
    </w:p>
    <w:p>
      <w:pPr>
        <w:pStyle w:val="Footnotesection"/>
      </w:pPr>
      <w:r>
        <w:tab/>
        <w:t>[Section 19 amended: No. 84 of 1994 s. 46; No. 58 of 1995 s. 21, 92 and 95; No. 14 of 1996 s. 4; No. 61 of 1996 s. 15; No. 81 of 1996 s. 153(1).]</w:t>
      </w:r>
    </w:p>
    <w:p>
      <w:pPr>
        <w:pStyle w:val="Heading5"/>
        <w:rPr>
          <w:snapToGrid w:val="0"/>
        </w:rPr>
      </w:pPr>
      <w:bookmarkStart w:id="56" w:name="_Toc530554815"/>
      <w:r>
        <w:rPr>
          <w:rStyle w:val="CharSectno"/>
        </w:rPr>
        <w:t>20</w:t>
      </w:r>
      <w:r>
        <w:rPr>
          <w:snapToGrid w:val="0"/>
        </w:rPr>
        <w:t>.</w:t>
      </w:r>
      <w:r>
        <w:rPr>
          <w:snapToGrid w:val="0"/>
        </w:rPr>
        <w:tab/>
        <w:t>Creation of easements and covenants</w:t>
      </w:r>
      <w:bookmarkEnd w:id="56"/>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w:t>
      </w:r>
    </w:p>
    <w:p>
      <w:pPr>
        <w:pStyle w:val="Indenta"/>
        <w:rPr>
          <w:snapToGrid w:val="0"/>
        </w:rPr>
      </w:pPr>
      <w:r>
        <w:rPr>
          <w:snapToGrid w:val="0"/>
        </w:rPr>
        <w:tab/>
        <w:t>(a)</w:t>
      </w:r>
      <w:r>
        <w:rPr>
          <w:snapToGrid w:val="0"/>
        </w:rPr>
        <w:tab/>
        <w:t>execute a grant of easement or a restrictive covenant burdening the parcel;</w:t>
      </w:r>
    </w:p>
    <w:p>
      <w:pPr>
        <w:pStyle w:val="Indenta"/>
        <w:rPr>
          <w:snapToGrid w:val="0"/>
        </w:rPr>
      </w:pPr>
      <w:r>
        <w:rPr>
          <w:snapToGrid w:val="0"/>
        </w:rPr>
        <w:tab/>
        <w:t>(b)</w:t>
      </w:r>
      <w:r>
        <w:rPr>
          <w:snapToGrid w:val="0"/>
        </w:rPr>
        <w:tab/>
        <w:t>accept a grant of easement or a restrictive covenant benefiting the parcel;</w:t>
      </w:r>
    </w:p>
    <w:p>
      <w:pPr>
        <w:pStyle w:val="Indenta"/>
        <w:rPr>
          <w:snapToGrid w:val="0"/>
        </w:rPr>
      </w:pPr>
      <w:r>
        <w:rPr>
          <w:snapToGrid w:val="0"/>
        </w:rPr>
        <w:tab/>
        <w:t>(c)</w:t>
      </w:r>
      <w:r>
        <w:rPr>
          <w:snapToGrid w:val="0"/>
        </w:rPr>
        <w:tab/>
        <w:t>surrender a grant of easement or a restrictive covenant benefiting the parcel.</w:t>
      </w:r>
    </w:p>
    <w:p>
      <w:pPr>
        <w:pStyle w:val="Subsection"/>
        <w:rPr>
          <w:snapToGrid w:val="0"/>
        </w:rPr>
      </w:pPr>
      <w:r>
        <w:rPr>
          <w:snapToGrid w:val="0"/>
        </w:rPr>
        <w:tab/>
        <w:t>(2)</w:t>
      </w:r>
      <w:r>
        <w:rPr>
          <w:snapToGrid w:val="0"/>
        </w:rPr>
        <w:tab/>
        <w:t>Subsection (1) does not authorise a strata company to accept a grant or execute a surrender of an easement relating to common property the subject of a lease accepted or acquired by the strata company under section 18(1) that, apart from subsection (1), it is not entitled to accept or execute as a lessee or, by the terms of the lease, it is prevented from accepting or executing.</w:t>
      </w:r>
    </w:p>
    <w:p>
      <w:pPr>
        <w:pStyle w:val="Subsection"/>
        <w:rPr>
          <w:snapToGrid w:val="0"/>
        </w:rPr>
      </w:pPr>
      <w:r>
        <w:rPr>
          <w:snapToGrid w:val="0"/>
        </w:rPr>
        <w:tab/>
        <w:t>(3)</w:t>
      </w:r>
      <w:r>
        <w:rPr>
          <w:snapToGrid w:val="0"/>
        </w:rPr>
        <w:tab/>
        <w:t>A strata company may, pursuant to a resolution without dissent (or unanimous resolution, in the case of a two</w:t>
      </w:r>
      <w:r>
        <w:rPr>
          <w:snapToGrid w:val="0"/>
        </w:rPr>
        <w:noBreakHyphen/>
        <w:t>lot scheme), consent to the execution or acceptance by a lessor of a grant or surrender of easement relating to common property the subject of a lease accepted or acquired by the strata company under section 18(1).</w:t>
      </w:r>
    </w:p>
    <w:p>
      <w:pPr>
        <w:pStyle w:val="Subsection"/>
        <w:rPr>
          <w:snapToGrid w:val="0"/>
          <w:spacing w:val="-4"/>
        </w:rPr>
      </w:pPr>
      <w:r>
        <w:rPr>
          <w:snapToGrid w:val="0"/>
        </w:rPr>
        <w:tab/>
        <w:t>(4)</w:t>
      </w:r>
      <w:r>
        <w:rPr>
          <w:snapToGrid w:val="0"/>
        </w:rPr>
        <w:tab/>
        <w:t>The strata company, if it is satisfied that all persons having</w:t>
      </w:r>
      <w:r>
        <w:rPr>
          <w:snapToGrid w:val="0"/>
          <w:spacing w:val="-4"/>
        </w:rPr>
        <w:t xml:space="preserve"> registered interests in the parcel and all other persons having interests (other than statutory interests) which have been notified to the strata company have consented in writing to the proposed dealing, shall execute the appropriate instrument and any plan necessary therefor and every instrument shall be valid and effective without execution by any person having an interest in the parcel, and the receipt of the strata company of any moneys payable to the strata company under the terms of the instrument shall be a sufficient discharge, and shall exonerate the persons taking under the instrument from any responsibility for the application of the moneys expressed to have been so received.</w:t>
      </w:r>
    </w:p>
    <w:p>
      <w:pPr>
        <w:pStyle w:val="Subsection"/>
        <w:spacing w:before="200"/>
        <w:rPr>
          <w:snapToGrid w:val="0"/>
        </w:rPr>
      </w:pPr>
      <w:r>
        <w:rPr>
          <w:snapToGrid w:val="0"/>
        </w:rPr>
        <w:tab/>
        <w:t>(5)</w:t>
      </w:r>
      <w:r>
        <w:rPr>
          <w:snapToGrid w:val="0"/>
        </w:rPr>
        <w:tab/>
        <w:t>Every instrument executed pursuant to subsection (4) and lodged for registration with the Registrar of Titles shall be endorsed with or accompanied by a certificate under the seal of the strata company that the resolution was duly passed and that all necessary consents were given.</w:t>
      </w:r>
    </w:p>
    <w:p>
      <w:pPr>
        <w:pStyle w:val="Subsection"/>
        <w:spacing w:before="200"/>
        <w:rPr>
          <w:snapToGrid w:val="0"/>
        </w:rPr>
      </w:pPr>
      <w:r>
        <w:rPr>
          <w:snapToGrid w:val="0"/>
        </w:rPr>
        <w:tab/>
        <w:t>(6)</w:t>
      </w:r>
      <w:r>
        <w:rPr>
          <w:snapToGrid w:val="0"/>
        </w:rPr>
        <w:tab/>
        <w:t>In favour of persons dealing with the strata company pursuant to this section and in favour of the Registrar of Titles, the certificate referred to in subsection (5) shall be conclusive evidence of the matters certified in it.</w:t>
      </w:r>
    </w:p>
    <w:p>
      <w:pPr>
        <w:pStyle w:val="Subsection"/>
        <w:spacing w:before="200"/>
        <w:rPr>
          <w:snapToGrid w:val="0"/>
        </w:rPr>
      </w:pPr>
      <w:r>
        <w:rPr>
          <w:snapToGrid w:val="0"/>
        </w:rPr>
        <w:tab/>
        <w:t>(7)</w:t>
      </w:r>
      <w:r>
        <w:rPr>
          <w:snapToGrid w:val="0"/>
        </w:rPr>
        <w:tab/>
        <w:t>The Registrar of Titles shall register the instrument creating or surrendering a grant of easement or a restrictive covenant by noting it on the strata plan in the manner prescribed.</w:t>
      </w:r>
    </w:p>
    <w:p>
      <w:pPr>
        <w:pStyle w:val="Footnotesection"/>
      </w:pPr>
      <w:r>
        <w:tab/>
        <w:t>[Section 20 amended: No. 58 of 1995 s. 92.]</w:t>
      </w:r>
    </w:p>
    <w:p>
      <w:pPr>
        <w:pStyle w:val="Heading5"/>
        <w:spacing w:before="260"/>
        <w:rPr>
          <w:snapToGrid w:val="0"/>
        </w:rPr>
      </w:pPr>
      <w:bookmarkStart w:id="57" w:name="_Toc530554816"/>
      <w:r>
        <w:rPr>
          <w:rStyle w:val="CharSectno"/>
        </w:rPr>
        <w:t>21</w:t>
      </w:r>
      <w:r>
        <w:rPr>
          <w:snapToGrid w:val="0"/>
        </w:rPr>
        <w:t>.</w:t>
      </w:r>
      <w:r>
        <w:rPr>
          <w:snapToGrid w:val="0"/>
        </w:rPr>
        <w:tab/>
        <w:t>Encroachments treated as common property</w:t>
      </w:r>
      <w:bookmarkEnd w:id="57"/>
    </w:p>
    <w:p>
      <w:pPr>
        <w:pStyle w:val="Subsection"/>
        <w:spacing w:before="200"/>
        <w:rPr>
          <w:snapToGrid w:val="0"/>
        </w:rPr>
      </w:pPr>
      <w:r>
        <w:rPr>
          <w:snapToGrid w:val="0"/>
        </w:rPr>
        <w:tab/>
      </w:r>
      <w:r>
        <w:rPr>
          <w:snapToGrid w:val="0"/>
        </w:rPr>
        <w:tab/>
        <w:t>Where a strata plan or plan of re</w:t>
      </w:r>
      <w:r>
        <w:rPr>
          <w:snapToGrid w:val="0"/>
        </w:rPr>
        <w:noBreakHyphen/>
        <w:t>subdivision in respect of a strata scheme indicates the existence of an encroachment, the provisions of this Act, other than those relating to ownership and certification of title, apply to the encroachment as if it were common property.</w:t>
      </w:r>
    </w:p>
    <w:p>
      <w:pPr>
        <w:pStyle w:val="Footnotesection"/>
      </w:pPr>
      <w:r>
        <w:tab/>
        <w:t>[Section 21 amended: No. 58 of 1995 s. 22.]</w:t>
      </w:r>
    </w:p>
    <w:p>
      <w:pPr>
        <w:pStyle w:val="Heading3"/>
        <w:keepLines/>
      </w:pPr>
      <w:bookmarkStart w:id="58" w:name="_Toc525288445"/>
      <w:bookmarkStart w:id="59" w:name="_Toc530554481"/>
      <w:bookmarkStart w:id="60" w:name="_Toc530554817"/>
      <w:r>
        <w:rPr>
          <w:rStyle w:val="CharDivNo"/>
        </w:rPr>
        <w:t>Division 2A</w:t>
      </w:r>
      <w:r>
        <w:rPr>
          <w:snapToGrid w:val="0"/>
        </w:rPr>
        <w:t> — </w:t>
      </w:r>
      <w:r>
        <w:rPr>
          <w:rStyle w:val="CharDivText"/>
        </w:rPr>
        <w:t>Merger of common property into lots in certain strata schemes</w:t>
      </w:r>
      <w:bookmarkEnd w:id="58"/>
      <w:bookmarkEnd w:id="59"/>
      <w:bookmarkEnd w:id="60"/>
    </w:p>
    <w:p>
      <w:pPr>
        <w:pStyle w:val="Footnoteheading"/>
      </w:pPr>
      <w:r>
        <w:tab/>
        <w:t>[Heading inserted: No. 61 of 1996 s. 16.]</w:t>
      </w:r>
    </w:p>
    <w:p>
      <w:pPr>
        <w:pStyle w:val="Heading4"/>
        <w:keepLines/>
        <w:rPr>
          <w:snapToGrid w:val="0"/>
        </w:rPr>
      </w:pPr>
      <w:bookmarkStart w:id="61" w:name="_Toc525288446"/>
      <w:bookmarkStart w:id="62" w:name="_Toc530554482"/>
      <w:bookmarkStart w:id="63" w:name="_Toc530554818"/>
      <w:r>
        <w:rPr>
          <w:snapToGrid w:val="0"/>
        </w:rPr>
        <w:t>Subdivision 1 — Preliminary</w:t>
      </w:r>
      <w:bookmarkEnd w:id="61"/>
      <w:bookmarkEnd w:id="62"/>
      <w:bookmarkEnd w:id="63"/>
    </w:p>
    <w:p>
      <w:pPr>
        <w:pStyle w:val="Footnoteheading"/>
      </w:pPr>
      <w:r>
        <w:tab/>
        <w:t>[Heading inserted: No. 61 of 1996 s. 16.]</w:t>
      </w:r>
    </w:p>
    <w:p>
      <w:pPr>
        <w:pStyle w:val="Heading5"/>
        <w:rPr>
          <w:snapToGrid w:val="0"/>
        </w:rPr>
      </w:pPr>
      <w:bookmarkStart w:id="64" w:name="_Toc530554819"/>
      <w:r>
        <w:rPr>
          <w:rStyle w:val="CharSectno"/>
        </w:rPr>
        <w:t>21A</w:t>
      </w:r>
      <w:r>
        <w:rPr>
          <w:snapToGrid w:val="0"/>
        </w:rPr>
        <w:t>.</w:t>
      </w:r>
      <w:r>
        <w:rPr>
          <w:snapToGrid w:val="0"/>
        </w:rPr>
        <w:tab/>
        <w:t>Term used: existing small strata scheme</w:t>
      </w:r>
      <w:bookmarkEnd w:id="64"/>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existing small strata scheme</w:t>
      </w:r>
      <w:r>
        <w:t xml:space="preserve"> means a strata scheme —</w:t>
      </w:r>
    </w:p>
    <w:p>
      <w:pPr>
        <w:pStyle w:val="Defpara"/>
      </w:pPr>
      <w:r>
        <w:tab/>
        <w:t>(a)</w:t>
      </w:r>
      <w:r>
        <w:tab/>
        <w:t>in which there are not more than 5 lots; and</w:t>
      </w:r>
    </w:p>
    <w:p>
      <w:pPr>
        <w:pStyle w:val="Defpara"/>
      </w:pPr>
      <w:r>
        <w:tab/>
        <w:t>(b)</w:t>
      </w:r>
      <w:r>
        <w:tab/>
        <w:t>the strata plan for which was registered before 1 January 1998,</w:t>
      </w:r>
    </w:p>
    <w:p>
      <w:pPr>
        <w:pStyle w:val="Defstart"/>
      </w:pPr>
      <w:r>
        <w:tab/>
        <w:t>but does not include a strata scheme the strata plan for which provides that section 3AB does not apply to the scheme.</w:t>
      </w:r>
    </w:p>
    <w:p>
      <w:pPr>
        <w:pStyle w:val="Footnotesection"/>
      </w:pPr>
      <w:r>
        <w:tab/>
        <w:t>[Section 21A inserted: No. 61 of 1996 s. 16.]</w:t>
      </w:r>
    </w:p>
    <w:p>
      <w:pPr>
        <w:pStyle w:val="Heading5"/>
        <w:rPr>
          <w:snapToGrid w:val="0"/>
        </w:rPr>
      </w:pPr>
      <w:bookmarkStart w:id="65" w:name="_Toc530554820"/>
      <w:r>
        <w:rPr>
          <w:rStyle w:val="CharSectno"/>
        </w:rPr>
        <w:t>21B</w:t>
      </w:r>
      <w:r>
        <w:rPr>
          <w:snapToGrid w:val="0"/>
        </w:rPr>
        <w:t>.</w:t>
      </w:r>
      <w:r>
        <w:rPr>
          <w:snapToGrid w:val="0"/>
        </w:rPr>
        <w:tab/>
        <w:t>Division only applies to single tier strata schemes</w:t>
      </w:r>
      <w:bookmarkEnd w:id="65"/>
    </w:p>
    <w:p>
      <w:pPr>
        <w:pStyle w:val="Subsection"/>
        <w:keepNext/>
        <w:rPr>
          <w:snapToGrid w:val="0"/>
        </w:rPr>
      </w:pPr>
      <w:r>
        <w:rPr>
          <w:snapToGrid w:val="0"/>
        </w:rPr>
        <w:tab/>
      </w:r>
      <w:r>
        <w:rPr>
          <w:snapToGrid w:val="0"/>
        </w:rPr>
        <w:tab/>
        <w:t>This Division applies only to a single tier strata scheme.</w:t>
      </w:r>
    </w:p>
    <w:p>
      <w:pPr>
        <w:pStyle w:val="Footnotesection"/>
      </w:pPr>
      <w:r>
        <w:tab/>
        <w:t>[Section 21B inserted: No. 61 of 1996 s. 16.]</w:t>
      </w:r>
    </w:p>
    <w:p>
      <w:pPr>
        <w:pStyle w:val="Heading5"/>
        <w:rPr>
          <w:snapToGrid w:val="0"/>
        </w:rPr>
      </w:pPr>
      <w:bookmarkStart w:id="66" w:name="_Toc530554821"/>
      <w:r>
        <w:rPr>
          <w:rStyle w:val="CharSectno"/>
        </w:rPr>
        <w:t>21C</w:t>
      </w:r>
      <w:r>
        <w:rPr>
          <w:snapToGrid w:val="0"/>
        </w:rPr>
        <w:t>.</w:t>
      </w:r>
      <w:r>
        <w:rPr>
          <w:snapToGrid w:val="0"/>
        </w:rPr>
        <w:tab/>
        <w:t>Procedures cannot be invoked more than once</w:t>
      </w:r>
      <w:bookmarkEnd w:id="66"/>
    </w:p>
    <w:p>
      <w:pPr>
        <w:pStyle w:val="Subsection"/>
        <w:rPr>
          <w:snapToGrid w:val="0"/>
        </w:rPr>
      </w:pPr>
      <w:r>
        <w:rPr>
          <w:snapToGrid w:val="0"/>
        </w:rPr>
        <w:tab/>
        <w:t>(1)</w:t>
      </w:r>
      <w:r>
        <w:rPr>
          <w:snapToGrid w:val="0"/>
        </w:rPr>
        <w:tab/>
        <w:t>After a notice of resolution has been registered under section 21H in respect of a strata scheme, no further notice of resolution may be registered under that section in respect of that scheme.</w:t>
      </w:r>
    </w:p>
    <w:p>
      <w:pPr>
        <w:pStyle w:val="Subsection"/>
        <w:rPr>
          <w:snapToGrid w:val="0"/>
        </w:rPr>
      </w:pPr>
      <w:r>
        <w:rPr>
          <w:snapToGrid w:val="0"/>
        </w:rPr>
        <w:tab/>
        <w:t>(2)</w:t>
      </w:r>
      <w:r>
        <w:rPr>
          <w:snapToGrid w:val="0"/>
        </w:rPr>
        <w:tab/>
        <w:t>After a resolution has been registered under section 21X in respect of a strata scheme, no further resolution may be registered under that section in respect of that scheme.</w:t>
      </w:r>
    </w:p>
    <w:p>
      <w:pPr>
        <w:pStyle w:val="Footnotesection"/>
      </w:pPr>
      <w:r>
        <w:tab/>
        <w:t>[Section 21C inserted: No. 61 of 1996 s. 16.]</w:t>
      </w:r>
    </w:p>
    <w:p>
      <w:pPr>
        <w:pStyle w:val="Heading5"/>
        <w:rPr>
          <w:snapToGrid w:val="0"/>
        </w:rPr>
      </w:pPr>
      <w:bookmarkStart w:id="67" w:name="_Toc530554822"/>
      <w:r>
        <w:rPr>
          <w:rStyle w:val="CharSectno"/>
        </w:rPr>
        <w:t>21D</w:t>
      </w:r>
      <w:r>
        <w:rPr>
          <w:snapToGrid w:val="0"/>
        </w:rPr>
        <w:t>.</w:t>
      </w:r>
      <w:r>
        <w:rPr>
          <w:snapToGrid w:val="0"/>
        </w:rPr>
        <w:tab/>
        <w:t>Saving</w:t>
      </w:r>
      <w:bookmarkEnd w:id="67"/>
    </w:p>
    <w:p>
      <w:pPr>
        <w:pStyle w:val="Subsection"/>
        <w:rPr>
          <w:snapToGrid w:val="0"/>
        </w:rPr>
      </w:pPr>
      <w:r>
        <w:rPr>
          <w:snapToGrid w:val="0"/>
        </w:rPr>
        <w:tab/>
      </w:r>
      <w:r>
        <w:rPr>
          <w:snapToGrid w:val="0"/>
        </w:rPr>
        <w:tab/>
        <w:t>Nothing in this Division prevents or limits the re</w:t>
      </w:r>
      <w:r>
        <w:rPr>
          <w:snapToGrid w:val="0"/>
        </w:rPr>
        <w:noBreakHyphen/>
        <w:t>subdivision of lots by the registration of a plan of re</w:t>
      </w:r>
      <w:r>
        <w:rPr>
          <w:snapToGrid w:val="0"/>
        </w:rPr>
        <w:noBreakHyphen/>
        <w:t>subdivision under section 8.</w:t>
      </w:r>
    </w:p>
    <w:p>
      <w:pPr>
        <w:pStyle w:val="Footnotesection"/>
      </w:pPr>
      <w:r>
        <w:tab/>
        <w:t>[Section 21D inserted: No. 61 of 1996 s. 16.]</w:t>
      </w:r>
    </w:p>
    <w:p>
      <w:pPr>
        <w:pStyle w:val="Heading4"/>
      </w:pPr>
      <w:bookmarkStart w:id="68" w:name="_Toc525288451"/>
      <w:bookmarkStart w:id="69" w:name="_Toc530554487"/>
      <w:bookmarkStart w:id="70" w:name="_Toc530554823"/>
      <w:r>
        <w:t>Subdivision 2 — Merger by resolution of buildings that are common property</w:t>
      </w:r>
      <w:bookmarkEnd w:id="68"/>
      <w:bookmarkEnd w:id="69"/>
      <w:bookmarkEnd w:id="70"/>
    </w:p>
    <w:p>
      <w:pPr>
        <w:pStyle w:val="Footnoteheading"/>
      </w:pPr>
      <w:r>
        <w:tab/>
        <w:t>[Heading inserted: No. 61 of 1996 s. 16.]</w:t>
      </w:r>
    </w:p>
    <w:p>
      <w:pPr>
        <w:pStyle w:val="Heading5"/>
        <w:rPr>
          <w:snapToGrid w:val="0"/>
        </w:rPr>
      </w:pPr>
      <w:bookmarkStart w:id="71" w:name="_Toc530554824"/>
      <w:r>
        <w:rPr>
          <w:rStyle w:val="CharSectno"/>
        </w:rPr>
        <w:t>21E</w:t>
      </w:r>
      <w:r>
        <w:rPr>
          <w:snapToGrid w:val="0"/>
        </w:rPr>
        <w:t>.</w:t>
      </w:r>
      <w:r>
        <w:rPr>
          <w:snapToGrid w:val="0"/>
        </w:rPr>
        <w:tab/>
        <w:t>Application of this Subdivision</w:t>
      </w:r>
      <w:bookmarkEnd w:id="71"/>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21E inserted: No. 61 of 1996 s. 16.]</w:t>
      </w:r>
    </w:p>
    <w:p>
      <w:pPr>
        <w:pStyle w:val="Heading5"/>
        <w:rPr>
          <w:snapToGrid w:val="0"/>
        </w:rPr>
      </w:pPr>
      <w:bookmarkStart w:id="72" w:name="_Toc530554825"/>
      <w:r>
        <w:rPr>
          <w:rStyle w:val="CharSectno"/>
        </w:rPr>
        <w:t>21F</w:t>
      </w:r>
      <w:r>
        <w:rPr>
          <w:snapToGrid w:val="0"/>
        </w:rPr>
        <w:t>.</w:t>
      </w:r>
      <w:r>
        <w:rPr>
          <w:snapToGrid w:val="0"/>
        </w:rPr>
        <w:tab/>
        <w:t>Resolution by strata company</w:t>
      </w:r>
      <w:bookmarkEnd w:id="72"/>
    </w:p>
    <w:p>
      <w:pPr>
        <w:pStyle w:val="Subsection"/>
        <w:rPr>
          <w:snapToGrid w:val="0"/>
        </w:rPr>
      </w:pPr>
      <w:r>
        <w:rPr>
          <w:snapToGrid w:val="0"/>
        </w:rPr>
        <w:tab/>
        <w:t>(1)</w:t>
      </w:r>
      <w:r>
        <w:rPr>
          <w:snapToGrid w:val="0"/>
        </w:rPr>
        <w:tab/>
        <w:t>A strata company for a strata scheme may, in the prescribed form, resolve that the boundaries of lots or parts of lots in the scheme are to be fixed by reference to the boundaries provided for by section 3AB.</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Footnotesection"/>
      </w:pPr>
      <w:r>
        <w:tab/>
        <w:t>[Section 21F inserted: No. 61 of 1996 s. 16; amended: No. 55 of 2004 s. 1157.]</w:t>
      </w:r>
    </w:p>
    <w:p>
      <w:pPr>
        <w:pStyle w:val="Heading5"/>
        <w:rPr>
          <w:snapToGrid w:val="0"/>
        </w:rPr>
      </w:pPr>
      <w:bookmarkStart w:id="73" w:name="_Toc530554826"/>
      <w:r>
        <w:rPr>
          <w:rStyle w:val="CharSectno"/>
        </w:rPr>
        <w:t>21G</w:t>
      </w:r>
      <w:r>
        <w:rPr>
          <w:snapToGrid w:val="0"/>
        </w:rPr>
        <w:t>.</w:t>
      </w:r>
      <w:r>
        <w:rPr>
          <w:snapToGrid w:val="0"/>
        </w:rPr>
        <w:tab/>
        <w:t>Lodgement of notice of resolution for registration</w:t>
      </w:r>
      <w:bookmarkEnd w:id="73"/>
    </w:p>
    <w:p>
      <w:pPr>
        <w:pStyle w:val="Subsection"/>
        <w:keepNext/>
        <w:spacing w:before="120"/>
        <w:rPr>
          <w:snapToGrid w:val="0"/>
        </w:rPr>
      </w:pPr>
      <w:r>
        <w:rPr>
          <w:snapToGrid w:val="0"/>
        </w:rPr>
        <w:tab/>
        <w:t>(1)</w:t>
      </w:r>
      <w:r>
        <w:rPr>
          <w:snapToGrid w:val="0"/>
        </w:rPr>
        <w:tab/>
        <w:t>Where a strata company has passed a resolution under section 21F it may, in accordance with the regulations, lodge with the Registrar of Titles —</w:t>
      </w:r>
    </w:p>
    <w:p>
      <w:pPr>
        <w:pStyle w:val="Indenta"/>
        <w:spacing w:before="60"/>
        <w:rPr>
          <w:snapToGrid w:val="0"/>
        </w:rPr>
      </w:pPr>
      <w:r>
        <w:rPr>
          <w:snapToGrid w:val="0"/>
        </w:rPr>
        <w:tab/>
        <w:t>(a)</w:t>
      </w:r>
      <w:r>
        <w:rPr>
          <w:snapToGrid w:val="0"/>
        </w:rPr>
        <w:tab/>
        <w:t>a notice of resolution in the prescribed form; and</w:t>
      </w:r>
    </w:p>
    <w:p>
      <w:pPr>
        <w:pStyle w:val="Indenta"/>
        <w:spacing w:before="60"/>
        <w:rPr>
          <w:snapToGrid w:val="0"/>
        </w:rPr>
      </w:pPr>
      <w:r>
        <w:rPr>
          <w:snapToGrid w:val="0"/>
        </w:rPr>
        <w:tab/>
        <w:t>(b)</w:t>
      </w:r>
      <w:r>
        <w:rPr>
          <w:snapToGrid w:val="0"/>
        </w:rPr>
        <w:tab/>
        <w:t xml:space="preserve">if applicable, a copy of any relevant order under section 103C or 103M certified by </w:t>
      </w:r>
      <w:r>
        <w:t>the executive officer of the State Administrative Tribunal</w:t>
      </w:r>
      <w:r>
        <w:rPr>
          <w:snapToGrid w:val="0"/>
        </w:rPr>
        <w:t xml:space="preserve"> as being a true copy.</w:t>
      </w:r>
    </w:p>
    <w:p>
      <w:pPr>
        <w:pStyle w:val="Subsection"/>
        <w:keepNext/>
        <w:spacing w:before="12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spacing w:before="60"/>
        <w:rPr>
          <w:snapToGrid w:val="0"/>
        </w:rPr>
      </w:pPr>
      <w:r>
        <w:rPr>
          <w:snapToGrid w:val="0"/>
        </w:rPr>
        <w:tab/>
        <w:t>(b)</w:t>
      </w:r>
      <w:r>
        <w:rPr>
          <w:snapToGrid w:val="0"/>
        </w:rPr>
        <w:tab/>
        <w:t>where the resolution is of the kind mentioned in section 21F(2)(b) or (c), by one proprietor.</w:t>
      </w:r>
    </w:p>
    <w:p>
      <w:pPr>
        <w:pStyle w:val="Subsection"/>
        <w:keepNext/>
        <w:spacing w:before="12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spacing w:before="60"/>
        <w:rPr>
          <w:snapToGrid w:val="0"/>
        </w:rPr>
      </w:pPr>
      <w:r>
        <w:rPr>
          <w:snapToGrid w:val="0"/>
        </w:rPr>
        <w:tab/>
        <w:t>(b)</w:t>
      </w:r>
      <w:r>
        <w:rPr>
          <w:snapToGrid w:val="0"/>
        </w:rPr>
        <w:tab/>
        <w:t>if subsection (2)(a) or (b) applies, is to be signed by the proprietors or the proprietor lodging it.</w:t>
      </w:r>
    </w:p>
    <w:p>
      <w:pPr>
        <w:pStyle w:val="Footnotesection"/>
        <w:keepLines w:val="0"/>
        <w:spacing w:before="80"/>
      </w:pPr>
      <w:r>
        <w:tab/>
        <w:t>[Section 21G inserted: No. 61 of 1996 s. 16; amended: No. 55 of 2004 s. 1110.]</w:t>
      </w:r>
    </w:p>
    <w:p>
      <w:pPr>
        <w:pStyle w:val="Heading5"/>
        <w:keepLines w:val="0"/>
        <w:spacing w:before="180"/>
        <w:rPr>
          <w:snapToGrid w:val="0"/>
        </w:rPr>
      </w:pPr>
      <w:bookmarkStart w:id="74" w:name="_Toc530554827"/>
      <w:r>
        <w:rPr>
          <w:rStyle w:val="CharSectno"/>
        </w:rPr>
        <w:t>21H</w:t>
      </w:r>
      <w:r>
        <w:rPr>
          <w:snapToGrid w:val="0"/>
        </w:rPr>
        <w:t>.</w:t>
      </w:r>
      <w:r>
        <w:rPr>
          <w:snapToGrid w:val="0"/>
        </w:rPr>
        <w:tab/>
        <w:t>Registration of notice of resolution</w:t>
      </w:r>
      <w:bookmarkEnd w:id="74"/>
    </w:p>
    <w:p>
      <w:pPr>
        <w:pStyle w:val="Subsection"/>
        <w:spacing w:before="120"/>
        <w:rPr>
          <w:snapToGrid w:val="0"/>
        </w:rPr>
      </w:pPr>
      <w:r>
        <w:rPr>
          <w:snapToGrid w:val="0"/>
        </w:rPr>
        <w:tab/>
      </w:r>
      <w:r>
        <w:rPr>
          <w:snapToGrid w:val="0"/>
        </w:rPr>
        <w:tab/>
        <w:t>The Registrar of Titles is to register a notice of resolution if the relevant requirements of this Division are satisfied.</w:t>
      </w:r>
    </w:p>
    <w:p>
      <w:pPr>
        <w:pStyle w:val="Footnotesection"/>
        <w:spacing w:before="80"/>
      </w:pPr>
      <w:r>
        <w:tab/>
        <w:t>[Section 21H inserted: No. 61 of 1996 s. 16.]</w:t>
      </w:r>
    </w:p>
    <w:p>
      <w:pPr>
        <w:pStyle w:val="Heading5"/>
        <w:spacing w:before="180"/>
        <w:rPr>
          <w:snapToGrid w:val="0"/>
        </w:rPr>
      </w:pPr>
      <w:bookmarkStart w:id="75" w:name="_Toc530554828"/>
      <w:r>
        <w:rPr>
          <w:rStyle w:val="CharSectno"/>
        </w:rPr>
        <w:t>21I</w:t>
      </w:r>
      <w:r>
        <w:rPr>
          <w:snapToGrid w:val="0"/>
        </w:rPr>
        <w:t>.</w:t>
      </w:r>
      <w:r>
        <w:rPr>
          <w:snapToGrid w:val="0"/>
        </w:rPr>
        <w:tab/>
        <w:t>Effect of registration</w:t>
      </w:r>
      <w:bookmarkEnd w:id="75"/>
    </w:p>
    <w:p>
      <w:pPr>
        <w:pStyle w:val="Subsection"/>
        <w:keepNext/>
        <w:spacing w:before="120"/>
      </w:pPr>
      <w:r>
        <w:tab/>
        <w:t>(1)</w:t>
      </w:r>
      <w:r>
        <w:tab/>
        <w:t>The effect of the registration of a notice of resolution is that without the need for any other documentation —</w:t>
      </w:r>
    </w:p>
    <w:p>
      <w:pPr>
        <w:pStyle w:val="Indenta"/>
        <w:spacing w:before="60"/>
        <w:rPr>
          <w:snapToGrid w:val="0"/>
        </w:rPr>
      </w:pPr>
      <w:r>
        <w:rPr>
          <w:snapToGrid w:val="0"/>
        </w:rPr>
        <w:tab/>
        <w:t>(a)</w:t>
      </w:r>
      <w:r>
        <w:rPr>
          <w:snapToGrid w:val="0"/>
        </w:rPr>
        <w:tab/>
        <w:t>the boundaries of lots or parts of lots on the strata plan are fixed by reference to section 3AB regardless of where they were located before that registration; and</w:t>
      </w:r>
    </w:p>
    <w:p>
      <w:pPr>
        <w:pStyle w:val="Indenta"/>
        <w:keepNext/>
        <w:rPr>
          <w:snapToGrid w:val="0"/>
        </w:rPr>
      </w:pPr>
      <w:r>
        <w:rPr>
          <w:snapToGrid w:val="0"/>
        </w:rPr>
        <w:tab/>
        <w:t>(b)</w:t>
      </w:r>
      <w:r>
        <w:rPr>
          <w:snapToGrid w:val="0"/>
        </w:rPr>
        <w:tab/>
        <w:t>each lot as so defined is subject to —</w:t>
      </w:r>
    </w:p>
    <w:p>
      <w:pPr>
        <w:pStyle w:val="Indenti"/>
        <w:rPr>
          <w:snapToGrid w:val="0"/>
        </w:rPr>
      </w:pPr>
      <w:r>
        <w:rPr>
          <w:snapToGrid w:val="0"/>
        </w:rPr>
        <w:tab/>
        <w:t>(i)</w:t>
      </w:r>
      <w:r>
        <w:rPr>
          <w:snapToGrid w:val="0"/>
        </w:rPr>
        <w:tab/>
        <w:t>any encumbrance that was registered; or</w:t>
      </w:r>
    </w:p>
    <w:p>
      <w:pPr>
        <w:pStyle w:val="Indenti"/>
        <w:rPr>
          <w:snapToGrid w:val="0"/>
        </w:rPr>
      </w:pPr>
      <w:r>
        <w:rPr>
          <w:snapToGrid w:val="0"/>
        </w:rPr>
        <w:tab/>
        <w:t>(ii)</w:t>
      </w:r>
      <w:r>
        <w:rPr>
          <w:snapToGrid w:val="0"/>
        </w:rPr>
        <w:tab/>
        <w:t>caveat that was lodged,</w:t>
      </w:r>
    </w:p>
    <w:p>
      <w:pPr>
        <w:pStyle w:val="Indenta"/>
        <w:rPr>
          <w:snapToGrid w:val="0"/>
        </w:rPr>
      </w:pPr>
      <w:r>
        <w:rPr>
          <w:snapToGrid w:val="0"/>
        </w:rPr>
        <w:tab/>
      </w:r>
      <w:r>
        <w:rPr>
          <w:snapToGrid w:val="0"/>
        </w:rPr>
        <w:tab/>
        <w:t>with the Registrar of Titles against the lot before the registration.</w:t>
      </w:r>
    </w:p>
    <w:p>
      <w:pPr>
        <w:pStyle w:val="Subsection"/>
        <w:keepNext/>
      </w:pPr>
      <w:r>
        <w:tab/>
        <w:t>(2)</w:t>
      </w:r>
      <w:r>
        <w:tab/>
        <w:t>Any encumbrance or caveat referred to in subsection (1) is to be taken to be amended to give effect to that subsection.</w:t>
      </w:r>
    </w:p>
    <w:p>
      <w:pPr>
        <w:pStyle w:val="Footnotesection"/>
      </w:pPr>
      <w:r>
        <w:tab/>
        <w:t>[Section 21I inserted: No. 61 of 1996 s. 16.]</w:t>
      </w:r>
    </w:p>
    <w:p>
      <w:pPr>
        <w:pStyle w:val="Heading5"/>
        <w:rPr>
          <w:snapToGrid w:val="0"/>
        </w:rPr>
      </w:pPr>
      <w:bookmarkStart w:id="76" w:name="_Toc530554829"/>
      <w:r>
        <w:rPr>
          <w:rStyle w:val="CharSectno"/>
        </w:rPr>
        <w:t>21J</w:t>
      </w:r>
      <w:r>
        <w:rPr>
          <w:snapToGrid w:val="0"/>
        </w:rPr>
        <w:t>.</w:t>
      </w:r>
      <w:r>
        <w:rPr>
          <w:snapToGrid w:val="0"/>
        </w:rPr>
        <w:tab/>
        <w:t>Registrar of Titles to amend strata plan</w:t>
      </w:r>
      <w:bookmarkEnd w:id="76"/>
    </w:p>
    <w:p>
      <w:pPr>
        <w:pStyle w:val="Subsection"/>
        <w:rPr>
          <w:snapToGrid w:val="0"/>
        </w:rPr>
      </w:pPr>
      <w:r>
        <w:rPr>
          <w:snapToGrid w:val="0"/>
        </w:rPr>
        <w:tab/>
      </w:r>
      <w:r>
        <w:rPr>
          <w:snapToGrid w:val="0"/>
        </w:rPr>
        <w:tab/>
        <w:t>The Registrar of Titles is to amend the strata plan in the prescribed manner to give effect to section 21I.</w:t>
      </w:r>
    </w:p>
    <w:p>
      <w:pPr>
        <w:pStyle w:val="Footnotesection"/>
      </w:pPr>
      <w:r>
        <w:tab/>
        <w:t>[Section 21J inserted: No. 61 of 1996 s. 16.]</w:t>
      </w:r>
    </w:p>
    <w:p>
      <w:pPr>
        <w:pStyle w:val="Heading4"/>
        <w:spacing w:before="280"/>
      </w:pPr>
      <w:bookmarkStart w:id="77" w:name="_Toc525288458"/>
      <w:bookmarkStart w:id="78" w:name="_Toc530554494"/>
      <w:bookmarkStart w:id="79" w:name="_Toc530554830"/>
      <w:r>
        <w:t>Subdivision 3 — Automatic merger of buildings that are common property</w:t>
      </w:r>
      <w:bookmarkEnd w:id="77"/>
      <w:bookmarkEnd w:id="78"/>
      <w:bookmarkEnd w:id="79"/>
    </w:p>
    <w:p>
      <w:pPr>
        <w:pStyle w:val="Footnoteheading"/>
      </w:pPr>
      <w:r>
        <w:tab/>
        <w:t>[Heading inserted: No. 61 of 1996 s. 16.]</w:t>
      </w:r>
    </w:p>
    <w:p>
      <w:pPr>
        <w:pStyle w:val="Heading5"/>
        <w:keepNext w:val="0"/>
        <w:rPr>
          <w:snapToGrid w:val="0"/>
        </w:rPr>
      </w:pPr>
      <w:bookmarkStart w:id="80" w:name="_Toc530554831"/>
      <w:r>
        <w:rPr>
          <w:rStyle w:val="CharSectno"/>
        </w:rPr>
        <w:t>21K</w:t>
      </w:r>
      <w:r>
        <w:rPr>
          <w:snapToGrid w:val="0"/>
        </w:rPr>
        <w:t>.</w:t>
      </w:r>
      <w:r>
        <w:rPr>
          <w:snapToGrid w:val="0"/>
        </w:rPr>
        <w:tab/>
        <w:t>Terms used</w:t>
      </w:r>
      <w:bookmarkEnd w:id="80"/>
    </w:p>
    <w:p>
      <w:pPr>
        <w:pStyle w:val="Subsection"/>
        <w:rPr>
          <w:snapToGrid w:val="0"/>
        </w:rPr>
      </w:pPr>
      <w:r>
        <w:rPr>
          <w:snapToGrid w:val="0"/>
        </w:rPr>
        <w:tab/>
      </w:r>
      <w:r>
        <w:rPr>
          <w:snapToGrid w:val="0"/>
        </w:rPr>
        <w:tab/>
        <w:t>In this Subdivision —</w:t>
      </w:r>
    </w:p>
    <w:p>
      <w:pPr>
        <w:pStyle w:val="Defstart"/>
        <w:keepNext/>
        <w:rPr>
          <w:spacing w:val="-4"/>
        </w:rPr>
      </w:pPr>
      <w:r>
        <w:rPr>
          <w:b/>
          <w:spacing w:val="-4"/>
        </w:rPr>
        <w:tab/>
      </w:r>
      <w:r>
        <w:rPr>
          <w:rStyle w:val="CharDefText"/>
          <w:spacing w:val="-4"/>
        </w:rPr>
        <w:t>change</w:t>
      </w:r>
      <w:r>
        <w:rPr>
          <w:rStyle w:val="CharDefText"/>
          <w:spacing w:val="-4"/>
        </w:rPr>
        <w:noBreakHyphen/>
        <w:t>over day</w:t>
      </w:r>
      <w:r>
        <w:rPr>
          <w:spacing w:val="-4"/>
        </w:rPr>
        <w:t xml:space="preserve"> means the day after the expiry of 6 months —</w:t>
      </w:r>
    </w:p>
    <w:p>
      <w:pPr>
        <w:pStyle w:val="Defpara"/>
      </w:pPr>
      <w:r>
        <w:tab/>
        <w:t>(a)</w:t>
      </w:r>
      <w:r>
        <w:tab/>
        <w:t>beginning on the commencement day, in the case of a strata scheme registered before that day; or</w:t>
      </w:r>
    </w:p>
    <w:p>
      <w:pPr>
        <w:pStyle w:val="Defpara"/>
        <w:keepNext/>
      </w:pPr>
      <w:r>
        <w:tab/>
        <w:t>(b)</w:t>
      </w:r>
      <w:r>
        <w:tab/>
        <w:t>beginning on the day on which the scheme is registered, in the case of a strata scheme that is registered on or after the commencement day and before 1 January 1998;</w:t>
      </w:r>
    </w:p>
    <w:p>
      <w:pPr>
        <w:pStyle w:val="Defstart"/>
        <w:rPr>
          <w:spacing w:val="-4"/>
        </w:rPr>
      </w:pPr>
      <w:r>
        <w:rPr>
          <w:b/>
          <w:spacing w:val="-4"/>
        </w:rPr>
        <w:tab/>
      </w:r>
      <w:r>
        <w:rPr>
          <w:rStyle w:val="CharDefText"/>
          <w:spacing w:val="-4"/>
        </w:rPr>
        <w:t>commencement day</w:t>
      </w:r>
      <w:r>
        <w:rPr>
          <w:spacing w:val="-4"/>
        </w:rPr>
        <w:t xml:space="preserve"> means the day on which section 16 of the </w:t>
      </w:r>
      <w:r>
        <w:rPr>
          <w:i/>
          <w:spacing w:val="-4"/>
        </w:rPr>
        <w:t>Strata Titles Amendment Act 1996</w:t>
      </w:r>
      <w:r>
        <w:rPr>
          <w:spacing w:val="-4"/>
        </w:rPr>
        <w:t xml:space="preserve"> comes into operation</w:t>
      </w:r>
      <w:r>
        <w:rPr>
          <w:spacing w:val="-4"/>
          <w:vertAlign w:val="superscript"/>
        </w:rPr>
        <w:t> 1</w:t>
      </w:r>
      <w:r>
        <w:rPr>
          <w:spacing w:val="-4"/>
        </w:rPr>
        <w:t>.</w:t>
      </w:r>
    </w:p>
    <w:p>
      <w:pPr>
        <w:pStyle w:val="Footnotesection"/>
      </w:pPr>
      <w:r>
        <w:tab/>
        <w:t>[Section 21K inserted: No. 61 of 1996 s. 16.]</w:t>
      </w:r>
    </w:p>
    <w:p>
      <w:pPr>
        <w:pStyle w:val="Heading5"/>
        <w:rPr>
          <w:snapToGrid w:val="0"/>
        </w:rPr>
      </w:pPr>
      <w:bookmarkStart w:id="81" w:name="_Toc530554832"/>
      <w:r>
        <w:rPr>
          <w:rStyle w:val="CharSectno"/>
        </w:rPr>
        <w:t>21L</w:t>
      </w:r>
      <w:r>
        <w:rPr>
          <w:snapToGrid w:val="0"/>
        </w:rPr>
        <w:t>.</w:t>
      </w:r>
      <w:r>
        <w:rPr>
          <w:snapToGrid w:val="0"/>
        </w:rPr>
        <w:tab/>
        <w:t>Application of this Subdivision</w:t>
      </w:r>
      <w:bookmarkEnd w:id="81"/>
    </w:p>
    <w:p>
      <w:pPr>
        <w:pStyle w:val="Subsection"/>
        <w:keepNext/>
        <w:rPr>
          <w:snapToGrid w:val="0"/>
        </w:rPr>
      </w:pPr>
      <w:r>
        <w:rPr>
          <w:snapToGrid w:val="0"/>
        </w:rPr>
        <w:tab/>
      </w:r>
      <w:r>
        <w:rPr>
          <w:snapToGrid w:val="0"/>
        </w:rPr>
        <w:tab/>
        <w:t>This Subdivision applies only to an existing small strata scheme.</w:t>
      </w:r>
    </w:p>
    <w:p>
      <w:pPr>
        <w:pStyle w:val="Footnotesection"/>
        <w:spacing w:before="100"/>
      </w:pPr>
      <w:r>
        <w:tab/>
        <w:t>[Section 21L inserted: No. 61 of 1996 s. 16.]</w:t>
      </w:r>
    </w:p>
    <w:p>
      <w:pPr>
        <w:pStyle w:val="Heading5"/>
        <w:rPr>
          <w:snapToGrid w:val="0"/>
        </w:rPr>
      </w:pPr>
      <w:bookmarkStart w:id="82" w:name="_Toc530554833"/>
      <w:r>
        <w:rPr>
          <w:rStyle w:val="CharSectno"/>
        </w:rPr>
        <w:t>21M</w:t>
      </w:r>
      <w:r>
        <w:rPr>
          <w:snapToGrid w:val="0"/>
        </w:rPr>
        <w:t>.</w:t>
      </w:r>
      <w:r>
        <w:rPr>
          <w:snapToGrid w:val="0"/>
        </w:rPr>
        <w:tab/>
        <w:t>Automatic application of lot boundaries under s. 3AB</w:t>
      </w:r>
      <w:bookmarkEnd w:id="82"/>
    </w:p>
    <w:p>
      <w:pPr>
        <w:pStyle w:val="Subsection"/>
        <w:rPr>
          <w:snapToGrid w:val="0"/>
        </w:rPr>
      </w:pPr>
      <w:r>
        <w:rPr>
          <w:snapToGrid w:val="0"/>
        </w:rPr>
        <w:tab/>
      </w:r>
      <w:r>
        <w:rPr>
          <w:snapToGrid w:val="0"/>
        </w:rPr>
        <w:tab/>
        <w:t>If on the change</w:t>
      </w:r>
      <w:r>
        <w:rPr>
          <w:snapToGrid w:val="0"/>
        </w:rPr>
        <w:noBreakHyphen/>
        <w:t>over day —</w:t>
      </w:r>
    </w:p>
    <w:p>
      <w:pPr>
        <w:pStyle w:val="Indenta"/>
        <w:spacing w:before="60"/>
        <w:rPr>
          <w:snapToGrid w:val="0"/>
        </w:rPr>
      </w:pPr>
      <w:r>
        <w:rPr>
          <w:snapToGrid w:val="0"/>
        </w:rPr>
        <w:tab/>
        <w:t>(a)</w:t>
      </w:r>
      <w:r>
        <w:rPr>
          <w:snapToGrid w:val="0"/>
        </w:rPr>
        <w:tab/>
        <w:t>a notice of resolution has not been registered under section 21H; and</w:t>
      </w:r>
    </w:p>
    <w:p>
      <w:pPr>
        <w:pStyle w:val="Indenta"/>
        <w:spacing w:before="60"/>
        <w:rPr>
          <w:snapToGrid w:val="0"/>
        </w:rPr>
      </w:pPr>
      <w:r>
        <w:rPr>
          <w:snapToGrid w:val="0"/>
        </w:rPr>
        <w:tab/>
        <w:t>(b)</w:t>
      </w:r>
      <w:r>
        <w:rPr>
          <w:snapToGrid w:val="0"/>
        </w:rPr>
        <w:tab/>
        <w:t>an objection has not been lodged under section 21O,</w:t>
      </w:r>
    </w:p>
    <w:p>
      <w:pPr>
        <w:pStyle w:val="Subsection"/>
        <w:spacing w:before="120"/>
        <w:rPr>
          <w:snapToGrid w:val="0"/>
        </w:rPr>
      </w:pPr>
      <w:r>
        <w:rPr>
          <w:snapToGrid w:val="0"/>
        </w:rPr>
        <w:tab/>
      </w:r>
      <w:r>
        <w:rPr>
          <w:snapToGrid w:val="0"/>
        </w:rPr>
        <w:tab/>
        <w:t>in respect of an existing small strata scheme, section 21I applies to the scheme, on and after the change</w:t>
      </w:r>
      <w:r>
        <w:rPr>
          <w:snapToGrid w:val="0"/>
        </w:rPr>
        <w:noBreakHyphen/>
        <w:t>over day —</w:t>
      </w:r>
    </w:p>
    <w:p>
      <w:pPr>
        <w:pStyle w:val="Indenta"/>
        <w:spacing w:before="60"/>
        <w:rPr>
          <w:snapToGrid w:val="0"/>
        </w:rPr>
      </w:pPr>
      <w:r>
        <w:rPr>
          <w:snapToGrid w:val="0"/>
        </w:rPr>
        <w:tab/>
        <w:t>(c)</w:t>
      </w:r>
      <w:r>
        <w:rPr>
          <w:snapToGrid w:val="0"/>
        </w:rPr>
        <w:tab/>
        <w:t>as if a notice of resolution had been registered under section 21H; and</w:t>
      </w:r>
    </w:p>
    <w:p>
      <w:pPr>
        <w:pStyle w:val="Indenta"/>
        <w:spacing w:before="60"/>
        <w:rPr>
          <w:snapToGrid w:val="0"/>
        </w:rPr>
      </w:pPr>
      <w:r>
        <w:rPr>
          <w:snapToGrid w:val="0"/>
        </w:rPr>
        <w:tab/>
        <w:t>(d)</w:t>
      </w:r>
      <w:r>
        <w:rPr>
          <w:snapToGrid w:val="0"/>
        </w:rPr>
        <w:tab/>
        <w:t>without the need for any documentation.</w:t>
      </w:r>
    </w:p>
    <w:p>
      <w:pPr>
        <w:pStyle w:val="Footnotesection"/>
        <w:spacing w:before="100"/>
      </w:pPr>
      <w:r>
        <w:tab/>
        <w:t>[Section 21M inserted: No. 61 of 1996 s. 16.]</w:t>
      </w:r>
    </w:p>
    <w:p>
      <w:pPr>
        <w:pStyle w:val="Heading5"/>
        <w:rPr>
          <w:snapToGrid w:val="0"/>
        </w:rPr>
      </w:pPr>
      <w:bookmarkStart w:id="83" w:name="_Toc530554834"/>
      <w:r>
        <w:rPr>
          <w:rStyle w:val="CharSectno"/>
        </w:rPr>
        <w:t>21N</w:t>
      </w:r>
      <w:r>
        <w:rPr>
          <w:snapToGrid w:val="0"/>
        </w:rPr>
        <w:t>.</w:t>
      </w:r>
      <w:r>
        <w:rPr>
          <w:snapToGrid w:val="0"/>
        </w:rPr>
        <w:tab/>
        <w:t>Plan to be noted</w:t>
      </w:r>
      <w:bookmarkEnd w:id="83"/>
    </w:p>
    <w:p>
      <w:pPr>
        <w:pStyle w:val="Subsection"/>
        <w:rPr>
          <w:snapToGrid w:val="0"/>
        </w:rPr>
      </w:pPr>
      <w:r>
        <w:rPr>
          <w:snapToGrid w:val="0"/>
        </w:rPr>
        <w:tab/>
      </w:r>
      <w:r>
        <w:rPr>
          <w:snapToGrid w:val="0"/>
        </w:rPr>
        <w:tab/>
        <w:t>Where section 21M applies to a strata scheme the Registrar of Titles is to —</w:t>
      </w:r>
    </w:p>
    <w:p>
      <w:pPr>
        <w:pStyle w:val="Indenta"/>
        <w:spacing w:before="60"/>
        <w:rPr>
          <w:snapToGrid w:val="0"/>
        </w:rPr>
      </w:pPr>
      <w:r>
        <w:rPr>
          <w:snapToGrid w:val="0"/>
        </w:rPr>
        <w:tab/>
        <w:t>(a)</w:t>
      </w:r>
      <w:r>
        <w:rPr>
          <w:snapToGrid w:val="0"/>
        </w:rPr>
        <w:tab/>
        <w:t>record on the strata plan for the scheme the fact that that section applies to that scheme; and</w:t>
      </w:r>
    </w:p>
    <w:p>
      <w:pPr>
        <w:pStyle w:val="Indenta"/>
        <w:spacing w:before="60"/>
        <w:rPr>
          <w:snapToGrid w:val="0"/>
        </w:rPr>
      </w:pPr>
      <w:r>
        <w:rPr>
          <w:snapToGrid w:val="0"/>
        </w:rPr>
        <w:tab/>
        <w:t>(b)</w:t>
      </w:r>
      <w:r>
        <w:rPr>
          <w:snapToGrid w:val="0"/>
        </w:rPr>
        <w:tab/>
        <w:t>amend the strata plan in the prescribed manner to give effect to that section.</w:t>
      </w:r>
    </w:p>
    <w:p>
      <w:pPr>
        <w:pStyle w:val="Footnotesection"/>
        <w:keepLines w:val="0"/>
        <w:spacing w:before="100"/>
      </w:pPr>
      <w:r>
        <w:tab/>
        <w:t>[Section 21N inserted: No. 61 of 1996 s. 16.]</w:t>
      </w:r>
    </w:p>
    <w:p>
      <w:pPr>
        <w:pStyle w:val="Heading5"/>
        <w:rPr>
          <w:snapToGrid w:val="0"/>
        </w:rPr>
      </w:pPr>
      <w:bookmarkStart w:id="84" w:name="_Toc530554835"/>
      <w:r>
        <w:rPr>
          <w:rStyle w:val="CharSectno"/>
        </w:rPr>
        <w:t>21O</w:t>
      </w:r>
      <w:r>
        <w:rPr>
          <w:snapToGrid w:val="0"/>
        </w:rPr>
        <w:t>.</w:t>
      </w:r>
      <w:r>
        <w:rPr>
          <w:snapToGrid w:val="0"/>
        </w:rPr>
        <w:tab/>
        <w:t>Objection by proprietor</w:t>
      </w:r>
      <w:bookmarkEnd w:id="84"/>
    </w:p>
    <w:p>
      <w:pPr>
        <w:pStyle w:val="Subsection"/>
        <w:rPr>
          <w:snapToGrid w:val="0"/>
        </w:rPr>
      </w:pPr>
      <w:r>
        <w:rPr>
          <w:snapToGrid w:val="0"/>
        </w:rPr>
        <w:tab/>
        <w:t>(1)</w:t>
      </w:r>
      <w:r>
        <w:rPr>
          <w:snapToGrid w:val="0"/>
        </w:rPr>
        <w:tab/>
        <w:t>A proprietor of a lot in an existing small strata scheme may lodge with the Registrar of Titles an objection to the application of section 21M to the scheme.</w:t>
      </w:r>
    </w:p>
    <w:p>
      <w:pPr>
        <w:pStyle w:val="Subsection"/>
        <w:keepNext/>
        <w:rPr>
          <w:snapToGrid w:val="0"/>
        </w:rPr>
      </w:pPr>
      <w:r>
        <w:rPr>
          <w:snapToGrid w:val="0"/>
        </w:rPr>
        <w:tab/>
        <w:t>(2)</w:t>
      </w:r>
      <w:r>
        <w:rPr>
          <w:snapToGrid w:val="0"/>
        </w:rPr>
        <w:tab/>
        <w:t>An objection —</w:t>
      </w:r>
    </w:p>
    <w:p>
      <w:pPr>
        <w:pStyle w:val="Indenta"/>
        <w:spacing w:before="60"/>
        <w:rPr>
          <w:snapToGrid w:val="0"/>
        </w:rPr>
      </w:pPr>
      <w:r>
        <w:rPr>
          <w:snapToGrid w:val="0"/>
        </w:rPr>
        <w:tab/>
        <w:t>(a)</w:t>
      </w:r>
      <w:r>
        <w:rPr>
          <w:snapToGrid w:val="0"/>
        </w:rPr>
        <w:tab/>
        <w:t>is to be in the prescribed form; and</w:t>
      </w:r>
    </w:p>
    <w:p>
      <w:pPr>
        <w:pStyle w:val="Indenta"/>
        <w:spacing w:before="60"/>
        <w:rPr>
          <w:snapToGrid w:val="0"/>
        </w:rPr>
      </w:pPr>
      <w:r>
        <w:rPr>
          <w:snapToGrid w:val="0"/>
        </w:rPr>
        <w:tab/>
        <w:t>(b)</w:t>
      </w:r>
      <w:r>
        <w:rPr>
          <w:snapToGrid w:val="0"/>
        </w:rPr>
        <w:tab/>
        <w:t>is to be lodged before the change</w:t>
      </w:r>
      <w:r>
        <w:rPr>
          <w:snapToGrid w:val="0"/>
        </w:rPr>
        <w:noBreakHyphen/>
        <w:t>over day.</w:t>
      </w:r>
    </w:p>
    <w:p>
      <w:pPr>
        <w:pStyle w:val="Subsection"/>
        <w:rPr>
          <w:snapToGrid w:val="0"/>
        </w:rPr>
      </w:pPr>
      <w:r>
        <w:rPr>
          <w:snapToGrid w:val="0"/>
        </w:rPr>
        <w:tab/>
        <w:t>(3)</w:t>
      </w:r>
      <w:r>
        <w:rPr>
          <w:snapToGrid w:val="0"/>
        </w:rPr>
        <w:tab/>
        <w:t>Where an objection is lodged by a proprietor of a lot in a scheme the Registrar of Titles is to send a copy of the objection to every other proprietor of a lot in the scheme by posting it to him at the address of his lot.</w:t>
      </w:r>
    </w:p>
    <w:p>
      <w:pPr>
        <w:pStyle w:val="Footnotesection"/>
      </w:pPr>
      <w:r>
        <w:tab/>
        <w:t>[Section 21O inserted: No. 61 of 1996 s. 16.]</w:t>
      </w:r>
    </w:p>
    <w:p>
      <w:pPr>
        <w:pStyle w:val="Heading4"/>
      </w:pPr>
      <w:bookmarkStart w:id="85" w:name="_Toc525288464"/>
      <w:bookmarkStart w:id="86" w:name="_Toc530554500"/>
      <w:bookmarkStart w:id="87" w:name="_Toc530554836"/>
      <w:r>
        <w:t>Subdivision 4 — Merger by resolution of land that is common property</w:t>
      </w:r>
      <w:bookmarkEnd w:id="85"/>
      <w:bookmarkEnd w:id="86"/>
      <w:bookmarkEnd w:id="87"/>
    </w:p>
    <w:p>
      <w:pPr>
        <w:pStyle w:val="Footnoteheading"/>
      </w:pPr>
      <w:r>
        <w:tab/>
        <w:t>[Heading inserted: No. 61 of 1996 s. 16.]</w:t>
      </w:r>
    </w:p>
    <w:p>
      <w:pPr>
        <w:pStyle w:val="Heading5"/>
        <w:rPr>
          <w:snapToGrid w:val="0"/>
        </w:rPr>
      </w:pPr>
      <w:bookmarkStart w:id="88" w:name="_Toc530554837"/>
      <w:r>
        <w:rPr>
          <w:rStyle w:val="CharSectno"/>
        </w:rPr>
        <w:t>21P</w:t>
      </w:r>
      <w:r>
        <w:rPr>
          <w:snapToGrid w:val="0"/>
        </w:rPr>
        <w:t>.</w:t>
      </w:r>
      <w:r>
        <w:rPr>
          <w:snapToGrid w:val="0"/>
        </w:rPr>
        <w:tab/>
        <w:t>Application of this Subdivision</w:t>
      </w:r>
      <w:bookmarkEnd w:id="88"/>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21P inserted: No. 61 of 1996 s. 16.]</w:t>
      </w:r>
    </w:p>
    <w:p>
      <w:pPr>
        <w:pStyle w:val="Heading5"/>
        <w:rPr>
          <w:snapToGrid w:val="0"/>
        </w:rPr>
      </w:pPr>
      <w:bookmarkStart w:id="89" w:name="_Toc530554838"/>
      <w:r>
        <w:rPr>
          <w:rStyle w:val="CharSectno"/>
        </w:rPr>
        <w:t>21Q</w:t>
      </w:r>
      <w:r>
        <w:rPr>
          <w:snapToGrid w:val="0"/>
        </w:rPr>
        <w:t>.</w:t>
      </w:r>
      <w:r>
        <w:rPr>
          <w:snapToGrid w:val="0"/>
        </w:rPr>
        <w:tab/>
        <w:t>Resolution by strata company</w:t>
      </w:r>
      <w:bookmarkEnd w:id="89"/>
    </w:p>
    <w:p>
      <w:pPr>
        <w:pStyle w:val="Subsection"/>
        <w:keepNext/>
        <w:rPr>
          <w:snapToGrid w:val="0"/>
        </w:rPr>
      </w:pPr>
      <w:r>
        <w:rPr>
          <w:snapToGrid w:val="0"/>
        </w:rPr>
        <w:tab/>
        <w:t>(1)</w:t>
      </w:r>
      <w:r>
        <w:rPr>
          <w:snapToGrid w:val="0"/>
        </w:rPr>
        <w:tab/>
        <w:t>A strata company for a strata scheme may, in the prescribed form, resolve that the strata plan be amended in one or more of the following ways —</w:t>
      </w:r>
    </w:p>
    <w:p>
      <w:pPr>
        <w:pStyle w:val="Indenta"/>
        <w:rPr>
          <w:snapToGrid w:val="0"/>
        </w:rPr>
      </w:pPr>
      <w:r>
        <w:rPr>
          <w:snapToGrid w:val="0"/>
        </w:rPr>
        <w:tab/>
        <w:t>(a)</w:t>
      </w:r>
      <w:r>
        <w:rPr>
          <w:snapToGrid w:val="0"/>
        </w:rPr>
        <w:tab/>
        <w:t>to reflect any extension or alteration of a building shown on the plan;</w:t>
      </w:r>
    </w:p>
    <w:p>
      <w:pPr>
        <w:pStyle w:val="Indenta"/>
        <w:rPr>
          <w:snapToGrid w:val="0"/>
        </w:rPr>
      </w:pPr>
      <w:r>
        <w:rPr>
          <w:snapToGrid w:val="0"/>
        </w:rPr>
        <w:tab/>
        <w:t>(b)</w:t>
      </w:r>
      <w:r>
        <w:rPr>
          <w:snapToGrid w:val="0"/>
        </w:rPr>
        <w:tab/>
        <w:t>to include a building not shown on the plan;</w:t>
      </w:r>
    </w:p>
    <w:p>
      <w:pPr>
        <w:pStyle w:val="Indenta"/>
        <w:rPr>
          <w:snapToGrid w:val="0"/>
        </w:rPr>
      </w:pPr>
      <w:r>
        <w:rPr>
          <w:snapToGrid w:val="0"/>
        </w:rPr>
        <w:tab/>
        <w:t>(c)</w:t>
      </w:r>
      <w:r>
        <w:rPr>
          <w:snapToGrid w:val="0"/>
        </w:rPr>
        <w:tab/>
        <w:t>to merge land that is common property into a lot.</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Subsection"/>
        <w:keepNext/>
        <w:rPr>
          <w:snapToGrid w:val="0"/>
        </w:rPr>
      </w:pPr>
      <w:r>
        <w:rPr>
          <w:snapToGrid w:val="0"/>
        </w:rPr>
        <w:tab/>
        <w:t>(3)</w:t>
      </w:r>
      <w:r>
        <w:rPr>
          <w:snapToGrid w:val="0"/>
        </w:rPr>
        <w:tab/>
        <w:t>A resolution cannot be passed under subsection (1) that would, on registration under section 21X of a notice of resolution, increase the number of lots in the scheme.</w:t>
      </w:r>
    </w:p>
    <w:p>
      <w:pPr>
        <w:pStyle w:val="Subsection"/>
        <w:keepNext/>
        <w:spacing w:before="140"/>
        <w:rPr>
          <w:snapToGrid w:val="0"/>
        </w:rPr>
      </w:pPr>
      <w:r>
        <w:rPr>
          <w:snapToGrid w:val="0"/>
        </w:rPr>
        <w:tab/>
        <w:t>(4)</w:t>
      </w:r>
      <w:r>
        <w:rPr>
          <w:snapToGrid w:val="0"/>
        </w:rPr>
        <w:tab/>
        <w:t>A resolution cannot be passed under subsection (1)(c) unless it specifies the horizontal boundaries of the land that is to be merged into a lot.</w:t>
      </w:r>
    </w:p>
    <w:p>
      <w:pPr>
        <w:pStyle w:val="Footnotesection"/>
        <w:spacing w:before="100"/>
        <w:ind w:left="890" w:hanging="890"/>
      </w:pPr>
      <w:r>
        <w:tab/>
        <w:t>[Section 21Q inserted: No. 61 of 1996 s. 16; amended: No. 55 of 2004 s. 1157.]</w:t>
      </w:r>
    </w:p>
    <w:p>
      <w:pPr>
        <w:pStyle w:val="Heading5"/>
        <w:rPr>
          <w:snapToGrid w:val="0"/>
        </w:rPr>
      </w:pPr>
      <w:bookmarkStart w:id="90" w:name="_Toc530554839"/>
      <w:r>
        <w:rPr>
          <w:rStyle w:val="CharSectno"/>
        </w:rPr>
        <w:t>21R</w:t>
      </w:r>
      <w:r>
        <w:rPr>
          <w:snapToGrid w:val="0"/>
        </w:rPr>
        <w:t>.</w:t>
      </w:r>
      <w:r>
        <w:rPr>
          <w:snapToGrid w:val="0"/>
        </w:rPr>
        <w:tab/>
        <w:t>Further provisions as to contents of resolution</w:t>
      </w:r>
      <w:bookmarkEnd w:id="90"/>
    </w:p>
    <w:p>
      <w:pPr>
        <w:pStyle w:val="Subsection"/>
        <w:keepNext/>
        <w:keepLines/>
        <w:spacing w:before="140"/>
        <w:rPr>
          <w:snapToGrid w:val="0"/>
        </w:rPr>
      </w:pPr>
      <w:r>
        <w:rPr>
          <w:snapToGrid w:val="0"/>
        </w:rPr>
        <w:tab/>
        <w:t>(1)</w:t>
      </w:r>
      <w:r>
        <w:rPr>
          <w:snapToGrid w:val="0"/>
        </w:rPr>
        <w:tab/>
        <w:t>A resolution cannot be passed under section 21Q(1)(a) or (b) unless at the time when the resolution is passed the building or any extension or alteration to which it relates —</w:t>
      </w:r>
    </w:p>
    <w:p>
      <w:pPr>
        <w:pStyle w:val="Indenta"/>
        <w:keepNext/>
        <w:keepLines/>
        <w:spacing w:before="60"/>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Indenta"/>
        <w:spacing w:before="60"/>
        <w:rPr>
          <w:snapToGrid w:val="0"/>
        </w:rPr>
      </w:pPr>
      <w:r>
        <w:rPr>
          <w:snapToGrid w:val="0"/>
        </w:rPr>
        <w:tab/>
        <w:t>(b)</w:t>
      </w:r>
      <w:r>
        <w:rPr>
          <w:snapToGrid w:val="0"/>
        </w:rPr>
        <w:tab/>
        <w:t>has been approved by the strata company or all of the proprietors of lots in the scheme.</w:t>
      </w:r>
    </w:p>
    <w:p>
      <w:pPr>
        <w:pStyle w:val="Subsection"/>
        <w:spacing w:before="140"/>
        <w:rPr>
          <w:snapToGrid w:val="0"/>
        </w:rPr>
      </w:pPr>
      <w:r>
        <w:rPr>
          <w:snapToGrid w:val="0"/>
        </w:rPr>
        <w:tab/>
        <w:t>(2)</w:t>
      </w:r>
      <w:r>
        <w:rPr>
          <w:snapToGrid w:val="0"/>
        </w:rPr>
        <w:tab/>
        <w:t>If the strata plan is to be amended as mentioned in section 21Q(1)(c) the resolution is to specify any easement that is to be created in terms of section 21W.</w:t>
      </w:r>
    </w:p>
    <w:p>
      <w:pPr>
        <w:pStyle w:val="Footnotesection"/>
        <w:spacing w:before="100"/>
      </w:pPr>
      <w:r>
        <w:tab/>
        <w:t>[Section 21R inserted: No. 61 of 1996 s. 16; amended: No. 24 of 2011 s. 174(4).]</w:t>
      </w:r>
    </w:p>
    <w:p>
      <w:pPr>
        <w:pStyle w:val="Heading5"/>
        <w:rPr>
          <w:snapToGrid w:val="0"/>
        </w:rPr>
      </w:pPr>
      <w:bookmarkStart w:id="91" w:name="_Toc530554840"/>
      <w:r>
        <w:rPr>
          <w:rStyle w:val="CharSectno"/>
        </w:rPr>
        <w:t>21S</w:t>
      </w:r>
      <w:r>
        <w:rPr>
          <w:snapToGrid w:val="0"/>
        </w:rPr>
        <w:t>.</w:t>
      </w:r>
      <w:r>
        <w:rPr>
          <w:snapToGrid w:val="0"/>
        </w:rPr>
        <w:tab/>
        <w:t>Notice of resolution may be lodged for registration</w:t>
      </w:r>
      <w:bookmarkEnd w:id="91"/>
    </w:p>
    <w:p>
      <w:pPr>
        <w:pStyle w:val="Subsection"/>
        <w:spacing w:before="140"/>
        <w:rPr>
          <w:snapToGrid w:val="0"/>
        </w:rPr>
      </w:pPr>
      <w:r>
        <w:rPr>
          <w:snapToGrid w:val="0"/>
        </w:rPr>
        <w:tab/>
        <w:t>(1)</w:t>
      </w:r>
      <w:r>
        <w:rPr>
          <w:snapToGrid w:val="0"/>
        </w:rPr>
        <w:tab/>
        <w:t>Where a strata company has passed a resolution under section 21Q it may, in accordance with the regulations, lodge with the Registrar of Titles a notice of resolution in the prescribed form.</w:t>
      </w:r>
    </w:p>
    <w:p>
      <w:pPr>
        <w:pStyle w:val="Subsection"/>
        <w:keepNext/>
        <w:spacing w:before="14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21Q(2)(b) or (c), by one proprietor.</w:t>
      </w:r>
    </w:p>
    <w:p>
      <w:pPr>
        <w:pStyle w:val="Subsection"/>
        <w:keepNext/>
        <w:rPr>
          <w:snapToGrid w:val="0"/>
        </w:rPr>
      </w:pPr>
      <w:r>
        <w:rPr>
          <w:snapToGrid w:val="0"/>
        </w:rPr>
        <w:tab/>
        <w:t>(3)</w:t>
      </w:r>
      <w:r>
        <w:rPr>
          <w:snapToGrid w:val="0"/>
        </w:rPr>
        <w:tab/>
        <w:t>The notice of resolution —</w:t>
      </w:r>
    </w:p>
    <w:p>
      <w:pPr>
        <w:pStyle w:val="Indenta"/>
        <w:spacing w:before="100"/>
        <w:rPr>
          <w:snapToGrid w:val="0"/>
        </w:rPr>
      </w:pPr>
      <w:r>
        <w:rPr>
          <w:snapToGrid w:val="0"/>
        </w:rPr>
        <w:tab/>
        <w:t>(a)</w:t>
      </w:r>
      <w:r>
        <w:rPr>
          <w:snapToGrid w:val="0"/>
        </w:rPr>
        <w:tab/>
        <w:t>if it is lodged by the strata company, is to be signed under its seal; or</w:t>
      </w:r>
    </w:p>
    <w:p>
      <w:pPr>
        <w:pStyle w:val="Indenta"/>
        <w:spacing w:before="100"/>
        <w:rPr>
          <w:snapToGrid w:val="0"/>
        </w:rPr>
      </w:pPr>
      <w:r>
        <w:rPr>
          <w:snapToGrid w:val="0"/>
        </w:rPr>
        <w:tab/>
        <w:t>(b)</w:t>
      </w:r>
      <w:r>
        <w:rPr>
          <w:snapToGrid w:val="0"/>
        </w:rPr>
        <w:tab/>
        <w:t>if subsection (2)(a) or (b) applies, is to be signed by the proprietors or the proprietor lodging it.</w:t>
      </w:r>
    </w:p>
    <w:p>
      <w:pPr>
        <w:pStyle w:val="Footnotesection"/>
      </w:pPr>
      <w:r>
        <w:tab/>
        <w:t>[Section 21S inserted: No. 61 of 1996 s. 16.]</w:t>
      </w:r>
    </w:p>
    <w:p>
      <w:pPr>
        <w:pStyle w:val="Heading5"/>
        <w:rPr>
          <w:snapToGrid w:val="0"/>
        </w:rPr>
      </w:pPr>
      <w:bookmarkStart w:id="92" w:name="_Toc530554841"/>
      <w:r>
        <w:rPr>
          <w:rStyle w:val="CharSectno"/>
        </w:rPr>
        <w:t>21T</w:t>
      </w:r>
      <w:r>
        <w:rPr>
          <w:snapToGrid w:val="0"/>
        </w:rPr>
        <w:t>.</w:t>
      </w:r>
      <w:r>
        <w:rPr>
          <w:snapToGrid w:val="0"/>
        </w:rPr>
        <w:tab/>
        <w:t>Documents to accompany notice</w:t>
      </w:r>
      <w:bookmarkEnd w:id="92"/>
    </w:p>
    <w:p>
      <w:pPr>
        <w:pStyle w:val="Subsection"/>
        <w:keepNext/>
        <w:rPr>
          <w:snapToGrid w:val="0"/>
        </w:rPr>
      </w:pPr>
      <w:r>
        <w:rPr>
          <w:snapToGrid w:val="0"/>
        </w:rPr>
        <w:tab/>
        <w:t>(1)</w:t>
      </w:r>
      <w:r>
        <w:rPr>
          <w:snapToGrid w:val="0"/>
        </w:rPr>
        <w:tab/>
        <w:t>The notice of resolution is to be accompanied by —</w:t>
      </w:r>
    </w:p>
    <w:p>
      <w:pPr>
        <w:pStyle w:val="Indenta"/>
        <w:spacing w:before="100"/>
        <w:rPr>
          <w:snapToGrid w:val="0"/>
        </w:rPr>
      </w:pPr>
      <w:r>
        <w:rPr>
          <w:snapToGrid w:val="0"/>
        </w:rPr>
        <w:tab/>
        <w:t>(a)</w:t>
      </w:r>
      <w:r>
        <w:rPr>
          <w:snapToGrid w:val="0"/>
        </w:rPr>
        <w:tab/>
        <w:t xml:space="preserve">a copy of any relevant order under section 103C or 103M certified by </w:t>
      </w:r>
      <w:r>
        <w:t>the executive officer of the State Administrative Tribunal</w:t>
      </w:r>
      <w:r>
        <w:rPr>
          <w:snapToGrid w:val="0"/>
        </w:rPr>
        <w:t xml:space="preserve"> as being a true copy;</w:t>
      </w:r>
    </w:p>
    <w:p>
      <w:pPr>
        <w:pStyle w:val="Indenta"/>
        <w:keepNext/>
        <w:spacing w:before="100"/>
        <w:rPr>
          <w:snapToGrid w:val="0"/>
        </w:rPr>
      </w:pPr>
      <w:r>
        <w:rPr>
          <w:snapToGrid w:val="0"/>
        </w:rPr>
        <w:tab/>
        <w:t>(b)</w:t>
      </w:r>
      <w:r>
        <w:rPr>
          <w:snapToGrid w:val="0"/>
        </w:rPr>
        <w:tab/>
        <w:t>unless subsection (2) applies, a sketch plan (</w:t>
      </w:r>
      <w:r>
        <w:t xml:space="preserve">the </w:t>
      </w:r>
      <w:r>
        <w:rPr>
          <w:rStyle w:val="CharDefText"/>
        </w:rPr>
        <w:t>sketch plan</w:t>
      </w:r>
      <w:r>
        <w:rPr>
          <w:snapToGrid w:val="0"/>
        </w:rPr>
        <w:t>) showing in the prescribed manner how the strata plan is to be amended —</w:t>
      </w:r>
    </w:p>
    <w:p>
      <w:pPr>
        <w:pStyle w:val="Indenti"/>
        <w:spacing w:before="100"/>
        <w:rPr>
          <w:snapToGrid w:val="0"/>
        </w:rPr>
      </w:pPr>
      <w:r>
        <w:rPr>
          <w:snapToGrid w:val="0"/>
        </w:rPr>
        <w:tab/>
        <w:t>(i)</w:t>
      </w:r>
      <w:r>
        <w:rPr>
          <w:snapToGrid w:val="0"/>
        </w:rPr>
        <w:tab/>
        <w:t>to show any extension or alteration of a building; or</w:t>
      </w:r>
    </w:p>
    <w:p>
      <w:pPr>
        <w:pStyle w:val="Indenti"/>
        <w:spacing w:before="100"/>
        <w:rPr>
          <w:snapToGrid w:val="0"/>
        </w:rPr>
      </w:pPr>
      <w:r>
        <w:rPr>
          <w:snapToGrid w:val="0"/>
        </w:rPr>
        <w:tab/>
        <w:t>(ii)</w:t>
      </w:r>
      <w:r>
        <w:rPr>
          <w:snapToGrid w:val="0"/>
        </w:rPr>
        <w:tab/>
        <w:t>to include a building not shown on the strata plan; or</w:t>
      </w:r>
    </w:p>
    <w:p>
      <w:pPr>
        <w:pStyle w:val="Indenti"/>
        <w:spacing w:before="100"/>
        <w:rPr>
          <w:snapToGrid w:val="0"/>
          <w:spacing w:val="-4"/>
        </w:rPr>
      </w:pPr>
      <w:r>
        <w:rPr>
          <w:snapToGrid w:val="0"/>
          <w:spacing w:val="-4"/>
        </w:rPr>
        <w:tab/>
        <w:t>(iii)</w:t>
      </w:r>
      <w:r>
        <w:rPr>
          <w:snapToGrid w:val="0"/>
          <w:spacing w:val="-4"/>
        </w:rPr>
        <w:tab/>
        <w:t>to merge land that is common property into a lot; or</w:t>
      </w:r>
    </w:p>
    <w:p>
      <w:pPr>
        <w:pStyle w:val="Indenti"/>
        <w:spacing w:before="100"/>
        <w:rPr>
          <w:snapToGrid w:val="0"/>
        </w:rPr>
      </w:pPr>
      <w:r>
        <w:rPr>
          <w:snapToGrid w:val="0"/>
        </w:rPr>
        <w:tab/>
        <w:t>(iv)</w:t>
      </w:r>
      <w:r>
        <w:rPr>
          <w:snapToGrid w:val="0"/>
        </w:rPr>
        <w:tab/>
        <w:t>to define any area that is to be subject to an easement under section 21W;</w:t>
      </w:r>
    </w:p>
    <w:p>
      <w:pPr>
        <w:pStyle w:val="Indenta"/>
        <w:spacing w:before="100"/>
        <w:rPr>
          <w:snapToGrid w:val="0"/>
        </w:rPr>
      </w:pPr>
      <w:r>
        <w:rPr>
          <w:snapToGrid w:val="0"/>
        </w:rPr>
        <w:tab/>
        <w:t>(c)</w:t>
      </w:r>
      <w:r>
        <w:rPr>
          <w:snapToGrid w:val="0"/>
        </w:rPr>
        <w:tab/>
        <w:t>unless subsection (2) applies, a certificate given by a licensed surveyor in accordance with section 21U;</w:t>
      </w:r>
    </w:p>
    <w:p>
      <w:pPr>
        <w:pStyle w:val="Indenta"/>
        <w:spacing w:before="100"/>
        <w:rPr>
          <w:snapToGrid w:val="0"/>
        </w:rPr>
      </w:pPr>
      <w:r>
        <w:rPr>
          <w:snapToGrid w:val="0"/>
        </w:rPr>
        <w:tab/>
        <w:t>(d)</w:t>
      </w:r>
      <w:r>
        <w:rPr>
          <w:snapToGrid w:val="0"/>
        </w:rPr>
        <w:tab/>
        <w:t>a certificate, in the prescribed form, given by a licensed valuer in accordance with section 14(2) and, if any unit entitlement is to be changed, an amended schedule of unit entitlement;</w:t>
      </w:r>
    </w:p>
    <w:p>
      <w:pPr>
        <w:pStyle w:val="Indenta"/>
        <w:keepNext/>
        <w:rPr>
          <w:snapToGrid w:val="0"/>
        </w:rPr>
      </w:pPr>
      <w:r>
        <w:rPr>
          <w:snapToGrid w:val="0"/>
        </w:rPr>
        <w:tab/>
        <w:t>(e)</w:t>
      </w:r>
      <w:r>
        <w:rPr>
          <w:snapToGrid w:val="0"/>
        </w:rPr>
        <w:tab/>
        <w:t xml:space="preserve">if the </w:t>
      </w:r>
      <w:r>
        <w:rPr>
          <w:i/>
          <w:snapToGrid w:val="0"/>
        </w:rPr>
        <w:t>pro rata</w:t>
      </w:r>
      <w:r>
        <w:rPr>
          <w:snapToGrid w:val="0"/>
        </w:rPr>
        <w:t xml:space="preserve"> unit entitlement of any lot is to be decreased, a certificate given by every person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the lot certifying his consent to the decrease.</w:t>
      </w:r>
    </w:p>
    <w:p>
      <w:pPr>
        <w:pStyle w:val="Subsection"/>
        <w:rPr>
          <w:snapToGrid w:val="0"/>
        </w:rPr>
      </w:pPr>
      <w:r>
        <w:rPr>
          <w:snapToGrid w:val="0"/>
        </w:rPr>
        <w:tab/>
        <w:t>(2)</w:t>
      </w:r>
      <w:r>
        <w:rPr>
          <w:snapToGrid w:val="0"/>
        </w:rPr>
        <w:tab/>
        <w:t>The Registrar of Titles may dispense with the sketch plan to the extent that he considers that the detail shown on the strata plan or contained in the notice of resolution is sufficient.</w:t>
      </w:r>
    </w:p>
    <w:p>
      <w:pPr>
        <w:pStyle w:val="Footnotesection"/>
        <w:ind w:left="890" w:hanging="890"/>
      </w:pPr>
      <w:r>
        <w:tab/>
        <w:t>[Section 21T inserted: No. 61 of 1996 s. 16; amended: No. 55 of 2004 s. 1111.]</w:t>
      </w:r>
    </w:p>
    <w:p>
      <w:pPr>
        <w:pStyle w:val="Heading5"/>
        <w:rPr>
          <w:snapToGrid w:val="0"/>
        </w:rPr>
      </w:pPr>
      <w:bookmarkStart w:id="93" w:name="_Toc530554842"/>
      <w:r>
        <w:rPr>
          <w:rStyle w:val="CharSectno"/>
        </w:rPr>
        <w:t>21U</w:t>
      </w:r>
      <w:r>
        <w:rPr>
          <w:snapToGrid w:val="0"/>
        </w:rPr>
        <w:t>.</w:t>
      </w:r>
      <w:r>
        <w:rPr>
          <w:snapToGrid w:val="0"/>
        </w:rPr>
        <w:tab/>
        <w:t>Certificate of licensed surveyor</w:t>
      </w:r>
      <w:bookmarkEnd w:id="93"/>
    </w:p>
    <w:p>
      <w:pPr>
        <w:pStyle w:val="Subsection"/>
        <w:rPr>
          <w:snapToGrid w:val="0"/>
        </w:rPr>
      </w:pPr>
      <w:r>
        <w:rPr>
          <w:snapToGrid w:val="0"/>
        </w:rPr>
        <w:tab/>
        <w:t>(1)</w:t>
      </w:r>
      <w:r>
        <w:rPr>
          <w:snapToGrid w:val="0"/>
        </w:rPr>
        <w:tab/>
        <w:t>The certificate of a licensed surveyor referred to in section 21T(1)(c)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Indenta"/>
        <w:keepNext/>
        <w:keepLines/>
        <w:rPr>
          <w:snapToGrid w:val="0"/>
        </w:rPr>
      </w:pPr>
      <w:r>
        <w:rPr>
          <w:snapToGrid w:val="0"/>
        </w:rPr>
        <w:tab/>
        <w:t>(b)</w:t>
      </w:r>
      <w:r>
        <w:rPr>
          <w:snapToGrid w:val="0"/>
        </w:rPr>
        <w:tab/>
        <w:t>any extension or alteration, or any building not shown on the plan, has been approved by —</w:t>
      </w:r>
    </w:p>
    <w:p>
      <w:pPr>
        <w:pStyle w:val="Indenti"/>
        <w:keepNext/>
        <w:rPr>
          <w:snapToGrid w:val="0"/>
        </w:rPr>
      </w:pPr>
      <w:r>
        <w:rPr>
          <w:snapToGrid w:val="0"/>
        </w:rPr>
        <w:tab/>
        <w:t>(i)</w:t>
      </w:r>
      <w:r>
        <w:rPr>
          <w:snapToGrid w:val="0"/>
        </w:rPr>
        <w:tab/>
        <w:t>the strata company; or</w:t>
      </w:r>
    </w:p>
    <w:p>
      <w:pPr>
        <w:pStyle w:val="Indenti"/>
        <w:rPr>
          <w:snapToGrid w:val="0"/>
        </w:rPr>
      </w:pPr>
      <w:r>
        <w:rPr>
          <w:snapToGrid w:val="0"/>
        </w:rPr>
        <w:tab/>
        <w:t>(ii)</w:t>
      </w:r>
      <w:r>
        <w:rPr>
          <w:snapToGrid w:val="0"/>
        </w:rPr>
        <w:tab/>
        <w:t xml:space="preserve">all of the proprietors of lots in the scheme; </w:t>
      </w:r>
    </w:p>
    <w:p>
      <w:pPr>
        <w:pStyle w:val="Indenta"/>
        <w:rPr>
          <w:snapToGrid w:val="0"/>
        </w:rPr>
      </w:pPr>
      <w:r>
        <w:rPr>
          <w:snapToGrid w:val="0"/>
        </w:rPr>
        <w:tab/>
      </w:r>
      <w:r>
        <w:rPr>
          <w:snapToGrid w:val="0"/>
        </w:rPr>
        <w:tab/>
      </w:r>
      <w:r>
        <w:t>and</w:t>
      </w:r>
    </w:p>
    <w:p>
      <w:pPr>
        <w:pStyle w:val="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Indenta"/>
        <w:spacing w:before="100"/>
        <w:rPr>
          <w:snapToGrid w:val="0"/>
        </w:rPr>
      </w:pPr>
      <w:r>
        <w:rPr>
          <w:snapToGrid w:val="0"/>
        </w:rPr>
        <w:tab/>
        <w:t>(d)</w:t>
      </w:r>
      <w:r>
        <w:rPr>
          <w:snapToGrid w:val="0"/>
        </w:rPr>
        <w:tab/>
        <w:t>in respect of any land or building or part of a building shown on the sketch plan as common property to be merged into a lot —</w:t>
      </w:r>
    </w:p>
    <w:p>
      <w:pPr>
        <w:pStyle w:val="Indenti"/>
        <w:rPr>
          <w:snapToGrid w:val="0"/>
        </w:rPr>
      </w:pPr>
      <w:r>
        <w:rPr>
          <w:snapToGrid w:val="0"/>
        </w:rPr>
        <w:tab/>
        <w:t>(i)</w:t>
      </w:r>
      <w:r>
        <w:rPr>
          <w:snapToGrid w:val="0"/>
        </w:rPr>
        <w:tab/>
        <w:t>the land or building or part of a building is wholly within the external surface boundaries of the parcel; or</w:t>
      </w:r>
    </w:p>
    <w:p>
      <w:pPr>
        <w:pStyle w:val="Indenti"/>
        <w:rPr>
          <w:snapToGrid w:val="0"/>
        </w:rPr>
      </w:pPr>
      <w:r>
        <w:rPr>
          <w:snapToGrid w:val="0"/>
        </w:rPr>
        <w:tab/>
        <w:t>(ii)</w:t>
      </w:r>
      <w:r>
        <w:rPr>
          <w:snapToGrid w:val="0"/>
        </w:rPr>
        <w:tab/>
        <w:t>the requirements of section 22(1)(c) are satisfied.</w:t>
      </w:r>
    </w:p>
    <w:p>
      <w:pPr>
        <w:pStyle w:val="Subsection"/>
        <w:rPr>
          <w:snapToGrid w:val="0"/>
        </w:rPr>
      </w:pPr>
      <w:r>
        <w:rPr>
          <w:snapToGrid w:val="0"/>
        </w:rPr>
        <w:tab/>
        <w:t>(3)</w:t>
      </w:r>
      <w:r>
        <w:rPr>
          <w:snapToGrid w:val="0"/>
        </w:rPr>
        <w:tab/>
        <w:t>If the strata plan is to be amended to merge land that is common property into a lot, the surveyor is to certify, in accordance with subsection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a"/>
        <w:rPr>
          <w:snapToGrid w:val="0"/>
        </w:rPr>
      </w:pPr>
      <w:r>
        <w:rPr>
          <w:snapToGrid w:val="0"/>
        </w:rPr>
        <w:tab/>
        <w:t>(a)</w:t>
      </w:r>
      <w:r>
        <w:rPr>
          <w:snapToGrid w:val="0"/>
        </w:rPr>
        <w:tab/>
        <w:t>are provided for in accordance with that scheme at the time when the certificate is given; or</w:t>
      </w:r>
    </w:p>
    <w:p>
      <w:pPr>
        <w:pStyle w:val="Indenta"/>
        <w:rPr>
          <w:snapToGrid w:val="0"/>
        </w:rPr>
      </w:pPr>
      <w:r>
        <w:rPr>
          <w:snapToGrid w:val="0"/>
        </w:rPr>
        <w:tab/>
        <w:t>(b)</w:t>
      </w:r>
      <w:r>
        <w:rPr>
          <w:snapToGrid w:val="0"/>
        </w:rPr>
        <w:tab/>
        <w:t>will be provided for when the notice of resolution and the documents referred to in section 21V are registered.</w:t>
      </w:r>
    </w:p>
    <w:p>
      <w:pPr>
        <w:pStyle w:val="Subsection"/>
        <w:keepNext/>
        <w:rPr>
          <w:snapToGrid w:val="0"/>
        </w:rPr>
      </w:pPr>
      <w:r>
        <w:rPr>
          <w:snapToGrid w:val="0"/>
        </w:rPr>
        <w:tab/>
        <w:t>(4)</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(3);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(5)</w:t>
      </w:r>
      <w:r>
        <w:rPr>
          <w:snapToGrid w:val="0"/>
        </w:rPr>
        <w:tab/>
        <w:t xml:space="preserve">A certification under subsection (3) is to relate to matters prescribed for the purposes of subsection (4)(a) and not to other matters arising under the relevant local </w:t>
      </w:r>
      <w:r>
        <w:t>planning scheme or improvement scheme.</w:t>
      </w:r>
    </w:p>
    <w:p>
      <w:pPr>
        <w:pStyle w:val="Subsection"/>
        <w:keepNext/>
        <w:rPr>
          <w:snapToGrid w:val="0"/>
        </w:rPr>
      </w:pPr>
      <w:r>
        <w:rPr>
          <w:snapToGrid w:val="0"/>
        </w:rPr>
        <w:tab/>
        <w:t>(6)</w:t>
      </w:r>
      <w:r>
        <w:rPr>
          <w:snapToGrid w:val="0"/>
        </w:rPr>
        <w:tab/>
        <w:t>The surveyor is to certify in every case that —</w:t>
      </w:r>
    </w:p>
    <w:p>
      <w:pPr>
        <w:pStyle w:val="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Indenta"/>
        <w:rPr>
          <w:snapToGrid w:val="0"/>
        </w:rPr>
      </w:pPr>
      <w:r>
        <w:rPr>
          <w:snapToGrid w:val="0"/>
        </w:rPr>
        <w:tab/>
        <w:t>(b)</w:t>
      </w:r>
      <w:r>
        <w:rPr>
          <w:snapToGrid w:val="0"/>
        </w:rPr>
        <w:tab/>
        <w:t>there are not more lots on the sketch plan than there are on the strata plan.</w:t>
      </w:r>
    </w:p>
    <w:p>
      <w:pPr>
        <w:pStyle w:val="Footnotesection"/>
      </w:pPr>
      <w:r>
        <w:tab/>
        <w:t>[Section 21U inserted: No. 61 of 1996 s. 16; amended: No. 38 of 2005 s. 15; No. 28 of 2010 s. 37(2) and (3); No. 24 of 2011 s. 174(5).]</w:t>
      </w:r>
    </w:p>
    <w:p>
      <w:pPr>
        <w:pStyle w:val="Heading5"/>
        <w:rPr>
          <w:snapToGrid w:val="0"/>
        </w:rPr>
      </w:pPr>
      <w:bookmarkStart w:id="94" w:name="_Toc530554843"/>
      <w:r>
        <w:rPr>
          <w:rStyle w:val="CharSectno"/>
        </w:rPr>
        <w:t>21V</w:t>
      </w:r>
      <w:r>
        <w:rPr>
          <w:snapToGrid w:val="0"/>
        </w:rPr>
        <w:t>.</w:t>
      </w:r>
      <w:r>
        <w:rPr>
          <w:snapToGrid w:val="0"/>
        </w:rPr>
        <w:tab/>
        <w:t>Transfers etc. to give effect to notice of resolution</w:t>
      </w:r>
      <w:bookmarkEnd w:id="94"/>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a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21T(1)(e)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spacing w:before="60"/>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21V inserted: No. 61 of 1996 s. 16; amended: No. 12 of 2008 Sch. 1 cl. 36(1).]</w:t>
      </w:r>
    </w:p>
    <w:p>
      <w:pPr>
        <w:pStyle w:val="Heading5"/>
        <w:rPr>
          <w:snapToGrid w:val="0"/>
        </w:rPr>
      </w:pPr>
      <w:bookmarkStart w:id="95" w:name="_Toc530554844"/>
      <w:r>
        <w:rPr>
          <w:rStyle w:val="CharSectno"/>
        </w:rPr>
        <w:t>21W</w:t>
      </w:r>
      <w:r>
        <w:rPr>
          <w:snapToGrid w:val="0"/>
        </w:rPr>
        <w:t>.</w:t>
      </w:r>
      <w:r>
        <w:rPr>
          <w:snapToGrid w:val="0"/>
        </w:rPr>
        <w:tab/>
        <w:t>Creation of easements for parking etc.</w:t>
      </w:r>
      <w:bookmarkEnd w:id="95"/>
    </w:p>
    <w:p>
      <w:pPr>
        <w:pStyle w:val="Subsection"/>
        <w:keepNext/>
        <w:rPr>
          <w:snapToGrid w:val="0"/>
        </w:rPr>
      </w:pPr>
      <w:r>
        <w:rPr>
          <w:snapToGrid w:val="0"/>
        </w:rPr>
        <w:tab/>
        <w:t>(1)</w:t>
      </w:r>
      <w:r>
        <w:rPr>
          <w:snapToGrid w:val="0"/>
        </w:rPr>
        <w:tab/>
        <w:t>The sketch plan referred to in section 21T(1)(b) may provide for easements relating to motor vehicle access, parking or turning to be created under section 5D as if the sketch plan were a survey</w:t>
      </w:r>
      <w:r>
        <w:rPr>
          <w:snapToGrid w:val="0"/>
        </w:rPr>
        <w:noBreakHyphen/>
        <w:t>strata plan.</w:t>
      </w:r>
    </w:p>
    <w:p>
      <w:pPr>
        <w:pStyle w:val="Subsection"/>
        <w:keepNext/>
        <w:rPr>
          <w:snapToGrid w:val="0"/>
        </w:rPr>
      </w:pPr>
      <w:r>
        <w:rPr>
          <w:snapToGrid w:val="0"/>
        </w:rPr>
        <w:tab/>
        <w:t>(2)</w:t>
      </w:r>
      <w:r>
        <w:rPr>
          <w:snapToGrid w:val="0"/>
        </w:rPr>
        <w:tab/>
        <w:t>Section 5F also applies to the discharge or variation of an easement that is created under subsection (1).</w:t>
      </w:r>
    </w:p>
    <w:p>
      <w:pPr>
        <w:pStyle w:val="Subsection"/>
        <w:keepNext/>
        <w:rPr>
          <w:snapToGrid w:val="0"/>
        </w:rPr>
      </w:pPr>
      <w:r>
        <w:rPr>
          <w:snapToGrid w:val="0"/>
        </w:rPr>
        <w:tab/>
        <w:t>(3)</w:t>
      </w:r>
      <w:r>
        <w:rPr>
          <w:snapToGrid w:val="0"/>
        </w:rPr>
        <w:tab/>
        <w:t>If the sketch plan makes provision as mentioned in subsection (1), sections 5D and 5F apply for the purposes of this Subdivision with the following modifications —</w:t>
      </w:r>
    </w:p>
    <w:p>
      <w:pPr>
        <w:pStyle w:val="Indenta"/>
        <w:spacing w:before="60"/>
        <w:rPr>
          <w:snapToGrid w:val="0"/>
        </w:rPr>
      </w:pPr>
      <w:r>
        <w:rPr>
          <w:snapToGrid w:val="0"/>
        </w:rPr>
        <w:tab/>
        <w:t>(a)</w:t>
      </w:r>
      <w:r>
        <w:rPr>
          <w:snapToGrid w:val="0"/>
        </w:rPr>
        <w:tab/>
        <w:t>any easement provided for is created on the registration of the notice of resolution; and</w:t>
      </w:r>
    </w:p>
    <w:p>
      <w:pPr>
        <w:pStyle w:val="Indenta"/>
        <w:spacing w:before="60"/>
        <w:rPr>
          <w:snapToGrid w:val="0"/>
        </w:rPr>
      </w:pPr>
      <w:r>
        <w:rPr>
          <w:snapToGrid w:val="0"/>
        </w:rPr>
        <w:tab/>
        <w:t>(b)</w:t>
      </w:r>
      <w:r>
        <w:rPr>
          <w:snapToGrid w:val="0"/>
        </w:rPr>
        <w:tab/>
        <w:t>any variation or discharge of an easement under section 5F is required to be approved by the local government instead of the Commission.</w:t>
      </w:r>
    </w:p>
    <w:p>
      <w:pPr>
        <w:pStyle w:val="Footnotesection"/>
      </w:pPr>
      <w:r>
        <w:tab/>
        <w:t>[Section 21W inserted: No. 61 of 1996 s. 16.]</w:t>
      </w:r>
    </w:p>
    <w:p>
      <w:pPr>
        <w:pStyle w:val="Heading5"/>
        <w:rPr>
          <w:snapToGrid w:val="0"/>
        </w:rPr>
      </w:pPr>
      <w:bookmarkStart w:id="96" w:name="_Toc530554845"/>
      <w:r>
        <w:rPr>
          <w:rStyle w:val="CharSectno"/>
        </w:rPr>
        <w:t>21X</w:t>
      </w:r>
      <w:r>
        <w:rPr>
          <w:snapToGrid w:val="0"/>
        </w:rPr>
        <w:t>.</w:t>
      </w:r>
      <w:r>
        <w:rPr>
          <w:snapToGrid w:val="0"/>
        </w:rPr>
        <w:tab/>
        <w:t>Registration of notice of resolution</w:t>
      </w:r>
      <w:bookmarkEnd w:id="96"/>
    </w:p>
    <w:p>
      <w:pPr>
        <w:pStyle w:val="Subsection"/>
        <w:rPr>
          <w:snapToGrid w:val="0"/>
        </w:rPr>
      </w:pPr>
      <w:r>
        <w:rPr>
          <w:snapToGrid w:val="0"/>
        </w:rPr>
        <w:tab/>
      </w:r>
      <w:r>
        <w:rPr>
          <w:snapToGrid w:val="0"/>
        </w:rPr>
        <w:tab/>
        <w:t>The Registrar of Titles is to register the notice of resolution if the requirements of this Division are satisfied.</w:t>
      </w:r>
    </w:p>
    <w:p>
      <w:pPr>
        <w:pStyle w:val="Footnotesection"/>
      </w:pPr>
      <w:r>
        <w:tab/>
        <w:t>[Section 21X inserted: No. 61 of 1996 s. 16.]</w:t>
      </w:r>
    </w:p>
    <w:p>
      <w:pPr>
        <w:pStyle w:val="Heading5"/>
        <w:rPr>
          <w:snapToGrid w:val="0"/>
        </w:rPr>
      </w:pPr>
      <w:bookmarkStart w:id="97" w:name="_Toc530554846"/>
      <w:r>
        <w:rPr>
          <w:rStyle w:val="CharSectno"/>
        </w:rPr>
        <w:t>21Y</w:t>
      </w:r>
      <w:r>
        <w:rPr>
          <w:snapToGrid w:val="0"/>
        </w:rPr>
        <w:t>.</w:t>
      </w:r>
      <w:r>
        <w:rPr>
          <w:snapToGrid w:val="0"/>
        </w:rPr>
        <w:tab/>
        <w:t>Effect of registration</w:t>
      </w:r>
      <w:bookmarkEnd w:id="97"/>
    </w:p>
    <w:p>
      <w:pPr>
        <w:pStyle w:val="Subsection"/>
        <w:keepNext/>
        <w:rPr>
          <w:snapToGrid w:val="0"/>
        </w:rPr>
      </w:pPr>
      <w:r>
        <w:rPr>
          <w:snapToGrid w:val="0"/>
        </w:rPr>
        <w:tab/>
        <w:t>(1)</w:t>
      </w:r>
      <w:r>
        <w:rPr>
          <w:snapToGrid w:val="0"/>
        </w:rPr>
        <w:tab/>
        <w:t>In addition to —</w:t>
      </w:r>
    </w:p>
    <w:p>
      <w:pPr>
        <w:pStyle w:val="Indenta"/>
        <w:rPr>
          <w:snapToGrid w:val="0"/>
        </w:rPr>
      </w:pPr>
      <w:r>
        <w:rPr>
          <w:snapToGrid w:val="0"/>
        </w:rPr>
        <w:tab/>
        <w:t>(a)</w:t>
      </w:r>
      <w:r>
        <w:rPr>
          <w:snapToGrid w:val="0"/>
        </w:rPr>
        <w:tab/>
        <w:t>the operation of any transfer, document or disposition statement referred to in section 21V; and</w:t>
      </w:r>
    </w:p>
    <w:p>
      <w:pPr>
        <w:pStyle w:val="Indenta"/>
        <w:rPr>
          <w:snapToGrid w:val="0"/>
        </w:rPr>
      </w:pPr>
      <w:r>
        <w:rPr>
          <w:snapToGrid w:val="0"/>
        </w:rPr>
        <w:tab/>
        <w:t>(b)</w:t>
      </w:r>
      <w:r>
        <w:rPr>
          <w:snapToGrid w:val="0"/>
        </w:rPr>
        <w:tab/>
        <w:t>the creation of any easement under section 5D as read with section 21W,</w:t>
      </w:r>
    </w:p>
    <w:p>
      <w:pPr>
        <w:pStyle w:val="Subsection"/>
        <w:rPr>
          <w:snapToGrid w:val="0"/>
        </w:rPr>
      </w:pPr>
      <w:r>
        <w:rPr>
          <w:snapToGrid w:val="0"/>
        </w:rPr>
        <w:tab/>
      </w:r>
      <w:r>
        <w:rPr>
          <w:snapToGrid w:val="0"/>
        </w:rPr>
        <w:tab/>
        <w:t>the registration of a notice of resolution has the effects described in subsections (2), (3), (4), (5) and (6).</w:t>
      </w:r>
    </w:p>
    <w:p>
      <w:pPr>
        <w:pStyle w:val="Subsection"/>
        <w:keepNext/>
        <w:rPr>
          <w:snapToGrid w:val="0"/>
        </w:rPr>
      </w:pPr>
      <w:r>
        <w:rPr>
          <w:snapToGrid w:val="0"/>
        </w:rPr>
        <w:tab/>
        <w:t>(2)</w:t>
      </w:r>
      <w:r>
        <w:rPr>
          <w:snapToGrid w:val="0"/>
        </w:rPr>
        <w:tab/>
        <w:t>If any land that merges into a lot was before registration of a notice of resolution subject to —</w:t>
      </w:r>
    </w:p>
    <w:p>
      <w:pPr>
        <w:pStyle w:val="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Indenta"/>
        <w:keepNext/>
        <w:rPr>
          <w:snapToGrid w:val="0"/>
        </w:rPr>
      </w:pPr>
      <w:r>
        <w:rPr>
          <w:snapToGrid w:val="0"/>
        </w:rPr>
        <w:tab/>
        <w:t>(b)</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Subsection"/>
        <w:rPr>
          <w:snapToGrid w:val="0"/>
        </w:rPr>
      </w:pPr>
      <w:r>
        <w:rPr>
          <w:snapToGrid w:val="0"/>
        </w:rPr>
        <w:tab/>
        <w:t>(3)</w:t>
      </w:r>
      <w:r>
        <w:rPr>
          <w:snapToGrid w:val="0"/>
        </w:rPr>
        <w:tab/>
        <w:t>Each lot as enlarged or diminished on registration of the notice of resolution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(4)</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(5)</w:t>
      </w:r>
      <w:r>
        <w:rPr>
          <w:snapToGrid w:val="0"/>
        </w:rPr>
        <w:tab/>
        <w:t>The share of a proprietor so vested is subject to any encumbrance registered or caveat lodged with the Registrar of Titles against his lot.</w:t>
      </w:r>
    </w:p>
    <w:p>
      <w:pPr>
        <w:pStyle w:val="Subsection"/>
        <w:keepNext/>
        <w:rPr>
          <w:snapToGrid w:val="0"/>
        </w:rPr>
      </w:pPr>
      <w:r>
        <w:rPr>
          <w:snapToGrid w:val="0"/>
        </w:rPr>
        <w:tab/>
        <w:t>(6)</w:t>
      </w:r>
      <w:r>
        <w:rPr>
          <w:snapToGrid w:val="0"/>
        </w:rPr>
        <w:tab/>
        <w:t>Any encumbrance or caveat referred to in subsection (3) or (5) is to be taken to be amended to give effect to that subsection.</w:t>
      </w:r>
    </w:p>
    <w:p>
      <w:pPr>
        <w:pStyle w:val="Footnotesection"/>
      </w:pPr>
      <w:r>
        <w:tab/>
        <w:t>[Section 21Y inserted: No. 61 of 1996 s. 16.]</w:t>
      </w:r>
    </w:p>
    <w:p>
      <w:pPr>
        <w:pStyle w:val="Heading5"/>
        <w:rPr>
          <w:snapToGrid w:val="0"/>
        </w:rPr>
      </w:pPr>
      <w:bookmarkStart w:id="98" w:name="_Toc530554847"/>
      <w:r>
        <w:rPr>
          <w:rStyle w:val="CharSectno"/>
        </w:rPr>
        <w:t>21Z</w:t>
      </w:r>
      <w:r>
        <w:rPr>
          <w:snapToGrid w:val="0"/>
        </w:rPr>
        <w:t>.</w:t>
      </w:r>
      <w:r>
        <w:rPr>
          <w:snapToGrid w:val="0"/>
        </w:rPr>
        <w:tab/>
        <w:t>Registrar of Titles to make necessary amendments</w:t>
      </w:r>
      <w:bookmarkEnd w:id="98"/>
    </w:p>
    <w:p>
      <w:pPr>
        <w:pStyle w:val="Subsection"/>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21V, 21W and 21Y; and</w:t>
      </w:r>
    </w:p>
    <w:p>
      <w:pPr>
        <w:pStyle w:val="Indenta"/>
        <w:rPr>
          <w:snapToGrid w:val="0"/>
        </w:rPr>
      </w:pPr>
      <w:r>
        <w:rPr>
          <w:snapToGrid w:val="0"/>
        </w:rPr>
        <w:tab/>
        <w:t>(b)</w:t>
      </w:r>
      <w:r>
        <w:rPr>
          <w:snapToGrid w:val="0"/>
        </w:rPr>
        <w:tab/>
        <w:t>the original certificates of title in respect of the lots, if required, to show any amended unit entitlement.</w:t>
      </w:r>
    </w:p>
    <w:p>
      <w:pPr>
        <w:pStyle w:val="Subsection"/>
        <w:rPr>
          <w:snapToGrid w:val="0"/>
        </w:rPr>
      </w:pPr>
      <w:r>
        <w:rPr>
          <w:snapToGrid w:val="0"/>
        </w:rPr>
        <w:tab/>
        <w:t>(2)</w:t>
      </w:r>
      <w:r>
        <w:rPr>
          <w:snapToGrid w:val="0"/>
        </w:rPr>
        <w:tab/>
        <w:t xml:space="preserve">The Registrar of Titles may amend the duplicate certificates as mentioned in subsection (1)(b) when they are lodged in the </w:t>
      </w:r>
      <w:r>
        <w:t xml:space="preserve">Authority’s office </w:t>
      </w:r>
      <w:r>
        <w:rPr>
          <w:snapToGrid w:val="0"/>
        </w:rPr>
        <w:t>for the purpose of a dealing.</w:t>
      </w:r>
    </w:p>
    <w:p>
      <w:pPr>
        <w:pStyle w:val="Footnotesection"/>
      </w:pPr>
      <w:r>
        <w:tab/>
        <w:t>[Section 21Z inserted: No. 61 of 1996 s. 16; amended: No. 60 of 2006 s. 160(4).]</w:t>
      </w:r>
    </w:p>
    <w:p>
      <w:pPr>
        <w:pStyle w:val="Heading3"/>
        <w:spacing w:before="220"/>
      </w:pPr>
      <w:bookmarkStart w:id="99" w:name="_Toc525288476"/>
      <w:bookmarkStart w:id="100" w:name="_Toc530554512"/>
      <w:bookmarkStart w:id="101" w:name="_Toc530554848"/>
      <w:r>
        <w:rPr>
          <w:rStyle w:val="CharDivNo"/>
        </w:rPr>
        <w:t>Division 3</w:t>
      </w:r>
      <w:r>
        <w:rPr>
          <w:snapToGrid w:val="0"/>
        </w:rPr>
        <w:t> — </w:t>
      </w:r>
      <w:r>
        <w:rPr>
          <w:rStyle w:val="CharDivText"/>
        </w:rPr>
        <w:t>Certificates and approvals</w:t>
      </w:r>
      <w:bookmarkEnd w:id="99"/>
      <w:bookmarkEnd w:id="100"/>
      <w:bookmarkEnd w:id="101"/>
    </w:p>
    <w:p>
      <w:pPr>
        <w:pStyle w:val="Heading5"/>
        <w:keepLines w:val="0"/>
        <w:rPr>
          <w:snapToGrid w:val="0"/>
        </w:rPr>
      </w:pPr>
      <w:bookmarkStart w:id="102" w:name="_Toc530554849"/>
      <w:r>
        <w:rPr>
          <w:rStyle w:val="CharSectno"/>
        </w:rPr>
        <w:t>22</w:t>
      </w:r>
      <w:r>
        <w:rPr>
          <w:snapToGrid w:val="0"/>
        </w:rPr>
        <w:t>.</w:t>
      </w:r>
      <w:r>
        <w:rPr>
          <w:snapToGrid w:val="0"/>
        </w:rPr>
        <w:tab/>
        <w:t>Certificate of licensed surveyor</w:t>
      </w:r>
      <w:bookmarkEnd w:id="102"/>
    </w:p>
    <w:p>
      <w:pPr>
        <w:pStyle w:val="Subsection"/>
        <w:spacing w:before="200"/>
        <w:rPr>
          <w:snapToGrid w:val="0"/>
        </w:rPr>
      </w:pPr>
      <w:r>
        <w:rPr>
          <w:snapToGrid w:val="0"/>
        </w:rPr>
        <w:tab/>
        <w:t>(1)</w:t>
      </w:r>
      <w:r>
        <w:rPr>
          <w:snapToGrid w:val="0"/>
        </w:rPr>
        <w:tab/>
        <w:t>The certificate of a licensed surveyor which is required by section 5B to accompany a strata plan lodged for registration shall be in the prescribed form and shall certify that —</w:t>
      </w:r>
    </w:p>
    <w:p>
      <w:pPr>
        <w:pStyle w:val="Indenta"/>
        <w:spacing w:before="120"/>
        <w:rPr>
          <w:snapToGrid w:val="0"/>
        </w:rPr>
      </w:pPr>
      <w:r>
        <w:rPr>
          <w:snapToGrid w:val="0"/>
        </w:rPr>
        <w:tab/>
        <w:t>(a)</w:t>
      </w:r>
      <w:r>
        <w:rPr>
          <w:snapToGrid w:val="0"/>
        </w:rPr>
        <w:tab/>
        <w:t>each lot that is not wholly within a building shown on the plan is within the external surface boundaries of the parcel; and either</w:t>
      </w:r>
    </w:p>
    <w:p>
      <w:pPr>
        <w:pStyle w:val="Indenta"/>
        <w:spacing w:before="120"/>
        <w:rPr>
          <w:snapToGrid w:val="0"/>
        </w:rPr>
      </w:pPr>
      <w:r>
        <w:rPr>
          <w:snapToGrid w:val="0"/>
        </w:rPr>
        <w:tab/>
        <w:t>(b)</w:t>
      </w:r>
      <w:r>
        <w:rPr>
          <w:snapToGrid w:val="0"/>
        </w:rPr>
        <w:tab/>
        <w:t>each building shown on the plan is within the external surface boundaries of the parcel; or</w:t>
      </w:r>
    </w:p>
    <w:p>
      <w:pPr>
        <w:pStyle w:val="Indenta"/>
        <w:spacing w:before="120"/>
        <w:rPr>
          <w:snapToGrid w:val="0"/>
        </w:rPr>
      </w:pPr>
      <w:r>
        <w:rPr>
          <w:snapToGrid w:val="0"/>
        </w:rPr>
        <w:tab/>
        <w:t>(c)</w:t>
      </w:r>
      <w:r>
        <w:rPr>
          <w:snapToGrid w:val="0"/>
        </w:rPr>
        <w:tab/>
        <w:t>in a case where a part of a wall or building, or material attached thereto, encroaches beyond the external surface boundaries of the parcel —</w:t>
      </w:r>
    </w:p>
    <w:p>
      <w:pPr>
        <w:pStyle w:val="Indenti"/>
        <w:rPr>
          <w:snapToGrid w:val="0"/>
        </w:rPr>
      </w:pPr>
      <w:r>
        <w:rPr>
          <w:snapToGrid w:val="0"/>
        </w:rPr>
        <w:tab/>
        <w:t>(i)</w:t>
      </w:r>
      <w:r>
        <w:rPr>
          <w:snapToGrid w:val="0"/>
        </w:rPr>
        <w:tab/>
        <w:t>all lots shown on the plan are within the external surface boundaries of the parcel; and</w:t>
      </w:r>
    </w:p>
    <w:p>
      <w:pPr>
        <w:pStyle w:val="Indenti"/>
        <w:rPr>
          <w:snapToGrid w:val="0"/>
        </w:rPr>
      </w:pPr>
      <w:r>
        <w:rPr>
          <w:snapToGrid w:val="0"/>
        </w:rPr>
        <w:tab/>
        <w:t>(ii)</w:t>
      </w:r>
      <w:r>
        <w:rPr>
          <w:snapToGrid w:val="0"/>
        </w:rPr>
        <w:tab/>
        <w:t>the plan clearly indicates the existence of the encroachment and its nature and extent; and</w:t>
      </w:r>
    </w:p>
    <w:p>
      <w:pPr>
        <w:pStyle w:val="Indenti"/>
        <w:rPr>
          <w:snapToGrid w:val="0"/>
        </w:rPr>
      </w:pPr>
      <w:r>
        <w:rPr>
          <w:snapToGrid w:val="0"/>
        </w:rPr>
        <w:tab/>
        <w:t>(iii)</w:t>
      </w:r>
      <w:r>
        <w:rPr>
          <w:snapToGrid w:val="0"/>
        </w:rPr>
        <w:tab/>
        <w:t>where the encroachment is not on to a public road, street or way, that an appropriate easement has been granted and will be lodged with the Registrar of Titles to enable it to be registered as an appurtenance of the parcel.</w:t>
      </w:r>
    </w:p>
    <w:p>
      <w:pPr>
        <w:pStyle w:val="Subsection"/>
        <w:spacing w:before="200"/>
        <w:rPr>
          <w:snapToGrid w:val="0"/>
        </w:rPr>
      </w:pPr>
      <w:r>
        <w:rPr>
          <w:snapToGrid w:val="0"/>
        </w:rPr>
        <w:tab/>
        <w:t>(2)</w:t>
      </w:r>
      <w:r>
        <w:rPr>
          <w:snapToGrid w:val="0"/>
        </w:rPr>
        <w:tab/>
        <w:t>The certificate of a licensed surveyor which is required by section 5B to accompany a survey</w:t>
      </w:r>
      <w:r>
        <w:rPr>
          <w:snapToGrid w:val="0"/>
        </w:rPr>
        <w:noBreakHyphen/>
        <w:t>strata plan lodged for registration shall be in the prescribed form.</w:t>
      </w:r>
    </w:p>
    <w:p>
      <w:pPr>
        <w:pStyle w:val="Footnotesection"/>
        <w:spacing w:before="80"/>
        <w:ind w:left="890" w:hanging="890"/>
      </w:pPr>
      <w:r>
        <w:tab/>
        <w:t>[Section 22 amended: No. 58 of 1995 s. 23.]</w:t>
      </w:r>
    </w:p>
    <w:p>
      <w:pPr>
        <w:pStyle w:val="Ednotesection"/>
      </w:pPr>
      <w:r>
        <w:t>[</w:t>
      </w:r>
      <w:r>
        <w:rPr>
          <w:b/>
        </w:rPr>
        <w:t>23.</w:t>
      </w:r>
      <w:r>
        <w:tab/>
        <w:t>Deleted: No. 24 of 2011 s. 174(6).]</w:t>
      </w:r>
    </w:p>
    <w:p>
      <w:pPr>
        <w:pStyle w:val="Heading5"/>
        <w:rPr>
          <w:snapToGrid w:val="0"/>
        </w:rPr>
      </w:pPr>
      <w:bookmarkStart w:id="103" w:name="_Toc530554850"/>
      <w:r>
        <w:rPr>
          <w:rStyle w:val="CharSectno"/>
        </w:rPr>
        <w:t>24</w:t>
      </w:r>
      <w:r>
        <w:rPr>
          <w:snapToGrid w:val="0"/>
        </w:rPr>
        <w:t>.</w:t>
      </w:r>
      <w:r>
        <w:rPr>
          <w:snapToGrid w:val="0"/>
        </w:rPr>
        <w:tab/>
        <w:t>Preliminary determinations by local government</w:t>
      </w:r>
      <w:bookmarkEnd w:id="103"/>
    </w:p>
    <w:p>
      <w:pPr>
        <w:pStyle w:val="Ednotesubsection"/>
        <w:keepNext/>
      </w:pPr>
      <w:r>
        <w:tab/>
        <w:t>[(1)</w:t>
      </w:r>
      <w:r>
        <w:tab/>
        <w:t>deleted]</w:t>
      </w:r>
    </w:p>
    <w:p>
      <w:pPr>
        <w:pStyle w:val="Subsection"/>
      </w:pPr>
      <w:r>
        <w:rPr>
          <w:snapToGrid w:val="0"/>
        </w:rPr>
        <w:tab/>
        <w:t>(2)</w:t>
      </w:r>
      <w:r>
        <w:rPr>
          <w:snapToGrid w:val="0"/>
        </w:rPr>
        <w:tab/>
        <w:t xml:space="preserve">Upon 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in force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rPr>
          <w:snapToGrid w:val="0"/>
        </w:rPr>
      </w:pPr>
      <w:r>
        <w:rPr>
          <w:snapToGrid w:val="0"/>
        </w:rPr>
        <w:tab/>
        <w:t>(2a)</w:t>
      </w:r>
      <w:r>
        <w:rPr>
          <w:snapToGrid w:val="0"/>
        </w:rPr>
        <w:tab/>
        <w:t>In making determinations of a kind provided for by this section a local government shall have regard to such considerations as may be prescribed to be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An applicant for a determination under this section shall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A determination made by a local government under this section shall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A determination under this section shall be valid and binding on the local government for a period of 2 years after it is made unless the local government, at the time of the determination, declares in writing that the determination shall be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w:t>
      </w:r>
    </w:p>
    <w:p>
      <w:pPr>
        <w:pStyle w:val="Heading5"/>
        <w:rPr>
          <w:snapToGrid w:val="0"/>
        </w:rPr>
      </w:pPr>
      <w:bookmarkStart w:id="104" w:name="_Toc530554851"/>
      <w:r>
        <w:rPr>
          <w:rStyle w:val="CharSectno"/>
        </w:rPr>
        <w:t>25</w:t>
      </w:r>
      <w:r>
        <w:rPr>
          <w:snapToGrid w:val="0"/>
        </w:rPr>
        <w:t>.</w:t>
      </w:r>
      <w:r>
        <w:rPr>
          <w:snapToGrid w:val="0"/>
        </w:rPr>
        <w:tab/>
        <w:t>Certificate of Commission</w:t>
      </w:r>
      <w:bookmarkEnd w:id="104"/>
    </w:p>
    <w:p>
      <w:pPr>
        <w:pStyle w:val="Subsection"/>
        <w:rPr>
          <w:snapToGrid w:val="0"/>
        </w:rPr>
      </w:pPr>
      <w:r>
        <w:rPr>
          <w:snapToGrid w:val="0"/>
        </w:rPr>
        <w:tab/>
        <w:t>(1)</w:t>
      </w:r>
      <w:r>
        <w:rPr>
          <w:snapToGrid w:val="0"/>
        </w:rPr>
        <w:tab/>
        <w:t>Subject to this section, every strata plan and every plan of re</w:t>
      </w:r>
      <w:r>
        <w:rPr>
          <w:snapToGrid w:val="0"/>
        </w:rPr>
        <w:noBreakHyphen/>
        <w:t>subdivision or consolidation for a strata scheme lodged for registration under this Act shall be accompanied by a certificate of approval given by the Commission unless the proposed subdivision, re</w:t>
      </w:r>
      <w:r>
        <w:rPr>
          <w:snapToGrid w:val="0"/>
        </w:rPr>
        <w:noBreakHyphen/>
        <w:t>subdivision or consolidation is exempt from the requirement of such a certificate by reason of regulations made under this section.</w:t>
      </w:r>
    </w:p>
    <w:p>
      <w:pPr>
        <w:pStyle w:val="Subsection"/>
        <w:rPr>
          <w:snapToGrid w:val="0"/>
        </w:rPr>
      </w:pPr>
      <w:r>
        <w:rPr>
          <w:snapToGrid w:val="0"/>
        </w:rPr>
        <w:tab/>
        <w:t>(2)</w:t>
      </w:r>
      <w:r>
        <w:rPr>
          <w:snapToGrid w:val="0"/>
        </w:rPr>
        <w:tab/>
        <w:t>The Governor may make regulations providing for the exemption of a proposed subdivision, re</w:t>
      </w:r>
      <w:r>
        <w:rPr>
          <w:snapToGrid w:val="0"/>
        </w:rPr>
        <w:noBreakHyphen/>
        <w:t>subdivision or consolidation, or subdivisions, re</w:t>
      </w:r>
      <w:r>
        <w:rPr>
          <w:snapToGrid w:val="0"/>
        </w:rPr>
        <w:noBreakHyphen/>
        <w:t>subdivisions or consolidations of any class or description or in any geographical area, from the requirement of a certificate of approval given by the Commission for the purposes of section 5B, 8A or 9.</w:t>
      </w:r>
    </w:p>
    <w:p>
      <w:pPr>
        <w:pStyle w:val="Subsection"/>
        <w:rPr>
          <w:snapToGrid w:val="0"/>
        </w:rPr>
      </w:pPr>
      <w:r>
        <w:rPr>
          <w:snapToGrid w:val="0"/>
        </w:rPr>
        <w:tab/>
        <w:t>(3)</w:t>
      </w:r>
      <w:r>
        <w:rPr>
          <w:snapToGrid w:val="0"/>
        </w:rPr>
        <w:tab/>
        <w:t>An application for a certificate under this section shall be made to the Commission in the prescribed form and manner and, where a building is to be constructed or modified for the purposes of the strata scheme or a proposed strata scheme, the application shall be made prior to the construction or modification of the building unless the Commission otherwise agrees in a particular case.</w:t>
      </w:r>
    </w:p>
    <w:p>
      <w:pPr>
        <w:pStyle w:val="Subsection"/>
        <w:rPr>
          <w:snapToGrid w:val="0"/>
        </w:rPr>
      </w:pPr>
      <w:r>
        <w:rPr>
          <w:snapToGrid w:val="0"/>
        </w:rPr>
        <w:tab/>
        <w:t>(4)</w:t>
      </w:r>
      <w:r>
        <w:rPr>
          <w:snapToGrid w:val="0"/>
        </w:rPr>
        <w:tab/>
        <w:t>A certificate granted by the Commission under this section shall certify the approval of the Commission to the subdivision, re</w:t>
      </w:r>
      <w:r>
        <w:rPr>
          <w:snapToGrid w:val="0"/>
        </w:rPr>
        <w:noBreakHyphen/>
        <w:t>subdivision or consolidation, as the case may be, and shall be in the prescribed form and in the case of an application made prior to construction or modification of a building proposed to be divided into lots under the scheme, the Commission may grant a certificate unconditionally or subject to such conditions as are specified in the certificate.</w:t>
      </w:r>
    </w:p>
    <w:p>
      <w:pPr>
        <w:pStyle w:val="Subsection"/>
        <w:rPr>
          <w:snapToGrid w:val="0"/>
        </w:rPr>
      </w:pPr>
      <w:r>
        <w:rPr>
          <w:snapToGrid w:val="0"/>
        </w:rPr>
        <w:tab/>
        <w:t>(5)</w:t>
      </w:r>
      <w:r>
        <w:rPr>
          <w:snapToGrid w:val="0"/>
        </w:rPr>
        <w:tab/>
        <w:t xml:space="preserve">Without limiting section 25A, </w:t>
      </w:r>
      <w:r>
        <w:t xml:space="preserve">sections 135, 136, 146 and 147 of the </w:t>
      </w:r>
      <w:r>
        <w:rPr>
          <w:i/>
        </w:rPr>
        <w:t>Planning and Development Act 2005</w:t>
      </w:r>
      <w:r>
        <w:rPr>
          <w:iCs/>
        </w:rPr>
        <w:t xml:space="preserve"> </w:t>
      </w:r>
      <w:r>
        <w:rPr>
          <w:iCs/>
          <w:snapToGrid w:val="0"/>
        </w:rPr>
        <w:t>do</w:t>
      </w:r>
      <w:r>
        <w:rPr>
          <w:snapToGrid w:val="0"/>
        </w:rPr>
        <w:t xml:space="preserve"> not apply to —</w:t>
      </w:r>
    </w:p>
    <w:p>
      <w:pPr>
        <w:pStyle w:val="Indenta"/>
        <w:rPr>
          <w:snapToGrid w:val="0"/>
        </w:rPr>
      </w:pPr>
      <w:r>
        <w:rPr>
          <w:snapToGrid w:val="0"/>
        </w:rPr>
        <w:tab/>
        <w:t>(a)</w:t>
      </w:r>
      <w:r>
        <w:rPr>
          <w:snapToGrid w:val="0"/>
        </w:rPr>
        <w:tab/>
        <w:t>a subdivision effected by the registration of a strata plan; or</w:t>
      </w:r>
    </w:p>
    <w:p>
      <w:pPr>
        <w:pStyle w:val="Indenta"/>
        <w:rPr>
          <w:snapToGrid w:val="0"/>
        </w:rPr>
      </w:pPr>
      <w:r>
        <w:rPr>
          <w:snapToGrid w:val="0"/>
        </w:rPr>
        <w:tab/>
        <w:t>(b)</w:t>
      </w:r>
      <w:r>
        <w:rPr>
          <w:snapToGrid w:val="0"/>
        </w:rPr>
        <w:tab/>
        <w:t>a re</w:t>
      </w:r>
      <w:r>
        <w:rPr>
          <w:snapToGrid w:val="0"/>
        </w:rPr>
        <w:noBreakHyphen/>
        <w:t>subdivision effected by a plan of re</w:t>
      </w:r>
      <w:r>
        <w:rPr>
          <w:snapToGrid w:val="0"/>
        </w:rPr>
        <w:noBreakHyphen/>
        <w:t>subdivision for a strata scheme; or</w:t>
      </w:r>
    </w:p>
    <w:p>
      <w:pPr>
        <w:pStyle w:val="Indenta"/>
        <w:rPr>
          <w:snapToGrid w:val="0"/>
        </w:rPr>
      </w:pPr>
      <w:r>
        <w:rPr>
          <w:snapToGrid w:val="0"/>
        </w:rPr>
        <w:tab/>
        <w:t>(c)</w:t>
      </w:r>
      <w:r>
        <w:rPr>
          <w:snapToGrid w:val="0"/>
        </w:rPr>
        <w:tab/>
        <w:t>a consolidation effected by the registration of a plan of consolidation for a strata scheme; or</w:t>
      </w:r>
    </w:p>
    <w:p>
      <w:pPr>
        <w:pStyle w:val="Indenta"/>
        <w:rPr>
          <w:snapToGrid w:val="0"/>
        </w:rPr>
      </w:pPr>
      <w:r>
        <w:rPr>
          <w:snapToGrid w:val="0"/>
        </w:rPr>
        <w:tab/>
        <w:t>(d)</w:t>
      </w:r>
      <w:r>
        <w:rPr>
          <w:snapToGrid w:val="0"/>
        </w:rPr>
        <w:tab/>
        <w:t>a transfer converting a lot within a strata scheme to common property.</w:t>
      </w:r>
    </w:p>
    <w:p>
      <w:pPr>
        <w:pStyle w:val="Ednotesubsection"/>
      </w:pPr>
      <w:r>
        <w:tab/>
        <w:t>[(6)</w:t>
      </w:r>
      <w:r>
        <w:tab/>
        <w:t>deleted]</w:t>
      </w:r>
    </w:p>
    <w:p>
      <w:pPr>
        <w:pStyle w:val="Subsection"/>
        <w:rPr>
          <w:snapToGrid w:val="0"/>
        </w:rPr>
      </w:pPr>
      <w:r>
        <w:rPr>
          <w:snapToGrid w:val="0"/>
        </w:rPr>
        <w:tab/>
        <w:t>(7)</w:t>
      </w:r>
      <w:r>
        <w:rPr>
          <w:snapToGrid w:val="0"/>
        </w:rPr>
        <w:tab/>
        <w:t xml:space="preserve">This section and the giving of a certificate of approval by the Commission for the purposes of this section shall be subject to the requirements of section 78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w:t>
      </w:r>
    </w:p>
    <w:p>
      <w:pPr>
        <w:pStyle w:val="Subsection"/>
        <w:rPr>
          <w:snapToGrid w:val="0"/>
        </w:rPr>
      </w:pPr>
      <w:r>
        <w:rPr>
          <w:snapToGrid w:val="0"/>
        </w:rPr>
        <w:tab/>
        <w:t>(8)</w:t>
      </w:r>
      <w:r>
        <w:rPr>
          <w:snapToGrid w:val="0"/>
        </w:rPr>
        <w:tab/>
        <w:t xml:space="preserve">No exemption from the requirements of this section shall take effect where the land or any part of the land to which the strata scheme relates is land to which section 78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applies.</w:t>
      </w:r>
    </w:p>
    <w:p>
      <w:pPr>
        <w:pStyle w:val="Footnotesection"/>
      </w:pPr>
      <w:r>
        <w:tab/>
        <w:t>[Section 25 amended: No. 97 of 1990 s. 30; No. 84 of 1994 s. 46; No. 58 of 1995 s. 261; No. 55 of 2004 s. 1114; No. 38 of 2005 s. 15.]</w:t>
      </w:r>
    </w:p>
    <w:p>
      <w:pPr>
        <w:pStyle w:val="Heading5"/>
        <w:spacing w:before="600"/>
        <w:rPr>
          <w:snapToGrid w:val="0"/>
        </w:rPr>
      </w:pPr>
      <w:bookmarkStart w:id="105" w:name="_Toc530554852"/>
      <w:r>
        <w:rPr>
          <w:rStyle w:val="CharSectno"/>
        </w:rPr>
        <w:t>25A</w:t>
      </w:r>
      <w:r>
        <w:rPr>
          <w:snapToGrid w:val="0"/>
        </w:rPr>
        <w:t>.</w:t>
      </w:r>
      <w:r>
        <w:rPr>
          <w:snapToGrid w:val="0"/>
        </w:rPr>
        <w:tab/>
        <w:t>Commission to refer plan to other bodies in certain cases</w:t>
      </w:r>
      <w:bookmarkEnd w:id="105"/>
    </w:p>
    <w:p>
      <w:pPr>
        <w:pStyle w:val="Subsection"/>
        <w:rPr>
          <w:snapToGrid w:val="0"/>
          <w:spacing w:val="-4"/>
        </w:rPr>
      </w:pPr>
      <w:r>
        <w:rPr>
          <w:snapToGrid w:val="0"/>
          <w:spacing w:val="-4"/>
        </w:rPr>
        <w:tab/>
        <w:t>(1)</w:t>
      </w:r>
      <w:r>
        <w:rPr>
          <w:snapToGrid w:val="0"/>
          <w:spacing w:val="-4"/>
        </w:rPr>
        <w:tab/>
        <w:t>If a strata plan or a plan of re</w:t>
      </w:r>
      <w:r>
        <w:rPr>
          <w:snapToGrid w:val="0"/>
          <w:spacing w:val="-4"/>
        </w:rPr>
        <w:noBreakHyphen/>
        <w:t>subdivision or consolidation for a strata scheme submitted to the Commission for approval under section 25 contains any vacant lot, the Commission shall comply with</w:t>
      </w:r>
      <w:r>
        <w:t xml:space="preserve"> sections 142, 143 and 144 of the </w:t>
      </w:r>
      <w:r>
        <w:rPr>
          <w:i/>
        </w:rPr>
        <w:t>Planning and Development Act 2005</w:t>
      </w:r>
      <w:r>
        <w:t>, and section 151 of that Act applies,</w:t>
      </w:r>
      <w:r>
        <w:rPr>
          <w:snapToGrid w:val="0"/>
          <w:spacing w:val="-4"/>
        </w:rPr>
        <w:t xml:space="preserve"> as if the plan were a plan of subdivision which required the approval of the Commission under that Act.</w:t>
      </w:r>
    </w:p>
    <w:p>
      <w:pPr>
        <w:pStyle w:val="Subsection"/>
        <w:rPr>
          <w:snapToGrid w:val="0"/>
          <w:spacing w:val="-4"/>
        </w:rPr>
      </w:pPr>
      <w:r>
        <w:rPr>
          <w:snapToGrid w:val="0"/>
          <w:spacing w:val="-4"/>
        </w:rPr>
        <w:tab/>
        <w:t>(2)</w:t>
      </w:r>
      <w:r>
        <w:rPr>
          <w:snapToGrid w:val="0"/>
          <w:spacing w:val="-4"/>
        </w:rPr>
        <w:tab/>
        <w:t xml:space="preserve">For the purposes of subsection (1) a vacant lot is one that is wholly unimproved apart from having merged improvements within the meaning of that expression in the </w:t>
      </w:r>
      <w:r>
        <w:rPr>
          <w:i/>
          <w:snapToGrid w:val="0"/>
          <w:spacing w:val="-4"/>
        </w:rPr>
        <w:t>Valuation of Land Act 1978</w:t>
      </w:r>
      <w:r>
        <w:rPr>
          <w:snapToGrid w:val="0"/>
          <w:spacing w:val="-4"/>
        </w:rPr>
        <w:t>.</w:t>
      </w:r>
    </w:p>
    <w:p>
      <w:pPr>
        <w:pStyle w:val="Subsection"/>
        <w:rPr>
          <w:snapToGrid w:val="0"/>
        </w:rPr>
      </w:pPr>
      <w:r>
        <w:rPr>
          <w:snapToGrid w:val="0"/>
        </w:rPr>
        <w:tab/>
        <w:t>(3)</w:t>
      </w:r>
      <w:r>
        <w:rPr>
          <w:snapToGrid w:val="0"/>
        </w:rPr>
        <w:tab/>
        <w:t>Where subsection (1) applies, a prescribed period shall apply for the purposes</w:t>
      </w:r>
      <w:r>
        <w:t xml:space="preserve"> of section 27(4) instead of the period of 40 days mentioned in that subsection.</w:t>
      </w:r>
    </w:p>
    <w:p>
      <w:pPr>
        <w:pStyle w:val="Footnotesection"/>
        <w:spacing w:before="80"/>
        <w:ind w:left="890" w:hanging="890"/>
      </w:pPr>
      <w:r>
        <w:tab/>
        <w:t>[Section 25A inserted: No. 58 of 1995 s. 27; amended: No. 55 of 2004 s. 1115; No. 38 of 2005 s. 15.]</w:t>
      </w:r>
    </w:p>
    <w:p>
      <w:pPr>
        <w:pStyle w:val="Heading5"/>
        <w:rPr>
          <w:snapToGrid w:val="0"/>
        </w:rPr>
      </w:pPr>
      <w:bookmarkStart w:id="106" w:name="_Toc530554853"/>
      <w:r>
        <w:rPr>
          <w:rStyle w:val="CharSectno"/>
        </w:rPr>
        <w:t>25B</w:t>
      </w:r>
      <w:r>
        <w:rPr>
          <w:snapToGrid w:val="0"/>
        </w:rPr>
        <w:t>.</w:t>
      </w:r>
      <w:r>
        <w:rPr>
          <w:snapToGrid w:val="0"/>
        </w:rPr>
        <w:tab/>
        <w:t>Subdivision in survey</w:t>
      </w:r>
      <w:r>
        <w:rPr>
          <w:snapToGrid w:val="0"/>
        </w:rPr>
        <w:noBreakHyphen/>
        <w:t>strata scheme requires approval by Commission</w:t>
      </w:r>
      <w:bookmarkEnd w:id="106"/>
    </w:p>
    <w:p>
      <w:pPr>
        <w:pStyle w:val="Subsection"/>
        <w:rPr>
          <w:snapToGrid w:val="0"/>
        </w:rPr>
      </w:pPr>
      <w:r>
        <w:rPr>
          <w:snapToGrid w:val="0"/>
        </w:rPr>
        <w:tab/>
        <w:t>(1)</w:t>
      </w:r>
      <w:r>
        <w:rPr>
          <w:snapToGrid w:val="0"/>
        </w:rPr>
        <w:tab/>
        <w:t>The provisions of</w:t>
      </w:r>
      <w:r>
        <w:t xml:space="preserve"> Divisions 1, 2 (other than section 141) and 3 of Part 10 of the </w:t>
      </w:r>
      <w:r>
        <w:rPr>
          <w:i/>
        </w:rPr>
        <w:t>Planning and Development Act 2005</w:t>
      </w:r>
      <w:r>
        <w:t>, and section 166 of that Act,</w:t>
      </w:r>
      <w:r>
        <w:rPr>
          <w:snapToGrid w:val="0"/>
        </w:rPr>
        <w:t xml:space="preserve"> apply to —</w:t>
      </w:r>
    </w:p>
    <w:p>
      <w:pPr>
        <w:pStyle w:val="Indenta"/>
        <w:rPr>
          <w:snapToGrid w:val="0"/>
        </w:rPr>
      </w:pPr>
      <w:r>
        <w:rPr>
          <w:snapToGrid w:val="0"/>
        </w:rPr>
        <w:tab/>
        <w:t>(a)</w:t>
      </w:r>
      <w:r>
        <w:rPr>
          <w:snapToGrid w:val="0"/>
        </w:rPr>
        <w:tab/>
        <w:t>the subdivision or re</w:t>
      </w:r>
      <w:r>
        <w:rPr>
          <w:snapToGrid w:val="0"/>
        </w:rPr>
        <w:noBreakHyphen/>
        <w:t>subdivision of land by a survey</w:t>
      </w:r>
      <w:r>
        <w:rPr>
          <w:snapToGrid w:val="0"/>
        </w:rPr>
        <w:noBreakHyphen/>
        <w:t>strata plan or a plan of re</w:t>
      </w:r>
      <w:r>
        <w:rPr>
          <w:snapToGrid w:val="0"/>
        </w:rPr>
        <w:noBreakHyphen/>
        <w:t>subdivision for a survey</w:t>
      </w:r>
      <w:r>
        <w:rPr>
          <w:snapToGrid w:val="0"/>
        </w:rPr>
        <w:noBreakHyphen/>
        <w:t>strata scheme; and</w:t>
      </w:r>
    </w:p>
    <w:p>
      <w:pPr>
        <w:pStyle w:val="Indenta"/>
        <w:rPr>
          <w:snapToGrid w:val="0"/>
        </w:rPr>
      </w:pPr>
      <w:r>
        <w:rPr>
          <w:snapToGrid w:val="0"/>
        </w:rPr>
        <w:tab/>
        <w:t>(b)</w:t>
      </w:r>
      <w:r>
        <w:rPr>
          <w:snapToGrid w:val="0"/>
        </w:rPr>
        <w:tab/>
        <w:t>the consolidation of lots by a plan of consolidation for a survey</w:t>
      </w:r>
      <w:r>
        <w:rPr>
          <w:snapToGrid w:val="0"/>
        </w:rPr>
        <w:noBreakHyphen/>
        <w:t>strata scheme.</w:t>
      </w:r>
    </w:p>
    <w:p>
      <w:pPr>
        <w:pStyle w:val="Subsection"/>
        <w:rPr>
          <w:snapToGrid w:val="0"/>
        </w:rPr>
      </w:pPr>
      <w:r>
        <w:rPr>
          <w:snapToGrid w:val="0"/>
        </w:rPr>
        <w:tab/>
        <w:t>(2)</w:t>
      </w:r>
      <w:r>
        <w:rPr>
          <w:snapToGrid w:val="0"/>
        </w:rPr>
        <w:tab/>
        <w:t>Every survey</w:t>
      </w:r>
      <w:r>
        <w:rPr>
          <w:snapToGrid w:val="0"/>
        </w:rPr>
        <w:noBreakHyphen/>
        <w:t>strata plan and every plan of re</w:t>
      </w:r>
      <w:r>
        <w:rPr>
          <w:snapToGrid w:val="0"/>
        </w:rPr>
        <w:noBreakHyphen/>
        <w:t>subdivision or consolidation for a survey</w:t>
      </w:r>
      <w:r>
        <w:rPr>
          <w:snapToGrid w:val="0"/>
        </w:rPr>
        <w:noBreakHyphen/>
        <w:t>strata scheme lodged for registration under this Act shall have endorsed on it a statement that the approval of the Commission, required by the provisions referred to in subsection (1), has been granted.</w:t>
      </w:r>
    </w:p>
    <w:p>
      <w:pPr>
        <w:pStyle w:val="Ednotesubsection"/>
      </w:pPr>
      <w:r>
        <w:tab/>
        <w:t>[(3)</w:t>
      </w:r>
      <w:r>
        <w:tab/>
        <w:t>deleted]</w:t>
      </w:r>
    </w:p>
    <w:p>
      <w:pPr>
        <w:pStyle w:val="Subsection"/>
        <w:keepNext/>
        <w:rPr>
          <w:snapToGrid w:val="0"/>
        </w:rPr>
      </w:pPr>
      <w:r>
        <w:rPr>
          <w:snapToGrid w:val="0"/>
        </w:rPr>
        <w:tab/>
        <w:t>(4)</w:t>
      </w:r>
      <w:r>
        <w:rPr>
          <w:snapToGrid w:val="0"/>
        </w:rPr>
        <w:tab/>
        <w:t>The Registrar of Titles may accept for registration a plan referred to in subsection (1) notwithstanding that it does not comply with subsection (2) if the plan —</w:t>
      </w:r>
    </w:p>
    <w:p>
      <w:pPr>
        <w:pStyle w:val="Indenta"/>
        <w:rPr>
          <w:snapToGrid w:val="0"/>
        </w:rPr>
      </w:pPr>
      <w:r>
        <w:rPr>
          <w:snapToGrid w:val="0"/>
        </w:rPr>
        <w:tab/>
        <w:t>(a)</w:t>
      </w:r>
      <w:r>
        <w:rPr>
          <w:snapToGrid w:val="0"/>
        </w:rPr>
        <w:tab/>
        <w:t xml:space="preserve">is accompanied by a </w:t>
      </w:r>
      <w:r>
        <w:t xml:space="preserve">certificate of the executive officer of the State Administrative Tribunal to the effect that a successful application has been made to the State Administrative Tribunal for a review of the Commission’s refusal or failure to give an approval referred to in subsection (2); </w:t>
      </w:r>
      <w:r>
        <w:rPr>
          <w:snapToGrid w:val="0"/>
        </w:rPr>
        <w:t>and</w:t>
      </w:r>
    </w:p>
    <w:p>
      <w:pPr>
        <w:pStyle w:val="Indenta"/>
        <w:rPr>
          <w:snapToGrid w:val="0"/>
        </w:rPr>
      </w:pPr>
      <w:r>
        <w:rPr>
          <w:snapToGrid w:val="0"/>
        </w:rPr>
        <w:tab/>
        <w:t>(b)</w:t>
      </w:r>
      <w:r>
        <w:rPr>
          <w:snapToGrid w:val="0"/>
        </w:rPr>
        <w:tab/>
        <w:t>otherwise complies with this Act.</w:t>
      </w:r>
    </w:p>
    <w:p>
      <w:pPr>
        <w:pStyle w:val="Footnotesection"/>
        <w:keepLines w:val="0"/>
        <w:ind w:left="890" w:hanging="890"/>
      </w:pPr>
      <w:r>
        <w:tab/>
        <w:t>[Section 25B inserted: No. 58 of 1995 s. 27; amended: No. 61 of 1996 s. 17; No. 24 of 2002 s. 28(2); No. 55 of 2004 s. 1116; No. 38 of 2005 s. 15.]</w:t>
      </w:r>
    </w:p>
    <w:p>
      <w:pPr>
        <w:pStyle w:val="Heading5"/>
        <w:rPr>
          <w:snapToGrid w:val="0"/>
        </w:rPr>
      </w:pPr>
      <w:bookmarkStart w:id="107" w:name="_Toc530554854"/>
      <w:r>
        <w:rPr>
          <w:rStyle w:val="CharSectno"/>
        </w:rPr>
        <w:t>26</w:t>
      </w:r>
      <w:r>
        <w:rPr>
          <w:snapToGrid w:val="0"/>
        </w:rPr>
        <w:t>.</w:t>
      </w:r>
      <w:r>
        <w:rPr>
          <w:snapToGrid w:val="0"/>
        </w:rPr>
        <w:tab/>
        <w:t>Review of local government decision</w:t>
      </w:r>
      <w:bookmarkEnd w:id="107"/>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a local government for a certificate, determination or approval, as the case may be —</w:t>
      </w:r>
    </w:p>
    <w:p>
      <w:pPr>
        <w:pStyle w:val="Ednotepara"/>
        <w:spacing w:before="80"/>
      </w:pPr>
      <w:r>
        <w:tab/>
        <w:t>[(a)</w:t>
      </w:r>
      <w:r>
        <w:noBreakHyphen/>
        <w:t>(i)</w:t>
      </w:r>
      <w:r>
        <w:tab/>
        <w:t>deleted]</w:t>
      </w:r>
    </w:p>
    <w:p>
      <w:pPr>
        <w:pStyle w:val="Indenta"/>
        <w:rPr>
          <w:snapToGrid w:val="0"/>
        </w:rPr>
      </w:pPr>
      <w:r>
        <w:rPr>
          <w:snapToGrid w:val="0"/>
        </w:rPr>
        <w:tab/>
        <w:t>(j)</w:t>
      </w:r>
      <w:r>
        <w:rPr>
          <w:snapToGrid w:val="0"/>
        </w:rPr>
        <w:tab/>
        <w:t xml:space="preserve">under section 24(2) that </w:t>
      </w:r>
      <w:r>
        <w:t>the local government is satisfied as to the matters referred to in section 24(2)(a), (b) and (c) in relation to a proposed development; and</w:t>
      </w:r>
    </w:p>
    <w:p>
      <w:pPr>
        <w:pStyle w:val="Indenta"/>
        <w:rPr>
          <w:snapToGrid w:val="0"/>
        </w:rPr>
      </w:pPr>
      <w:r>
        <w:rPr>
          <w:snapToGrid w:val="0"/>
        </w:rPr>
        <w:tab/>
        <w:t>(k)</w:t>
      </w:r>
      <w:r>
        <w:rPr>
          <w:snapToGrid w:val="0"/>
        </w:rPr>
        <w:tab/>
        <w:t>under section 6(3) that the local government approves a resolution of a strata company varying or removing a restriction as to use endorsed on a registered strata/survey</w:t>
      </w:r>
      <w:r>
        <w:rPr>
          <w:snapToGrid w:val="0"/>
        </w:rPr>
        <w:noBreakHyphen/>
        <w:t>strata plan under that section; and</w:t>
      </w:r>
    </w:p>
    <w:p>
      <w:pPr>
        <w:pStyle w:val="Ednotepara"/>
        <w:spacing w:before="80"/>
      </w:pPr>
      <w:r>
        <w:tab/>
        <w:t>[(l)</w:t>
      </w:r>
      <w:r>
        <w:tab/>
        <w:t>deleted]</w:t>
      </w:r>
    </w:p>
    <w:p>
      <w:pPr>
        <w:pStyle w:val="Indenta"/>
        <w:rPr>
          <w:snapToGrid w:val="0"/>
        </w:rPr>
      </w:pPr>
      <w:r>
        <w:rPr>
          <w:snapToGrid w:val="0"/>
        </w:rPr>
        <w:tab/>
        <w:t>(m)</w:t>
      </w:r>
      <w:r>
        <w:rPr>
          <w:snapToGrid w:val="0"/>
        </w:rPr>
        <w:tab/>
        <w:t>as required in the case of an application for registration of a plan of consolidation for a strata scheme, under section 9(3)(b); and</w:t>
      </w:r>
    </w:p>
    <w:p>
      <w:pPr>
        <w:pStyle w:val="Indenta"/>
        <w:rPr>
          <w:snapToGrid w:val="0"/>
        </w:rPr>
      </w:pPr>
      <w:r>
        <w:rPr>
          <w:snapToGrid w:val="0"/>
        </w:rPr>
        <w:tab/>
        <w:t>(n)</w:t>
      </w:r>
      <w:r>
        <w:rPr>
          <w:snapToGrid w:val="0"/>
        </w:rPr>
        <w:tab/>
        <w:t>under section 10(2) that the local government consents to the conversion effected by a transfer of a lot or lots within a scheme into common property; and</w:t>
      </w:r>
    </w:p>
    <w:p>
      <w:pPr>
        <w:pStyle w:val="Indenta"/>
        <w:rPr>
          <w:snapToGrid w:val="0"/>
        </w:rPr>
      </w:pPr>
      <w:r>
        <w:rPr>
          <w:snapToGrid w:val="0"/>
        </w:rPr>
        <w:tab/>
        <w:t>(o)</w:t>
      </w:r>
      <w:r>
        <w:rPr>
          <w:snapToGrid w:val="0"/>
        </w:rPr>
        <w:tab/>
        <w:t>under section 19(10) that the local government approves a transfer, mortgage or other disposition as referred to in that subsection of common property within a scheme.</w:t>
      </w:r>
    </w:p>
    <w:p>
      <w:pPr>
        <w:pStyle w:val="Subsection"/>
        <w:keepNext/>
        <w:rPr>
          <w:snapToGrid w:val="0"/>
        </w:rPr>
      </w:pPr>
      <w:r>
        <w:rPr>
          <w:snapToGrid w:val="0"/>
        </w:rPr>
        <w:tab/>
        <w:t>(2)</w:t>
      </w:r>
      <w:r>
        <w:rPr>
          <w:snapToGrid w:val="0"/>
        </w:rPr>
        <w:tab/>
        <w:t>A local government to which an application is made shall cause notice of its decision on the application to be given in writing to the applicant.</w:t>
      </w:r>
    </w:p>
    <w:p>
      <w:pPr>
        <w:pStyle w:val="Subsection"/>
        <w:keepNext/>
        <w:rPr>
          <w:snapToGrid w:val="0"/>
        </w:rPr>
      </w:pPr>
      <w:r>
        <w:rPr>
          <w:snapToGrid w:val="0"/>
        </w:rPr>
        <w:tab/>
        <w:t>(3)</w:t>
      </w:r>
      <w:r>
        <w:rPr>
          <w:snapToGrid w:val="0"/>
        </w:rPr>
        <w:tab/>
        <w:t>A notice of refusal by a local government to approve an application shall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keepNext/>
        <w:rPr>
          <w:snapToGrid w:val="0"/>
        </w:rPr>
      </w:pPr>
      <w:r>
        <w:rPr>
          <w:snapToGrid w:val="0"/>
        </w:rPr>
        <w:tab/>
        <w:t>(4)</w:t>
      </w:r>
      <w:r>
        <w:rPr>
          <w:snapToGrid w:val="0"/>
        </w:rPr>
        <w:tab/>
        <w:t>Subject to this section, an applicant may apply to the State Administrative Tribunal for a review of —</w:t>
      </w:r>
    </w:p>
    <w:p>
      <w:pPr>
        <w:pStyle w:val="Indenta"/>
        <w:rPr>
          <w:snapToGrid w:val="0"/>
        </w:rPr>
      </w:pPr>
      <w:r>
        <w:rPr>
          <w:snapToGrid w:val="0"/>
        </w:rPr>
        <w:tab/>
        <w:t>(a)</w:t>
      </w:r>
      <w:r>
        <w:rPr>
          <w:snapToGrid w:val="0"/>
        </w:rPr>
        <w:tab/>
        <w:t>a refusal by a local government to approve an application; or</w:t>
      </w:r>
    </w:p>
    <w:p>
      <w:pPr>
        <w:pStyle w:val="Indenta"/>
        <w:rPr>
          <w:snapToGrid w:val="0"/>
        </w:rPr>
      </w:pPr>
      <w:r>
        <w:rPr>
          <w:snapToGrid w:val="0"/>
        </w:rPr>
        <w:tab/>
        <w:t>(b)</w:t>
      </w:r>
      <w:r>
        <w:rPr>
          <w:snapToGrid w:val="0"/>
        </w:rPr>
        <w:tab/>
        <w:t>the attachment of a condition to the approval of an application.</w:t>
      </w:r>
    </w:p>
    <w:p>
      <w:pPr>
        <w:pStyle w:val="Subsection"/>
        <w:keepNext/>
        <w:rPr>
          <w:snapToGrid w:val="0"/>
        </w:rPr>
      </w:pPr>
      <w:r>
        <w:rPr>
          <w:snapToGrid w:val="0"/>
        </w:rPr>
        <w:tab/>
        <w:t>(5)</w:t>
      </w:r>
      <w:r>
        <w:rPr>
          <w:snapToGrid w:val="0"/>
        </w:rPr>
        <w:tab/>
      </w:r>
      <w:r>
        <w:t>A</w:t>
      </w:r>
      <w:r>
        <w:rPr>
          <w:snapToGrid w:val="0"/>
        </w:rPr>
        <w:t xml:space="preserve"> review is to be in accordance with</w:t>
      </w:r>
      <w:r>
        <w:t xml:space="preserve"> Part 14 of the </w:t>
      </w:r>
      <w:r>
        <w:rPr>
          <w:i/>
        </w:rPr>
        <w:t>Planning and Development Act 2005</w:t>
      </w:r>
      <w:r>
        <w:t>, if the review is of</w:t>
      </w:r>
      <w:r>
        <w:rPr>
          <w:snapToGrid w:val="0"/>
        </w:rPr>
        <w:t> —</w:t>
      </w:r>
    </w:p>
    <w:p>
      <w:pPr>
        <w:pStyle w:val="Indenta"/>
        <w:rPr>
          <w:snapToGrid w:val="0"/>
        </w:rPr>
      </w:pPr>
      <w:r>
        <w:rPr>
          <w:snapToGrid w:val="0"/>
        </w:rPr>
        <w:tab/>
        <w:t>(a)</w:t>
      </w:r>
      <w:r>
        <w:rPr>
          <w:snapToGrid w:val="0"/>
        </w:rPr>
        <w:tab/>
        <w:t>a refusal by a local government to approve of an application of the kind referred to in subsection </w:t>
      </w:r>
      <w:r>
        <w:t>(1)(j), (k),</w:t>
      </w:r>
      <w:r>
        <w:rPr>
          <w:snapToGrid w:val="0"/>
        </w:rPr>
        <w:t xml:space="preserve"> (m), (n) and (o); or</w:t>
      </w:r>
    </w:p>
    <w:p>
      <w:pPr>
        <w:pStyle w:val="Indenta"/>
        <w:rPr>
          <w:snapToGrid w:val="0"/>
        </w:rPr>
      </w:pPr>
      <w:r>
        <w:rPr>
          <w:snapToGrid w:val="0"/>
        </w:rPr>
        <w:tab/>
        <w:t>(b)</w:t>
      </w:r>
      <w:r>
        <w:rPr>
          <w:snapToGrid w:val="0"/>
        </w:rPr>
        <w:tab/>
        <w:t>the attachment of a condition to the approval of an application of the kind referred to in subsection (1)(j).</w:t>
      </w:r>
    </w:p>
    <w:p>
      <w:pPr>
        <w:pStyle w:val="Subsection"/>
      </w:pPr>
      <w:r>
        <w:tab/>
        <w:t>(6)</w:t>
      </w:r>
      <w:r>
        <w:tab/>
        <w:t xml:space="preserve">For the purposes of subsections (4) and (5), if </w:t>
      </w:r>
      <w:r>
        <w:rPr>
          <w:snapToGrid w:val="0"/>
        </w:rPr>
        <w:t>a local government fails to notify its approval of an application to the applicant within 40 days of receiving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of the day on which the applicant received notice of the refusal or attachment of a condition or within 30 days of the expiration of the period of 40 days referred to in </w:t>
      </w:r>
      <w:r>
        <w:t>subsection (6), as the case may be.</w:t>
      </w:r>
    </w:p>
    <w:p>
      <w:pPr>
        <w:pStyle w:val="Footnotesection"/>
      </w:pPr>
      <w:r>
        <w:tab/>
        <w:t>[Section 26 amended: No. 84 of 1994 s. 46; No. 58 of 1995 s. 28, 95 and 96; No. 14 of 1996 s. 4; No. 24 of 2002 s. 28(3)</w:t>
      </w:r>
      <w:r>
        <w:noBreakHyphen/>
        <w:t>(9); No. 55 of 2004 s. 1117; No. 38 of 2005 s. 15; No. 24 of 2011 s. 174(10) and (11).]</w:t>
      </w:r>
    </w:p>
    <w:p>
      <w:pPr>
        <w:pStyle w:val="Heading5"/>
        <w:rPr>
          <w:snapToGrid w:val="0"/>
        </w:rPr>
      </w:pPr>
      <w:bookmarkStart w:id="108" w:name="_Toc530554855"/>
      <w:r>
        <w:rPr>
          <w:rStyle w:val="CharSectno"/>
        </w:rPr>
        <w:t>27</w:t>
      </w:r>
      <w:r>
        <w:rPr>
          <w:snapToGrid w:val="0"/>
        </w:rPr>
        <w:t>.</w:t>
      </w:r>
      <w:r>
        <w:rPr>
          <w:snapToGrid w:val="0"/>
        </w:rPr>
        <w:tab/>
        <w:t>Review of Commission decision</w:t>
      </w:r>
      <w:bookmarkEnd w:id="108"/>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the Commission for approval or a certificate of approval, as the case may be —</w:t>
      </w:r>
    </w:p>
    <w:p>
      <w:pPr>
        <w:pStyle w:val="Indenta"/>
        <w:rPr>
          <w:snapToGrid w:val="0"/>
        </w:rPr>
      </w:pPr>
      <w:r>
        <w:rPr>
          <w:snapToGrid w:val="0"/>
        </w:rPr>
        <w:tab/>
        <w:t>(a)</w:t>
      </w:r>
      <w:r>
        <w:rPr>
          <w:snapToGrid w:val="0"/>
        </w:rPr>
        <w:tab/>
        <w:t>under section 25 that the Commission approves the proposed subdivision in a strata plan or a plan of re</w:t>
      </w:r>
      <w:r>
        <w:rPr>
          <w:snapToGrid w:val="0"/>
        </w:rPr>
        <w:noBreakHyphen/>
        <w:t>subdivision for a strata scheme or approves the proposed consolidation in a plan of consolidation for a strata scheme;</w:t>
      </w:r>
    </w:p>
    <w:p>
      <w:pPr>
        <w:pStyle w:val="Indenta"/>
        <w:rPr>
          <w:snapToGrid w:val="0"/>
        </w:rPr>
      </w:pPr>
      <w:r>
        <w:rPr>
          <w:snapToGrid w:val="0"/>
        </w:rPr>
        <w:tab/>
        <w:t>(b)</w:t>
      </w:r>
      <w:r>
        <w:rPr>
          <w:snapToGrid w:val="0"/>
        </w:rPr>
        <w:tab/>
        <w:t>under section 19(10) that the Commission approves a transfer, mortgage or other disposition as referred to in that provision of common property within a strata scheme;</w:t>
      </w:r>
    </w:p>
    <w:p>
      <w:pPr>
        <w:pStyle w:val="Indenta"/>
        <w:rPr>
          <w:snapToGrid w:val="0"/>
        </w:rPr>
      </w:pPr>
      <w:r>
        <w:rPr>
          <w:snapToGrid w:val="0"/>
        </w:rPr>
        <w:tab/>
        <w:t>(c)</w:t>
      </w:r>
      <w:r>
        <w:rPr>
          <w:snapToGrid w:val="0"/>
        </w:rPr>
        <w:tab/>
        <w:t>under section 6(3) that the Commission approves a resolution of a strata company varying or removing a restriction as to use endorsed on a registered strata plan under that provision.</w:t>
      </w:r>
    </w:p>
    <w:p>
      <w:pPr>
        <w:pStyle w:val="Subsection"/>
        <w:rPr>
          <w:snapToGrid w:val="0"/>
        </w:rPr>
      </w:pPr>
      <w:r>
        <w:rPr>
          <w:snapToGrid w:val="0"/>
        </w:rPr>
        <w:tab/>
        <w:t>(2)</w:t>
      </w:r>
      <w:r>
        <w:rPr>
          <w:snapToGrid w:val="0"/>
        </w:rPr>
        <w:tab/>
        <w:t>The Commission shall cause notice of its decision on an application made to it under this Act to be given in writing to the applicant.</w:t>
      </w:r>
    </w:p>
    <w:p>
      <w:pPr>
        <w:pStyle w:val="Subsection"/>
        <w:keepNext/>
        <w:rPr>
          <w:snapToGrid w:val="0"/>
        </w:rPr>
      </w:pPr>
      <w:r>
        <w:rPr>
          <w:snapToGrid w:val="0"/>
        </w:rPr>
        <w:tab/>
        <w:t>(3)</w:t>
      </w:r>
      <w:r>
        <w:rPr>
          <w:snapToGrid w:val="0"/>
        </w:rPr>
        <w:tab/>
        <w:t xml:space="preserve">Subject to this section, an applicant may </w:t>
      </w:r>
      <w:r>
        <w:t xml:space="preserve">apply </w:t>
      </w:r>
      <w:r>
        <w:rPr>
          <w:snapToGrid w:val="0"/>
        </w:rPr>
        <w:t>to the State</w:t>
      </w:r>
      <w:r>
        <w:rPr>
          <w:snapToGrid w:val="0"/>
          <w:spacing w:val="-4"/>
        </w:rPr>
        <w:t xml:space="preserve"> Administrative Tribunal</w:t>
      </w:r>
      <w:r>
        <w:rPr>
          <w:snapToGrid w:val="0"/>
        </w:rPr>
        <w:t xml:space="preserve"> for a review, in accordance with</w:t>
      </w:r>
      <w:r>
        <w:t xml:space="preserve"> Part 14 of the </w:t>
      </w:r>
      <w:r>
        <w:rPr>
          <w:i/>
        </w:rPr>
        <w:t>Planning and Development Act 2005</w:t>
      </w:r>
      <w:r>
        <w:rPr>
          <w:snapToGrid w:val="0"/>
        </w:rPr>
        <w:t>, of —</w:t>
      </w:r>
    </w:p>
    <w:p>
      <w:pPr>
        <w:pStyle w:val="Indenta"/>
        <w:rPr>
          <w:snapToGrid w:val="0"/>
        </w:rPr>
      </w:pPr>
      <w:r>
        <w:rPr>
          <w:snapToGrid w:val="0"/>
        </w:rPr>
        <w:tab/>
        <w:t>(a)</w:t>
      </w:r>
      <w:r>
        <w:rPr>
          <w:snapToGrid w:val="0"/>
        </w:rPr>
        <w:tab/>
        <w:t>a refusal by the Commission to approve of an application of the kind referred to in subsection (1)(a) to (c); or</w:t>
      </w:r>
    </w:p>
    <w:p>
      <w:pPr>
        <w:pStyle w:val="Indenta"/>
        <w:rPr>
          <w:snapToGrid w:val="0"/>
        </w:rPr>
      </w:pPr>
      <w:r>
        <w:rPr>
          <w:snapToGrid w:val="0"/>
        </w:rPr>
        <w:tab/>
        <w:t>(b)</w:t>
      </w:r>
      <w:r>
        <w:rPr>
          <w:snapToGrid w:val="0"/>
        </w:rPr>
        <w:tab/>
        <w:t>the attachment of a condition under section 25(4) to the approval of the Commission.</w:t>
      </w:r>
    </w:p>
    <w:p>
      <w:pPr>
        <w:pStyle w:val="Subsection"/>
        <w:rPr>
          <w:snapToGrid w:val="0"/>
        </w:rPr>
      </w:pPr>
      <w:r>
        <w:tab/>
        <w:t>(4)</w:t>
      </w:r>
      <w:r>
        <w:tab/>
        <w:t xml:space="preserve">For the purposes of subsection (3), if </w:t>
      </w:r>
      <w:r>
        <w:rPr>
          <w:snapToGrid w:val="0"/>
        </w:rPr>
        <w:t>the Commission fails to notify its approval of an application to the applicant within 40 days of receiving the application, it is taken to have refused the application at the end of that period.</w:t>
      </w:r>
    </w:p>
    <w:p>
      <w:pPr>
        <w:pStyle w:val="Ednotesubsection"/>
      </w:pPr>
      <w:r>
        <w:tab/>
        <w:t>[(5)</w:t>
      </w:r>
      <w:r>
        <w:tab/>
        <w:t>deleted]</w:t>
      </w:r>
    </w:p>
    <w:p>
      <w:pPr>
        <w:pStyle w:val="Subsection"/>
        <w:rPr>
          <w:snapToGrid w:val="0"/>
        </w:rPr>
      </w:pPr>
      <w:r>
        <w:rPr>
          <w:snapToGrid w:val="0"/>
        </w:rPr>
        <w:tab/>
        <w:t>(6)</w:t>
      </w:r>
      <w:r>
        <w:rPr>
          <w:snapToGrid w:val="0"/>
        </w:rPr>
        <w:tab/>
        <w:t>An application under this section to the State</w:t>
      </w:r>
      <w:r>
        <w:rPr>
          <w:snapToGrid w:val="0"/>
          <w:spacing w:val="-4"/>
        </w:rPr>
        <w:t xml:space="preserve"> Administrative Tribunal</w:t>
      </w:r>
      <w:r>
        <w:rPr>
          <w:snapToGrid w:val="0"/>
        </w:rPr>
        <w:t xml:space="preserve"> may be made within 30 days of the day on which the applicant received notice of the refusal or attachment of a condition or within 30 days of the expiration of the period of 40 days referred to in </w:t>
      </w:r>
      <w:r>
        <w:t>subsection (4), as the case may be.</w:t>
      </w:r>
    </w:p>
    <w:p>
      <w:pPr>
        <w:pStyle w:val="Footnotesection"/>
      </w:pPr>
      <w:r>
        <w:tab/>
        <w:t>[Section 27 amended: No. 84 of 1994 s. 46; No. 58 of 1995 s. 29; No. 24 of 2002 s. 28(10)</w:t>
      </w:r>
      <w:r>
        <w:noBreakHyphen/>
        <w:t>(15); No. 74 of 2003 s. 112(4); No. 55 of 2004 s. 1118; No. 38 of 2005 s. 15.]</w:t>
      </w:r>
    </w:p>
    <w:p>
      <w:pPr>
        <w:pStyle w:val="Heading2"/>
      </w:pPr>
      <w:bookmarkStart w:id="109" w:name="_Toc525288484"/>
      <w:bookmarkStart w:id="110" w:name="_Toc530554520"/>
      <w:bookmarkStart w:id="111" w:name="_Toc530554856"/>
      <w:r>
        <w:rPr>
          <w:rStyle w:val="CharPartNo"/>
        </w:rPr>
        <w:t>Part III</w:t>
      </w:r>
      <w:r>
        <w:t> — </w:t>
      </w:r>
      <w:r>
        <w:rPr>
          <w:rStyle w:val="CharPartText"/>
        </w:rPr>
        <w:t>Variation, termination and conversion of schemes</w:t>
      </w:r>
      <w:bookmarkEnd w:id="109"/>
      <w:bookmarkEnd w:id="110"/>
      <w:bookmarkEnd w:id="111"/>
    </w:p>
    <w:p>
      <w:pPr>
        <w:pStyle w:val="Footnoteheading"/>
      </w:pPr>
      <w:r>
        <w:tab/>
        <w:t>[Heading amended: No. 61 of 1996 s. 18.]</w:t>
      </w:r>
    </w:p>
    <w:p>
      <w:pPr>
        <w:pStyle w:val="Heading3"/>
        <w:spacing w:before="180"/>
      </w:pPr>
      <w:bookmarkStart w:id="112" w:name="_Toc525288485"/>
      <w:bookmarkStart w:id="113" w:name="_Toc530554521"/>
      <w:bookmarkStart w:id="114" w:name="_Toc530554857"/>
      <w:r>
        <w:rPr>
          <w:rStyle w:val="CharDivNo"/>
        </w:rPr>
        <w:t>Division 1</w:t>
      </w:r>
      <w:r>
        <w:rPr>
          <w:snapToGrid w:val="0"/>
        </w:rPr>
        <w:t> — </w:t>
      </w:r>
      <w:r>
        <w:rPr>
          <w:rStyle w:val="CharDivText"/>
        </w:rPr>
        <w:t>Variation of schemes</w:t>
      </w:r>
      <w:bookmarkEnd w:id="112"/>
      <w:bookmarkEnd w:id="113"/>
      <w:bookmarkEnd w:id="114"/>
    </w:p>
    <w:p>
      <w:pPr>
        <w:pStyle w:val="Footnoteheading"/>
      </w:pPr>
      <w:r>
        <w:tab/>
        <w:t>[Heading inserted: No. 61 of 1996 s. 19.]</w:t>
      </w:r>
    </w:p>
    <w:p>
      <w:pPr>
        <w:pStyle w:val="Heading5"/>
        <w:spacing w:before="160"/>
        <w:rPr>
          <w:snapToGrid w:val="0"/>
        </w:rPr>
      </w:pPr>
      <w:bookmarkStart w:id="115" w:name="_Toc530554858"/>
      <w:r>
        <w:rPr>
          <w:rStyle w:val="CharSectno"/>
        </w:rPr>
        <w:t>28</w:t>
      </w:r>
      <w:r>
        <w:rPr>
          <w:snapToGrid w:val="0"/>
        </w:rPr>
        <w:t>.</w:t>
      </w:r>
      <w:r>
        <w:rPr>
          <w:snapToGrid w:val="0"/>
        </w:rPr>
        <w:tab/>
        <w:t>Variation of strata scheme upon damage or destruction of building</w:t>
      </w:r>
      <w:bookmarkEnd w:id="115"/>
    </w:p>
    <w:p>
      <w:pPr>
        <w:pStyle w:val="Subsection"/>
        <w:rPr>
          <w:snapToGrid w:val="0"/>
        </w:rPr>
      </w:pPr>
      <w:r>
        <w:rPr>
          <w:snapToGrid w:val="0"/>
        </w:rPr>
        <w:tab/>
        <w:t>(1)</w:t>
      </w:r>
      <w:r>
        <w:rPr>
          <w:snapToGrid w:val="0"/>
        </w:rPr>
        <w:tab/>
        <w:t>Where a building shown on a registered strata plan is damaged or destroyed, the District Court may, on an application by the strata company or by a proprietor or a registered mortgagee of a lot within the strata scheme,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An insurer who has effected insurance on the building,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the transfer or conveyance of the interests of the proprietors of lots that have been damaged or destroyed to the other proprietors in proportion to their unit entitlements;</w:t>
      </w:r>
    </w:p>
    <w:p>
      <w:pPr>
        <w:pStyle w:val="Indenta"/>
        <w:rPr>
          <w:snapToGrid w:val="0"/>
        </w:rPr>
      </w:pPr>
      <w:r>
        <w:rPr>
          <w:snapToGrid w:val="0"/>
        </w:rPr>
        <w:tab/>
        <w:t>(c)</w:t>
      </w:r>
      <w:r>
        <w:rPr>
          <w:snapToGrid w:val="0"/>
        </w:rPr>
        <w:tab/>
        <w:t>the substitution for the existing schedule of unit entitlement of a new schedule of unit entitlement;</w:t>
      </w:r>
    </w:p>
    <w:p>
      <w:pPr>
        <w:pStyle w:val="Indenta"/>
        <w:rPr>
          <w:snapToGrid w:val="0"/>
        </w:rPr>
      </w:pPr>
      <w:r>
        <w:rPr>
          <w:snapToGrid w:val="0"/>
        </w:rPr>
        <w:tab/>
        <w:t>(d)</w:t>
      </w:r>
      <w:r>
        <w:rPr>
          <w:snapToGrid w:val="0"/>
        </w:rPr>
        <w:tab/>
        <w:t>the application of insurance moneys received by the strata company in respect of damage to or destruction of the building;</w:t>
      </w:r>
    </w:p>
    <w:p>
      <w:pPr>
        <w:pStyle w:val="Indenta"/>
        <w:rPr>
          <w:snapToGrid w:val="0"/>
        </w:rPr>
      </w:pPr>
      <w:r>
        <w:rPr>
          <w:snapToGrid w:val="0"/>
        </w:rPr>
        <w:tab/>
        <w:t>(e)</w:t>
      </w:r>
      <w:r>
        <w:rPr>
          <w:snapToGrid w:val="0"/>
        </w:rPr>
        <w:tab/>
        <w:t>the payment of moneys to or by the strata company or any one or more of the proprietors;</w:t>
      </w:r>
    </w:p>
    <w:p>
      <w:pPr>
        <w:pStyle w:val="Indenta"/>
        <w:rPr>
          <w:snapToGrid w:val="0"/>
        </w:rPr>
      </w:pPr>
      <w:r>
        <w:rPr>
          <w:snapToGrid w:val="0"/>
        </w:rPr>
        <w:tab/>
        <w:t>(f)</w:t>
      </w:r>
      <w:r>
        <w:rPr>
          <w:snapToGrid w:val="0"/>
        </w:rPr>
        <w:tab/>
        <w:t>the amendment of the registered strata plan, in such manner as the District Court thinks fit, so as to include any addition to the common property;</w:t>
      </w:r>
    </w:p>
    <w:p>
      <w:pPr>
        <w:pStyle w:val="Indenta"/>
        <w:rPr>
          <w:snapToGrid w:val="0"/>
        </w:rPr>
      </w:pPr>
      <w:r>
        <w:rPr>
          <w:snapToGrid w:val="0"/>
        </w:rPr>
        <w:tab/>
        <w:t>(g)</w:t>
      </w:r>
      <w:r>
        <w:rPr>
          <w:snapToGrid w:val="0"/>
        </w:rPr>
        <w:tab/>
        <w:t>the payment to a mortgagee of a lot of money received by the strata company from an insurer of the building;</w:t>
      </w:r>
    </w:p>
    <w:p>
      <w:pPr>
        <w:pStyle w:val="Indenta"/>
        <w:rPr>
          <w:snapToGrid w:val="0"/>
        </w:rPr>
      </w:pPr>
      <w:r>
        <w:rPr>
          <w:snapToGrid w:val="0"/>
        </w:rPr>
        <w:tab/>
        <w:t>(h)</w:t>
      </w:r>
      <w:r>
        <w:rPr>
          <w:snapToGrid w:val="0"/>
        </w:rPr>
        <w:tab/>
        <w:t>any matter in respect of which it is, in the opinion of the District Court, just and equitable in the circumstances of the case to make provision in the order;</w:t>
      </w:r>
    </w:p>
    <w:p>
      <w:pPr>
        <w:pStyle w:val="Indenta"/>
        <w:rPr>
          <w:snapToGrid w:val="0"/>
        </w:rPr>
      </w:pPr>
      <w:r>
        <w:rPr>
          <w:snapToGrid w:val="0"/>
        </w:rPr>
        <w:tab/>
        <w:t>(i)</w:t>
      </w:r>
      <w:r>
        <w:rPr>
          <w:snapToGrid w:val="0"/>
        </w:rPr>
        <w:tab/>
        <w:t>the imposition of such terms and conditions as the District Court thinks fit.</w:t>
      </w:r>
    </w:p>
    <w:p>
      <w:pPr>
        <w:pStyle w:val="Subsection"/>
        <w:rPr>
          <w:snapToGrid w:val="0"/>
        </w:rPr>
      </w:pPr>
      <w:r>
        <w:rPr>
          <w:snapToGrid w:val="0"/>
        </w:rPr>
        <w:tab/>
        <w:t>(4)</w:t>
      </w:r>
      <w:r>
        <w:rPr>
          <w:snapToGrid w:val="0"/>
        </w:rPr>
        <w:tab/>
        <w:t>The District Court may from time to time amend any order made under this section.</w:t>
      </w:r>
    </w:p>
    <w:p>
      <w:pPr>
        <w:pStyle w:val="Subsection"/>
        <w:rPr>
          <w:snapToGrid w:val="0"/>
        </w:rPr>
      </w:pPr>
      <w:r>
        <w:rPr>
          <w:snapToGrid w:val="0"/>
        </w:rPr>
        <w:tab/>
        <w:t>(5)</w:t>
      </w:r>
      <w:r>
        <w:rPr>
          <w:snapToGrid w:val="0"/>
        </w:rPr>
        <w:tab/>
        <w:t>An order made under this section shall take effect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in the case of an order made under this section as applied by section 29, on the day on which the taking referred to in the order takes effect.</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Footnotesection"/>
      </w:pPr>
      <w:r>
        <w:tab/>
        <w:t>[Section 28 amended: No. 58 of 1995 s. 30 and 93(1); No. 74 of 2003 s. 112(5).]</w:t>
      </w:r>
    </w:p>
    <w:p>
      <w:pPr>
        <w:pStyle w:val="Heading5"/>
        <w:rPr>
          <w:snapToGrid w:val="0"/>
        </w:rPr>
      </w:pPr>
      <w:bookmarkStart w:id="116" w:name="_Toc530554859"/>
      <w:r>
        <w:rPr>
          <w:rStyle w:val="CharSectno"/>
        </w:rPr>
        <w:t>29</w:t>
      </w:r>
      <w:r>
        <w:rPr>
          <w:snapToGrid w:val="0"/>
        </w:rPr>
        <w:t>.</w:t>
      </w:r>
      <w:r>
        <w:rPr>
          <w:snapToGrid w:val="0"/>
        </w:rPr>
        <w:tab/>
        <w:t>Variation of strata scheme upon taking</w:t>
      </w:r>
      <w:bookmarkEnd w:id="116"/>
    </w:p>
    <w:p>
      <w:pPr>
        <w:pStyle w:val="Subsection"/>
        <w:rPr>
          <w:snapToGrid w:val="0"/>
        </w:rPr>
      </w:pPr>
      <w:r>
        <w:rPr>
          <w:snapToGrid w:val="0"/>
        </w:rPr>
        <w:tab/>
      </w:r>
      <w:r>
        <w:rPr>
          <w:snapToGrid w:val="0"/>
        </w:rPr>
        <w:tab/>
        <w:t>Subject to any necessary modifications, section 28 shall apply and the District Court shall have jurisdiction accordingly in any case of the taking of part of the land in a parcel in a registered strata plan in the manner and to the extent that that section applies and the District Court has jurisdiction in the case of damage to or destruction of a building.</w:t>
      </w:r>
    </w:p>
    <w:p>
      <w:pPr>
        <w:pStyle w:val="Footnotesection"/>
      </w:pPr>
      <w:r>
        <w:tab/>
        <w:t>[Section 29 amended: No. 58 of 1995 s. 31 and 93(1); No. 74 of 2003 s. 112(5).]</w:t>
      </w:r>
    </w:p>
    <w:p>
      <w:pPr>
        <w:pStyle w:val="Heading5"/>
        <w:rPr>
          <w:snapToGrid w:val="0"/>
        </w:rPr>
      </w:pPr>
      <w:bookmarkStart w:id="117" w:name="_Toc530554860"/>
      <w:r>
        <w:rPr>
          <w:rStyle w:val="CharSectno"/>
        </w:rPr>
        <w:t>29A</w:t>
      </w:r>
      <w:r>
        <w:rPr>
          <w:snapToGrid w:val="0"/>
        </w:rPr>
        <w:t>.</w:t>
      </w:r>
      <w:r>
        <w:rPr>
          <w:snapToGrid w:val="0"/>
        </w:rPr>
        <w:tab/>
        <w:t>Variation of survey</w:t>
      </w:r>
      <w:r>
        <w:rPr>
          <w:snapToGrid w:val="0"/>
        </w:rPr>
        <w:noBreakHyphen/>
        <w:t>strata scheme on resumption</w:t>
      </w:r>
      <w:bookmarkEnd w:id="117"/>
    </w:p>
    <w:p>
      <w:pPr>
        <w:pStyle w:val="Subsection"/>
        <w:rPr>
          <w:snapToGrid w:val="0"/>
        </w:rPr>
      </w:pPr>
      <w:r>
        <w:rPr>
          <w:snapToGrid w:val="0"/>
        </w:rPr>
        <w:tab/>
        <w:t>(1)</w:t>
      </w:r>
      <w:r>
        <w:rPr>
          <w:snapToGrid w:val="0"/>
        </w:rPr>
        <w:tab/>
        <w:t>Where part of the land in a parcel in a survey</w:t>
      </w:r>
      <w:r>
        <w:rPr>
          <w:snapToGrid w:val="0"/>
        </w:rPr>
        <w:noBreakHyphen/>
        <w:t>strata scheme is taken, the District Court may, on an application by the strata company or by a proprietor or a registered mortgagee of a lot within the scheme,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spacing w:before="60"/>
        <w:rPr>
          <w:snapToGrid w:val="0"/>
        </w:rPr>
      </w:pPr>
      <w:r>
        <w:rPr>
          <w:snapToGrid w:val="0"/>
        </w:rPr>
        <w:tab/>
        <w:t>(a)</w:t>
      </w:r>
      <w:r>
        <w:rPr>
          <w:snapToGrid w:val="0"/>
        </w:rPr>
        <w:tab/>
        <w:t>the substitution for the existing schedule of unit entitlement of a new schedule of unit entitlement; and</w:t>
      </w:r>
    </w:p>
    <w:p>
      <w:pPr>
        <w:pStyle w:val="Indenta"/>
        <w:spacing w:before="60"/>
        <w:rPr>
          <w:snapToGrid w:val="0"/>
        </w:rPr>
      </w:pPr>
      <w:r>
        <w:rPr>
          <w:snapToGrid w:val="0"/>
        </w:rPr>
        <w:tab/>
        <w:t>(b)</w:t>
      </w:r>
      <w:r>
        <w:rPr>
          <w:snapToGrid w:val="0"/>
        </w:rPr>
        <w:tab/>
        <w:t>the payment of moneys to or by the strata company or any one or more of the proprietors; and</w:t>
      </w:r>
    </w:p>
    <w:p>
      <w:pPr>
        <w:pStyle w:val="Indenta"/>
        <w:spacing w:before="60"/>
        <w:rPr>
          <w:snapToGrid w:val="0"/>
        </w:rPr>
      </w:pPr>
      <w:r>
        <w:rPr>
          <w:snapToGrid w:val="0"/>
        </w:rPr>
        <w:tab/>
        <w:t>(c)</w:t>
      </w:r>
      <w:r>
        <w:rPr>
          <w:snapToGrid w:val="0"/>
        </w:rPr>
        <w:tab/>
        <w:t>the amendment of the registered survey</w:t>
      </w:r>
      <w:r>
        <w:rPr>
          <w:snapToGrid w:val="0"/>
        </w:rPr>
        <w:noBreakHyphen/>
        <w:t>strata plan, in such manner as the District Court thinks fit, so as to include any addition to the common property; and</w:t>
      </w:r>
    </w:p>
    <w:p>
      <w:pPr>
        <w:pStyle w:val="Indenta"/>
        <w:spacing w:before="60"/>
        <w:rPr>
          <w:snapToGrid w:val="0"/>
        </w:rPr>
      </w:pPr>
      <w:r>
        <w:rPr>
          <w:snapToGrid w:val="0"/>
        </w:rPr>
        <w:tab/>
        <w:t>(d)</w:t>
      </w:r>
      <w:r>
        <w:rPr>
          <w:snapToGrid w:val="0"/>
        </w:rPr>
        <w:tab/>
        <w:t>any matter in respect of which it is, in the opinion of the District Court, just and equitable in the circumstances of the case to make provision in the order; and</w:t>
      </w:r>
    </w:p>
    <w:p>
      <w:pPr>
        <w:pStyle w:val="Indenta"/>
        <w:spacing w:before="60"/>
        <w:rPr>
          <w:snapToGrid w:val="0"/>
        </w:rPr>
      </w:pPr>
      <w:r>
        <w:rPr>
          <w:snapToGrid w:val="0"/>
        </w:rPr>
        <w:tab/>
        <w:t>(e)</w:t>
      </w:r>
      <w:r>
        <w:rPr>
          <w:snapToGrid w:val="0"/>
        </w:rPr>
        <w:tab/>
        <w:t>the imposition of such terms and conditions as the District Court thinks fit.</w:t>
      </w:r>
    </w:p>
    <w:p>
      <w:pPr>
        <w:pStyle w:val="Subsection"/>
        <w:spacing w:before="140"/>
        <w:rPr>
          <w:snapToGrid w:val="0"/>
        </w:rPr>
      </w:pPr>
      <w:r>
        <w:rPr>
          <w:snapToGrid w:val="0"/>
        </w:rPr>
        <w:tab/>
        <w:t>(3)</w:t>
      </w:r>
      <w:r>
        <w:rPr>
          <w:snapToGrid w:val="0"/>
        </w:rPr>
        <w:tab/>
        <w:t>The District Court may from time to time amend any order made under this section.</w:t>
      </w:r>
    </w:p>
    <w:p>
      <w:pPr>
        <w:pStyle w:val="Subsection"/>
        <w:spacing w:before="140"/>
        <w:rPr>
          <w:snapToGrid w:val="0"/>
        </w:rPr>
      </w:pPr>
      <w:r>
        <w:rPr>
          <w:snapToGrid w:val="0"/>
        </w:rPr>
        <w:tab/>
        <w:t>(4)</w:t>
      </w:r>
      <w:r>
        <w:rPr>
          <w:snapToGrid w:val="0"/>
        </w:rPr>
        <w:tab/>
        <w:t>Where the District Court is of the opinion that an order should not be made under this section —</w:t>
      </w:r>
    </w:p>
    <w:p>
      <w:pPr>
        <w:pStyle w:val="Indenta"/>
        <w:spacing w:before="60"/>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keepNext/>
        <w:spacing w:before="60"/>
        <w:rPr>
          <w:snapToGrid w:val="0"/>
        </w:rPr>
      </w:pPr>
      <w:r>
        <w:rPr>
          <w:snapToGrid w:val="0"/>
        </w:rPr>
        <w:tab/>
        <w:t>(b)</w:t>
      </w:r>
      <w:r>
        <w:rPr>
          <w:snapToGrid w:val="0"/>
        </w:rPr>
        <w:tab/>
        <w:t>where it makes such a direction —</w:t>
      </w:r>
    </w:p>
    <w:p>
      <w:pPr>
        <w:pStyle w:val="Indenti"/>
        <w:spacing w:before="60"/>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spacing w:before="60"/>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spacing w:before="140"/>
        <w:rPr>
          <w:snapToGrid w:val="0"/>
        </w:rPr>
      </w:pPr>
      <w:r>
        <w:rPr>
          <w:snapToGrid w:val="0"/>
        </w:rPr>
        <w:tab/>
        <w:t>(5)</w:t>
      </w:r>
      <w:r>
        <w:rPr>
          <w:snapToGrid w:val="0"/>
        </w:rPr>
        <w:tab/>
        <w:t>On any application under this section, the District Court may make such order for the payment of costs as it thinks fit.</w:t>
      </w:r>
    </w:p>
    <w:p>
      <w:pPr>
        <w:pStyle w:val="Footnotesection"/>
        <w:spacing w:before="100"/>
      </w:pPr>
      <w:r>
        <w:tab/>
        <w:t>[Section 29A inserted: No. 58 of 1995 s. 32; amended: No. 74 of 2003 s. 112(6).]</w:t>
      </w:r>
    </w:p>
    <w:p>
      <w:pPr>
        <w:pStyle w:val="Heading5"/>
        <w:rPr>
          <w:snapToGrid w:val="0"/>
        </w:rPr>
      </w:pPr>
      <w:bookmarkStart w:id="118" w:name="_Toc530554861"/>
      <w:r>
        <w:rPr>
          <w:rStyle w:val="CharSectno"/>
        </w:rPr>
        <w:t>29B</w:t>
      </w:r>
      <w:r>
        <w:rPr>
          <w:snapToGrid w:val="0"/>
        </w:rPr>
        <w:t>.</w:t>
      </w:r>
      <w:r>
        <w:rPr>
          <w:snapToGrid w:val="0"/>
        </w:rPr>
        <w:tab/>
        <w:t>Lodgement of documents with Registrar following partial taking in strata scheme</w:t>
      </w:r>
      <w:bookmarkEnd w:id="118"/>
    </w:p>
    <w:p>
      <w:pPr>
        <w:pStyle w:val="Subsection"/>
        <w:spacing w:before="140"/>
        <w:rPr>
          <w:snapToGrid w:val="0"/>
          <w:spacing w:val="-4"/>
        </w:rPr>
      </w:pPr>
      <w:r>
        <w:rPr>
          <w:snapToGrid w:val="0"/>
          <w:spacing w:val="-4"/>
        </w:rPr>
        <w:tab/>
        <w:t>(1)</w:t>
      </w:r>
      <w:r>
        <w:rPr>
          <w:snapToGrid w:val="0"/>
          <w:spacing w:val="-4"/>
        </w:rPr>
        <w:tab/>
        <w:t xml:space="preserve">Where part of the land in a strata plan is </w:t>
      </w:r>
      <w:r>
        <w:rPr>
          <w:snapToGrid w:val="0"/>
        </w:rPr>
        <w:t xml:space="preserve">taken </w:t>
      </w:r>
      <w:r>
        <w:rPr>
          <w:snapToGrid w:val="0"/>
          <w:spacing w:val="-4"/>
        </w:rPr>
        <w:t xml:space="preserve">and the </w:t>
      </w:r>
      <w:r>
        <w:rPr>
          <w:snapToGrid w:val="0"/>
        </w:rPr>
        <w:t xml:space="preserve">taking </w:t>
      </w:r>
      <w:r>
        <w:rPr>
          <w:snapToGrid w:val="0"/>
          <w:spacing w:val="-4"/>
        </w:rPr>
        <w:t xml:space="preserve">includes part but not the whole of any lot in the scheme, the </w:t>
      </w:r>
      <w:r>
        <w:t>acquiring</w:t>
      </w:r>
      <w:r>
        <w:rPr>
          <w:snapToGrid w:val="0"/>
          <w:spacing w:val="-4"/>
        </w:rPr>
        <w:t xml:space="preserve"> authority shall, as soon as is practicable after the </w:t>
      </w:r>
      <w:r>
        <w:rPr>
          <w:snapToGrid w:val="0"/>
        </w:rPr>
        <w:t xml:space="preserve">taking </w:t>
      </w:r>
      <w:r>
        <w:rPr>
          <w:snapToGrid w:val="0"/>
          <w:spacing w:val="-4"/>
        </w:rPr>
        <w:t>takes effect, cause to be prepared and lodged with the Registrar of Titles a plan that complies with subsection (2).</w:t>
      </w:r>
    </w:p>
    <w:p>
      <w:pPr>
        <w:pStyle w:val="Subsection"/>
        <w:rPr>
          <w:snapToGrid w:val="0"/>
        </w:rPr>
      </w:pPr>
      <w:r>
        <w:rPr>
          <w:snapToGrid w:val="0"/>
        </w:rPr>
        <w:tab/>
        <w:t>(2)</w:t>
      </w:r>
      <w:r>
        <w:rPr>
          <w:snapToGrid w:val="0"/>
        </w:rPr>
        <w:tab/>
        <w:t>The plan shall —</w:t>
      </w:r>
    </w:p>
    <w:p>
      <w:pPr>
        <w:pStyle w:val="Indenta"/>
        <w:spacing w:before="120"/>
        <w:rPr>
          <w:snapToGrid w:val="0"/>
        </w:rPr>
      </w:pPr>
      <w:r>
        <w:rPr>
          <w:snapToGrid w:val="0"/>
        </w:rPr>
        <w:tab/>
        <w:t>(a)</w:t>
      </w:r>
      <w:r>
        <w:rPr>
          <w:snapToGrid w:val="0"/>
        </w:rPr>
        <w:tab/>
        <w:t>define the boundaries of the balance of the lot that remains in the scheme after the taking and do so by reference to a floor plan; and</w:t>
      </w:r>
    </w:p>
    <w:p>
      <w:pPr>
        <w:pStyle w:val="Indenta"/>
        <w:spacing w:before="120"/>
        <w:rPr>
          <w:snapToGrid w:val="0"/>
        </w:rPr>
      </w:pPr>
      <w:r>
        <w:rPr>
          <w:snapToGrid w:val="0"/>
        </w:rPr>
        <w:tab/>
        <w:t>(b)</w:t>
      </w:r>
      <w:r>
        <w:rPr>
          <w:snapToGrid w:val="0"/>
        </w:rPr>
        <w:tab/>
        <w:t>comply with such requirements as may be prescribed.</w:t>
      </w:r>
    </w:p>
    <w:p>
      <w:pPr>
        <w:pStyle w:val="Subsection"/>
        <w:rPr>
          <w:snapToGrid w:val="0"/>
        </w:rPr>
      </w:pPr>
      <w:r>
        <w:rPr>
          <w:snapToGrid w:val="0"/>
        </w:rPr>
        <w:tab/>
        <w:t>(3)</w:t>
      </w:r>
      <w:r>
        <w:rPr>
          <w:snapToGrid w:val="0"/>
        </w:rPr>
        <w:tab/>
        <w:t>Upon registration of the plan referred to in subsection (2) —</w:t>
      </w:r>
    </w:p>
    <w:p>
      <w:pPr>
        <w:pStyle w:val="Indenta"/>
        <w:spacing w:before="120"/>
        <w:rPr>
          <w:snapToGrid w:val="0"/>
        </w:rPr>
      </w:pPr>
      <w:r>
        <w:rPr>
          <w:snapToGrid w:val="0"/>
        </w:rPr>
        <w:tab/>
        <w:t>(a)</w:t>
      </w:r>
      <w:r>
        <w:rPr>
          <w:snapToGrid w:val="0"/>
        </w:rPr>
        <w:tab/>
        <w:t>that plan shall be deemed to be part of the strata plan as previously registered; and</w:t>
      </w:r>
    </w:p>
    <w:p>
      <w:pPr>
        <w:pStyle w:val="Indenta"/>
        <w:spacing w:before="120"/>
        <w:rPr>
          <w:snapToGrid w:val="0"/>
        </w:rPr>
      </w:pPr>
      <w:r>
        <w:rPr>
          <w:snapToGrid w:val="0"/>
        </w:rPr>
        <w:tab/>
        <w:t>(b)</w:t>
      </w:r>
      <w:r>
        <w:rPr>
          <w:snapToGrid w:val="0"/>
        </w:rPr>
        <w:tab/>
        <w:t>the Registrar of Titles shall amend that plan in the manner prescribed.</w:t>
      </w:r>
    </w:p>
    <w:p>
      <w:pPr>
        <w:pStyle w:val="Subsection"/>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where the land is taken for the purposes of a local government, the local government.</w:t>
      </w:r>
    </w:p>
    <w:p>
      <w:pPr>
        <w:pStyle w:val="Footnotesection"/>
        <w:spacing w:before="80"/>
        <w:ind w:left="890" w:hanging="890"/>
      </w:pPr>
      <w:r>
        <w:tab/>
        <w:t>[Section 29B inserted: No. 58 of 1995 s. 32; amended: No. 74 of 2003 s. 112(5)</w:t>
      </w:r>
      <w:r>
        <w:noBreakHyphen/>
        <w:t>(8).]</w:t>
      </w:r>
    </w:p>
    <w:p>
      <w:pPr>
        <w:pStyle w:val="Heading3"/>
        <w:keepLines/>
      </w:pPr>
      <w:bookmarkStart w:id="119" w:name="_Toc525288490"/>
      <w:bookmarkStart w:id="120" w:name="_Toc530554526"/>
      <w:bookmarkStart w:id="121" w:name="_Toc530554862"/>
      <w:r>
        <w:rPr>
          <w:rStyle w:val="CharDivNo"/>
        </w:rPr>
        <w:t>Division 2</w:t>
      </w:r>
      <w:r>
        <w:rPr>
          <w:snapToGrid w:val="0"/>
        </w:rPr>
        <w:t> — </w:t>
      </w:r>
      <w:r>
        <w:rPr>
          <w:rStyle w:val="CharDivText"/>
        </w:rPr>
        <w:t>Termination of schemes</w:t>
      </w:r>
      <w:bookmarkEnd w:id="119"/>
      <w:bookmarkEnd w:id="120"/>
      <w:bookmarkEnd w:id="121"/>
    </w:p>
    <w:p>
      <w:pPr>
        <w:pStyle w:val="Footnoteheading"/>
        <w:keepNext/>
      </w:pPr>
      <w:r>
        <w:tab/>
        <w:t>[Heading inserted: No. 61 of 1996 s. 20.]</w:t>
      </w:r>
    </w:p>
    <w:p>
      <w:pPr>
        <w:pStyle w:val="Heading5"/>
        <w:keepLines w:val="0"/>
        <w:rPr>
          <w:snapToGrid w:val="0"/>
        </w:rPr>
      </w:pPr>
      <w:bookmarkStart w:id="122" w:name="_Toc530554863"/>
      <w:r>
        <w:rPr>
          <w:rStyle w:val="CharSectno"/>
        </w:rPr>
        <w:t>29C</w:t>
      </w:r>
      <w:r>
        <w:rPr>
          <w:snapToGrid w:val="0"/>
        </w:rPr>
        <w:t>.</w:t>
      </w:r>
      <w:r>
        <w:rPr>
          <w:snapToGrid w:val="0"/>
        </w:rPr>
        <w:tab/>
        <w:t>Termination of scheme by resumption</w:t>
      </w:r>
      <w:bookmarkEnd w:id="122"/>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scheme for that parcel is terminated on the</w:t>
      </w:r>
      <w:r>
        <w:t xml:space="preserve"> registration of that order.</w:t>
      </w:r>
    </w:p>
    <w:p>
      <w:pPr>
        <w:pStyle w:val="Subsection"/>
      </w:pPr>
      <w:r>
        <w:rPr>
          <w:snapToGrid w:val="0"/>
        </w:rPr>
        <w:tab/>
        <w:t>(2)</w:t>
      </w:r>
      <w:r>
        <w:rPr>
          <w:snapToGrid w:val="0"/>
        </w:rPr>
        <w:tab/>
        <w:t>Where subsection (1) applies the Registrar of Titles shall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29C inserted: No. 58 of 1995 s. 32; amended: No. 74 of 2003 s. 112(9)</w:t>
      </w:r>
      <w:r>
        <w:noBreakHyphen/>
        <w:t>(11).]</w:t>
      </w:r>
    </w:p>
    <w:p>
      <w:pPr>
        <w:pStyle w:val="Heading5"/>
        <w:rPr>
          <w:snapToGrid w:val="0"/>
        </w:rPr>
      </w:pPr>
      <w:bookmarkStart w:id="123" w:name="_Toc530554864"/>
      <w:r>
        <w:rPr>
          <w:rStyle w:val="CharSectno"/>
        </w:rPr>
        <w:t>30</w:t>
      </w:r>
      <w:r>
        <w:rPr>
          <w:snapToGrid w:val="0"/>
        </w:rPr>
        <w:t>.</w:t>
      </w:r>
      <w:r>
        <w:rPr>
          <w:snapToGrid w:val="0"/>
        </w:rPr>
        <w:tab/>
        <w:t>Termination of strata scheme by unanimous resolution</w:t>
      </w:r>
      <w:bookmarkEnd w:id="123"/>
    </w:p>
    <w:p>
      <w:pPr>
        <w:pStyle w:val="Subsection"/>
        <w:rPr>
          <w:snapToGrid w:val="0"/>
        </w:rPr>
      </w:pPr>
      <w:r>
        <w:rPr>
          <w:snapToGrid w:val="0"/>
        </w:rPr>
        <w:tab/>
        <w:t>(1)</w:t>
      </w:r>
      <w:r>
        <w:rPr>
          <w:snapToGrid w:val="0"/>
        </w:rPr>
        <w:tab/>
        <w:t>The proprietors of lots in a strata scheme may resolve by unanimous resolution that the strata scheme be terminated in accordance with this section and upon the passing of such a resolution the strata company shall immediately lodge notice of the resolution with the Registrar of Titles in the prescribed form.</w:t>
      </w:r>
    </w:p>
    <w:p>
      <w:pPr>
        <w:pStyle w:val="Subsection"/>
        <w:rPr>
          <w:snapToGrid w:val="0"/>
        </w:rPr>
      </w:pPr>
      <w:r>
        <w:rPr>
          <w:snapToGrid w:val="0"/>
        </w:rPr>
        <w:tab/>
        <w:t>(2)</w:t>
      </w:r>
      <w:r>
        <w:rPr>
          <w:snapToGrid w:val="0"/>
        </w:rPr>
        <w:tab/>
        <w:t>Upon receipt of the notice referred to in subsection (1), the Registrar of Titles shall make an entry on the relevant registered strata plan in the manner prescribed and thereupon the proprietors of lots in that plan are entitled to the parcel as tenants in common in shares proportional to the unit entitlements of their respective lots.</w:t>
      </w:r>
    </w:p>
    <w:p>
      <w:pPr>
        <w:pStyle w:val="Subsection"/>
        <w:rPr>
          <w:snapToGrid w:val="0"/>
        </w:rPr>
      </w:pPr>
      <w:r>
        <w:rPr>
          <w:snapToGrid w:val="0"/>
        </w:rPr>
        <w:tab/>
        <w:t>(3)</w:t>
      </w:r>
      <w:r>
        <w:rPr>
          <w:snapToGrid w:val="0"/>
        </w:rPr>
        <w:tab/>
        <w:t>Where all the proprietors of lots in a strata scheme desire to transfer the parcel or any part or parts of the parcel, they may by unanimous resolution direct the strata company to transfer the parcel or part or parts thereof, and thereupon —</w:t>
      </w:r>
    </w:p>
    <w:p>
      <w:pPr>
        <w:pStyle w:val="Indenta"/>
        <w:spacing w:before="60"/>
        <w:rPr>
          <w:snapToGrid w:val="0"/>
        </w:rPr>
      </w:pPr>
      <w:r>
        <w:rPr>
          <w:snapToGrid w:val="0"/>
        </w:rPr>
        <w:tab/>
        <w:t>(a)</w:t>
      </w:r>
      <w:r>
        <w:rPr>
          <w:snapToGrid w:val="0"/>
        </w:rPr>
        <w:tab/>
        <w:t>the strata company shall execute the appropriate transfer; and</w:t>
      </w:r>
    </w:p>
    <w:p>
      <w:pPr>
        <w:pStyle w:val="Indenta"/>
        <w:spacing w:before="60"/>
        <w:rPr>
          <w:snapToGrid w:val="0"/>
        </w:rPr>
      </w:pPr>
      <w:r>
        <w:rPr>
          <w:snapToGrid w:val="0"/>
        </w:rPr>
        <w:tab/>
        <w:t>(b)</w:t>
      </w:r>
      <w:r>
        <w:rPr>
          <w:snapToGrid w:val="0"/>
        </w:rPr>
        <w:tab/>
        <w:t>the proprietors of the parcel or part of the parcel transferred are entitled to the proceeds of the sale in shares proportional to the unit entitlements of their respective lots; and</w:t>
      </w:r>
    </w:p>
    <w:p>
      <w:pPr>
        <w:pStyle w:val="Indenta"/>
        <w:rPr>
          <w:snapToGrid w:val="0"/>
        </w:rPr>
      </w:pPr>
      <w:r>
        <w:rPr>
          <w:snapToGrid w:val="0"/>
        </w:rPr>
        <w:tab/>
        <w:t>(c)</w:t>
      </w:r>
      <w:r>
        <w:rPr>
          <w:snapToGrid w:val="0"/>
        </w:rPr>
        <w:tab/>
        <w:t>subsections (5) to (8) of section 19 apply as if the parcel were the common property.</w:t>
      </w:r>
    </w:p>
    <w:p>
      <w:pPr>
        <w:pStyle w:val="Subsection"/>
        <w:rPr>
          <w:snapToGrid w:val="0"/>
        </w:rPr>
      </w:pPr>
      <w:r>
        <w:rPr>
          <w:snapToGrid w:val="0"/>
        </w:rPr>
        <w:tab/>
        <w:t>(4)</w:t>
      </w:r>
      <w:r>
        <w:rPr>
          <w:snapToGrid w:val="0"/>
        </w:rPr>
        <w:tab/>
        <w:t>Upon lodgement for registration of a transfer of a parcel by the strata company pursuant to this section, the Registrar of Titles, before issuing a certificate of title, shall make the entry required by subsection (2).</w:t>
      </w:r>
    </w:p>
    <w:p>
      <w:pPr>
        <w:pStyle w:val="Subsection"/>
        <w:keepNext/>
        <w:rPr>
          <w:snapToGrid w:val="0"/>
        </w:rPr>
      </w:pPr>
      <w:r>
        <w:rPr>
          <w:snapToGrid w:val="0"/>
        </w:rPr>
        <w:tab/>
        <w:t>(5)</w:t>
      </w:r>
      <w:r>
        <w:rPr>
          <w:snapToGrid w:val="0"/>
        </w:rPr>
        <w:tab/>
        <w:t>Where land is transferred by the strata company pursuant to this section —</w:t>
      </w:r>
    </w:p>
    <w:p>
      <w:pPr>
        <w:pStyle w:val="Indenta"/>
        <w:rPr>
          <w:snapToGrid w:val="0"/>
        </w:rPr>
      </w:pPr>
      <w:r>
        <w:rPr>
          <w:snapToGrid w:val="0"/>
        </w:rPr>
        <w:tab/>
        <w:t>(a)</w:t>
      </w:r>
      <w:r>
        <w:rPr>
          <w:snapToGrid w:val="0"/>
        </w:rPr>
        <w:tab/>
        <w:t>the proprietors shall surrender to the Registrar of Titles their duplicate certificates of title (if any) for cancellation; and</w:t>
      </w:r>
    </w:p>
    <w:p>
      <w:pPr>
        <w:pStyle w:val="Indenta"/>
        <w:rPr>
          <w:snapToGrid w:val="0"/>
        </w:rPr>
      </w:pPr>
      <w:r>
        <w:rPr>
          <w:snapToGrid w:val="0"/>
        </w:rPr>
        <w:tab/>
        <w:t>(b)</w:t>
      </w:r>
      <w:r>
        <w:rPr>
          <w:snapToGrid w:val="0"/>
        </w:rPr>
        <w:tab/>
        <w:t>the Registrar of Titles, after cancelling the certificates of title relating to the lots, shall create and register in the transferee’s name a new certificate of title for the land transferred.</w:t>
      </w:r>
    </w:p>
    <w:p>
      <w:pPr>
        <w:pStyle w:val="Footnotesection"/>
      </w:pPr>
      <w:r>
        <w:tab/>
        <w:t>[Section 30 amended: No. 58 of 1995 s. 33; No. 81 of 1996 s. 153(1).]</w:t>
      </w:r>
    </w:p>
    <w:p>
      <w:pPr>
        <w:pStyle w:val="Heading5"/>
        <w:rPr>
          <w:snapToGrid w:val="0"/>
        </w:rPr>
      </w:pPr>
      <w:bookmarkStart w:id="124" w:name="_Toc530554865"/>
      <w:r>
        <w:rPr>
          <w:rStyle w:val="CharSectno"/>
        </w:rPr>
        <w:t>30A</w:t>
      </w:r>
      <w:r>
        <w:rPr>
          <w:snapToGrid w:val="0"/>
        </w:rPr>
        <w:t>.</w:t>
      </w:r>
      <w:r>
        <w:rPr>
          <w:snapToGrid w:val="0"/>
        </w:rPr>
        <w:tab/>
        <w:t>Termination of survey</w:t>
      </w:r>
      <w:r>
        <w:rPr>
          <w:snapToGrid w:val="0"/>
        </w:rPr>
        <w:noBreakHyphen/>
        <w:t>strata scheme by unanimous resolution</w:t>
      </w:r>
      <w:bookmarkEnd w:id="124"/>
    </w:p>
    <w:p>
      <w:pPr>
        <w:pStyle w:val="Subsection"/>
        <w:rPr>
          <w:snapToGrid w:val="0"/>
        </w:rPr>
      </w:pPr>
      <w:r>
        <w:rPr>
          <w:snapToGrid w:val="0"/>
        </w:rPr>
        <w:tab/>
        <w:t>(1)</w:t>
      </w:r>
      <w:r>
        <w:rPr>
          <w:snapToGrid w:val="0"/>
        </w:rPr>
        <w:tab/>
        <w:t>The proprietors of lots in a survey</w:t>
      </w:r>
      <w:r>
        <w:rPr>
          <w:snapToGrid w:val="0"/>
        </w:rPr>
        <w:noBreakHyphen/>
        <w:t>strata scheme may resolve by unanimous resolution that the scheme be terminated in accordance with this section.</w:t>
      </w:r>
    </w:p>
    <w:p>
      <w:pPr>
        <w:pStyle w:val="Subsection"/>
        <w:keepNext/>
        <w:rPr>
          <w:snapToGrid w:val="0"/>
        </w:rPr>
      </w:pPr>
      <w:r>
        <w:rPr>
          <w:snapToGrid w:val="0"/>
        </w:rPr>
        <w:tab/>
        <w:t>(2)</w:t>
      </w:r>
      <w:r>
        <w:rPr>
          <w:snapToGrid w:val="0"/>
        </w:rPr>
        <w:tab/>
        <w:t>Upon the passing of such a resolution the strata company shall immediately lodge —</w:t>
      </w:r>
    </w:p>
    <w:p>
      <w:pPr>
        <w:pStyle w:val="Indenta"/>
        <w:rPr>
          <w:snapToGrid w:val="0"/>
        </w:rPr>
      </w:pPr>
      <w:r>
        <w:rPr>
          <w:snapToGrid w:val="0"/>
        </w:rPr>
        <w:tab/>
        <w:t>(a)</w:t>
      </w:r>
      <w:r>
        <w:rPr>
          <w:snapToGrid w:val="0"/>
        </w:rPr>
        <w:tab/>
        <w:t>notice of the resolution with the Registrar of Titles in the prescribed form; and</w:t>
      </w:r>
    </w:p>
    <w:p>
      <w:pPr>
        <w:pStyle w:val="Indenta"/>
        <w:rPr>
          <w:snapToGrid w:val="0"/>
        </w:rPr>
      </w:pPr>
      <w:r>
        <w:rPr>
          <w:snapToGrid w:val="0"/>
        </w:rPr>
        <w:tab/>
        <w:t>(b)</w:t>
      </w:r>
      <w:r>
        <w:rPr>
          <w:snapToGrid w:val="0"/>
        </w:rPr>
        <w:tab/>
        <w:t>except in a case where the regulations confer an exemption from the requirement of this paragraph, a certificate given by the Commission stating that it consents to the termination of the scheme.</w:t>
      </w:r>
    </w:p>
    <w:p>
      <w:pPr>
        <w:pStyle w:val="Subsection"/>
        <w:rPr>
          <w:snapToGrid w:val="0"/>
        </w:rPr>
      </w:pPr>
      <w:r>
        <w:rPr>
          <w:snapToGrid w:val="0"/>
        </w:rPr>
        <w:tab/>
        <w:t>(3)</w:t>
      </w:r>
      <w:r>
        <w:rPr>
          <w:snapToGrid w:val="0"/>
        </w:rPr>
        <w:tab/>
        <w:t>Upon receipt of the notice referred to in subsection (2), the Registrar of Titles shall make an entry on the relevant registered survey</w:t>
      </w:r>
      <w:r>
        <w:rPr>
          <w:snapToGrid w:val="0"/>
        </w:rPr>
        <w:noBreakHyphen/>
        <w:t>strata plan and, where applicable, on the relevant certificates of title in the manner prescribed.</w:t>
      </w:r>
    </w:p>
    <w:p>
      <w:pPr>
        <w:pStyle w:val="Subsection"/>
        <w:rPr>
          <w:snapToGrid w:val="0"/>
        </w:rPr>
      </w:pPr>
      <w:r>
        <w:rPr>
          <w:snapToGrid w:val="0"/>
        </w:rPr>
        <w:tab/>
        <w:t>(4)</w:t>
      </w:r>
      <w:r>
        <w:rPr>
          <w:snapToGrid w:val="0"/>
        </w:rPr>
        <w:tab/>
        <w:t>Where an entry has been made on the plan under subsection (3), the common property in the survey</w:t>
      </w:r>
      <w:r>
        <w:rPr>
          <w:snapToGrid w:val="0"/>
        </w:rPr>
        <w:noBreakHyphen/>
        <w:t>strata scheme may be transferred by the strata company on the authority of a unanimous resolution of the proprietors of all of the lots in the scheme.</w:t>
      </w:r>
    </w:p>
    <w:p>
      <w:pPr>
        <w:pStyle w:val="Subsection"/>
        <w:rPr>
          <w:snapToGrid w:val="0"/>
        </w:rPr>
      </w:pPr>
      <w:r>
        <w:rPr>
          <w:snapToGrid w:val="0"/>
        </w:rPr>
        <w:tab/>
        <w:t>(5)</w:t>
      </w:r>
      <w:r>
        <w:rPr>
          <w:snapToGrid w:val="0"/>
        </w:rPr>
        <w:tab/>
        <w:t>On the transfer of common property as mentioned in subsection (4) —</w:t>
      </w:r>
    </w:p>
    <w:p>
      <w:pPr>
        <w:pStyle w:val="Indenta"/>
        <w:rPr>
          <w:snapToGrid w:val="0"/>
        </w:rPr>
      </w:pPr>
      <w:r>
        <w:rPr>
          <w:snapToGrid w:val="0"/>
        </w:rPr>
        <w:tab/>
        <w:t>(a)</w:t>
      </w:r>
      <w:r>
        <w:rPr>
          <w:snapToGrid w:val="0"/>
        </w:rPr>
        <w:tab/>
        <w:t>the proprietors are entitled to the proceeds of the sale of the common property in shares proportional to the unit entitlements of their respective lots; and</w:t>
      </w:r>
    </w:p>
    <w:p>
      <w:pPr>
        <w:pStyle w:val="Indenta"/>
        <w:rPr>
          <w:snapToGrid w:val="0"/>
        </w:rPr>
      </w:pPr>
      <w:r>
        <w:rPr>
          <w:snapToGrid w:val="0"/>
        </w:rPr>
        <w:tab/>
        <w:t>(b)</w:t>
      </w:r>
      <w:r>
        <w:rPr>
          <w:snapToGrid w:val="0"/>
        </w:rPr>
        <w:tab/>
        <w:t>subsections (6) and (7) of section 19 apply.</w:t>
      </w:r>
    </w:p>
    <w:p>
      <w:pPr>
        <w:pStyle w:val="Footnotesection"/>
      </w:pPr>
      <w:r>
        <w:tab/>
        <w:t>[Section 30A inserted: No. 58 of 1995 s. 34.]</w:t>
      </w:r>
    </w:p>
    <w:p>
      <w:pPr>
        <w:pStyle w:val="Heading5"/>
        <w:rPr>
          <w:snapToGrid w:val="0"/>
        </w:rPr>
      </w:pPr>
      <w:bookmarkStart w:id="125" w:name="_Toc530554866"/>
      <w:r>
        <w:rPr>
          <w:rStyle w:val="CharSectno"/>
        </w:rPr>
        <w:t>31</w:t>
      </w:r>
      <w:r>
        <w:rPr>
          <w:snapToGrid w:val="0"/>
        </w:rPr>
        <w:t>.</w:t>
      </w:r>
      <w:r>
        <w:rPr>
          <w:snapToGrid w:val="0"/>
        </w:rPr>
        <w:tab/>
        <w:t>Termination of scheme by order of District Court</w:t>
      </w:r>
      <w:bookmarkEnd w:id="125"/>
    </w:p>
    <w:p>
      <w:pPr>
        <w:pStyle w:val="Subsection"/>
        <w:rPr>
          <w:snapToGrid w:val="0"/>
        </w:rPr>
      </w:pPr>
      <w:r>
        <w:rPr>
          <w:snapToGrid w:val="0"/>
        </w:rPr>
        <w:tab/>
        <w:t>(1)</w:t>
      </w:r>
      <w:r>
        <w:rPr>
          <w:snapToGrid w:val="0"/>
        </w:rPr>
        <w:tab/>
        <w:t>The District Court may, on an application by the strata company or by a proprietor or a registered mortgagee of a lot within a scheme, make an order terminating the scheme.</w:t>
      </w:r>
    </w:p>
    <w:p>
      <w:pPr>
        <w:pStyle w:val="Subsection"/>
        <w:rPr>
          <w:snapToGrid w:val="0"/>
        </w:rPr>
      </w:pPr>
      <w:r>
        <w:rPr>
          <w:snapToGrid w:val="0"/>
        </w:rPr>
        <w:tab/>
        <w:t>(2)</w:t>
      </w:r>
      <w:r>
        <w:rPr>
          <w:snapToGrid w:val="0"/>
        </w:rPr>
        <w:tab/>
        <w:t>An insurer who has effected insurance on the building (other than a building on a lot in a survey</w:t>
      </w:r>
      <w:r>
        <w:rPr>
          <w:snapToGrid w:val="0"/>
        </w:rPr>
        <w:noBreakHyphen/>
        <w:t>strata scheme),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An order made under this section shall include directions for or with respect to the following matters —</w:t>
      </w:r>
    </w:p>
    <w:p>
      <w:pPr>
        <w:pStyle w:val="Indenta"/>
        <w:rPr>
          <w:snapToGrid w:val="0"/>
        </w:rPr>
      </w:pPr>
      <w:r>
        <w:rPr>
          <w:snapToGrid w:val="0"/>
        </w:rPr>
        <w:tab/>
        <w:t>(a)</w:t>
      </w:r>
      <w:r>
        <w:rPr>
          <w:snapToGrid w:val="0"/>
        </w:rPr>
        <w:tab/>
        <w:t>the sale or disposition of any property of the strata company; and</w:t>
      </w:r>
    </w:p>
    <w:p>
      <w:pPr>
        <w:pStyle w:val="Indenta"/>
        <w:rPr>
          <w:snapToGrid w:val="0"/>
        </w:rPr>
      </w:pPr>
      <w:r>
        <w:rPr>
          <w:snapToGrid w:val="0"/>
        </w:rPr>
        <w:tab/>
        <w:t>(b)</w:t>
      </w:r>
      <w:r>
        <w:rPr>
          <w:snapToGrid w:val="0"/>
        </w:rPr>
        <w:tab/>
        <w:t>the discharge of the liabilities of the strata company; and</w:t>
      </w:r>
    </w:p>
    <w:p>
      <w:pPr>
        <w:pStyle w:val="Indenta"/>
        <w:rPr>
          <w:snapToGrid w:val="0"/>
        </w:rPr>
      </w:pPr>
      <w:r>
        <w:rPr>
          <w:snapToGrid w:val="0"/>
        </w:rPr>
        <w:tab/>
        <w:t>(c)</w:t>
      </w:r>
      <w:r>
        <w:rPr>
          <w:snapToGrid w:val="0"/>
        </w:rPr>
        <w:tab/>
        <w:t>the persons liable to contribute moneys required for the discharge of the liabilities of the strata company and the proportionate liability of each such person; and</w:t>
      </w:r>
    </w:p>
    <w:p>
      <w:pPr>
        <w:pStyle w:val="Indenta"/>
        <w:rPr>
          <w:snapToGrid w:val="0"/>
        </w:rPr>
      </w:pPr>
      <w:r>
        <w:rPr>
          <w:snapToGrid w:val="0"/>
        </w:rPr>
        <w:tab/>
        <w:t>(d)</w:t>
      </w:r>
      <w:r>
        <w:rPr>
          <w:snapToGrid w:val="0"/>
        </w:rPr>
        <w:tab/>
        <w:t>the distribution of the assets of the strata company and the proportionate entitlement of each person under that distribution; and</w:t>
      </w:r>
    </w:p>
    <w:p>
      <w:pPr>
        <w:pStyle w:val="Indenta"/>
        <w:rPr>
          <w:snapToGrid w:val="0"/>
        </w:rPr>
      </w:pPr>
      <w:r>
        <w:rPr>
          <w:snapToGrid w:val="0"/>
        </w:rPr>
        <w:tab/>
        <w:t>(e)</w:t>
      </w:r>
      <w:r>
        <w:rPr>
          <w:snapToGrid w:val="0"/>
        </w:rPr>
        <w:tab/>
        <w:t>the administration, powers, authorities, duties and functions of the strata company; and</w:t>
      </w:r>
    </w:p>
    <w:p>
      <w:pPr>
        <w:pStyle w:val="Indenta"/>
        <w:rPr>
          <w:snapToGrid w:val="0"/>
        </w:rPr>
      </w:pPr>
      <w:r>
        <w:rPr>
          <w:snapToGrid w:val="0"/>
        </w:rPr>
        <w:tab/>
        <w:t>(f)</w:t>
      </w:r>
      <w:r>
        <w:rPr>
          <w:snapToGrid w:val="0"/>
        </w:rPr>
        <w:tab/>
        <w:t>the voting power at meetings of the strata company of persons referred to in paragraph (c) or (d); and</w:t>
      </w:r>
    </w:p>
    <w:p>
      <w:pPr>
        <w:pStyle w:val="Indenta"/>
        <w:rPr>
          <w:snapToGrid w:val="0"/>
        </w:rPr>
      </w:pPr>
      <w:r>
        <w:rPr>
          <w:snapToGrid w:val="0"/>
        </w:rPr>
        <w:tab/>
        <w:t>(g)</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(h)</w:t>
      </w:r>
      <w:r>
        <w:rPr>
          <w:snapToGrid w:val="0"/>
        </w:rPr>
        <w:tab/>
        <w:t>the winding up of the strata company (including the appointment, powers, authorities, duties and functions of any person to carry out the winding up).</w:t>
      </w:r>
    </w:p>
    <w:p>
      <w:pPr>
        <w:pStyle w:val="Subsection"/>
        <w:rPr>
          <w:snapToGrid w:val="0"/>
        </w:rPr>
      </w:pPr>
      <w:r>
        <w:rPr>
          <w:snapToGrid w:val="0"/>
        </w:rPr>
        <w:tab/>
        <w:t>(4)</w:t>
      </w:r>
      <w:r>
        <w:rPr>
          <w:snapToGrid w:val="0"/>
        </w:rPr>
        <w:tab/>
        <w:t>An order made under this section may include a direction that money received by the strata company from an insurer of the building shall be paid directly to a mortgagee of a lot.</w:t>
      </w:r>
    </w:p>
    <w:p>
      <w:pPr>
        <w:pStyle w:val="Subsection"/>
        <w:rPr>
          <w:snapToGrid w:val="0"/>
        </w:rPr>
      </w:pPr>
      <w:r>
        <w:rPr>
          <w:snapToGrid w:val="0"/>
        </w:rPr>
        <w:tab/>
        <w:t>(5)</w:t>
      </w:r>
      <w:r>
        <w:rPr>
          <w:snapToGrid w:val="0"/>
        </w:rPr>
        <w:tab/>
        <w:t>The District Court may from time to time amend any order made under this section.</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28;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an application made under section 28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28,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Subsection"/>
        <w:rPr>
          <w:snapToGrid w:val="0"/>
        </w:rPr>
      </w:pPr>
      <w:r>
        <w:rPr>
          <w:snapToGrid w:val="0"/>
        </w:rPr>
        <w:tab/>
        <w:t>(8)</w:t>
      </w:r>
      <w:r>
        <w:rPr>
          <w:snapToGrid w:val="0"/>
        </w:rPr>
        <w:tab/>
        <w:t>Upon the making of an order under this section terminating a scheme, the strata company shall immediately lodge a copy of the order with the Registrar of Titles.</w:t>
      </w:r>
    </w:p>
    <w:p>
      <w:pPr>
        <w:pStyle w:val="Subsection"/>
        <w:rPr>
          <w:snapToGrid w:val="0"/>
        </w:rPr>
      </w:pPr>
      <w:r>
        <w:rPr>
          <w:snapToGrid w:val="0"/>
        </w:rPr>
        <w:tab/>
        <w:t>(9)</w:t>
      </w:r>
      <w:r>
        <w:rPr>
          <w:snapToGrid w:val="0"/>
        </w:rPr>
        <w:tab/>
        <w:t>Upon receipt of the copy of the order terminating a scheme, the Registrar of Titles shall make an entry on the relevant registered strata/survey</w:t>
      </w:r>
      <w:r>
        <w:rPr>
          <w:snapToGrid w:val="0"/>
        </w:rPr>
        <w:noBreakHyphen/>
        <w:t>strata plan and, where applicable, on the relevant certificates of title in the manner prescribed.</w:t>
      </w:r>
    </w:p>
    <w:p>
      <w:pPr>
        <w:pStyle w:val="Subsection"/>
        <w:rPr>
          <w:snapToGrid w:val="0"/>
        </w:rPr>
      </w:pPr>
      <w:r>
        <w:rPr>
          <w:snapToGrid w:val="0"/>
        </w:rPr>
        <w:tab/>
        <w:t>(10)</w:t>
      </w:r>
      <w:r>
        <w:rPr>
          <w:snapToGrid w:val="0"/>
        </w:rPr>
        <w:tab/>
        <w:t>On the making of an entry under subsection (9) —</w:t>
      </w:r>
    </w:p>
    <w:p>
      <w:pPr>
        <w:pStyle w:val="Indenta"/>
        <w:rPr>
          <w:snapToGrid w:val="0"/>
        </w:rPr>
      </w:pPr>
      <w:r>
        <w:rPr>
          <w:snapToGrid w:val="0"/>
        </w:rPr>
        <w:tab/>
        <w:t>(a)</w:t>
      </w:r>
      <w:r>
        <w:rPr>
          <w:snapToGrid w:val="0"/>
        </w:rPr>
        <w:tab/>
        <w:t>in the case of a strata scheme, subsections (2) to (5) of section 30 apply; and</w:t>
      </w:r>
    </w:p>
    <w:p>
      <w:pPr>
        <w:pStyle w:val="Indenta"/>
        <w:rPr>
          <w:snapToGrid w:val="0"/>
        </w:rPr>
      </w:pPr>
      <w:r>
        <w:rPr>
          <w:snapToGrid w:val="0"/>
        </w:rPr>
        <w:tab/>
        <w:t>(b)</w:t>
      </w:r>
      <w:r>
        <w:rPr>
          <w:snapToGrid w:val="0"/>
        </w:rPr>
        <w:tab/>
        <w:t>in the case of common property in a survey</w:t>
      </w:r>
      <w:r>
        <w:rPr>
          <w:snapToGrid w:val="0"/>
        </w:rPr>
        <w:noBreakHyphen/>
        <w:t>strata scheme, subsections (4) and (5) of section 30A apply,</w:t>
      </w:r>
    </w:p>
    <w:p>
      <w:pPr>
        <w:pStyle w:val="Subsection"/>
        <w:rPr>
          <w:snapToGrid w:val="0"/>
        </w:rPr>
      </w:pPr>
      <w:r>
        <w:rPr>
          <w:snapToGrid w:val="0"/>
        </w:rPr>
        <w:tab/>
      </w:r>
      <w:r>
        <w:rPr>
          <w:snapToGrid w:val="0"/>
        </w:rPr>
        <w:tab/>
        <w:t>as if the scheme had been terminated by unanimous resolution under section 30(1) or 30A(1) as the case may require.</w:t>
      </w:r>
    </w:p>
    <w:p>
      <w:pPr>
        <w:pStyle w:val="Footnotesection"/>
      </w:pPr>
      <w:r>
        <w:tab/>
        <w:t>[Section 31 amended: No. 58 of 1995 s. 35, 93(1) and 96.]</w:t>
      </w:r>
    </w:p>
    <w:p>
      <w:pPr>
        <w:pStyle w:val="Heading3"/>
        <w:keepLines/>
      </w:pPr>
      <w:bookmarkStart w:id="126" w:name="_Toc525288495"/>
      <w:bookmarkStart w:id="127" w:name="_Toc530554531"/>
      <w:bookmarkStart w:id="128" w:name="_Toc530554867"/>
      <w:r>
        <w:rPr>
          <w:rStyle w:val="CharDivNo"/>
        </w:rPr>
        <w:t>Division 3</w:t>
      </w:r>
      <w:r>
        <w:rPr>
          <w:snapToGrid w:val="0"/>
        </w:rPr>
        <w:t> — </w:t>
      </w:r>
      <w:r>
        <w:rPr>
          <w:rStyle w:val="CharDivText"/>
        </w:rPr>
        <w:t>Conversion of strata schemes to survey</w:t>
      </w:r>
      <w:r>
        <w:rPr>
          <w:rStyle w:val="CharDivText"/>
        </w:rPr>
        <w:noBreakHyphen/>
        <w:t>strata schemes</w:t>
      </w:r>
      <w:bookmarkEnd w:id="126"/>
      <w:bookmarkEnd w:id="127"/>
      <w:bookmarkEnd w:id="128"/>
    </w:p>
    <w:p>
      <w:pPr>
        <w:pStyle w:val="Footnoteheading"/>
      </w:pPr>
      <w:r>
        <w:tab/>
        <w:t>[Heading inserted: No. 61 of 1996 s. 21.]</w:t>
      </w:r>
    </w:p>
    <w:p>
      <w:pPr>
        <w:pStyle w:val="Heading5"/>
        <w:rPr>
          <w:snapToGrid w:val="0"/>
        </w:rPr>
      </w:pPr>
      <w:bookmarkStart w:id="129" w:name="_Toc530554868"/>
      <w:r>
        <w:rPr>
          <w:rStyle w:val="CharSectno"/>
        </w:rPr>
        <w:t>31A</w:t>
      </w:r>
      <w:r>
        <w:rPr>
          <w:snapToGrid w:val="0"/>
        </w:rPr>
        <w:t>.</w:t>
      </w:r>
      <w:r>
        <w:rPr>
          <w:snapToGrid w:val="0"/>
        </w:rPr>
        <w:tab/>
        <w:t>Division only applies to single tier strata schemes registered before 1 January 1998</w:t>
      </w:r>
      <w:bookmarkEnd w:id="129"/>
    </w:p>
    <w:p>
      <w:pPr>
        <w:pStyle w:val="Subsection"/>
        <w:rPr>
          <w:snapToGrid w:val="0"/>
        </w:rPr>
      </w:pPr>
      <w:r>
        <w:rPr>
          <w:snapToGrid w:val="0"/>
        </w:rPr>
        <w:tab/>
      </w:r>
      <w:r>
        <w:rPr>
          <w:snapToGrid w:val="0"/>
        </w:rPr>
        <w:tab/>
        <w:t>This Division —</w:t>
      </w:r>
    </w:p>
    <w:p>
      <w:pPr>
        <w:pStyle w:val="Indenta"/>
        <w:rPr>
          <w:snapToGrid w:val="0"/>
        </w:rPr>
      </w:pPr>
      <w:r>
        <w:rPr>
          <w:snapToGrid w:val="0"/>
        </w:rPr>
        <w:tab/>
        <w:t>(a)</w:t>
      </w:r>
      <w:r>
        <w:rPr>
          <w:snapToGrid w:val="0"/>
        </w:rPr>
        <w:tab/>
        <w:t>applies only to a single tier strata scheme; and</w:t>
      </w:r>
    </w:p>
    <w:p>
      <w:pPr>
        <w:pStyle w:val="Indenta"/>
        <w:rPr>
          <w:snapToGrid w:val="0"/>
        </w:rPr>
      </w:pPr>
      <w:r>
        <w:rPr>
          <w:snapToGrid w:val="0"/>
        </w:rPr>
        <w:tab/>
        <w:t>(b)</w:t>
      </w:r>
      <w:r>
        <w:rPr>
          <w:snapToGrid w:val="0"/>
        </w:rPr>
        <w:tab/>
        <w:t>does not apply to such a scheme the strata plan for which is registered on or after 1 January 1998.</w:t>
      </w:r>
    </w:p>
    <w:p>
      <w:pPr>
        <w:pStyle w:val="Footnotesection"/>
      </w:pPr>
      <w:r>
        <w:tab/>
        <w:t>[Section 31A inserted: No. 61 of 1996 s. 21.]</w:t>
      </w:r>
    </w:p>
    <w:p>
      <w:pPr>
        <w:pStyle w:val="Heading5"/>
        <w:rPr>
          <w:snapToGrid w:val="0"/>
        </w:rPr>
      </w:pPr>
      <w:bookmarkStart w:id="130" w:name="_Toc530554869"/>
      <w:r>
        <w:rPr>
          <w:rStyle w:val="CharSectno"/>
        </w:rPr>
        <w:t>31B</w:t>
      </w:r>
      <w:r>
        <w:rPr>
          <w:snapToGrid w:val="0"/>
        </w:rPr>
        <w:t>.</w:t>
      </w:r>
      <w:r>
        <w:rPr>
          <w:snapToGrid w:val="0"/>
        </w:rPr>
        <w:tab/>
        <w:t>Saving</w:t>
      </w:r>
      <w:bookmarkEnd w:id="130"/>
    </w:p>
    <w:p>
      <w:pPr>
        <w:pStyle w:val="Subsection"/>
        <w:spacing w:before="140"/>
        <w:rPr>
          <w:snapToGrid w:val="0"/>
        </w:rPr>
      </w:pPr>
      <w:r>
        <w:rPr>
          <w:snapToGrid w:val="0"/>
        </w:rPr>
        <w:tab/>
      </w:r>
      <w:r>
        <w:rPr>
          <w:snapToGrid w:val="0"/>
        </w:rPr>
        <w:tab/>
        <w:t>Nothing in this Division prevents or limits the termination of a strata scheme in respect of any land under Division 2 and the subsequent registration of a survey</w:t>
      </w:r>
      <w:r>
        <w:rPr>
          <w:snapToGrid w:val="0"/>
        </w:rPr>
        <w:noBreakHyphen/>
        <w:t>strata plan relating to the land under Part II.</w:t>
      </w:r>
    </w:p>
    <w:p>
      <w:pPr>
        <w:pStyle w:val="Footnotesection"/>
        <w:spacing w:before="100"/>
      </w:pPr>
      <w:r>
        <w:tab/>
        <w:t>[Section 31B inserted: No. 61 of 1996 s. 21.]</w:t>
      </w:r>
    </w:p>
    <w:p>
      <w:pPr>
        <w:pStyle w:val="Heading5"/>
        <w:rPr>
          <w:snapToGrid w:val="0"/>
        </w:rPr>
      </w:pPr>
      <w:bookmarkStart w:id="131" w:name="_Toc530554870"/>
      <w:r>
        <w:rPr>
          <w:rStyle w:val="CharSectno"/>
        </w:rPr>
        <w:t>31C</w:t>
      </w:r>
      <w:r>
        <w:rPr>
          <w:snapToGrid w:val="0"/>
        </w:rPr>
        <w:t>.</w:t>
      </w:r>
      <w:r>
        <w:rPr>
          <w:snapToGrid w:val="0"/>
        </w:rPr>
        <w:tab/>
        <w:t>Resolution by strata company</w:t>
      </w:r>
      <w:bookmarkEnd w:id="131"/>
    </w:p>
    <w:p>
      <w:pPr>
        <w:pStyle w:val="Subsection"/>
        <w:spacing w:before="140"/>
        <w:rPr>
          <w:snapToGrid w:val="0"/>
        </w:rPr>
      </w:pPr>
      <w:r>
        <w:rPr>
          <w:snapToGrid w:val="0"/>
        </w:rPr>
        <w:tab/>
        <w:t>(1)</w:t>
      </w:r>
      <w:r>
        <w:rPr>
          <w:snapToGrid w:val="0"/>
        </w:rPr>
        <w:tab/>
        <w:t>A strata company for a strata scheme may by unanimous resolution in the prescribed form resolve that the scheme be converted to a survey</w:t>
      </w:r>
      <w:r>
        <w:rPr>
          <w:snapToGrid w:val="0"/>
        </w:rPr>
        <w:noBreakHyphen/>
        <w:t>strata scheme.</w:t>
      </w:r>
    </w:p>
    <w:p>
      <w:pPr>
        <w:pStyle w:val="Subsection"/>
        <w:spacing w:before="140"/>
        <w:rPr>
          <w:snapToGrid w:val="0"/>
        </w:rPr>
      </w:pPr>
      <w:r>
        <w:rPr>
          <w:snapToGrid w:val="0"/>
        </w:rPr>
        <w:tab/>
        <w:t>(2)</w:t>
      </w:r>
      <w:r>
        <w:rPr>
          <w:snapToGrid w:val="0"/>
        </w:rPr>
        <w:tab/>
        <w:t>The resolution is to specify any easement that is to be created in terms of section 31G.</w:t>
      </w:r>
    </w:p>
    <w:p>
      <w:pPr>
        <w:pStyle w:val="Subsection"/>
        <w:spacing w:before="140"/>
        <w:rPr>
          <w:snapToGrid w:val="0"/>
        </w:rPr>
      </w:pPr>
      <w:r>
        <w:rPr>
          <w:snapToGrid w:val="0"/>
        </w:rPr>
        <w:tab/>
        <w:t>(3)</w:t>
      </w:r>
      <w:r>
        <w:rPr>
          <w:snapToGrid w:val="0"/>
        </w:rPr>
        <w:tab/>
        <w:t>A resolution cannot be passed under subsection (1) that would, on registration under section 31I of a notice of resolution, increase the number of lots in the scheme.</w:t>
      </w:r>
    </w:p>
    <w:p>
      <w:pPr>
        <w:pStyle w:val="Subsection"/>
        <w:spacing w:before="140"/>
        <w:rPr>
          <w:snapToGrid w:val="0"/>
        </w:rPr>
      </w:pPr>
      <w:r>
        <w:rPr>
          <w:snapToGrid w:val="0"/>
        </w:rPr>
        <w:tab/>
        <w:t>(4)</w:t>
      </w:r>
      <w:r>
        <w:rPr>
          <w:snapToGrid w:val="0"/>
        </w:rPr>
        <w:tab/>
        <w:t>Subsection (3) does not apply if the number of lots is increased solely for the purpose of creating any lot that is to be designated as common property.</w:t>
      </w:r>
    </w:p>
    <w:p>
      <w:pPr>
        <w:pStyle w:val="Footnotesection"/>
        <w:spacing w:before="100"/>
      </w:pPr>
      <w:r>
        <w:tab/>
        <w:t>[Section 31C inserted: No. 61 of 1996 s. 21.]</w:t>
      </w:r>
    </w:p>
    <w:p>
      <w:pPr>
        <w:pStyle w:val="Heading5"/>
        <w:rPr>
          <w:snapToGrid w:val="0"/>
        </w:rPr>
      </w:pPr>
      <w:bookmarkStart w:id="132" w:name="_Toc530554871"/>
      <w:r>
        <w:rPr>
          <w:rStyle w:val="CharSectno"/>
        </w:rPr>
        <w:t>31D</w:t>
      </w:r>
      <w:r>
        <w:rPr>
          <w:snapToGrid w:val="0"/>
        </w:rPr>
        <w:t>.</w:t>
      </w:r>
      <w:r>
        <w:rPr>
          <w:snapToGrid w:val="0"/>
        </w:rPr>
        <w:tab/>
        <w:t>Notice of resolution may be lodged for registration</w:t>
      </w:r>
      <w:bookmarkEnd w:id="132"/>
    </w:p>
    <w:p>
      <w:pPr>
        <w:pStyle w:val="Subsection"/>
        <w:spacing w:before="140"/>
        <w:rPr>
          <w:snapToGrid w:val="0"/>
        </w:rPr>
      </w:pPr>
      <w:r>
        <w:rPr>
          <w:snapToGrid w:val="0"/>
        </w:rPr>
        <w:tab/>
        <w:t>(1)</w:t>
      </w:r>
      <w:r>
        <w:rPr>
          <w:snapToGrid w:val="0"/>
        </w:rPr>
        <w:tab/>
        <w:t>Where a strata company has passed a resolution under section 31C it may, in accordance with the regulations, lodge with the Registrar of Titles a notice of resolution in the prescribed form.</w:t>
      </w:r>
    </w:p>
    <w:p>
      <w:pPr>
        <w:pStyle w:val="Subsection"/>
        <w:spacing w:before="140"/>
        <w:rPr>
          <w:snapToGrid w:val="0"/>
        </w:rPr>
      </w:pPr>
      <w:r>
        <w:rPr>
          <w:snapToGrid w:val="0"/>
        </w:rPr>
        <w:tab/>
        <w:t>(2)</w:t>
      </w:r>
      <w:r>
        <w:rPr>
          <w:snapToGrid w:val="0"/>
        </w:rPr>
        <w:tab/>
        <w:t>The notice may be lodged in any case by the strata company or alternatively, in the case of a strata scheme in which there are not more than 5 lots, by all of the proprietors of lots in the scheme.</w:t>
      </w:r>
    </w:p>
    <w:p>
      <w:pPr>
        <w:pStyle w:val="Subsection"/>
        <w:spacing w:before="14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it is lodged by the proprietors, is to be signed by each proprietor.</w:t>
      </w:r>
    </w:p>
    <w:p>
      <w:pPr>
        <w:pStyle w:val="Footnotesection"/>
        <w:keepLines w:val="0"/>
      </w:pPr>
      <w:r>
        <w:tab/>
        <w:t>[Section 31D inserted: No. 61 of 1996 s. 21.]</w:t>
      </w:r>
    </w:p>
    <w:p>
      <w:pPr>
        <w:pStyle w:val="Heading5"/>
        <w:rPr>
          <w:snapToGrid w:val="0"/>
        </w:rPr>
      </w:pPr>
      <w:bookmarkStart w:id="133" w:name="_Toc530554872"/>
      <w:r>
        <w:rPr>
          <w:rStyle w:val="CharSectno"/>
        </w:rPr>
        <w:t>31E</w:t>
      </w:r>
      <w:r>
        <w:rPr>
          <w:snapToGrid w:val="0"/>
        </w:rPr>
        <w:t>.</w:t>
      </w:r>
      <w:r>
        <w:rPr>
          <w:snapToGrid w:val="0"/>
        </w:rPr>
        <w:tab/>
        <w:t>Documents to accompany notice</w:t>
      </w:r>
      <w:bookmarkEnd w:id="133"/>
    </w:p>
    <w:p>
      <w:pPr>
        <w:pStyle w:val="Subsection"/>
        <w:rPr>
          <w:snapToGrid w:val="0"/>
        </w:rPr>
      </w:pPr>
      <w:r>
        <w:rPr>
          <w:snapToGrid w:val="0"/>
        </w:rPr>
        <w:tab/>
        <w:t>(1)</w:t>
      </w:r>
      <w:r>
        <w:rPr>
          <w:snapToGrid w:val="0"/>
        </w:rPr>
        <w:tab/>
        <w:t>The notice of resolution is to be accompanied by —</w:t>
      </w:r>
    </w:p>
    <w:p>
      <w:pPr>
        <w:pStyle w:val="Indenta"/>
        <w:rPr>
          <w:snapToGrid w:val="0"/>
        </w:rPr>
      </w:pPr>
      <w:r>
        <w:rPr>
          <w:snapToGrid w:val="0"/>
        </w:rPr>
        <w:tab/>
        <w:t>(a)</w:t>
      </w:r>
      <w:r>
        <w:rPr>
          <w:snapToGrid w:val="0"/>
        </w:rPr>
        <w:tab/>
        <w:t>a survey</w:t>
      </w:r>
      <w:r>
        <w:rPr>
          <w:snapToGrid w:val="0"/>
        </w:rPr>
        <w:noBreakHyphen/>
        <w:t>strata plan in respect of the parcel —</w:t>
      </w:r>
    </w:p>
    <w:p>
      <w:pPr>
        <w:pStyle w:val="Indenti"/>
        <w:rPr>
          <w:snapToGrid w:val="0"/>
        </w:rPr>
      </w:pPr>
      <w:r>
        <w:rPr>
          <w:snapToGrid w:val="0"/>
        </w:rPr>
        <w:tab/>
        <w:t>(i)</w:t>
      </w:r>
      <w:r>
        <w:rPr>
          <w:snapToGrid w:val="0"/>
        </w:rPr>
        <w:tab/>
        <w:t>showing in the prescribed manner —</w:t>
      </w:r>
    </w:p>
    <w:p>
      <w:pPr>
        <w:pStyle w:val="IndentI0"/>
        <w:rPr>
          <w:snapToGrid w:val="0"/>
        </w:rPr>
      </w:pPr>
      <w:r>
        <w:rPr>
          <w:snapToGrid w:val="0"/>
        </w:rPr>
        <w:tab/>
        <w:t>(I)</w:t>
      </w:r>
      <w:r>
        <w:rPr>
          <w:snapToGrid w:val="0"/>
        </w:rPr>
        <w:tab/>
        <w:t>the boundaries of the lots and common property; and</w:t>
      </w:r>
    </w:p>
    <w:p>
      <w:pPr>
        <w:pStyle w:val="IndentI0"/>
        <w:rPr>
          <w:snapToGrid w:val="0"/>
        </w:rPr>
      </w:pPr>
      <w:r>
        <w:rPr>
          <w:snapToGrid w:val="0"/>
        </w:rPr>
        <w:tab/>
        <w:t>(II)</w:t>
      </w:r>
      <w:r>
        <w:rPr>
          <w:snapToGrid w:val="0"/>
        </w:rPr>
        <w:tab/>
        <w:t>the location of any easement that is to be created under section 5D as read with section 31G,</w:t>
      </w:r>
    </w:p>
    <w:p>
      <w:pPr>
        <w:pStyle w:val="Indenti"/>
        <w:rPr>
          <w:snapToGrid w:val="0"/>
        </w:rPr>
      </w:pPr>
      <w:r>
        <w:rPr>
          <w:snapToGrid w:val="0"/>
        </w:rPr>
        <w:tab/>
      </w:r>
      <w:r>
        <w:rPr>
          <w:snapToGrid w:val="0"/>
        </w:rPr>
        <w:tab/>
        <w:t>by dimensions and survey information obtained from a survey of the parcel; and</w:t>
      </w:r>
    </w:p>
    <w:p>
      <w:pPr>
        <w:pStyle w:val="Indenti"/>
        <w:rPr>
          <w:snapToGrid w:val="0"/>
        </w:rPr>
      </w:pPr>
      <w:r>
        <w:rPr>
          <w:snapToGrid w:val="0"/>
        </w:rPr>
        <w:tab/>
        <w:t>(ii)</w:t>
      </w:r>
      <w:r>
        <w:rPr>
          <w:snapToGrid w:val="0"/>
        </w:rPr>
        <w:tab/>
        <w:t>bearing a statement containing such particulars as may be necessary to identify the title to the parcel; and</w:t>
      </w:r>
    </w:p>
    <w:p>
      <w:pPr>
        <w:pStyle w:val="Indenti"/>
        <w:rPr>
          <w:snapToGrid w:val="0"/>
        </w:rPr>
      </w:pPr>
      <w:r>
        <w:rPr>
          <w:snapToGrid w:val="0"/>
        </w:rPr>
        <w:tab/>
        <w:t>(iii)</w:t>
      </w:r>
      <w:r>
        <w:rPr>
          <w:snapToGrid w:val="0"/>
        </w:rPr>
        <w:tab/>
        <w:t>showing the area of each lot and of any common property; and</w:t>
      </w:r>
    </w:p>
    <w:p>
      <w:pPr>
        <w:pStyle w:val="Indenti"/>
        <w:keepNext/>
        <w:rPr>
          <w:snapToGrid w:val="0"/>
        </w:rPr>
      </w:pPr>
      <w:r>
        <w:rPr>
          <w:snapToGrid w:val="0"/>
        </w:rPr>
        <w:tab/>
        <w:t>(iv)</w:t>
      </w:r>
      <w:r>
        <w:rPr>
          <w:snapToGrid w:val="0"/>
        </w:rPr>
        <w:tab/>
        <w:t>having endorsed on it —</w:t>
      </w:r>
    </w:p>
    <w:p>
      <w:pPr>
        <w:pStyle w:val="IndentI0"/>
        <w:rPr>
          <w:snapToGrid w:val="0"/>
        </w:rPr>
      </w:pPr>
      <w:r>
        <w:rPr>
          <w:snapToGrid w:val="0"/>
        </w:rPr>
        <w:tab/>
        <w:t>(I)</w:t>
      </w:r>
      <w:r>
        <w:rPr>
          <w:snapToGrid w:val="0"/>
        </w:rPr>
        <w:tab/>
        <w:t>the name of the scheme; and</w:t>
      </w:r>
    </w:p>
    <w:p>
      <w:pPr>
        <w:pStyle w:val="IndentI0"/>
        <w:rPr>
          <w:snapToGrid w:val="0"/>
        </w:rPr>
      </w:pPr>
      <w:r>
        <w:rPr>
          <w:snapToGrid w:val="0"/>
        </w:rPr>
        <w:tab/>
        <w:t>(II)</w:t>
      </w:r>
      <w:r>
        <w:rPr>
          <w:snapToGrid w:val="0"/>
        </w:rPr>
        <w:tab/>
        <w:t>the address of the parcel;</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containing such other features as may be prescribed for the purposes of section 5A(g);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certificate given by a licensed surveyor in accordance with section 31F; and</w:t>
      </w:r>
    </w:p>
    <w:p>
      <w:pPr>
        <w:pStyle w:val="Indenta"/>
        <w:spacing w:before="60"/>
        <w:rPr>
          <w:snapToGrid w:val="0"/>
        </w:rPr>
      </w:pPr>
      <w:r>
        <w:rPr>
          <w:snapToGrid w:val="0"/>
        </w:rPr>
        <w:tab/>
        <w:t>(c)</w:t>
      </w:r>
      <w:r>
        <w:rPr>
          <w:snapToGrid w:val="0"/>
        </w:rPr>
        <w:tab/>
        <w:t>a schedule specifying, in a whole number —</w:t>
      </w:r>
    </w:p>
    <w:p>
      <w:pPr>
        <w:pStyle w:val="Indenti"/>
        <w:rPr>
          <w:snapToGrid w:val="0"/>
        </w:rPr>
      </w:pPr>
      <w:r>
        <w:rPr>
          <w:snapToGrid w:val="0"/>
        </w:rPr>
        <w:tab/>
        <w:t>(i)</w:t>
      </w:r>
      <w:r>
        <w:rPr>
          <w:snapToGrid w:val="0"/>
        </w:rPr>
        <w:tab/>
        <w:t>the proposed unit entitlement in respect of each lot; and</w:t>
      </w:r>
    </w:p>
    <w:p>
      <w:pPr>
        <w:pStyle w:val="Indenti"/>
        <w:rPr>
          <w:snapToGrid w:val="0"/>
        </w:rPr>
      </w:pPr>
      <w:r>
        <w:rPr>
          <w:snapToGrid w:val="0"/>
        </w:rPr>
        <w:tab/>
        <w:t>(ii)</w:t>
      </w:r>
      <w:r>
        <w:rPr>
          <w:snapToGrid w:val="0"/>
        </w:rPr>
        <w:tab/>
        <w:t>the aggregate unit entitlement;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in the prescribed form, given by a licensed valuer in accordance with section 14(2); and</w:t>
      </w:r>
    </w:p>
    <w:p>
      <w:pPr>
        <w:pStyle w:val="Indenta"/>
        <w:rPr>
          <w:snapToGrid w:val="0"/>
        </w:rPr>
      </w:pPr>
      <w:r>
        <w:rPr>
          <w:snapToGrid w:val="0"/>
        </w:rPr>
        <w:tab/>
        <w:t>(e)</w:t>
      </w:r>
      <w:r>
        <w:rPr>
          <w:snapToGrid w:val="0"/>
        </w:rPr>
        <w:tab/>
        <w:t>a certificate given by every person, other than a proprietor,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a lot certifying his consent to the proposed schedule of unit entitlement.</w:t>
      </w:r>
    </w:p>
    <w:p>
      <w:pPr>
        <w:pStyle w:val="Subsection"/>
        <w:rPr>
          <w:snapToGrid w:val="0"/>
        </w:rPr>
      </w:pPr>
      <w:r>
        <w:rPr>
          <w:snapToGrid w:val="0"/>
        </w:rPr>
        <w:tab/>
        <w:t>(2)</w:t>
      </w:r>
      <w:r>
        <w:rPr>
          <w:snapToGrid w:val="0"/>
        </w:rPr>
        <w:tab/>
        <w:t>If the duplicate certificate of title issued for a lot is produced by a registered mortgagee of the lot for the registration of a notice of resolution under section 31I, a certificate of that mortgagee is not required for the purposes of subsection (1)(e).</w:t>
      </w:r>
    </w:p>
    <w:p>
      <w:pPr>
        <w:pStyle w:val="Footnotesection"/>
        <w:spacing w:before="80"/>
        <w:ind w:left="890" w:hanging="890"/>
      </w:pPr>
      <w:r>
        <w:tab/>
        <w:t>[Section 31E inserted: No. 61 of 1996 s. 21.]</w:t>
      </w:r>
    </w:p>
    <w:p>
      <w:pPr>
        <w:pStyle w:val="Heading5"/>
        <w:keepNext w:val="0"/>
        <w:keepLines w:val="0"/>
        <w:rPr>
          <w:snapToGrid w:val="0"/>
        </w:rPr>
      </w:pPr>
      <w:bookmarkStart w:id="134" w:name="_Toc530554873"/>
      <w:r>
        <w:rPr>
          <w:rStyle w:val="CharSectno"/>
        </w:rPr>
        <w:t>31F</w:t>
      </w:r>
      <w:r>
        <w:rPr>
          <w:snapToGrid w:val="0"/>
        </w:rPr>
        <w:t>.</w:t>
      </w:r>
      <w:r>
        <w:rPr>
          <w:snapToGrid w:val="0"/>
        </w:rPr>
        <w:tab/>
        <w:t>Certificate of licensed surveyor</w:t>
      </w:r>
      <w:bookmarkEnd w:id="134"/>
    </w:p>
    <w:p>
      <w:pPr>
        <w:pStyle w:val="Subsection"/>
        <w:rPr>
          <w:snapToGrid w:val="0"/>
        </w:rPr>
      </w:pPr>
      <w:r>
        <w:rPr>
          <w:snapToGrid w:val="0"/>
        </w:rPr>
        <w:tab/>
        <w:t>(1)</w:t>
      </w:r>
      <w:r>
        <w:rPr>
          <w:snapToGrid w:val="0"/>
        </w:rPr>
        <w:tab/>
        <w:t>The certificate of a licensed surveyor referred to in section 31E(1)(b)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keepNext/>
        <w:rPr>
          <w:snapToGrid w:val="0"/>
        </w:rPr>
      </w:pPr>
      <w:r>
        <w:rPr>
          <w:snapToGrid w:val="0"/>
        </w:rPr>
        <w:tab/>
        <w:t>(2)</w:t>
      </w:r>
      <w:r>
        <w:rPr>
          <w:snapToGrid w:val="0"/>
        </w:rPr>
        <w:tab/>
        <w:t>The surveyor is to certify —</w:t>
      </w:r>
    </w:p>
    <w:p>
      <w:pPr>
        <w:pStyle w:val="Indenta"/>
        <w:rPr>
          <w:snapToGrid w:val="0"/>
        </w:rPr>
      </w:pPr>
      <w:r>
        <w:rPr>
          <w:snapToGrid w:val="0"/>
        </w:rPr>
        <w:tab/>
        <w:t>(a)</w:t>
      </w:r>
      <w:r>
        <w:rPr>
          <w:snapToGrid w:val="0"/>
        </w:rPr>
        <w:tab/>
        <w:t>as to each of the matters required to be certified in a certificate under section 22(2); and</w:t>
      </w:r>
    </w:p>
    <w:p>
      <w:pPr>
        <w:pStyle w:val="Indenta"/>
        <w:rPr>
          <w:snapToGrid w:val="0"/>
        </w:rPr>
      </w:pPr>
      <w:r>
        <w:rPr>
          <w:snapToGrid w:val="0"/>
        </w:rPr>
        <w:tab/>
        <w:t>(b)</w:t>
      </w:r>
      <w:r>
        <w:rPr>
          <w:snapToGrid w:val="0"/>
        </w:rPr>
        <w:tab/>
        <w:t>that there are not more lots on the survey</w:t>
      </w:r>
      <w:r>
        <w:rPr>
          <w:snapToGrid w:val="0"/>
        </w:rPr>
        <w:noBreakHyphen/>
      </w:r>
      <w:r>
        <w:rPr>
          <w:snapToGrid w:val="0"/>
        </w:rPr>
        <w:softHyphen/>
        <w:t>strata plan, disregarding any lot designated as a common property lot, than there are on the existing strata plan; and</w:t>
      </w:r>
    </w:p>
    <w:p>
      <w:pPr>
        <w:pStyle w:val="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Indenta"/>
        <w:rPr>
          <w:snapToGrid w:val="0"/>
        </w:rPr>
      </w:pPr>
      <w:r>
        <w:rPr>
          <w:snapToGrid w:val="0"/>
        </w:rPr>
        <w:tab/>
        <w:t>(d)</w:t>
      </w:r>
      <w:r>
        <w:rPr>
          <w:snapToGrid w:val="0"/>
        </w:rPr>
        <w:tab/>
        <w:t>that where 2 lots have a common or party wall, the centre plane of that wall is on the boundary of the lots; and</w:t>
      </w:r>
    </w:p>
    <w:p>
      <w:pPr>
        <w:pStyle w:val="Indenta"/>
        <w:rPr>
          <w:snapToGrid w:val="0"/>
        </w:rPr>
      </w:pPr>
      <w:r>
        <w:rPr>
          <w:snapToGrid w:val="0"/>
        </w:rPr>
        <w:tab/>
        <w:t>(e)</w:t>
      </w:r>
      <w:r>
        <w:rPr>
          <w:snapToGrid w:val="0"/>
        </w:rPr>
        <w:tab/>
        <w:t>in accordance with subsection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i"/>
        <w:rPr>
          <w:snapToGrid w:val="0"/>
        </w:rPr>
      </w:pPr>
      <w:r>
        <w:rPr>
          <w:snapToGrid w:val="0"/>
        </w:rPr>
        <w:tab/>
        <w:t>(i)</w:t>
      </w:r>
      <w:r>
        <w:rPr>
          <w:snapToGrid w:val="0"/>
        </w:rPr>
        <w:tab/>
        <w:t>are provided for in accordance with that scheme at the time when the certificate is given; or</w:t>
      </w:r>
    </w:p>
    <w:p>
      <w:pPr>
        <w:pStyle w:val="Indenti"/>
        <w:rPr>
          <w:snapToGrid w:val="0"/>
        </w:rPr>
      </w:pPr>
      <w:r>
        <w:rPr>
          <w:snapToGrid w:val="0"/>
        </w:rPr>
        <w:tab/>
        <w:t>(ii)</w:t>
      </w:r>
      <w:r>
        <w:rPr>
          <w:snapToGrid w:val="0"/>
        </w:rPr>
        <w:tab/>
        <w:t>will be provided for when the notice of resolution and the documents referred to in section 31H are registered.</w:t>
      </w:r>
    </w:p>
    <w:p>
      <w:pPr>
        <w:pStyle w:val="Subsection"/>
        <w:rPr>
          <w:snapToGrid w:val="0"/>
        </w:rPr>
      </w:pPr>
      <w:r>
        <w:rPr>
          <w:snapToGrid w:val="0"/>
        </w:rPr>
        <w:tab/>
        <w:t>(3)</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(2)(e);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(4)</w:t>
      </w:r>
      <w:r>
        <w:rPr>
          <w:snapToGrid w:val="0"/>
        </w:rPr>
        <w:tab/>
        <w:t xml:space="preserve">A certification under subsection (2)(e) is to relate to matters prescribed for the purposes of subsection (3)(a) and not to other matters arising under the relevant local planning scheme </w:t>
      </w:r>
      <w:r>
        <w:t>or improvement scheme.</w:t>
      </w:r>
    </w:p>
    <w:p>
      <w:pPr>
        <w:pStyle w:val="Footnotesection"/>
      </w:pPr>
      <w:r>
        <w:tab/>
        <w:t>[Section 31F inserted: No. 61 of 1996 s. 21; amended: No. 38 of 2005 s. 15; No. 28 of 2010 s. 37(5) and (6).]</w:t>
      </w:r>
    </w:p>
    <w:p>
      <w:pPr>
        <w:pStyle w:val="Heading5"/>
        <w:rPr>
          <w:snapToGrid w:val="0"/>
        </w:rPr>
      </w:pPr>
      <w:bookmarkStart w:id="135" w:name="_Toc530554874"/>
      <w:r>
        <w:rPr>
          <w:rStyle w:val="CharSectno"/>
        </w:rPr>
        <w:t>31G</w:t>
      </w:r>
      <w:r>
        <w:rPr>
          <w:snapToGrid w:val="0"/>
        </w:rPr>
        <w:t>.</w:t>
      </w:r>
      <w:r>
        <w:rPr>
          <w:snapToGrid w:val="0"/>
        </w:rPr>
        <w:tab/>
        <w:t>Creation of easements</w:t>
      </w:r>
      <w:bookmarkEnd w:id="135"/>
    </w:p>
    <w:p>
      <w:pPr>
        <w:pStyle w:val="Subsection"/>
        <w:rPr>
          <w:snapToGrid w:val="0"/>
        </w:rPr>
      </w:pPr>
      <w:r>
        <w:rPr>
          <w:snapToGrid w:val="0"/>
        </w:rPr>
        <w:tab/>
        <w:t>(1)</w:t>
      </w:r>
      <w:r>
        <w:rPr>
          <w:snapToGrid w:val="0"/>
        </w:rPr>
        <w:tab/>
        <w:t>The plan referred to in section 31E(1)(a) may provide for easements to be created under section 5D, and any easement so provided for is created on the registration of the notice of resolution.</w:t>
      </w:r>
    </w:p>
    <w:p>
      <w:pPr>
        <w:pStyle w:val="Subsection"/>
        <w:rPr>
          <w:snapToGrid w:val="0"/>
        </w:rPr>
      </w:pPr>
      <w:r>
        <w:rPr>
          <w:snapToGrid w:val="0"/>
        </w:rPr>
        <w:tab/>
        <w:t>(2)</w:t>
      </w:r>
      <w:r>
        <w:rPr>
          <w:snapToGrid w:val="0"/>
        </w:rPr>
        <w:tab/>
        <w:t>Section 5F also applies to the discharge or variation of an easement that is created under subsection (1).</w:t>
      </w:r>
    </w:p>
    <w:p>
      <w:pPr>
        <w:pStyle w:val="Footnotesection"/>
      </w:pPr>
      <w:r>
        <w:tab/>
        <w:t>[Section 31G inserted: No. 61 of 1996 s. 21.]</w:t>
      </w:r>
    </w:p>
    <w:p>
      <w:pPr>
        <w:pStyle w:val="Heading5"/>
        <w:rPr>
          <w:snapToGrid w:val="0"/>
        </w:rPr>
      </w:pPr>
      <w:bookmarkStart w:id="136" w:name="_Toc530554875"/>
      <w:r>
        <w:rPr>
          <w:rStyle w:val="CharSectno"/>
        </w:rPr>
        <w:t>31H</w:t>
      </w:r>
      <w:r>
        <w:rPr>
          <w:snapToGrid w:val="0"/>
        </w:rPr>
        <w:t>.</w:t>
      </w:r>
      <w:r>
        <w:rPr>
          <w:snapToGrid w:val="0"/>
        </w:rPr>
        <w:tab/>
        <w:t>Transfers etc. to give effect to resolution</w:t>
      </w:r>
      <w:bookmarkEnd w:id="136"/>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31E(1)(e)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31H inserted: No. 61 of 1996 s. 21; amended: No. 12 of 2008 Sch. 1 cl. 36(2).]</w:t>
      </w:r>
    </w:p>
    <w:p>
      <w:pPr>
        <w:pStyle w:val="Heading5"/>
        <w:rPr>
          <w:snapToGrid w:val="0"/>
        </w:rPr>
      </w:pPr>
      <w:bookmarkStart w:id="137" w:name="_Toc530554876"/>
      <w:r>
        <w:rPr>
          <w:rStyle w:val="CharSectno"/>
        </w:rPr>
        <w:t>31I</w:t>
      </w:r>
      <w:r>
        <w:rPr>
          <w:snapToGrid w:val="0"/>
        </w:rPr>
        <w:t>.</w:t>
      </w:r>
      <w:r>
        <w:rPr>
          <w:snapToGrid w:val="0"/>
        </w:rPr>
        <w:tab/>
        <w:t>Registration of notice of resolution</w:t>
      </w:r>
      <w:bookmarkEnd w:id="137"/>
    </w:p>
    <w:p>
      <w:pPr>
        <w:pStyle w:val="Subsection"/>
        <w:spacing w:before="120"/>
        <w:rPr>
          <w:snapToGrid w:val="0"/>
        </w:rPr>
      </w:pPr>
      <w:r>
        <w:rPr>
          <w:snapToGrid w:val="0"/>
        </w:rPr>
        <w:tab/>
      </w:r>
      <w:r>
        <w:rPr>
          <w:snapToGrid w:val="0"/>
        </w:rPr>
        <w:tab/>
        <w:t>The Registrar of Titles is to register a notice of resolution if the requirements of this Division are satisfied.</w:t>
      </w:r>
    </w:p>
    <w:p>
      <w:pPr>
        <w:pStyle w:val="Footnotesection"/>
      </w:pPr>
      <w:r>
        <w:tab/>
        <w:t>[Section 31I inserted: No. 61 of 1996 s. 21.]</w:t>
      </w:r>
    </w:p>
    <w:p>
      <w:pPr>
        <w:pStyle w:val="Heading5"/>
        <w:rPr>
          <w:snapToGrid w:val="0"/>
        </w:rPr>
      </w:pPr>
      <w:bookmarkStart w:id="138" w:name="_Toc530554877"/>
      <w:r>
        <w:rPr>
          <w:rStyle w:val="CharSectno"/>
        </w:rPr>
        <w:t>31J</w:t>
      </w:r>
      <w:r>
        <w:rPr>
          <w:snapToGrid w:val="0"/>
        </w:rPr>
        <w:t>.</w:t>
      </w:r>
      <w:r>
        <w:rPr>
          <w:snapToGrid w:val="0"/>
        </w:rPr>
        <w:tab/>
        <w:t>Effect of registration</w:t>
      </w:r>
      <w:bookmarkEnd w:id="138"/>
    </w:p>
    <w:p>
      <w:pPr>
        <w:pStyle w:val="Subsection"/>
        <w:spacing w:before="120"/>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Subsection"/>
        <w:rPr>
          <w:snapToGrid w:val="0"/>
        </w:rPr>
      </w:pPr>
      <w:r>
        <w:rPr>
          <w:snapToGrid w:val="0"/>
        </w:rPr>
        <w:tab/>
        <w:t>(2)</w:t>
      </w:r>
      <w:r>
        <w:rPr>
          <w:snapToGrid w:val="0"/>
        </w:rPr>
        <w:tab/>
        <w:t>In addition to —</w:t>
      </w:r>
    </w:p>
    <w:p>
      <w:pPr>
        <w:pStyle w:val="Indenta"/>
        <w:spacing w:before="60"/>
        <w:rPr>
          <w:snapToGrid w:val="0"/>
        </w:rPr>
      </w:pPr>
      <w:r>
        <w:rPr>
          <w:snapToGrid w:val="0"/>
        </w:rPr>
        <w:tab/>
        <w:t>(a)</w:t>
      </w:r>
      <w:r>
        <w:rPr>
          <w:snapToGrid w:val="0"/>
        </w:rPr>
        <w:tab/>
        <w:t>the operation of any transfer, document or disposition statement referred to in section 31H; and</w:t>
      </w:r>
    </w:p>
    <w:p>
      <w:pPr>
        <w:pStyle w:val="Indenta"/>
        <w:spacing w:before="60"/>
        <w:rPr>
          <w:snapToGrid w:val="0"/>
        </w:rPr>
      </w:pPr>
      <w:r>
        <w:rPr>
          <w:snapToGrid w:val="0"/>
        </w:rPr>
        <w:tab/>
        <w:t>(b)</w:t>
      </w:r>
      <w:r>
        <w:rPr>
          <w:snapToGrid w:val="0"/>
        </w:rPr>
        <w:tab/>
        <w:t>the creation of any easement under section 5D as read with section 31G,</w:t>
      </w:r>
    </w:p>
    <w:p>
      <w:pPr>
        <w:pStyle w:val="Subsection"/>
        <w:spacing w:before="120"/>
        <w:rPr>
          <w:snapToGrid w:val="0"/>
        </w:rPr>
      </w:pPr>
      <w:r>
        <w:rPr>
          <w:snapToGrid w:val="0"/>
        </w:rPr>
        <w:tab/>
      </w:r>
      <w:r>
        <w:rPr>
          <w:snapToGrid w:val="0"/>
        </w:rPr>
        <w:tab/>
        <w:t>the registration of a notice of resolution also has the effects described in subsections (3), (4), (5), (6) and (7).</w:t>
      </w:r>
    </w:p>
    <w:p>
      <w:pPr>
        <w:pStyle w:val="Subsection"/>
        <w:spacing w:before="120"/>
        <w:rPr>
          <w:snapToGrid w:val="0"/>
        </w:rPr>
      </w:pPr>
      <w:r>
        <w:rPr>
          <w:snapToGrid w:val="0"/>
        </w:rPr>
        <w:tab/>
        <w:t>(3)</w:t>
      </w:r>
      <w:r>
        <w:rPr>
          <w:snapToGrid w:val="0"/>
        </w:rPr>
        <w:tab/>
        <w:t>Where any area of land —</w:t>
      </w:r>
    </w:p>
    <w:p>
      <w:pPr>
        <w:pStyle w:val="Indenta"/>
        <w:spacing w:before="60"/>
        <w:rPr>
          <w:snapToGrid w:val="0"/>
        </w:rPr>
      </w:pPr>
      <w:r>
        <w:rPr>
          <w:snapToGrid w:val="0"/>
        </w:rPr>
        <w:tab/>
        <w:t>(a)</w:t>
      </w:r>
      <w:r>
        <w:rPr>
          <w:snapToGrid w:val="0"/>
        </w:rPr>
        <w:tab/>
        <w:t>on registration of a notice of resolution becomes part of a lot; and</w:t>
      </w:r>
    </w:p>
    <w:p>
      <w:pPr>
        <w:pStyle w:val="Indenta"/>
        <w:spacing w:before="60"/>
        <w:rPr>
          <w:snapToGrid w:val="0"/>
        </w:rPr>
      </w:pPr>
      <w:r>
        <w:rPr>
          <w:snapToGrid w:val="0"/>
        </w:rPr>
        <w:tab/>
        <w:t>(b)</w:t>
      </w:r>
      <w:r>
        <w:rPr>
          <w:snapToGrid w:val="0"/>
        </w:rPr>
        <w:tab/>
        <w:t>was before that registration subject to —</w:t>
      </w:r>
    </w:p>
    <w:p>
      <w:pPr>
        <w:pStyle w:val="Indenti"/>
        <w:spacing w:before="6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Indenti"/>
        <w:spacing w:before="60"/>
        <w:rPr>
          <w:snapToGrid w:val="0"/>
        </w:rPr>
      </w:pPr>
      <w:r>
        <w:rPr>
          <w:snapToGrid w:val="0"/>
        </w:rPr>
        <w:tab/>
        <w:t>(ii)</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Subsection"/>
        <w:spacing w:before="120"/>
        <w:rPr>
          <w:snapToGrid w:val="0"/>
          <w:spacing w:val="-4"/>
        </w:rPr>
      </w:pPr>
      <w:r>
        <w:rPr>
          <w:snapToGrid w:val="0"/>
          <w:spacing w:val="-4"/>
        </w:rPr>
        <w:tab/>
        <w:t>(4)</w:t>
      </w:r>
      <w:r>
        <w:rPr>
          <w:snapToGrid w:val="0"/>
          <w:spacing w:val="-4"/>
        </w:rPr>
        <w:tab/>
        <w:t>On registration of the notice of resolution each lot is subject to —</w:t>
      </w:r>
    </w:p>
    <w:p>
      <w:pPr>
        <w:pStyle w:val="Indenta"/>
        <w:spacing w:before="60"/>
        <w:rPr>
          <w:snapToGrid w:val="0"/>
        </w:rPr>
      </w:pPr>
      <w:r>
        <w:rPr>
          <w:snapToGrid w:val="0"/>
        </w:rPr>
        <w:tab/>
        <w:t>(a)</w:t>
      </w:r>
      <w:r>
        <w:rPr>
          <w:snapToGrid w:val="0"/>
        </w:rPr>
        <w:tab/>
        <w:t>any encumbrance that was registered; or</w:t>
      </w:r>
    </w:p>
    <w:p>
      <w:pPr>
        <w:pStyle w:val="Indenta"/>
        <w:spacing w:before="60"/>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spacing w:before="120"/>
        <w:rPr>
          <w:snapToGrid w:val="0"/>
        </w:rPr>
      </w:pPr>
      <w:r>
        <w:rPr>
          <w:snapToGrid w:val="0"/>
        </w:rPr>
        <w:tab/>
        <w:t>(5)</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spacing w:before="120"/>
        <w:rPr>
          <w:snapToGrid w:val="0"/>
        </w:rPr>
      </w:pPr>
      <w:r>
        <w:rPr>
          <w:snapToGrid w:val="0"/>
        </w:rPr>
        <w:tab/>
        <w:t>(6)</w:t>
      </w:r>
      <w:r>
        <w:rPr>
          <w:snapToGrid w:val="0"/>
        </w:rPr>
        <w:tab/>
        <w:t>The share of a proprietor so vested is subject to any encumbrance registered or caveat lodged with the Registrar of Titles against his lot.</w:t>
      </w:r>
    </w:p>
    <w:p>
      <w:pPr>
        <w:pStyle w:val="Subsection"/>
        <w:spacing w:before="120"/>
        <w:rPr>
          <w:snapToGrid w:val="0"/>
        </w:rPr>
      </w:pPr>
      <w:r>
        <w:rPr>
          <w:snapToGrid w:val="0"/>
        </w:rPr>
        <w:tab/>
        <w:t>(7)</w:t>
      </w:r>
      <w:r>
        <w:rPr>
          <w:snapToGrid w:val="0"/>
        </w:rPr>
        <w:tab/>
        <w:t>Any encumbrance or caveat referred to in this section is to be taken to be amended to give effect to that section.</w:t>
      </w:r>
    </w:p>
    <w:p>
      <w:pPr>
        <w:pStyle w:val="Footnotesection"/>
        <w:spacing w:before="100"/>
      </w:pPr>
      <w:r>
        <w:tab/>
        <w:t>[Section 31J inserted: No. 61 of 1996 s. 21.]</w:t>
      </w:r>
    </w:p>
    <w:p>
      <w:pPr>
        <w:pStyle w:val="Heading5"/>
        <w:rPr>
          <w:snapToGrid w:val="0"/>
        </w:rPr>
      </w:pPr>
      <w:bookmarkStart w:id="139" w:name="_Toc530554878"/>
      <w:r>
        <w:rPr>
          <w:rStyle w:val="CharSectno"/>
        </w:rPr>
        <w:t>31K</w:t>
      </w:r>
      <w:r>
        <w:rPr>
          <w:snapToGrid w:val="0"/>
        </w:rPr>
        <w:t>.</w:t>
      </w:r>
      <w:r>
        <w:rPr>
          <w:snapToGrid w:val="0"/>
        </w:rPr>
        <w:tab/>
        <w:t>Registrar of Titles to make necessary amendments</w:t>
      </w:r>
      <w:bookmarkEnd w:id="139"/>
    </w:p>
    <w:p>
      <w:pPr>
        <w:pStyle w:val="Subsection"/>
        <w:keepNext/>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31G, 31H and 31J; and</w:t>
      </w:r>
    </w:p>
    <w:p>
      <w:pPr>
        <w:pStyle w:val="Indenta"/>
        <w:rPr>
          <w:snapToGrid w:val="0"/>
        </w:rPr>
      </w:pPr>
      <w:r>
        <w:rPr>
          <w:snapToGrid w:val="0"/>
        </w:rPr>
        <w:tab/>
        <w:t>(b)</w:t>
      </w:r>
      <w:r>
        <w:rPr>
          <w:snapToGrid w:val="0"/>
        </w:rPr>
        <w:tab/>
        <w:t>the original certificates of title in respect of the lots.</w:t>
      </w:r>
    </w:p>
    <w:p>
      <w:pPr>
        <w:pStyle w:val="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Footnotesection"/>
      </w:pPr>
      <w:r>
        <w:tab/>
        <w:t>[Section 31K inserted: No. 61 of 1996 s. 21; amended: No. 60 of 2006 s. 160(5).]</w:t>
      </w:r>
    </w:p>
    <w:p>
      <w:pPr>
        <w:pStyle w:val="Heading2"/>
      </w:pPr>
      <w:bookmarkStart w:id="140" w:name="_Toc525288507"/>
      <w:bookmarkStart w:id="141" w:name="_Toc530554543"/>
      <w:bookmarkStart w:id="142" w:name="_Toc530554879"/>
      <w:r>
        <w:rPr>
          <w:rStyle w:val="CharPartNo"/>
        </w:rPr>
        <w:t>Part IV</w:t>
      </w:r>
      <w:r>
        <w:t> — </w:t>
      </w:r>
      <w:r>
        <w:rPr>
          <w:rStyle w:val="CharPartText"/>
        </w:rPr>
        <w:t>Management</w:t>
      </w:r>
      <w:bookmarkEnd w:id="140"/>
      <w:bookmarkEnd w:id="141"/>
      <w:bookmarkEnd w:id="142"/>
    </w:p>
    <w:p>
      <w:pPr>
        <w:pStyle w:val="Heading3"/>
      </w:pPr>
      <w:bookmarkStart w:id="143" w:name="_Toc525288508"/>
      <w:bookmarkStart w:id="144" w:name="_Toc530554544"/>
      <w:bookmarkStart w:id="145" w:name="_Toc530554880"/>
      <w:r>
        <w:rPr>
          <w:rStyle w:val="CharDivNo"/>
        </w:rPr>
        <w:t>Division 1</w:t>
      </w:r>
      <w:r>
        <w:rPr>
          <w:snapToGrid w:val="0"/>
        </w:rPr>
        <w:t> — </w:t>
      </w:r>
      <w:r>
        <w:rPr>
          <w:rStyle w:val="CharDivText"/>
        </w:rPr>
        <w:t>Strata companies</w:t>
      </w:r>
      <w:bookmarkEnd w:id="143"/>
      <w:bookmarkEnd w:id="144"/>
      <w:bookmarkEnd w:id="145"/>
    </w:p>
    <w:p>
      <w:pPr>
        <w:pStyle w:val="Heading5"/>
        <w:rPr>
          <w:snapToGrid w:val="0"/>
        </w:rPr>
      </w:pPr>
      <w:bookmarkStart w:id="146" w:name="_Toc530554881"/>
      <w:r>
        <w:rPr>
          <w:rStyle w:val="CharSectno"/>
        </w:rPr>
        <w:t>32</w:t>
      </w:r>
      <w:r>
        <w:rPr>
          <w:snapToGrid w:val="0"/>
        </w:rPr>
        <w:t>.</w:t>
      </w:r>
      <w:r>
        <w:rPr>
          <w:snapToGrid w:val="0"/>
        </w:rPr>
        <w:tab/>
        <w:t>Incorporation of proprietors</w:t>
      </w:r>
      <w:bookmarkEnd w:id="146"/>
    </w:p>
    <w:p>
      <w:pPr>
        <w:pStyle w:val="Subsection"/>
        <w:spacing w:before="200"/>
        <w:rPr>
          <w:snapToGrid w:val="0"/>
        </w:rPr>
      </w:pPr>
      <w:r>
        <w:rPr>
          <w:snapToGrid w:val="0"/>
        </w:rPr>
        <w:tab/>
        <w:t>(1)</w:t>
      </w:r>
      <w:r>
        <w:rPr>
          <w:snapToGrid w:val="0"/>
        </w:rPr>
        <w:tab/>
        <w:t>Upon the registration of a strata/survey</w:t>
      </w:r>
      <w:r>
        <w:rPr>
          <w:snapToGrid w:val="0"/>
        </w:rPr>
        <w:noBreakHyphen/>
        <w:t>strata plan, the proprietors from time to time shall constitute a strata company by the name of “The Owners of [the name of the scheme]” and the number of the strata/survey</w:t>
      </w:r>
      <w:r>
        <w:rPr>
          <w:snapToGrid w:val="0"/>
        </w:rPr>
        <w:noBreakHyphen/>
        <w:t>strata plan allocated to it by the Registrar of Titles.</w:t>
      </w:r>
    </w:p>
    <w:p>
      <w:pPr>
        <w:pStyle w:val="Subsection"/>
        <w:spacing w:before="200"/>
        <w:rPr>
          <w:snapToGrid w:val="0"/>
        </w:rPr>
      </w:pPr>
      <w:r>
        <w:rPr>
          <w:snapToGrid w:val="0"/>
        </w:rPr>
        <w:tab/>
        <w:t>(2)</w:t>
      </w:r>
      <w:r>
        <w:rPr>
          <w:snapToGrid w:val="0"/>
        </w:rPr>
        <w:tab/>
        <w:t>A strata company created under subsection (1) is a body corporate with perpetual succession and a common seal.</w:t>
      </w:r>
    </w:p>
    <w:p>
      <w:pPr>
        <w:pStyle w:val="Subsection"/>
        <w:spacing w:before="200"/>
        <w:rPr>
          <w:snapToGrid w:val="0"/>
        </w:rPr>
      </w:pPr>
      <w:r>
        <w:rPr>
          <w:snapToGrid w:val="0"/>
        </w:rPr>
        <w:tab/>
        <w:t>(2a)</w:t>
      </w:r>
      <w:r>
        <w:rPr>
          <w:snapToGrid w:val="0"/>
        </w:rPr>
        <w:tab/>
        <w:t>For the purposes of subsection (1) the name of the scheme shall be that stated on the strata plan under section 5(1)(d), or on the survey</w:t>
      </w:r>
      <w:r>
        <w:rPr>
          <w:snapToGrid w:val="0"/>
        </w:rPr>
        <w:noBreakHyphen/>
        <w:t>strata plan under section 5A(e).</w:t>
      </w:r>
    </w:p>
    <w:p>
      <w:pPr>
        <w:pStyle w:val="Subsection"/>
        <w:spacing w:before="200"/>
        <w:rPr>
          <w:snapToGrid w:val="0"/>
        </w:rPr>
      </w:pPr>
      <w:r>
        <w:rPr>
          <w:snapToGrid w:val="0"/>
        </w:rPr>
        <w:tab/>
        <w:t>(2b)</w:t>
      </w:r>
      <w:r>
        <w:rPr>
          <w:snapToGrid w:val="0"/>
        </w:rPr>
        <w:tab/>
        <w:t xml:space="preserve">In the case of a strata plan registered before the commencement of section 36 of the </w:t>
      </w:r>
      <w:r>
        <w:rPr>
          <w:i/>
          <w:snapToGrid w:val="0"/>
        </w:rPr>
        <w:t>Strata Titles Amendment Act 1995 </w:t>
      </w:r>
      <w:r>
        <w:rPr>
          <w:snapToGrid w:val="0"/>
          <w:vertAlign w:val="superscript"/>
        </w:rPr>
        <w:t>1</w:t>
      </w:r>
      <w:r>
        <w:rPr>
          <w:snapToGrid w:val="0"/>
        </w:rPr>
        <w:t xml:space="preserve"> the name of the building endorsed on the plan, or recorded under section 41(2), shall be deemed to be the name of the scheme for the purposes of subsection (1).</w:t>
      </w:r>
    </w:p>
    <w:p>
      <w:pPr>
        <w:pStyle w:val="Subsection"/>
        <w:spacing w:before="200"/>
        <w:rPr>
          <w:snapToGrid w:val="0"/>
        </w:rPr>
      </w:pPr>
      <w:r>
        <w:rPr>
          <w:snapToGrid w:val="0"/>
        </w:rPr>
        <w:tab/>
        <w:t>(3)</w:t>
      </w:r>
      <w:r>
        <w:rPr>
          <w:snapToGrid w:val="0"/>
        </w:rPr>
        <w:tab/>
        <w:t>A strata company —</w:t>
      </w:r>
    </w:p>
    <w:p>
      <w:pPr>
        <w:pStyle w:val="Indenta"/>
        <w:rPr>
          <w:snapToGrid w:val="0"/>
        </w:rPr>
      </w:pPr>
      <w:r>
        <w:rPr>
          <w:snapToGrid w:val="0"/>
        </w:rPr>
        <w:tab/>
        <w:t>(a)</w:t>
      </w:r>
      <w:r>
        <w:rPr>
          <w:snapToGrid w:val="0"/>
        </w:rPr>
        <w:tab/>
        <w:t>is capable of suing and being sued; and</w:t>
      </w:r>
    </w:p>
    <w:p>
      <w:pPr>
        <w:pStyle w:val="Indenta"/>
        <w:rPr>
          <w:snapToGrid w:val="0"/>
        </w:rPr>
      </w:pPr>
      <w:r>
        <w:rPr>
          <w:snapToGrid w:val="0"/>
        </w:rPr>
        <w:tab/>
        <w:t>(b)</w:t>
      </w:r>
      <w:r>
        <w:rPr>
          <w:snapToGrid w:val="0"/>
        </w:rPr>
        <w:tab/>
        <w:t>shall be regulated in accordance with this Act and the by</w:t>
      </w:r>
      <w:r>
        <w:rPr>
          <w:snapToGrid w:val="0"/>
        </w:rPr>
        <w:noBreakHyphen/>
        <w:t>laws in force in respect of that strata company;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may do and suffer all things that bodies corporate generally may, by law, do and suffer and that are necessary for or incidental to the purposes for which a strata company is constituted.</w:t>
      </w:r>
    </w:p>
    <w:p>
      <w:pPr>
        <w:pStyle w:val="Subsection"/>
        <w:spacing w:before="200"/>
        <w:rPr>
          <w:snapToGrid w:val="0"/>
        </w:rPr>
      </w:pPr>
      <w:r>
        <w:rPr>
          <w:snapToGrid w:val="0"/>
        </w:rPr>
        <w:tab/>
        <w:t>(4)</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w:t>
      </w:r>
    </w:p>
    <w:p>
      <w:pPr>
        <w:pStyle w:val="Indenta"/>
        <w:rPr>
          <w:snapToGrid w:val="0"/>
        </w:rPr>
      </w:pPr>
      <w:r>
        <w:rPr>
          <w:snapToGrid w:val="0"/>
        </w:rPr>
        <w:tab/>
        <w:t>(a)</w:t>
      </w:r>
      <w:r>
        <w:rPr>
          <w:snapToGrid w:val="0"/>
        </w:rPr>
        <w:tab/>
        <w:t>a strata company;</w:t>
      </w:r>
    </w:p>
    <w:p>
      <w:pPr>
        <w:pStyle w:val="Indenta"/>
        <w:rPr>
          <w:snapToGrid w:val="0"/>
        </w:rPr>
      </w:pPr>
      <w:r>
        <w:rPr>
          <w:snapToGrid w:val="0"/>
        </w:rPr>
        <w:tab/>
        <w:t>(b)</w:t>
      </w:r>
      <w:r>
        <w:rPr>
          <w:snapToGrid w:val="0"/>
        </w:rPr>
        <w:tab/>
        <w:t>any act or omission of any person, body or other entity in relation to a strata company.</w:t>
      </w:r>
    </w:p>
    <w:p>
      <w:pPr>
        <w:pStyle w:val="Footnotesection"/>
      </w:pPr>
      <w:r>
        <w:tab/>
        <w:t>[Section 32 amended: No. 58 of 1995 s. 36; No. 10 of 2001 s. 189.]</w:t>
      </w:r>
    </w:p>
    <w:p>
      <w:pPr>
        <w:pStyle w:val="Heading5"/>
        <w:rPr>
          <w:snapToGrid w:val="0"/>
        </w:rPr>
      </w:pPr>
      <w:bookmarkStart w:id="147" w:name="_Toc530554882"/>
      <w:r>
        <w:rPr>
          <w:rStyle w:val="CharSectno"/>
        </w:rPr>
        <w:t>33</w:t>
      </w:r>
      <w:r>
        <w:rPr>
          <w:snapToGrid w:val="0"/>
        </w:rPr>
        <w:t>.</w:t>
      </w:r>
      <w:r>
        <w:rPr>
          <w:snapToGrid w:val="0"/>
        </w:rPr>
        <w:tab/>
        <w:t>Strata company is representative of proprietors in proceedings</w:t>
      </w:r>
      <w:bookmarkEnd w:id="147"/>
    </w:p>
    <w:p>
      <w:pPr>
        <w:pStyle w:val="Subsection"/>
        <w:rPr>
          <w:snapToGrid w:val="0"/>
        </w:rPr>
      </w:pPr>
      <w:r>
        <w:rPr>
          <w:snapToGrid w:val="0"/>
        </w:rPr>
        <w:tab/>
        <w:t>(1)</w:t>
      </w:r>
      <w:r>
        <w:rPr>
          <w:snapToGrid w:val="0"/>
        </w:rPr>
        <w:tab/>
        <w:t>Where the proprietors of the lots the subject of a scheme are jointly entitled to take proceedings against any person or are liable to have proceedings taken against them jointly (any such proceedings being proceedings for or with respect to common property), the proceedings may be taken by or against the strata company and any judgment or order given or made in favour of or against the strata company in any such proceedings shall have effect as if it were a judgment or order given or made in favour of or against the proprietors.</w:t>
      </w:r>
    </w:p>
    <w:p>
      <w:pPr>
        <w:pStyle w:val="Subsection"/>
        <w:rPr>
          <w:snapToGrid w:val="0"/>
        </w:rPr>
      </w:pPr>
      <w:r>
        <w:rPr>
          <w:snapToGrid w:val="0"/>
        </w:rPr>
        <w:tab/>
        <w:t>(2)</w:t>
      </w:r>
      <w:r>
        <w:rPr>
          <w:snapToGrid w:val="0"/>
        </w:rPr>
        <w:tab/>
        <w:t>Where a proprietor is liable to make a contribution to another proprietor in respect of a judgment debt arising under a judgment referred to in subsection (1), the amount of that contribution shall bear to the judgment debt the same proportion as the unit entitlement of the lot of the first</w:t>
      </w:r>
      <w:r>
        <w:rPr>
          <w:snapToGrid w:val="0"/>
        </w:rPr>
        <w:noBreakHyphen/>
        <w:t>mentioned proprietor bears to the aggregate unit entitlement.</w:t>
      </w:r>
    </w:p>
    <w:p>
      <w:pPr>
        <w:pStyle w:val="Footnotesection"/>
      </w:pPr>
      <w:r>
        <w:tab/>
        <w:t>[Section 33 amended: No. 58 of 1995 s. 96.]</w:t>
      </w:r>
    </w:p>
    <w:p>
      <w:pPr>
        <w:pStyle w:val="Heading5"/>
        <w:rPr>
          <w:snapToGrid w:val="0"/>
        </w:rPr>
      </w:pPr>
      <w:bookmarkStart w:id="148" w:name="_Toc530554883"/>
      <w:r>
        <w:rPr>
          <w:rStyle w:val="CharSectno"/>
        </w:rPr>
        <w:t>34</w:t>
      </w:r>
      <w:r>
        <w:rPr>
          <w:snapToGrid w:val="0"/>
        </w:rPr>
        <w:t>.</w:t>
      </w:r>
      <w:r>
        <w:rPr>
          <w:snapToGrid w:val="0"/>
        </w:rPr>
        <w:tab/>
        <w:t>Contract formalities</w:t>
      </w:r>
      <w:bookmarkEnd w:id="148"/>
    </w:p>
    <w:p>
      <w:pPr>
        <w:pStyle w:val="Subsection"/>
        <w:rPr>
          <w:snapToGrid w:val="0"/>
        </w:rPr>
      </w:pPr>
      <w:r>
        <w:rPr>
          <w:snapToGrid w:val="0"/>
        </w:rPr>
        <w:tab/>
        <w:t>(1)</w:t>
      </w:r>
      <w:r>
        <w:rPr>
          <w:snapToGrid w:val="0"/>
        </w:rPr>
        <w:tab/>
        <w:t>In so far as the formalities of making, varying or discharging a contract are concerned, a person acting under the express or implied authority of a strata company may make, vary or discharge a contract in the name of or on behalf of the strata company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strata company and other parties to the contract.</w:t>
      </w:r>
    </w:p>
    <w:p>
      <w:pPr>
        <w:pStyle w:val="Subsection"/>
        <w:rPr>
          <w:snapToGrid w:val="0"/>
        </w:rPr>
      </w:pPr>
      <w:r>
        <w:rPr>
          <w:snapToGrid w:val="0"/>
        </w:rPr>
        <w:tab/>
        <w:t>(3)</w:t>
      </w:r>
      <w:r>
        <w:rPr>
          <w:snapToGrid w:val="0"/>
        </w:rPr>
        <w:tab/>
        <w:t>This section does not affect the operation of a law that requires some consent or sanction to be obtained, or some procedure to be complied with, in relation to the making, variation or discharge of a contract.</w:t>
      </w:r>
    </w:p>
    <w:p>
      <w:pPr>
        <w:pStyle w:val="Heading5"/>
        <w:rPr>
          <w:snapToGrid w:val="0"/>
        </w:rPr>
      </w:pPr>
      <w:bookmarkStart w:id="149" w:name="_Toc530554884"/>
      <w:r>
        <w:rPr>
          <w:rStyle w:val="CharSectno"/>
        </w:rPr>
        <w:t>35</w:t>
      </w:r>
      <w:r>
        <w:rPr>
          <w:snapToGrid w:val="0"/>
        </w:rPr>
        <w:t>.</w:t>
      </w:r>
      <w:r>
        <w:rPr>
          <w:snapToGrid w:val="0"/>
        </w:rPr>
        <w:tab/>
        <w:t>Duties of strata companies</w:t>
      </w:r>
      <w:bookmarkEnd w:id="149"/>
    </w:p>
    <w:p>
      <w:pPr>
        <w:pStyle w:val="Subsection"/>
        <w:keepNext/>
      </w:pPr>
      <w:r>
        <w:tab/>
        <w:t>(1)</w:t>
      </w:r>
      <w:r>
        <w:tab/>
        <w:t xml:space="preserve">A strata </w:t>
      </w:r>
      <w:r>
        <w:rPr>
          <w:snapToGrid w:val="0"/>
        </w:rPr>
        <w:t>company</w:t>
      </w:r>
      <w:r>
        <w:t xml:space="preserve"> shall —</w:t>
      </w:r>
    </w:p>
    <w:p>
      <w:pPr>
        <w:pStyle w:val="Indenta"/>
        <w:rPr>
          <w:snapToGrid w:val="0"/>
        </w:rPr>
      </w:pPr>
      <w:r>
        <w:rPr>
          <w:snapToGrid w:val="0"/>
        </w:rPr>
        <w:tab/>
        <w:t>(a)</w:t>
      </w:r>
      <w:r>
        <w:rPr>
          <w:snapToGrid w:val="0"/>
        </w:rPr>
        <w:tab/>
        <w:t>enforce the by</w:t>
      </w:r>
      <w:r>
        <w:rPr>
          <w:snapToGrid w:val="0"/>
        </w:rPr>
        <w:noBreakHyphen/>
        <w:t>laws; and</w:t>
      </w:r>
    </w:p>
    <w:p>
      <w:pPr>
        <w:pStyle w:val="Indenta"/>
        <w:rPr>
          <w:snapToGrid w:val="0"/>
        </w:rPr>
      </w:pPr>
      <w:r>
        <w:rPr>
          <w:snapToGrid w:val="0"/>
        </w:rPr>
        <w:tab/>
        <w:t>(b)</w:t>
      </w:r>
      <w:r>
        <w:rPr>
          <w:snapToGrid w:val="0"/>
        </w:rPr>
        <w:tab/>
        <w:t>control and manage the common property for the benefit of all the proprietors; and</w:t>
      </w:r>
    </w:p>
    <w:p>
      <w:pPr>
        <w:pStyle w:val="Indenta"/>
        <w:keepNext/>
        <w:rPr>
          <w:snapToGrid w:val="0"/>
        </w:rPr>
      </w:pPr>
      <w:r>
        <w:rPr>
          <w:snapToGrid w:val="0"/>
        </w:rPr>
        <w:tab/>
        <w:t>(c)</w:t>
      </w:r>
      <w:r>
        <w:rPr>
          <w:snapToGrid w:val="0"/>
        </w:rPr>
        <w:tab/>
        <w:t>keep in good and serviceable repair, properly maintain and, where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any personal property vested in the strata company,</w:t>
      </w:r>
    </w:p>
    <w:p>
      <w:pPr>
        <w:pStyle w:val="Indenta"/>
        <w:rPr>
          <w:snapToGrid w:val="0"/>
          <w:spacing w:val="-4"/>
        </w:rPr>
      </w:pPr>
      <w:r>
        <w:rPr>
          <w:snapToGrid w:val="0"/>
          <w:spacing w:val="-4"/>
        </w:rPr>
        <w:tab/>
      </w:r>
      <w:r>
        <w:rPr>
          <w:snapToGrid w:val="0"/>
          <w:spacing w:val="-4"/>
        </w:rPr>
        <w:tab/>
        <w:t>and to do so whether damage or deterioration arises from fair wear and tear, inherent defect or any other cause;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cause to be recorded in a loose</w:t>
      </w:r>
      <w:r>
        <w:rPr>
          <w:snapToGrid w:val="0"/>
        </w:rPr>
        <w:noBreakHyphen/>
        <w:t>leaf or bound book particulars of the purport of notices served on the strata company under this or any other Act, orders under Part VI served on the strata company and orders made by a court and served on the strata company and, in relation to each such notice or order —</w:t>
      </w:r>
    </w:p>
    <w:p>
      <w:pPr>
        <w:pStyle w:val="Indenti"/>
        <w:rPr>
          <w:snapToGrid w:val="0"/>
        </w:rPr>
      </w:pPr>
      <w:r>
        <w:rPr>
          <w:snapToGrid w:val="0"/>
        </w:rPr>
        <w:tab/>
        <w:t>(i)</w:t>
      </w:r>
      <w:r>
        <w:rPr>
          <w:snapToGrid w:val="0"/>
        </w:rPr>
        <w:tab/>
        <w:t>the date on which it was served and the manner of service; and</w:t>
      </w:r>
    </w:p>
    <w:p>
      <w:pPr>
        <w:pStyle w:val="Indenti"/>
        <w:rPr>
          <w:snapToGrid w:val="0"/>
        </w:rPr>
      </w:pPr>
      <w:r>
        <w:rPr>
          <w:snapToGrid w:val="0"/>
        </w:rPr>
        <w:tab/>
        <w:t>(ii)</w:t>
      </w:r>
      <w:r>
        <w:rPr>
          <w:snapToGrid w:val="0"/>
        </w:rPr>
        <w:tab/>
        <w:t>the part of the parcel to which it relates; and</w:t>
      </w:r>
    </w:p>
    <w:p>
      <w:pPr>
        <w:pStyle w:val="Indenti"/>
        <w:rPr>
          <w:snapToGrid w:val="0"/>
        </w:rPr>
      </w:pPr>
      <w:r>
        <w:rPr>
          <w:snapToGrid w:val="0"/>
        </w:rPr>
        <w:tab/>
        <w:t>(iii)</w:t>
      </w:r>
      <w:r>
        <w:rPr>
          <w:snapToGrid w:val="0"/>
        </w:rPr>
        <w:tab/>
        <w:t>the date by which compliance therewith is required; and</w:t>
      </w:r>
    </w:p>
    <w:p>
      <w:pPr>
        <w:pStyle w:val="Indenti"/>
        <w:spacing w:before="100"/>
        <w:rPr>
          <w:snapToGrid w:val="0"/>
        </w:rPr>
      </w:pPr>
      <w:r>
        <w:rPr>
          <w:snapToGrid w:val="0"/>
        </w:rPr>
        <w:tab/>
        <w:t>(iv)</w:t>
      </w:r>
      <w:r>
        <w:rPr>
          <w:snapToGrid w:val="0"/>
        </w:rPr>
        <w:tab/>
        <w:t>the date on which it is complied with;</w:t>
      </w:r>
    </w:p>
    <w:p>
      <w:pPr>
        <w:pStyle w:val="Indenta"/>
        <w:spacing w:before="100"/>
        <w:rPr>
          <w:snapToGrid w:val="0"/>
          <w:spacing w:val="-4"/>
        </w:rPr>
      </w:pPr>
      <w:r>
        <w:rPr>
          <w:snapToGrid w:val="0"/>
          <w:spacing w:val="-4"/>
        </w:rPr>
        <w:tab/>
      </w:r>
      <w:r>
        <w:rPr>
          <w:snapToGrid w:val="0"/>
          <w:spacing w:val="-4"/>
        </w:rPr>
        <w:tab/>
        <w:t>and</w:t>
      </w:r>
    </w:p>
    <w:p>
      <w:pPr>
        <w:pStyle w:val="Indenta"/>
        <w:spacing w:before="100"/>
        <w:rPr>
          <w:snapToGrid w:val="0"/>
          <w:spacing w:val="-4"/>
        </w:rPr>
      </w:pPr>
      <w:r>
        <w:rPr>
          <w:snapToGrid w:val="0"/>
          <w:spacing w:val="-4"/>
        </w:rPr>
        <w:tab/>
        <w:t>(f)</w:t>
      </w:r>
      <w:r>
        <w:rPr>
          <w:snapToGrid w:val="0"/>
          <w:spacing w:val="-4"/>
        </w:rPr>
        <w:tab/>
        <w:t>cause to be kept minutes of its meetings, which shall include particulars of motions passed at those meetings, and proper books of account in respect of moneys received or expended by the strata company showing the items in respect of which the moneys were received or expended; and</w:t>
      </w:r>
    </w:p>
    <w:p>
      <w:pPr>
        <w:pStyle w:val="Indenta"/>
        <w:spacing w:before="100"/>
        <w:rPr>
          <w:snapToGrid w:val="0"/>
        </w:rPr>
      </w:pPr>
      <w:r>
        <w:rPr>
          <w:snapToGrid w:val="0"/>
        </w:rPr>
        <w:tab/>
        <w:t>(g)</w:t>
      </w:r>
      <w:r>
        <w:rPr>
          <w:snapToGrid w:val="0"/>
        </w:rPr>
        <w:tab/>
        <w:t>cause to be prepared from the books of account referred to in paragraph (f), a proper statement of accounts of the strata company in respect of each period commencing on the date of registration of the strata/survey</w:t>
      </w:r>
      <w:r>
        <w:rPr>
          <w:snapToGrid w:val="0"/>
        </w:rPr>
        <w:noBreakHyphen/>
        <w:t>strata plan or the date up to which the last previous such statement was prepared and ending on a date not earlier than 2 months before each annual general meeting; and</w:t>
      </w:r>
    </w:p>
    <w:p>
      <w:pPr>
        <w:pStyle w:val="Indenta"/>
        <w:keepNext/>
        <w:spacing w:before="100"/>
        <w:rPr>
          <w:snapToGrid w:val="0"/>
        </w:rPr>
      </w:pPr>
      <w:r>
        <w:rPr>
          <w:snapToGrid w:val="0"/>
        </w:rPr>
        <w:tab/>
        <w:t>(h)</w:t>
      </w:r>
      <w:r>
        <w:rPr>
          <w:snapToGrid w:val="0"/>
        </w:rPr>
        <w:tab/>
        <w:t>cause to be retained for the prescribed period —</w:t>
      </w:r>
    </w:p>
    <w:p>
      <w:pPr>
        <w:pStyle w:val="Indenti"/>
        <w:spacing w:before="100"/>
        <w:rPr>
          <w:snapToGrid w:val="0"/>
        </w:rPr>
      </w:pPr>
      <w:r>
        <w:rPr>
          <w:snapToGrid w:val="0"/>
        </w:rPr>
        <w:tab/>
        <w:t>(i)</w:t>
      </w:r>
      <w:r>
        <w:rPr>
          <w:snapToGrid w:val="0"/>
        </w:rPr>
        <w:tab/>
        <w:t>the records kept under, and the notices and orders referred to in, paragraph (e); and</w:t>
      </w:r>
    </w:p>
    <w:p>
      <w:pPr>
        <w:pStyle w:val="Indenti"/>
        <w:spacing w:before="100"/>
        <w:rPr>
          <w:snapToGrid w:val="0"/>
        </w:rPr>
      </w:pPr>
      <w:r>
        <w:rPr>
          <w:snapToGrid w:val="0"/>
        </w:rPr>
        <w:tab/>
        <w:t>(ii)</w:t>
      </w:r>
      <w:r>
        <w:rPr>
          <w:snapToGrid w:val="0"/>
        </w:rPr>
        <w:tab/>
        <w:t>the minutes and books of account referred to in paragraph (f); and</w:t>
      </w:r>
    </w:p>
    <w:p>
      <w:pPr>
        <w:pStyle w:val="Indenti"/>
        <w:spacing w:before="100"/>
        <w:rPr>
          <w:snapToGrid w:val="0"/>
        </w:rPr>
      </w:pPr>
      <w:r>
        <w:rPr>
          <w:snapToGrid w:val="0"/>
        </w:rPr>
        <w:tab/>
        <w:t>(iii)</w:t>
      </w:r>
      <w:r>
        <w:rPr>
          <w:snapToGrid w:val="0"/>
        </w:rPr>
        <w:tab/>
        <w:t>the statements of account referred to in paragraph (g); and</w:t>
      </w:r>
    </w:p>
    <w:p>
      <w:pPr>
        <w:pStyle w:val="Indenti"/>
        <w:spacing w:before="100"/>
        <w:rPr>
          <w:snapToGrid w:val="0"/>
        </w:rPr>
      </w:pPr>
      <w:r>
        <w:rPr>
          <w:snapToGrid w:val="0"/>
        </w:rPr>
        <w:tab/>
        <w:t>(iv)</w:t>
      </w:r>
      <w:r>
        <w:rPr>
          <w:snapToGrid w:val="0"/>
        </w:rPr>
        <w:tab/>
        <w:t>copies of correspondence received and sent by the strata company; and</w:t>
      </w:r>
    </w:p>
    <w:p>
      <w:pPr>
        <w:pStyle w:val="Indenti"/>
        <w:spacing w:before="100"/>
        <w:rPr>
          <w:snapToGrid w:val="0"/>
        </w:rPr>
      </w:pPr>
      <w:r>
        <w:rPr>
          <w:snapToGrid w:val="0"/>
        </w:rPr>
        <w:tab/>
        <w:t>(v)</w:t>
      </w:r>
      <w:r>
        <w:rPr>
          <w:snapToGrid w:val="0"/>
        </w:rPr>
        <w:tab/>
        <w:t>notices of meetings of the strata company and its council; and</w:t>
      </w:r>
    </w:p>
    <w:p>
      <w:pPr>
        <w:pStyle w:val="Indenti"/>
        <w:spacing w:before="100"/>
        <w:rPr>
          <w:snapToGrid w:val="0"/>
        </w:rPr>
      </w:pPr>
      <w:r>
        <w:rPr>
          <w:snapToGrid w:val="0"/>
        </w:rPr>
        <w:tab/>
        <w:t>(vi)</w:t>
      </w:r>
      <w:r>
        <w:rPr>
          <w:snapToGrid w:val="0"/>
        </w:rPr>
        <w:tab/>
        <w:t>proxies delivered to the strata company; and</w:t>
      </w:r>
    </w:p>
    <w:p>
      <w:pPr>
        <w:pStyle w:val="Indenti"/>
        <w:spacing w:before="100"/>
        <w:rPr>
          <w:snapToGrid w:val="0"/>
        </w:rPr>
      </w:pPr>
      <w:r>
        <w:rPr>
          <w:snapToGrid w:val="0"/>
        </w:rPr>
        <w:tab/>
        <w:t>(vii)</w:t>
      </w:r>
      <w:r>
        <w:rPr>
          <w:snapToGrid w:val="0"/>
        </w:rPr>
        <w:tab/>
        <w:t>voting papers relating to motions for resolutions by the strata company and to the election of office holders and the council; and</w:t>
      </w:r>
    </w:p>
    <w:p>
      <w:pPr>
        <w:pStyle w:val="Indenti"/>
        <w:spacing w:before="100"/>
        <w:rPr>
          <w:snapToGrid w:val="0"/>
        </w:rPr>
      </w:pPr>
      <w:r>
        <w:rPr>
          <w:snapToGrid w:val="0"/>
        </w:rPr>
        <w:tab/>
        <w:t>(viii)</w:t>
      </w:r>
      <w:r>
        <w:rPr>
          <w:snapToGrid w:val="0"/>
        </w:rPr>
        <w:tab/>
        <w:t>records of unanimous and special resolutions passed by proprietors; and</w:t>
      </w:r>
    </w:p>
    <w:p>
      <w:pPr>
        <w:pStyle w:val="Indenti"/>
        <w:rPr>
          <w:snapToGrid w:val="0"/>
        </w:rPr>
      </w:pPr>
      <w:r>
        <w:rPr>
          <w:snapToGrid w:val="0"/>
        </w:rPr>
        <w:tab/>
        <w:t>(ix)</w:t>
      </w:r>
      <w:r>
        <w:rPr>
          <w:snapToGrid w:val="0"/>
        </w:rPr>
        <w:tab/>
        <w:t>such other documents as may be prescribed;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cause to be continuously available and suitably placed on the parcel a receptacle suitable for purposes of postal delivery with the name of the strata company clearly shown on it; and</w:t>
      </w:r>
    </w:p>
    <w:p>
      <w:pPr>
        <w:pStyle w:val="Indenta"/>
        <w:rPr>
          <w:snapToGrid w:val="0"/>
        </w:rPr>
      </w:pPr>
      <w:r>
        <w:rPr>
          <w:snapToGrid w:val="0"/>
        </w:rPr>
        <w:tab/>
        <w:t>(j)</w:t>
      </w:r>
      <w:r>
        <w:rPr>
          <w:snapToGrid w:val="0"/>
        </w:rPr>
        <w:tab/>
        <w:t>effect insurance in accordance with Division 4; and</w:t>
      </w:r>
    </w:p>
    <w:p>
      <w:pPr>
        <w:pStyle w:val="Indenta"/>
        <w:rPr>
          <w:snapToGrid w:val="0"/>
        </w:rPr>
      </w:pPr>
      <w:r>
        <w:rPr>
          <w:snapToGrid w:val="0"/>
        </w:rPr>
        <w:tab/>
        <w:t>(k)</w:t>
      </w:r>
      <w:r>
        <w:rPr>
          <w:snapToGrid w:val="0"/>
        </w:rPr>
        <w:tab/>
        <w:t>comply with notices and orders of any competent public authority or local government requiring repairs to or work to be done in respect of the parcel or building, or anything in, on or over it.</w:t>
      </w:r>
    </w:p>
    <w:p>
      <w:pPr>
        <w:pStyle w:val="Subsection"/>
        <w:keepNext/>
      </w:pPr>
      <w:r>
        <w:tab/>
        <w:t>(2)</w:t>
      </w:r>
      <w:r>
        <w:tab/>
        <w:t xml:space="preserve">A </w:t>
      </w:r>
      <w:r>
        <w:rPr>
          <w:snapToGrid w:val="0"/>
        </w:rPr>
        <w:t>strata</w:t>
      </w:r>
      <w:r>
        <w:t xml:space="preserve"> company that contravenes subsection (1)(e) or (f) commits an offence and is liable to a fine not exceeding $400.</w:t>
      </w:r>
    </w:p>
    <w:p>
      <w:pPr>
        <w:pStyle w:val="Footnotesection"/>
      </w:pPr>
      <w:r>
        <w:tab/>
        <w:t>[Section 35 amended: No. 58 of 1995 s. 37, 94 and 95; No. 14 of 1996 s. 4.]</w:t>
      </w:r>
    </w:p>
    <w:p>
      <w:pPr>
        <w:pStyle w:val="Heading5"/>
        <w:rPr>
          <w:snapToGrid w:val="0"/>
        </w:rPr>
      </w:pPr>
      <w:bookmarkStart w:id="150" w:name="_Toc530554885"/>
      <w:r>
        <w:rPr>
          <w:rStyle w:val="CharSectno"/>
        </w:rPr>
        <w:t>35A</w:t>
      </w:r>
      <w:r>
        <w:rPr>
          <w:snapToGrid w:val="0"/>
        </w:rPr>
        <w:t>.</w:t>
      </w:r>
      <w:r>
        <w:rPr>
          <w:snapToGrid w:val="0"/>
        </w:rPr>
        <w:tab/>
        <w:t>Roll to be kept by strata company</w:t>
      </w:r>
      <w:bookmarkEnd w:id="150"/>
    </w:p>
    <w:p>
      <w:pPr>
        <w:pStyle w:val="Subsection"/>
        <w:rPr>
          <w:snapToGrid w:val="0"/>
        </w:rPr>
      </w:pPr>
      <w:r>
        <w:rPr>
          <w:snapToGrid w:val="0"/>
        </w:rPr>
        <w:tab/>
        <w:t>(1)</w:t>
      </w:r>
      <w:r>
        <w:rPr>
          <w:snapToGrid w:val="0"/>
        </w:rPr>
        <w:tab/>
        <w:t>A strata company shall prepare and maintain a roll containing the particulars required by subsection (4).</w:t>
      </w:r>
    </w:p>
    <w:p>
      <w:pPr>
        <w:pStyle w:val="Penstart"/>
        <w:rPr>
          <w:snapToGrid w:val="0"/>
        </w:rPr>
      </w:pPr>
      <w:r>
        <w:rPr>
          <w:snapToGrid w:val="0"/>
        </w:rPr>
        <w:tab/>
        <w:t>Penalty: $400.</w:t>
      </w:r>
    </w:p>
    <w:p>
      <w:pPr>
        <w:pStyle w:val="Subsection"/>
        <w:rPr>
          <w:snapToGrid w:val="0"/>
        </w:rPr>
      </w:pPr>
      <w:r>
        <w:rPr>
          <w:snapToGrid w:val="0"/>
        </w:rPr>
        <w:tab/>
        <w:t>(2)</w:t>
      </w:r>
      <w:r>
        <w:rPr>
          <w:snapToGrid w:val="0"/>
        </w:rPr>
        <w:tab/>
        <w:t>The roll may be kept in any medium.</w:t>
      </w:r>
    </w:p>
    <w:p>
      <w:pPr>
        <w:pStyle w:val="Subsection"/>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subject to subsection (5), information provided by, or on behalf of, a proprietor or a mortgagee of a lot.</w:t>
      </w:r>
    </w:p>
    <w:p>
      <w:pPr>
        <w:pStyle w:val="Subsection"/>
        <w:rPr>
          <w:snapToGrid w:val="0"/>
        </w:rPr>
      </w:pPr>
      <w:r>
        <w:rPr>
          <w:snapToGrid w:val="0"/>
        </w:rPr>
        <w:tab/>
        <w:t>(4)</w:t>
      </w:r>
      <w:r>
        <w:rPr>
          <w:snapToGrid w:val="0"/>
        </w:rPr>
        <w:tab/>
        <w:t>The particulars to be entered in the roll are —</w:t>
      </w:r>
    </w:p>
    <w:p>
      <w:pPr>
        <w:pStyle w:val="Indenta"/>
        <w:rPr>
          <w:snapToGrid w:val="0"/>
        </w:rPr>
      </w:pPr>
      <w:r>
        <w:rPr>
          <w:snapToGrid w:val="0"/>
        </w:rPr>
        <w:tab/>
        <w:t>(a)</w:t>
      </w:r>
      <w:r>
        <w:rPr>
          <w:snapToGrid w:val="0"/>
        </w:rPr>
        <w:tab/>
        <w:t>the plan number allocated by the Registrar of Titles under section 5B(4); and</w:t>
      </w:r>
    </w:p>
    <w:p>
      <w:pPr>
        <w:pStyle w:val="Indenta"/>
        <w:rPr>
          <w:snapToGrid w:val="0"/>
        </w:rPr>
      </w:pPr>
      <w:r>
        <w:rPr>
          <w:snapToGrid w:val="0"/>
        </w:rPr>
        <w:tab/>
        <w:t>(b)</w:t>
      </w:r>
      <w:r>
        <w:rPr>
          <w:snapToGrid w:val="0"/>
        </w:rPr>
        <w:tab/>
        <w:t>the name and address of each proprietor; and</w:t>
      </w:r>
    </w:p>
    <w:p>
      <w:pPr>
        <w:pStyle w:val="Indenta"/>
        <w:rPr>
          <w:snapToGrid w:val="0"/>
        </w:rPr>
      </w:pPr>
      <w:r>
        <w:rPr>
          <w:snapToGrid w:val="0"/>
        </w:rPr>
        <w:tab/>
        <w:t>(c)</w:t>
      </w:r>
      <w:r>
        <w:rPr>
          <w:snapToGrid w:val="0"/>
        </w:rPr>
        <w:tab/>
        <w:t>the address for service of any proprietor or mortgagee of a lot who has notified an address for service to the strata company; and</w:t>
      </w:r>
    </w:p>
    <w:p>
      <w:pPr>
        <w:pStyle w:val="Indenta"/>
        <w:rPr>
          <w:snapToGrid w:val="0"/>
        </w:rPr>
      </w:pPr>
      <w:r>
        <w:rPr>
          <w:snapToGrid w:val="0"/>
        </w:rPr>
        <w:tab/>
        <w:t>(d)</w:t>
      </w:r>
      <w:r>
        <w:rPr>
          <w:snapToGrid w:val="0"/>
        </w:rPr>
        <w:tab/>
        <w:t>the name and address of any agent of the strata company employed by it to carry out duties of the strata company in relation to the scheme; and</w:t>
      </w:r>
    </w:p>
    <w:p>
      <w:pPr>
        <w:pStyle w:val="Indenta"/>
        <w:rPr>
          <w:snapToGrid w:val="0"/>
        </w:rPr>
      </w:pPr>
      <w:r>
        <w:rPr>
          <w:snapToGrid w:val="0"/>
        </w:rPr>
        <w:tab/>
        <w:t>(e)</w:t>
      </w:r>
      <w:r>
        <w:rPr>
          <w:snapToGrid w:val="0"/>
        </w:rPr>
        <w:tab/>
        <w:t>the name of any lessee or tenant of a lot notified to the strata company; and</w:t>
      </w:r>
    </w:p>
    <w:p>
      <w:pPr>
        <w:pStyle w:val="Indenta"/>
        <w:rPr>
          <w:snapToGrid w:val="0"/>
        </w:rPr>
      </w:pPr>
      <w:r>
        <w:rPr>
          <w:snapToGrid w:val="0"/>
        </w:rPr>
        <w:tab/>
        <w:t>(f)</w:t>
      </w:r>
      <w:r>
        <w:rPr>
          <w:snapToGrid w:val="0"/>
        </w:rPr>
        <w:tab/>
        <w:t>the name and address of any mortgagee of a lot notified to the strata company under section 50(7).</w:t>
      </w:r>
    </w:p>
    <w:p>
      <w:pPr>
        <w:pStyle w:val="Subsection"/>
        <w:rPr>
          <w:snapToGrid w:val="0"/>
        </w:rPr>
      </w:pPr>
      <w:r>
        <w:rPr>
          <w:snapToGrid w:val="0"/>
        </w:rPr>
        <w:tab/>
        <w:t>(5)</w:t>
      </w:r>
      <w:r>
        <w:rPr>
          <w:snapToGrid w:val="0"/>
        </w:rPr>
        <w:tab/>
        <w:t>A strata company shall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35A inserted: No. 58 of 1995 s. 38(1).]</w:t>
      </w:r>
    </w:p>
    <w:p>
      <w:pPr>
        <w:pStyle w:val="Heading5"/>
        <w:rPr>
          <w:snapToGrid w:val="0"/>
        </w:rPr>
      </w:pPr>
      <w:bookmarkStart w:id="151" w:name="_Toc530554886"/>
      <w:r>
        <w:rPr>
          <w:rStyle w:val="CharSectno"/>
        </w:rPr>
        <w:t>36</w:t>
      </w:r>
      <w:r>
        <w:rPr>
          <w:snapToGrid w:val="0"/>
        </w:rPr>
        <w:t>.</w:t>
      </w:r>
      <w:r>
        <w:rPr>
          <w:snapToGrid w:val="0"/>
        </w:rPr>
        <w:tab/>
        <w:t>Levy of contributions on proprietors</w:t>
      </w:r>
      <w:bookmarkEnd w:id="151"/>
    </w:p>
    <w:p>
      <w:pPr>
        <w:pStyle w:val="Subsection"/>
        <w:keepNext/>
        <w:rPr>
          <w:snapToGrid w:val="0"/>
        </w:rPr>
      </w:pPr>
      <w:r>
        <w:rPr>
          <w:snapToGrid w:val="0"/>
        </w:rPr>
        <w:tab/>
        <w:t>(1)</w:t>
      </w:r>
      <w:r>
        <w:rPr>
          <w:snapToGrid w:val="0"/>
        </w:rPr>
        <w:tab/>
        <w:t>A strata company shall —</w:t>
      </w:r>
    </w:p>
    <w:p>
      <w:pPr>
        <w:pStyle w:val="Indenta"/>
        <w:rPr>
          <w:snapToGrid w:val="0"/>
        </w:rPr>
      </w:pPr>
      <w:r>
        <w:rPr>
          <w:snapToGrid w:val="0"/>
        </w:rPr>
        <w:tab/>
        <w:t>(a)</w:t>
      </w:r>
      <w:r>
        <w:rPr>
          <w:snapToGrid w:val="0"/>
        </w:rPr>
        <w:tab/>
        <w:t>establish a fund for administrative expenses that is sufficient in the opinion of the company for the control and management of the common property, for the payment of any premiums of insurance and the discharge of any other obligation of the strata company; and</w:t>
      </w:r>
    </w:p>
    <w:p>
      <w:pPr>
        <w:pStyle w:val="Indenta"/>
        <w:rPr>
          <w:snapToGrid w:val="0"/>
        </w:rPr>
      </w:pPr>
      <w:r>
        <w:rPr>
          <w:snapToGrid w:val="0"/>
        </w:rPr>
        <w:tab/>
        <w:t>(b)</w:t>
      </w:r>
      <w:r>
        <w:rPr>
          <w:snapToGrid w:val="0"/>
        </w:rPr>
        <w:tab/>
        <w:t>determine from time to time the amounts to be raised for the purposes described in paragraph (a); and</w:t>
      </w:r>
    </w:p>
    <w:p>
      <w:pPr>
        <w:pStyle w:val="Indenta"/>
        <w:keepNext/>
        <w:spacing w:before="120"/>
        <w:rPr>
          <w:snapToGrid w:val="0"/>
        </w:rPr>
      </w:pPr>
      <w:r>
        <w:rPr>
          <w:snapToGrid w:val="0"/>
        </w:rPr>
        <w:tab/>
        <w:t>(c)</w:t>
      </w:r>
      <w:r>
        <w:rPr>
          <w:snapToGrid w:val="0"/>
        </w:rPr>
        <w:tab/>
        <w:t>raise amounts so determined by levying contributions on proprietors —</w:t>
      </w:r>
    </w:p>
    <w:p>
      <w:pPr>
        <w:pStyle w:val="Indenti"/>
        <w:spacing w:before="120"/>
        <w:rPr>
          <w:snapToGrid w:val="0"/>
        </w:rPr>
      </w:pPr>
      <w:r>
        <w:rPr>
          <w:snapToGrid w:val="0"/>
        </w:rPr>
        <w:tab/>
        <w:t>(i)</w:t>
      </w:r>
      <w:r>
        <w:rPr>
          <w:snapToGrid w:val="0"/>
        </w:rPr>
        <w:tab/>
        <w:t>in proportion to the unit entitlements of their respective lots; or</w:t>
      </w:r>
    </w:p>
    <w:p>
      <w:pPr>
        <w:pStyle w:val="Indenti"/>
        <w:spacing w:before="120"/>
        <w:rPr>
          <w:snapToGrid w:val="0"/>
        </w:rPr>
      </w:pPr>
      <w:r>
        <w:rPr>
          <w:snapToGrid w:val="0"/>
        </w:rPr>
        <w:tab/>
        <w:t>(ii)</w:t>
      </w:r>
      <w:r>
        <w:rPr>
          <w:snapToGrid w:val="0"/>
        </w:rPr>
        <w:tab/>
        <w:t>where a by</w:t>
      </w:r>
      <w:r>
        <w:rPr>
          <w:snapToGrid w:val="0"/>
        </w:rPr>
        <w:noBreakHyphen/>
        <w:t>law referred to in section 42B or an order under section 99A is in force, in accordance with that by</w:t>
      </w:r>
      <w:r>
        <w:rPr>
          <w:snapToGrid w:val="0"/>
        </w:rPr>
        <w:noBreakHyphen/>
        <w:t>law or order;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recover from any proprietor, by action in a court of competent jurisdiction if necessary, any sum of money expended by the company for repairs or work done by it or at its direction in complying with any notice or order of a competent public authority or local government in respect of that portion of the building comprising the lot of that proprietor.</w:t>
      </w:r>
    </w:p>
    <w:p>
      <w:pPr>
        <w:pStyle w:val="Subsection"/>
        <w:rPr>
          <w:snapToGrid w:val="0"/>
          <w:spacing w:val="-4"/>
        </w:rPr>
      </w:pPr>
      <w:r>
        <w:rPr>
          <w:snapToGrid w:val="0"/>
          <w:spacing w:val="-4"/>
        </w:rPr>
        <w:tab/>
        <w:t>(1a)</w:t>
      </w:r>
      <w:r>
        <w:rPr>
          <w:snapToGrid w:val="0"/>
          <w:spacing w:val="-4"/>
        </w:rPr>
        <w:tab/>
        <w:t>If a mortgagee of a lot has entered into possession of the lot any contribution in respect of that lot may be levied on the mortgagee.</w:t>
      </w:r>
    </w:p>
    <w:p>
      <w:pPr>
        <w:pStyle w:val="Subsection"/>
        <w:rPr>
          <w:snapToGrid w:val="0"/>
        </w:rPr>
      </w:pPr>
      <w:r>
        <w:rPr>
          <w:snapToGrid w:val="0"/>
        </w:rPr>
        <w:tab/>
        <w:t>(2)</w:t>
      </w:r>
      <w:r>
        <w:rPr>
          <w:snapToGrid w:val="0"/>
        </w:rPr>
        <w:tab/>
        <w:t>A strata company may —</w:t>
      </w:r>
    </w:p>
    <w:p>
      <w:pPr>
        <w:pStyle w:val="Indenta"/>
        <w:spacing w:before="120"/>
        <w:rPr>
          <w:snapToGrid w:val="0"/>
        </w:rPr>
      </w:pPr>
      <w:r>
        <w:rPr>
          <w:snapToGrid w:val="0"/>
        </w:rPr>
        <w:tab/>
        <w:t>(a)</w:t>
      </w:r>
      <w:r>
        <w:rPr>
          <w:snapToGrid w:val="0"/>
        </w:rPr>
        <w:tab/>
        <w:t>establish a reserve fund for the purpose of accumulating funds to meet contingent expenses, other than those of a routine nature, and other major expenses of the strata company likely to arise in the future; and</w:t>
      </w:r>
    </w:p>
    <w:p>
      <w:pPr>
        <w:pStyle w:val="Indenta"/>
        <w:spacing w:before="120"/>
        <w:rPr>
          <w:snapToGrid w:val="0"/>
        </w:rPr>
      </w:pPr>
      <w:r>
        <w:rPr>
          <w:snapToGrid w:val="0"/>
        </w:rPr>
        <w:tab/>
        <w:t>(b)</w:t>
      </w:r>
      <w:r>
        <w:rPr>
          <w:snapToGrid w:val="0"/>
        </w:rPr>
        <w:tab/>
        <w:t>determine from time to time the amounts to be raised for the purpose described in paragraph (a); and</w:t>
      </w:r>
    </w:p>
    <w:p>
      <w:pPr>
        <w:pStyle w:val="Indenta"/>
        <w:spacing w:before="60"/>
        <w:rPr>
          <w:snapToGrid w:val="0"/>
        </w:rPr>
      </w:pPr>
      <w:r>
        <w:rPr>
          <w:snapToGrid w:val="0"/>
        </w:rPr>
        <w:tab/>
        <w:t>(c)</w:t>
      </w:r>
      <w:r>
        <w:rPr>
          <w:snapToGrid w:val="0"/>
        </w:rPr>
        <w:tab/>
        <w:t>raise amounts so determined by levying contributions on the proprietors in proportion to the unit entitlements of their respective lots.</w:t>
      </w:r>
    </w:p>
    <w:p>
      <w:pPr>
        <w:pStyle w:val="Subsection"/>
        <w:rPr>
          <w:snapToGrid w:val="0"/>
          <w:spacing w:val="-4"/>
        </w:rPr>
      </w:pPr>
      <w:r>
        <w:rPr>
          <w:snapToGrid w:val="0"/>
          <w:spacing w:val="-4"/>
        </w:rPr>
        <w:tab/>
        <w:t>(3)</w:t>
      </w:r>
      <w:r>
        <w:rPr>
          <w:snapToGrid w:val="0"/>
          <w:spacing w:val="-4"/>
        </w:rPr>
        <w:tab/>
        <w:t>Except in so far as and to the extent that the by</w:t>
      </w:r>
      <w:r>
        <w:rPr>
          <w:snapToGrid w:val="0"/>
          <w:spacing w:val="-4"/>
        </w:rPr>
        <w:noBreakHyphen/>
        <w:t>laws of a strata company may empower the council of that company to exercise the functions in subsections (1)(a), (b) and (c) and (2), those functions shall be performed by and in accordance with resolutions of proprietors passed at a general meeting of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if not paid when it becomes due and payable, bears interest on the amount unpaid at the rate of simple interest prescribed, unless the company determines (either generally or in a particular case) that an unpaid contribution shall bear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Interest paid or recovered under subsection (4) or (6) shall form part of the fund to which the contribution belongs.</w:t>
      </w:r>
    </w:p>
    <w:p>
      <w:pPr>
        <w:pStyle w:val="Subsection"/>
        <w:rPr>
          <w:snapToGrid w:val="0"/>
        </w:rPr>
      </w:pPr>
      <w:r>
        <w:rPr>
          <w:snapToGrid w:val="0"/>
        </w:rPr>
        <w:tab/>
        <w:t>(6)</w:t>
      </w:r>
      <w:r>
        <w:rPr>
          <w:snapToGrid w:val="0"/>
        </w:rPr>
        <w:tab/>
        <w:t>Subject to section 43(4), a proprietor of a lot is liable in respect of any contribution levied under this section and any interest thereon, jointly and severally with any person who was liable to pay that contribution and interest when that proprietor became the proprietor of that lot, to pay so much of that contribution and interest as was unpaid when he became the proprietor of that lot.</w:t>
      </w:r>
    </w:p>
    <w:p>
      <w:pPr>
        <w:pStyle w:val="Footnotesection"/>
        <w:ind w:left="890" w:hanging="890"/>
        <w:rPr>
          <w:spacing w:val="-4"/>
        </w:rPr>
      </w:pPr>
      <w:r>
        <w:rPr>
          <w:spacing w:val="-4"/>
        </w:rPr>
        <w:tab/>
        <w:t>[Section 36 amended: No. 58 of 1995 s. 39; No. 14 of 1996 s. 4.]</w:t>
      </w:r>
    </w:p>
    <w:p>
      <w:pPr>
        <w:pStyle w:val="Heading5"/>
        <w:spacing w:before="180"/>
        <w:rPr>
          <w:snapToGrid w:val="0"/>
        </w:rPr>
      </w:pPr>
      <w:bookmarkStart w:id="152" w:name="_Toc530554887"/>
      <w:r>
        <w:rPr>
          <w:rStyle w:val="CharSectno"/>
        </w:rPr>
        <w:t>36A</w:t>
      </w:r>
      <w:r>
        <w:rPr>
          <w:snapToGrid w:val="0"/>
        </w:rPr>
        <w:t>.</w:t>
      </w:r>
      <w:r>
        <w:rPr>
          <w:snapToGrid w:val="0"/>
        </w:rPr>
        <w:tab/>
        <w:t>Certain provisions do not apply to companies for two</w:t>
      </w:r>
      <w:r>
        <w:rPr>
          <w:snapToGrid w:val="0"/>
        </w:rPr>
        <w:noBreakHyphen/>
        <w:t>lot schemes</w:t>
      </w:r>
      <w:bookmarkEnd w:id="152"/>
    </w:p>
    <w:p>
      <w:pPr>
        <w:pStyle w:val="Subsection"/>
        <w:rPr>
          <w:snapToGrid w:val="0"/>
        </w:rPr>
      </w:pPr>
      <w:r>
        <w:rPr>
          <w:snapToGrid w:val="0"/>
        </w:rPr>
        <w:tab/>
        <w:t>(1)</w:t>
      </w:r>
      <w:r>
        <w:rPr>
          <w:snapToGrid w:val="0"/>
        </w:rPr>
        <w:tab/>
        <w:t>Despite sections 35, 35A and 36, the provisions of this Act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rPr>
          <w:snapToGrid w:val="0"/>
        </w:rPr>
      </w:pPr>
      <w:r>
        <w:rPr>
          <w:snapToGrid w:val="0"/>
        </w:rPr>
        <w:tab/>
      </w:r>
      <w:r>
        <w:rPr>
          <w:snapToGrid w:val="0"/>
        </w:rPr>
        <w:tab/>
        <w:t>do not apply to a strata company for a two</w:t>
      </w:r>
      <w:r>
        <w:rPr>
          <w:snapToGrid w:val="0"/>
        </w:rPr>
        <w:noBreakHyphen/>
        <w:t>lot scheme.</w:t>
      </w:r>
    </w:p>
    <w:p>
      <w:pPr>
        <w:pStyle w:val="MiscellaneousHeading"/>
        <w:spacing w:before="120"/>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2126"/>
        <w:gridCol w:w="4111"/>
      </w:tblGrid>
      <w:tr>
        <w:trPr>
          <w:tblHeader/>
        </w:trPr>
        <w:tc>
          <w:tcPr>
            <w:tcW w:w="2126" w:type="dxa"/>
          </w:tcPr>
          <w:p>
            <w:pPr>
              <w:pStyle w:val="TableNAm"/>
              <w:keepNext/>
              <w:keepLines/>
              <w:spacing w:before="60"/>
              <w:rPr>
                <w:b/>
                <w:snapToGrid w:val="0"/>
              </w:rPr>
            </w:pPr>
            <w:r>
              <w:rPr>
                <w:b/>
                <w:snapToGrid w:val="0"/>
              </w:rPr>
              <w:t>section</w:t>
            </w:r>
          </w:p>
        </w:tc>
        <w:tc>
          <w:tcPr>
            <w:tcW w:w="4111" w:type="dxa"/>
          </w:tcPr>
          <w:p>
            <w:pPr>
              <w:pStyle w:val="TableNAm"/>
              <w:keepNext/>
              <w:keepLines/>
              <w:spacing w:before="60"/>
              <w:rPr>
                <w:b/>
                <w:snapToGrid w:val="0"/>
              </w:rPr>
            </w:pPr>
            <w:r>
              <w:rPr>
                <w:b/>
                <w:snapToGrid w:val="0"/>
              </w:rPr>
              <w:t>relating to</w:t>
            </w:r>
          </w:p>
        </w:tc>
      </w:tr>
      <w:tr>
        <w:tc>
          <w:tcPr>
            <w:tcW w:w="2126" w:type="dxa"/>
          </w:tcPr>
          <w:p>
            <w:pPr>
              <w:pStyle w:val="TableNAm"/>
              <w:spacing w:before="60"/>
              <w:rPr>
                <w:snapToGrid w:val="0"/>
              </w:rPr>
            </w:pPr>
            <w:r>
              <w:rPr>
                <w:snapToGrid w:val="0"/>
              </w:rPr>
              <w:t>35(1)(f)</w:t>
            </w:r>
          </w:p>
        </w:tc>
        <w:tc>
          <w:tcPr>
            <w:tcW w:w="4111" w:type="dxa"/>
          </w:tcPr>
          <w:p>
            <w:pPr>
              <w:pStyle w:val="TableNAm"/>
              <w:spacing w:before="60"/>
              <w:rPr>
                <w:snapToGrid w:val="0"/>
              </w:rPr>
            </w:pPr>
            <w:r>
              <w:rPr>
                <w:snapToGrid w:val="0"/>
              </w:rPr>
              <w:t>minutes of meetings, books of account</w:t>
            </w:r>
          </w:p>
        </w:tc>
      </w:tr>
      <w:tr>
        <w:tc>
          <w:tcPr>
            <w:tcW w:w="2126" w:type="dxa"/>
          </w:tcPr>
          <w:p>
            <w:pPr>
              <w:pStyle w:val="TableNAm"/>
              <w:spacing w:before="60"/>
              <w:rPr>
                <w:snapToGrid w:val="0"/>
              </w:rPr>
            </w:pPr>
            <w:r>
              <w:rPr>
                <w:snapToGrid w:val="0"/>
              </w:rPr>
              <w:t>35(1)(g)</w:t>
            </w:r>
          </w:p>
        </w:tc>
        <w:tc>
          <w:tcPr>
            <w:tcW w:w="4111" w:type="dxa"/>
          </w:tcPr>
          <w:p>
            <w:pPr>
              <w:pStyle w:val="TableNAm"/>
              <w:spacing w:before="60"/>
              <w:rPr>
                <w:snapToGrid w:val="0"/>
              </w:rPr>
            </w:pPr>
            <w:r>
              <w:rPr>
                <w:snapToGrid w:val="0"/>
              </w:rPr>
              <w:t>statements of account</w:t>
            </w:r>
          </w:p>
        </w:tc>
      </w:tr>
      <w:tr>
        <w:tc>
          <w:tcPr>
            <w:tcW w:w="2126" w:type="dxa"/>
          </w:tcPr>
          <w:p>
            <w:pPr>
              <w:pStyle w:val="TableNAm"/>
              <w:spacing w:before="60"/>
              <w:rPr>
                <w:snapToGrid w:val="0"/>
              </w:rPr>
            </w:pPr>
            <w:r>
              <w:rPr>
                <w:snapToGrid w:val="0"/>
              </w:rPr>
              <w:t>35(1)(i)</w:t>
            </w:r>
          </w:p>
        </w:tc>
        <w:tc>
          <w:tcPr>
            <w:tcW w:w="4111" w:type="dxa"/>
          </w:tcPr>
          <w:p>
            <w:pPr>
              <w:pStyle w:val="TableNAm"/>
              <w:spacing w:before="60"/>
              <w:rPr>
                <w:snapToGrid w:val="0"/>
              </w:rPr>
            </w:pPr>
            <w:r>
              <w:rPr>
                <w:snapToGrid w:val="0"/>
              </w:rPr>
              <w:t>receptacle for postal delivery</w:t>
            </w:r>
          </w:p>
        </w:tc>
      </w:tr>
      <w:tr>
        <w:tc>
          <w:tcPr>
            <w:tcW w:w="2126" w:type="dxa"/>
          </w:tcPr>
          <w:p>
            <w:pPr>
              <w:pStyle w:val="TableNAm"/>
              <w:spacing w:before="60"/>
              <w:rPr>
                <w:snapToGrid w:val="0"/>
              </w:rPr>
            </w:pPr>
            <w:r>
              <w:rPr>
                <w:snapToGrid w:val="0"/>
              </w:rPr>
              <w:t>35A(1)</w:t>
            </w:r>
          </w:p>
        </w:tc>
        <w:tc>
          <w:tcPr>
            <w:tcW w:w="4111" w:type="dxa"/>
          </w:tcPr>
          <w:p>
            <w:pPr>
              <w:pStyle w:val="TableNAm"/>
              <w:spacing w:before="60"/>
              <w:rPr>
                <w:snapToGrid w:val="0"/>
              </w:rPr>
            </w:pPr>
            <w:r>
              <w:rPr>
                <w:snapToGrid w:val="0"/>
              </w:rPr>
              <w:t>roll of proprietors etc.</w:t>
            </w:r>
          </w:p>
        </w:tc>
      </w:tr>
      <w:tr>
        <w:tc>
          <w:tcPr>
            <w:tcW w:w="2126" w:type="dxa"/>
          </w:tcPr>
          <w:p>
            <w:pPr>
              <w:pStyle w:val="TableNAm"/>
              <w:spacing w:before="60"/>
              <w:rPr>
                <w:snapToGrid w:val="0"/>
              </w:rPr>
            </w:pPr>
            <w:r>
              <w:rPr>
                <w:snapToGrid w:val="0"/>
              </w:rPr>
              <w:t>36(1)(a)</w:t>
            </w:r>
          </w:p>
        </w:tc>
        <w:tc>
          <w:tcPr>
            <w:tcW w:w="4111" w:type="dxa"/>
          </w:tcPr>
          <w:p>
            <w:pPr>
              <w:pStyle w:val="TableNAm"/>
              <w:spacing w:before="60"/>
              <w:rPr>
                <w:snapToGrid w:val="0"/>
              </w:rPr>
            </w:pPr>
            <w:r>
              <w:rPr>
                <w:snapToGrid w:val="0"/>
              </w:rPr>
              <w:t>fund for administrative purposes.</w:t>
            </w:r>
          </w:p>
        </w:tc>
      </w:tr>
    </w:tbl>
    <w:p>
      <w:pPr>
        <w:pStyle w:val="Subsection"/>
        <w:spacing w:before="120"/>
        <w:rPr>
          <w:snapToGrid w:val="0"/>
        </w:rPr>
      </w:pPr>
      <w:r>
        <w:rPr>
          <w:snapToGrid w:val="0"/>
        </w:rPr>
        <w:tab/>
        <w:t>(2)</w:t>
      </w:r>
      <w:r>
        <w:rPr>
          <w:snapToGrid w:val="0"/>
        </w:rPr>
        <w:tab/>
        <w:t>Nothing in subsection (1) prevents a strata company for a two</w:t>
      </w:r>
      <w:r>
        <w:rPr>
          <w:snapToGrid w:val="0"/>
        </w:rPr>
        <w:noBreakHyphen/>
        <w:t>lot scheme doing anything described in a provision referred to in the table to that subsection.</w:t>
      </w:r>
    </w:p>
    <w:p>
      <w:pPr>
        <w:pStyle w:val="Subsection"/>
        <w:spacing w:before="120"/>
        <w:rPr>
          <w:snapToGrid w:val="0"/>
          <w:spacing w:val="-4"/>
        </w:rPr>
      </w:pPr>
      <w:r>
        <w:rPr>
          <w:snapToGrid w:val="0"/>
          <w:spacing w:val="-4"/>
        </w:rPr>
        <w:tab/>
        <w:t>(3)</w:t>
      </w:r>
      <w:r>
        <w:rPr>
          <w:snapToGrid w:val="0"/>
          <w:spacing w:val="-4"/>
        </w:rPr>
        <w:tab/>
        <w:t>Despite subsection (2), a strata company for a two</w:t>
      </w:r>
      <w:r>
        <w:rPr>
          <w:snapToGrid w:val="0"/>
          <w:spacing w:val="-4"/>
        </w:rPr>
        <w:noBreakHyphen/>
        <w:t>lot scheme cannot establish a fund for administrative purposes, as mentioned in section 36(1)(a), except pursuant to a by</w:t>
      </w:r>
      <w:r>
        <w:rPr>
          <w:snapToGrid w:val="0"/>
          <w:spacing w:val="-4"/>
        </w:rPr>
        <w:noBreakHyphen/>
        <w:t>law made by it.</w:t>
      </w:r>
    </w:p>
    <w:p>
      <w:pPr>
        <w:pStyle w:val="Subsection"/>
        <w:spacing w:before="120"/>
        <w:rPr>
          <w:snapToGrid w:val="0"/>
        </w:rPr>
      </w:pPr>
      <w:r>
        <w:rPr>
          <w:snapToGrid w:val="0"/>
        </w:rPr>
        <w:tab/>
        <w:t>(4)</w:t>
      </w:r>
      <w:r>
        <w:rPr>
          <w:snapToGrid w:val="0"/>
        </w:rPr>
        <w:tab/>
        <w:t>The operation of this section is subject to any order for the time being in force under section 103A.</w:t>
      </w:r>
    </w:p>
    <w:p>
      <w:pPr>
        <w:pStyle w:val="Footnotesection"/>
        <w:spacing w:before="80"/>
        <w:ind w:left="890" w:hanging="890"/>
      </w:pPr>
      <w:r>
        <w:tab/>
        <w:t>[Section 36A inserted: No. 58 of 1995 s. 40.]</w:t>
      </w:r>
    </w:p>
    <w:p>
      <w:pPr>
        <w:pStyle w:val="Heading5"/>
        <w:spacing w:before="180"/>
        <w:rPr>
          <w:snapToGrid w:val="0"/>
        </w:rPr>
      </w:pPr>
      <w:bookmarkStart w:id="153" w:name="_Toc530554888"/>
      <w:r>
        <w:rPr>
          <w:rStyle w:val="CharSectno"/>
        </w:rPr>
        <w:t>36B</w:t>
      </w:r>
      <w:r>
        <w:rPr>
          <w:snapToGrid w:val="0"/>
        </w:rPr>
        <w:t>.</w:t>
      </w:r>
      <w:r>
        <w:rPr>
          <w:snapToGrid w:val="0"/>
        </w:rPr>
        <w:tab/>
        <w:t>Certain provisions may be excluded for 3, 4 or 5 lot schemes</w:t>
      </w:r>
      <w:bookmarkEnd w:id="153"/>
    </w:p>
    <w:p>
      <w:pPr>
        <w:pStyle w:val="Subsection"/>
        <w:spacing w:before="120"/>
      </w:pPr>
      <w:r>
        <w:tab/>
        <w:t>(1)</w:t>
      </w:r>
      <w:r>
        <w:tab/>
        <w:t>Despite sections 35, 35A and 36, any provision of this Act —</w:t>
      </w:r>
    </w:p>
    <w:p>
      <w:pPr>
        <w:pStyle w:val="Indenta"/>
        <w:spacing w:before="60"/>
        <w:rPr>
          <w:snapToGrid w:val="0"/>
        </w:rPr>
      </w:pPr>
      <w:r>
        <w:rPr>
          <w:snapToGrid w:val="0"/>
        </w:rPr>
        <w:tab/>
        <w:t>(a)</w:t>
      </w:r>
      <w:r>
        <w:rPr>
          <w:snapToGrid w:val="0"/>
        </w:rPr>
        <w:tab/>
        <w:t>specified in the table to this subsection; or</w:t>
      </w:r>
    </w:p>
    <w:p>
      <w:pPr>
        <w:pStyle w:val="Indenta"/>
        <w:spacing w:before="60"/>
        <w:rPr>
          <w:snapToGrid w:val="0"/>
        </w:rPr>
      </w:pPr>
      <w:r>
        <w:rPr>
          <w:snapToGrid w:val="0"/>
        </w:rPr>
        <w:tab/>
        <w:t>(b)</w:t>
      </w:r>
      <w:r>
        <w:rPr>
          <w:snapToGrid w:val="0"/>
        </w:rPr>
        <w:tab/>
        <w:t>prescribed by the regulations,</w:t>
      </w:r>
    </w:p>
    <w:p>
      <w:pPr>
        <w:pStyle w:val="Subsection"/>
        <w:spacing w:before="120"/>
        <w:rPr>
          <w:snapToGrid w:val="0"/>
        </w:rPr>
      </w:pPr>
      <w:r>
        <w:rPr>
          <w:snapToGrid w:val="0"/>
        </w:rPr>
        <w:tab/>
      </w:r>
      <w:r>
        <w:rPr>
          <w:snapToGrid w:val="0"/>
        </w:rPr>
        <w:tab/>
        <w:t>does not apply to a strata company for a scheme in which there are 3, 4 or 5 lots if the company has, by resolution without dissent, made a by</w:t>
      </w:r>
      <w:r>
        <w:rPr>
          <w:snapToGrid w:val="0"/>
        </w:rPr>
        <w:noBreakHyphen/>
        <w:t>law to that effect and that by</w:t>
      </w:r>
      <w:r>
        <w:rPr>
          <w:snapToGrid w:val="0"/>
        </w:rPr>
        <w:noBreakHyphen/>
        <w:t>law has effect under section 42(4).</w:t>
      </w:r>
    </w:p>
    <w:p>
      <w:pPr>
        <w:pStyle w:val="MiscellaneousHeading"/>
        <w:spacing w:before="120"/>
        <w:outlineLvl w:val="0"/>
        <w:rPr>
          <w:b/>
          <w:bCs/>
          <w:snapToGrid w:val="0"/>
        </w:rPr>
      </w:pPr>
      <w:r>
        <w:rPr>
          <w:b/>
          <w:bCs/>
        </w:rPr>
        <w:t>Table</w:t>
      </w:r>
    </w:p>
    <w:tbl>
      <w:tblPr>
        <w:tblW w:w="0" w:type="auto"/>
        <w:tblInd w:w="959" w:type="dxa"/>
        <w:tblLayout w:type="fixed"/>
        <w:tblLook w:val="0000" w:firstRow="0" w:lastRow="0" w:firstColumn="0" w:lastColumn="0" w:noHBand="0" w:noVBand="0"/>
      </w:tblPr>
      <w:tblGrid>
        <w:gridCol w:w="2149"/>
        <w:gridCol w:w="4088"/>
      </w:tblGrid>
      <w:tr>
        <w:trPr>
          <w:tblHeader/>
        </w:trPr>
        <w:tc>
          <w:tcPr>
            <w:tcW w:w="2149" w:type="dxa"/>
          </w:tcPr>
          <w:p>
            <w:pPr>
              <w:pStyle w:val="TableNAm"/>
              <w:spacing w:before="60"/>
              <w:rPr>
                <w:b/>
                <w:snapToGrid w:val="0"/>
              </w:rPr>
            </w:pPr>
            <w:r>
              <w:rPr>
                <w:b/>
                <w:snapToGrid w:val="0"/>
              </w:rPr>
              <w:t>section</w:t>
            </w:r>
          </w:p>
        </w:tc>
        <w:tc>
          <w:tcPr>
            <w:tcW w:w="4088" w:type="dxa"/>
          </w:tcPr>
          <w:p>
            <w:pPr>
              <w:pStyle w:val="TableNAm"/>
              <w:spacing w:before="60"/>
              <w:rPr>
                <w:b/>
                <w:snapToGrid w:val="0"/>
              </w:rPr>
            </w:pPr>
            <w:r>
              <w:rPr>
                <w:b/>
                <w:snapToGrid w:val="0"/>
              </w:rPr>
              <w:t>relating to</w:t>
            </w:r>
          </w:p>
        </w:tc>
      </w:tr>
      <w:tr>
        <w:tc>
          <w:tcPr>
            <w:tcW w:w="2149" w:type="dxa"/>
          </w:tcPr>
          <w:p>
            <w:pPr>
              <w:pStyle w:val="TableNAm"/>
              <w:spacing w:before="60"/>
              <w:rPr>
                <w:snapToGrid w:val="0"/>
              </w:rPr>
            </w:pPr>
            <w:r>
              <w:rPr>
                <w:snapToGrid w:val="0"/>
              </w:rPr>
              <w:t>35(1)(f)</w:t>
            </w:r>
          </w:p>
        </w:tc>
        <w:tc>
          <w:tcPr>
            <w:tcW w:w="4088" w:type="dxa"/>
          </w:tcPr>
          <w:p>
            <w:pPr>
              <w:pStyle w:val="TableNAm"/>
              <w:spacing w:before="60"/>
              <w:rPr>
                <w:snapToGrid w:val="0"/>
              </w:rPr>
            </w:pPr>
            <w:r>
              <w:rPr>
                <w:snapToGrid w:val="0"/>
              </w:rPr>
              <w:t>minutes of meetings, books of account</w:t>
            </w:r>
          </w:p>
        </w:tc>
      </w:tr>
      <w:tr>
        <w:tc>
          <w:tcPr>
            <w:tcW w:w="2149" w:type="dxa"/>
          </w:tcPr>
          <w:p>
            <w:pPr>
              <w:pStyle w:val="TableNAm"/>
              <w:spacing w:before="60"/>
              <w:rPr>
                <w:snapToGrid w:val="0"/>
              </w:rPr>
            </w:pPr>
            <w:r>
              <w:rPr>
                <w:snapToGrid w:val="0"/>
              </w:rPr>
              <w:t>35(1)(g)</w:t>
            </w:r>
          </w:p>
        </w:tc>
        <w:tc>
          <w:tcPr>
            <w:tcW w:w="4088" w:type="dxa"/>
          </w:tcPr>
          <w:p>
            <w:pPr>
              <w:pStyle w:val="TableNAm"/>
              <w:spacing w:before="60"/>
              <w:rPr>
                <w:snapToGrid w:val="0"/>
              </w:rPr>
            </w:pPr>
            <w:r>
              <w:rPr>
                <w:snapToGrid w:val="0"/>
              </w:rPr>
              <w:t>statements of account</w:t>
            </w:r>
          </w:p>
        </w:tc>
      </w:tr>
      <w:tr>
        <w:tc>
          <w:tcPr>
            <w:tcW w:w="2149" w:type="dxa"/>
          </w:tcPr>
          <w:p>
            <w:pPr>
              <w:pStyle w:val="TableNAm"/>
              <w:spacing w:before="60"/>
              <w:rPr>
                <w:snapToGrid w:val="0"/>
              </w:rPr>
            </w:pPr>
            <w:r>
              <w:rPr>
                <w:snapToGrid w:val="0"/>
              </w:rPr>
              <w:t>35(1)(i)</w:t>
            </w:r>
          </w:p>
        </w:tc>
        <w:tc>
          <w:tcPr>
            <w:tcW w:w="4088" w:type="dxa"/>
          </w:tcPr>
          <w:p>
            <w:pPr>
              <w:pStyle w:val="TableNAm"/>
              <w:spacing w:before="60"/>
              <w:rPr>
                <w:snapToGrid w:val="0"/>
              </w:rPr>
            </w:pPr>
            <w:r>
              <w:rPr>
                <w:snapToGrid w:val="0"/>
              </w:rPr>
              <w:t>receptacle for postal delivery</w:t>
            </w:r>
          </w:p>
        </w:tc>
      </w:tr>
      <w:tr>
        <w:tc>
          <w:tcPr>
            <w:tcW w:w="2149" w:type="dxa"/>
          </w:tcPr>
          <w:p>
            <w:pPr>
              <w:pStyle w:val="TableNAm"/>
              <w:spacing w:before="60"/>
              <w:rPr>
                <w:snapToGrid w:val="0"/>
              </w:rPr>
            </w:pPr>
            <w:r>
              <w:rPr>
                <w:snapToGrid w:val="0"/>
              </w:rPr>
              <w:t>35A(1)</w:t>
            </w:r>
          </w:p>
        </w:tc>
        <w:tc>
          <w:tcPr>
            <w:tcW w:w="4088" w:type="dxa"/>
          </w:tcPr>
          <w:p>
            <w:pPr>
              <w:pStyle w:val="TableNAm"/>
              <w:spacing w:before="60"/>
              <w:rPr>
                <w:snapToGrid w:val="0"/>
              </w:rPr>
            </w:pPr>
            <w:r>
              <w:rPr>
                <w:snapToGrid w:val="0"/>
              </w:rPr>
              <w:t>roll of proprietors etc.</w:t>
            </w:r>
          </w:p>
        </w:tc>
      </w:tr>
      <w:tr>
        <w:tc>
          <w:tcPr>
            <w:tcW w:w="2149" w:type="dxa"/>
          </w:tcPr>
          <w:p>
            <w:pPr>
              <w:pStyle w:val="TableNAm"/>
              <w:spacing w:before="60"/>
              <w:rPr>
                <w:snapToGrid w:val="0"/>
              </w:rPr>
            </w:pPr>
            <w:r>
              <w:rPr>
                <w:snapToGrid w:val="0"/>
              </w:rPr>
              <w:t>36(1)(a)</w:t>
            </w:r>
          </w:p>
        </w:tc>
        <w:tc>
          <w:tcPr>
            <w:tcW w:w="4088" w:type="dxa"/>
          </w:tcPr>
          <w:p>
            <w:pPr>
              <w:pStyle w:val="TableNAm"/>
              <w:spacing w:before="60"/>
              <w:rPr>
                <w:snapToGrid w:val="0"/>
              </w:rPr>
            </w:pPr>
            <w:r>
              <w:rPr>
                <w:snapToGrid w:val="0"/>
              </w:rPr>
              <w:t>fund for administrative purposes.</w:t>
            </w:r>
          </w:p>
        </w:tc>
      </w:tr>
    </w:tbl>
    <w:p>
      <w:pPr>
        <w:pStyle w:val="Subsection"/>
        <w:keepNext/>
      </w:pPr>
      <w:r>
        <w:tab/>
        <w:t>(2)</w:t>
      </w:r>
      <w:r>
        <w:tab/>
        <w:t xml:space="preserve">In </w:t>
      </w:r>
      <w:r>
        <w:rPr>
          <w:snapToGrid w:val="0"/>
        </w:rPr>
        <w:t>subsection</w:t>
      </w:r>
      <w:r>
        <w:t xml:space="preserve"> (1) </w:t>
      </w:r>
      <w:r>
        <w:rPr>
          <w:rStyle w:val="CharDefText"/>
        </w:rPr>
        <w:t>lot</w:t>
      </w:r>
      <w:r>
        <w:t xml:space="preserve"> does not include a lot in a survey</w:t>
      </w:r>
      <w:r>
        <w:noBreakHyphen/>
        <w:t>strata scheme that is designated as a common property lot.</w:t>
      </w:r>
    </w:p>
    <w:p>
      <w:pPr>
        <w:pStyle w:val="Footnotesection"/>
        <w:ind w:left="890" w:hanging="890"/>
      </w:pPr>
      <w:r>
        <w:tab/>
        <w:t>[Section 36B inserted: No. 58 of 1995 s. 40.]</w:t>
      </w:r>
    </w:p>
    <w:p>
      <w:pPr>
        <w:pStyle w:val="Heading5"/>
        <w:rPr>
          <w:snapToGrid w:val="0"/>
        </w:rPr>
      </w:pPr>
      <w:bookmarkStart w:id="154" w:name="_Toc530554889"/>
      <w:r>
        <w:rPr>
          <w:rStyle w:val="CharSectno"/>
        </w:rPr>
        <w:t>37</w:t>
      </w:r>
      <w:r>
        <w:rPr>
          <w:snapToGrid w:val="0"/>
        </w:rPr>
        <w:t>.</w:t>
      </w:r>
      <w:r>
        <w:rPr>
          <w:snapToGrid w:val="0"/>
        </w:rPr>
        <w:tab/>
        <w:t>Powers of strata company</w:t>
      </w:r>
      <w:bookmarkEnd w:id="154"/>
    </w:p>
    <w:p>
      <w:pPr>
        <w:pStyle w:val="Subsection"/>
        <w:rPr>
          <w:snapToGrid w:val="0"/>
        </w:rPr>
      </w:pPr>
      <w:r>
        <w:rPr>
          <w:snapToGrid w:val="0"/>
        </w:rPr>
        <w:tab/>
        <w:t>(1)</w:t>
      </w:r>
      <w:r>
        <w:rPr>
          <w:snapToGrid w:val="0"/>
        </w:rPr>
        <w:tab/>
        <w:t>A strata company may —</w:t>
      </w:r>
    </w:p>
    <w:p>
      <w:pPr>
        <w:pStyle w:val="Indenta"/>
        <w:rPr>
          <w:snapToGrid w:val="0"/>
        </w:rPr>
      </w:pPr>
      <w:r>
        <w:rPr>
          <w:snapToGrid w:val="0"/>
        </w:rPr>
        <w:tab/>
        <w:t>(a)</w:t>
      </w:r>
      <w:r>
        <w:rPr>
          <w:snapToGrid w:val="0"/>
        </w:rPr>
        <w:tab/>
        <w:t>purchase, hire or otherwise acquire personal property for use by proprietors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borrow moneys required by it in the performance of its functions; and</w:t>
      </w:r>
    </w:p>
    <w:p>
      <w:pPr>
        <w:pStyle w:val="Indenta"/>
        <w:rPr>
          <w:snapToGrid w:val="0"/>
        </w:rPr>
      </w:pPr>
      <w:r>
        <w:rPr>
          <w:snapToGrid w:val="0"/>
        </w:rPr>
        <w:tab/>
        <w:t>(d)</w:t>
      </w:r>
      <w:r>
        <w:rPr>
          <w:snapToGrid w:val="0"/>
        </w:rPr>
        <w:tab/>
        <w:t>secure the repayment of moneys borrowed by it, and the payment of interest thereon, by negotiable instrument, or mortgage of unpaid contributions (whether imposed or not), or mortgage of any property vested in it, or by a combination of those means; and</w:t>
      </w:r>
    </w:p>
    <w:p>
      <w:pPr>
        <w:pStyle w:val="Indenta"/>
        <w:rPr>
          <w:snapToGrid w:val="0"/>
        </w:rPr>
      </w:pPr>
      <w:r>
        <w:rPr>
          <w:snapToGrid w:val="0"/>
        </w:rPr>
        <w:tab/>
        <w:t>(e)</w:t>
      </w:r>
      <w:r>
        <w:rPr>
          <w:snapToGrid w:val="0"/>
        </w:rPr>
        <w:tab/>
        <w:t>invest any moneys in its administrative fund or reserve fund in any manner permitted by law for the investment of trust funds or in any investment prescribed; and</w:t>
      </w:r>
    </w:p>
    <w:p>
      <w:pPr>
        <w:pStyle w:val="Indenta"/>
        <w:rPr>
          <w:snapToGrid w:val="0"/>
        </w:rPr>
      </w:pPr>
      <w:r>
        <w:rPr>
          <w:snapToGrid w:val="0"/>
        </w:rPr>
        <w:tab/>
        <w:t>(f)</w:t>
      </w:r>
      <w:r>
        <w:rPr>
          <w:snapToGrid w:val="0"/>
        </w:rPr>
        <w:tab/>
        <w:t>where the strata company considers it necessary, effect a compromise of any action for the recovery of money due to the strata company; and</w:t>
      </w:r>
    </w:p>
    <w:p>
      <w:pPr>
        <w:pStyle w:val="Indenta"/>
        <w:rPr>
          <w:snapToGrid w:val="0"/>
        </w:rPr>
      </w:pPr>
      <w:r>
        <w:rPr>
          <w:snapToGrid w:val="0"/>
        </w:rPr>
        <w:tab/>
        <w:t>(g)</w:t>
      </w:r>
      <w:r>
        <w:rPr>
          <w:snapToGrid w:val="0"/>
        </w:rPr>
        <w:tab/>
        <w:t>make an agreement with any proprietor or occupier of a lot for the provision of amenities or services by it to that lot or to the proprietor or occupier of that lot; and</w:t>
      </w:r>
    </w:p>
    <w:p>
      <w:pPr>
        <w:pStyle w:val="Indenta"/>
        <w:rPr>
          <w:snapToGrid w:val="0"/>
        </w:rPr>
      </w:pPr>
      <w:r>
        <w:rPr>
          <w:snapToGrid w:val="0"/>
        </w:rPr>
        <w:tab/>
        <w:t>(h)</w:t>
      </w:r>
      <w:r>
        <w:rPr>
          <w:snapToGrid w:val="0"/>
        </w:rPr>
        <w:tab/>
        <w:t>accept or acquire a lease, licence or permit for the purpose of providing moorings or landings for vessels.</w:t>
      </w:r>
    </w:p>
    <w:p>
      <w:pPr>
        <w:pStyle w:val="Subsection"/>
        <w:rPr>
          <w:snapToGrid w:val="0"/>
        </w:rPr>
      </w:pPr>
      <w:r>
        <w:rPr>
          <w:snapToGrid w:val="0"/>
        </w:rPr>
        <w:tab/>
        <w:t>(2)</w:t>
      </w:r>
      <w:r>
        <w:rPr>
          <w:snapToGrid w:val="0"/>
        </w:rPr>
        <w:tab/>
        <w:t>Any interest received on an investment made under subsection (1) shall form part of the fund to which the investment belongs.</w:t>
      </w:r>
    </w:p>
    <w:p>
      <w:pPr>
        <w:pStyle w:val="Heading5"/>
        <w:rPr>
          <w:snapToGrid w:val="0"/>
        </w:rPr>
      </w:pPr>
      <w:bookmarkStart w:id="155" w:name="_Toc530554890"/>
      <w:r>
        <w:rPr>
          <w:rStyle w:val="CharSectno"/>
        </w:rPr>
        <w:t>38</w:t>
      </w:r>
      <w:r>
        <w:rPr>
          <w:snapToGrid w:val="0"/>
        </w:rPr>
        <w:t>.</w:t>
      </w:r>
      <w:r>
        <w:rPr>
          <w:snapToGrid w:val="0"/>
        </w:rPr>
        <w:tab/>
        <w:t>Power of strata company to carry out work</w:t>
      </w:r>
      <w:bookmarkEnd w:id="155"/>
    </w:p>
    <w:p>
      <w:pPr>
        <w:pStyle w:val="Subsection"/>
        <w:rPr>
          <w:snapToGrid w:val="0"/>
        </w:rPr>
      </w:pPr>
      <w:r>
        <w:rPr>
          <w:snapToGrid w:val="0"/>
        </w:rPr>
        <w:tab/>
        <w:t>(1)</w:t>
      </w:r>
      <w:r>
        <w:rPr>
          <w:snapToGrid w:val="0"/>
        </w:rPr>
        <w:tab/>
        <w:t>Where a notice has been served on the proprietor of a lot by a public authority or local government requiring that proprietor to carry out any work on or in relation to that lot and the notice is not complied with, the strata company may carry out the work.</w:t>
      </w:r>
    </w:p>
    <w:p>
      <w:pPr>
        <w:pStyle w:val="Subsection"/>
        <w:keepNext/>
        <w:rPr>
          <w:snapToGrid w:val="0"/>
        </w:rPr>
      </w:pPr>
      <w:r>
        <w:rPr>
          <w:snapToGrid w:val="0"/>
        </w:rPr>
        <w:tab/>
        <w:t>(2)</w:t>
      </w:r>
      <w:r>
        <w:rPr>
          <w:snapToGrid w:val="0"/>
        </w:rPr>
        <w:tab/>
        <w:t>Where a proprietor, mortgagee in possession, or occupier of a lot fails or neglects to carry out any work —</w:t>
      </w:r>
    </w:p>
    <w:p>
      <w:pPr>
        <w:pStyle w:val="Indenta"/>
        <w:rPr>
          <w:snapToGrid w:val="0"/>
        </w:rPr>
      </w:pPr>
      <w:r>
        <w:rPr>
          <w:snapToGrid w:val="0"/>
        </w:rPr>
        <w:tab/>
        <w:t>(a)</w:t>
      </w:r>
      <w:r>
        <w:rPr>
          <w:snapToGrid w:val="0"/>
        </w:rPr>
        <w:tab/>
        <w:t>required to be carried out by him under a term or condition of a by</w:t>
      </w:r>
      <w:r>
        <w:rPr>
          <w:snapToGrid w:val="0"/>
        </w:rPr>
        <w:noBreakHyphen/>
        <w:t>law referred to in section 42(8); or</w:t>
      </w:r>
    </w:p>
    <w:p>
      <w:pPr>
        <w:pStyle w:val="Indenta"/>
        <w:rPr>
          <w:snapToGrid w:val="0"/>
        </w:rPr>
      </w:pPr>
      <w:r>
        <w:rPr>
          <w:snapToGrid w:val="0"/>
        </w:rPr>
        <w:tab/>
        <w:t>(b)</w:t>
      </w:r>
      <w:r>
        <w:rPr>
          <w:snapToGrid w:val="0"/>
        </w:rPr>
        <w:tab/>
        <w:t>necessary to remedy a breach of the duty imposed on him by section 11(2),</w:t>
      </w:r>
    </w:p>
    <w:p>
      <w:pPr>
        <w:pStyle w:val="Subsection"/>
        <w:spacing w:before="120"/>
        <w:rPr>
          <w:snapToGrid w:val="0"/>
        </w:rPr>
      </w:pPr>
      <w:r>
        <w:rPr>
          <w:snapToGrid w:val="0"/>
        </w:rPr>
        <w:tab/>
      </w:r>
      <w:r>
        <w:rPr>
          <w:snapToGrid w:val="0"/>
        </w:rPr>
        <w:tab/>
        <w:t>the strata company may carry out that work.</w:t>
      </w:r>
    </w:p>
    <w:p>
      <w:pPr>
        <w:pStyle w:val="Subsection"/>
        <w:rPr>
          <w:snapToGrid w:val="0"/>
          <w:spacing w:val="-4"/>
        </w:rPr>
      </w:pPr>
      <w:r>
        <w:rPr>
          <w:snapToGrid w:val="0"/>
          <w:spacing w:val="-4"/>
        </w:rPr>
        <w:tab/>
        <w:t>(3)</w:t>
      </w:r>
      <w:r>
        <w:rPr>
          <w:snapToGrid w:val="0"/>
          <w:spacing w:val="-4"/>
        </w:rPr>
        <w:tab/>
        <w:t>Where a proprietor, mortgagee in possession, or occupier of a lot fails or neglects to carry out any work on or in relation to that lot required to be carried out by order of a court or tribunal, the strata company may carry out the work specified in the order.</w:t>
      </w:r>
    </w:p>
    <w:p>
      <w:pPr>
        <w:pStyle w:val="Subsection"/>
        <w:rPr>
          <w:snapToGrid w:val="0"/>
        </w:rPr>
      </w:pPr>
      <w:r>
        <w:rPr>
          <w:snapToGrid w:val="0"/>
        </w:rPr>
        <w:tab/>
        <w:t>(4)</w:t>
      </w:r>
      <w:r>
        <w:rPr>
          <w:snapToGrid w:val="0"/>
        </w:rPr>
        <w:tab/>
        <w:t>Where the strata company carries out any work on or in relation to a lot or common property pursuant to subsection (1), other than work performed for the benefit of the building generally, or (2), it may, subject to section 43(4), recover the cost of so doing, as a debt in a court of competent jurisdiction —</w:t>
      </w:r>
    </w:p>
    <w:p>
      <w:pPr>
        <w:pStyle w:val="Indenta"/>
        <w:rPr>
          <w:snapToGrid w:val="0"/>
        </w:rPr>
      </w:pPr>
      <w:r>
        <w:rPr>
          <w:snapToGrid w:val="0"/>
        </w:rPr>
        <w:tab/>
        <w:t>(a)</w:t>
      </w:r>
      <w:r>
        <w:rPr>
          <w:snapToGrid w:val="0"/>
        </w:rPr>
        <w:tab/>
        <w:t>from the proprietor, mortgagee in possession, or occupier referred to in subsection (1) or (2); or</w:t>
      </w:r>
    </w:p>
    <w:p>
      <w:pPr>
        <w:pStyle w:val="Indenta"/>
        <w:keepNext/>
        <w:rPr>
          <w:snapToGrid w:val="0"/>
        </w:rPr>
      </w:pPr>
      <w:r>
        <w:rPr>
          <w:snapToGrid w:val="0"/>
        </w:rPr>
        <w:tab/>
        <w:t>(b)</w:t>
      </w:r>
      <w:r>
        <w:rPr>
          <w:snapToGrid w:val="0"/>
        </w:rPr>
        <w:tab/>
        <w:t>where the work is carried out pursuant to —</w:t>
      </w:r>
    </w:p>
    <w:p>
      <w:pPr>
        <w:pStyle w:val="Indenti"/>
        <w:rPr>
          <w:snapToGrid w:val="0"/>
        </w:rPr>
      </w:pPr>
      <w:r>
        <w:rPr>
          <w:snapToGrid w:val="0"/>
        </w:rPr>
        <w:tab/>
        <w:t>(i)</w:t>
      </w:r>
      <w:r>
        <w:rPr>
          <w:snapToGrid w:val="0"/>
        </w:rPr>
        <w:tab/>
        <w:t>subsection (1) or (2)(b), from any person who, after the work is carried out, becomes the proprietor of the lot on or in relation to which the work was carried out; or</w:t>
      </w:r>
    </w:p>
    <w:p>
      <w:pPr>
        <w:pStyle w:val="Indenti"/>
        <w:rPr>
          <w:snapToGrid w:val="0"/>
        </w:rPr>
      </w:pPr>
      <w:r>
        <w:rPr>
          <w:snapToGrid w:val="0"/>
        </w:rPr>
        <w:tab/>
        <w:t>(ii)</w:t>
      </w:r>
      <w:r>
        <w:rPr>
          <w:snapToGrid w:val="0"/>
        </w:rPr>
        <w:tab/>
        <w:t>subsection (2)(a), from any person who, after the work is carried out, becomes the proprietor of the lot in respect of which the by</w:t>
      </w:r>
      <w:r>
        <w:rPr>
          <w:snapToGrid w:val="0"/>
        </w:rPr>
        <w:noBreakHyphen/>
        <w:t>law referred to in subsection (2)(a) was made.</w:t>
      </w:r>
    </w:p>
    <w:p>
      <w:pPr>
        <w:pStyle w:val="Subsection"/>
        <w:rPr>
          <w:snapToGrid w:val="0"/>
        </w:rPr>
      </w:pPr>
      <w:r>
        <w:rPr>
          <w:snapToGrid w:val="0"/>
        </w:rPr>
        <w:tab/>
        <w:t>(5)</w:t>
      </w:r>
      <w:r>
        <w:rPr>
          <w:snapToGrid w:val="0"/>
        </w:rPr>
        <w:tab/>
        <w:t>Where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any part of a building comprised in a lot contains a structural defect which affects or is likely to affect the support or shelter provided by that lot for another lot in that building or the common property; or</w:t>
      </w:r>
    </w:p>
    <w:p>
      <w:pPr>
        <w:pStyle w:val="Indenta"/>
        <w:rPr>
          <w:snapToGrid w:val="0"/>
        </w:rPr>
      </w:pPr>
      <w:r>
        <w:rPr>
          <w:snapToGrid w:val="0"/>
        </w:rPr>
        <w:tab/>
        <w:t>(b)</w:t>
      </w:r>
      <w:r>
        <w:rPr>
          <w:snapToGrid w:val="0"/>
        </w:rPr>
        <w:tab/>
        <w:t>a defect occurs in any pipes, wires, cables or ducts referred to in section 11(2)(b) within a lot,</w:t>
      </w:r>
    </w:p>
    <w:p>
      <w:pPr>
        <w:pStyle w:val="Subsection"/>
        <w:keepNext/>
        <w:spacing w:before="120"/>
        <w:rPr>
          <w:snapToGrid w:val="0"/>
          <w:spacing w:val="-4"/>
        </w:rPr>
      </w:pPr>
      <w:r>
        <w:rPr>
          <w:snapToGrid w:val="0"/>
          <w:spacing w:val="-4"/>
        </w:rPr>
        <w:tab/>
      </w:r>
      <w:r>
        <w:rPr>
          <w:snapToGrid w:val="0"/>
          <w:spacing w:val="-4"/>
        </w:rPr>
        <w:tab/>
        <w:t>and the defect is not due to any breach of the duty imposed on any person by section 11(2), the strata company may, at its own expense, carry out such work as is necessary to rectify the defect.</w:t>
      </w:r>
    </w:p>
    <w:p>
      <w:pPr>
        <w:pStyle w:val="Footnotesection"/>
      </w:pPr>
      <w:r>
        <w:tab/>
        <w:t>[Section 38 amended: No. 14 of 1996 s. 4; No. 55 of 2004 s. 1119.]</w:t>
      </w:r>
    </w:p>
    <w:p>
      <w:pPr>
        <w:pStyle w:val="Heading5"/>
        <w:rPr>
          <w:snapToGrid w:val="0"/>
        </w:rPr>
      </w:pPr>
      <w:bookmarkStart w:id="156" w:name="_Toc530554891"/>
      <w:r>
        <w:rPr>
          <w:rStyle w:val="CharSectno"/>
        </w:rPr>
        <w:t>39</w:t>
      </w:r>
      <w:r>
        <w:rPr>
          <w:snapToGrid w:val="0"/>
        </w:rPr>
        <w:t>.</w:t>
      </w:r>
      <w:r>
        <w:rPr>
          <w:snapToGrid w:val="0"/>
        </w:rPr>
        <w:tab/>
        <w:t>Power of strata company to enter</w:t>
      </w:r>
      <w:bookmarkEnd w:id="156"/>
    </w:p>
    <w:p>
      <w:pPr>
        <w:pStyle w:val="Subsection"/>
        <w:keepNext/>
        <w:rPr>
          <w:snapToGrid w:val="0"/>
        </w:rPr>
      </w:pPr>
      <w:r>
        <w:rPr>
          <w:snapToGrid w:val="0"/>
        </w:rPr>
        <w:tab/>
        <w:t>(1)</w:t>
      </w:r>
      <w:r>
        <w:rPr>
          <w:snapToGrid w:val="0"/>
        </w:rPr>
        <w:tab/>
        <w:t>For the purpose of carrying out —</w:t>
      </w:r>
    </w:p>
    <w:p>
      <w:pPr>
        <w:pStyle w:val="Indenta"/>
        <w:rPr>
          <w:snapToGrid w:val="0"/>
        </w:rPr>
      </w:pPr>
      <w:r>
        <w:rPr>
          <w:snapToGrid w:val="0"/>
        </w:rPr>
        <w:tab/>
        <w:t>(a)</w:t>
      </w:r>
      <w:r>
        <w:rPr>
          <w:snapToGrid w:val="0"/>
        </w:rPr>
        <w:tab/>
        <w:t>any work pursuant to section 38(1), (2), (3) or (6); or</w:t>
      </w:r>
    </w:p>
    <w:p>
      <w:pPr>
        <w:pStyle w:val="Indenta"/>
        <w:rPr>
          <w:snapToGrid w:val="0"/>
        </w:rPr>
      </w:pPr>
      <w:r>
        <w:rPr>
          <w:snapToGrid w:val="0"/>
        </w:rPr>
        <w:tab/>
        <w:t>(b)</w:t>
      </w:r>
      <w:r>
        <w:rPr>
          <w:snapToGrid w:val="0"/>
        </w:rPr>
        <w:tab/>
        <w:t>any work required to be carried out by a strata company by a notice or order of a public authority or local government; or</w:t>
      </w:r>
    </w:p>
    <w:p>
      <w:pPr>
        <w:pStyle w:val="Indenta"/>
        <w:rPr>
          <w:snapToGrid w:val="0"/>
        </w:rPr>
      </w:pPr>
      <w:r>
        <w:rPr>
          <w:snapToGrid w:val="0"/>
        </w:rPr>
        <w:tab/>
        <w:t>(c)</w:t>
      </w:r>
      <w:r>
        <w:rPr>
          <w:snapToGrid w:val="0"/>
        </w:rPr>
        <w:tab/>
        <w:t>any work referred to in section 35(1)(c); or</w:t>
      </w:r>
    </w:p>
    <w:p>
      <w:pPr>
        <w:pStyle w:val="Indenta"/>
        <w:rPr>
          <w:snapToGrid w:val="0"/>
        </w:rPr>
      </w:pPr>
      <w:r>
        <w:rPr>
          <w:snapToGrid w:val="0"/>
        </w:rPr>
        <w:tab/>
        <w:t>(d)</w:t>
      </w:r>
      <w:r>
        <w:rPr>
          <w:snapToGrid w:val="0"/>
        </w:rPr>
        <w:tab/>
        <w:t>any work necessary to repair or renew any pipes, wires, cables or ducts referred to in section 11(2)(b); or</w:t>
      </w:r>
    </w:p>
    <w:p>
      <w:pPr>
        <w:pStyle w:val="Indenta"/>
        <w:rPr>
          <w:snapToGrid w:val="0"/>
        </w:rPr>
      </w:pPr>
      <w:r>
        <w:rPr>
          <w:snapToGrid w:val="0"/>
        </w:rPr>
        <w:tab/>
        <w:t>(e)</w:t>
      </w:r>
      <w:r>
        <w:rPr>
          <w:snapToGrid w:val="0"/>
        </w:rPr>
        <w:tab/>
        <w:t>any work required to be carried out by the strata company by order of a court or tribunal,</w:t>
      </w:r>
    </w:p>
    <w:p>
      <w:pPr>
        <w:pStyle w:val="Subsection"/>
        <w:keepNext/>
        <w:spacing w:before="120"/>
        <w:rPr>
          <w:snapToGrid w:val="0"/>
        </w:rPr>
      </w:pPr>
      <w:r>
        <w:rPr>
          <w:snapToGrid w:val="0"/>
        </w:rPr>
        <w:tab/>
      </w:r>
      <w:r>
        <w:rPr>
          <w:snapToGrid w:val="0"/>
        </w:rPr>
        <w:tab/>
        <w:t>the strata company may, by its agents, servants or contractors, enter upon any part of the parcel for the purpose of carrying out the work —</w:t>
      </w:r>
    </w:p>
    <w:p>
      <w:pPr>
        <w:pStyle w:val="Indenta"/>
        <w:rPr>
          <w:snapToGrid w:val="0"/>
        </w:rPr>
      </w:pPr>
      <w:r>
        <w:rPr>
          <w:snapToGrid w:val="0"/>
        </w:rPr>
        <w:tab/>
        <w:t>(f)</w:t>
      </w:r>
      <w:r>
        <w:rPr>
          <w:snapToGrid w:val="0"/>
        </w:rPr>
        <w:tab/>
        <w:t>in the case of an emergency, at any time; or</w:t>
      </w:r>
    </w:p>
    <w:p>
      <w:pPr>
        <w:pStyle w:val="Indenta"/>
        <w:rPr>
          <w:snapToGrid w:val="0"/>
        </w:rPr>
      </w:pPr>
      <w:r>
        <w:rPr>
          <w:snapToGrid w:val="0"/>
        </w:rPr>
        <w:tab/>
        <w:t>(g)</w:t>
      </w:r>
      <w:r>
        <w:rPr>
          <w:snapToGrid w:val="0"/>
        </w:rPr>
        <w:tab/>
        <w:t>in any other case, at any reasonable time on notice given to an occupier of that part of the parcel.</w:t>
      </w:r>
    </w:p>
    <w:p>
      <w:pPr>
        <w:pStyle w:val="Subsection"/>
        <w:keepNext/>
        <w:spacing w:before="140"/>
        <w:rPr>
          <w:snapToGrid w:val="0"/>
        </w:rPr>
      </w:pPr>
      <w:r>
        <w:rPr>
          <w:snapToGrid w:val="0"/>
        </w:rPr>
        <w:tab/>
        <w:t>(2)</w:t>
      </w:r>
      <w:r>
        <w:rPr>
          <w:snapToGrid w:val="0"/>
        </w:rPr>
        <w:tab/>
        <w:t>The strata company may, by its agents, enter upon any part of the parcel for the purpose of —</w:t>
      </w:r>
    </w:p>
    <w:p>
      <w:pPr>
        <w:pStyle w:val="Indenta"/>
        <w:spacing w:before="60"/>
        <w:rPr>
          <w:snapToGrid w:val="0"/>
        </w:rPr>
      </w:pPr>
      <w:r>
        <w:rPr>
          <w:snapToGrid w:val="0"/>
        </w:rPr>
        <w:tab/>
        <w:t>(a)</w:t>
      </w:r>
      <w:r>
        <w:rPr>
          <w:snapToGrid w:val="0"/>
        </w:rPr>
        <w:tab/>
        <w:t>inspecting that part of the parcel; or</w:t>
      </w:r>
    </w:p>
    <w:p>
      <w:pPr>
        <w:pStyle w:val="Indenta"/>
        <w:spacing w:before="60"/>
        <w:rPr>
          <w:snapToGrid w:val="0"/>
        </w:rPr>
      </w:pPr>
      <w:r>
        <w:rPr>
          <w:snapToGrid w:val="0"/>
        </w:rPr>
        <w:tab/>
        <w:t>(b)</w:t>
      </w:r>
      <w:r>
        <w:rPr>
          <w:snapToGrid w:val="0"/>
        </w:rPr>
        <w:tab/>
        <w:t>ensuring that the by</w:t>
      </w:r>
      <w:r>
        <w:rPr>
          <w:snapToGrid w:val="0"/>
        </w:rPr>
        <w:noBreakHyphen/>
        <w:t>laws are being observed,</w:t>
      </w:r>
    </w:p>
    <w:p>
      <w:pPr>
        <w:pStyle w:val="Subsection"/>
        <w:spacing w:before="120"/>
        <w:rPr>
          <w:snapToGrid w:val="0"/>
        </w:rPr>
      </w:pPr>
      <w:r>
        <w:rPr>
          <w:snapToGrid w:val="0"/>
        </w:rPr>
        <w:tab/>
      </w:r>
      <w:r>
        <w:rPr>
          <w:snapToGrid w:val="0"/>
        </w:rPr>
        <w:tab/>
        <w:t>and may do so in the case of an emergency at any time or, in any other case, at any reasonable time on notice given to an occupier of that part of the parcel.</w:t>
      </w:r>
    </w:p>
    <w:p>
      <w:pPr>
        <w:pStyle w:val="Subsection"/>
        <w:keepNext/>
        <w:keepLines/>
        <w:spacing w:before="140"/>
        <w:rPr>
          <w:snapToGrid w:val="0"/>
        </w:rPr>
      </w:pPr>
      <w:r>
        <w:rPr>
          <w:snapToGrid w:val="0"/>
        </w:rPr>
        <w:tab/>
        <w:t>(3)</w:t>
      </w:r>
      <w:r>
        <w:rPr>
          <w:snapToGrid w:val="0"/>
        </w:rPr>
        <w:tab/>
        <w:t>A person shall not obstruct or hinder a strata company in the exercise of its power under subsection (1) or (2).</w:t>
      </w:r>
    </w:p>
    <w:p>
      <w:pPr>
        <w:pStyle w:val="Penstart"/>
        <w:rPr>
          <w:snapToGrid w:val="0"/>
        </w:rPr>
      </w:pPr>
      <w:r>
        <w:rPr>
          <w:snapToGrid w:val="0"/>
        </w:rPr>
        <w:tab/>
        <w:t>Penalty: $400.</w:t>
      </w:r>
    </w:p>
    <w:p>
      <w:pPr>
        <w:pStyle w:val="Footnotesection"/>
        <w:spacing w:before="100"/>
      </w:pPr>
      <w:r>
        <w:tab/>
        <w:t>[Section 39 amended: No. 58 of 1995 s. 94; No. 14 of 1996 s. 4; No. 74 of 2003 s. 112(12); No. 55 of 2004 s. 1120.]</w:t>
      </w:r>
    </w:p>
    <w:p>
      <w:pPr>
        <w:pStyle w:val="Heading5"/>
        <w:rPr>
          <w:snapToGrid w:val="0"/>
        </w:rPr>
      </w:pPr>
      <w:bookmarkStart w:id="157" w:name="_Toc530554892"/>
      <w:r>
        <w:rPr>
          <w:rStyle w:val="CharSectno"/>
        </w:rPr>
        <w:t>39A</w:t>
      </w:r>
      <w:r>
        <w:rPr>
          <w:snapToGrid w:val="0"/>
        </w:rPr>
        <w:t>.</w:t>
      </w:r>
      <w:r>
        <w:rPr>
          <w:snapToGrid w:val="0"/>
        </w:rPr>
        <w:tab/>
        <w:t>Power to terminate certain contracts for services</w:t>
      </w:r>
      <w:bookmarkEnd w:id="157"/>
    </w:p>
    <w:p>
      <w:pPr>
        <w:pStyle w:val="Subsection"/>
        <w:spacing w:before="120"/>
        <w:rPr>
          <w:snapToGrid w:val="0"/>
        </w:rPr>
      </w:pPr>
      <w:r>
        <w:rPr>
          <w:snapToGrid w:val="0"/>
        </w:rPr>
        <w:tab/>
        <w:t>(1)</w:t>
      </w:r>
      <w:r>
        <w:rPr>
          <w:snapToGrid w:val="0"/>
        </w:rPr>
        <w:tab/>
        <w:t>There is implied in every agreement to which this section applies a provision that the strata company may terminate the agreement, by notice in writing to every other party to the agreement, after 5 years have passed since the agreement was entered into.</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t>An agreement shall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This section applies to an agreement if —</w:t>
      </w:r>
    </w:p>
    <w:p>
      <w:pPr>
        <w:pStyle w:val="Indenta"/>
        <w:spacing w:before="60"/>
        <w:rPr>
          <w:snapToGrid w:val="0"/>
        </w:rPr>
      </w:pPr>
      <w:r>
        <w:rPr>
          <w:snapToGrid w:val="0"/>
        </w:rPr>
        <w:tab/>
        <w:t>(a)</w:t>
      </w:r>
      <w:r>
        <w:rPr>
          <w:snapToGrid w:val="0"/>
        </w:rPr>
        <w:tab/>
        <w:t>it relates to the provision of services to the strata company or the proprietors, including the services of an agent in connection with the management of the common property or the performance of the functions of the strata company;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it was entered into by the strata company when any proprietor held 50% or more of the aggregate unit entitlement of the lots; or</w:t>
      </w:r>
    </w:p>
    <w:p>
      <w:pPr>
        <w:pStyle w:val="Indenti"/>
        <w:rPr>
          <w:snapToGrid w:val="0"/>
        </w:rPr>
      </w:pPr>
      <w:r>
        <w:rPr>
          <w:snapToGrid w:val="0"/>
        </w:rPr>
        <w:tab/>
        <w:t>(ii)</w:t>
      </w:r>
      <w:r>
        <w:rPr>
          <w:snapToGrid w:val="0"/>
        </w:rPr>
        <w:tab/>
        <w:t>the State Administrative Tribunal has, by order made on the application of a proprietor, determined that the agreement is unfair to the proprietors of 25% or more of the aggregate unit entitlement of the lots.</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may, on the application of any person made in respect of an agreement, by order extend the period of 5 years provided for by subsection (1), so far as it applies to that agreement, if satisfied that the agreement —</w:t>
      </w:r>
    </w:p>
    <w:p>
      <w:pPr>
        <w:pStyle w:val="Indenta"/>
        <w:rPr>
          <w:snapToGrid w:val="0"/>
        </w:rPr>
      </w:pPr>
      <w:r>
        <w:rPr>
          <w:snapToGrid w:val="0"/>
        </w:rPr>
        <w:tab/>
        <w:t>(a)</w:t>
      </w:r>
      <w:r>
        <w:rPr>
          <w:snapToGrid w:val="0"/>
        </w:rPr>
        <w:tab/>
        <w:t>is fair to all proprietors; and</w:t>
      </w:r>
    </w:p>
    <w:p>
      <w:pPr>
        <w:pStyle w:val="Indenta"/>
        <w:rPr>
          <w:snapToGrid w:val="0"/>
        </w:rPr>
      </w:pPr>
      <w:r>
        <w:rPr>
          <w:snapToGrid w:val="0"/>
        </w:rPr>
        <w:tab/>
        <w:t>(b)</w:t>
      </w:r>
      <w:r>
        <w:rPr>
          <w:snapToGrid w:val="0"/>
        </w:rPr>
        <w:tab/>
        <w:t>will remain fair to all proprietors during the extended period.</w:t>
      </w:r>
    </w:p>
    <w:p>
      <w:pPr>
        <w:pStyle w:val="Subsection"/>
        <w:rPr>
          <w:snapToGrid w:val="0"/>
        </w:rPr>
      </w:pPr>
      <w:r>
        <w:rPr>
          <w:snapToGrid w:val="0"/>
        </w:rPr>
        <w:tab/>
        <w:t>(6)</w:t>
      </w:r>
      <w:r>
        <w:rPr>
          <w:snapToGrid w:val="0"/>
        </w:rPr>
        <w:tab/>
        <w:t>An extended period under subsection (5) is not to exceed the term specified in the agreement or a period of 10 years from the time when the agreement was entered into, whichever is the lesser.</w:t>
      </w:r>
    </w:p>
    <w:p>
      <w:pPr>
        <w:pStyle w:val="Subsection"/>
        <w:rPr>
          <w:snapToGrid w:val="0"/>
        </w:rPr>
      </w:pPr>
      <w:r>
        <w:rPr>
          <w:snapToGrid w:val="0"/>
        </w:rPr>
        <w:tab/>
        <w:t>(7)</w:t>
      </w:r>
      <w:r>
        <w:rPr>
          <w:snapToGrid w:val="0"/>
        </w:rPr>
        <w:tab/>
        <w:t>The provisions of Part VI apply to an application made to the State Administrative Tribunal under subsection (4)(c)(ii) or (5) and to an order made by the State Administrative Tribunal in the same way as they apply to an application and an order made under that Part.</w:t>
      </w:r>
    </w:p>
    <w:p>
      <w:pPr>
        <w:pStyle w:val="Footnotesection"/>
        <w:spacing w:before="140"/>
        <w:ind w:left="890" w:hanging="890"/>
      </w:pPr>
      <w:r>
        <w:tab/>
        <w:t>[Section 39A inserted: No. 58 of 1995 s. 41; amended: No. 55 of 2004 s. 1121, 1156(1) and (3) and 1158.]</w:t>
      </w:r>
    </w:p>
    <w:p>
      <w:pPr>
        <w:pStyle w:val="Heading5"/>
        <w:rPr>
          <w:snapToGrid w:val="0"/>
        </w:rPr>
      </w:pPr>
      <w:bookmarkStart w:id="158" w:name="_Toc530554893"/>
      <w:r>
        <w:rPr>
          <w:rStyle w:val="CharSectno"/>
        </w:rPr>
        <w:t>40</w:t>
      </w:r>
      <w:r>
        <w:rPr>
          <w:snapToGrid w:val="0"/>
        </w:rPr>
        <w:t>.</w:t>
      </w:r>
      <w:r>
        <w:rPr>
          <w:snapToGrid w:val="0"/>
        </w:rPr>
        <w:tab/>
        <w:t>Change of strata company’s address for service</w:t>
      </w:r>
      <w:bookmarkEnd w:id="158"/>
    </w:p>
    <w:p>
      <w:pPr>
        <w:pStyle w:val="Subsection"/>
        <w:rPr>
          <w:snapToGrid w:val="0"/>
        </w:rPr>
      </w:pPr>
      <w:r>
        <w:rPr>
          <w:snapToGrid w:val="0"/>
        </w:rPr>
        <w:tab/>
        <w:t>(1)</w:t>
      </w:r>
      <w:r>
        <w:rPr>
          <w:snapToGrid w:val="0"/>
        </w:rPr>
        <w:tab/>
        <w:t>A strata company may, in general meeting, resolve that the address registered by the Registrar of Titles for the service of notices on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that the address for the service of notices on it shall be changed; and</w:t>
      </w:r>
    </w:p>
    <w:p>
      <w:pPr>
        <w:pStyle w:val="Indenta"/>
        <w:spacing w:before="60"/>
        <w:rPr>
          <w:snapToGrid w:val="0"/>
        </w:rPr>
      </w:pPr>
      <w:r>
        <w:rPr>
          <w:snapToGrid w:val="0"/>
        </w:rPr>
        <w:tab/>
        <w:t>(b)</w:t>
      </w:r>
      <w:r>
        <w:rPr>
          <w:snapToGrid w:val="0"/>
        </w:rPr>
        <w:tab/>
        <w:t>notice in the prescribed form of the change of address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made such record with respect to the change of address as he considers appropriate,</w:t>
      </w:r>
    </w:p>
    <w:p>
      <w:pPr>
        <w:pStyle w:val="Subsection"/>
        <w:spacing w:before="120"/>
        <w:rPr>
          <w:snapToGrid w:val="0"/>
        </w:rPr>
      </w:pPr>
      <w:r>
        <w:rPr>
          <w:snapToGrid w:val="0"/>
        </w:rPr>
        <w:tab/>
      </w:r>
      <w:r>
        <w:rPr>
          <w:snapToGrid w:val="0"/>
        </w:rPr>
        <w:tab/>
        <w:t>the address for service of notices on the strata company shall, notwithstanding any other provision of this Act, be the address so recorded.</w:t>
      </w:r>
    </w:p>
    <w:p>
      <w:pPr>
        <w:pStyle w:val="Footnotesection"/>
      </w:pPr>
      <w:r>
        <w:tab/>
        <w:t>[Section 40 amended: No. 60 of 2006 s. 160(6).]</w:t>
      </w:r>
    </w:p>
    <w:p>
      <w:pPr>
        <w:pStyle w:val="Heading5"/>
        <w:rPr>
          <w:snapToGrid w:val="0"/>
        </w:rPr>
      </w:pPr>
      <w:bookmarkStart w:id="159" w:name="_Toc530554894"/>
      <w:r>
        <w:rPr>
          <w:rStyle w:val="CharSectno"/>
        </w:rPr>
        <w:t>41</w:t>
      </w:r>
      <w:r>
        <w:rPr>
          <w:snapToGrid w:val="0"/>
        </w:rPr>
        <w:t>.</w:t>
      </w:r>
      <w:r>
        <w:rPr>
          <w:snapToGrid w:val="0"/>
        </w:rPr>
        <w:tab/>
        <w:t>Change of name of strata company</w:t>
      </w:r>
      <w:bookmarkEnd w:id="159"/>
    </w:p>
    <w:p>
      <w:pPr>
        <w:pStyle w:val="Subsection"/>
        <w:rPr>
          <w:snapToGrid w:val="0"/>
        </w:rPr>
      </w:pPr>
      <w:r>
        <w:rPr>
          <w:snapToGrid w:val="0"/>
        </w:rPr>
        <w:tab/>
        <w:t>(1)</w:t>
      </w:r>
      <w:r>
        <w:rPr>
          <w:snapToGrid w:val="0"/>
        </w:rPr>
        <w:tab/>
        <w:t>A strata company may by special resolution and with the approval of the Registrar of Titles resolve that the name of the scheme and, in consequence, the name of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to change its name; and</w:t>
      </w:r>
    </w:p>
    <w:p>
      <w:pPr>
        <w:pStyle w:val="Indenta"/>
        <w:spacing w:before="60"/>
        <w:rPr>
          <w:snapToGrid w:val="0"/>
        </w:rPr>
      </w:pPr>
      <w:r>
        <w:rPr>
          <w:snapToGrid w:val="0"/>
        </w:rPr>
        <w:tab/>
        <w:t>(b)</w:t>
      </w:r>
      <w:r>
        <w:rPr>
          <w:snapToGrid w:val="0"/>
        </w:rPr>
        <w:tab/>
        <w:t>notice in the prescribed form of the change of name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recorded the change of name on the strata/survey</w:t>
      </w:r>
      <w:r>
        <w:rPr>
          <w:snapToGrid w:val="0"/>
        </w:rPr>
        <w:noBreakHyphen/>
        <w:t>strata plan,</w:t>
      </w:r>
    </w:p>
    <w:p>
      <w:pPr>
        <w:pStyle w:val="Subsection"/>
        <w:spacing w:before="120"/>
        <w:rPr>
          <w:snapToGrid w:val="0"/>
        </w:rPr>
      </w:pPr>
      <w:r>
        <w:rPr>
          <w:snapToGrid w:val="0"/>
        </w:rPr>
        <w:tab/>
      </w:r>
      <w:r>
        <w:rPr>
          <w:snapToGrid w:val="0"/>
        </w:rPr>
        <w:tab/>
        <w:t>the name of the strata company shall, notwithstanding any other provision of this Act, be the name so recorded.</w:t>
      </w:r>
    </w:p>
    <w:p>
      <w:pPr>
        <w:pStyle w:val="Subsection"/>
        <w:keepNext/>
        <w:rPr>
          <w:snapToGrid w:val="0"/>
        </w:rPr>
      </w:pPr>
      <w:r>
        <w:rPr>
          <w:snapToGrid w:val="0"/>
        </w:rPr>
        <w:tab/>
        <w:t>(3)</w:t>
      </w:r>
      <w:r>
        <w:rPr>
          <w:snapToGrid w:val="0"/>
        </w:rPr>
        <w:tab/>
        <w:t>A change of name of a strata company under this section does not operate —</w:t>
      </w:r>
    </w:p>
    <w:p>
      <w:pPr>
        <w:pStyle w:val="Indenta"/>
        <w:spacing w:before="60"/>
        <w:rPr>
          <w:snapToGrid w:val="0"/>
        </w:rPr>
      </w:pPr>
      <w:r>
        <w:rPr>
          <w:snapToGrid w:val="0"/>
        </w:rPr>
        <w:tab/>
        <w:t>(a)</w:t>
      </w:r>
      <w:r>
        <w:rPr>
          <w:snapToGrid w:val="0"/>
        </w:rPr>
        <w:tab/>
        <w:t>to create a new legal entity; or</w:t>
      </w:r>
    </w:p>
    <w:p>
      <w:pPr>
        <w:pStyle w:val="Indenta"/>
        <w:spacing w:before="60"/>
        <w:rPr>
          <w:snapToGrid w:val="0"/>
        </w:rPr>
      </w:pPr>
      <w:r>
        <w:rPr>
          <w:snapToGrid w:val="0"/>
        </w:rPr>
        <w:tab/>
        <w:t>(b)</w:t>
      </w:r>
      <w:r>
        <w:rPr>
          <w:snapToGrid w:val="0"/>
        </w:rPr>
        <w:tab/>
        <w:t>to prejudice or affect the identity of the body corporate constituted by the strata company or its continuity as a body corporate; or</w:t>
      </w:r>
    </w:p>
    <w:p>
      <w:pPr>
        <w:pStyle w:val="Indenta"/>
        <w:rPr>
          <w:snapToGrid w:val="0"/>
        </w:rPr>
      </w:pPr>
      <w:r>
        <w:rPr>
          <w:snapToGrid w:val="0"/>
        </w:rPr>
        <w:tab/>
        <w:t>(c)</w:t>
      </w:r>
      <w:r>
        <w:rPr>
          <w:snapToGrid w:val="0"/>
        </w:rPr>
        <w:tab/>
        <w:t>to affect the property, or the rights or obligations, of the strata company; or</w:t>
      </w:r>
    </w:p>
    <w:p>
      <w:pPr>
        <w:pStyle w:val="Indenta"/>
        <w:rPr>
          <w:snapToGrid w:val="0"/>
        </w:rPr>
      </w:pPr>
      <w:r>
        <w:rPr>
          <w:snapToGrid w:val="0"/>
        </w:rPr>
        <w:tab/>
        <w:t>(d)</w:t>
      </w:r>
      <w:r>
        <w:rPr>
          <w:snapToGrid w:val="0"/>
        </w:rPr>
        <w:tab/>
        <w:t>to render defective any legal proceedings by or against the strata company,</w:t>
      </w:r>
    </w:p>
    <w:p>
      <w:pPr>
        <w:pStyle w:val="Subsection"/>
        <w:keepNext/>
        <w:spacing w:before="120"/>
        <w:rPr>
          <w:snapToGrid w:val="0"/>
          <w:spacing w:val="-4"/>
        </w:rPr>
      </w:pPr>
      <w:r>
        <w:rPr>
          <w:snapToGrid w:val="0"/>
          <w:spacing w:val="-4"/>
        </w:rPr>
        <w:tab/>
      </w:r>
      <w:r>
        <w:rPr>
          <w:snapToGrid w:val="0"/>
          <w:spacing w:val="-4"/>
        </w:rPr>
        <w:tab/>
        <w:t>and any legal proceedings that could have been continued or commenced by or against the strata company by its former name may be continued or commenced by or against it by its new name.</w:t>
      </w:r>
    </w:p>
    <w:p>
      <w:pPr>
        <w:pStyle w:val="Footnotesection"/>
      </w:pPr>
      <w:r>
        <w:tab/>
        <w:t>[Section 41 amended: No. 58 of 1995 s. 42 and 95; No. 60 of 2006 s. 160(7).]</w:t>
      </w:r>
    </w:p>
    <w:p>
      <w:pPr>
        <w:pStyle w:val="Heading5"/>
        <w:rPr>
          <w:snapToGrid w:val="0"/>
        </w:rPr>
      </w:pPr>
      <w:bookmarkStart w:id="160" w:name="_Toc530554895"/>
      <w:r>
        <w:rPr>
          <w:rStyle w:val="CharSectno"/>
        </w:rPr>
        <w:t>42</w:t>
      </w:r>
      <w:r>
        <w:rPr>
          <w:snapToGrid w:val="0"/>
        </w:rPr>
        <w:t>.</w:t>
      </w:r>
      <w:r>
        <w:rPr>
          <w:snapToGrid w:val="0"/>
        </w:rPr>
        <w:tab/>
        <w:t>By</w:t>
      </w:r>
      <w:r>
        <w:rPr>
          <w:snapToGrid w:val="0"/>
        </w:rPr>
        <w:noBreakHyphen/>
        <w:t>laws</w:t>
      </w:r>
      <w:bookmarkEnd w:id="160"/>
    </w:p>
    <w:p>
      <w:pPr>
        <w:pStyle w:val="Subsection"/>
        <w:keepNext/>
        <w:rPr>
          <w:snapToGrid w:val="0"/>
        </w:rPr>
      </w:pPr>
      <w:r>
        <w:rPr>
          <w:snapToGrid w:val="0"/>
        </w:rPr>
        <w:tab/>
        <w:t>(1)</w:t>
      </w:r>
      <w:r>
        <w:rPr>
          <w:snapToGrid w:val="0"/>
        </w:rPr>
        <w:tab/>
        <w:t>A strata company may make by</w:t>
      </w:r>
      <w:r>
        <w:rPr>
          <w:snapToGrid w:val="0"/>
        </w:rPr>
        <w:noBreakHyphen/>
        <w:t>laws, not inconsistent with this Act, for —</w:t>
      </w:r>
    </w:p>
    <w:p>
      <w:pPr>
        <w:pStyle w:val="Indenta"/>
        <w:rPr>
          <w:snapToGrid w:val="0"/>
        </w:rPr>
      </w:pPr>
      <w:r>
        <w:rPr>
          <w:snapToGrid w:val="0"/>
        </w:rPr>
        <w:tab/>
        <w:t>(a)</w:t>
      </w:r>
      <w:r>
        <w:rPr>
          <w:snapToGrid w:val="0"/>
        </w:rPr>
        <w:tab/>
        <w:t>its corporate affairs; and</w:t>
      </w:r>
    </w:p>
    <w:p>
      <w:pPr>
        <w:pStyle w:val="Indenta"/>
        <w:rPr>
          <w:snapToGrid w:val="0"/>
        </w:rPr>
      </w:pPr>
      <w:r>
        <w:rPr>
          <w:snapToGrid w:val="0"/>
        </w:rPr>
        <w:tab/>
        <w:t>(b)</w:t>
      </w:r>
      <w:r>
        <w:rPr>
          <w:snapToGrid w:val="0"/>
        </w:rPr>
        <w:tab/>
        <w:t>any matter specified in Schedule 2A; and</w:t>
      </w:r>
    </w:p>
    <w:p>
      <w:pPr>
        <w:pStyle w:val="Indenta"/>
        <w:rPr>
          <w:snapToGrid w:val="0"/>
        </w:rPr>
      </w:pPr>
      <w:r>
        <w:rPr>
          <w:snapToGrid w:val="0"/>
        </w:rPr>
        <w:tab/>
        <w:t>(c)</w:t>
      </w:r>
      <w:r>
        <w:rPr>
          <w:snapToGrid w:val="0"/>
        </w:rPr>
        <w:tab/>
        <w:t>other matters relating to the management, control, use and enjoyment of the lots and any common property.</w:t>
      </w:r>
    </w:p>
    <w:p>
      <w:pPr>
        <w:pStyle w:val="Subsection"/>
        <w:keepNext/>
        <w:rPr>
          <w:snapToGrid w:val="0"/>
        </w:rPr>
      </w:pPr>
      <w:r>
        <w:rPr>
          <w:snapToGrid w:val="0"/>
        </w:rPr>
        <w:tab/>
        <w:t>(2)</w:t>
      </w:r>
      <w:r>
        <w:rPr>
          <w:snapToGrid w:val="0"/>
        </w:rPr>
        <w:tab/>
        <w:t>The provisions set out in Schedules 1 and 2 shall be deemed to be by</w:t>
      </w:r>
      <w:r>
        <w:rPr>
          <w:snapToGrid w:val="0"/>
        </w:rPr>
        <w:noBreakHyphen/>
        <w:t>laws of the strata company and may be amended, repealed or added to by the strata company —</w:t>
      </w:r>
    </w:p>
    <w:p>
      <w:pPr>
        <w:pStyle w:val="Indenta"/>
        <w:rPr>
          <w:snapToGrid w:val="0"/>
        </w:rPr>
      </w:pPr>
      <w:r>
        <w:rPr>
          <w:snapToGrid w:val="0"/>
        </w:rPr>
        <w:tab/>
        <w:t>(a)</w:t>
      </w:r>
      <w:r>
        <w:rPr>
          <w:snapToGrid w:val="0"/>
        </w:rPr>
        <w:tab/>
        <w:t xml:space="preserve">by resolution without dissent </w:t>
      </w:r>
      <w:r>
        <w:rPr>
          <w:snapToGrid w:val="0"/>
          <w:spacing w:val="-4"/>
        </w:rPr>
        <w:t>(or unanimous resolution, in the case of a two</w:t>
      </w:r>
      <w:r>
        <w:rPr>
          <w:snapToGrid w:val="0"/>
          <w:spacing w:val="-4"/>
        </w:rPr>
        <w:noBreakHyphen/>
        <w:t>lot scheme)</w:t>
      </w:r>
      <w:r>
        <w:rPr>
          <w:snapToGrid w:val="0"/>
        </w:rPr>
        <w:t>, in the case of Schedule 1 by</w:t>
      </w:r>
      <w:r>
        <w:rPr>
          <w:snapToGrid w:val="0"/>
        </w:rPr>
        <w:noBreakHyphen/>
        <w:t>laws; or</w:t>
      </w:r>
    </w:p>
    <w:p>
      <w:pPr>
        <w:pStyle w:val="Indenta"/>
        <w:rPr>
          <w:snapToGrid w:val="0"/>
        </w:rPr>
      </w:pPr>
      <w:r>
        <w:rPr>
          <w:snapToGrid w:val="0"/>
        </w:rPr>
        <w:tab/>
        <w:t>(b)</w:t>
      </w:r>
      <w:r>
        <w:rPr>
          <w:snapToGrid w:val="0"/>
        </w:rPr>
        <w:tab/>
        <w:t>in accordance with any order of a court or the State Administrative Tribunal or any written law; or</w:t>
      </w:r>
    </w:p>
    <w:p>
      <w:pPr>
        <w:pStyle w:val="Indenta"/>
        <w:rPr>
          <w:snapToGrid w:val="0"/>
        </w:rPr>
      </w:pPr>
      <w:r>
        <w:rPr>
          <w:snapToGrid w:val="0"/>
        </w:rPr>
        <w:tab/>
        <w:t>(c)</w:t>
      </w:r>
      <w:r>
        <w:rPr>
          <w:snapToGrid w:val="0"/>
        </w:rPr>
        <w:tab/>
        <w:t>in any other case, by special resolution.</w:t>
      </w:r>
    </w:p>
    <w:p>
      <w:pPr>
        <w:pStyle w:val="Subsection"/>
        <w:rPr>
          <w:snapToGrid w:val="0"/>
        </w:rPr>
      </w:pPr>
      <w:r>
        <w:rPr>
          <w:snapToGrid w:val="0"/>
        </w:rPr>
        <w:tab/>
        <w:t>(2a)</w:t>
      </w:r>
      <w:r>
        <w:rPr>
          <w:snapToGrid w:val="0"/>
        </w:rPr>
        <w:tab/>
        <w:t>Each by</w:t>
      </w:r>
      <w:r>
        <w:rPr>
          <w:snapToGrid w:val="0"/>
        </w:rPr>
        <w:noBreakHyphen/>
        <w:t>law that is additional to the by</w:t>
      </w:r>
      <w:r>
        <w:rPr>
          <w:snapToGrid w:val="0"/>
        </w:rPr>
        <w:noBreakHyphen/>
        <w:t>laws in Schedules 1 and 2 or any amendment to a Schedule 1 or Schedule 2 by</w:t>
      </w:r>
      <w:r>
        <w:rPr>
          <w:snapToGrid w:val="0"/>
        </w:rPr>
        <w:noBreakHyphen/>
        <w:t>law shall be classified in the by</w:t>
      </w:r>
      <w:r>
        <w:rPr>
          <w:snapToGrid w:val="0"/>
        </w:rPr>
        <w:noBreakHyphen/>
        <w:t>laws as —</w:t>
      </w:r>
    </w:p>
    <w:p>
      <w:pPr>
        <w:pStyle w:val="Indenta"/>
        <w:rPr>
          <w:snapToGrid w:val="0"/>
        </w:rPr>
      </w:pPr>
      <w:r>
        <w:rPr>
          <w:snapToGrid w:val="0"/>
        </w:rPr>
        <w:tab/>
        <w:t>(a)</w:t>
      </w:r>
      <w:r>
        <w:rPr>
          <w:snapToGrid w:val="0"/>
        </w:rPr>
        <w:tab/>
        <w:t>a Schedule 1 by</w:t>
      </w:r>
      <w:r>
        <w:rPr>
          <w:snapToGrid w:val="0"/>
        </w:rPr>
        <w:noBreakHyphen/>
        <w:t>law; or</w:t>
      </w:r>
    </w:p>
    <w:p>
      <w:pPr>
        <w:pStyle w:val="Indenta"/>
        <w:rPr>
          <w:snapToGrid w:val="0"/>
        </w:rPr>
      </w:pPr>
      <w:r>
        <w:rPr>
          <w:snapToGrid w:val="0"/>
        </w:rPr>
        <w:tab/>
        <w:t>(b)</w:t>
      </w:r>
      <w:r>
        <w:rPr>
          <w:snapToGrid w:val="0"/>
        </w:rPr>
        <w:tab/>
        <w:t>a Schedule 2 by</w:t>
      </w:r>
      <w:r>
        <w:rPr>
          <w:snapToGrid w:val="0"/>
        </w:rPr>
        <w:noBreakHyphen/>
        <w:t>law.</w:t>
      </w:r>
    </w:p>
    <w:p>
      <w:pPr>
        <w:pStyle w:val="Subsection"/>
        <w:rPr>
          <w:snapToGrid w:val="0"/>
        </w:rPr>
      </w:pPr>
      <w:r>
        <w:rPr>
          <w:snapToGrid w:val="0"/>
        </w:rPr>
        <w:tab/>
        <w:t>(2b)</w:t>
      </w:r>
      <w:r>
        <w:rPr>
          <w:snapToGrid w:val="0"/>
        </w:rPr>
        <w:tab/>
        <w:t>A by</w:t>
      </w:r>
      <w:r>
        <w:rPr>
          <w:snapToGrid w:val="0"/>
        </w:rPr>
        <w:noBreakHyphen/>
        <w:t>law of the kind described in items 4, 6 and 8 in Schedule 2A is classified as a Schedule 1 by</w:t>
      </w:r>
      <w:r>
        <w:rPr>
          <w:snapToGrid w:val="0"/>
        </w:rPr>
        <w:noBreakHyphen/>
        <w:t xml:space="preserve">law and may only be made, amended or repealed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 but if such a by</w:t>
      </w:r>
      <w:r>
        <w:rPr>
          <w:snapToGrid w:val="0"/>
        </w:rPr>
        <w:noBreakHyphen/>
        <w:t>law is included in a management statement under section 5C lodged with a strata/survey</w:t>
      </w:r>
      <w:r>
        <w:rPr>
          <w:snapToGrid w:val="0"/>
        </w:rPr>
        <w:noBreakHyphen/>
        <w:t>strata plan it shall be deemed to be made in accordance with this subsection.</w:t>
      </w:r>
    </w:p>
    <w:p>
      <w:pPr>
        <w:pStyle w:val="Subsection"/>
        <w:rPr>
          <w:snapToGrid w:val="0"/>
        </w:rPr>
      </w:pPr>
      <w:r>
        <w:rPr>
          <w:snapToGrid w:val="0"/>
        </w:rPr>
        <w:tab/>
        <w:t>(2c)</w:t>
      </w:r>
      <w:r>
        <w:rPr>
          <w:snapToGrid w:val="0"/>
        </w:rPr>
        <w:tab/>
        <w:t>Despite subsection (2) but without affecting section 49, by</w:t>
      </w:r>
      <w:r>
        <w:rPr>
          <w:snapToGrid w:val="0"/>
        </w:rPr>
        <w:noBreakHyphen/>
        <w:t>law 11(1) in Schedule 1 is not a by</w:t>
      </w:r>
      <w:r>
        <w:rPr>
          <w:snapToGrid w:val="0"/>
        </w:rPr>
        <w:noBreakHyphen/>
        <w:t>law of a strata company for a two</w:t>
      </w:r>
      <w:r>
        <w:rPr>
          <w:snapToGrid w:val="0"/>
        </w:rPr>
        <w:noBreakHyphen/>
        <w:t>lot scheme unless the strata company makes such a by</w:t>
      </w:r>
      <w:r>
        <w:rPr>
          <w:snapToGrid w:val="0"/>
        </w:rPr>
        <w:noBreakHyphen/>
        <w:t>law.</w:t>
      </w:r>
    </w:p>
    <w:p>
      <w:pPr>
        <w:pStyle w:val="Subsection"/>
        <w:rPr>
          <w:snapToGrid w:val="0"/>
        </w:rPr>
      </w:pPr>
      <w:r>
        <w:rPr>
          <w:snapToGrid w:val="0"/>
        </w:rPr>
        <w:tab/>
        <w:t>(2d)</w:t>
      </w:r>
      <w:r>
        <w:rPr>
          <w:snapToGrid w:val="0"/>
        </w:rPr>
        <w:tab/>
        <w:t>A by</w:t>
      </w:r>
      <w:r>
        <w:rPr>
          <w:snapToGrid w:val="0"/>
        </w:rPr>
        <w:noBreakHyphen/>
        <w:t>law made by a strata company at the request of a public authority or a local government may be expressed to require the consent of that authority or local government to an amendment or repeal of the by</w:t>
      </w:r>
      <w:r>
        <w:rPr>
          <w:snapToGrid w:val="0"/>
        </w:rPr>
        <w:noBreakHyphen/>
        <w:t>law, and any such restriction has effect according to its tenor.</w:t>
      </w:r>
    </w:p>
    <w:p>
      <w:pPr>
        <w:pStyle w:val="Subsection"/>
        <w:rPr>
          <w:snapToGrid w:val="0"/>
        </w:rPr>
      </w:pPr>
      <w:r>
        <w:rPr>
          <w:snapToGrid w:val="0"/>
        </w:rPr>
        <w:tab/>
        <w:t>(3)</w:t>
      </w:r>
      <w:r>
        <w:rPr>
          <w:snapToGrid w:val="0"/>
        </w:rPr>
        <w:tab/>
        <w:t>No by</w:t>
      </w:r>
      <w:r>
        <w:rPr>
          <w:snapToGrid w:val="0"/>
        </w:rPr>
        <w:noBreakHyphen/>
        <w:t>law, amendment or repeal of a by</w:t>
      </w:r>
      <w:r>
        <w:rPr>
          <w:snapToGrid w:val="0"/>
        </w:rPr>
        <w:noBreakHyphen/>
        <w:t>law is capable of operating so as to prohibit or restrict the devolution of lots or any transfer, lease, mortgage or other dealing therewith or to destroy or modify any easement implied or created by this Act.</w:t>
      </w:r>
    </w:p>
    <w:p>
      <w:pPr>
        <w:pStyle w:val="Subsection"/>
        <w:rPr>
          <w:snapToGrid w:val="0"/>
        </w:rPr>
      </w:pPr>
      <w:r>
        <w:rPr>
          <w:snapToGrid w:val="0"/>
        </w:rPr>
        <w:tab/>
        <w:t>(4)</w:t>
      </w:r>
      <w:r>
        <w:rPr>
          <w:snapToGrid w:val="0"/>
        </w:rPr>
        <w:tab/>
        <w:t>No amendment or repeal of a by</w:t>
      </w:r>
      <w:r>
        <w:rPr>
          <w:snapToGrid w:val="0"/>
        </w:rPr>
        <w:noBreakHyphen/>
        <w:t>law or additional by</w:t>
      </w:r>
      <w:r>
        <w:rPr>
          <w:snapToGrid w:val="0"/>
        </w:rPr>
        <w:noBreakHyphen/>
        <w:t>law has effect until —</w:t>
      </w:r>
    </w:p>
    <w:p>
      <w:pPr>
        <w:pStyle w:val="Indenta"/>
        <w:rPr>
          <w:snapToGrid w:val="0"/>
        </w:rPr>
      </w:pPr>
      <w:r>
        <w:rPr>
          <w:snapToGrid w:val="0"/>
        </w:rPr>
        <w:tab/>
        <w:t>(a)</w:t>
      </w:r>
      <w:r>
        <w:rPr>
          <w:snapToGrid w:val="0"/>
        </w:rPr>
        <w:tab/>
        <w:t>the strata company has, not later than 3 months after the passing of the resolution for the amendment, repeal or additional by</w:t>
      </w:r>
      <w:r>
        <w:rPr>
          <w:snapToGrid w:val="0"/>
        </w:rPr>
        <w:noBreakHyphen/>
        <w:t>law, lodged a notice of the amendment, repeal or additional by</w:t>
      </w:r>
      <w:r>
        <w:rPr>
          <w:snapToGrid w:val="0"/>
        </w:rPr>
        <w:noBreakHyphen/>
        <w:t>law in the prescribed form with the Registrar of Titles, including in the case of a by</w:t>
      </w:r>
      <w:r>
        <w:rPr>
          <w:snapToGrid w:val="0"/>
        </w:rPr>
        <w:noBreakHyphen/>
        <w:t>law made under subsection (8) a description of the area affected; and</w:t>
      </w:r>
    </w:p>
    <w:p>
      <w:pPr>
        <w:pStyle w:val="Indenta"/>
        <w:rPr>
          <w:snapToGrid w:val="0"/>
        </w:rPr>
      </w:pPr>
      <w:r>
        <w:rPr>
          <w:snapToGrid w:val="0"/>
        </w:rPr>
        <w:tab/>
        <w:t>(b)</w:t>
      </w:r>
      <w:r>
        <w:rPr>
          <w:snapToGrid w:val="0"/>
        </w:rPr>
        <w:tab/>
        <w:t>the Registrar of Titles has made a reference to the amendment, repeal or additional by</w:t>
      </w:r>
      <w:r>
        <w:rPr>
          <w:snapToGrid w:val="0"/>
        </w:rPr>
        <w:noBreakHyphen/>
        <w:t>law on the appropriate registered strata/survey</w:t>
      </w:r>
      <w:r>
        <w:rPr>
          <w:snapToGrid w:val="0"/>
        </w:rPr>
        <w:noBreakHyphen/>
        <w:t>strata plan.</w:t>
      </w:r>
    </w:p>
    <w:p>
      <w:pPr>
        <w:pStyle w:val="Subsection"/>
        <w:rPr>
          <w:snapToGrid w:val="0"/>
        </w:rPr>
      </w:pPr>
      <w:r>
        <w:rPr>
          <w:snapToGrid w:val="0"/>
        </w:rPr>
        <w:tab/>
        <w:t>(4a)</w:t>
      </w:r>
      <w:r>
        <w:rPr>
          <w:snapToGrid w:val="0"/>
        </w:rPr>
        <w:tab/>
        <w:t>If a notice under subsection (4)(a) applies to the amendment or addition of a by</w:t>
      </w:r>
      <w:r>
        <w:rPr>
          <w:snapToGrid w:val="0"/>
        </w:rPr>
        <w:noBreakHyphen/>
        <w:t>law of the kind described in item 8 of Schedule 2A it must be accompanied by —</w:t>
      </w:r>
    </w:p>
    <w:p>
      <w:pPr>
        <w:pStyle w:val="Indenta"/>
        <w:rPr>
          <w:snapToGrid w:val="0"/>
        </w:rPr>
      </w:pPr>
      <w:r>
        <w:rPr>
          <w:snapToGrid w:val="0"/>
        </w:rPr>
        <w:tab/>
        <w:t>(a)</w:t>
      </w:r>
      <w:r>
        <w:rPr>
          <w:snapToGrid w:val="0"/>
        </w:rPr>
        <w:tab/>
        <w:t>a certificate given by every person who —</w:t>
      </w:r>
    </w:p>
    <w:p>
      <w:pPr>
        <w:pStyle w:val="Indenti"/>
        <w:rPr>
          <w:snapToGrid w:val="0"/>
        </w:rPr>
      </w:pPr>
      <w:r>
        <w:rPr>
          <w:snapToGrid w:val="0"/>
        </w:rPr>
        <w:tab/>
        <w:t>(i)</w:t>
      </w:r>
      <w:r>
        <w:rPr>
          <w:snapToGrid w:val="0"/>
        </w:rPr>
        <w:tab/>
        <w:t>has a registered interest in any lot proposed to be affected; or</w:t>
      </w:r>
    </w:p>
    <w:p>
      <w:pPr>
        <w:pStyle w:val="Indenti"/>
        <w:rPr>
          <w:snapToGrid w:val="0"/>
        </w:rPr>
      </w:pPr>
      <w:r>
        <w:rPr>
          <w:snapToGrid w:val="0"/>
        </w:rPr>
        <w:tab/>
        <w:t>(ii)</w:t>
      </w:r>
      <w:r>
        <w:rPr>
          <w:snapToGrid w:val="0"/>
        </w:rPr>
        <w:tab/>
        <w:t>is a caveator in respect of any such lot,</w:t>
      </w:r>
    </w:p>
    <w:p>
      <w:pPr>
        <w:pStyle w:val="Indenta"/>
        <w:rPr>
          <w:snapToGrid w:val="0"/>
          <w:spacing w:val="-4"/>
        </w:rPr>
      </w:pPr>
      <w:r>
        <w:rPr>
          <w:snapToGrid w:val="0"/>
          <w:spacing w:val="-4"/>
        </w:rPr>
        <w:tab/>
      </w:r>
      <w:r>
        <w:rPr>
          <w:snapToGrid w:val="0"/>
          <w:spacing w:val="-4"/>
        </w:rPr>
        <w:tab/>
        <w:t>certifying his consent to the proposed re</w:t>
      </w:r>
      <w:r>
        <w:rPr>
          <w:snapToGrid w:val="0"/>
          <w:spacing w:val="-4"/>
        </w:rPr>
        <w:noBreakHyphen/>
        <w:t>subdivision; and</w:t>
      </w:r>
    </w:p>
    <w:p>
      <w:pPr>
        <w:pStyle w:val="Indenta"/>
        <w:rPr>
          <w:snapToGrid w:val="0"/>
          <w:spacing w:val="-4"/>
        </w:rPr>
      </w:pPr>
      <w:r>
        <w:rPr>
          <w:snapToGrid w:val="0"/>
          <w:spacing w:val="-4"/>
        </w:rPr>
        <w:tab/>
        <w:t>(b)</w:t>
      </w:r>
      <w:r>
        <w:rPr>
          <w:snapToGrid w:val="0"/>
          <w:spacing w:val="-4"/>
        </w:rPr>
        <w:tab/>
        <w:t>a certificate given by every person who has a registered interest in any lot the unit entitlement of which is proposed to be affected certifying his consent to the proposed allocation of unit entitlement set out in the application.</w:t>
      </w:r>
    </w:p>
    <w:p>
      <w:pPr>
        <w:pStyle w:val="Subsection"/>
        <w:rPr>
          <w:snapToGrid w:val="0"/>
        </w:rPr>
      </w:pPr>
      <w:r>
        <w:rPr>
          <w:snapToGrid w:val="0"/>
        </w:rPr>
        <w:tab/>
        <w:t>(5)</w:t>
      </w:r>
      <w:r>
        <w:rPr>
          <w:snapToGrid w:val="0"/>
        </w:rPr>
        <w:tab/>
        <w:t>A lease of a lot or common property shall be deemed to contain an agreement by the lessee that he will comply with the by</w:t>
      </w:r>
      <w:r>
        <w:rPr>
          <w:snapToGrid w:val="0"/>
        </w:rPr>
        <w:noBreakHyphen/>
        <w:t>laws in force.</w:t>
      </w:r>
    </w:p>
    <w:p>
      <w:pPr>
        <w:pStyle w:val="Subsection"/>
        <w:rPr>
          <w:snapToGrid w:val="0"/>
        </w:rPr>
      </w:pPr>
      <w:r>
        <w:rPr>
          <w:snapToGrid w:val="0"/>
        </w:rPr>
        <w:tab/>
        <w:t>(6)</w:t>
      </w:r>
      <w:r>
        <w:rPr>
          <w:snapToGrid w:val="0"/>
        </w:rPr>
        <w:tab/>
        <w:t>Without limiting the operation of any other provision of this Act, the by</w:t>
      </w:r>
      <w:r>
        <w:rPr>
          <w:snapToGrid w:val="0"/>
        </w:rPr>
        <w:noBreakHyphen/>
        <w:t>laws for the time being in force bind the strata company and the proprietors and any mortgagee in possession (whether by himself or any other person) or occupier or other resident of a lot to the same extent as if the by</w:t>
      </w:r>
      <w:r>
        <w:rPr>
          <w:snapToGrid w:val="0"/>
        </w:rPr>
        <w:noBreakHyphen/>
        <w:t>laws had been signed and sealed by the strata company and each proprietor and each such mortgagee, occupier or other resident respectively and as if they contained mutual covenants to observe and perform all the provisions of the by</w:t>
      </w:r>
      <w:r>
        <w:rPr>
          <w:snapToGrid w:val="0"/>
        </w:rPr>
        <w:noBreakHyphen/>
        <w:t>laws.</w:t>
      </w:r>
    </w:p>
    <w:p>
      <w:pPr>
        <w:pStyle w:val="Subsection"/>
        <w:keepNext/>
        <w:keepLines/>
        <w:rPr>
          <w:snapToGrid w:val="0"/>
        </w:rPr>
      </w:pPr>
      <w:r>
        <w:rPr>
          <w:snapToGrid w:val="0"/>
        </w:rPr>
        <w:tab/>
        <w:t>(7)</w:t>
      </w:r>
      <w:r>
        <w:rPr>
          <w:snapToGrid w:val="0"/>
        </w:rPr>
        <w:tab/>
        <w:t>A proprietor or mortgagee in possession of a lot shall take all steps that are reasonable in the circumstances to ensure that every occupier or other resident of that lot complies with the by</w:t>
      </w:r>
      <w:r>
        <w:rPr>
          <w:snapToGrid w:val="0"/>
        </w:rPr>
        <w:noBreakHyphen/>
        <w:t>laws for the time being in force.</w:t>
      </w:r>
    </w:p>
    <w:p>
      <w:pPr>
        <w:pStyle w:val="Penstart"/>
        <w:rPr>
          <w:snapToGrid w:val="0"/>
        </w:rPr>
      </w:pPr>
      <w:r>
        <w:rPr>
          <w:snapToGrid w:val="0"/>
        </w:rPr>
        <w:tab/>
        <w:t>Penalty: $400.</w:t>
      </w:r>
    </w:p>
    <w:p>
      <w:pPr>
        <w:pStyle w:val="Subsection"/>
        <w:rPr>
          <w:snapToGrid w:val="0"/>
        </w:rPr>
      </w:pPr>
      <w:r>
        <w:rPr>
          <w:snapToGrid w:val="0"/>
        </w:rPr>
        <w:tab/>
        <w:t>(8)</w:t>
      </w:r>
      <w:r>
        <w:rPr>
          <w:snapToGrid w:val="0"/>
        </w:rPr>
        <w:tab/>
        <w:t>Without limiting the generality of any other provision of this section other than subsection (1), a strata company may, with the consent in writing of the proprietor of a lot, pursuant to a resolution without dissent (or unanimous resolution, in the case of a two</w:t>
      </w:r>
      <w:r>
        <w:rPr>
          <w:snapToGrid w:val="0"/>
        </w:rPr>
        <w:noBreakHyphen/>
        <w:t>lot scheme) make, under this subsection only and not otherwise, a by</w:t>
      </w:r>
      <w:r>
        <w:rPr>
          <w:snapToGrid w:val="0"/>
        </w:rPr>
        <w:noBreakHyphen/>
        <w:t>law in respect of that lot conferring on that proprietor the exclusive use and enjoyment of, or special privileges in respect of, the common property or any part of it upon such terms and conditions (including the proper maintaining and keeping in a state of good and serviceable repair of the common property or that part of the common property, as the case may be, and the payment of money by that proprietor to the strata company) as may be specified in the by</w:t>
      </w:r>
      <w:r>
        <w:rPr>
          <w:snapToGrid w:val="0"/>
        </w:rPr>
        <w:noBreakHyphen/>
        <w:t>law and may, pursuant to a resolution without dissent (or unanimous resolution, in the case of a two</w:t>
      </w:r>
      <w:r>
        <w:rPr>
          <w:snapToGrid w:val="0"/>
        </w:rPr>
        <w:noBreakHyphen/>
        <w:t>lot scheme), make a by</w:t>
      </w:r>
      <w:r>
        <w:rPr>
          <w:snapToGrid w:val="0"/>
        </w:rPr>
        <w:noBreakHyphen/>
        <w:t>law amending or repealing any by</w:t>
      </w:r>
      <w:r>
        <w:rPr>
          <w:snapToGrid w:val="0"/>
        </w:rPr>
        <w:noBreakHyphen/>
        <w:t>law made under this subsection.</w:t>
      </w:r>
    </w:p>
    <w:p>
      <w:pPr>
        <w:pStyle w:val="Subsection"/>
        <w:rPr>
          <w:snapToGrid w:val="0"/>
        </w:rPr>
      </w:pPr>
      <w:r>
        <w:rPr>
          <w:snapToGrid w:val="0"/>
        </w:rPr>
        <w:tab/>
        <w:t>(9)</w:t>
      </w:r>
      <w:r>
        <w:rPr>
          <w:snapToGrid w:val="0"/>
        </w:rPr>
        <w:tab/>
        <w:t>After the expiration of the period of 2 years that next succeeds the making, or purported making, of a by</w:t>
      </w:r>
      <w:r>
        <w:rPr>
          <w:snapToGrid w:val="0"/>
        </w:rPr>
        <w:noBreakHyphen/>
        <w:t>law referred to in subsection (8) (including a by</w:t>
      </w:r>
      <w:r>
        <w:rPr>
          <w:snapToGrid w:val="0"/>
        </w:rPr>
        <w:noBreakHyphen/>
        <w:t>law so referred to that amends, adds to or repeals another by</w:t>
      </w:r>
      <w:r>
        <w:rPr>
          <w:snapToGrid w:val="0"/>
        </w:rPr>
        <w:noBreakHyphen/>
        <w:t>law), it shall be conclusively presumed that all conditions and preliminary steps precedent to the making of the by</w:t>
      </w:r>
      <w:r>
        <w:rPr>
          <w:snapToGrid w:val="0"/>
        </w:rPr>
        <w:noBreakHyphen/>
        <w:t>law have been complied with and performed.</w:t>
      </w:r>
    </w:p>
    <w:p>
      <w:pPr>
        <w:pStyle w:val="Subsection"/>
        <w:rPr>
          <w:snapToGrid w:val="0"/>
        </w:rPr>
      </w:pPr>
      <w:r>
        <w:rPr>
          <w:snapToGrid w:val="0"/>
        </w:rPr>
        <w:tab/>
        <w:t>(10)</w:t>
      </w:r>
      <w:r>
        <w:rPr>
          <w:snapToGrid w:val="0"/>
        </w:rPr>
        <w:tab/>
        <w:t>Any by</w:t>
      </w:r>
      <w:r>
        <w:rPr>
          <w:snapToGrid w:val="0"/>
        </w:rPr>
        <w:noBreakHyphen/>
        <w:t>law referred to in subsection (8) shall, while it remains in force, enure as appurtenant to, and for the benefit of, the lot in respect of which it was made and the proprietor, occupier and (subject to the terms of the by</w:t>
      </w:r>
      <w:r>
        <w:rPr>
          <w:snapToGrid w:val="0"/>
        </w:rPr>
        <w:noBreakHyphen/>
        <w:t>law) any other resident thereof for the time being.</w:t>
      </w:r>
    </w:p>
    <w:p>
      <w:pPr>
        <w:pStyle w:val="Subsection"/>
        <w:rPr>
          <w:snapToGrid w:val="0"/>
        </w:rPr>
      </w:pPr>
      <w:r>
        <w:rPr>
          <w:snapToGrid w:val="0"/>
        </w:rPr>
        <w:tab/>
        <w:t>(11)</w:t>
      </w:r>
      <w:r>
        <w:rPr>
          <w:snapToGrid w:val="0"/>
        </w:rPr>
        <w:tab/>
        <w:t>The proprietor for the time being of a lot in respect of which a by</w:t>
      </w:r>
      <w:r>
        <w:rPr>
          <w:snapToGrid w:val="0"/>
        </w:rPr>
        <w:noBreakHyphen/>
        <w:t>law referred to in subsection (8) is in force —</w:t>
      </w:r>
    </w:p>
    <w:p>
      <w:pPr>
        <w:pStyle w:val="Indenta"/>
        <w:rPr>
          <w:snapToGrid w:val="0"/>
        </w:rPr>
      </w:pPr>
      <w:r>
        <w:rPr>
          <w:snapToGrid w:val="0"/>
        </w:rPr>
        <w:tab/>
        <w:t>(a)</w:t>
      </w:r>
      <w:r>
        <w:rPr>
          <w:snapToGrid w:val="0"/>
        </w:rPr>
        <w:tab/>
        <w:t>is, subject to section 43(4), liable to pay to the strata company any moneys referred to in the by</w:t>
      </w:r>
      <w:r>
        <w:rPr>
          <w:snapToGrid w:val="0"/>
        </w:rPr>
        <w:noBreakHyphen/>
        <w:t>law in accordance with the by</w:t>
      </w:r>
      <w:r>
        <w:rPr>
          <w:snapToGrid w:val="0"/>
        </w:rPr>
        <w:noBreakHyphen/>
        <w:t>law; and</w:t>
      </w:r>
    </w:p>
    <w:p>
      <w:pPr>
        <w:pStyle w:val="Indenta"/>
        <w:rPr>
          <w:snapToGrid w:val="0"/>
          <w:spacing w:val="-4"/>
        </w:rPr>
      </w:pPr>
      <w:r>
        <w:rPr>
          <w:snapToGrid w:val="0"/>
          <w:spacing w:val="-4"/>
        </w:rPr>
        <w:tab/>
        <w:t>(b)</w:t>
      </w:r>
      <w:r>
        <w:rPr>
          <w:snapToGrid w:val="0"/>
          <w:spacing w:val="-4"/>
        </w:rPr>
        <w:tab/>
        <w:t>is, unless excused by the by</w:t>
      </w:r>
      <w:r>
        <w:rPr>
          <w:snapToGrid w:val="0"/>
          <w:spacing w:val="-4"/>
        </w:rPr>
        <w:noBreakHyphen/>
        <w:t>law, responsible for the performance of the duty of the strata company under section 35(1)(c) in respect of the common property, or the part of the common property, to which the by</w:t>
      </w:r>
      <w:r>
        <w:rPr>
          <w:snapToGrid w:val="0"/>
          <w:spacing w:val="-4"/>
        </w:rPr>
        <w:noBreakHyphen/>
        <w:t>law relates.</w:t>
      </w:r>
    </w:p>
    <w:p>
      <w:pPr>
        <w:pStyle w:val="Subsection"/>
        <w:rPr>
          <w:snapToGrid w:val="0"/>
        </w:rPr>
      </w:pPr>
      <w:r>
        <w:rPr>
          <w:snapToGrid w:val="0"/>
        </w:rPr>
        <w:tab/>
        <w:t>(12)</w:t>
      </w:r>
      <w:r>
        <w:rPr>
          <w:snapToGrid w:val="0"/>
        </w:rPr>
        <w:tab/>
        <w:t>Where a person becomes proprietor of a lot at a time when, pursuant to subsection (11)(a) or this subsection, another person is liable to pay money to the strata company, the person who so becomes proprietor is, subject to section 43(4), jointly and severally liable with the other person to pay the money to the strata company.</w:t>
      </w:r>
    </w:p>
    <w:p>
      <w:pPr>
        <w:pStyle w:val="Subsection"/>
        <w:rPr>
          <w:snapToGrid w:val="0"/>
        </w:rPr>
      </w:pPr>
      <w:r>
        <w:rPr>
          <w:snapToGrid w:val="0"/>
        </w:rPr>
        <w:tab/>
        <w:t>(13)</w:t>
      </w:r>
      <w:r>
        <w:rPr>
          <w:snapToGrid w:val="0"/>
        </w:rPr>
        <w:tab/>
        <w:t>Any moneys payable by a proprietor to the strata company under a by</w:t>
      </w:r>
      <w:r>
        <w:rPr>
          <w:snapToGrid w:val="0"/>
        </w:rPr>
        <w:noBreakHyphen/>
        <w:t>law referred to in subsection (8) or pursuant to subsection (12) may be recovered, as a debt, by the strata company in a court of competent jurisdiction.</w:t>
      </w:r>
    </w:p>
    <w:p>
      <w:pPr>
        <w:pStyle w:val="Subsection"/>
        <w:keepNext/>
        <w:rPr>
          <w:snapToGrid w:val="0"/>
        </w:rPr>
      </w:pPr>
      <w:r>
        <w:rPr>
          <w:snapToGrid w:val="0"/>
        </w:rPr>
        <w:tab/>
        <w:t>(14)</w:t>
      </w:r>
      <w:r>
        <w:rPr>
          <w:snapToGrid w:val="0"/>
        </w:rPr>
        <w:tab/>
        <w:t>Notwithstanding subsection (2), in the case of a scheme in which none of the lots is used or intended to be used for residential purposes, the strata company may, by special resolution, amend by</w:t>
      </w:r>
      <w:r>
        <w:rPr>
          <w:snapToGrid w:val="0"/>
        </w:rPr>
        <w:noBreakHyphen/>
        <w:t>laws contained in Schedule 1 for the purpose of making special provision that in an election of the members of the council of the strata company the voting rights of the proprietors shall be proportionate to the unit entitlements of their respective lots; and any such special provisions may be further amended or repealed by special resolution of the strata company.</w:t>
      </w:r>
    </w:p>
    <w:p>
      <w:pPr>
        <w:pStyle w:val="Subsection"/>
        <w:keepNext/>
        <w:rPr>
          <w:snapToGrid w:val="0"/>
        </w:rPr>
      </w:pPr>
      <w:r>
        <w:rPr>
          <w:snapToGrid w:val="0"/>
        </w:rPr>
        <w:tab/>
        <w:t>(15)</w:t>
      </w:r>
      <w:r>
        <w:rPr>
          <w:snapToGrid w:val="0"/>
        </w:rPr>
        <w:tab/>
        <w:t>To the extent to which a by</w:t>
      </w:r>
      <w:r>
        <w:rPr>
          <w:snapToGrid w:val="0"/>
        </w:rPr>
        <w:noBreakHyphen/>
        <w:t>law purports to prohibit or restrict —</w:t>
      </w:r>
    </w:p>
    <w:p>
      <w:pPr>
        <w:pStyle w:val="Indenta"/>
        <w:rPr>
          <w:snapToGrid w:val="0"/>
        </w:rPr>
      </w:pPr>
      <w:r>
        <w:rPr>
          <w:snapToGrid w:val="0"/>
        </w:rPr>
        <w:tab/>
        <w:t>(a)</w:t>
      </w:r>
      <w:r>
        <w:rPr>
          <w:snapToGrid w:val="0"/>
        </w:rPr>
        <w:tab/>
        <w:t>the keeping on a lot of a dog used as a guide by a completely or partially blind proprietor, occupier or other resident of a lot; or</w:t>
      </w:r>
    </w:p>
    <w:p>
      <w:pPr>
        <w:pStyle w:val="Indenta"/>
        <w:rPr>
          <w:snapToGrid w:val="0"/>
        </w:rPr>
      </w:pPr>
      <w:r>
        <w:rPr>
          <w:snapToGrid w:val="0"/>
        </w:rPr>
        <w:tab/>
        <w:t>(b)</w:t>
      </w:r>
      <w:r>
        <w:rPr>
          <w:snapToGrid w:val="0"/>
        </w:rPr>
        <w:tab/>
        <w:t>the use of a dog as a guide on a lot or common property by a completely or partially blind person,</w:t>
      </w:r>
    </w:p>
    <w:p>
      <w:pPr>
        <w:pStyle w:val="Subsection"/>
        <w:rPr>
          <w:snapToGrid w:val="0"/>
        </w:rPr>
      </w:pPr>
      <w:r>
        <w:rPr>
          <w:snapToGrid w:val="0"/>
        </w:rPr>
        <w:tab/>
      </w:r>
      <w:r>
        <w:rPr>
          <w:snapToGrid w:val="0"/>
        </w:rPr>
        <w:tab/>
        <w:t>the by</w:t>
      </w:r>
      <w:r>
        <w:rPr>
          <w:snapToGrid w:val="0"/>
        </w:rPr>
        <w:noBreakHyphen/>
        <w:t>law has no force or effect.</w:t>
      </w:r>
    </w:p>
    <w:p>
      <w:pPr>
        <w:pStyle w:val="Footnotesection"/>
        <w:keepLines w:val="0"/>
        <w:ind w:left="890" w:hanging="890"/>
      </w:pPr>
      <w:r>
        <w:tab/>
        <w:t>[Section 42 amended: No. 58 of 1995 s. 43, 92, 94, 95 and 96; No. 57 of 1997 s. 115(2); No. 24 of 2000 s. 40(4) to (7); No. 55 of 2004 s. 1156(1).]</w:t>
      </w:r>
    </w:p>
    <w:p>
      <w:pPr>
        <w:pStyle w:val="Heading5"/>
        <w:rPr>
          <w:snapToGrid w:val="0"/>
        </w:rPr>
      </w:pPr>
      <w:bookmarkStart w:id="161" w:name="_Toc530554896"/>
      <w:r>
        <w:rPr>
          <w:rStyle w:val="CharSectno"/>
        </w:rPr>
        <w:t>42A</w:t>
      </w:r>
      <w:r>
        <w:rPr>
          <w:snapToGrid w:val="0"/>
        </w:rPr>
        <w:t>.</w:t>
      </w:r>
      <w:r>
        <w:rPr>
          <w:snapToGrid w:val="0"/>
        </w:rPr>
        <w:tab/>
        <w:t>By</w:t>
      </w:r>
      <w:r>
        <w:rPr>
          <w:snapToGrid w:val="0"/>
        </w:rPr>
        <w:noBreakHyphen/>
        <w:t>laws may provide for penalties</w:t>
      </w:r>
      <w:bookmarkEnd w:id="161"/>
    </w:p>
    <w:p>
      <w:pPr>
        <w:pStyle w:val="Subsection"/>
        <w:rPr>
          <w:snapToGrid w:val="0"/>
        </w:rPr>
      </w:pPr>
      <w:r>
        <w:rPr>
          <w:snapToGrid w:val="0"/>
        </w:rPr>
        <w:tab/>
        <w:t>(1)</w:t>
      </w:r>
      <w:r>
        <w:rPr>
          <w:snapToGrid w:val="0"/>
        </w:rPr>
        <w:tab/>
        <w:t>By</w:t>
      </w:r>
      <w:r>
        <w:rPr>
          <w:snapToGrid w:val="0"/>
        </w:rPr>
        <w:noBreakHyphen/>
        <w:t>laws made by a strata company under section 42 may provide for penalties, not exceeding the prescribed amount, for a breach of any specified provision of the by</w:t>
      </w:r>
      <w:r>
        <w:rPr>
          <w:snapToGrid w:val="0"/>
        </w:rPr>
        <w:noBreakHyphen/>
        <w:t>laws.</w:t>
      </w:r>
    </w:p>
    <w:p>
      <w:pPr>
        <w:pStyle w:val="Subsection"/>
        <w:rPr>
          <w:snapToGrid w:val="0"/>
        </w:rPr>
      </w:pPr>
      <w:r>
        <w:rPr>
          <w:snapToGrid w:val="0"/>
        </w:rPr>
        <w:tab/>
        <w:t>(2)</w:t>
      </w:r>
      <w:r>
        <w:rPr>
          <w:snapToGrid w:val="0"/>
        </w:rPr>
        <w:tab/>
        <w:t>A penalty cannot be imposed under a by</w:t>
      </w:r>
      <w:r>
        <w:rPr>
          <w:snapToGrid w:val="0"/>
        </w:rPr>
        <w:noBreakHyphen/>
        <w:t>law except by order of the State Administrative Tribunal under section 103I.</w:t>
      </w:r>
    </w:p>
    <w:p>
      <w:pPr>
        <w:pStyle w:val="Footnotesection"/>
        <w:ind w:left="890" w:hanging="890"/>
      </w:pPr>
      <w:r>
        <w:tab/>
        <w:t>[Section 42A inserted: No. 58 of 1995 s. 44; No. 55 of 2004 s. 1156(3).]</w:t>
      </w:r>
    </w:p>
    <w:p>
      <w:pPr>
        <w:pStyle w:val="Heading5"/>
        <w:rPr>
          <w:snapToGrid w:val="0"/>
        </w:rPr>
      </w:pPr>
      <w:bookmarkStart w:id="162" w:name="_Toc530554897"/>
      <w:r>
        <w:rPr>
          <w:rStyle w:val="CharSectno"/>
        </w:rPr>
        <w:t>42B</w:t>
      </w:r>
      <w:r>
        <w:rPr>
          <w:snapToGrid w:val="0"/>
        </w:rPr>
        <w:t>.</w:t>
      </w:r>
      <w:r>
        <w:rPr>
          <w:snapToGrid w:val="0"/>
        </w:rPr>
        <w:tab/>
        <w:t>By</w:t>
      </w:r>
      <w:r>
        <w:rPr>
          <w:snapToGrid w:val="0"/>
        </w:rPr>
        <w:noBreakHyphen/>
        <w:t>laws may provide for different basis for levying contributions</w:t>
      </w:r>
      <w:bookmarkEnd w:id="162"/>
    </w:p>
    <w:p>
      <w:pPr>
        <w:pStyle w:val="Subsection"/>
        <w:rPr>
          <w:snapToGrid w:val="0"/>
        </w:rPr>
      </w:pPr>
      <w:r>
        <w:rPr>
          <w:snapToGrid w:val="0"/>
        </w:rPr>
        <w:tab/>
        <w:t>(1)</w:t>
      </w:r>
      <w:r>
        <w:rPr>
          <w:snapToGrid w:val="0"/>
        </w:rPr>
        <w:tab/>
        <w:t>By</w:t>
      </w:r>
      <w:r>
        <w:rPr>
          <w:snapToGrid w:val="0"/>
        </w:rPr>
        <w:noBreakHyphen/>
        <w:t>laws made by a strata company under section 42 may provide for a method of assessing contributions to be levied on proprietors under section 36 otherwise than in proportion to the unit entitlement of their respective lots.</w:t>
      </w:r>
    </w:p>
    <w:p>
      <w:pPr>
        <w:pStyle w:val="Subsection"/>
        <w:rPr>
          <w:snapToGrid w:val="0"/>
        </w:rPr>
      </w:pPr>
      <w:r>
        <w:rPr>
          <w:snapToGrid w:val="0"/>
        </w:rPr>
        <w:tab/>
        <w:t>(2)</w:t>
      </w:r>
      <w:r>
        <w:rPr>
          <w:snapToGrid w:val="0"/>
        </w:rPr>
        <w:tab/>
        <w:t>Such a by</w:t>
      </w:r>
      <w:r>
        <w:rPr>
          <w:snapToGrid w:val="0"/>
        </w:rPr>
        <w:noBreakHyphen/>
        <w:t>law may relate to contributions to all of the expenses of the strata company or to one or more particular kinds of expenses.</w:t>
      </w:r>
    </w:p>
    <w:p>
      <w:pPr>
        <w:pStyle w:val="Footnotesection"/>
        <w:ind w:left="890" w:hanging="890"/>
      </w:pPr>
      <w:r>
        <w:tab/>
        <w:t>[Section 42B inserted: No. 58 of 1995 s. 44.]</w:t>
      </w:r>
    </w:p>
    <w:p>
      <w:pPr>
        <w:pStyle w:val="Heading5"/>
        <w:rPr>
          <w:snapToGrid w:val="0"/>
        </w:rPr>
      </w:pPr>
      <w:bookmarkStart w:id="163" w:name="_Toc530554898"/>
      <w:r>
        <w:rPr>
          <w:rStyle w:val="CharSectno"/>
        </w:rPr>
        <w:t>42C</w:t>
      </w:r>
      <w:r>
        <w:rPr>
          <w:snapToGrid w:val="0"/>
        </w:rPr>
        <w:t>.</w:t>
      </w:r>
      <w:r>
        <w:rPr>
          <w:snapToGrid w:val="0"/>
        </w:rPr>
        <w:tab/>
        <w:t>Transitional provision</w:t>
      </w:r>
      <w:bookmarkEnd w:id="163"/>
    </w:p>
    <w:p>
      <w:pPr>
        <w:pStyle w:val="Subsection"/>
        <w:rPr>
          <w:snapToGrid w:val="0"/>
        </w:rPr>
      </w:pPr>
      <w:r>
        <w:rPr>
          <w:snapToGrid w:val="0"/>
        </w:rPr>
        <w:tab/>
        <w:t>(1)</w:t>
      </w:r>
      <w:r>
        <w:rPr>
          <w:snapToGrid w:val="0"/>
        </w:rPr>
        <w:tab/>
        <w:t xml:space="preserve">Subject to Schedule 4, section 42(2), as inserted by section 43(1) of the </w:t>
      </w:r>
      <w:r>
        <w:rPr>
          <w:i/>
          <w:snapToGrid w:val="0"/>
        </w:rPr>
        <w:t>Strata Titles Amendment Act 1995</w:t>
      </w:r>
      <w:r>
        <w:rPr>
          <w:snapToGrid w:val="0"/>
        </w:rPr>
        <w:t xml:space="preserve"> applies also to strata companies for which a strata plan was registered after the commencement of this Act but before the commencement of section 43(1) referred to.</w:t>
      </w:r>
    </w:p>
    <w:p>
      <w:pPr>
        <w:pStyle w:val="Subsection"/>
        <w:rPr>
          <w:snapToGrid w:val="0"/>
        </w:rPr>
      </w:pPr>
      <w:r>
        <w:rPr>
          <w:snapToGrid w:val="0"/>
        </w:rPr>
        <w:tab/>
        <w:t>(2)</w:t>
      </w:r>
      <w:r>
        <w:rPr>
          <w:snapToGrid w:val="0"/>
        </w:rPr>
        <w:tab/>
        <w:t>Schedule 4 has effect to make transitional provisions for the purposes of subsection (1).</w:t>
      </w:r>
    </w:p>
    <w:p>
      <w:pPr>
        <w:pStyle w:val="Footnotesection"/>
        <w:ind w:left="890" w:hanging="890"/>
      </w:pPr>
      <w:r>
        <w:tab/>
        <w:t>[Section 42C inserted: No. 58 of 1995 s. 44.]</w:t>
      </w:r>
    </w:p>
    <w:p>
      <w:pPr>
        <w:pStyle w:val="Heading5"/>
        <w:rPr>
          <w:snapToGrid w:val="0"/>
        </w:rPr>
      </w:pPr>
      <w:bookmarkStart w:id="164" w:name="_Toc530554899"/>
      <w:r>
        <w:rPr>
          <w:rStyle w:val="CharSectno"/>
        </w:rPr>
        <w:t>43</w:t>
      </w:r>
      <w:r>
        <w:rPr>
          <w:snapToGrid w:val="0"/>
        </w:rPr>
        <w:t>.</w:t>
      </w:r>
      <w:r>
        <w:rPr>
          <w:snapToGrid w:val="0"/>
        </w:rPr>
        <w:tab/>
        <w:t>Supply of information and certificates by strata company</w:t>
      </w:r>
      <w:bookmarkEnd w:id="164"/>
    </w:p>
    <w:p>
      <w:pPr>
        <w:pStyle w:val="Subsection"/>
        <w:rPr>
          <w:snapToGrid w:val="0"/>
        </w:rPr>
      </w:pPr>
      <w:r>
        <w:rPr>
          <w:snapToGrid w:val="0"/>
        </w:rPr>
        <w:tab/>
        <w:t>(1)</w:t>
      </w:r>
      <w:r>
        <w:rPr>
          <w:snapToGrid w:val="0"/>
        </w:rPr>
        <w:tab/>
        <w:t>Upon application made in writing to a strata company by a proprietor or mortgagee of a lot, or by a person authorised in writing by such a proprietor or mortgagee, and on payment of the prescribed fee (if any), the strata company shall do such one or more of the following things as are required of it in the application —</w:t>
      </w:r>
    </w:p>
    <w:p>
      <w:pPr>
        <w:pStyle w:val="Indenta"/>
        <w:rPr>
          <w:snapToGrid w:val="0"/>
        </w:rPr>
      </w:pPr>
      <w:r>
        <w:rPr>
          <w:snapToGrid w:val="0"/>
        </w:rPr>
        <w:tab/>
        <w:t>(a)</w:t>
      </w:r>
      <w:r>
        <w:rPr>
          <w:snapToGrid w:val="0"/>
        </w:rPr>
        <w:tab/>
        <w:t>inform the applicant of the name and address of each person who is the chairman, secretary or treasurer of the strata company or a member of the council;</w:t>
      </w:r>
    </w:p>
    <w:p>
      <w:pPr>
        <w:pStyle w:val="Indenta"/>
        <w:keepNext/>
        <w:rPr>
          <w:snapToGrid w:val="0"/>
        </w:rPr>
      </w:pPr>
      <w:r>
        <w:rPr>
          <w:snapToGrid w:val="0"/>
        </w:rPr>
        <w:tab/>
        <w:t>(b)</w:t>
      </w:r>
      <w:r>
        <w:rPr>
          <w:snapToGrid w:val="0"/>
        </w:rPr>
        <w:tab/>
        <w:t>make available for inspection by the applicant or his agent and for the exercise of the rights conferred by subsection (5) —</w:t>
      </w:r>
    </w:p>
    <w:p>
      <w:pPr>
        <w:pStyle w:val="Indenti"/>
        <w:rPr>
          <w:snapToGrid w:val="0"/>
        </w:rPr>
      </w:pPr>
      <w:r>
        <w:rPr>
          <w:snapToGrid w:val="0"/>
        </w:rPr>
        <w:tab/>
        <w:t>(i)</w:t>
      </w:r>
      <w:r>
        <w:rPr>
          <w:snapToGrid w:val="0"/>
        </w:rPr>
        <w:tab/>
        <w:t>a copy of the schedule of unit entitlement as recorded on the strata/survey</w:t>
      </w:r>
      <w:r>
        <w:rPr>
          <w:snapToGrid w:val="0"/>
        </w:rPr>
        <w:noBreakHyphen/>
        <w:t>strata plan; and</w:t>
      </w:r>
    </w:p>
    <w:p>
      <w:pPr>
        <w:pStyle w:val="Indenti"/>
        <w:rPr>
          <w:snapToGrid w:val="0"/>
        </w:rPr>
      </w:pPr>
      <w:r>
        <w:rPr>
          <w:snapToGrid w:val="0"/>
        </w:rPr>
        <w:tab/>
        <w:t>(ia)</w:t>
      </w:r>
      <w:r>
        <w:rPr>
          <w:snapToGrid w:val="0"/>
        </w:rPr>
        <w:tab/>
        <w:t>the roll maintained under section 35A; and</w:t>
      </w:r>
    </w:p>
    <w:p>
      <w:pPr>
        <w:pStyle w:val="Indenti"/>
        <w:rPr>
          <w:snapToGrid w:val="0"/>
        </w:rPr>
      </w:pPr>
      <w:r>
        <w:rPr>
          <w:snapToGrid w:val="0"/>
        </w:rPr>
        <w:tab/>
        <w:t>(ii)</w:t>
      </w:r>
      <w:r>
        <w:rPr>
          <w:snapToGrid w:val="0"/>
        </w:rPr>
        <w:tab/>
        <w:t>the notices and orders referred to in and the records kept under section 35(1)(e); and</w:t>
      </w:r>
    </w:p>
    <w:p>
      <w:pPr>
        <w:pStyle w:val="Indenti"/>
        <w:rPr>
          <w:snapToGrid w:val="0"/>
        </w:rPr>
      </w:pPr>
      <w:r>
        <w:rPr>
          <w:snapToGrid w:val="0"/>
        </w:rPr>
        <w:tab/>
        <w:t>(iii)</w:t>
      </w:r>
      <w:r>
        <w:rPr>
          <w:snapToGrid w:val="0"/>
        </w:rPr>
        <w:tab/>
        <w:t>the plans, specifications, drawings, certificates, diagrams and other documents delivered under section 49(3); and</w:t>
      </w:r>
    </w:p>
    <w:p>
      <w:pPr>
        <w:pStyle w:val="Indenti"/>
        <w:rPr>
          <w:snapToGrid w:val="0"/>
        </w:rPr>
      </w:pPr>
      <w:r>
        <w:rPr>
          <w:snapToGrid w:val="0"/>
        </w:rPr>
        <w:tab/>
        <w:t>(iv)</w:t>
      </w:r>
      <w:r>
        <w:rPr>
          <w:snapToGrid w:val="0"/>
        </w:rPr>
        <w:tab/>
        <w:t>the minutes of general meetings of the strata company and meetings of the council; and</w:t>
      </w:r>
    </w:p>
    <w:p>
      <w:pPr>
        <w:pStyle w:val="Indenti"/>
        <w:rPr>
          <w:snapToGrid w:val="0"/>
        </w:rPr>
      </w:pPr>
      <w:r>
        <w:rPr>
          <w:snapToGrid w:val="0"/>
        </w:rPr>
        <w:tab/>
        <w:t>(v)</w:t>
      </w:r>
      <w:r>
        <w:rPr>
          <w:snapToGrid w:val="0"/>
        </w:rPr>
        <w:tab/>
        <w:t>the record of unanimous resolutions, resolutions without dissent and special resolutions passed by the proprietors; and</w:t>
      </w:r>
    </w:p>
    <w:p>
      <w:pPr>
        <w:pStyle w:val="Indenti"/>
        <w:rPr>
          <w:snapToGrid w:val="0"/>
        </w:rPr>
      </w:pPr>
      <w:r>
        <w:rPr>
          <w:snapToGrid w:val="0"/>
        </w:rPr>
        <w:tab/>
        <w:t>(vi)</w:t>
      </w:r>
      <w:r>
        <w:rPr>
          <w:snapToGrid w:val="0"/>
        </w:rPr>
        <w:tab/>
        <w:t>the books of account of the strata company; and</w:t>
      </w:r>
    </w:p>
    <w:p>
      <w:pPr>
        <w:pStyle w:val="Indenti"/>
        <w:rPr>
          <w:snapToGrid w:val="0"/>
        </w:rPr>
      </w:pPr>
      <w:r>
        <w:rPr>
          <w:snapToGrid w:val="0"/>
        </w:rPr>
        <w:tab/>
        <w:t>(vii)</w:t>
      </w:r>
      <w:r>
        <w:rPr>
          <w:snapToGrid w:val="0"/>
        </w:rPr>
        <w:tab/>
        <w:t>a copy of the statement of accounts of the strata company last prepared by the strata company in accordance with section 35(1)(g); and</w:t>
      </w:r>
    </w:p>
    <w:p>
      <w:pPr>
        <w:pStyle w:val="Indenti"/>
        <w:rPr>
          <w:snapToGrid w:val="0"/>
        </w:rPr>
      </w:pPr>
      <w:r>
        <w:rPr>
          <w:snapToGrid w:val="0"/>
        </w:rPr>
        <w:tab/>
        <w:t>(viii)</w:t>
      </w:r>
      <w:r>
        <w:rPr>
          <w:snapToGrid w:val="0"/>
        </w:rPr>
        <w:tab/>
        <w:t>every current policy of insurance effected by the strata company and the receipt for the premium last paid in respect of each such policy; and</w:t>
      </w:r>
    </w:p>
    <w:p>
      <w:pPr>
        <w:pStyle w:val="Indenti"/>
        <w:rPr>
          <w:snapToGrid w:val="0"/>
        </w:rPr>
      </w:pPr>
      <w:r>
        <w:rPr>
          <w:snapToGrid w:val="0"/>
        </w:rPr>
        <w:tab/>
        <w:t>(ix)</w:t>
      </w:r>
      <w:r>
        <w:rPr>
          <w:snapToGrid w:val="0"/>
        </w:rPr>
        <w:tab/>
        <w:t>any other record or document in the custody or under the control of the strata company; and</w:t>
      </w:r>
    </w:p>
    <w:p>
      <w:pPr>
        <w:pStyle w:val="Indenti"/>
        <w:rPr>
          <w:snapToGrid w:val="0"/>
        </w:rPr>
      </w:pPr>
      <w:r>
        <w:rPr>
          <w:snapToGrid w:val="0"/>
        </w:rPr>
        <w:tab/>
        <w:t>(x)</w:t>
      </w:r>
      <w:r>
        <w:rPr>
          <w:snapToGrid w:val="0"/>
        </w:rPr>
        <w:tab/>
        <w:t>the by</w:t>
      </w:r>
      <w:r>
        <w:rPr>
          <w:snapToGrid w:val="0"/>
        </w:rPr>
        <w:noBreakHyphen/>
        <w:t>laws for the time being in force;</w:t>
      </w:r>
    </w:p>
    <w:p>
      <w:pPr>
        <w:pStyle w:val="Indenta"/>
        <w:rPr>
          <w:snapToGrid w:val="0"/>
        </w:rPr>
      </w:pPr>
      <w:r>
        <w:rPr>
          <w:snapToGrid w:val="0"/>
        </w:rPr>
        <w:tab/>
      </w:r>
      <w:r>
        <w:rPr>
          <w:snapToGrid w:val="0"/>
        </w:rPr>
        <w:tab/>
        <w:t>at such time and place as may be agreed upon by the applicant or his agent and the strata company and, failing agreement, at the parcel at a time and on a date fixed by the strata company under subsection (2);</w:t>
      </w:r>
    </w:p>
    <w:p>
      <w:pPr>
        <w:pStyle w:val="Indenta"/>
        <w:keepNext/>
        <w:rPr>
          <w:snapToGrid w:val="0"/>
        </w:rPr>
      </w:pPr>
      <w:r>
        <w:rPr>
          <w:snapToGrid w:val="0"/>
        </w:rPr>
        <w:tab/>
        <w:t>(c)</w:t>
      </w:r>
      <w:r>
        <w:rPr>
          <w:snapToGrid w:val="0"/>
        </w:rPr>
        <w:tab/>
        <w:t>certify, as at the date of the certificate, in respect of the lot in respect of which the application is made —</w:t>
      </w:r>
    </w:p>
    <w:p>
      <w:pPr>
        <w:pStyle w:val="Indenti"/>
        <w:rPr>
          <w:snapToGrid w:val="0"/>
        </w:rPr>
      </w:pPr>
      <w:r>
        <w:rPr>
          <w:snapToGrid w:val="0"/>
        </w:rPr>
        <w:tab/>
        <w:t>(i)</w:t>
      </w:r>
      <w:r>
        <w:rPr>
          <w:snapToGrid w:val="0"/>
        </w:rPr>
        <w:tab/>
        <w:t>the amount of any regular periodic contributions determined by the strata company under section 36 and the periods in respect of which those contributions are payable; and</w:t>
      </w:r>
    </w:p>
    <w:p>
      <w:pPr>
        <w:pStyle w:val="Indenti"/>
        <w:rPr>
          <w:snapToGrid w:val="0"/>
          <w:spacing w:val="-4"/>
        </w:rPr>
      </w:pPr>
      <w:r>
        <w:rPr>
          <w:snapToGrid w:val="0"/>
          <w:spacing w:val="-4"/>
        </w:rPr>
        <w:tab/>
        <w:t>(ii)</w:t>
      </w:r>
      <w:r>
        <w:rPr>
          <w:snapToGrid w:val="0"/>
          <w:spacing w:val="-4"/>
        </w:rPr>
        <w:tab/>
        <w:t>whether there is any amount of any contribution determined under section 36 due and payable and, if so, the amount due and payable and, in the case of a contribution levied under section 36(2), the date on which any such contribution was levied; and</w:t>
      </w:r>
    </w:p>
    <w:p>
      <w:pPr>
        <w:pStyle w:val="Indenti"/>
        <w:rPr>
          <w:snapToGrid w:val="0"/>
        </w:rPr>
      </w:pPr>
      <w:r>
        <w:rPr>
          <w:snapToGrid w:val="0"/>
        </w:rPr>
        <w:tab/>
        <w:t>(iii)</w:t>
      </w:r>
      <w:r>
        <w:rPr>
          <w:snapToGrid w:val="0"/>
        </w:rPr>
        <w:tab/>
        <w:t>whether there is any amount due and payable by a proprietor under a by</w:t>
      </w:r>
      <w:r>
        <w:rPr>
          <w:snapToGrid w:val="0"/>
        </w:rPr>
        <w:noBreakHyphen/>
        <w:t>law referred to in section 42(8); and</w:t>
      </w:r>
    </w:p>
    <w:p>
      <w:pPr>
        <w:pStyle w:val="Indenti"/>
        <w:rPr>
          <w:snapToGrid w:val="0"/>
        </w:rPr>
      </w:pPr>
      <w:r>
        <w:rPr>
          <w:snapToGrid w:val="0"/>
        </w:rPr>
        <w:tab/>
        <w:t>(iv)</w:t>
      </w:r>
      <w:r>
        <w:rPr>
          <w:snapToGrid w:val="0"/>
        </w:rPr>
        <w:tab/>
        <w:t>whether there is any amount recoverable from the proprietor, mortgagee in possession or occupier of that lot under section 38(4) or (5) and, if so, the amount recoverable; and</w:t>
      </w:r>
    </w:p>
    <w:p>
      <w:pPr>
        <w:pStyle w:val="Indenti"/>
        <w:rPr>
          <w:snapToGrid w:val="0"/>
        </w:rPr>
      </w:pPr>
      <w:r>
        <w:rPr>
          <w:snapToGrid w:val="0"/>
        </w:rPr>
        <w:tab/>
        <w:t>(v)</w:t>
      </w:r>
      <w:r>
        <w:rPr>
          <w:snapToGrid w:val="0"/>
        </w:rPr>
        <w:tab/>
        <w:t>any amount and rate of interest payable under section 36(4) in respect of any unpaid contribution referred to in that section; and</w:t>
      </w:r>
    </w:p>
    <w:p>
      <w:pPr>
        <w:pStyle w:val="Indenti"/>
        <w:rPr>
          <w:snapToGrid w:val="0"/>
        </w:rPr>
      </w:pPr>
      <w:r>
        <w:rPr>
          <w:snapToGrid w:val="0"/>
        </w:rPr>
        <w:tab/>
        <w:t>(vi)</w:t>
      </w:r>
      <w:r>
        <w:rPr>
          <w:snapToGrid w:val="0"/>
        </w:rPr>
        <w:tab/>
        <w:t>whether any penalty imposed on a proprietor under section 103I is due but unpaid, and if so the amount unpaid; and</w:t>
      </w:r>
    </w:p>
    <w:p>
      <w:pPr>
        <w:pStyle w:val="Indenti"/>
        <w:rPr>
          <w:snapToGrid w:val="0"/>
        </w:rPr>
      </w:pPr>
      <w:r>
        <w:rPr>
          <w:snapToGrid w:val="0"/>
        </w:rPr>
        <w:tab/>
        <w:t>(vii)</w:t>
      </w:r>
      <w:r>
        <w:rPr>
          <w:snapToGrid w:val="0"/>
        </w:rPr>
        <w:tab/>
        <w:t>where the lot has a submeter for measuring the amount of gas, electricity or water supplied, whether there is any amount due but unpaid for gas, electricity or water, and if so the amount unpaid;</w:t>
      </w:r>
    </w:p>
    <w:p>
      <w:pPr>
        <w:pStyle w:val="Indenta"/>
        <w:keepNext/>
        <w:rPr>
          <w:snapToGrid w:val="0"/>
        </w:rPr>
      </w:pPr>
      <w:r>
        <w:rPr>
          <w:snapToGrid w:val="0"/>
        </w:rPr>
        <w:tab/>
        <w:t>(d)</w:t>
      </w:r>
      <w:r>
        <w:rPr>
          <w:snapToGrid w:val="0"/>
        </w:rPr>
        <w:tab/>
        <w:t>certify, as at the date of the certificate —</w:t>
      </w:r>
    </w:p>
    <w:p>
      <w:pPr>
        <w:pStyle w:val="Indenti"/>
        <w:rPr>
          <w:snapToGrid w:val="0"/>
        </w:rPr>
      </w:pPr>
      <w:r>
        <w:rPr>
          <w:snapToGrid w:val="0"/>
        </w:rPr>
        <w:tab/>
        <w:t>(i)</w:t>
      </w:r>
      <w:r>
        <w:rPr>
          <w:snapToGrid w:val="0"/>
        </w:rPr>
        <w:tab/>
        <w:t>details of insurance policies maintained by the strata company, including the name of the insurer, the policy number, the type and amount of cover, and the expiry date; and</w:t>
      </w:r>
    </w:p>
    <w:p>
      <w:pPr>
        <w:pStyle w:val="Indenti"/>
        <w:rPr>
          <w:snapToGrid w:val="0"/>
        </w:rPr>
      </w:pPr>
      <w:r>
        <w:rPr>
          <w:snapToGrid w:val="0"/>
        </w:rPr>
        <w:tab/>
        <w:t>(ii)</w:t>
      </w:r>
      <w:r>
        <w:rPr>
          <w:snapToGrid w:val="0"/>
        </w:rPr>
        <w:tab/>
        <w:t>whether any transfer, lease or other disposition has been entered into or exclusive use by</w:t>
      </w:r>
      <w:r>
        <w:rPr>
          <w:snapToGrid w:val="0"/>
        </w:rPr>
        <w:noBreakHyphen/>
        <w:t>law made in favour of any person in respect of the common property but not registered by the Registrar of Titles, and if so the name of the person and the nature and effect of the transaction or by</w:t>
      </w:r>
      <w:r>
        <w:rPr>
          <w:snapToGrid w:val="0"/>
        </w:rPr>
        <w:noBreakHyphen/>
        <w:t>law.</w:t>
      </w:r>
    </w:p>
    <w:p>
      <w:pPr>
        <w:pStyle w:val="Penstart"/>
        <w:rPr>
          <w:snapToGrid w:val="0"/>
        </w:rPr>
      </w:pPr>
      <w:r>
        <w:rPr>
          <w:snapToGrid w:val="0"/>
        </w:rPr>
        <w:tab/>
        <w:t>Penalty: $400.</w:t>
      </w:r>
    </w:p>
    <w:p>
      <w:pPr>
        <w:pStyle w:val="Subsection"/>
        <w:rPr>
          <w:snapToGrid w:val="0"/>
        </w:rPr>
      </w:pPr>
      <w:r>
        <w:rPr>
          <w:snapToGrid w:val="0"/>
        </w:rPr>
        <w:tab/>
        <w:t>(1a)</w:t>
      </w:r>
      <w:r>
        <w:rPr>
          <w:snapToGrid w:val="0"/>
        </w:rPr>
        <w:tab/>
        <w:t>On application made in writing to a strata company by a proprietor or mortgagee of a lot, or by a person authorised in writing by such a proprietor or mortgagee, the strata company may provide to the applicant copies of —</w:t>
      </w:r>
    </w:p>
    <w:p>
      <w:pPr>
        <w:pStyle w:val="Indenta"/>
        <w:rPr>
          <w:snapToGrid w:val="0"/>
        </w:rPr>
      </w:pPr>
      <w:r>
        <w:rPr>
          <w:snapToGrid w:val="0"/>
        </w:rPr>
        <w:tab/>
        <w:t>(a)</w:t>
      </w:r>
      <w:r>
        <w:rPr>
          <w:snapToGrid w:val="0"/>
        </w:rPr>
        <w:tab/>
        <w:t>any document referred to in subsection (1)(b); or</w:t>
      </w:r>
    </w:p>
    <w:p>
      <w:pPr>
        <w:pStyle w:val="Indenta"/>
        <w:rPr>
          <w:snapToGrid w:val="0"/>
        </w:rPr>
      </w:pPr>
      <w:r>
        <w:rPr>
          <w:snapToGrid w:val="0"/>
        </w:rPr>
        <w:tab/>
        <w:t>(b)</w:t>
      </w:r>
      <w:r>
        <w:rPr>
          <w:snapToGrid w:val="0"/>
        </w:rPr>
        <w:tab/>
        <w:t>the roll maintained by the strata company under section 35A,</w:t>
      </w:r>
    </w:p>
    <w:p>
      <w:pPr>
        <w:pStyle w:val="Subsection"/>
        <w:rPr>
          <w:snapToGrid w:val="0"/>
        </w:rPr>
      </w:pPr>
      <w:r>
        <w:rPr>
          <w:snapToGrid w:val="0"/>
        </w:rPr>
        <w:tab/>
      </w:r>
      <w:r>
        <w:rPr>
          <w:snapToGrid w:val="0"/>
        </w:rPr>
        <w:tab/>
        <w:t>and, except for one copy of minutes of general meetings of the strata company provided to each proprietor or mortgagee of that lot, may require the applicant to pay the prescribed fee for any copy so provided.</w:t>
      </w:r>
    </w:p>
    <w:p>
      <w:pPr>
        <w:pStyle w:val="Subsection"/>
        <w:rPr>
          <w:snapToGrid w:val="0"/>
        </w:rPr>
      </w:pPr>
      <w:r>
        <w:rPr>
          <w:snapToGrid w:val="0"/>
        </w:rPr>
        <w:tab/>
        <w:t>(2)</w:t>
      </w:r>
      <w:r>
        <w:rPr>
          <w:snapToGrid w:val="0"/>
        </w:rPr>
        <w:tab/>
        <w:t>Where an applicant and a strata company fail to reach agreement in accordance with subsection (1)(b) within 3 days after the receipt of the application by the strata company, the strata company shall forthwith send by post to the applicant a notice fixing a time, specified in the notice, between 9 a.m. and 8 p.m. on a date so specified, being a date not later than 10 days after the receipt of the application by the strata company, for the making of the inspection referred to in subsection (1)(b).</w:t>
      </w:r>
    </w:p>
    <w:p>
      <w:pPr>
        <w:pStyle w:val="Subsection"/>
        <w:rPr>
          <w:snapToGrid w:val="0"/>
        </w:rPr>
      </w:pPr>
      <w:r>
        <w:rPr>
          <w:snapToGrid w:val="0"/>
        </w:rPr>
        <w:tab/>
        <w:t>(3)</w:t>
      </w:r>
      <w:r>
        <w:rPr>
          <w:snapToGrid w:val="0"/>
        </w:rPr>
        <w:tab/>
        <w:t>Information referred to in subsection (1)(a), and a certificate referred to in subsection (1)(c), shall be provided by the strata company not later than 14 days after receiving the application for the information or certificate, as the case may be.</w:t>
      </w:r>
    </w:p>
    <w:p>
      <w:pPr>
        <w:pStyle w:val="Penstart"/>
        <w:rPr>
          <w:snapToGrid w:val="0"/>
        </w:rPr>
      </w:pPr>
      <w:r>
        <w:rPr>
          <w:snapToGrid w:val="0"/>
        </w:rPr>
        <w:tab/>
        <w:t>Penalty: $400.</w:t>
      </w:r>
    </w:p>
    <w:p>
      <w:pPr>
        <w:pStyle w:val="Subsection"/>
        <w:rPr>
          <w:snapToGrid w:val="0"/>
        </w:rPr>
      </w:pPr>
      <w:r>
        <w:rPr>
          <w:snapToGrid w:val="0"/>
        </w:rPr>
        <w:tab/>
        <w:t>(4)</w:t>
      </w:r>
      <w:r>
        <w:rPr>
          <w:snapToGrid w:val="0"/>
        </w:rPr>
        <w:tab/>
        <w:t>In favour of a person taking for valuable consideration an estate or interest in any lot, a certificate given under subsection (1)(c) by the strata company in respect of that lot is conclusive evidence, as at the date of the certificate, of the matters stated in the certificate.</w:t>
      </w:r>
    </w:p>
    <w:p>
      <w:pPr>
        <w:pStyle w:val="Subsection"/>
        <w:rPr>
          <w:snapToGrid w:val="0"/>
        </w:rPr>
      </w:pPr>
      <w:r>
        <w:rPr>
          <w:snapToGrid w:val="0"/>
        </w:rPr>
        <w:tab/>
        <w:t>(5)</w:t>
      </w:r>
      <w:r>
        <w:rPr>
          <w:snapToGrid w:val="0"/>
        </w:rPr>
        <w:tab/>
        <w:t>A person entitled to inspect a document made available under subsection (1)(b) may take extracts from, or make a copy of, the document but may not, without the consent of the strata company, remove the document from the custody of the strata company for the purpose of inspecting the document, taking extracts therefrom, or making a copy of it.</w:t>
      </w:r>
    </w:p>
    <w:p>
      <w:pPr>
        <w:pStyle w:val="Subsection"/>
        <w:rPr>
          <w:snapToGrid w:val="0"/>
        </w:rPr>
      </w:pPr>
      <w:r>
        <w:rPr>
          <w:snapToGrid w:val="0"/>
        </w:rPr>
        <w:tab/>
        <w:t>(6)</w:t>
      </w:r>
      <w:r>
        <w:rPr>
          <w:snapToGrid w:val="0"/>
        </w:rPr>
        <w:tab/>
        <w:t>A strata company shall comply with any reasonable request for the name and address of each person who is the chairman, secretary or treasurer of the strata company or a member of the council of the strata company.</w:t>
      </w:r>
    </w:p>
    <w:p>
      <w:pPr>
        <w:pStyle w:val="Footnotesection"/>
      </w:pPr>
      <w:r>
        <w:tab/>
        <w:t>[Section 43 amended: No. 58 of 1995 s. 45, 94 and 95.]</w:t>
      </w:r>
    </w:p>
    <w:p>
      <w:pPr>
        <w:pStyle w:val="Heading3"/>
      </w:pPr>
      <w:bookmarkStart w:id="165" w:name="_Toc525288528"/>
      <w:bookmarkStart w:id="166" w:name="_Toc530554564"/>
      <w:bookmarkStart w:id="167" w:name="_Toc530554900"/>
      <w:r>
        <w:rPr>
          <w:rStyle w:val="CharDivNo"/>
        </w:rPr>
        <w:t>Division 2</w:t>
      </w:r>
      <w:r>
        <w:rPr>
          <w:snapToGrid w:val="0"/>
        </w:rPr>
        <w:t> — </w:t>
      </w:r>
      <w:r>
        <w:rPr>
          <w:rStyle w:val="CharDivText"/>
        </w:rPr>
        <w:t>Councils</w:t>
      </w:r>
      <w:bookmarkEnd w:id="165"/>
      <w:bookmarkEnd w:id="166"/>
      <w:bookmarkEnd w:id="167"/>
    </w:p>
    <w:p>
      <w:pPr>
        <w:pStyle w:val="Heading5"/>
        <w:spacing w:before="180"/>
        <w:rPr>
          <w:snapToGrid w:val="0"/>
        </w:rPr>
      </w:pPr>
      <w:bookmarkStart w:id="168" w:name="_Toc530554901"/>
      <w:r>
        <w:rPr>
          <w:rStyle w:val="CharSectno"/>
        </w:rPr>
        <w:t>44</w:t>
      </w:r>
      <w:r>
        <w:rPr>
          <w:snapToGrid w:val="0"/>
        </w:rPr>
        <w:t>.</w:t>
      </w:r>
      <w:r>
        <w:rPr>
          <w:snapToGrid w:val="0"/>
        </w:rPr>
        <w:tab/>
        <w:t>Functions of councils</w:t>
      </w:r>
      <w:bookmarkEnd w:id="168"/>
    </w:p>
    <w:p>
      <w:pPr>
        <w:pStyle w:val="Subsection"/>
        <w:rPr>
          <w:snapToGrid w:val="0"/>
        </w:rPr>
      </w:pPr>
      <w:r>
        <w:rPr>
          <w:snapToGrid w:val="0"/>
        </w:rPr>
        <w:tab/>
        <w:t>(1)</w:t>
      </w:r>
      <w:r>
        <w:rPr>
          <w:snapToGrid w:val="0"/>
        </w:rPr>
        <w:tab/>
        <w:t>The functions of a strata company shall, subject to this Act and to any restriction imposed or direction given at a general meeting, be performed by the council of the strata company.</w:t>
      </w:r>
    </w:p>
    <w:p>
      <w:pPr>
        <w:pStyle w:val="Subsection"/>
        <w:rPr>
          <w:snapToGrid w:val="0"/>
        </w:rPr>
      </w:pPr>
      <w:r>
        <w:rPr>
          <w:snapToGrid w:val="0"/>
        </w:rPr>
        <w:tab/>
        <w:t>(2)</w:t>
      </w:r>
      <w:r>
        <w:rPr>
          <w:snapToGrid w:val="0"/>
        </w:rPr>
        <w:tab/>
        <w:t>The council of a strata company shall be constituted and shall perform its functions in accordance with and in the manner provided by the by</w:t>
      </w:r>
      <w:r>
        <w:rPr>
          <w:snapToGrid w:val="0"/>
        </w:rPr>
        <w:noBreakHyphen/>
        <w:t>laws of the strata company.</w:t>
      </w:r>
    </w:p>
    <w:p>
      <w:pPr>
        <w:pStyle w:val="Heading5"/>
        <w:rPr>
          <w:snapToGrid w:val="0"/>
        </w:rPr>
      </w:pPr>
      <w:bookmarkStart w:id="169" w:name="_Toc530554902"/>
      <w:r>
        <w:rPr>
          <w:rStyle w:val="CharSectno"/>
        </w:rPr>
        <w:t>45</w:t>
      </w:r>
      <w:r>
        <w:rPr>
          <w:snapToGrid w:val="0"/>
        </w:rPr>
        <w:t>.</w:t>
      </w:r>
      <w:r>
        <w:rPr>
          <w:snapToGrid w:val="0"/>
        </w:rPr>
        <w:tab/>
        <w:t>Corporate body may be chairman, secretary, treasurer or council member</w:t>
      </w:r>
      <w:bookmarkEnd w:id="169"/>
    </w:p>
    <w:p>
      <w:pPr>
        <w:pStyle w:val="Subsection"/>
        <w:rPr>
          <w:snapToGrid w:val="0"/>
        </w:rPr>
      </w:pPr>
      <w:r>
        <w:rPr>
          <w:snapToGrid w:val="0"/>
        </w:rPr>
        <w:tab/>
        <w:t>(1)</w:t>
      </w:r>
      <w:r>
        <w:rPr>
          <w:snapToGrid w:val="0"/>
        </w:rPr>
        <w:tab/>
        <w:t>A corporation is eligible to be chairman, secretary or treasurer of the strata company or a member or alternate member of the council.</w:t>
      </w:r>
    </w:p>
    <w:p>
      <w:pPr>
        <w:pStyle w:val="Subsection"/>
        <w:rPr>
          <w:snapToGrid w:val="0"/>
        </w:rPr>
      </w:pPr>
      <w:r>
        <w:rPr>
          <w:snapToGrid w:val="0"/>
        </w:rPr>
        <w:tab/>
        <w:t>(2)</w:t>
      </w:r>
      <w:r>
        <w:rPr>
          <w:snapToGrid w:val="0"/>
        </w:rPr>
        <w:tab/>
        <w:t>A corporation may authorise an individual to perform on its behalf any function conferred by or under this Act on the corporation as chairman, secretary or treasurer of the strata company or as a member or alternate member of the council and may revoke authority of an individual so authorised.</w:t>
      </w:r>
    </w:p>
    <w:p>
      <w:pPr>
        <w:pStyle w:val="Subsection"/>
        <w:rPr>
          <w:snapToGrid w:val="0"/>
        </w:rPr>
      </w:pPr>
      <w:r>
        <w:rPr>
          <w:snapToGrid w:val="0"/>
        </w:rPr>
        <w:tab/>
        <w:t>(3)</w:t>
      </w:r>
      <w:r>
        <w:rPr>
          <w:snapToGrid w:val="0"/>
        </w:rPr>
        <w:tab/>
        <w:t>Where an individual performs a function that the individual is authorised to perform by a corporation under subsection (2), the function shall be deemed to be performed by the corporation.</w:t>
      </w:r>
    </w:p>
    <w:p>
      <w:pPr>
        <w:pStyle w:val="Heading5"/>
        <w:rPr>
          <w:snapToGrid w:val="0"/>
        </w:rPr>
      </w:pPr>
      <w:bookmarkStart w:id="170" w:name="_Toc530554903"/>
      <w:r>
        <w:rPr>
          <w:rStyle w:val="CharSectno"/>
        </w:rPr>
        <w:t>46</w:t>
      </w:r>
      <w:r>
        <w:rPr>
          <w:snapToGrid w:val="0"/>
        </w:rPr>
        <w:t>.</w:t>
      </w:r>
      <w:r>
        <w:rPr>
          <w:snapToGrid w:val="0"/>
        </w:rPr>
        <w:tab/>
        <w:t>Performance of functions where no council or no quorum</w:t>
      </w:r>
      <w:bookmarkEnd w:id="170"/>
    </w:p>
    <w:p>
      <w:pPr>
        <w:pStyle w:val="Subsection"/>
        <w:rPr>
          <w:snapToGrid w:val="0"/>
        </w:rPr>
      </w:pPr>
      <w:r>
        <w:rPr>
          <w:snapToGrid w:val="0"/>
        </w:rPr>
        <w:tab/>
      </w:r>
      <w:r>
        <w:rPr>
          <w:snapToGrid w:val="0"/>
        </w:rPr>
        <w:tab/>
        <w:t>If at any time there is no council of a strata company or there are insufficient members of the council to constitute a quorum in accordance with the by</w:t>
      </w:r>
      <w:r>
        <w:rPr>
          <w:snapToGrid w:val="0"/>
        </w:rPr>
        <w:noBreakHyphen/>
        <w:t>laws of the strata company, the functions of the council may be performed by the proprietors in general meeting of the strata company.</w:t>
      </w:r>
    </w:p>
    <w:p>
      <w:pPr>
        <w:pStyle w:val="Heading5"/>
        <w:rPr>
          <w:snapToGrid w:val="0"/>
        </w:rPr>
      </w:pPr>
      <w:bookmarkStart w:id="171" w:name="_Toc530554904"/>
      <w:r>
        <w:rPr>
          <w:rStyle w:val="CharSectno"/>
        </w:rPr>
        <w:t>47</w:t>
      </w:r>
      <w:r>
        <w:rPr>
          <w:snapToGrid w:val="0"/>
        </w:rPr>
        <w:t>.</w:t>
      </w:r>
      <w:r>
        <w:rPr>
          <w:snapToGrid w:val="0"/>
        </w:rPr>
        <w:tab/>
        <w:t>Restrictions on powers of expenditure</w:t>
      </w:r>
      <w:bookmarkEnd w:id="171"/>
    </w:p>
    <w:p>
      <w:pPr>
        <w:pStyle w:val="Subsection"/>
        <w:rPr>
          <w:snapToGrid w:val="0"/>
        </w:rPr>
      </w:pPr>
      <w:r>
        <w:rPr>
          <w:snapToGrid w:val="0"/>
        </w:rPr>
        <w:tab/>
        <w:t>(1)</w:t>
      </w:r>
      <w:r>
        <w:rPr>
          <w:snapToGrid w:val="0"/>
        </w:rPr>
        <w:tab/>
        <w:t>Except as authorised by or under this section the council of a strata company shall not, in any one case, undertake expenditure exceeding the sum obtained by multiplying —</w:t>
      </w:r>
    </w:p>
    <w:p>
      <w:pPr>
        <w:pStyle w:val="Indenta"/>
        <w:rPr>
          <w:snapToGrid w:val="0"/>
        </w:rPr>
      </w:pPr>
      <w:r>
        <w:rPr>
          <w:snapToGrid w:val="0"/>
        </w:rPr>
        <w:tab/>
        <w:t>(a)</w:t>
      </w:r>
      <w:r>
        <w:rPr>
          <w:snapToGrid w:val="0"/>
        </w:rPr>
        <w:tab/>
        <w:t>a sum per lot fixed by special resolution of the strata company; or</w:t>
      </w:r>
    </w:p>
    <w:p>
      <w:pPr>
        <w:pStyle w:val="Indenta"/>
        <w:rPr>
          <w:snapToGrid w:val="0"/>
        </w:rPr>
      </w:pPr>
      <w:r>
        <w:rPr>
          <w:snapToGrid w:val="0"/>
        </w:rPr>
        <w:tab/>
        <w:t>(b)</w:t>
      </w:r>
      <w:r>
        <w:rPr>
          <w:snapToGrid w:val="0"/>
        </w:rPr>
        <w:tab/>
        <w:t>if no such sum is fixed, the prescribed amount per lot,</w:t>
      </w:r>
    </w:p>
    <w:p>
      <w:pPr>
        <w:pStyle w:val="Subsection"/>
        <w:rPr>
          <w:snapToGrid w:val="0"/>
        </w:rPr>
      </w:pPr>
      <w:r>
        <w:rPr>
          <w:snapToGrid w:val="0"/>
        </w:rPr>
        <w:tab/>
      </w:r>
      <w:r>
        <w:rPr>
          <w:snapToGrid w:val="0"/>
        </w:rPr>
        <w:tab/>
        <w:t>by the number of lots that are the subject of the scheme.</w:t>
      </w:r>
    </w:p>
    <w:p>
      <w:pPr>
        <w:pStyle w:val="Subsection"/>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expenditure authorised in an emergency</w:t>
      </w:r>
      <w:r>
        <w:t xml:space="preserve"> by the State Administrative Tribunal by an order made on the application of the council of the strata company or a person concerned; or</w:t>
      </w:r>
    </w:p>
    <w:p>
      <w:pPr>
        <w:pStyle w:val="Indenta"/>
        <w:spacing w:before="60"/>
        <w:rPr>
          <w:snapToGrid w:val="0"/>
        </w:rPr>
      </w:pPr>
      <w:r>
        <w:rPr>
          <w:snapToGrid w:val="0"/>
        </w:rPr>
        <w:tab/>
        <w:t>(b)</w:t>
      </w:r>
      <w:r>
        <w:rPr>
          <w:snapToGrid w:val="0"/>
        </w:rPr>
        <w:tab/>
        <w:t>expenditure that is deemed to be approved under subsection (3); or</w:t>
      </w:r>
    </w:p>
    <w:p>
      <w:pPr>
        <w:pStyle w:val="Indenta"/>
        <w:spacing w:before="60"/>
        <w:rPr>
          <w:snapToGrid w:val="0"/>
        </w:rPr>
      </w:pPr>
      <w:r>
        <w:rPr>
          <w:snapToGrid w:val="0"/>
        </w:rPr>
        <w:tab/>
        <w:t>(c)</w:t>
      </w:r>
      <w:r>
        <w:rPr>
          <w:snapToGrid w:val="0"/>
        </w:rPr>
        <w:tab/>
        <w:t>the payment of any premium of insurance effected by or on behalf of the strata company; or</w:t>
      </w:r>
    </w:p>
    <w:p>
      <w:pPr>
        <w:pStyle w:val="Indenta"/>
        <w:keepNext/>
        <w:spacing w:before="60"/>
        <w:rPr>
          <w:snapToGrid w:val="0"/>
        </w:rPr>
      </w:pPr>
      <w:r>
        <w:rPr>
          <w:snapToGrid w:val="0"/>
        </w:rPr>
        <w:tab/>
        <w:t>(d)</w:t>
      </w:r>
      <w:r>
        <w:rPr>
          <w:snapToGrid w:val="0"/>
        </w:rPr>
        <w:tab/>
        <w:t>any payment required to comply with —</w:t>
      </w:r>
    </w:p>
    <w:p>
      <w:pPr>
        <w:pStyle w:val="Indenti"/>
        <w:spacing w:before="60"/>
        <w:rPr>
          <w:snapToGrid w:val="0"/>
        </w:rPr>
      </w:pPr>
      <w:r>
        <w:rPr>
          <w:snapToGrid w:val="0"/>
        </w:rPr>
        <w:tab/>
        <w:t>(i)</w:t>
      </w:r>
      <w:r>
        <w:rPr>
          <w:snapToGrid w:val="0"/>
        </w:rPr>
        <w:tab/>
        <w:t>a notice or order served on the strata company by any public authority or local government; or</w:t>
      </w:r>
    </w:p>
    <w:p>
      <w:pPr>
        <w:pStyle w:val="Indenti"/>
        <w:spacing w:before="60"/>
        <w:rPr>
          <w:snapToGrid w:val="0"/>
        </w:rPr>
      </w:pPr>
      <w:r>
        <w:rPr>
          <w:snapToGrid w:val="0"/>
        </w:rPr>
        <w:tab/>
        <w:t>(ii)</w:t>
      </w:r>
      <w:r>
        <w:rPr>
          <w:snapToGrid w:val="0"/>
        </w:rPr>
        <w:tab/>
        <w:t>an order made with respect to the strata company by a court or tribunal;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expenditure authorised by the strata company in general meeting as part of the budget of the company.</w:t>
      </w:r>
    </w:p>
    <w:p>
      <w:pPr>
        <w:pStyle w:val="Subsection"/>
        <w:spacing w:before="140"/>
      </w:pPr>
      <w:r>
        <w:tab/>
        <w:t>(2a)</w:t>
      </w:r>
      <w:r>
        <w:tab/>
        <w:t>The provisions of Part VI apply to an application made to the State Administrative Tribunal under subsection (2)(a) and to an order made by the State Administrative Tribunal in the same way as they apply to an application and an order made under that Part.</w:t>
      </w:r>
    </w:p>
    <w:p>
      <w:pPr>
        <w:pStyle w:val="Subsection"/>
        <w:spacing w:before="140"/>
        <w:rPr>
          <w:snapToGrid w:val="0"/>
        </w:rPr>
      </w:pPr>
      <w:r>
        <w:rPr>
          <w:snapToGrid w:val="0"/>
        </w:rPr>
        <w:tab/>
        <w:t>(3)</w:t>
      </w:r>
      <w:r>
        <w:rPr>
          <w:snapToGrid w:val="0"/>
        </w:rPr>
        <w:tab/>
        <w:t>For the purposes of subsection (2)(b) expenditure is deemed to be approved if notice in writing of the purpose and amount of the proposed expenditure has been given to the proprietors and first mortgagees of all lots in the scheme and, within 14 days after all proprietors and first mortgagees have been given the notice, objection to the proposed expenditure has not been notified in writing to the council by —</w:t>
      </w:r>
    </w:p>
    <w:p>
      <w:pPr>
        <w:pStyle w:val="Indenta"/>
        <w:spacing w:before="60"/>
        <w:rPr>
          <w:snapToGrid w:val="0"/>
        </w:rPr>
      </w:pPr>
      <w:r>
        <w:rPr>
          <w:snapToGrid w:val="0"/>
        </w:rPr>
        <w:tab/>
        <w:t>(a)</w:t>
      </w:r>
      <w:r>
        <w:rPr>
          <w:snapToGrid w:val="0"/>
        </w:rPr>
        <w:tab/>
        <w:t>the proprietors or first mortgagees of not less than 25% of the lots in the scheme; or</w:t>
      </w:r>
    </w:p>
    <w:p>
      <w:pPr>
        <w:pStyle w:val="Indenta"/>
        <w:spacing w:before="60"/>
        <w:rPr>
          <w:snapToGrid w:val="0"/>
        </w:rPr>
      </w:pPr>
      <w:r>
        <w:rPr>
          <w:snapToGrid w:val="0"/>
        </w:rPr>
        <w:tab/>
        <w:t>(b)</w:t>
      </w:r>
      <w:r>
        <w:rPr>
          <w:snapToGrid w:val="0"/>
        </w:rPr>
        <w:tab/>
        <w:t>the proprietors or first mortgagees of lots of which the total unit entitlement is at least 25% of the aggregate unit entitlement of the lots in the scheme.</w:t>
      </w:r>
    </w:p>
    <w:p>
      <w:pPr>
        <w:pStyle w:val="Subsection"/>
        <w:spacing w:before="140"/>
        <w:rPr>
          <w:snapToGrid w:val="0"/>
        </w:rPr>
      </w:pPr>
      <w:r>
        <w:rPr>
          <w:snapToGrid w:val="0"/>
        </w:rPr>
        <w:tab/>
        <w:t>(4)</w:t>
      </w:r>
      <w:r>
        <w:rPr>
          <w:snapToGrid w:val="0"/>
        </w:rPr>
        <w:tab/>
        <w:t>References in subsection (3) to first mortgagees are to registered mortgagees who are first entitled in priority and who have given written notice of their mortgages to the strata company.</w:t>
      </w:r>
    </w:p>
    <w:p>
      <w:pPr>
        <w:pStyle w:val="Subsection"/>
        <w:rPr>
          <w:snapToGrid w:val="0"/>
        </w:rPr>
      </w:pPr>
      <w:r>
        <w:rPr>
          <w:snapToGrid w:val="0"/>
        </w:rPr>
        <w:tab/>
        <w:t>(5)</w:t>
      </w:r>
      <w:r>
        <w:rPr>
          <w:snapToGrid w:val="0"/>
        </w:rPr>
        <w:tab/>
        <w:t>If an objection is notified under subsection (3) by a first mortgagee of a lot, any objection notified by the proprietor of that lot shall be disregarded.</w:t>
      </w:r>
    </w:p>
    <w:p>
      <w:pPr>
        <w:pStyle w:val="Subsection"/>
        <w:rPr>
          <w:snapToGrid w:val="0"/>
        </w:rPr>
      </w:pPr>
      <w:r>
        <w:rPr>
          <w:snapToGrid w:val="0"/>
        </w:rPr>
        <w:tab/>
        <w:t>(6)</w:t>
      </w:r>
      <w:r>
        <w:rPr>
          <w:snapToGrid w:val="0"/>
        </w:rPr>
        <w:tab/>
        <w:t>Subsection (3) has effect subject to any restriction imposed on the council by the by</w:t>
      </w:r>
      <w:r>
        <w:rPr>
          <w:snapToGrid w:val="0"/>
        </w:rPr>
        <w:noBreakHyphen/>
        <w:t>laws of the strata company.</w:t>
      </w:r>
    </w:p>
    <w:p>
      <w:pPr>
        <w:pStyle w:val="Subsection"/>
        <w:rPr>
          <w:snapToGrid w:val="0"/>
        </w:rPr>
      </w:pPr>
      <w:r>
        <w:rPr>
          <w:snapToGrid w:val="0"/>
        </w:rPr>
        <w:tab/>
        <w:t>(7)</w:t>
      </w:r>
      <w:r>
        <w:rPr>
          <w:snapToGrid w:val="0"/>
        </w:rPr>
        <w:tab/>
        <w:t>Where proposed expenditure to which subsection (1) applies would exceed an amount calculated in accordance with that subsection, the council shall —</w:t>
      </w:r>
    </w:p>
    <w:p>
      <w:pPr>
        <w:pStyle w:val="Indenta"/>
        <w:rPr>
          <w:snapToGrid w:val="0"/>
          <w:spacing w:val="-4"/>
        </w:rPr>
      </w:pPr>
      <w:r>
        <w:rPr>
          <w:snapToGrid w:val="0"/>
          <w:spacing w:val="-4"/>
        </w:rPr>
        <w:tab/>
        <w:t>(a)</w:t>
      </w:r>
      <w:r>
        <w:rPr>
          <w:snapToGrid w:val="0"/>
          <w:spacing w:val="-4"/>
        </w:rPr>
        <w:tab/>
        <w:t>submit the proposal for determination at a general meeting of the strata company convened for the purpose of, or for purposes which include, consideration of the proposal; and</w:t>
      </w:r>
    </w:p>
    <w:p>
      <w:pPr>
        <w:pStyle w:val="Indenta"/>
        <w:rPr>
          <w:snapToGrid w:val="0"/>
        </w:rPr>
      </w:pPr>
      <w:r>
        <w:rPr>
          <w:snapToGrid w:val="0"/>
        </w:rPr>
        <w:tab/>
        <w:t>(b)</w:t>
      </w:r>
      <w:r>
        <w:rPr>
          <w:snapToGrid w:val="0"/>
        </w:rPr>
        <w:tab/>
        <w:t>if the proposed expenditure is in respect of work to be performed or the purchase of personal property, submit at least 2 tenders to that meeting with the proposal.</w:t>
      </w:r>
    </w:p>
    <w:p>
      <w:pPr>
        <w:pStyle w:val="Footnotesection"/>
        <w:ind w:left="890" w:hanging="890"/>
      </w:pPr>
      <w:r>
        <w:tab/>
        <w:t xml:space="preserve">[Section 47 inserted: No. 58 of 1995 s. 46(1) </w:t>
      </w:r>
      <w:r>
        <w:rPr>
          <w:i w:val="0"/>
          <w:vertAlign w:val="superscript"/>
        </w:rPr>
        <w:t>5</w:t>
      </w:r>
      <w:r>
        <w:t>; amended: No. 57 of 1997 s. 115(3); No. 55 of 2004 s. 1122.]</w:t>
      </w:r>
    </w:p>
    <w:p>
      <w:pPr>
        <w:pStyle w:val="Heading5"/>
        <w:rPr>
          <w:snapToGrid w:val="0"/>
        </w:rPr>
      </w:pPr>
      <w:bookmarkStart w:id="172" w:name="_Toc530554905"/>
      <w:r>
        <w:rPr>
          <w:rStyle w:val="CharSectno"/>
        </w:rPr>
        <w:t>48</w:t>
      </w:r>
      <w:r>
        <w:rPr>
          <w:snapToGrid w:val="0"/>
        </w:rPr>
        <w:t>.</w:t>
      </w:r>
      <w:r>
        <w:rPr>
          <w:snapToGrid w:val="0"/>
        </w:rPr>
        <w:tab/>
        <w:t>Recovery of books and records by council</w:t>
      </w:r>
      <w:bookmarkEnd w:id="172"/>
    </w:p>
    <w:p>
      <w:pPr>
        <w:pStyle w:val="Subsection"/>
        <w:rPr>
          <w:snapToGrid w:val="0"/>
        </w:rPr>
      </w:pPr>
      <w:r>
        <w:rPr>
          <w:snapToGrid w:val="0"/>
        </w:rPr>
        <w:tab/>
        <w:t>(1)</w:t>
      </w:r>
      <w:r>
        <w:rPr>
          <w:snapToGrid w:val="0"/>
        </w:rPr>
        <w:tab/>
        <w:t>A person who has possession or control of —</w:t>
      </w:r>
    </w:p>
    <w:p>
      <w:pPr>
        <w:pStyle w:val="Indenta"/>
        <w:rPr>
          <w:snapToGrid w:val="0"/>
        </w:rPr>
      </w:pPr>
      <w:r>
        <w:rPr>
          <w:snapToGrid w:val="0"/>
        </w:rPr>
        <w:tab/>
        <w:t>(a)</w:t>
      </w:r>
      <w:r>
        <w:rPr>
          <w:snapToGrid w:val="0"/>
        </w:rPr>
        <w:tab/>
        <w:t>any records, books of account or keys belonging to a strata company; or</w:t>
      </w:r>
    </w:p>
    <w:p>
      <w:pPr>
        <w:pStyle w:val="Indenta"/>
        <w:rPr>
          <w:snapToGrid w:val="0"/>
        </w:rPr>
      </w:pPr>
      <w:r>
        <w:rPr>
          <w:snapToGrid w:val="0"/>
        </w:rPr>
        <w:tab/>
        <w:t>(b)</w:t>
      </w:r>
      <w:r>
        <w:rPr>
          <w:snapToGrid w:val="0"/>
        </w:rPr>
        <w:tab/>
        <w:t>any other property of a strata company,</w:t>
      </w:r>
    </w:p>
    <w:p>
      <w:pPr>
        <w:pStyle w:val="Subsection"/>
        <w:spacing w:before="120"/>
        <w:rPr>
          <w:snapToGrid w:val="0"/>
        </w:rPr>
      </w:pPr>
      <w:r>
        <w:rPr>
          <w:snapToGrid w:val="0"/>
        </w:rPr>
        <w:tab/>
      </w:r>
      <w:r>
        <w:rPr>
          <w:snapToGrid w:val="0"/>
        </w:rPr>
        <w:tab/>
        <w:t>shall, within 7 days after service on the person of notice of a resolution of the council requiring that person to do so, deliver those records, books of account, keys or that other property to a member of the council specified in the notice.</w:t>
      </w:r>
    </w:p>
    <w:p>
      <w:pPr>
        <w:pStyle w:val="Penstart"/>
        <w:rPr>
          <w:snapToGrid w:val="0"/>
        </w:rPr>
      </w:pPr>
      <w:r>
        <w:rPr>
          <w:snapToGrid w:val="0"/>
        </w:rPr>
        <w:tab/>
        <w:t>Penalty: $400.</w:t>
      </w:r>
    </w:p>
    <w:p>
      <w:pPr>
        <w:pStyle w:val="Subsection"/>
        <w:rPr>
          <w:snapToGrid w:val="0"/>
        </w:rPr>
      </w:pPr>
      <w:r>
        <w:rPr>
          <w:snapToGrid w:val="0"/>
        </w:rPr>
        <w:tab/>
        <w:t>(2)</w:t>
      </w:r>
      <w:r>
        <w:rPr>
          <w:snapToGrid w:val="0"/>
        </w:rPr>
        <w:tab/>
        <w:t>Nothing in subsection (1) shall be construed so as to take away or affect any just claim or lien which a person may have against or upon any records, accounts or property of a strata company.</w:t>
      </w:r>
    </w:p>
    <w:p>
      <w:pPr>
        <w:pStyle w:val="Footnotesection"/>
      </w:pPr>
      <w:r>
        <w:tab/>
        <w:t>[Section 48 amended: No. 58 of 1995 s. 94.]</w:t>
      </w:r>
    </w:p>
    <w:p>
      <w:pPr>
        <w:pStyle w:val="Heading3"/>
      </w:pPr>
      <w:bookmarkStart w:id="173" w:name="_Toc525288534"/>
      <w:bookmarkStart w:id="174" w:name="_Toc530554570"/>
      <w:bookmarkStart w:id="175" w:name="_Toc530554906"/>
      <w:r>
        <w:rPr>
          <w:rStyle w:val="CharDivNo"/>
        </w:rPr>
        <w:t>Division 3</w:t>
      </w:r>
      <w:r>
        <w:rPr>
          <w:snapToGrid w:val="0"/>
        </w:rPr>
        <w:t> — </w:t>
      </w:r>
      <w:r>
        <w:rPr>
          <w:rStyle w:val="CharDivText"/>
        </w:rPr>
        <w:t>Meetings</w:t>
      </w:r>
      <w:bookmarkEnd w:id="173"/>
      <w:bookmarkEnd w:id="174"/>
      <w:bookmarkEnd w:id="175"/>
    </w:p>
    <w:p>
      <w:pPr>
        <w:pStyle w:val="Heading5"/>
        <w:rPr>
          <w:snapToGrid w:val="0"/>
        </w:rPr>
      </w:pPr>
      <w:bookmarkStart w:id="176" w:name="_Toc530554907"/>
      <w:r>
        <w:rPr>
          <w:rStyle w:val="CharSectno"/>
        </w:rPr>
        <w:t>49</w:t>
      </w:r>
      <w:r>
        <w:rPr>
          <w:snapToGrid w:val="0"/>
        </w:rPr>
        <w:t>.</w:t>
      </w:r>
      <w:r>
        <w:rPr>
          <w:snapToGrid w:val="0"/>
        </w:rPr>
        <w:tab/>
        <w:t>First annual general meeting</w:t>
      </w:r>
      <w:bookmarkEnd w:id="176"/>
    </w:p>
    <w:p>
      <w:pPr>
        <w:pStyle w:val="Subsection"/>
        <w:rPr>
          <w:snapToGrid w:val="0"/>
        </w:rPr>
      </w:pPr>
      <w:r>
        <w:rPr>
          <w:snapToGrid w:val="0"/>
        </w:rPr>
        <w:tab/>
        <w:t>(1)</w:t>
      </w:r>
      <w:r>
        <w:rPr>
          <w:snapToGrid w:val="0"/>
        </w:rPr>
        <w:tab/>
        <w:t>Within 3 months after the registration of the strata/survey</w:t>
      </w:r>
      <w:r>
        <w:rPr>
          <w:snapToGrid w:val="0"/>
        </w:rPr>
        <w:noBreakHyphen/>
        <w:t>strata plan, the original proprietor, whether or not he is a proprietor at the time he does so, shall, in the prescribed manner, convene and hold a meeting of the strata company to be held within that period.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meeting convened and held under subsection (1) shall be the first annual general meeting of the strata company.</w:t>
      </w:r>
    </w:p>
    <w:p>
      <w:pPr>
        <w:pStyle w:val="Subsection"/>
        <w:keepNext/>
        <w:rPr>
          <w:snapToGrid w:val="0"/>
        </w:rPr>
      </w:pPr>
      <w:r>
        <w:rPr>
          <w:snapToGrid w:val="0"/>
        </w:rPr>
        <w:tab/>
        <w:t>(3)</w:t>
      </w:r>
      <w:r>
        <w:rPr>
          <w:snapToGrid w:val="0"/>
        </w:rPr>
        <w:tab/>
        <w:t>An original proprietor shall deliver to the strata company at its first annual general meeting —</w:t>
      </w:r>
    </w:p>
    <w:p>
      <w:pPr>
        <w:pStyle w:val="Indenta"/>
        <w:rPr>
          <w:snapToGrid w:val="0"/>
        </w:rPr>
      </w:pPr>
      <w:r>
        <w:rPr>
          <w:snapToGrid w:val="0"/>
        </w:rPr>
        <w:tab/>
        <w:t>(a)</w:t>
      </w:r>
      <w:r>
        <w:rPr>
          <w:snapToGrid w:val="0"/>
        </w:rPr>
        <w:tab/>
        <w:t>all plans, specifications, drawings showing water pipes, electric cables, drainage pipes, ventilation ducts or air</w:t>
      </w:r>
      <w:r>
        <w:rPr>
          <w:snapToGrid w:val="0"/>
        </w:rPr>
        <w:noBreakHyphen/>
        <w:t>conditioning systems, certificates (other than certificates of title for lots), diagrams (including lift wiring diagrams) and other documents (including policies of insurance) obtained or received by him and relating to the parcel or building; and</w:t>
      </w:r>
    </w:p>
    <w:p>
      <w:pPr>
        <w:pStyle w:val="Indenta"/>
        <w:rPr>
          <w:snapToGrid w:val="0"/>
        </w:rPr>
      </w:pPr>
      <w:r>
        <w:rPr>
          <w:snapToGrid w:val="0"/>
        </w:rPr>
        <w:tab/>
        <w:t>(b)</w:t>
      </w:r>
      <w:r>
        <w:rPr>
          <w:snapToGrid w:val="0"/>
        </w:rPr>
        <w:tab/>
        <w:t>if they are in his possession or under his control, books of account and any notices or other records relating to the scheme,</w:t>
      </w:r>
    </w:p>
    <w:p>
      <w:pPr>
        <w:pStyle w:val="Subsection"/>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Where a meeting of the strata company convened in accordance with this section is held after the time limited by this section for the holding of the meeting, it does not on that account fail to be the first annual general meeting of the strata company.</w:t>
      </w:r>
    </w:p>
    <w:p>
      <w:pPr>
        <w:pStyle w:val="Footnotesection"/>
      </w:pPr>
      <w:r>
        <w:tab/>
        <w:t>[Section 49 amended: No. 58 of 1995 s. 95 and 96.]</w:t>
      </w:r>
    </w:p>
    <w:p>
      <w:pPr>
        <w:pStyle w:val="Heading5"/>
        <w:rPr>
          <w:snapToGrid w:val="0"/>
        </w:rPr>
      </w:pPr>
      <w:bookmarkStart w:id="177" w:name="_Toc530554908"/>
      <w:r>
        <w:rPr>
          <w:rStyle w:val="CharSectno"/>
        </w:rPr>
        <w:t>50</w:t>
      </w:r>
      <w:r>
        <w:rPr>
          <w:snapToGrid w:val="0"/>
        </w:rPr>
        <w:t>.</w:t>
      </w:r>
      <w:r>
        <w:rPr>
          <w:snapToGrid w:val="0"/>
        </w:rPr>
        <w:tab/>
        <w:t>Voting at meetings</w:t>
      </w:r>
      <w:bookmarkEnd w:id="177"/>
    </w:p>
    <w:p>
      <w:pPr>
        <w:pStyle w:val="Subsection"/>
        <w:keepNext/>
        <w:rPr>
          <w:snapToGrid w:val="0"/>
        </w:rPr>
      </w:pPr>
      <w:r>
        <w:rPr>
          <w:snapToGrid w:val="0"/>
        </w:rPr>
        <w:tab/>
        <w:t>(1)</w:t>
      </w:r>
      <w:r>
        <w:rPr>
          <w:snapToGrid w:val="0"/>
        </w:rPr>
        <w:tab/>
        <w:t>Powers of voting conferred under this Act may be exercised —</w:t>
      </w:r>
    </w:p>
    <w:p>
      <w:pPr>
        <w:pStyle w:val="Indenta"/>
        <w:rPr>
          <w:snapToGrid w:val="0"/>
          <w:spacing w:val="-4"/>
        </w:rPr>
      </w:pPr>
      <w:r>
        <w:rPr>
          <w:snapToGrid w:val="0"/>
          <w:spacing w:val="-4"/>
        </w:rPr>
        <w:tab/>
        <w:t>(a)</w:t>
      </w:r>
      <w:r>
        <w:rPr>
          <w:snapToGrid w:val="0"/>
          <w:spacing w:val="-4"/>
        </w:rPr>
        <w:tab/>
        <w:t>in the case of a proprietor who is an infant, by his guardian;</w:t>
      </w:r>
    </w:p>
    <w:p>
      <w:pPr>
        <w:pStyle w:val="Indenta"/>
        <w:rPr>
          <w:snapToGrid w:val="0"/>
        </w:rPr>
      </w:pPr>
      <w:r>
        <w:rPr>
          <w:snapToGrid w:val="0"/>
        </w:rPr>
        <w:tab/>
        <w:t>(b)</w:t>
      </w:r>
      <w:r>
        <w:rPr>
          <w:snapToGrid w:val="0"/>
        </w:rPr>
        <w:tab/>
        <w:t>in the case of a proprietor who is for any reason unable to control his property, by the person who for the time being is authorised by law to control his property.</w:t>
      </w:r>
    </w:p>
    <w:p>
      <w:pPr>
        <w:pStyle w:val="Subsection"/>
        <w:rPr>
          <w:snapToGrid w:val="0"/>
        </w:rPr>
      </w:pPr>
      <w:r>
        <w:rPr>
          <w:snapToGrid w:val="0"/>
        </w:rPr>
        <w:tab/>
        <w:t>(2)</w:t>
      </w:r>
      <w:r>
        <w:rPr>
          <w:snapToGrid w:val="0"/>
        </w:rPr>
        <w:tab/>
        <w:t>Where the District Court, upon the application of the strata company or of a proprietor or of a mortgagee in possession, is satisfied that there is no person able to vote in respect of a lot or that the person able to vote in respect of a lot cannot be found, the District Court —</w:t>
      </w:r>
    </w:p>
    <w:p>
      <w:pPr>
        <w:pStyle w:val="Indenta"/>
        <w:rPr>
          <w:snapToGrid w:val="0"/>
        </w:rPr>
      </w:pPr>
      <w:r>
        <w:rPr>
          <w:snapToGrid w:val="0"/>
        </w:rPr>
        <w:tab/>
        <w:t>(a)</w:t>
      </w:r>
      <w:r>
        <w:rPr>
          <w:snapToGrid w:val="0"/>
        </w:rPr>
        <w:tab/>
        <w:t>shall, in cases where a unanimous resolution is required by this Act; and</w:t>
      </w:r>
    </w:p>
    <w:p>
      <w:pPr>
        <w:pStyle w:val="Indenta"/>
        <w:rPr>
          <w:snapToGrid w:val="0"/>
        </w:rPr>
      </w:pPr>
      <w:r>
        <w:rPr>
          <w:snapToGrid w:val="0"/>
        </w:rPr>
        <w:tab/>
        <w:t>(b)</w:t>
      </w:r>
      <w:r>
        <w:rPr>
          <w:snapToGrid w:val="0"/>
        </w:rPr>
        <w:tab/>
        <w:t>may, in any other case,</w:t>
      </w:r>
    </w:p>
    <w:p>
      <w:pPr>
        <w:pStyle w:val="Subsection"/>
        <w:rPr>
          <w:snapToGrid w:val="0"/>
        </w:rPr>
      </w:pPr>
      <w:r>
        <w:rPr>
          <w:snapToGrid w:val="0"/>
        </w:rPr>
        <w:tab/>
      </w:r>
      <w:r>
        <w:rPr>
          <w:snapToGrid w:val="0"/>
        </w:rPr>
        <w:tab/>
        <w:t xml:space="preserve">appoint the Public Trustee under the </w:t>
      </w:r>
      <w:r>
        <w:rPr>
          <w:i/>
          <w:snapToGrid w:val="0"/>
        </w:rPr>
        <w:t>Public Trustee Act 1941</w:t>
      </w:r>
      <w:r>
        <w:rPr>
          <w:snapToGrid w:val="0"/>
        </w:rPr>
        <w:t>, or some other fit and proper person, for the purpose of exercising such powers of voting under this Act as the District Court shall determine.</w:t>
      </w:r>
    </w:p>
    <w:p>
      <w:pPr>
        <w:pStyle w:val="Subsection"/>
        <w:rPr>
          <w:snapToGrid w:val="0"/>
        </w:rPr>
      </w:pPr>
      <w:r>
        <w:rPr>
          <w:snapToGrid w:val="0"/>
        </w:rPr>
        <w:tab/>
        <w:t>(3)</w:t>
      </w:r>
      <w:r>
        <w:rPr>
          <w:snapToGrid w:val="0"/>
        </w:rPr>
        <w:tab/>
        <w:t>The District Court may order service of notice of an application under subsection (2) on such persons as it thinks fit or may dispense with service of that notice.</w:t>
      </w:r>
    </w:p>
    <w:p>
      <w:pPr>
        <w:pStyle w:val="Subsection"/>
        <w:rPr>
          <w:snapToGrid w:val="0"/>
          <w:spacing w:val="-4"/>
        </w:rPr>
      </w:pPr>
      <w:r>
        <w:rPr>
          <w:snapToGrid w:val="0"/>
          <w:spacing w:val="-4"/>
        </w:rPr>
        <w:tab/>
        <w:t>(4)</w:t>
      </w:r>
      <w:r>
        <w:rPr>
          <w:snapToGrid w:val="0"/>
          <w:spacing w:val="-4"/>
        </w:rPr>
        <w:tab/>
        <w:t>On making an appointment under subsection (2), the District Court may make such order as it thinks necessary or expedient to give effect to the appointment, including an order as to the payment of costs of the application, and may vary any order so made.</w:t>
      </w:r>
    </w:p>
    <w:p>
      <w:pPr>
        <w:pStyle w:val="Ednotesubsection"/>
      </w:pPr>
      <w:r>
        <w:tab/>
        <w:t>[(5)</w:t>
      </w:r>
      <w:r>
        <w:tab/>
        <w:t>deleted]</w:t>
      </w:r>
    </w:p>
    <w:p>
      <w:pPr>
        <w:pStyle w:val="Subsection"/>
        <w:rPr>
          <w:snapToGrid w:val="0"/>
        </w:rPr>
      </w:pPr>
      <w:r>
        <w:rPr>
          <w:snapToGrid w:val="0"/>
        </w:rPr>
        <w:tab/>
        <w:t>(6)</w:t>
      </w:r>
      <w:r>
        <w:rPr>
          <w:snapToGrid w:val="0"/>
        </w:rPr>
        <w:tab/>
        <w:t>Where the interest of a proprietor in a lot is subject to a registered mortgage, a power of voting conferred on a proprietor under this Act —</w:t>
      </w:r>
    </w:p>
    <w:p>
      <w:pPr>
        <w:pStyle w:val="Indenta"/>
        <w:rPr>
          <w:snapToGrid w:val="0"/>
        </w:rPr>
      </w:pPr>
      <w:r>
        <w:rPr>
          <w:snapToGrid w:val="0"/>
        </w:rPr>
        <w:tab/>
        <w:t>(a)</w:t>
      </w:r>
      <w:r>
        <w:rPr>
          <w:snapToGrid w:val="0"/>
        </w:rPr>
        <w:tab/>
        <w:t>in a case where a unanimous resolution is required, shall not be exercised by the proprietor, but shall be exercised by the mortgagee under such a mortgage first entitled in priority; and</w:t>
      </w:r>
    </w:p>
    <w:p>
      <w:pPr>
        <w:pStyle w:val="Indenta"/>
        <w:rPr>
          <w:snapToGrid w:val="0"/>
        </w:rPr>
      </w:pPr>
      <w:r>
        <w:rPr>
          <w:snapToGrid w:val="0"/>
        </w:rPr>
        <w:tab/>
        <w:t>(b)</w:t>
      </w:r>
      <w:r>
        <w:rPr>
          <w:snapToGrid w:val="0"/>
        </w:rPr>
        <w:tab/>
        <w:t>in other cases, may be exercised by the mortgagee first entitled in priority and shall not be exercised by the proprietor when that mortgagee is present personally or by proxy.</w:t>
      </w:r>
    </w:p>
    <w:p>
      <w:pPr>
        <w:pStyle w:val="Subsection"/>
        <w:rPr>
          <w:snapToGrid w:val="0"/>
        </w:rPr>
      </w:pPr>
      <w:r>
        <w:rPr>
          <w:snapToGrid w:val="0"/>
        </w:rPr>
        <w:tab/>
        <w:t>(7)</w:t>
      </w:r>
      <w:r>
        <w:rPr>
          <w:snapToGrid w:val="0"/>
        </w:rPr>
        <w:tab/>
        <w:t>Subsection (6) does not apply unless the mortgagee concerned has given written notice of his mortgage to the strata company.</w:t>
      </w:r>
    </w:p>
    <w:p>
      <w:pPr>
        <w:pStyle w:val="Footnotesection"/>
        <w:keepLines w:val="0"/>
        <w:ind w:left="890" w:hanging="890"/>
      </w:pPr>
      <w:r>
        <w:tab/>
        <w:t>[Section 50 amended: No. 58 of 1995 s. 47 and 93(1).]</w:t>
      </w:r>
    </w:p>
    <w:p>
      <w:pPr>
        <w:pStyle w:val="Heading5"/>
        <w:spacing w:before="180"/>
        <w:rPr>
          <w:snapToGrid w:val="0"/>
        </w:rPr>
      </w:pPr>
      <w:bookmarkStart w:id="178" w:name="_Toc530554909"/>
      <w:r>
        <w:rPr>
          <w:rStyle w:val="CharSectno"/>
        </w:rPr>
        <w:t>50A</w:t>
      </w:r>
      <w:r>
        <w:rPr>
          <w:snapToGrid w:val="0"/>
        </w:rPr>
        <w:t>.</w:t>
      </w:r>
      <w:r>
        <w:rPr>
          <w:snapToGrid w:val="0"/>
        </w:rPr>
        <w:tab/>
        <w:t>Disqualification from voting as proxy</w:t>
      </w:r>
      <w:bookmarkEnd w:id="178"/>
    </w:p>
    <w:p>
      <w:pPr>
        <w:pStyle w:val="Subsection"/>
        <w:rPr>
          <w:snapToGrid w:val="0"/>
        </w:rPr>
      </w:pPr>
      <w:r>
        <w:rPr>
          <w:snapToGrid w:val="0"/>
        </w:rPr>
        <w:tab/>
        <w:t>(1)</w:t>
      </w:r>
      <w:r>
        <w:rPr>
          <w:snapToGrid w:val="0"/>
        </w:rPr>
        <w:tab/>
        <w:t>Subject to subsections (2) and (3), at a meeting of a strata company, or of a council of a strata company, a person shall not vote as a proxy of another person on a motion relating to a management contract or arrangement with the strata company if the person (</w:t>
      </w:r>
      <w:r>
        <w:t xml:space="preserve">the </w:t>
      </w:r>
      <w:r>
        <w:rPr>
          <w:rStyle w:val="CharDefText"/>
        </w:rPr>
        <w:t>proxy</w:t>
      </w:r>
      <w:r>
        <w:rPr>
          <w:snapToGrid w:val="0"/>
        </w:rPr>
        <w:t>) has a financial interest in the contract or arrangement.</w:t>
      </w:r>
    </w:p>
    <w:p>
      <w:pPr>
        <w:pStyle w:val="Subsection"/>
        <w:keepNext/>
        <w:rPr>
          <w:snapToGrid w:val="0"/>
        </w:rPr>
      </w:pPr>
      <w:r>
        <w:rPr>
          <w:snapToGrid w:val="0"/>
        </w:rPr>
        <w:tab/>
        <w:t>(2)</w:t>
      </w:r>
      <w:r>
        <w:rPr>
          <w:snapToGrid w:val="0"/>
        </w:rPr>
        <w:tab/>
        <w:t>Subsection (1) does not apply if —</w:t>
      </w:r>
    </w:p>
    <w:p>
      <w:pPr>
        <w:pStyle w:val="Indenta"/>
        <w:rPr>
          <w:snapToGrid w:val="0"/>
        </w:rPr>
      </w:pPr>
      <w:r>
        <w:rPr>
          <w:snapToGrid w:val="0"/>
        </w:rPr>
        <w:tab/>
        <w:t>(a)</w:t>
      </w:r>
      <w:r>
        <w:rPr>
          <w:snapToGrid w:val="0"/>
        </w:rPr>
        <w:tab/>
        <w:t>notice of the meeting included notice of the motion and, where applicable, the particulars described in subsection (3); and</w:t>
      </w:r>
    </w:p>
    <w:p>
      <w:pPr>
        <w:pStyle w:val="Indenta"/>
        <w:rPr>
          <w:snapToGrid w:val="0"/>
        </w:rPr>
      </w:pPr>
      <w:r>
        <w:rPr>
          <w:snapToGrid w:val="0"/>
        </w:rPr>
        <w:tab/>
        <w:t>(b)</w:t>
      </w:r>
      <w:r>
        <w:rPr>
          <w:snapToGrid w:val="0"/>
        </w:rPr>
        <w:tab/>
        <w:t>the instrument appointing the proxy expressly authorises the proxy to vote on the motion and specifies whether the proxy is to vote for or against it.</w:t>
      </w:r>
    </w:p>
    <w:p>
      <w:pPr>
        <w:pStyle w:val="Subsection"/>
        <w:rPr>
          <w:snapToGrid w:val="0"/>
        </w:rPr>
      </w:pPr>
      <w:r>
        <w:rPr>
          <w:snapToGrid w:val="0"/>
        </w:rPr>
        <w:tab/>
        <w:t>(3)</w:t>
      </w:r>
      <w:r>
        <w:rPr>
          <w:snapToGrid w:val="0"/>
        </w:rPr>
        <w:tab/>
        <w:t>Where the motion relates to the strata company entering into or renewing a management contract or arrangement with a person, notice of the motion shall include —</w:t>
      </w:r>
    </w:p>
    <w:p>
      <w:pPr>
        <w:pStyle w:val="Indenta"/>
        <w:rPr>
          <w:snapToGrid w:val="0"/>
        </w:rPr>
      </w:pPr>
      <w:r>
        <w:rPr>
          <w:snapToGrid w:val="0"/>
        </w:rPr>
        <w:tab/>
        <w:t>(a)</w:t>
      </w:r>
      <w:r>
        <w:rPr>
          <w:snapToGrid w:val="0"/>
        </w:rPr>
        <w:tab/>
        <w:t>the name of that person; and</w:t>
      </w:r>
    </w:p>
    <w:p>
      <w:pPr>
        <w:pStyle w:val="Indenta"/>
        <w:rPr>
          <w:snapToGrid w:val="0"/>
          <w:spacing w:val="-4"/>
        </w:rPr>
      </w:pPr>
      <w:r>
        <w:rPr>
          <w:snapToGrid w:val="0"/>
          <w:spacing w:val="-4"/>
        </w:rPr>
        <w:tab/>
        <w:t>(b)</w:t>
      </w:r>
      <w:r>
        <w:rPr>
          <w:snapToGrid w:val="0"/>
          <w:spacing w:val="-4"/>
        </w:rPr>
        <w:tab/>
        <w:t>the duration of the proposed contract or arrangement; and</w:t>
      </w:r>
    </w:p>
    <w:p>
      <w:pPr>
        <w:pStyle w:val="Indenta"/>
        <w:rPr>
          <w:snapToGrid w:val="0"/>
        </w:rPr>
      </w:pPr>
      <w:r>
        <w:rPr>
          <w:snapToGrid w:val="0"/>
        </w:rPr>
        <w:tab/>
        <w:t>(c)</w:t>
      </w:r>
      <w:r>
        <w:rPr>
          <w:snapToGrid w:val="0"/>
        </w:rPr>
        <w:tab/>
        <w:t>the remuneration that is payable under it.</w:t>
      </w:r>
    </w:p>
    <w:p>
      <w:pPr>
        <w:pStyle w:val="Subsection"/>
        <w:keepNext/>
        <w:rPr>
          <w:snapToGrid w:val="0"/>
        </w:rPr>
      </w:pPr>
      <w:r>
        <w:rPr>
          <w:snapToGrid w:val="0"/>
        </w:rPr>
        <w:tab/>
        <w:t>(4)</w:t>
      </w:r>
      <w:r>
        <w:rPr>
          <w:snapToGrid w:val="0"/>
        </w:rPr>
        <w:tab/>
        <w:t>For the purposes of this section the proxy has a financial interest in a contract or arrangement if the proxy or his or her spouse</w:t>
      </w:r>
      <w:r>
        <w:t xml:space="preserve"> or de facto partner</w:t>
      </w:r>
      <w:r>
        <w:rPr>
          <w:snapToGrid w:val="0"/>
        </w:rPr>
        <w:t> —</w:t>
      </w:r>
    </w:p>
    <w:p>
      <w:pPr>
        <w:pStyle w:val="Indenta"/>
        <w:spacing w:before="60"/>
        <w:rPr>
          <w:snapToGrid w:val="0"/>
        </w:rPr>
      </w:pPr>
      <w:r>
        <w:rPr>
          <w:snapToGrid w:val="0"/>
        </w:rPr>
        <w:tab/>
        <w:t>(a)</w:t>
      </w:r>
      <w:r>
        <w:rPr>
          <w:snapToGrid w:val="0"/>
        </w:rPr>
        <w:tab/>
        <w:t>owns shares (whether beneficially or otherwise) in a company; or</w:t>
      </w:r>
    </w:p>
    <w:p>
      <w:pPr>
        <w:pStyle w:val="Indenta"/>
        <w:spacing w:before="60"/>
        <w:rPr>
          <w:snapToGrid w:val="0"/>
        </w:rPr>
      </w:pPr>
      <w:r>
        <w:rPr>
          <w:snapToGrid w:val="0"/>
        </w:rPr>
        <w:tab/>
        <w:t>(b)</w:t>
      </w:r>
      <w:r>
        <w:rPr>
          <w:snapToGrid w:val="0"/>
        </w:rPr>
        <w:tab/>
        <w:t>is a member of a firm; or</w:t>
      </w:r>
    </w:p>
    <w:p>
      <w:pPr>
        <w:pStyle w:val="Indenta"/>
        <w:spacing w:before="60"/>
        <w:rPr>
          <w:snapToGrid w:val="0"/>
        </w:rPr>
      </w:pPr>
      <w:r>
        <w:rPr>
          <w:snapToGrid w:val="0"/>
        </w:rPr>
        <w:tab/>
        <w:t>(c)</w:t>
      </w:r>
      <w:r>
        <w:rPr>
          <w:snapToGrid w:val="0"/>
        </w:rPr>
        <w:tab/>
        <w:t>is a director or employee of a company or of a firm,</w:t>
      </w:r>
    </w:p>
    <w:p>
      <w:pPr>
        <w:pStyle w:val="Subsection"/>
        <w:keepNext/>
        <w:rPr>
          <w:snapToGrid w:val="0"/>
        </w:rPr>
      </w:pPr>
      <w:r>
        <w:rPr>
          <w:snapToGrid w:val="0"/>
        </w:rPr>
        <w:tab/>
      </w:r>
      <w:r>
        <w:rPr>
          <w:snapToGrid w:val="0"/>
        </w:rPr>
        <w:tab/>
        <w:t>that benefits or will benefit directly from the contract or arrangement to which the motion relates.</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management contract or arrangement</w:t>
      </w:r>
      <w:r>
        <w:t xml:space="preserve"> means a contract or arrangement, or a proposed contract or arrangement, for the provision to the strata company of services in connection with the strata company’s powers and duties under this Act.</w:t>
      </w:r>
    </w:p>
    <w:p>
      <w:pPr>
        <w:pStyle w:val="Footnotesection"/>
        <w:ind w:left="890" w:hanging="890"/>
      </w:pPr>
      <w:r>
        <w:tab/>
        <w:t>[Section 50A inserted: No. 58 of 1995 s. 48; amended: No. 28 of 2003 s. 196.]</w:t>
      </w:r>
    </w:p>
    <w:p>
      <w:pPr>
        <w:pStyle w:val="Heading5"/>
        <w:rPr>
          <w:snapToGrid w:val="0"/>
        </w:rPr>
      </w:pPr>
      <w:bookmarkStart w:id="179" w:name="_Toc530554910"/>
      <w:r>
        <w:rPr>
          <w:rStyle w:val="CharSectno"/>
        </w:rPr>
        <w:t>50B</w:t>
      </w:r>
      <w:r>
        <w:rPr>
          <w:snapToGrid w:val="0"/>
        </w:rPr>
        <w:t>.</w:t>
      </w:r>
      <w:r>
        <w:rPr>
          <w:snapToGrid w:val="0"/>
        </w:rPr>
        <w:tab/>
        <w:t>Quorum for meeting of strata company for two</w:t>
      </w:r>
      <w:r>
        <w:rPr>
          <w:snapToGrid w:val="0"/>
        </w:rPr>
        <w:noBreakHyphen/>
        <w:t>lot scheme</w:t>
      </w:r>
      <w:bookmarkEnd w:id="179"/>
    </w:p>
    <w:p>
      <w:pPr>
        <w:pStyle w:val="Subsection"/>
        <w:keepNext/>
        <w:rPr>
          <w:snapToGrid w:val="0"/>
        </w:rPr>
      </w:pPr>
      <w:r>
        <w:rPr>
          <w:snapToGrid w:val="0"/>
        </w:rPr>
        <w:tab/>
      </w:r>
      <w:r>
        <w:rPr>
          <w:snapToGrid w:val="0"/>
        </w:rPr>
        <w:tab/>
        <w:t>Subject to any order under section 103B, the proprietors of the lots in a two</w:t>
      </w:r>
      <w:r>
        <w:rPr>
          <w:snapToGrid w:val="0"/>
        </w:rPr>
        <w:noBreakHyphen/>
        <w:t>lot scheme, or their respective duly appointed proxies, constitute a quorum for a general meeting of the strata company for that scheme.</w:t>
      </w:r>
    </w:p>
    <w:p>
      <w:pPr>
        <w:pStyle w:val="Footnotesection"/>
        <w:ind w:left="890" w:hanging="890"/>
      </w:pPr>
      <w:r>
        <w:tab/>
        <w:t>[Section 50B inserted: No. 58 of 1995 s. 48.]</w:t>
      </w:r>
    </w:p>
    <w:p>
      <w:pPr>
        <w:pStyle w:val="Heading5"/>
        <w:rPr>
          <w:snapToGrid w:val="0"/>
        </w:rPr>
      </w:pPr>
      <w:bookmarkStart w:id="180" w:name="_Toc530554911"/>
      <w:r>
        <w:rPr>
          <w:rStyle w:val="CharSectno"/>
        </w:rPr>
        <w:t>51</w:t>
      </w:r>
      <w:r>
        <w:rPr>
          <w:snapToGrid w:val="0"/>
        </w:rPr>
        <w:t>.</w:t>
      </w:r>
      <w:r>
        <w:rPr>
          <w:snapToGrid w:val="0"/>
        </w:rPr>
        <w:tab/>
        <w:t>Relief where unanimous resolution or resolution without dissent required</w:t>
      </w:r>
      <w:bookmarkEnd w:id="180"/>
    </w:p>
    <w:p>
      <w:pPr>
        <w:pStyle w:val="Subsection"/>
        <w:keepNext/>
        <w:rPr>
          <w:snapToGrid w:val="0"/>
        </w:rPr>
      </w:pPr>
      <w:r>
        <w:rPr>
          <w:snapToGrid w:val="0"/>
        </w:rPr>
        <w:tab/>
        <w:t>(1)</w:t>
      </w:r>
      <w:r>
        <w:rPr>
          <w:snapToGrid w:val="0"/>
        </w:rPr>
        <w:tab/>
        <w:t>In any case where under this Act a unanimous resolution or a resolution without dissent is necessary before any act may be done and that resolution is not obtained but the resolution is supported to the extent necessary for a special resolution, a person included in the majority in favour of the resolution may apply to the District Court to have the resolution as so supported declared sufficient to authorise the particular act proposed and if the District Court so orders, the resolution shall be deemed to have been passed as a unanimous resolution or a resolution without dissent, as the case may be.</w:t>
      </w:r>
    </w:p>
    <w:p>
      <w:pPr>
        <w:pStyle w:val="Subsection"/>
        <w:rPr>
          <w:snapToGrid w:val="0"/>
        </w:rPr>
      </w:pPr>
      <w:r>
        <w:rPr>
          <w:snapToGrid w:val="0"/>
        </w:rPr>
        <w:tab/>
        <w:t>(1a)</w:t>
      </w:r>
      <w:r>
        <w:rPr>
          <w:snapToGrid w:val="0"/>
        </w:rPr>
        <w:tab/>
        <w:t>This section does not apply to a two</w:t>
      </w:r>
      <w:r>
        <w:rPr>
          <w:snapToGrid w:val="0"/>
        </w:rPr>
        <w:noBreakHyphen/>
        <w:t>lot scheme.</w:t>
      </w:r>
    </w:p>
    <w:p>
      <w:pPr>
        <w:pStyle w:val="Subsection"/>
        <w:keepNext/>
        <w:rPr>
          <w:snapToGrid w:val="0"/>
          <w:spacing w:val="-4"/>
        </w:rPr>
      </w:pPr>
      <w:r>
        <w:rPr>
          <w:snapToGrid w:val="0"/>
          <w:spacing w:val="-4"/>
        </w:rPr>
        <w:tab/>
        <w:t>(2)</w:t>
      </w:r>
      <w:r>
        <w:rPr>
          <w:snapToGrid w:val="0"/>
          <w:spacing w:val="-4"/>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and</w:t>
      </w:r>
    </w:p>
    <w:p>
      <w:pPr>
        <w:pStyle w:val="Indenta"/>
        <w:rPr>
          <w:snapToGrid w:val="0"/>
        </w:rPr>
      </w:pPr>
      <w:r>
        <w:rPr>
          <w:snapToGrid w:val="0"/>
        </w:rPr>
        <w:tab/>
        <w:t>(b)</w:t>
      </w:r>
      <w:r>
        <w:rPr>
          <w:snapToGrid w:val="0"/>
        </w:rPr>
        <w:tab/>
        <w:t>every person whom the District Court declares to have a sufficient interest in the proceedings to require that he should be served with notice of the application,</w:t>
      </w:r>
    </w:p>
    <w:p>
      <w:pPr>
        <w:pStyle w:val="Subsection"/>
        <w:spacing w:before="120"/>
        <w:rPr>
          <w:snapToGrid w:val="0"/>
        </w:rPr>
      </w:pPr>
      <w:r>
        <w:rPr>
          <w:snapToGrid w:val="0"/>
        </w:rPr>
        <w:tab/>
      </w:r>
      <w:r>
        <w:rPr>
          <w:snapToGrid w:val="0"/>
        </w:rPr>
        <w:tab/>
        <w:t>and the District Court may direct that any person served with notice of proceedings under this subsection shall be joined as a party to the proceedings.</w:t>
      </w:r>
    </w:p>
    <w:p>
      <w:pPr>
        <w:pStyle w:val="Subsection"/>
        <w:rPr>
          <w:snapToGrid w:val="0"/>
        </w:rPr>
      </w:pPr>
      <w:r>
        <w:rPr>
          <w:snapToGrid w:val="0"/>
        </w:rPr>
        <w:tab/>
        <w:t>(3)</w:t>
      </w:r>
      <w:r>
        <w:rPr>
          <w:snapToGrid w:val="0"/>
        </w:rPr>
        <w:tab/>
        <w:t>The District Court shall not order a party who opposes an application under this section to pay the costs of a successful applicant unless the District Court considers the actions of that party in relation to the application to have been unreasonable.</w:t>
      </w:r>
    </w:p>
    <w:p>
      <w:pPr>
        <w:pStyle w:val="Footnotesection"/>
      </w:pPr>
      <w:r>
        <w:tab/>
        <w:t>[Section 51 amended: No. 58 of 1995 s. 49 and 93(1).]</w:t>
      </w:r>
    </w:p>
    <w:p>
      <w:pPr>
        <w:pStyle w:val="Heading5"/>
        <w:rPr>
          <w:snapToGrid w:val="0"/>
        </w:rPr>
      </w:pPr>
      <w:bookmarkStart w:id="181" w:name="_Toc530554912"/>
      <w:r>
        <w:rPr>
          <w:rStyle w:val="CharSectno"/>
        </w:rPr>
        <w:t>51A</w:t>
      </w:r>
      <w:r>
        <w:rPr>
          <w:snapToGrid w:val="0"/>
        </w:rPr>
        <w:t>.</w:t>
      </w:r>
      <w:r>
        <w:rPr>
          <w:snapToGrid w:val="0"/>
        </w:rPr>
        <w:tab/>
        <w:t>Relief where unanimous resolution required for two</w:t>
      </w:r>
      <w:r>
        <w:rPr>
          <w:snapToGrid w:val="0"/>
        </w:rPr>
        <w:noBreakHyphen/>
        <w:t>lot scheme</w:t>
      </w:r>
      <w:bookmarkEnd w:id="1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under this Act a unanimous resolution is necessary before any act may be done in respect of a two</w:t>
      </w:r>
      <w:r>
        <w:rPr>
          <w:snapToGrid w:val="0"/>
        </w:rPr>
        <w:noBreakHyphen/>
        <w:t>lot scheme; but</w:t>
      </w:r>
    </w:p>
    <w:p>
      <w:pPr>
        <w:pStyle w:val="Indenta"/>
        <w:rPr>
          <w:snapToGrid w:val="0"/>
        </w:rPr>
      </w:pPr>
      <w:r>
        <w:rPr>
          <w:snapToGrid w:val="0"/>
        </w:rPr>
        <w:tab/>
        <w:t>(b)</w:t>
      </w:r>
      <w:r>
        <w:rPr>
          <w:snapToGrid w:val="0"/>
        </w:rPr>
        <w:tab/>
        <w:t>that resolution is not obtained because the proprietors of the lots in the scheme do not agree,</w:t>
      </w:r>
    </w:p>
    <w:p>
      <w:pPr>
        <w:pStyle w:val="Subsection"/>
        <w:spacing w:before="120"/>
        <w:rPr>
          <w:snapToGrid w:val="0"/>
        </w:rPr>
      </w:pPr>
      <w:r>
        <w:rPr>
          <w:snapToGrid w:val="0"/>
        </w:rPr>
        <w:tab/>
      </w:r>
      <w:r>
        <w:rPr>
          <w:snapToGrid w:val="0"/>
        </w:rPr>
        <w:tab/>
        <w:t>a proprietor may apply to the District Court for an order under this section.</w:t>
      </w:r>
    </w:p>
    <w:p>
      <w:pPr>
        <w:pStyle w:val="Subsection"/>
        <w:rPr>
          <w:snapToGrid w:val="0"/>
          <w:spacing w:val="-4"/>
        </w:rPr>
      </w:pPr>
      <w:r>
        <w:rPr>
          <w:snapToGrid w:val="0"/>
          <w:spacing w:val="-4"/>
        </w:rPr>
        <w:tab/>
        <w:t>(1a)</w:t>
      </w:r>
      <w:r>
        <w:rPr>
          <w:snapToGrid w:val="0"/>
          <w:spacing w:val="-4"/>
        </w:rPr>
        <w:tab/>
        <w:t>This section does not apply to a unanimous resolution that is required for the passing of a resolution under section 21F or 21Q.</w:t>
      </w:r>
    </w:p>
    <w:p>
      <w:pPr>
        <w:pStyle w:val="Subsection"/>
        <w:spacing w:before="100"/>
        <w:rPr>
          <w:snapToGrid w:val="0"/>
        </w:rPr>
      </w:pPr>
      <w:r>
        <w:rPr>
          <w:snapToGrid w:val="0"/>
        </w:rPr>
        <w:tab/>
        <w:t>(2)</w:t>
      </w:r>
      <w:r>
        <w:rPr>
          <w:snapToGrid w:val="0"/>
        </w:rPr>
        <w:tab/>
        <w:t>An order under this section is an order declaring that a resolution specified in the order is to be deemed to have been duly passed by the strata company as a unanimous resolution.</w:t>
      </w:r>
    </w:p>
    <w:p>
      <w:pPr>
        <w:pStyle w:val="Subsection"/>
        <w:spacing w:before="100"/>
        <w:rPr>
          <w:snapToGrid w:val="0"/>
        </w:rPr>
      </w:pPr>
      <w:r>
        <w:rPr>
          <w:snapToGrid w:val="0"/>
        </w:rPr>
        <w:tab/>
        <w:t>(3)</w:t>
      </w:r>
      <w:r>
        <w:rPr>
          <w:snapToGrid w:val="0"/>
        </w:rPr>
        <w:tab/>
        <w:t>On the making of an application by a proprietor under subsection (1), the District Court may make an order under this section if it is satisfied that a proprietor has acted unreasonably in refusing to agree to the resolution or that it is in the best interests of the proprietors that the order be made.</w:t>
      </w:r>
    </w:p>
    <w:p>
      <w:pPr>
        <w:pStyle w:val="Subsection"/>
        <w:spacing w:before="100"/>
        <w:rPr>
          <w:snapToGrid w:val="0"/>
        </w:rPr>
      </w:pPr>
      <w:r>
        <w:rPr>
          <w:snapToGrid w:val="0"/>
        </w:rPr>
        <w:tab/>
        <w:t>(4)</w:t>
      </w:r>
      <w:r>
        <w:rPr>
          <w:snapToGrid w:val="0"/>
        </w:rPr>
        <w:tab/>
        <w:t>Where a proprietor makes an application under this section the other proprietor is a party to the proceedings and shall be served with notice of the application.</w:t>
      </w:r>
    </w:p>
    <w:p>
      <w:pPr>
        <w:pStyle w:val="Subsection"/>
        <w:spacing w:before="100"/>
        <w:rPr>
          <w:snapToGrid w:val="0"/>
        </w:rPr>
      </w:pPr>
      <w:r>
        <w:rPr>
          <w:snapToGrid w:val="0"/>
        </w:rPr>
        <w:tab/>
        <w:t>(5)</w:t>
      </w:r>
      <w:r>
        <w:rPr>
          <w:snapToGrid w:val="0"/>
        </w:rPr>
        <w:tab/>
        <w:t>Section 51(3) applies to the awarding of costs in proceedings under this section.</w:t>
      </w:r>
    </w:p>
    <w:p>
      <w:pPr>
        <w:pStyle w:val="Footnotesection"/>
        <w:spacing w:before="80"/>
        <w:ind w:left="890" w:hanging="890"/>
      </w:pPr>
      <w:r>
        <w:tab/>
        <w:t>[Section 51A inserted: No. 58 of 1995 s. 50; amended: No. 61 of 1996 s. 22.]</w:t>
      </w:r>
    </w:p>
    <w:p>
      <w:pPr>
        <w:pStyle w:val="Heading5"/>
        <w:spacing w:before="180"/>
        <w:rPr>
          <w:snapToGrid w:val="0"/>
        </w:rPr>
      </w:pPr>
      <w:bookmarkStart w:id="182" w:name="_Toc530554913"/>
      <w:r>
        <w:rPr>
          <w:rStyle w:val="CharSectno"/>
        </w:rPr>
        <w:t>52</w:t>
      </w:r>
      <w:r>
        <w:rPr>
          <w:snapToGrid w:val="0"/>
        </w:rPr>
        <w:t>.</w:t>
      </w:r>
      <w:r>
        <w:rPr>
          <w:snapToGrid w:val="0"/>
        </w:rPr>
        <w:tab/>
        <w:t>Performance of functions by proprietors in general meeting</w:t>
      </w:r>
      <w:bookmarkEnd w:id="182"/>
    </w:p>
    <w:p>
      <w:pPr>
        <w:pStyle w:val="Subsection"/>
        <w:spacing w:before="100"/>
        <w:rPr>
          <w:snapToGrid w:val="0"/>
        </w:rPr>
      </w:pPr>
      <w:r>
        <w:rPr>
          <w:snapToGrid w:val="0"/>
          <w:spacing w:val="-4"/>
        </w:rPr>
        <w:tab/>
      </w:r>
      <w:r>
        <w:rPr>
          <w:snapToGrid w:val="0"/>
          <w:spacing w:val="-4"/>
        </w:rPr>
        <w:tab/>
      </w:r>
      <w:r>
        <w:rPr>
          <w:snapToGrid w:val="0"/>
        </w:rPr>
        <w:t>Where by resolution passed at a general meeting of a strata company a restriction has been imposed in relation to the performance of a function by the council of the strata company, that function may be performed to the extent that it is so restricted by the proprietors in general meeting of the strata company.</w:t>
      </w:r>
    </w:p>
    <w:p>
      <w:pPr>
        <w:pStyle w:val="Heading3"/>
        <w:spacing w:before="200"/>
      </w:pPr>
      <w:bookmarkStart w:id="183" w:name="_Toc525288542"/>
      <w:bookmarkStart w:id="184" w:name="_Toc530554578"/>
      <w:bookmarkStart w:id="185" w:name="_Toc530554914"/>
      <w:r>
        <w:rPr>
          <w:rStyle w:val="CharDivNo"/>
        </w:rPr>
        <w:t>Division 4</w:t>
      </w:r>
      <w:r>
        <w:rPr>
          <w:snapToGrid w:val="0"/>
        </w:rPr>
        <w:t> — </w:t>
      </w:r>
      <w:r>
        <w:rPr>
          <w:rStyle w:val="CharDivText"/>
        </w:rPr>
        <w:t>Insurance</w:t>
      </w:r>
      <w:bookmarkEnd w:id="183"/>
      <w:bookmarkEnd w:id="184"/>
      <w:bookmarkEnd w:id="185"/>
    </w:p>
    <w:p>
      <w:pPr>
        <w:pStyle w:val="Heading4"/>
        <w:spacing w:before="120"/>
      </w:pPr>
      <w:bookmarkStart w:id="186" w:name="_Toc525288543"/>
      <w:bookmarkStart w:id="187" w:name="_Toc530554579"/>
      <w:bookmarkStart w:id="188" w:name="_Toc530554915"/>
      <w:r>
        <w:t>Subdivision 1 — Preliminary</w:t>
      </w:r>
      <w:bookmarkEnd w:id="186"/>
      <w:bookmarkEnd w:id="187"/>
      <w:bookmarkEnd w:id="188"/>
    </w:p>
    <w:p>
      <w:pPr>
        <w:pStyle w:val="Footnoteheading"/>
        <w:spacing w:before="80"/>
      </w:pPr>
      <w:r>
        <w:tab/>
        <w:t>[Heading inserted: No. 61 of 1996 s. 23.]</w:t>
      </w:r>
    </w:p>
    <w:p>
      <w:pPr>
        <w:pStyle w:val="Heading5"/>
        <w:keepNext w:val="0"/>
        <w:keepLines w:val="0"/>
        <w:spacing w:before="180"/>
        <w:rPr>
          <w:snapToGrid w:val="0"/>
        </w:rPr>
      </w:pPr>
      <w:bookmarkStart w:id="189" w:name="_Toc530554916"/>
      <w:r>
        <w:rPr>
          <w:rStyle w:val="CharSectno"/>
        </w:rPr>
        <w:t>53</w:t>
      </w:r>
      <w:r>
        <w:rPr>
          <w:snapToGrid w:val="0"/>
        </w:rPr>
        <w:t>.</w:t>
      </w:r>
      <w:r>
        <w:rPr>
          <w:snapToGrid w:val="0"/>
        </w:rPr>
        <w:tab/>
        <w:t>Terms used</w:t>
      </w:r>
      <w:bookmarkEnd w:id="189"/>
    </w:p>
    <w:p>
      <w:pPr>
        <w:pStyle w:val="Subsection"/>
        <w:spacing w:before="100"/>
        <w:rPr>
          <w:snapToGrid w:val="0"/>
        </w:rPr>
      </w:pPr>
      <w:r>
        <w:rPr>
          <w:snapToGrid w:val="0"/>
        </w:rPr>
        <w:tab/>
      </w:r>
      <w:r>
        <w:rPr>
          <w:snapToGrid w:val="0"/>
        </w:rPr>
        <w:tab/>
        <w:t>In this Division —</w:t>
      </w:r>
    </w:p>
    <w:p>
      <w:pPr>
        <w:pStyle w:val="Defstart"/>
      </w:pPr>
      <w:r>
        <w:rPr>
          <w:b/>
        </w:rPr>
        <w:tab/>
      </w:r>
      <w:r>
        <w:rPr>
          <w:rStyle w:val="CharDefText"/>
        </w:rPr>
        <w:t>building</w:t>
      </w:r>
      <w:r>
        <w:t xml:space="preserve"> includes any building on the parcel for a scheme whether shown on the strata/survey</w:t>
      </w:r>
      <w:r>
        <w:noBreakHyphen/>
        <w:t>strata plan or not and also includes —</w:t>
      </w:r>
    </w:p>
    <w:p>
      <w:pPr>
        <w:pStyle w:val="Defpara"/>
        <w:spacing w:before="60"/>
      </w:pPr>
      <w:r>
        <w:tab/>
        <w:t>(a)</w:t>
      </w:r>
      <w:r>
        <w:tab/>
        <w:t>proprietors’ improvements and proprietors’ fixtures forming part of the building including paint and wallpaper but excluding carpet and temporary wall, floor and ceiling coverings; and</w:t>
      </w:r>
    </w:p>
    <w:p>
      <w:pPr>
        <w:pStyle w:val="Ednotedefpara"/>
      </w:pPr>
      <w:r>
        <w:tab/>
        <w:t>[(b)</w:t>
      </w:r>
      <w:r>
        <w:tab/>
        <w:t>deleted]</w:t>
      </w:r>
    </w:p>
    <w:p>
      <w:pPr>
        <w:pStyle w:val="Defpara"/>
      </w:pPr>
      <w:r>
        <w:tab/>
        <w:t>(c)</w:t>
      </w:r>
      <w:r>
        <w:tab/>
        <w:t>anything prescribed as forming part of a building for the purposes of this definition,</w:t>
      </w:r>
    </w:p>
    <w:p>
      <w:pPr>
        <w:pStyle w:val="Defstart"/>
        <w:keepNext/>
      </w:pPr>
      <w:r>
        <w:tab/>
        <w:t>but does not include —</w:t>
      </w:r>
    </w:p>
    <w:p>
      <w:pPr>
        <w:pStyle w:val="Defpara"/>
      </w:pPr>
      <w:r>
        <w:tab/>
        <w:t>(d)</w:t>
      </w:r>
      <w:r>
        <w:tab/>
        <w:t>fixtures removable by a lessee at the expiration of a tenancy; or</w:t>
      </w:r>
    </w:p>
    <w:p>
      <w:pPr>
        <w:pStyle w:val="Defpara"/>
      </w:pPr>
      <w:r>
        <w:tab/>
        <w:t>(e)</w:t>
      </w:r>
      <w:r>
        <w:tab/>
        <w:t>anything prescribed as not forming part of a building for the purposes of this definition;</w:t>
      </w:r>
    </w:p>
    <w:p>
      <w:pPr>
        <w:pStyle w:val="Defstart"/>
        <w:keepNext/>
      </w:pPr>
      <w:r>
        <w:rPr>
          <w:b/>
        </w:rPr>
        <w:tab/>
      </w:r>
      <w:r>
        <w:rPr>
          <w:rStyle w:val="CharDefText"/>
        </w:rPr>
        <w:t>replacement value</w:t>
      </w:r>
      <w:r>
        <w:t xml:space="preserve"> in relation to a contract of insurance of a building, requires provision to be specified in the policy —</w:t>
      </w:r>
    </w:p>
    <w:p>
      <w:pPr>
        <w:pStyle w:val="Defpara"/>
      </w:pPr>
      <w:r>
        <w:tab/>
        <w:t>(a)</w:t>
      </w:r>
      <w:r>
        <w:tab/>
        <w:t>for —</w:t>
      </w:r>
    </w:p>
    <w:p>
      <w:pPr>
        <w:pStyle w:val="Defsubpara"/>
      </w:pPr>
      <w:r>
        <w:tab/>
        <w:t>(i)</w:t>
      </w:r>
      <w:r>
        <w:tab/>
        <w:t>the rebuilding of the building or its replacement by a similar building in the event of its destruction; and</w:t>
      </w:r>
    </w:p>
    <w:p>
      <w:pPr>
        <w:pStyle w:val="Defsubpara"/>
      </w:pPr>
      <w:r>
        <w:tab/>
        <w:t>(ii)</w:t>
      </w:r>
      <w:r>
        <w:tab/>
        <w:t>the repair of damage to, or the restoration of the damaged portion of, the building in the event of its being damaged but not destroyed,</w:t>
      </w:r>
    </w:p>
    <w:p>
      <w:pPr>
        <w:pStyle w:val="Defpara"/>
      </w:pPr>
      <w:r>
        <w:tab/>
      </w:r>
      <w:r>
        <w:tab/>
        <w:t>so that, in the case of destruction, every part of the rebuilt building or the replacement building and, in the case of damage, the repaired or restored portion, is in a condition no worse nor less extensive than that part or portion or its condition when that part or portion was new; and</w:t>
      </w:r>
    </w:p>
    <w:p>
      <w:pPr>
        <w:pStyle w:val="Defpara"/>
      </w:pPr>
      <w:r>
        <w:tab/>
        <w:t>(b)</w:t>
      </w:r>
      <w:r>
        <w:tab/>
        <w:t>for the payment of expenses incurred in the removal of debris and the remuneration of architects, surveyors, engineers and other persons whose services are necessary as an incident to the rebuilding, replacement, repair or restoration.</w:t>
      </w:r>
    </w:p>
    <w:p>
      <w:pPr>
        <w:pStyle w:val="Footnotesection"/>
        <w:ind w:left="890" w:hanging="890"/>
      </w:pPr>
      <w:r>
        <w:tab/>
        <w:t>[Section 53 amended: No. 58 of 1995 s. 51; No. 61 of 1996 s. 24.]</w:t>
      </w:r>
    </w:p>
    <w:p>
      <w:pPr>
        <w:pStyle w:val="Heading4"/>
      </w:pPr>
      <w:bookmarkStart w:id="190" w:name="_Toc525288545"/>
      <w:bookmarkStart w:id="191" w:name="_Toc530554581"/>
      <w:bookmarkStart w:id="192" w:name="_Toc530554917"/>
      <w:r>
        <w:t>Subdivision 2 — Insurance in single tier strata schemes</w:t>
      </w:r>
      <w:bookmarkEnd w:id="190"/>
      <w:bookmarkEnd w:id="191"/>
      <w:bookmarkEnd w:id="192"/>
    </w:p>
    <w:p>
      <w:pPr>
        <w:pStyle w:val="Footnoteheading"/>
        <w:spacing w:before="110"/>
      </w:pPr>
      <w:r>
        <w:tab/>
        <w:t>[Heading inserted: No. 61 of 1996 s. 25.]</w:t>
      </w:r>
    </w:p>
    <w:p>
      <w:pPr>
        <w:pStyle w:val="Heading5"/>
        <w:rPr>
          <w:snapToGrid w:val="0"/>
        </w:rPr>
      </w:pPr>
      <w:bookmarkStart w:id="193" w:name="_Toc530554918"/>
      <w:r>
        <w:rPr>
          <w:rStyle w:val="CharSectno"/>
        </w:rPr>
        <w:t>53A</w:t>
      </w:r>
      <w:r>
        <w:rPr>
          <w:snapToGrid w:val="0"/>
        </w:rPr>
        <w:t>.</w:t>
      </w:r>
      <w:r>
        <w:rPr>
          <w:snapToGrid w:val="0"/>
        </w:rPr>
        <w:tab/>
        <w:t>Application of this Subdivision</w:t>
      </w:r>
      <w:bookmarkEnd w:id="193"/>
    </w:p>
    <w:p>
      <w:pPr>
        <w:pStyle w:val="Subsection"/>
        <w:keepNext/>
        <w:rPr>
          <w:snapToGrid w:val="0"/>
        </w:rPr>
      </w:pPr>
      <w:r>
        <w:rPr>
          <w:snapToGrid w:val="0"/>
        </w:rPr>
        <w:tab/>
      </w:r>
      <w:r>
        <w:rPr>
          <w:snapToGrid w:val="0"/>
        </w:rPr>
        <w:tab/>
        <w:t>References in this Subdivision —</w:t>
      </w:r>
    </w:p>
    <w:p>
      <w:pPr>
        <w:pStyle w:val="Indenta"/>
        <w:spacing w:before="60"/>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Indenta"/>
        <w:spacing w:before="60"/>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Indenta"/>
        <w:keepNext/>
        <w:spacing w:before="60"/>
        <w:rPr>
          <w:snapToGrid w:val="0"/>
        </w:rPr>
      </w:pPr>
      <w:r>
        <w:rPr>
          <w:snapToGrid w:val="0"/>
        </w:rPr>
        <w:tab/>
        <w:t>(c)</w:t>
      </w:r>
      <w:r>
        <w:rPr>
          <w:snapToGrid w:val="0"/>
        </w:rPr>
        <w:tab/>
        <w:t xml:space="preserve">to </w:t>
      </w:r>
      <w:r>
        <w:rPr>
          <w:rStyle w:val="CharDefText"/>
        </w:rPr>
        <w:t>proprietor</w:t>
      </w:r>
      <w:r>
        <w:rPr>
          <w:snapToGrid w:val="0"/>
        </w:rPr>
        <w:t xml:space="preserve"> are to a proprietor of a lot in such a scheme.</w:t>
      </w:r>
    </w:p>
    <w:p>
      <w:pPr>
        <w:pStyle w:val="Footnotesection"/>
        <w:spacing w:before="110"/>
      </w:pPr>
      <w:r>
        <w:tab/>
        <w:t>[Section 53A inserted: No. 61 of 1996 s. 25.]</w:t>
      </w:r>
    </w:p>
    <w:p>
      <w:pPr>
        <w:pStyle w:val="Heading5"/>
        <w:rPr>
          <w:snapToGrid w:val="0"/>
        </w:rPr>
      </w:pPr>
      <w:bookmarkStart w:id="194" w:name="_Toc530554919"/>
      <w:r>
        <w:rPr>
          <w:rStyle w:val="CharSectno"/>
        </w:rPr>
        <w:t>53B</w:t>
      </w:r>
      <w:r>
        <w:rPr>
          <w:snapToGrid w:val="0"/>
        </w:rPr>
        <w:t>.</w:t>
      </w:r>
      <w:r>
        <w:rPr>
          <w:snapToGrid w:val="0"/>
        </w:rPr>
        <w:tab/>
        <w:t>Insurance for lots in single tier strata schemes</w:t>
      </w:r>
      <w:bookmarkEnd w:id="194"/>
    </w:p>
    <w:p>
      <w:pPr>
        <w:pStyle w:val="Subsection"/>
        <w:keepNext/>
        <w:rPr>
          <w:snapToGrid w:val="0"/>
        </w:rPr>
      </w:pPr>
      <w:r>
        <w:rPr>
          <w:snapToGrid w:val="0"/>
        </w:rPr>
        <w:tab/>
        <w:t>(1)</w:t>
      </w:r>
      <w:r>
        <w:rPr>
          <w:snapToGrid w:val="0"/>
        </w:rPr>
        <w:tab/>
        <w:t>For the purposes of this Act —</w:t>
      </w:r>
    </w:p>
    <w:p>
      <w:pPr>
        <w:pStyle w:val="Indenta"/>
        <w:keepNext/>
        <w:spacing w:before="60"/>
        <w:rPr>
          <w:snapToGrid w:val="0"/>
        </w:rPr>
      </w:pPr>
      <w:r>
        <w:rPr>
          <w:snapToGrid w:val="0"/>
        </w:rPr>
        <w:tab/>
        <w:t>(a)</w:t>
      </w:r>
      <w:r>
        <w:rPr>
          <w:snapToGrid w:val="0"/>
        </w:rPr>
        <w:tab/>
        <w:t>whether there is insurance in respect of —</w:t>
      </w:r>
    </w:p>
    <w:p>
      <w:pPr>
        <w:pStyle w:val="Indenti"/>
        <w:spacing w:before="60"/>
        <w:rPr>
          <w:snapToGrid w:val="0"/>
        </w:rPr>
      </w:pPr>
      <w:r>
        <w:rPr>
          <w:snapToGrid w:val="0"/>
        </w:rPr>
        <w:tab/>
        <w:t>(i)</w:t>
      </w:r>
      <w:r>
        <w:rPr>
          <w:snapToGrid w:val="0"/>
        </w:rPr>
        <w:tab/>
        <w:t>any building on a lot in a scheme; or</w:t>
      </w:r>
    </w:p>
    <w:p>
      <w:pPr>
        <w:pStyle w:val="Indenti"/>
        <w:spacing w:before="60"/>
        <w:rPr>
          <w:snapToGrid w:val="0"/>
        </w:rPr>
      </w:pPr>
      <w:r>
        <w:rPr>
          <w:snapToGrid w:val="0"/>
        </w:rPr>
        <w:tab/>
        <w:t>(ii)</w:t>
      </w:r>
      <w:r>
        <w:rPr>
          <w:snapToGrid w:val="0"/>
        </w:rPr>
        <w:tab/>
        <w:t>damage to property, death or bodily injury for which the proprietor of a lot in a scheme could become liable in damages;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occurrences to be insured against by the proprietor in relation to those matters; and</w:t>
      </w:r>
    </w:p>
    <w:p>
      <w:pPr>
        <w:pStyle w:val="Indenta"/>
        <w:spacing w:before="60"/>
        <w:rPr>
          <w:snapToGrid w:val="0"/>
        </w:rPr>
      </w:pPr>
      <w:r>
        <w:rPr>
          <w:snapToGrid w:val="0"/>
        </w:rPr>
        <w:tab/>
        <w:t>(c)</w:t>
      </w:r>
      <w:r>
        <w:rPr>
          <w:snapToGrid w:val="0"/>
        </w:rPr>
        <w:tab/>
        <w:t>the terms on which any insurance is obtained,</w:t>
      </w:r>
    </w:p>
    <w:p>
      <w:pPr>
        <w:pStyle w:val="Subsection"/>
        <w:spacing w:before="120"/>
        <w:rPr>
          <w:snapToGrid w:val="0"/>
        </w:rPr>
      </w:pPr>
      <w:r>
        <w:rPr>
          <w:snapToGrid w:val="0"/>
        </w:rPr>
        <w:tab/>
      </w:r>
      <w:r>
        <w:rPr>
          <w:snapToGrid w:val="0"/>
        </w:rPr>
        <w:tab/>
        <w:t>are, subject to this section, at the discretion of the proprietor of the lot.</w:t>
      </w:r>
    </w:p>
    <w:p>
      <w:pPr>
        <w:pStyle w:val="Subsection"/>
        <w:rPr>
          <w:snapToGrid w:val="0"/>
        </w:rPr>
      </w:pPr>
      <w:r>
        <w:rPr>
          <w:snapToGrid w:val="0"/>
        </w:rPr>
        <w:tab/>
        <w:t>(2)</w:t>
      </w:r>
      <w:r>
        <w:rPr>
          <w:snapToGrid w:val="0"/>
        </w:rPr>
        <w:tab/>
        <w:t>A strata company for a scheme may determine that it is a function of the company to insure in respect of the matters referred to in subsection (1), and may at any time revoke the determination.</w:t>
      </w:r>
    </w:p>
    <w:p>
      <w:pPr>
        <w:pStyle w:val="Subsection"/>
        <w:rPr>
          <w:snapToGrid w:val="0"/>
        </w:rPr>
      </w:pPr>
      <w:r>
        <w:rPr>
          <w:snapToGrid w:val="0"/>
        </w:rPr>
        <w:tab/>
        <w:t>(3)</w:t>
      </w:r>
      <w:r>
        <w:rPr>
          <w:snapToGrid w:val="0"/>
        </w:rPr>
        <w:tab/>
        <w:t>While such a determination is in force the strata company shall comply with section 53D.</w:t>
      </w:r>
    </w:p>
    <w:p>
      <w:pPr>
        <w:pStyle w:val="Footnotesection"/>
      </w:pPr>
      <w:r>
        <w:tab/>
        <w:t>[Section 53B inserted: No. 61 of 1996 s. 25.]</w:t>
      </w:r>
    </w:p>
    <w:p>
      <w:pPr>
        <w:pStyle w:val="Heading5"/>
        <w:rPr>
          <w:snapToGrid w:val="0"/>
        </w:rPr>
      </w:pPr>
      <w:bookmarkStart w:id="195" w:name="_Toc530554920"/>
      <w:r>
        <w:rPr>
          <w:rStyle w:val="CharSectno"/>
        </w:rPr>
        <w:t>53C</w:t>
      </w:r>
      <w:r>
        <w:rPr>
          <w:snapToGrid w:val="0"/>
        </w:rPr>
        <w:t>.</w:t>
      </w:r>
      <w:r>
        <w:rPr>
          <w:snapToGrid w:val="0"/>
        </w:rPr>
        <w:tab/>
        <w:t>Insurance for common property in single tier strata schemes</w:t>
      </w:r>
      <w:bookmarkEnd w:id="195"/>
    </w:p>
    <w:p>
      <w:pPr>
        <w:pStyle w:val="Subsection"/>
        <w:keepNext/>
        <w:rPr>
          <w:snapToGrid w:val="0"/>
        </w:rPr>
      </w:pPr>
      <w:r>
        <w:rPr>
          <w:snapToGrid w:val="0"/>
        </w:rPr>
        <w:tab/>
        <w:t>(1)</w:t>
      </w:r>
      <w:r>
        <w:rPr>
          <w:snapToGrid w:val="0"/>
        </w:rPr>
        <w:tab/>
        <w:t>The strata company for a scheme shall —</w:t>
      </w:r>
    </w:p>
    <w:p>
      <w:pPr>
        <w:pStyle w:val="Indenta"/>
        <w:rPr>
          <w:snapToGrid w:val="0"/>
        </w:rPr>
      </w:pPr>
      <w:r>
        <w:rPr>
          <w:snapToGrid w:val="0"/>
        </w:rPr>
        <w:tab/>
        <w:t>(a)</w:t>
      </w:r>
      <w:r>
        <w:rPr>
          <w:snapToGrid w:val="0"/>
        </w:rPr>
        <w:tab/>
        <w:t>insure and keep insured any building, or part of a building, or improvement on the parcel that is common property; and</w:t>
      </w:r>
    </w:p>
    <w:p>
      <w:pPr>
        <w:pStyle w:val="Indenta"/>
        <w:rPr>
          <w:snapToGrid w:val="0"/>
        </w:rPr>
      </w:pPr>
      <w:r>
        <w:rPr>
          <w:snapToGrid w:val="0"/>
        </w:rPr>
        <w:tab/>
        <w:t>(b)</w:t>
      </w:r>
      <w:r>
        <w:rPr>
          <w:snapToGrid w:val="0"/>
        </w:rPr>
        <w:tab/>
        <w:t>effect and maintain insurance in respect of damage to property, death or bodily injury for which the proprietors of lots in the scheme could become liable in damages as holders of the common property.</w:t>
      </w:r>
    </w:p>
    <w:p>
      <w:pPr>
        <w:pStyle w:val="Subsection"/>
        <w:keepNext/>
        <w:rPr>
          <w:snapToGrid w:val="0"/>
        </w:rPr>
      </w:pPr>
      <w:r>
        <w:rPr>
          <w:snapToGrid w:val="0"/>
        </w:rPr>
        <w:tab/>
        <w:t>(2)</w:t>
      </w:r>
      <w:r>
        <w:rPr>
          <w:snapToGrid w:val="0"/>
        </w:rPr>
        <w:tab/>
        <w:t>The strata company does not have the obligations described in subsection (1) if —</w:t>
      </w:r>
    </w:p>
    <w:p>
      <w:pPr>
        <w:pStyle w:val="Indenta"/>
        <w:keepNext/>
        <w:spacing w:before="60"/>
        <w:rPr>
          <w:snapToGrid w:val="0"/>
        </w:rPr>
      </w:pPr>
      <w:r>
        <w:rPr>
          <w:snapToGrid w:val="0"/>
        </w:rPr>
        <w:tab/>
        <w:t>(a)</w:t>
      </w:r>
      <w:r>
        <w:rPr>
          <w:snapToGrid w:val="0"/>
        </w:rPr>
        <w:tab/>
        <w:t>there is no common property in the scheme except —</w:t>
      </w:r>
    </w:p>
    <w:p>
      <w:pPr>
        <w:pStyle w:val="Indenti"/>
        <w:spacing w:before="60"/>
        <w:rPr>
          <w:snapToGrid w:val="0"/>
        </w:rPr>
      </w:pPr>
      <w:r>
        <w:rPr>
          <w:snapToGrid w:val="0"/>
        </w:rPr>
        <w:tab/>
        <w:t>(i)</w:t>
      </w:r>
      <w:r>
        <w:rPr>
          <w:snapToGrid w:val="0"/>
        </w:rPr>
        <w:tab/>
        <w:t>cubic space in which there is no building or improvement above or below the horizontal boundary of any lot; or</w:t>
      </w:r>
    </w:p>
    <w:p>
      <w:pPr>
        <w:pStyle w:val="Indenti"/>
        <w:spacing w:before="60"/>
        <w:rPr>
          <w:snapToGrid w:val="0"/>
        </w:rPr>
      </w:pPr>
      <w:r>
        <w:rPr>
          <w:snapToGrid w:val="0"/>
        </w:rPr>
        <w:tab/>
        <w:t>(ii)</w:t>
      </w:r>
      <w:r>
        <w:rPr>
          <w:snapToGrid w:val="0"/>
        </w:rPr>
        <w:tab/>
        <w:t>fencing on the boundary of the parcel or any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strata company has by resolution without dissent (or unanimous resolution in the case of a two</w:t>
      </w:r>
      <w:r>
        <w:rPr>
          <w:snapToGrid w:val="0"/>
        </w:rPr>
        <w:noBreakHyphen/>
        <w:t>lot scheme) determined that subsection (1) is not to apply to the scheme.</w:t>
      </w:r>
    </w:p>
    <w:p>
      <w:pPr>
        <w:pStyle w:val="Subsection"/>
        <w:keepNext/>
        <w:rPr>
          <w:snapToGrid w:val="0"/>
        </w:rPr>
      </w:pPr>
      <w:r>
        <w:rPr>
          <w:snapToGrid w:val="0"/>
        </w:rPr>
        <w:tab/>
        <w:t>(3)</w:t>
      </w:r>
      <w:r>
        <w:rPr>
          <w:snapToGrid w:val="0"/>
        </w:rPr>
        <w:tab/>
        <w:t>A resolution under subsection (2)(b) remains in force until —</w:t>
      </w:r>
    </w:p>
    <w:p>
      <w:pPr>
        <w:pStyle w:val="Indenta"/>
        <w:rPr>
          <w:snapToGrid w:val="0"/>
        </w:rPr>
      </w:pPr>
      <w:r>
        <w:rPr>
          <w:snapToGrid w:val="0"/>
        </w:rPr>
        <w:tab/>
        <w:t>(a)</w:t>
      </w:r>
      <w:r>
        <w:rPr>
          <w:snapToGrid w:val="0"/>
        </w:rPr>
        <w:tab/>
        <w:t>it is revoked; or</w:t>
      </w:r>
    </w:p>
    <w:p>
      <w:pPr>
        <w:pStyle w:val="Indenta"/>
        <w:rPr>
          <w:snapToGrid w:val="0"/>
        </w:rPr>
      </w:pPr>
      <w:r>
        <w:rPr>
          <w:snapToGrid w:val="0"/>
        </w:rPr>
        <w:tab/>
        <w:t>(b)</w:t>
      </w:r>
      <w:r>
        <w:rPr>
          <w:snapToGrid w:val="0"/>
        </w:rPr>
        <w:tab/>
        <w:t>it ceases to have effect under subsection (4).</w:t>
      </w:r>
    </w:p>
    <w:p>
      <w:pPr>
        <w:pStyle w:val="Subsection"/>
        <w:keepNext/>
        <w:rPr>
          <w:snapToGrid w:val="0"/>
        </w:rPr>
      </w:pPr>
      <w:r>
        <w:rPr>
          <w:snapToGrid w:val="0"/>
        </w:rPr>
        <w:tab/>
        <w:t>(4)</w:t>
      </w:r>
      <w:r>
        <w:rPr>
          <w:snapToGrid w:val="0"/>
        </w:rPr>
        <w:tab/>
        <w:t>A resolution of a strata company under subsection (2)(b) ceases to have effect if a proprietor at any time after the passing of the resolution serves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subsection (1) apply to the scheme.</w:t>
      </w:r>
    </w:p>
    <w:p>
      <w:pPr>
        <w:pStyle w:val="Subsection"/>
        <w:keepNext/>
        <w:rPr>
          <w:snapToGrid w:val="0"/>
        </w:rPr>
      </w:pPr>
      <w:r>
        <w:rPr>
          <w:snapToGrid w:val="0"/>
        </w:rPr>
        <w:tab/>
        <w:t>(5)</w:t>
      </w:r>
      <w:r>
        <w:rPr>
          <w:snapToGrid w:val="0"/>
        </w:rPr>
        <w:tab/>
        <w:t>While a resolution under subsection (2)(b) is in force —</w:t>
      </w:r>
    </w:p>
    <w:p>
      <w:pPr>
        <w:pStyle w:val="Indenta"/>
        <w:rPr>
          <w:snapToGrid w:val="0"/>
        </w:rPr>
      </w:pPr>
      <w:r>
        <w:rPr>
          <w:snapToGrid w:val="0"/>
        </w:rPr>
        <w:tab/>
        <w:t>(a)</w:t>
      </w:r>
      <w:r>
        <w:rPr>
          <w:snapToGrid w:val="0"/>
        </w:rPr>
        <w:tab/>
        <w:t>whether there is insurance in respect of —</w:t>
      </w:r>
    </w:p>
    <w:p>
      <w:pPr>
        <w:pStyle w:val="Indenti"/>
        <w:rPr>
          <w:snapToGrid w:val="0"/>
        </w:rPr>
      </w:pPr>
      <w:r>
        <w:rPr>
          <w:snapToGrid w:val="0"/>
        </w:rPr>
        <w:tab/>
        <w:t>(i)</w:t>
      </w:r>
      <w:r>
        <w:rPr>
          <w:snapToGrid w:val="0"/>
        </w:rPr>
        <w:tab/>
        <w:t>the share of a proprietor in any building in the scheme that is common property; or</w:t>
      </w:r>
    </w:p>
    <w:p>
      <w:pPr>
        <w:pStyle w:val="Indenti"/>
        <w:rPr>
          <w:snapToGrid w:val="0"/>
        </w:rPr>
      </w:pPr>
      <w:r>
        <w:rPr>
          <w:snapToGrid w:val="0"/>
        </w:rPr>
        <w:tab/>
        <w:t>(ii)</w:t>
      </w:r>
      <w:r>
        <w:rPr>
          <w:snapToGrid w:val="0"/>
        </w:rPr>
        <w:tab/>
        <w:t>damage to property, death or bodily injury for which a proprietor of a lot in the scheme could become liable in damages as the holder of a share in the common property;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occurrences to be insured against by a proprietor in relation to those matters; and</w:t>
      </w:r>
    </w:p>
    <w:p>
      <w:pPr>
        <w:pStyle w:val="Indenta"/>
        <w:rPr>
          <w:snapToGrid w:val="0"/>
        </w:rPr>
      </w:pPr>
      <w:r>
        <w:rPr>
          <w:snapToGrid w:val="0"/>
        </w:rPr>
        <w:tab/>
        <w:t>(c)</w:t>
      </w:r>
      <w:r>
        <w:rPr>
          <w:snapToGrid w:val="0"/>
        </w:rPr>
        <w:tab/>
        <w:t>the terms on which any insurance is obtained,</w:t>
      </w:r>
    </w:p>
    <w:p>
      <w:pPr>
        <w:pStyle w:val="Subsection"/>
        <w:keepNext/>
        <w:spacing w:before="120"/>
        <w:rPr>
          <w:snapToGrid w:val="0"/>
        </w:rPr>
      </w:pPr>
      <w:r>
        <w:rPr>
          <w:snapToGrid w:val="0"/>
        </w:rPr>
        <w:tab/>
      </w:r>
      <w:r>
        <w:rPr>
          <w:snapToGrid w:val="0"/>
        </w:rPr>
        <w:tab/>
        <w:t>are at the discretion of the proprietor.</w:t>
      </w:r>
    </w:p>
    <w:p>
      <w:pPr>
        <w:pStyle w:val="Footnotesection"/>
        <w:ind w:left="890" w:hanging="890"/>
      </w:pPr>
      <w:r>
        <w:tab/>
        <w:t>[Section 53C inserted: No. 61 of 1996 s. 25.]</w:t>
      </w:r>
    </w:p>
    <w:p>
      <w:pPr>
        <w:pStyle w:val="Heading5"/>
        <w:keepNext w:val="0"/>
        <w:keepLines w:val="0"/>
        <w:rPr>
          <w:snapToGrid w:val="0"/>
        </w:rPr>
      </w:pPr>
      <w:bookmarkStart w:id="196" w:name="_Toc530554921"/>
      <w:r>
        <w:rPr>
          <w:rStyle w:val="CharSectno"/>
        </w:rPr>
        <w:t>53D</w:t>
      </w:r>
      <w:r>
        <w:rPr>
          <w:snapToGrid w:val="0"/>
        </w:rPr>
        <w:t>.</w:t>
      </w:r>
      <w:r>
        <w:rPr>
          <w:snapToGrid w:val="0"/>
        </w:rPr>
        <w:tab/>
        <w:t>Strata company’s obligations where it has an insurance function in single tier strata schemes</w:t>
      </w:r>
      <w:bookmarkEnd w:id="196"/>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determination is in force under section 53B(2); or</w:t>
      </w:r>
    </w:p>
    <w:p>
      <w:pPr>
        <w:pStyle w:val="Indenta"/>
        <w:rPr>
          <w:snapToGrid w:val="0"/>
          <w:spacing w:val="-4"/>
        </w:rPr>
      </w:pPr>
      <w:r>
        <w:rPr>
          <w:snapToGrid w:val="0"/>
          <w:spacing w:val="-4"/>
        </w:rPr>
        <w:tab/>
        <w:t>(b)</w:t>
      </w:r>
      <w:r>
        <w:rPr>
          <w:snapToGrid w:val="0"/>
          <w:spacing w:val="-4"/>
        </w:rPr>
        <w:tab/>
        <w:t>in accordance with section 53C, a strata company has the obligations described in subsection (1) of that section.</w:t>
      </w:r>
    </w:p>
    <w:p>
      <w:pPr>
        <w:pStyle w:val="Subsection"/>
        <w:rPr>
          <w:snapToGrid w:val="0"/>
        </w:rPr>
      </w:pPr>
      <w:r>
        <w:rPr>
          <w:snapToGrid w:val="0"/>
        </w:rPr>
        <w:tab/>
        <w:t>(2)</w:t>
      </w:r>
      <w:r>
        <w:rPr>
          <w:snapToGrid w:val="0"/>
        </w:rPr>
        <w:tab/>
        <w:t>This section also applies where a strata company makes a determination to insure common property that it is not obliged to insure by reason of section 53C(2)(a).</w:t>
      </w:r>
    </w:p>
    <w:p>
      <w:pPr>
        <w:pStyle w:val="Subsection"/>
        <w:keepNext/>
        <w:rPr>
          <w:snapToGrid w:val="0"/>
        </w:rPr>
      </w:pPr>
      <w:r>
        <w:rPr>
          <w:snapToGrid w:val="0"/>
        </w:rPr>
        <w:tab/>
        <w:t>(3)</w:t>
      </w:r>
      <w:r>
        <w:rPr>
          <w:snapToGrid w:val="0"/>
        </w:rPr>
        <w:tab/>
        <w:t>In those cases the strata company shall —</w:t>
      </w:r>
    </w:p>
    <w:p>
      <w:pPr>
        <w:pStyle w:val="Indenta"/>
        <w:rPr>
          <w:snapToGrid w:val="0"/>
        </w:rPr>
      </w:pPr>
      <w:r>
        <w:rPr>
          <w:snapToGrid w:val="0"/>
        </w:rPr>
        <w:tab/>
        <w:t>(a)</w:t>
      </w:r>
      <w:r>
        <w:rPr>
          <w:snapToGrid w:val="0"/>
        </w:rPr>
        <w:tab/>
        <w:t>insure and keep insured any building to which its obligation extends to the replacement value against fire, storm and tempest (excluding damage by sea, flood or erosion), lightning, explosion and earthquake; and</w:t>
      </w:r>
    </w:p>
    <w:p>
      <w:pPr>
        <w:pStyle w:val="Indenta"/>
        <w:keepNext/>
        <w:keepLines/>
        <w:rPr>
          <w:snapToGrid w:val="0"/>
        </w:rPr>
      </w:pPr>
      <w:r>
        <w:rPr>
          <w:snapToGrid w:val="0"/>
        </w:rPr>
        <w:tab/>
        <w:t>(b)</w:t>
      </w:r>
      <w:r>
        <w:rPr>
          <w:snapToGrid w:val="0"/>
        </w:rPr>
        <w:tab/>
        <w:t>effect and maintain insurance in respect of damage to property, death, or bodily injury for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(4)</w:t>
      </w:r>
      <w:r>
        <w:rPr>
          <w:snapToGrid w:val="0"/>
        </w:rPr>
        <w:tab/>
        <w:t>Section 54(2) and (3) apply to a strata company’s obligations under subsection (3) as if they referred to that subsection.</w:t>
      </w:r>
    </w:p>
    <w:p>
      <w:pPr>
        <w:pStyle w:val="Footnotesection"/>
      </w:pPr>
      <w:r>
        <w:tab/>
        <w:t>[Section 53D inserted: No. 61 of 1996 s. 25.]</w:t>
      </w:r>
    </w:p>
    <w:p>
      <w:pPr>
        <w:pStyle w:val="Heading5"/>
        <w:rPr>
          <w:snapToGrid w:val="0"/>
        </w:rPr>
      </w:pPr>
      <w:bookmarkStart w:id="197" w:name="_Toc530554922"/>
      <w:r>
        <w:rPr>
          <w:rStyle w:val="CharSectno"/>
        </w:rPr>
        <w:t>53E</w:t>
      </w:r>
      <w:r>
        <w:rPr>
          <w:snapToGrid w:val="0"/>
        </w:rPr>
        <w:t>.</w:t>
      </w:r>
      <w:r>
        <w:rPr>
          <w:snapToGrid w:val="0"/>
        </w:rPr>
        <w:tab/>
        <w:t>Recovery of premium by strata company or proprietor where no administrative fund in single tier strata schemes</w:t>
      </w:r>
      <w:bookmarkEnd w:id="197"/>
    </w:p>
    <w:p>
      <w:pPr>
        <w:pStyle w:val="Subsection"/>
        <w:keepNext/>
      </w:pPr>
      <w:r>
        <w:tab/>
        <w:t>(1)</w:t>
      </w:r>
      <w:r>
        <w:tab/>
      </w:r>
      <w:r>
        <w:rPr>
          <w:snapToGrid w:val="0"/>
        </w:rPr>
        <w:t>Where</w:t>
      </w:r>
      <w:r>
        <w:t> —</w:t>
      </w:r>
    </w:p>
    <w:p>
      <w:pPr>
        <w:pStyle w:val="Indenta"/>
        <w:rPr>
          <w:snapToGrid w:val="0"/>
        </w:rPr>
      </w:pPr>
      <w:r>
        <w:rPr>
          <w:snapToGrid w:val="0"/>
        </w:rPr>
        <w:tab/>
        <w:t>(a)</w:t>
      </w:r>
      <w:r>
        <w:rPr>
          <w:snapToGrid w:val="0"/>
        </w:rPr>
        <w:tab/>
        <w:t>under section 36A or 36B a fund for administrative purposes is not maintained under section 36(1)(a); and</w:t>
      </w:r>
    </w:p>
    <w:p>
      <w:pPr>
        <w:pStyle w:val="Indenta"/>
        <w:rPr>
          <w:snapToGrid w:val="0"/>
        </w:rPr>
      </w:pPr>
      <w:r>
        <w:rPr>
          <w:snapToGrid w:val="0"/>
        </w:rPr>
        <w:tab/>
        <w:t>(b)</w:t>
      </w:r>
      <w:r>
        <w:rPr>
          <w:snapToGrid w:val="0"/>
        </w:rPr>
        <w:tab/>
        <w:t>a strata company or any proprietor receives notice of the amount of any premium or other charge for insurance under section 53D,</w:t>
      </w:r>
    </w:p>
    <w:p>
      <w:pPr>
        <w:pStyle w:val="Subsection"/>
        <w:rPr>
          <w:snapToGrid w:val="0"/>
        </w:rPr>
      </w:pPr>
      <w:r>
        <w:rPr>
          <w:snapToGrid w:val="0"/>
        </w:rPr>
        <w:tab/>
      </w:r>
      <w:r>
        <w:rPr>
          <w:snapToGrid w:val="0"/>
        </w:rPr>
        <w:tab/>
        <w:t>the strata company, or the proprietor, may give notice in writing of that amount to the proprietor of each lot in the scheme, or each other proprietor, and require the proprietor to pay his share of the premium or other charge before a specified time.</w:t>
      </w:r>
    </w:p>
    <w:p>
      <w:pPr>
        <w:pStyle w:val="Subsection"/>
        <w:keepNext/>
      </w:pPr>
      <w:r>
        <w:tab/>
        <w:t>(2)</w:t>
      </w:r>
      <w:r>
        <w:tab/>
        <w:t xml:space="preserve">A </w:t>
      </w:r>
      <w:r>
        <w:rPr>
          <w:snapToGrid w:val="0"/>
        </w:rPr>
        <w:t>proprietor’s</w:t>
      </w:r>
      <w:r>
        <w:t xml:space="preserve"> share is —</w:t>
      </w:r>
    </w:p>
    <w:p>
      <w:pPr>
        <w:pStyle w:val="Indenta"/>
        <w:rPr>
          <w:snapToGrid w:val="0"/>
        </w:rPr>
      </w:pPr>
      <w:r>
        <w:rPr>
          <w:snapToGrid w:val="0"/>
        </w:rPr>
        <w:tab/>
        <w:t>(a)</w:t>
      </w:r>
      <w:r>
        <w:rPr>
          <w:snapToGrid w:val="0"/>
        </w:rPr>
        <w:tab/>
        <w:t>a sum equal to the same proportion of the amount as the unit entitlement of the proprietor’s lot bears to the aggregate unit entitlement; or</w:t>
      </w:r>
    </w:p>
    <w:p>
      <w:pPr>
        <w:pStyle w:val="Indenta"/>
        <w:rPr>
          <w:snapToGrid w:val="0"/>
        </w:rPr>
      </w:pPr>
      <w:r>
        <w:rPr>
          <w:snapToGrid w:val="0"/>
        </w:rPr>
        <w:tab/>
        <w:t>(b)</w:t>
      </w:r>
      <w:r>
        <w:rPr>
          <w:snapToGrid w:val="0"/>
        </w:rPr>
        <w:tab/>
        <w:t>if applicable, a sum fixed under a by</w:t>
      </w:r>
      <w:r>
        <w:rPr>
          <w:snapToGrid w:val="0"/>
        </w:rPr>
        <w:noBreakHyphen/>
        <w:t>law of the strata company made under section 42B.</w:t>
      </w:r>
    </w:p>
    <w:p>
      <w:pPr>
        <w:pStyle w:val="Subsection"/>
        <w:keepNext/>
      </w:pPr>
      <w:r>
        <w:tab/>
        <w:t>(3)</w:t>
      </w:r>
      <w:r>
        <w:tab/>
      </w:r>
      <w:r>
        <w:rPr>
          <w:snapToGrid w:val="0"/>
        </w:rPr>
        <w:t>Where</w:t>
      </w:r>
      <w:r>
        <w:t> —</w:t>
      </w:r>
    </w:p>
    <w:p>
      <w:pPr>
        <w:pStyle w:val="Indenta"/>
        <w:rPr>
          <w:snapToGrid w:val="0"/>
        </w:rPr>
      </w:pPr>
      <w:r>
        <w:rPr>
          <w:snapToGrid w:val="0"/>
        </w:rPr>
        <w:tab/>
        <w:t>(a)</w:t>
      </w:r>
      <w:r>
        <w:rPr>
          <w:snapToGrid w:val="0"/>
        </w:rPr>
        <w:tab/>
        <w:t>notice has been given to a proprietor under subsection (1); and</w:t>
      </w:r>
    </w:p>
    <w:p>
      <w:pPr>
        <w:pStyle w:val="Indenta"/>
        <w:rPr>
          <w:snapToGrid w:val="0"/>
        </w:rPr>
      </w:pPr>
      <w:r>
        <w:rPr>
          <w:snapToGrid w:val="0"/>
        </w:rPr>
        <w:tab/>
        <w:t>(b)</w:t>
      </w:r>
      <w:r>
        <w:rPr>
          <w:snapToGrid w:val="0"/>
        </w:rPr>
        <w:tab/>
        <w:t>the amount of the proprietor’s share has not been paid to the strata company or the insurer before the specified time,</w:t>
      </w:r>
    </w:p>
    <w:p>
      <w:pPr>
        <w:pStyle w:val="Subsection"/>
        <w:rPr>
          <w:snapToGrid w:val="0"/>
        </w:rPr>
      </w:pPr>
      <w:r>
        <w:rPr>
          <w:snapToGrid w:val="0"/>
        </w:rPr>
        <w:tab/>
      </w:r>
      <w:r>
        <w:rPr>
          <w:snapToGrid w:val="0"/>
        </w:rPr>
        <w:tab/>
        <w:t>that amount becomes a debt due by the proprietor to the strata company and may be recovered by it in a court of competent jurisdiction.</w:t>
      </w:r>
    </w:p>
    <w:p>
      <w:pPr>
        <w:pStyle w:val="Subsection"/>
        <w:keepNext/>
      </w:pPr>
      <w:r>
        <w:tab/>
        <w:t>(4)</w:t>
      </w:r>
      <w:r>
        <w:tab/>
        <w:t>If the amount of a proprietor’s share has become due to the strata company but has not been paid, another proprietor may —</w:t>
      </w:r>
    </w:p>
    <w:p>
      <w:pPr>
        <w:pStyle w:val="Indenta"/>
        <w:rPr>
          <w:snapToGrid w:val="0"/>
        </w:rPr>
      </w:pPr>
      <w:r>
        <w:rPr>
          <w:snapToGrid w:val="0"/>
        </w:rPr>
        <w:tab/>
        <w:t>(a)</w:t>
      </w:r>
      <w:r>
        <w:rPr>
          <w:snapToGrid w:val="0"/>
        </w:rPr>
        <w:tab/>
        <w:t>pay the amount; and</w:t>
      </w:r>
    </w:p>
    <w:p>
      <w:pPr>
        <w:pStyle w:val="Indenta"/>
        <w:rPr>
          <w:snapToGrid w:val="0"/>
        </w:rPr>
      </w:pPr>
      <w:r>
        <w:rPr>
          <w:snapToGrid w:val="0"/>
        </w:rPr>
        <w:tab/>
        <w:t>(b)</w:t>
      </w:r>
      <w:r>
        <w:rPr>
          <w:snapToGrid w:val="0"/>
        </w:rPr>
        <w:tab/>
        <w:t>recover the amount under section 103L.</w:t>
      </w:r>
    </w:p>
    <w:p>
      <w:pPr>
        <w:pStyle w:val="Footnotesection"/>
      </w:pPr>
      <w:r>
        <w:tab/>
        <w:t>[Section 53E inserted: No. 61 of 1996 s. 25.]</w:t>
      </w:r>
    </w:p>
    <w:p>
      <w:pPr>
        <w:pStyle w:val="Heading4"/>
      </w:pPr>
      <w:bookmarkStart w:id="198" w:name="_Toc525288551"/>
      <w:bookmarkStart w:id="199" w:name="_Toc530554587"/>
      <w:bookmarkStart w:id="200" w:name="_Toc530554923"/>
      <w:r>
        <w:t>Subdivision 3 — Insurance in schemes other than single tier strata schemes</w:t>
      </w:r>
      <w:bookmarkEnd w:id="198"/>
      <w:bookmarkEnd w:id="199"/>
      <w:bookmarkEnd w:id="200"/>
    </w:p>
    <w:p>
      <w:pPr>
        <w:pStyle w:val="Footnoteheading"/>
      </w:pPr>
      <w:r>
        <w:tab/>
        <w:t>[Heading inserted: No. 61 of 1996 s. 26.]</w:t>
      </w:r>
    </w:p>
    <w:p>
      <w:pPr>
        <w:pStyle w:val="Heading5"/>
        <w:rPr>
          <w:snapToGrid w:val="0"/>
        </w:rPr>
      </w:pPr>
      <w:bookmarkStart w:id="201" w:name="_Toc530554924"/>
      <w:r>
        <w:rPr>
          <w:rStyle w:val="CharSectno"/>
        </w:rPr>
        <w:t>54</w:t>
      </w:r>
      <w:r>
        <w:rPr>
          <w:snapToGrid w:val="0"/>
        </w:rPr>
        <w:t>.</w:t>
      </w:r>
      <w:r>
        <w:rPr>
          <w:snapToGrid w:val="0"/>
        </w:rPr>
        <w:tab/>
        <w:t>Insurance of buildings and strata companies</w:t>
      </w:r>
      <w:bookmarkEnd w:id="201"/>
    </w:p>
    <w:p>
      <w:pPr>
        <w:pStyle w:val="Subsection"/>
        <w:rPr>
          <w:snapToGrid w:val="0"/>
        </w:rPr>
      </w:pPr>
      <w:r>
        <w:rPr>
          <w:snapToGrid w:val="0"/>
        </w:rPr>
        <w:tab/>
        <w:t>(1)</w:t>
      </w:r>
      <w:r>
        <w:rPr>
          <w:snapToGrid w:val="0"/>
        </w:rPr>
        <w:tab/>
        <w:t>In this section —</w:t>
      </w:r>
    </w:p>
    <w:p>
      <w:pPr>
        <w:pStyle w:val="Defstart"/>
      </w:pPr>
      <w:r>
        <w:rPr>
          <w:b/>
        </w:rPr>
        <w:tab/>
      </w:r>
      <w:r>
        <w:rPr>
          <w:rStyle w:val="CharDefText"/>
        </w:rPr>
        <w:t>strata company</w:t>
      </w:r>
      <w:r>
        <w:t xml:space="preserve"> means a strata company for a scheme other than a single tier strata scheme.</w:t>
      </w:r>
    </w:p>
    <w:p>
      <w:pPr>
        <w:pStyle w:val="Subsection"/>
        <w:keepNext/>
        <w:rPr>
          <w:snapToGrid w:val="0"/>
        </w:rPr>
      </w:pPr>
      <w:r>
        <w:rPr>
          <w:snapToGrid w:val="0"/>
        </w:rPr>
        <w:tab/>
        <w:t>(1a)</w:t>
      </w:r>
      <w:r>
        <w:rPr>
          <w:snapToGrid w:val="0"/>
        </w:rPr>
        <w:tab/>
        <w:t>Subject to subsection (4) and section 103J, a strata company shall —</w:t>
      </w:r>
    </w:p>
    <w:p>
      <w:pPr>
        <w:pStyle w:val="Indenta"/>
        <w:rPr>
          <w:snapToGrid w:val="0"/>
        </w:rPr>
      </w:pPr>
      <w:r>
        <w:rPr>
          <w:snapToGrid w:val="0"/>
        </w:rPr>
        <w:tab/>
        <w:t>(a)</w:t>
      </w:r>
      <w:r>
        <w:rPr>
          <w:snapToGrid w:val="0"/>
        </w:rPr>
        <w:tab/>
        <w:t>insure and keep insured the building to the replacement value against fire, storm and tempest (excluding damage by sea, flood or erosion), lightning, explosion and earthquake; and</w:t>
      </w:r>
    </w:p>
    <w:p>
      <w:pPr>
        <w:pStyle w:val="Indenta"/>
        <w:rPr>
          <w:snapToGrid w:val="0"/>
        </w:rPr>
      </w:pPr>
      <w:r>
        <w:rPr>
          <w:snapToGrid w:val="0"/>
        </w:rPr>
        <w:tab/>
        <w:t>(b)</w:t>
      </w:r>
      <w:r>
        <w:rPr>
          <w:snapToGrid w:val="0"/>
        </w:rPr>
        <w:tab/>
        <w:t>effect and maintain insurance in respect of damage to property, death, or bodily injury for which the strata company could become liable in damages in an amount of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contract of insurance entered into for the purposes of subsection (1a) may provide that, instead of the work and the payments specified in the definition of “replacement value” in section 53 being carried out or made upon the occurrence of any of the events specified in the policy, the liability of the insurer shall, upon the occurrence of any such event, be limited to an amount specified in the policy.</w:t>
      </w:r>
    </w:p>
    <w:p>
      <w:pPr>
        <w:pStyle w:val="Subsection"/>
        <w:rPr>
          <w:snapToGrid w:val="0"/>
        </w:rPr>
      </w:pPr>
      <w:r>
        <w:rPr>
          <w:snapToGrid w:val="0"/>
        </w:rPr>
        <w:tab/>
        <w:t>(3)</w:t>
      </w:r>
      <w:r>
        <w:rPr>
          <w:snapToGrid w:val="0"/>
        </w:rPr>
        <w:tab/>
        <w:t>It is a defence to a charge of an offence against subsection (1a) for a strata company to prove that, despite having taken all reasonably practicable steps available to it to comply with that subsection, no insurer is willing to enter into a contract of insurance, on reasonable terms, that meets the obligation imposed by that subsection.</w:t>
      </w:r>
    </w:p>
    <w:p>
      <w:pPr>
        <w:pStyle w:val="Subsection"/>
        <w:rPr>
          <w:snapToGrid w:val="0"/>
        </w:rPr>
      </w:pPr>
      <w:r>
        <w:rPr>
          <w:snapToGrid w:val="0"/>
        </w:rPr>
        <w:tab/>
        <w:t>(4)</w:t>
      </w:r>
      <w:r>
        <w:rPr>
          <w:snapToGrid w:val="0"/>
        </w:rPr>
        <w:tab/>
        <w:t>In the case of a survey</w:t>
      </w:r>
      <w:r>
        <w:rPr>
          <w:snapToGrid w:val="0"/>
        </w:rPr>
        <w:noBreakHyphen/>
        <w:t>strata scheme, the obligation of the strata company under subsection (1a) applies only to a building that is common property in the scheme.</w:t>
      </w:r>
    </w:p>
    <w:p>
      <w:pPr>
        <w:pStyle w:val="Footnotesection"/>
      </w:pPr>
      <w:r>
        <w:tab/>
        <w:t>[Section 54 amended: No. 58 of 1995 s. 52 and 94; No. 61 of 1996 s. 27.]</w:t>
      </w:r>
    </w:p>
    <w:p>
      <w:pPr>
        <w:pStyle w:val="Heading4"/>
        <w:keepLines/>
      </w:pPr>
      <w:bookmarkStart w:id="202" w:name="_Toc525288553"/>
      <w:bookmarkStart w:id="203" w:name="_Toc530554589"/>
      <w:bookmarkStart w:id="204" w:name="_Toc530554925"/>
      <w:r>
        <w:t>Subdivision 4 — Insurance provisions applicable to all schemes</w:t>
      </w:r>
      <w:bookmarkEnd w:id="202"/>
      <w:bookmarkEnd w:id="203"/>
      <w:bookmarkEnd w:id="204"/>
    </w:p>
    <w:p>
      <w:pPr>
        <w:pStyle w:val="Footnoteheading"/>
      </w:pPr>
      <w:r>
        <w:tab/>
        <w:t>[Heading inserted: No. 61 of 1996 s. 28.]</w:t>
      </w:r>
    </w:p>
    <w:p>
      <w:pPr>
        <w:pStyle w:val="Heading5"/>
        <w:rPr>
          <w:snapToGrid w:val="0"/>
        </w:rPr>
      </w:pPr>
      <w:bookmarkStart w:id="205" w:name="_Toc530554926"/>
      <w:r>
        <w:rPr>
          <w:rStyle w:val="CharSectno"/>
        </w:rPr>
        <w:t>54A</w:t>
      </w:r>
      <w:r>
        <w:rPr>
          <w:snapToGrid w:val="0"/>
        </w:rPr>
        <w:t>.</w:t>
      </w:r>
      <w:r>
        <w:rPr>
          <w:snapToGrid w:val="0"/>
        </w:rPr>
        <w:tab/>
        <w:t>Where insurance cover refused, proprietor may be required to take action</w:t>
      </w:r>
      <w:bookmarkEnd w:id="205"/>
    </w:p>
    <w:p>
      <w:pPr>
        <w:pStyle w:val="Subsection"/>
        <w:rPr>
          <w:snapToGrid w:val="0"/>
          <w:spacing w:val="-4"/>
        </w:rPr>
      </w:pPr>
      <w:r>
        <w:rPr>
          <w:snapToGrid w:val="0"/>
          <w:spacing w:val="-4"/>
        </w:rPr>
        <w:tab/>
        <w:t>(1)</w:t>
      </w:r>
      <w:r>
        <w:rPr>
          <w:snapToGrid w:val="0"/>
          <w:spacing w:val="-4"/>
        </w:rPr>
        <w:tab/>
        <w:t>A proprietor of a lot in a scheme shall ensure that the lot is not used for an activity if the proprietor has been notified in writing by the strata company for the scheme that the strata company cannot obtain insurance cover for the building, or part of it, on reasonable terms because that activity is being carried on on the lot.</w:t>
      </w:r>
    </w:p>
    <w:p>
      <w:pPr>
        <w:pStyle w:val="Subsection"/>
        <w:rPr>
          <w:snapToGrid w:val="0"/>
        </w:rPr>
      </w:pPr>
      <w:r>
        <w:rPr>
          <w:snapToGrid w:val="0"/>
        </w:rPr>
        <w:tab/>
        <w:t>(2)</w:t>
      </w:r>
      <w:r>
        <w:rPr>
          <w:snapToGrid w:val="0"/>
        </w:rPr>
        <w:tab/>
        <w:t>The proprietor of a lot in a scheme shall comply with a notice given to the proprietor by the strata company for the scheme to carry out any work on the building on the lot, being work specified in the notice, if the notice is expressed to be given on the grounds that the strata company cannot obtain insurance cover for the building on reasonable terms until that work has been carried out.</w:t>
      </w:r>
    </w:p>
    <w:p>
      <w:pPr>
        <w:pStyle w:val="Subsection"/>
        <w:rPr>
          <w:snapToGrid w:val="0"/>
        </w:rPr>
      </w:pPr>
      <w:r>
        <w:rPr>
          <w:snapToGrid w:val="0"/>
        </w:rPr>
        <w:tab/>
        <w:t>(3)</w:t>
      </w:r>
      <w:r>
        <w:rPr>
          <w:snapToGrid w:val="0"/>
        </w:rPr>
        <w:tab/>
        <w:t>A proprietor may, instead of complying with subsection (1) or (2), pay a part of the premium for insurance cover if the strata company is satisfied that the amount of premium remaining to be paid by the company is an amount that the company should reasonably pay for that insurance cover.</w:t>
      </w:r>
    </w:p>
    <w:p>
      <w:pPr>
        <w:pStyle w:val="Subsection"/>
        <w:rPr>
          <w:snapToGrid w:val="0"/>
        </w:rPr>
      </w:pPr>
      <w:r>
        <w:rPr>
          <w:snapToGrid w:val="0"/>
        </w:rPr>
        <w:tab/>
        <w:t>(4)</w:t>
      </w:r>
      <w:r>
        <w:rPr>
          <w:snapToGrid w:val="0"/>
        </w:rPr>
        <w:tab/>
        <w:t>A proprietor may, instead of complying with subsection (2), take any other step that enables insurance cover on the building to be obtained on reasonable terms.</w:t>
      </w:r>
    </w:p>
    <w:p>
      <w:pPr>
        <w:pStyle w:val="Subsection"/>
        <w:rPr>
          <w:snapToGrid w:val="0"/>
        </w:rPr>
      </w:pPr>
      <w:r>
        <w:rPr>
          <w:snapToGrid w:val="0"/>
        </w:rPr>
        <w:tab/>
        <w:t>(5)</w:t>
      </w:r>
      <w:r>
        <w:rPr>
          <w:snapToGrid w:val="0"/>
        </w:rPr>
        <w:tab/>
        <w:t>The obligations created by this section are enforceable under section 103K.</w:t>
      </w:r>
    </w:p>
    <w:p>
      <w:pPr>
        <w:pStyle w:val="Footnotesection"/>
      </w:pPr>
      <w:r>
        <w:tab/>
        <w:t>[Section 54A inserted: No. 58 of 1995 s. 53.]</w:t>
      </w:r>
    </w:p>
    <w:p>
      <w:pPr>
        <w:pStyle w:val="Heading5"/>
        <w:keepNext w:val="0"/>
        <w:rPr>
          <w:snapToGrid w:val="0"/>
        </w:rPr>
      </w:pPr>
      <w:bookmarkStart w:id="206" w:name="_Toc530554927"/>
      <w:r>
        <w:rPr>
          <w:rStyle w:val="CharSectno"/>
        </w:rPr>
        <w:t>55</w:t>
      </w:r>
      <w:r>
        <w:rPr>
          <w:snapToGrid w:val="0"/>
        </w:rPr>
        <w:t>.</w:t>
      </w:r>
      <w:r>
        <w:rPr>
          <w:snapToGrid w:val="0"/>
        </w:rPr>
        <w:tab/>
        <w:t>Further insurance by strata company and actions by proprietor against strata company</w:t>
      </w:r>
      <w:bookmarkEnd w:id="206"/>
    </w:p>
    <w:p>
      <w:pPr>
        <w:pStyle w:val="Subsection"/>
        <w:keepNext/>
        <w:rPr>
          <w:snapToGrid w:val="0"/>
          <w:spacing w:val="-4"/>
        </w:rPr>
      </w:pPr>
      <w:r>
        <w:rPr>
          <w:snapToGrid w:val="0"/>
          <w:spacing w:val="-4"/>
        </w:rPr>
        <w:tab/>
        <w:t>(1)</w:t>
      </w:r>
      <w:r>
        <w:rPr>
          <w:snapToGrid w:val="0"/>
          <w:spacing w:val="-4"/>
        </w:rPr>
        <w:tab/>
        <w:t xml:space="preserve">In </w:t>
      </w:r>
      <w:r>
        <w:rPr>
          <w:snapToGrid w:val="0"/>
        </w:rPr>
        <w:t>addition</w:t>
      </w:r>
      <w:r>
        <w:rPr>
          <w:snapToGrid w:val="0"/>
          <w:spacing w:val="-4"/>
        </w:rPr>
        <w:t xml:space="preserve"> to insurance effected by the strata company under this Division, a strata company shall effect and maintain insurance —</w:t>
      </w:r>
    </w:p>
    <w:p>
      <w:pPr>
        <w:pStyle w:val="Indenta"/>
        <w:rPr>
          <w:snapToGrid w:val="0"/>
        </w:rPr>
      </w:pPr>
      <w:r>
        <w:rPr>
          <w:snapToGrid w:val="0"/>
        </w:rPr>
        <w:tab/>
        <w:t>(a)</w:t>
      </w:r>
      <w:r>
        <w:rPr>
          <w:snapToGrid w:val="0"/>
        </w:rPr>
        <w:tab/>
        <w:t>in respect of any occurrence against which it is required by law to insure, including, where applicable, insurance against liability to pay compensation under the</w:t>
      </w:r>
      <w:r>
        <w:rPr>
          <w:i/>
          <w:snapToGrid w:val="0"/>
        </w:rPr>
        <w:t xml:space="preserve"> Workers’ Compensation and Injury Management Act 1981</w:t>
      </w:r>
      <w:r>
        <w:rPr>
          <w:snapToGrid w:val="0"/>
        </w:rPr>
        <w:t>; and</w:t>
      </w:r>
    </w:p>
    <w:p>
      <w:pPr>
        <w:pStyle w:val="Indenta"/>
        <w:rPr>
          <w:snapToGrid w:val="0"/>
        </w:rPr>
      </w:pPr>
      <w:r>
        <w:rPr>
          <w:snapToGrid w:val="0"/>
        </w:rPr>
        <w:tab/>
        <w:t>(b)</w:t>
      </w:r>
      <w:r>
        <w:rPr>
          <w:snapToGrid w:val="0"/>
        </w:rPr>
        <w:tab/>
        <w:t>against such other risks as the strata company may from time to time determine.</w:t>
      </w:r>
    </w:p>
    <w:p>
      <w:pPr>
        <w:pStyle w:val="Penstart"/>
        <w:rPr>
          <w:snapToGrid w:val="0"/>
        </w:rPr>
      </w:pPr>
      <w:r>
        <w:rPr>
          <w:snapToGrid w:val="0"/>
        </w:rPr>
        <w:tab/>
        <w:t>Penalty for contravention of subsection (1)(a): $400.</w:t>
      </w:r>
    </w:p>
    <w:p>
      <w:pPr>
        <w:pStyle w:val="Ednotesubsection"/>
      </w:pPr>
      <w:r>
        <w:tab/>
        <w:t>[(2), (3)</w:t>
      </w:r>
      <w:r>
        <w:tab/>
        <w:t>deleted]</w:t>
      </w:r>
    </w:p>
    <w:p>
      <w:pPr>
        <w:pStyle w:val="Subsection"/>
        <w:rPr>
          <w:snapToGrid w:val="0"/>
        </w:rPr>
      </w:pPr>
      <w:r>
        <w:rPr>
          <w:snapToGrid w:val="0"/>
        </w:rPr>
        <w:tab/>
        <w:t>(4)</w:t>
      </w:r>
      <w:r>
        <w:rPr>
          <w:snapToGrid w:val="0"/>
        </w:rPr>
        <w:tab/>
        <w:t>A strata company may insure and keep insured the building against any occurrence other than those occurrences referred to and included in section 53D or 54(1a).</w:t>
      </w:r>
    </w:p>
    <w:p>
      <w:pPr>
        <w:pStyle w:val="Subsection"/>
        <w:spacing w:before="120"/>
        <w:rPr>
          <w:snapToGrid w:val="0"/>
        </w:rPr>
      </w:pPr>
      <w:r>
        <w:rPr>
          <w:snapToGrid w:val="0"/>
        </w:rPr>
        <w:tab/>
        <w:t>(5)</w:t>
      </w:r>
      <w:r>
        <w:rPr>
          <w:snapToGrid w:val="0"/>
        </w:rPr>
        <w:tab/>
        <w:t>A proprietor may bring against the strata company of which the proprietor is a member any action that the proprietor might have brought against the strata company if the proprietor had not been a member of the strata company.</w:t>
      </w:r>
    </w:p>
    <w:p>
      <w:pPr>
        <w:pStyle w:val="Footnotesection"/>
        <w:keepLines w:val="0"/>
        <w:ind w:left="890" w:hanging="890"/>
      </w:pPr>
      <w:r>
        <w:tab/>
        <w:t>[Section 55 amended: No. 58 of 1995 s. 54(1) and (2)</w:t>
      </w:r>
      <w:r>
        <w:rPr>
          <w:vertAlign w:val="superscript"/>
        </w:rPr>
        <w:t xml:space="preserve"> </w:t>
      </w:r>
      <w:r>
        <w:rPr>
          <w:i w:val="0"/>
          <w:vertAlign w:val="superscript"/>
        </w:rPr>
        <w:t>6</w:t>
      </w:r>
      <w:r>
        <w:t xml:space="preserve"> and 94; No. 61 of 1996 s. 29; No. 42 of 2004 s. 174.]</w:t>
      </w:r>
    </w:p>
    <w:p>
      <w:pPr>
        <w:pStyle w:val="Heading5"/>
        <w:keepNext w:val="0"/>
        <w:keepLines w:val="0"/>
        <w:rPr>
          <w:snapToGrid w:val="0"/>
        </w:rPr>
      </w:pPr>
      <w:bookmarkStart w:id="207" w:name="_Toc530554928"/>
      <w:r>
        <w:rPr>
          <w:rStyle w:val="CharSectno"/>
        </w:rPr>
        <w:t>55A</w:t>
      </w:r>
      <w:r>
        <w:rPr>
          <w:snapToGrid w:val="0"/>
        </w:rPr>
        <w:t>.</w:t>
      </w:r>
      <w:r>
        <w:rPr>
          <w:snapToGrid w:val="0"/>
        </w:rPr>
        <w:tab/>
        <w:t>Proprietor liable for increased insurance premium in certain cases</w:t>
      </w:r>
      <w:bookmarkEnd w:id="207"/>
    </w:p>
    <w:p>
      <w:pPr>
        <w:pStyle w:val="Subsection"/>
        <w:rPr>
          <w:snapToGrid w:val="0"/>
        </w:rPr>
      </w:pPr>
      <w:r>
        <w:rPr>
          <w:snapToGrid w:val="0"/>
        </w:rPr>
        <w:tab/>
        <w:t>(1)</w:t>
      </w:r>
      <w:r>
        <w:rPr>
          <w:snapToGrid w:val="0"/>
        </w:rPr>
        <w:tab/>
        <w:t>If any part of an insurance premium payable by a strata company is attributable solely to the risk associated with activities carried on on a lot, the proprietor of that lot is liable to pay to the strata company on demand an amount equal to that part of the premium.</w:t>
      </w:r>
    </w:p>
    <w:p>
      <w:pPr>
        <w:pStyle w:val="Subsection"/>
        <w:rPr>
          <w:snapToGrid w:val="0"/>
        </w:rPr>
      </w:pPr>
      <w:r>
        <w:rPr>
          <w:snapToGrid w:val="0"/>
        </w:rPr>
        <w:tab/>
        <w:t>(2)</w:t>
      </w:r>
      <w:r>
        <w:rPr>
          <w:snapToGrid w:val="0"/>
        </w:rPr>
        <w:tab/>
        <w:t>An amount payable under subsection (1) may be recovered as a debt due in a court of competent jurisdiction.</w:t>
      </w:r>
    </w:p>
    <w:p>
      <w:pPr>
        <w:pStyle w:val="Footnotesection"/>
        <w:keepLines w:val="0"/>
        <w:ind w:left="890" w:hanging="890"/>
      </w:pPr>
      <w:r>
        <w:tab/>
        <w:t>[Section 55A inserted: No. 58 of 1995 s. 55.]</w:t>
      </w:r>
    </w:p>
    <w:p>
      <w:pPr>
        <w:pStyle w:val="Heading5"/>
        <w:rPr>
          <w:snapToGrid w:val="0"/>
        </w:rPr>
      </w:pPr>
      <w:bookmarkStart w:id="208" w:name="_Toc530554929"/>
      <w:r>
        <w:rPr>
          <w:rStyle w:val="CharSectno"/>
        </w:rPr>
        <w:t>56</w:t>
      </w:r>
      <w:r>
        <w:rPr>
          <w:snapToGrid w:val="0"/>
        </w:rPr>
        <w:t>.</w:t>
      </w:r>
      <w:r>
        <w:rPr>
          <w:snapToGrid w:val="0"/>
        </w:rPr>
        <w:tab/>
        <w:t>Insurance by proprietor</w:t>
      </w:r>
      <w:bookmarkEnd w:id="208"/>
    </w:p>
    <w:p>
      <w:pPr>
        <w:pStyle w:val="Subsection"/>
        <w:rPr>
          <w:snapToGrid w:val="0"/>
        </w:rPr>
      </w:pPr>
      <w:r>
        <w:rPr>
          <w:snapToGrid w:val="0"/>
        </w:rPr>
        <w:tab/>
        <w:t>(1)</w:t>
      </w:r>
      <w:r>
        <w:rPr>
          <w:snapToGrid w:val="0"/>
        </w:rPr>
        <w:tab/>
        <w:t>Nothing in this Division limits any right of a proprietor to effect insurance.</w:t>
      </w:r>
    </w:p>
    <w:p>
      <w:pPr>
        <w:pStyle w:val="Subsection"/>
        <w:rPr>
          <w:snapToGrid w:val="0"/>
        </w:rPr>
      </w:pPr>
      <w:r>
        <w:rPr>
          <w:snapToGrid w:val="0"/>
          <w:spacing w:val="-4"/>
        </w:rPr>
        <w:tab/>
        <w:t>(2)</w:t>
      </w:r>
      <w:r>
        <w:rPr>
          <w:snapToGrid w:val="0"/>
          <w:spacing w:val="-4"/>
        </w:rPr>
        <w:tab/>
      </w:r>
      <w:r>
        <w:rPr>
          <w:snapToGrid w:val="0"/>
        </w:rPr>
        <w:t>Insurance effected by a proprietor does not affect, and shall not be taken into consideration in determining the amount payable to a strata company under a contract of insurance entered into between it and an insurer pursuant to this Division, notwithstanding anything contained in that contract of insurance.</w:t>
      </w:r>
    </w:p>
    <w:p>
      <w:pPr>
        <w:pStyle w:val="Heading5"/>
        <w:rPr>
          <w:snapToGrid w:val="0"/>
        </w:rPr>
      </w:pPr>
      <w:bookmarkStart w:id="209" w:name="_Toc530554930"/>
      <w:r>
        <w:rPr>
          <w:rStyle w:val="CharSectno"/>
        </w:rPr>
        <w:t>56A</w:t>
      </w:r>
      <w:r>
        <w:rPr>
          <w:snapToGrid w:val="0"/>
        </w:rPr>
        <w:t>.</w:t>
      </w:r>
      <w:r>
        <w:rPr>
          <w:snapToGrid w:val="0"/>
        </w:rPr>
        <w:tab/>
        <w:t>Proprietor may insure if strata company in default</w:t>
      </w:r>
      <w:bookmarkEnd w:id="209"/>
    </w:p>
    <w:p>
      <w:pPr>
        <w:pStyle w:val="Subsection"/>
        <w:rPr>
          <w:snapToGrid w:val="0"/>
        </w:rPr>
      </w:pPr>
      <w:r>
        <w:rPr>
          <w:snapToGrid w:val="0"/>
        </w:rPr>
        <w:tab/>
      </w:r>
      <w:r>
        <w:rPr>
          <w:snapToGrid w:val="0"/>
        </w:rPr>
        <w:tab/>
        <w:t>If a proprietor considers that a strata company is in breach of any obligation to insure imposed on it by this Act, the proprietor may effect and maintain in the name of the strata company such insurance as he thinks the strata company ought to effect and maintain to meet that obligation.</w:t>
      </w:r>
    </w:p>
    <w:p>
      <w:pPr>
        <w:pStyle w:val="Footnotesection"/>
        <w:keepLines w:val="0"/>
        <w:ind w:left="890" w:hanging="890"/>
      </w:pPr>
      <w:r>
        <w:tab/>
        <w:t>[Section 56A inserted: No. 58 of 1995 s. 56.]</w:t>
      </w:r>
    </w:p>
    <w:p>
      <w:pPr>
        <w:pStyle w:val="Heading5"/>
        <w:rPr>
          <w:snapToGrid w:val="0"/>
        </w:rPr>
      </w:pPr>
      <w:bookmarkStart w:id="210" w:name="_Toc530554931"/>
      <w:r>
        <w:rPr>
          <w:rStyle w:val="CharSectno"/>
        </w:rPr>
        <w:t>57</w:t>
      </w:r>
      <w:r>
        <w:rPr>
          <w:snapToGrid w:val="0"/>
        </w:rPr>
        <w:t>.</w:t>
      </w:r>
      <w:r>
        <w:rPr>
          <w:snapToGrid w:val="0"/>
        </w:rPr>
        <w:tab/>
        <w:t>Insurance of mortgaged lot</w:t>
      </w:r>
      <w:bookmarkEnd w:id="210"/>
    </w:p>
    <w:p>
      <w:pPr>
        <w:pStyle w:val="Subsection"/>
        <w:spacing w:before="180"/>
        <w:rPr>
          <w:snapToGrid w:val="0"/>
        </w:rPr>
      </w:pPr>
      <w:r>
        <w:rPr>
          <w:snapToGrid w:val="0"/>
        </w:rPr>
        <w:tab/>
        <w:t>(1)</w:t>
      </w:r>
      <w:r>
        <w:rPr>
          <w:snapToGrid w:val="0"/>
        </w:rPr>
        <w:tab/>
        <w:t>Where a building is insured to its replacement value, a proprietor may effect a contract of insurance in respect of any damage to his lot in a sum equal to the amount secured at the date of any loss referred to in the policy by mortgages charged upon his lot.</w:t>
      </w:r>
    </w:p>
    <w:p>
      <w:pPr>
        <w:pStyle w:val="Subsection"/>
        <w:keepNext/>
        <w:spacing w:before="180"/>
        <w:rPr>
          <w:snapToGrid w:val="0"/>
        </w:rPr>
      </w:pPr>
      <w:r>
        <w:rPr>
          <w:snapToGrid w:val="0"/>
        </w:rPr>
        <w:tab/>
        <w:t>(2)</w:t>
      </w:r>
      <w:r>
        <w:rPr>
          <w:snapToGrid w:val="0"/>
        </w:rPr>
        <w:tab/>
        <w:t>Where any contract of insurance of the kind authorised by subsection (1) is in force —</w:t>
      </w:r>
    </w:p>
    <w:p>
      <w:pPr>
        <w:pStyle w:val="Indenta"/>
        <w:spacing w:before="120"/>
        <w:rPr>
          <w:snapToGrid w:val="0"/>
        </w:rPr>
      </w:pPr>
      <w:r>
        <w:rPr>
          <w:snapToGrid w:val="0"/>
        </w:rPr>
        <w:tab/>
        <w:t>(a)</w:t>
      </w:r>
      <w:r>
        <w:rPr>
          <w:snapToGrid w:val="0"/>
        </w:rPr>
        <w:tab/>
        <w:t>payment shall be made by the insurer under the contract to the mortgagees whose interests are noted thereon in order of their respective priorities, subject to the terms and conditions of the contract;</w:t>
      </w:r>
    </w:p>
    <w:p>
      <w:pPr>
        <w:pStyle w:val="Indenta"/>
        <w:keepNext/>
        <w:spacing w:before="120"/>
        <w:rPr>
          <w:snapToGrid w:val="0"/>
        </w:rPr>
      </w:pPr>
      <w:r>
        <w:rPr>
          <w:snapToGrid w:val="0"/>
        </w:rPr>
        <w:tab/>
        <w:t>(b)</w:t>
      </w:r>
      <w:r>
        <w:rPr>
          <w:snapToGrid w:val="0"/>
        </w:rPr>
        <w:tab/>
        <w:t>subject to the terms and conditions of the contract, the insurer is liable to pay thereunder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the amount sufficient, at the date of the loss, to discharge mortgages charged upon the lot,</w:t>
      </w:r>
    </w:p>
    <w:p>
      <w:pPr>
        <w:pStyle w:val="Indenta"/>
        <w:spacing w:before="120"/>
        <w:rPr>
          <w:snapToGrid w:val="0"/>
        </w:rPr>
      </w:pPr>
      <w:r>
        <w:rPr>
          <w:snapToGrid w:val="0"/>
        </w:rPr>
        <w:tab/>
      </w:r>
      <w:r>
        <w:rPr>
          <w:snapToGrid w:val="0"/>
        </w:rPr>
        <w:tab/>
        <w:t>whichever is the least amount;</w:t>
      </w:r>
    </w:p>
    <w:p>
      <w:pPr>
        <w:pStyle w:val="Indenta"/>
        <w:spacing w:before="120"/>
        <w:rPr>
          <w:snapToGrid w:val="0"/>
        </w:rPr>
      </w:pPr>
      <w:r>
        <w:rPr>
          <w:snapToGrid w:val="0"/>
        </w:rPr>
        <w:tab/>
        <w:t>(c)</w:t>
      </w:r>
      <w:r>
        <w:rPr>
          <w:snapToGrid w:val="0"/>
        </w:rPr>
        <w:tab/>
        <w:t>where the amount so paid by the insurer equals the amount necessary to discharge a mortgage charged upon the lot, the insurer is entitled to an assignment of that mortgage;</w:t>
      </w:r>
    </w:p>
    <w:p>
      <w:pPr>
        <w:pStyle w:val="Indenta"/>
        <w:spacing w:before="120"/>
        <w:rPr>
          <w:snapToGrid w:val="0"/>
        </w:rPr>
      </w:pPr>
      <w:r>
        <w:rPr>
          <w:snapToGrid w:val="0"/>
        </w:rPr>
        <w:tab/>
        <w:t>(d)</w:t>
      </w:r>
      <w:r>
        <w:rPr>
          <w:snapToGrid w:val="0"/>
        </w:rPr>
        <w:tab/>
        <w:t>where the amount so paid by the insurer is less than the amount necessary to discharge a mortgage of the lot, the insurer shall be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keepNext/>
        <w:keepLines/>
        <w:rPr>
          <w:snapToGrid w:val="0"/>
        </w:rPr>
      </w:pPr>
      <w:r>
        <w:rPr>
          <w:snapToGrid w:val="0"/>
        </w:rPr>
        <w:tab/>
        <w:t>(3)</w:t>
      </w:r>
      <w:r>
        <w:rPr>
          <w:snapToGrid w:val="0"/>
        </w:rPr>
        <w:tab/>
        <w:t>A contract of insurance entered into as referred to in this section shall not be liable to be brought into contribution with any other such contract of insurance except another such contract of insurance which —</w:t>
      </w:r>
    </w:p>
    <w:p>
      <w:pPr>
        <w:pStyle w:val="Indenta"/>
        <w:rPr>
          <w:snapToGrid w:val="0"/>
        </w:rPr>
      </w:pPr>
      <w:r>
        <w:rPr>
          <w:snapToGrid w:val="0"/>
        </w:rPr>
        <w:tab/>
        <w:t>(a)</w:t>
      </w:r>
      <w:r>
        <w:rPr>
          <w:snapToGrid w:val="0"/>
        </w:rPr>
        <w:tab/>
        <w:t>is in respect of damage to the same lot; and</w:t>
      </w:r>
    </w:p>
    <w:p>
      <w:pPr>
        <w:pStyle w:val="Indenta"/>
        <w:rPr>
          <w:snapToGrid w:val="0"/>
        </w:rPr>
      </w:pPr>
      <w:r>
        <w:rPr>
          <w:snapToGrid w:val="0"/>
        </w:rPr>
        <w:tab/>
        <w:t>(b)</w:t>
      </w:r>
      <w:r>
        <w:rPr>
          <w:snapToGrid w:val="0"/>
        </w:rPr>
        <w:tab/>
        <w:t>relates to the same mortgage debt,</w:t>
      </w:r>
    </w:p>
    <w:p>
      <w:pPr>
        <w:pStyle w:val="Subsection"/>
        <w:rPr>
          <w:snapToGrid w:val="0"/>
        </w:rPr>
      </w:pPr>
      <w:r>
        <w:rPr>
          <w:snapToGrid w:val="0"/>
        </w:rPr>
        <w:tab/>
      </w:r>
      <w:r>
        <w:rPr>
          <w:snapToGrid w:val="0"/>
        </w:rPr>
        <w:tab/>
        <w:t>as that referred to in the contract of insurance first</w:t>
      </w:r>
      <w:r>
        <w:rPr>
          <w:snapToGrid w:val="0"/>
        </w:rPr>
        <w:noBreakHyphen/>
        <w:t>mentioned in this subsection.</w:t>
      </w:r>
    </w:p>
    <w:p>
      <w:pPr>
        <w:pStyle w:val="Subsection"/>
        <w:rPr>
          <w:snapToGrid w:val="0"/>
        </w:rPr>
      </w:pPr>
      <w:r>
        <w:rPr>
          <w:snapToGrid w:val="0"/>
        </w:rPr>
        <w:tab/>
        <w:t>(4)</w:t>
      </w:r>
      <w:r>
        <w:rPr>
          <w:snapToGrid w:val="0"/>
        </w:rPr>
        <w:tab/>
        <w:t>Where a building is uninsured or has been insured to less than its replacement value, a proprietor may, notwithstanding any existing contracts of insurance, effect a contract of insurance in respect of damage to his lot in a sum equal to the amount secured, at the date of the loss referred to in the last</w:t>
      </w:r>
      <w:r>
        <w:rPr>
          <w:snapToGrid w:val="0"/>
        </w:rPr>
        <w:noBreakHyphen/>
        <w:t>mentioned contract, by mortgages charged upon his lot and the provisions of subsection (2)(a), (b), (c) and (d) apply in respect of any payment pursuant to that contract.</w:t>
      </w:r>
    </w:p>
    <w:p>
      <w:pPr>
        <w:pStyle w:val="Subsection"/>
        <w:keepNext/>
        <w:rPr>
          <w:snapToGrid w:val="0"/>
        </w:rPr>
      </w:pPr>
      <w:r>
        <w:rPr>
          <w:snapToGrid w:val="0"/>
        </w:rPr>
        <w:tab/>
        <w:t>(5)</w:t>
      </w:r>
      <w:r>
        <w:rPr>
          <w:snapToGrid w:val="0"/>
        </w:rPr>
        <w:tab/>
        <w:t>Nothing in this section limits the right of a proprietor to insure against risks other than damage to his lot.</w:t>
      </w:r>
    </w:p>
    <w:p>
      <w:pPr>
        <w:pStyle w:val="Heading5"/>
        <w:rPr>
          <w:snapToGrid w:val="0"/>
        </w:rPr>
      </w:pPr>
      <w:bookmarkStart w:id="211" w:name="_Toc530554932"/>
      <w:r>
        <w:rPr>
          <w:rStyle w:val="CharSectno"/>
        </w:rPr>
        <w:t>58</w:t>
      </w:r>
      <w:r>
        <w:rPr>
          <w:snapToGrid w:val="0"/>
        </w:rPr>
        <w:t>.</w:t>
      </w:r>
      <w:r>
        <w:rPr>
          <w:snapToGrid w:val="0"/>
        </w:rPr>
        <w:tab/>
        <w:t>Insurable interest</w:t>
      </w:r>
      <w:bookmarkEnd w:id="211"/>
    </w:p>
    <w:p>
      <w:pPr>
        <w:pStyle w:val="Subsection"/>
        <w:rPr>
          <w:snapToGrid w:val="0"/>
        </w:rPr>
      </w:pPr>
      <w:r>
        <w:rPr>
          <w:snapToGrid w:val="0"/>
        </w:rPr>
        <w:tab/>
      </w:r>
      <w:r>
        <w:rPr>
          <w:snapToGrid w:val="0"/>
        </w:rPr>
        <w:tab/>
        <w:t>Notwithstanding any other law relating to insurance, a strata company shall, for the purpose of effecting any insurance entered into pursuant to this Division, be deemed to have an insurable interest in the subject matter of that insurance.</w:t>
      </w:r>
    </w:p>
    <w:p>
      <w:pPr>
        <w:pStyle w:val="Heading5"/>
        <w:rPr>
          <w:snapToGrid w:val="0"/>
        </w:rPr>
      </w:pPr>
      <w:bookmarkStart w:id="212" w:name="_Toc530554933"/>
      <w:r>
        <w:rPr>
          <w:rStyle w:val="CharSectno"/>
        </w:rPr>
        <w:t>59</w:t>
      </w:r>
      <w:r>
        <w:rPr>
          <w:snapToGrid w:val="0"/>
        </w:rPr>
        <w:t>.</w:t>
      </w:r>
      <w:r>
        <w:rPr>
          <w:snapToGrid w:val="0"/>
        </w:rPr>
        <w:tab/>
        <w:t>Application of insurance moneys to rebuilding</w:t>
      </w:r>
      <w:bookmarkEnd w:id="212"/>
    </w:p>
    <w:p>
      <w:pPr>
        <w:pStyle w:val="Subsection"/>
        <w:rPr>
          <w:snapToGrid w:val="0"/>
        </w:rPr>
      </w:pPr>
      <w:r>
        <w:rPr>
          <w:snapToGrid w:val="0"/>
        </w:rPr>
        <w:tab/>
      </w:r>
      <w:r>
        <w:rPr>
          <w:snapToGrid w:val="0"/>
        </w:rPr>
        <w:tab/>
        <w:t>Subject to any order made under section 28 or 31, where a strata company receives payment of moneys from an insurer in respect of the destruction of or damage to a building, those moneys shall forthwith be applied by the strata company in rebuilding, replacing, repairing or restoring the building so far as that may lawfully be effected.</w:t>
      </w:r>
    </w:p>
    <w:p>
      <w:pPr>
        <w:pStyle w:val="Heading3"/>
      </w:pPr>
      <w:bookmarkStart w:id="213" w:name="_Toc525288562"/>
      <w:bookmarkStart w:id="214" w:name="_Toc530554598"/>
      <w:bookmarkStart w:id="215" w:name="_Toc530554934"/>
      <w:r>
        <w:rPr>
          <w:rStyle w:val="CharDivNo"/>
        </w:rPr>
        <w:t>Division 5</w:t>
      </w:r>
      <w:r>
        <w:rPr>
          <w:snapToGrid w:val="0"/>
        </w:rPr>
        <w:t> — </w:t>
      </w:r>
      <w:r>
        <w:rPr>
          <w:rStyle w:val="CharDivText"/>
        </w:rPr>
        <w:t>Rates, taxes and charges</w:t>
      </w:r>
      <w:bookmarkEnd w:id="213"/>
      <w:bookmarkEnd w:id="214"/>
      <w:bookmarkEnd w:id="215"/>
    </w:p>
    <w:p>
      <w:pPr>
        <w:pStyle w:val="Heading5"/>
        <w:rPr>
          <w:snapToGrid w:val="0"/>
        </w:rPr>
      </w:pPr>
      <w:bookmarkStart w:id="216" w:name="_Toc530554935"/>
      <w:r>
        <w:rPr>
          <w:rStyle w:val="CharSectno"/>
        </w:rPr>
        <w:t>60</w:t>
      </w:r>
      <w:r>
        <w:rPr>
          <w:snapToGrid w:val="0"/>
        </w:rPr>
        <w:t>.</w:t>
      </w:r>
      <w:r>
        <w:rPr>
          <w:snapToGrid w:val="0"/>
        </w:rPr>
        <w:tab/>
        <w:t>Delivery of plans to authorities</w:t>
      </w:r>
      <w:bookmarkEnd w:id="216"/>
    </w:p>
    <w:p>
      <w:pPr>
        <w:pStyle w:val="Subsection"/>
        <w:keepNext/>
        <w:rPr>
          <w:snapToGrid w:val="0"/>
        </w:rPr>
      </w:pPr>
      <w:r>
        <w:rPr>
          <w:snapToGrid w:val="0"/>
        </w:rPr>
        <w:tab/>
        <w:t>(1)</w:t>
      </w:r>
      <w:r>
        <w:rPr>
          <w:snapToGrid w:val="0"/>
        </w:rPr>
        <w:tab/>
        <w:t>Within 28 days after the registration of any plan under this Act the Registrar of Titles shall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Subsection"/>
        <w:rPr>
          <w:snapToGrid w:val="0"/>
        </w:rPr>
      </w:pPr>
      <w:r>
        <w:rPr>
          <w:snapToGrid w:val="0"/>
        </w:rPr>
        <w:tab/>
        <w:t>(2)</w:t>
      </w:r>
      <w:r>
        <w:rPr>
          <w:snapToGrid w:val="0"/>
        </w:rPr>
        <w:tab/>
        <w:t>Within 28 days after the amendment of any plan under section 10(3) the Registrar of Titles shall deliver a copy of the amended plan to each authority referred to in subsection (1)(b).</w:t>
      </w:r>
    </w:p>
    <w:p>
      <w:pPr>
        <w:pStyle w:val="Subsection"/>
        <w:rPr>
          <w:snapToGrid w:val="0"/>
        </w:rPr>
      </w:pPr>
      <w:r>
        <w:rPr>
          <w:snapToGrid w:val="0"/>
        </w:rPr>
        <w:tab/>
        <w:t>(3)</w:t>
      </w:r>
      <w:r>
        <w:rPr>
          <w:snapToGrid w:val="0"/>
        </w:rPr>
        <w:tab/>
        <w:t>A copy of a plan delivered under this section shall be in such form as the Registrar considers appropriate.</w:t>
      </w:r>
    </w:p>
    <w:p>
      <w:pPr>
        <w:pStyle w:val="Ednotesubsection"/>
      </w:pPr>
      <w:r>
        <w:tab/>
        <w:t>[(4)</w:t>
      </w:r>
      <w:r>
        <w:tab/>
        <w:t>deleted]</w:t>
      </w:r>
    </w:p>
    <w:p>
      <w:pPr>
        <w:pStyle w:val="Footnotesection"/>
      </w:pPr>
      <w:r>
        <w:tab/>
        <w:t>[Section 60 inserted: No. 58 of 1995 s. 57(1)</w:t>
      </w:r>
      <w:r>
        <w:rPr>
          <w:vertAlign w:val="superscript"/>
        </w:rPr>
        <w:t xml:space="preserve"> </w:t>
      </w:r>
      <w:r>
        <w:rPr>
          <w:i w:val="0"/>
          <w:vertAlign w:val="superscript"/>
        </w:rPr>
        <w:t>7</w:t>
      </w:r>
      <w:r>
        <w:t>; amended: No. 14 of 1996 s. 4; No. 25 of 2012 s. 232(2).]</w:t>
      </w:r>
    </w:p>
    <w:p>
      <w:pPr>
        <w:pStyle w:val="Heading5"/>
        <w:rPr>
          <w:snapToGrid w:val="0"/>
        </w:rPr>
      </w:pPr>
      <w:bookmarkStart w:id="217" w:name="_Toc530554936"/>
      <w:r>
        <w:rPr>
          <w:rStyle w:val="CharSectno"/>
        </w:rPr>
        <w:t>61</w:t>
      </w:r>
      <w:r>
        <w:rPr>
          <w:snapToGrid w:val="0"/>
        </w:rPr>
        <w:t>.</w:t>
      </w:r>
      <w:r>
        <w:rPr>
          <w:snapToGrid w:val="0"/>
        </w:rPr>
        <w:tab/>
        <w:t>Particulars on plan to be conclusive for rating and taxing purposes</w:t>
      </w:r>
      <w:bookmarkEnd w:id="217"/>
    </w:p>
    <w:p>
      <w:pPr>
        <w:pStyle w:val="Subsection"/>
        <w:keepNext/>
        <w:rPr>
          <w:snapToGrid w:val="0"/>
        </w:rPr>
      </w:pPr>
      <w:r>
        <w:rPr>
          <w:snapToGrid w:val="0"/>
        </w:rPr>
        <w:tab/>
      </w:r>
      <w:r>
        <w:rPr>
          <w:snapToGrid w:val="0"/>
        </w:rPr>
        <w:tab/>
        <w:t>For all purposes in relation to the making, levying, imposing, assessing or recovery of rates, charges or taxes in respect of the parcel or any part of the parcel —</w:t>
      </w:r>
    </w:p>
    <w:p>
      <w:pPr>
        <w:pStyle w:val="Indenta"/>
        <w:rPr>
          <w:snapToGrid w:val="0"/>
        </w:rPr>
      </w:pPr>
      <w:r>
        <w:rPr>
          <w:snapToGrid w:val="0"/>
        </w:rPr>
        <w:tab/>
        <w:t>(a)</w:t>
      </w:r>
      <w:r>
        <w:rPr>
          <w:snapToGrid w:val="0"/>
        </w:rPr>
        <w:tab/>
        <w:t>the particulars shown in the certified copy of the strata/survey</w:t>
      </w:r>
      <w:r>
        <w:rPr>
          <w:snapToGrid w:val="0"/>
        </w:rPr>
        <w:noBreakHyphen/>
        <w:t>strata plan, plan of re</w:t>
      </w:r>
      <w:r>
        <w:rPr>
          <w:snapToGrid w:val="0"/>
        </w:rPr>
        <w:noBreakHyphen/>
        <w:t>subdivision or consolidation for a scheme or transfer delivered as required by section 60, is conclusive evidence of those particulars; and</w:t>
      </w:r>
    </w:p>
    <w:p>
      <w:pPr>
        <w:pStyle w:val="Indenta"/>
        <w:rPr>
          <w:snapToGrid w:val="0"/>
        </w:rPr>
      </w:pPr>
      <w:r>
        <w:rPr>
          <w:snapToGrid w:val="0"/>
        </w:rPr>
        <w:tab/>
        <w:t>(b)</w:t>
      </w:r>
      <w:r>
        <w:rPr>
          <w:snapToGrid w:val="0"/>
        </w:rPr>
        <w:tab/>
        <w:t>the production by a local government or any other authority authorised to levy rates and taxes in relation to the parcel or any part of the parcel of what purports to be the certified copy of the plan or transfer so delivered is evidence that it is the certified copy so delivered.</w:t>
      </w:r>
    </w:p>
    <w:p>
      <w:pPr>
        <w:pStyle w:val="Footnotesection"/>
      </w:pPr>
      <w:r>
        <w:tab/>
        <w:t>[Section 61 amended: No. 58 of 1995 s. 58; No. 14 of 1996 s. 4.]</w:t>
      </w:r>
    </w:p>
    <w:p>
      <w:pPr>
        <w:pStyle w:val="Heading5"/>
        <w:rPr>
          <w:snapToGrid w:val="0"/>
        </w:rPr>
      </w:pPr>
      <w:bookmarkStart w:id="218" w:name="_Toc530554937"/>
      <w:r>
        <w:rPr>
          <w:rStyle w:val="CharSectno"/>
        </w:rPr>
        <w:t>62</w:t>
      </w:r>
      <w:r>
        <w:rPr>
          <w:snapToGrid w:val="0"/>
        </w:rPr>
        <w:t>.</w:t>
      </w:r>
      <w:r>
        <w:rPr>
          <w:snapToGrid w:val="0"/>
        </w:rPr>
        <w:tab/>
        <w:t>Rating on unimproved value</w:t>
      </w:r>
      <w:bookmarkEnd w:id="218"/>
    </w:p>
    <w:p>
      <w:pPr>
        <w:pStyle w:val="Subsection"/>
        <w:rPr>
          <w:snapToGrid w:val="0"/>
        </w:rPr>
      </w:pPr>
      <w:r>
        <w:rPr>
          <w:snapToGrid w:val="0"/>
        </w:rPr>
        <w:tab/>
        <w:t>(1)</w:t>
      </w:r>
      <w:r>
        <w:rPr>
          <w:snapToGrid w:val="0"/>
        </w:rPr>
        <w:tab/>
        <w:t>Where the Valuer</w:t>
      </w:r>
      <w:r>
        <w:rPr>
          <w:snapToGrid w:val="0"/>
        </w:rPr>
        <w:noBreakHyphen/>
        <w:t xml:space="preserve">General values the unimproved value of a parcel in a strata plan under the </w:t>
      </w:r>
      <w:r>
        <w:rPr>
          <w:i/>
          <w:snapToGrid w:val="0"/>
        </w:rPr>
        <w:t>Valuation of Land Act 1978</w:t>
      </w:r>
      <w:r>
        <w:rPr>
          <w:snapToGrid w:val="0"/>
        </w:rPr>
        <w:t xml:space="preserve"> for rating and taxing purposes, the parcel shall, notwithstanding that or any other Act, be valued as a single parcel of land and as if it were owned by a single owner.</w:t>
      </w:r>
    </w:p>
    <w:p>
      <w:pPr>
        <w:pStyle w:val="Subsection"/>
        <w:rPr>
          <w:snapToGrid w:val="0"/>
        </w:rPr>
      </w:pPr>
      <w:r>
        <w:rPr>
          <w:snapToGrid w:val="0"/>
        </w:rPr>
        <w:tab/>
        <w:t>(2)</w:t>
      </w:r>
      <w:r>
        <w:rPr>
          <w:snapToGrid w:val="0"/>
        </w:rPr>
        <w:tab/>
        <w:t>For the purposes of any such valuation as is referred to in subsection (1) and all purposes incidental thereto, including objection to and review of the valuation, but not otherwise, the parcel and improvements thereon shall be deemed to be owned by the strata company only.</w:t>
      </w:r>
    </w:p>
    <w:p>
      <w:pPr>
        <w:pStyle w:val="Subsection"/>
        <w:rPr>
          <w:snapToGrid w:val="0"/>
        </w:rPr>
      </w:pPr>
      <w:r>
        <w:rPr>
          <w:snapToGrid w:val="0"/>
        </w:rPr>
        <w:tab/>
        <w:t>(3)</w:t>
      </w:r>
      <w:r>
        <w:rPr>
          <w:snapToGrid w:val="0"/>
        </w:rPr>
        <w:tab/>
        <w:t>During the period from the registration of the strata/survey</w:t>
      </w:r>
      <w:r>
        <w:rPr>
          <w:snapToGrid w:val="0"/>
        </w:rPr>
        <w:noBreakHyphen/>
        <w:t xml:space="preserve">strata plan and until a valuation of the parcel on the basis that the strata company is owner comes into force under the </w:t>
      </w:r>
      <w:r>
        <w:rPr>
          <w:i/>
          <w:snapToGrid w:val="0"/>
        </w:rPr>
        <w:t>Valuation of Land Act 1978</w:t>
      </w:r>
      <w:r>
        <w:rPr>
          <w:snapToGrid w:val="0"/>
        </w:rPr>
        <w:t>, the valuation then in force shall for the purposes of this section be deemed 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Subject to subsection (5), where a local government or other authority (in this section called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the unimproved value of the parcel shown in the valuation shall be apportioned by the local government or the rating authority, as the case may be,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the proprietor of each lot comprised in the parcel is deemed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t>Where —</w:t>
      </w:r>
    </w:p>
    <w:p>
      <w:pPr>
        <w:pStyle w:val="Indenta"/>
        <w:rPr>
          <w:snapToGrid w:val="0"/>
        </w:rPr>
      </w:pPr>
      <w:r>
        <w:rPr>
          <w:snapToGrid w:val="0"/>
        </w:rPr>
        <w:tab/>
        <w:t>(a)</w:t>
      </w:r>
      <w:r>
        <w:rPr>
          <w:snapToGrid w:val="0"/>
        </w:rPr>
        <w:tab/>
        <w:t>part only of a lot is liable to any rate, that rate shall be made and levied upon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part of a parcel is rateable in respect of water, sewerage or drainage services, then the rateable value of that part shall be the value of the parcel after deducting therefrom the value of any lot assessed and rated separately and in which the water, sewerage or drainage service, as the case may be, is exclusively for the use and benefit of such lot.</w:t>
      </w:r>
    </w:p>
    <w:p>
      <w:pPr>
        <w:pStyle w:val="Footnotesection"/>
      </w:pPr>
      <w:r>
        <w:tab/>
        <w:t>[Section 62 amended: No. 58 of 1995 s. 59 and 95; No. 14 of 1996 s. 4; No. 55 of 2004 s. 1123.]</w:t>
      </w:r>
    </w:p>
    <w:p>
      <w:pPr>
        <w:pStyle w:val="Heading5"/>
        <w:rPr>
          <w:snapToGrid w:val="0"/>
        </w:rPr>
      </w:pPr>
      <w:bookmarkStart w:id="219" w:name="_Toc530554938"/>
      <w:r>
        <w:rPr>
          <w:rStyle w:val="CharSectno"/>
        </w:rPr>
        <w:t>62A</w:t>
      </w:r>
      <w:r>
        <w:rPr>
          <w:snapToGrid w:val="0"/>
        </w:rPr>
        <w:t>.</w:t>
      </w:r>
      <w:r>
        <w:rPr>
          <w:snapToGrid w:val="0"/>
        </w:rPr>
        <w:tab/>
        <w:t>Rating for survey</w:t>
      </w:r>
      <w:r>
        <w:rPr>
          <w:snapToGrid w:val="0"/>
        </w:rPr>
        <w:noBreakHyphen/>
        <w:t>strata schemes</w:t>
      </w:r>
      <w:bookmarkEnd w:id="219"/>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strata scheme shall be valued as a separate parcel of land and the strata company is not liable for any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General shall take into account any benefits and disadvantages applicable to the lot as part of a survey</w:t>
      </w:r>
      <w:r>
        <w:rPr>
          <w:snapToGrid w:val="0"/>
        </w:rPr>
        <w:noBreakHyphen/>
      </w:r>
      <w:r>
        <w:rPr>
          <w:snapToGrid w:val="0"/>
        </w:rPr>
        <w:softHyphen/>
        <w:t>strata scheme.</w:t>
      </w:r>
    </w:p>
    <w:p>
      <w:pPr>
        <w:pStyle w:val="Subsection"/>
        <w:spacing w:before="140"/>
        <w:rPr>
          <w:snapToGrid w:val="0"/>
        </w:rPr>
      </w:pPr>
      <w:r>
        <w:rPr>
          <w:snapToGrid w:val="0"/>
        </w:rPr>
        <w:tab/>
        <w:t>(4)</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pPr>
      <w:r>
        <w:tab/>
        <w:t>[Section 62A inserted: No. 58 of 1995 s. 60; amended: No. 57 of 1997 s. 115(4).]</w:t>
      </w:r>
    </w:p>
    <w:p>
      <w:pPr>
        <w:pStyle w:val="Heading5"/>
        <w:rPr>
          <w:snapToGrid w:val="0"/>
        </w:rPr>
      </w:pPr>
      <w:bookmarkStart w:id="220" w:name="_Toc530554939"/>
      <w:r>
        <w:rPr>
          <w:rStyle w:val="CharSectno"/>
        </w:rPr>
        <w:t>63</w:t>
      </w:r>
      <w:r>
        <w:rPr>
          <w:snapToGrid w:val="0"/>
        </w:rPr>
        <w:t>.</w:t>
      </w:r>
      <w:r>
        <w:rPr>
          <w:snapToGrid w:val="0"/>
        </w:rPr>
        <w:tab/>
        <w:t>Rating on gross rental value</w:t>
      </w:r>
      <w:bookmarkEnd w:id="220"/>
    </w:p>
    <w:p>
      <w:pPr>
        <w:pStyle w:val="Subsection"/>
        <w:spacing w:before="140"/>
        <w:rPr>
          <w:snapToGrid w:val="0"/>
        </w:rPr>
      </w:pPr>
      <w:r>
        <w:rPr>
          <w:snapToGrid w:val="0"/>
        </w:rPr>
        <w:tab/>
        <w:t>(1)</w:t>
      </w:r>
      <w:r>
        <w:rPr>
          <w:snapToGrid w:val="0"/>
        </w:rPr>
        <w:tab/>
        <w:t>Where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shall, notwithstanding that or any other Act, be valued separately as a single lot.</w:t>
      </w:r>
    </w:p>
    <w:p>
      <w:pPr>
        <w:pStyle w:val="Subsection"/>
        <w:spacing w:before="140"/>
        <w:rPr>
          <w:snapToGrid w:val="0"/>
        </w:rPr>
      </w:pPr>
      <w:r>
        <w:rPr>
          <w:snapToGrid w:val="0"/>
        </w:rPr>
        <w:tab/>
        <w:t>(2)</w:t>
      </w:r>
      <w:r>
        <w:rPr>
          <w:snapToGrid w:val="0"/>
        </w:rPr>
        <w:tab/>
        <w:t>Subject to subsection (3), where a local government or other authority (in this subsection called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the strata company is not liable in relation to the parcel or any lot of the parcel for any rate made and levied by the local government or the rating authority, as the case may be; and</w:t>
      </w:r>
    </w:p>
    <w:p>
      <w:pPr>
        <w:pStyle w:val="Indenta"/>
        <w:spacing w:before="60"/>
        <w:rPr>
          <w:snapToGrid w:val="0"/>
        </w:rPr>
      </w:pPr>
      <w:r>
        <w:rPr>
          <w:snapToGrid w:val="0"/>
        </w:rPr>
        <w:tab/>
        <w:t>(b)</w:t>
      </w:r>
      <w:r>
        <w:rPr>
          <w:snapToGrid w:val="0"/>
        </w:rPr>
        <w:tab/>
        <w:t>the proprietor of each lot comprised in the parcel is, subject to any exemptions or concession that may be applicable, liable for any rate made and levied by the rating authority.</w:t>
      </w:r>
    </w:p>
    <w:p>
      <w:pPr>
        <w:pStyle w:val="Subsection"/>
        <w:spacing w:before="140"/>
        <w:rPr>
          <w:snapToGrid w:val="0"/>
        </w:rPr>
      </w:pPr>
      <w:r>
        <w:rPr>
          <w:snapToGrid w:val="0"/>
        </w:rPr>
        <w:tab/>
        <w:t>(3)</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ind w:left="890" w:hanging="890"/>
      </w:pPr>
      <w:r>
        <w:tab/>
        <w:t>[Section 63 amended: No. 14 of 1996 s. 4.]</w:t>
      </w:r>
    </w:p>
    <w:p>
      <w:pPr>
        <w:pStyle w:val="Heading5"/>
        <w:rPr>
          <w:snapToGrid w:val="0"/>
        </w:rPr>
      </w:pPr>
      <w:bookmarkStart w:id="221" w:name="_Toc530554940"/>
      <w:r>
        <w:rPr>
          <w:rStyle w:val="CharSectno"/>
        </w:rPr>
        <w:t>64</w:t>
      </w:r>
      <w:r>
        <w:rPr>
          <w:snapToGrid w:val="0"/>
        </w:rPr>
        <w:t>.</w:t>
      </w:r>
      <w:r>
        <w:rPr>
          <w:snapToGrid w:val="0"/>
        </w:rPr>
        <w:tab/>
        <w:t>Proprietor may seek a review of unimproved value of parcel</w:t>
      </w:r>
      <w:bookmarkEnd w:id="221"/>
    </w:p>
    <w:p>
      <w:pPr>
        <w:pStyle w:val="Subsection"/>
        <w:rPr>
          <w:snapToGrid w:val="0"/>
        </w:rPr>
      </w:pPr>
      <w:r>
        <w:rPr>
          <w:snapToGrid w:val="0"/>
        </w:rPr>
        <w:tab/>
        <w:t>(1)</w:t>
      </w:r>
      <w:r>
        <w:rPr>
          <w:snapToGrid w:val="0"/>
        </w:rPr>
        <w:tab/>
        <w:t>Notwithstanding section 62(2) and without prejudice to the rights of objection and review conferred on the strata company, where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proprietor of a lot within the parcel shall be entitled to object to and seek a review of the valuation of the parcel in accordance with Part IV of the </w:t>
      </w:r>
      <w:r>
        <w:rPr>
          <w:i/>
          <w:snapToGrid w:val="0"/>
        </w:rPr>
        <w:t>Valuation of Land Act 1978</w:t>
      </w:r>
      <w:r>
        <w:rPr>
          <w:snapToGrid w:val="0"/>
        </w:rPr>
        <w:t xml:space="preserve"> as if that proprietor were a person liable to pay a rate or tax assessed in respect of the parcel.</w:t>
      </w:r>
    </w:p>
    <w:p>
      <w:pPr>
        <w:pStyle w:val="Subsection"/>
        <w:rPr>
          <w:snapToGrid w:val="0"/>
        </w:rPr>
      </w:pPr>
      <w:r>
        <w:rPr>
          <w:snapToGrid w:val="0"/>
        </w:rPr>
        <w:tab/>
        <w:t>(2)</w:t>
      </w:r>
      <w:r>
        <w:rPr>
          <w:snapToGrid w:val="0"/>
        </w:rPr>
        <w:tab/>
        <w:t>Upon receiving an objection to the valuation of a parcel made by a proprietor of a lot within the parcel pursuant to subsection (1), the Valuer</w:t>
      </w:r>
      <w:r>
        <w:rPr>
          <w:snapToGrid w:val="0"/>
        </w:rPr>
        <w:noBreakHyphen/>
        <w:t>General —</w:t>
      </w:r>
    </w:p>
    <w:p>
      <w:pPr>
        <w:pStyle w:val="Indenta"/>
        <w:rPr>
          <w:snapToGrid w:val="0"/>
        </w:rPr>
      </w:pPr>
      <w:r>
        <w:rPr>
          <w:snapToGrid w:val="0"/>
        </w:rPr>
        <w:tab/>
        <w:t>(a)</w:t>
      </w:r>
      <w:r>
        <w:rPr>
          <w:snapToGrid w:val="0"/>
        </w:rPr>
        <w:tab/>
        <w:t>shall inform the strata company of the objection and the grounds upon which it has been made; and</w:t>
      </w:r>
    </w:p>
    <w:p>
      <w:pPr>
        <w:pStyle w:val="Indenta"/>
        <w:rPr>
          <w:snapToGrid w:val="0"/>
        </w:rPr>
      </w:pPr>
      <w:r>
        <w:rPr>
          <w:snapToGrid w:val="0"/>
        </w:rPr>
        <w:tab/>
        <w:t>(b)</w:t>
      </w:r>
      <w:r>
        <w:rPr>
          <w:snapToGrid w:val="0"/>
        </w:rPr>
        <w:tab/>
        <w:t>may consolidate the objection with any other objection made in respect of the same valuation of that parcel and may deal with such objections together.</w:t>
      </w:r>
    </w:p>
    <w:p>
      <w:pPr>
        <w:pStyle w:val="Footnotesection"/>
      </w:pPr>
      <w:r>
        <w:tab/>
        <w:t>[Section 64 amended: No. 55 of 2004 s. 1124.]</w:t>
      </w:r>
    </w:p>
    <w:p>
      <w:pPr>
        <w:pStyle w:val="Heading5"/>
        <w:rPr>
          <w:snapToGrid w:val="0"/>
        </w:rPr>
      </w:pPr>
      <w:bookmarkStart w:id="222" w:name="_Toc530554941"/>
      <w:r>
        <w:rPr>
          <w:rStyle w:val="CharSectno"/>
        </w:rPr>
        <w:t>65</w:t>
      </w:r>
      <w:r>
        <w:rPr>
          <w:snapToGrid w:val="0"/>
        </w:rPr>
        <w:t>.</w:t>
      </w:r>
      <w:r>
        <w:rPr>
          <w:snapToGrid w:val="0"/>
        </w:rPr>
        <w:tab/>
        <w:t>Land tax and metropolitan region improvement tax</w:t>
      </w:r>
      <w:bookmarkEnd w:id="222"/>
    </w:p>
    <w:p>
      <w:pPr>
        <w:pStyle w:val="Subsection"/>
        <w:rPr>
          <w:snapToGrid w:val="0"/>
        </w:rPr>
      </w:pPr>
      <w:r>
        <w:rPr>
          <w:snapToGrid w:val="0"/>
        </w:rPr>
        <w:tab/>
        <w:t>(1)</w:t>
      </w:r>
      <w:r>
        <w:rPr>
          <w:snapToGrid w:val="0"/>
        </w:rPr>
        <w:tab/>
        <w:t>For all purposes in relation to the imposition, assessment or recovery of land tax or metropolitan region improvement tax in respect of the parcel in a strata plan, the following provisions have effect —</w:t>
      </w:r>
    </w:p>
    <w:p>
      <w:pPr>
        <w:pStyle w:val="Indenta"/>
        <w:rPr>
          <w:snapToGrid w:val="0"/>
        </w:rPr>
      </w:pPr>
      <w:r>
        <w:rPr>
          <w:snapToGrid w:val="0"/>
        </w:rPr>
        <w:tab/>
        <w:t>(a)</w:t>
      </w:r>
      <w:r>
        <w:rPr>
          <w:snapToGrid w:val="0"/>
        </w:rPr>
        <w:tab/>
        <w:t>the unimproved value of the parcel shown in the valuation shall be apportioned by the</w:t>
      </w:r>
      <w:r>
        <w:t xml:space="preserve"> Commissioner of State Revenue</w:t>
      </w:r>
      <w:r>
        <w:rPr>
          <w:snapToGrid w:val="0"/>
        </w:rPr>
        <w:t xml:space="preserve"> between the lots comprised in the parcel in proportion to the unit entitlements of the respective lots as shown on the registered strata plan; and</w:t>
      </w:r>
    </w:p>
    <w:p>
      <w:pPr>
        <w:pStyle w:val="Indenta"/>
        <w:rPr>
          <w:snapToGrid w:val="0"/>
        </w:rPr>
      </w:pPr>
      <w:r>
        <w:rPr>
          <w:snapToGrid w:val="0"/>
        </w:rPr>
        <w:tab/>
        <w:t>(b)</w:t>
      </w:r>
      <w:r>
        <w:rPr>
          <w:snapToGrid w:val="0"/>
        </w:rPr>
        <w:tab/>
        <w:t>the strata company is not liable in respect of the parcel for land tax or metropolitan region improvement tax; and</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and subject to any concessions or exemptions that may be applicable, each lot shall be deemed to be a separate parcel of land with an unimproved value equal to that apportioned to it under paragraph (a).</w:t>
      </w:r>
    </w:p>
    <w:p>
      <w:pPr>
        <w:pStyle w:val="Subsection"/>
        <w:rPr>
          <w:snapToGrid w:val="0"/>
        </w:rPr>
      </w:pPr>
      <w:r>
        <w:rPr>
          <w:snapToGrid w:val="0"/>
        </w:rPr>
        <w:tab/>
        <w:t>(2)</w:t>
      </w:r>
      <w:r>
        <w:rPr>
          <w:snapToGrid w:val="0"/>
        </w:rPr>
        <w:tab/>
        <w:t xml:space="preserve">A reference in the </w:t>
      </w:r>
      <w:r>
        <w:rPr>
          <w:i/>
        </w:rPr>
        <w:t>Land Tax Assessment Act 2002</w:t>
      </w:r>
      <w:r>
        <w:t xml:space="preserve"> </w:t>
      </w:r>
      <w:r>
        <w:rPr>
          <w:snapToGrid w:val="0"/>
        </w:rPr>
        <w:t xml:space="preserve">or </w:t>
      </w:r>
      <w:r>
        <w:t xml:space="preserve">the </w:t>
      </w:r>
      <w:r>
        <w:rPr>
          <w:i/>
        </w:rPr>
        <w:t>Planning and Development Act 2005</w:t>
      </w:r>
      <w:r>
        <w:rPr>
          <w:iCs/>
        </w:rPr>
        <w:t xml:space="preserve"> </w:t>
      </w:r>
      <w:r>
        <w:rPr>
          <w:snapToGrid w:val="0"/>
        </w:rPr>
        <w:t>to an owner includes a proprietor of a lot.</w:t>
      </w:r>
    </w:p>
    <w:p>
      <w:pPr>
        <w:pStyle w:val="Footnotesection"/>
      </w:pPr>
      <w:r>
        <w:tab/>
        <w:t>[Section 65 amended: No. 58 of 1995 s. 61; No. 45 of 2002 s. 23(2) and (3); No. 38 of 2005 s. 15.]</w:t>
      </w:r>
    </w:p>
    <w:p>
      <w:pPr>
        <w:pStyle w:val="Heading5"/>
        <w:rPr>
          <w:snapToGrid w:val="0"/>
        </w:rPr>
      </w:pPr>
      <w:bookmarkStart w:id="223" w:name="_Toc530554942"/>
      <w:r>
        <w:rPr>
          <w:rStyle w:val="CharSectno"/>
        </w:rPr>
        <w:t>65A</w:t>
      </w:r>
      <w:r>
        <w:rPr>
          <w:snapToGrid w:val="0"/>
        </w:rPr>
        <w:t>.</w:t>
      </w:r>
      <w:r>
        <w:rPr>
          <w:snapToGrid w:val="0"/>
        </w:rPr>
        <w:tab/>
        <w:t>Land tax etc. for survey</w:t>
      </w:r>
      <w:r>
        <w:rPr>
          <w:snapToGrid w:val="0"/>
        </w:rPr>
        <w:noBreakHyphen/>
        <w:t>strata schemes</w:t>
      </w:r>
      <w:bookmarkEnd w:id="223"/>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each lot shall be treated as a separate parcel of land, with an unimproved value as determined under section 62A, but subject to any concessions or exemptions that may be applicable; and</w:t>
      </w:r>
    </w:p>
    <w:p>
      <w:pPr>
        <w:pStyle w:val="Indenta"/>
        <w:rPr>
          <w:snapToGrid w:val="0"/>
        </w:rPr>
      </w:pPr>
      <w:r>
        <w:rPr>
          <w:snapToGrid w:val="0"/>
        </w:rPr>
        <w:tab/>
        <w:t>(b)</w:t>
      </w:r>
      <w:r>
        <w:rPr>
          <w:snapToGrid w:val="0"/>
        </w:rPr>
        <w:tab/>
        <w:t>the strata company is not liable for land tax or metropolitan region improvement tax in respect of the lot; and</w:t>
      </w:r>
    </w:p>
    <w:p>
      <w:pPr>
        <w:pStyle w:val="Indenta"/>
        <w:keepNext/>
        <w:rPr>
          <w:snapToGrid w:val="0"/>
        </w:rPr>
      </w:pPr>
      <w:r>
        <w:rPr>
          <w:snapToGrid w:val="0"/>
        </w:rPr>
        <w:tab/>
        <w:t>(c)</w:t>
      </w:r>
      <w:r>
        <w:rPr>
          <w:snapToGrid w:val="0"/>
        </w:rPr>
        <w:tab/>
        <w:t>a reference in the Acts referred to in subsection (1) to an owner includes a proprietor of a lot.</w:t>
      </w:r>
    </w:p>
    <w:p>
      <w:pPr>
        <w:pStyle w:val="Footnotesection"/>
      </w:pPr>
      <w:r>
        <w:tab/>
        <w:t>[Section 65A inserted: No. 58 of 1995 s. 62; amended: No. 45 of 2002 s. 23(4); No. 38 of 2005 s. 15.]</w:t>
      </w:r>
    </w:p>
    <w:p>
      <w:pPr>
        <w:pStyle w:val="Heading5"/>
        <w:keepLines w:val="0"/>
        <w:rPr>
          <w:snapToGrid w:val="0"/>
        </w:rPr>
      </w:pPr>
      <w:bookmarkStart w:id="224" w:name="_Toc530554943"/>
      <w:r>
        <w:rPr>
          <w:rStyle w:val="CharSectno"/>
        </w:rPr>
        <w:t>66</w:t>
      </w:r>
      <w:r>
        <w:rPr>
          <w:snapToGrid w:val="0"/>
        </w:rPr>
        <w:t>.</w:t>
      </w:r>
      <w:r>
        <w:rPr>
          <w:snapToGrid w:val="0"/>
        </w:rPr>
        <w:tab/>
        <w:t>Charges for water supplied</w:t>
      </w:r>
      <w:bookmarkEnd w:id="224"/>
    </w:p>
    <w:p>
      <w:pPr>
        <w:pStyle w:val="Subsection"/>
        <w:rPr>
          <w:snapToGrid w:val="0"/>
        </w:rPr>
      </w:pPr>
      <w:r>
        <w:rPr>
          <w:snapToGrid w:val="0"/>
        </w:rPr>
        <w:tab/>
      </w:r>
      <w:r>
        <w:rPr>
          <w:snapToGrid w:val="0"/>
        </w:rPr>
        <w:tab/>
        <w:t xml:space="preserve">Where in relation to a scheme an authority </w:t>
      </w:r>
      <w:r>
        <w:t xml:space="preserve">(including a licensee as defined in the </w:t>
      </w:r>
      <w:r>
        <w:rPr>
          <w:i/>
          <w:iCs/>
        </w:rPr>
        <w:t>Water Services Act 2012</w:t>
      </w:r>
      <w:r>
        <w:t xml:space="preserve"> section 3(1)) </w:t>
      </w:r>
      <w:r>
        <w:rPr>
          <w:snapToGrid w:val="0"/>
        </w:rPr>
        <w:t>provides one water supply connection to all the proprietors and the quantity of water used by each proprietor is not measured, any charges that may become payable according to the quantity of water used shall be payable by and may be recovered by the authority from the strata company.</w:t>
      </w:r>
    </w:p>
    <w:p>
      <w:pPr>
        <w:pStyle w:val="Footnotesection"/>
      </w:pPr>
      <w:r>
        <w:tab/>
        <w:t>[Section 66 amended: No. 24 of 1987 s. 166; No. 58 of 1995 s. 96; No. 25 of 2012 s. 232(3).]</w:t>
      </w:r>
    </w:p>
    <w:p>
      <w:pPr>
        <w:pStyle w:val="Heading5"/>
      </w:pPr>
      <w:bookmarkStart w:id="225" w:name="_Toc530554944"/>
      <w:r>
        <w:rPr>
          <w:rStyle w:val="CharSectno"/>
        </w:rPr>
        <w:t>67</w:t>
      </w:r>
      <w:r>
        <w:t>.</w:t>
      </w:r>
      <w:r>
        <w:tab/>
        <w:t xml:space="preserve">Water service charges under the </w:t>
      </w:r>
      <w:r>
        <w:rPr>
          <w:i/>
          <w:iCs/>
        </w:rPr>
        <w:t>Water Services Act 2012</w:t>
      </w:r>
      <w:bookmarkEnd w:id="225"/>
    </w:p>
    <w:p>
      <w:pPr>
        <w:pStyle w:val="Subsection"/>
      </w:pPr>
      <w:r>
        <w:tab/>
      </w:r>
      <w:r>
        <w:tab/>
        <w:t xml:space="preserve">For the purposes of this Division — </w:t>
      </w:r>
    </w:p>
    <w:p>
      <w:pPr>
        <w:pStyle w:val="Indenta"/>
      </w:pPr>
      <w:r>
        <w:tab/>
        <w:t>(a)</w:t>
      </w:r>
      <w:r>
        <w:tab/>
        <w:t xml:space="preserve">a statutory water service charge (as defined in the </w:t>
      </w:r>
      <w:r>
        <w:rPr>
          <w:i/>
          <w:iCs/>
        </w:rPr>
        <w:t>Water Services Act 2012</w:t>
      </w:r>
      <w:r>
        <w:t xml:space="preserve"> section 71(1)) that applies in respect of land is to be taken to be a rate made and levied by an authority (that is, the licensee to whom the charge is payable); and</w:t>
      </w:r>
    </w:p>
    <w:p>
      <w:pPr>
        <w:pStyle w:val="Indenta"/>
      </w:pPr>
      <w:r>
        <w:tab/>
        <w:t>(b)</w:t>
      </w:r>
      <w:r>
        <w:tab/>
        <w:t>the licensee is to be taken to be an authority authorised to make and levy the rate on the land.</w:t>
      </w:r>
    </w:p>
    <w:p>
      <w:pPr>
        <w:pStyle w:val="Footnotesection"/>
      </w:pPr>
      <w:r>
        <w:tab/>
        <w:t>[Section 67 inserted: No. 25 of 2012 s. 232(4).]</w:t>
      </w:r>
    </w:p>
    <w:p>
      <w:pPr>
        <w:pStyle w:val="Heading2"/>
      </w:pPr>
      <w:bookmarkStart w:id="226" w:name="_Toc525288573"/>
      <w:bookmarkStart w:id="227" w:name="_Toc530554609"/>
      <w:bookmarkStart w:id="228" w:name="_Toc530554945"/>
      <w:r>
        <w:rPr>
          <w:rStyle w:val="CharPartNo"/>
        </w:rPr>
        <w:t>Part V</w:t>
      </w:r>
      <w:r>
        <w:rPr>
          <w:rStyle w:val="CharDivNo"/>
        </w:rPr>
        <w:t> </w:t>
      </w:r>
      <w:r>
        <w:t>—</w:t>
      </w:r>
      <w:r>
        <w:rPr>
          <w:rStyle w:val="CharDivText"/>
        </w:rPr>
        <w:t> </w:t>
      </w:r>
      <w:r>
        <w:rPr>
          <w:rStyle w:val="CharPartText"/>
        </w:rPr>
        <w:t>Protection of purchasers</w:t>
      </w:r>
      <w:bookmarkEnd w:id="226"/>
      <w:bookmarkEnd w:id="227"/>
      <w:bookmarkEnd w:id="228"/>
    </w:p>
    <w:p>
      <w:pPr>
        <w:pStyle w:val="Heading5"/>
        <w:rPr>
          <w:snapToGrid w:val="0"/>
        </w:rPr>
      </w:pPr>
      <w:bookmarkStart w:id="229" w:name="_Toc530554946"/>
      <w:r>
        <w:rPr>
          <w:rStyle w:val="CharSectno"/>
        </w:rPr>
        <w:t>68</w:t>
      </w:r>
      <w:r>
        <w:rPr>
          <w:snapToGrid w:val="0"/>
        </w:rPr>
        <w:t>.</w:t>
      </w:r>
      <w:r>
        <w:rPr>
          <w:snapToGrid w:val="0"/>
        </w:rPr>
        <w:tab/>
        <w:t>Terms used</w:t>
      </w:r>
      <w:bookmarkEnd w:id="22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contract</w:t>
      </w:r>
      <w:r>
        <w:t xml:space="preserve"> means a contract, agreement or document that legally binds the purchaser whether conditionally or unconditionally;</w:t>
      </w:r>
    </w:p>
    <w:p>
      <w:pPr>
        <w:pStyle w:val="Defstart"/>
      </w:pPr>
      <w:r>
        <w:rPr>
          <w:b/>
        </w:rPr>
        <w:tab/>
      </w:r>
      <w:r>
        <w:rPr>
          <w:rStyle w:val="CharDefText"/>
        </w:rPr>
        <w:t>original proprietor</w:t>
      </w:r>
      <w:r>
        <w:t xml:space="preserve"> includes, in respect of a proposed lot or proposed plan, the person who upon registration of the proposed plan becomes the original proprietor;</w:t>
      </w:r>
    </w:p>
    <w:p>
      <w:pPr>
        <w:pStyle w:val="Defstart"/>
      </w:pPr>
      <w:r>
        <w:rPr>
          <w:b/>
        </w:rPr>
        <w:tab/>
      </w:r>
      <w:r>
        <w:rPr>
          <w:rStyle w:val="CharDefText"/>
        </w:rPr>
        <w:t>purchaser</w:t>
      </w:r>
      <w:r>
        <w:t xml:space="preserve"> includes an intending purchaser;</w:t>
      </w:r>
    </w:p>
    <w:p>
      <w:pPr>
        <w:pStyle w:val="Defstart"/>
      </w:pPr>
      <w:r>
        <w:rPr>
          <w:b/>
        </w:rPr>
        <w:tab/>
      </w:r>
      <w:r>
        <w:rPr>
          <w:rStyle w:val="CharDefText"/>
        </w:rPr>
        <w:t>vendor</w:t>
      </w:r>
      <w:r>
        <w:t xml:space="preserve"> includes an intending vendor.</w:t>
      </w:r>
    </w:p>
    <w:p>
      <w:pPr>
        <w:pStyle w:val="Footnotesection"/>
        <w:ind w:left="890" w:hanging="890"/>
      </w:pPr>
      <w:r>
        <w:tab/>
        <w:t>[Section 68 inserted: No. 58 of 1995 s. 63 </w:t>
      </w:r>
      <w:r>
        <w:rPr>
          <w:i w:val="0"/>
          <w:vertAlign w:val="superscript"/>
        </w:rPr>
        <w:t>8</w:t>
      </w:r>
      <w:r>
        <w:t>.]</w:t>
      </w:r>
    </w:p>
    <w:p>
      <w:pPr>
        <w:pStyle w:val="Heading5"/>
        <w:rPr>
          <w:snapToGrid w:val="0"/>
        </w:rPr>
      </w:pPr>
      <w:bookmarkStart w:id="230" w:name="_Toc530554947"/>
      <w:r>
        <w:rPr>
          <w:rStyle w:val="CharSectno"/>
        </w:rPr>
        <w:t>69</w:t>
      </w:r>
      <w:r>
        <w:rPr>
          <w:snapToGrid w:val="0"/>
        </w:rPr>
        <w:t>.</w:t>
      </w:r>
      <w:r>
        <w:rPr>
          <w:snapToGrid w:val="0"/>
        </w:rPr>
        <w:tab/>
        <w:t>Information to be given to purchaser</w:t>
      </w:r>
      <w:bookmarkEnd w:id="230"/>
    </w:p>
    <w:p>
      <w:pPr>
        <w:pStyle w:val="Subsection"/>
        <w:rPr>
          <w:snapToGrid w:val="0"/>
          <w:spacing w:val="-4"/>
        </w:rPr>
      </w:pPr>
      <w:r>
        <w:rPr>
          <w:snapToGrid w:val="0"/>
          <w:spacing w:val="-4"/>
        </w:rPr>
        <w:tab/>
        <w:t>(1)</w:t>
      </w:r>
      <w:r>
        <w:rPr>
          <w:snapToGrid w:val="0"/>
          <w:spacing w:val="-4"/>
        </w:rPr>
        <w:tab/>
        <w:t>A purchaser of a lot or proposed lot in a scheme shall be given the notifiable information, as provided by sections 69A and 69B, before he or she signs a contract to buy the lot or proposed lot.</w:t>
      </w:r>
    </w:p>
    <w:p>
      <w:pPr>
        <w:pStyle w:val="Subsection"/>
        <w:rPr>
          <w:snapToGrid w:val="0"/>
        </w:rPr>
      </w:pPr>
      <w:r>
        <w:rPr>
          <w:snapToGrid w:val="0"/>
        </w:rPr>
        <w:tab/>
        <w:t>(2)</w:t>
      </w:r>
      <w:r>
        <w:rPr>
          <w:snapToGrid w:val="0"/>
        </w:rPr>
        <w:tab/>
        <w:t>The vendor of a lot or proposed lot in a scheme shall ensure that subsection (1) is complied with either —</w:t>
      </w:r>
    </w:p>
    <w:p>
      <w:pPr>
        <w:pStyle w:val="Indenta"/>
        <w:rPr>
          <w:snapToGrid w:val="0"/>
        </w:rPr>
      </w:pPr>
      <w:r>
        <w:rPr>
          <w:snapToGrid w:val="0"/>
        </w:rPr>
        <w:tab/>
        <w:t>(a)</w:t>
      </w:r>
      <w:r>
        <w:rPr>
          <w:snapToGrid w:val="0"/>
        </w:rPr>
        <w:tab/>
        <w:t>by giving the notifiable information to the purchaser on the form referred to in subsection (3); or</w:t>
      </w:r>
    </w:p>
    <w:p>
      <w:pPr>
        <w:pStyle w:val="Indenta"/>
        <w:rPr>
          <w:snapToGrid w:val="0"/>
        </w:rPr>
      </w:pPr>
      <w:r>
        <w:rPr>
          <w:snapToGrid w:val="0"/>
        </w:rPr>
        <w:tab/>
        <w:t>(b)</w:t>
      </w:r>
      <w:r>
        <w:rPr>
          <w:snapToGrid w:val="0"/>
        </w:rPr>
        <w:tab/>
        <w:t>by ensuring that the notifiable information forms part of the contract.</w:t>
      </w:r>
    </w:p>
    <w:p>
      <w:pPr>
        <w:pStyle w:val="Subsection"/>
        <w:rPr>
          <w:snapToGrid w:val="0"/>
        </w:rPr>
      </w:pPr>
      <w:r>
        <w:rPr>
          <w:snapToGrid w:val="0"/>
        </w:rPr>
        <w:tab/>
        <w:t>(3)</w:t>
      </w:r>
      <w:r>
        <w:rPr>
          <w:snapToGrid w:val="0"/>
        </w:rPr>
        <w:tab/>
        <w:t>A form or forms shall be prescribed for use by vendors in giving the notifiable information under this section.</w:t>
      </w:r>
    </w:p>
    <w:p>
      <w:pPr>
        <w:pStyle w:val="Subsection"/>
        <w:rPr>
          <w:snapToGrid w:val="0"/>
          <w:spacing w:val="-4"/>
        </w:rPr>
      </w:pPr>
      <w:r>
        <w:rPr>
          <w:snapToGrid w:val="0"/>
          <w:spacing w:val="-4"/>
        </w:rPr>
        <w:tab/>
        <w:t>(4)</w:t>
      </w:r>
      <w:r>
        <w:rPr>
          <w:snapToGrid w:val="0"/>
          <w:spacing w:val="-4"/>
        </w:rPr>
        <w:tab/>
        <w:t>In any civil proceedings arising out of or connected with a contract, the onus of proving that the notifiable information was duly given in accordance with this Part shall lie upon the vendor.</w:t>
      </w:r>
    </w:p>
    <w:p>
      <w:pPr>
        <w:pStyle w:val="Footnotesection"/>
        <w:keepLines w:val="0"/>
        <w:ind w:left="890" w:hanging="890"/>
      </w:pPr>
      <w:r>
        <w:tab/>
        <w:t>[Section 69 inserted: No. 58 of 1995 s. 63 </w:t>
      </w:r>
      <w:r>
        <w:rPr>
          <w:i w:val="0"/>
          <w:vertAlign w:val="superscript"/>
        </w:rPr>
        <w:t>8</w:t>
      </w:r>
      <w:r>
        <w:t>.]</w:t>
      </w:r>
    </w:p>
    <w:p>
      <w:pPr>
        <w:pStyle w:val="Heading5"/>
        <w:rPr>
          <w:snapToGrid w:val="0"/>
        </w:rPr>
      </w:pPr>
      <w:bookmarkStart w:id="231" w:name="_Toc530554948"/>
      <w:r>
        <w:rPr>
          <w:rStyle w:val="CharSectno"/>
        </w:rPr>
        <w:t>69A</w:t>
      </w:r>
      <w:r>
        <w:rPr>
          <w:snapToGrid w:val="0"/>
        </w:rPr>
        <w:t>.</w:t>
      </w:r>
      <w:r>
        <w:rPr>
          <w:snapToGrid w:val="0"/>
        </w:rPr>
        <w:tab/>
        <w:t>Notifiable information, to be given by every vendor</w:t>
      </w:r>
      <w:bookmarkEnd w:id="231"/>
    </w:p>
    <w:p>
      <w:pPr>
        <w:pStyle w:val="Subsection"/>
        <w:rPr>
          <w:snapToGrid w:val="0"/>
        </w:rPr>
      </w:pPr>
      <w:r>
        <w:rPr>
          <w:snapToGrid w:val="0"/>
        </w:rPr>
        <w:tab/>
      </w:r>
      <w:r>
        <w:rPr>
          <w:snapToGrid w:val="0"/>
        </w:rPr>
        <w:tab/>
        <w:t>The notifiable information to be given under section 69 by every vendor is —</w:t>
      </w:r>
    </w:p>
    <w:p>
      <w:pPr>
        <w:pStyle w:val="Indenta"/>
        <w:spacing w:before="100"/>
        <w:rPr>
          <w:snapToGrid w:val="0"/>
        </w:rPr>
      </w:pPr>
      <w:r>
        <w:rPr>
          <w:snapToGrid w:val="0"/>
        </w:rPr>
        <w:tab/>
        <w:t>(a)</w:t>
      </w:r>
      <w:r>
        <w:rPr>
          <w:snapToGrid w:val="0"/>
        </w:rPr>
        <w:tab/>
        <w:t>the name and address of the vendor and the purchaser; and</w:t>
      </w:r>
    </w:p>
    <w:p>
      <w:pPr>
        <w:pStyle w:val="Indenta"/>
        <w:spacing w:before="100"/>
        <w:rPr>
          <w:snapToGrid w:val="0"/>
        </w:rPr>
      </w:pPr>
      <w:r>
        <w:rPr>
          <w:snapToGrid w:val="0"/>
        </w:rPr>
        <w:tab/>
        <w:t>(b)</w:t>
      </w:r>
      <w:r>
        <w:rPr>
          <w:snapToGrid w:val="0"/>
        </w:rPr>
        <w:tab/>
        <w:t>a copy of either the registered strata/survey</w:t>
      </w:r>
      <w:r>
        <w:rPr>
          <w:snapToGrid w:val="0"/>
        </w:rPr>
        <w:noBreakHyphen/>
        <w:t>strata plan or the proposed strata/survey</w:t>
      </w:r>
      <w:r>
        <w:rPr>
          <w:snapToGrid w:val="0"/>
        </w:rPr>
        <w:noBreakHyphen/>
        <w:t>strata plan complying with section 5(1)(a), (b), (d) and (e) or 5A(a) to (c), (e) and (f), as the case may require, and particularly drawing attention to information that relates especially to any lot or proposed lot to which the contract relates; and</w:t>
      </w:r>
    </w:p>
    <w:p>
      <w:pPr>
        <w:pStyle w:val="Indenta"/>
        <w:spacing w:before="100"/>
        <w:rPr>
          <w:snapToGrid w:val="0"/>
        </w:rPr>
      </w:pPr>
      <w:r>
        <w:rPr>
          <w:snapToGrid w:val="0"/>
        </w:rPr>
        <w:tab/>
        <w:t>(c)</w:t>
      </w:r>
      <w:r>
        <w:rPr>
          <w:snapToGrid w:val="0"/>
        </w:rPr>
        <w:tab/>
        <w:t>the unit entitlement of every lot within the scheme and the aggregate unit entitlement or, if the strata/survey</w:t>
      </w:r>
      <w:r>
        <w:rPr>
          <w:snapToGrid w:val="0"/>
        </w:rPr>
        <w:noBreakHyphen/>
        <w:t>strata plan has not been registered, those entitlements as proposed; and</w:t>
      </w:r>
    </w:p>
    <w:p>
      <w:pPr>
        <w:pStyle w:val="Indenta"/>
        <w:keepNext/>
        <w:spacing w:before="100"/>
        <w:rPr>
          <w:snapToGrid w:val="0"/>
        </w:rPr>
      </w:pPr>
      <w:r>
        <w:rPr>
          <w:snapToGrid w:val="0"/>
        </w:rPr>
        <w:tab/>
        <w:t>(d)</w:t>
      </w:r>
      <w:r>
        <w:rPr>
          <w:snapToGrid w:val="0"/>
        </w:rPr>
        <w:tab/>
        <w:t>the contents of the by</w:t>
      </w:r>
      <w:r>
        <w:rPr>
          <w:snapToGrid w:val="0"/>
        </w:rPr>
        <w:noBreakHyphen/>
        <w:t>laws for the scheme that are —</w:t>
      </w:r>
    </w:p>
    <w:p>
      <w:pPr>
        <w:pStyle w:val="Indenti"/>
        <w:spacing w:before="100"/>
        <w:rPr>
          <w:snapToGrid w:val="0"/>
        </w:rPr>
      </w:pPr>
      <w:r>
        <w:rPr>
          <w:snapToGrid w:val="0"/>
        </w:rPr>
        <w:tab/>
        <w:t>(i)</w:t>
      </w:r>
      <w:r>
        <w:rPr>
          <w:snapToGrid w:val="0"/>
        </w:rPr>
        <w:tab/>
        <w:t>in force; or</w:t>
      </w:r>
    </w:p>
    <w:p>
      <w:pPr>
        <w:pStyle w:val="Indenti"/>
        <w:spacing w:before="100"/>
        <w:rPr>
          <w:snapToGrid w:val="0"/>
        </w:rPr>
      </w:pPr>
      <w:r>
        <w:rPr>
          <w:snapToGrid w:val="0"/>
        </w:rPr>
        <w:tab/>
        <w:t>(ii)</w:t>
      </w:r>
      <w:r>
        <w:rPr>
          <w:snapToGrid w:val="0"/>
        </w:rPr>
        <w:tab/>
        <w:t>resolved to be made but not yet in force by virtue of section 42(4),</w:t>
      </w:r>
    </w:p>
    <w:p>
      <w:pPr>
        <w:pStyle w:val="Indenta"/>
        <w:spacing w:before="100"/>
        <w:rPr>
          <w:snapToGrid w:val="0"/>
        </w:rPr>
      </w:pPr>
      <w:r>
        <w:rPr>
          <w:snapToGrid w:val="0"/>
        </w:rPr>
        <w:tab/>
      </w:r>
      <w:r>
        <w:rPr>
          <w:snapToGrid w:val="0"/>
        </w:rPr>
        <w:tab/>
        <w:t>but only so far as they amend, repeal or add to the by</w:t>
      </w:r>
      <w:r>
        <w:rPr>
          <w:snapToGrid w:val="0"/>
        </w:rPr>
        <w:noBreakHyphen/>
        <w:t>laws set out in Schedules 1 and 2; and</w:t>
      </w:r>
    </w:p>
    <w:p>
      <w:pPr>
        <w:pStyle w:val="Indenta"/>
        <w:spacing w:before="100"/>
        <w:rPr>
          <w:snapToGrid w:val="0"/>
        </w:rPr>
      </w:pPr>
      <w:r>
        <w:rPr>
          <w:snapToGrid w:val="0"/>
        </w:rPr>
        <w:tab/>
        <w:t>(e)</w:t>
      </w:r>
      <w:r>
        <w:rPr>
          <w:snapToGrid w:val="0"/>
        </w:rPr>
        <w:tab/>
        <w:t>in the case of a proposed scheme, the proposed by</w:t>
      </w:r>
      <w:r>
        <w:rPr>
          <w:snapToGrid w:val="0"/>
        </w:rPr>
        <w:noBreakHyphen/>
        <w:t>laws for the scheme but only so far as they amend, repeal or add to the by</w:t>
      </w:r>
      <w:r>
        <w:rPr>
          <w:snapToGrid w:val="0"/>
        </w:rPr>
        <w:noBreakHyphen/>
        <w:t>laws set out in Schedules 1 and 2; and</w:t>
      </w:r>
    </w:p>
    <w:p>
      <w:pPr>
        <w:pStyle w:val="Indenta"/>
        <w:spacing w:before="100"/>
        <w:rPr>
          <w:snapToGrid w:val="0"/>
          <w:spacing w:val="-4"/>
        </w:rPr>
      </w:pPr>
      <w:r>
        <w:rPr>
          <w:snapToGrid w:val="0"/>
          <w:spacing w:val="-4"/>
        </w:rPr>
        <w:tab/>
        <w:t>(f)</w:t>
      </w:r>
      <w:r>
        <w:rPr>
          <w:snapToGrid w:val="0"/>
          <w:spacing w:val="-4"/>
        </w:rPr>
        <w:tab/>
        <w:t>any information prescribed for the purposes of this section.</w:t>
      </w:r>
    </w:p>
    <w:p>
      <w:pPr>
        <w:pStyle w:val="Footnotesection"/>
      </w:pPr>
      <w:r>
        <w:tab/>
        <w:t>[Section 69A inserted: No. 58 of 1995 s. 63.]</w:t>
      </w:r>
    </w:p>
    <w:p>
      <w:pPr>
        <w:pStyle w:val="Heading5"/>
        <w:rPr>
          <w:snapToGrid w:val="0"/>
        </w:rPr>
      </w:pPr>
      <w:bookmarkStart w:id="232" w:name="_Toc530554949"/>
      <w:r>
        <w:rPr>
          <w:rStyle w:val="CharSectno"/>
        </w:rPr>
        <w:t>69B</w:t>
      </w:r>
      <w:r>
        <w:rPr>
          <w:snapToGrid w:val="0"/>
        </w:rPr>
        <w:t>.</w:t>
      </w:r>
      <w:r>
        <w:rPr>
          <w:snapToGrid w:val="0"/>
        </w:rPr>
        <w:tab/>
        <w:t>Notifiable information to be given by original proprietor in certain cases</w:t>
      </w:r>
      <w:bookmarkEnd w:id="232"/>
    </w:p>
    <w:p>
      <w:pPr>
        <w:pStyle w:val="Subsection"/>
        <w:rPr>
          <w:snapToGrid w:val="0"/>
        </w:rPr>
      </w:pPr>
      <w:r>
        <w:rPr>
          <w:snapToGrid w:val="0"/>
        </w:rPr>
        <w:tab/>
        <w:t>(1)</w:t>
      </w:r>
      <w:r>
        <w:rPr>
          <w:snapToGrid w:val="0"/>
        </w:rPr>
        <w:tab/>
        <w:t>This section applies only if —</w:t>
      </w:r>
    </w:p>
    <w:p>
      <w:pPr>
        <w:pStyle w:val="Indenta"/>
        <w:spacing w:before="100"/>
        <w:rPr>
          <w:snapToGrid w:val="0"/>
        </w:rPr>
      </w:pPr>
      <w:r>
        <w:rPr>
          <w:snapToGrid w:val="0"/>
        </w:rPr>
        <w:tab/>
        <w:t>(a)</w:t>
      </w:r>
      <w:r>
        <w:rPr>
          <w:snapToGrid w:val="0"/>
        </w:rPr>
        <w:tab/>
        <w:t>the strata/survey</w:t>
      </w:r>
      <w:r>
        <w:rPr>
          <w:snapToGrid w:val="0"/>
        </w:rPr>
        <w:noBreakHyphen/>
        <w:t>strata plan has not been registered; or</w:t>
      </w:r>
    </w:p>
    <w:p>
      <w:pPr>
        <w:pStyle w:val="Indenta"/>
        <w:rPr>
          <w:snapToGrid w:val="0"/>
        </w:rPr>
      </w:pPr>
      <w:r>
        <w:rPr>
          <w:snapToGrid w:val="0"/>
        </w:rPr>
        <w:tab/>
        <w:t>(b)</w:t>
      </w:r>
      <w:r>
        <w:rPr>
          <w:snapToGrid w:val="0"/>
        </w:rPr>
        <w:tab/>
        <w:t>the first annual general meeting of the strata company has not been held; or</w:t>
      </w:r>
    </w:p>
    <w:p>
      <w:pPr>
        <w:pStyle w:val="Indenta"/>
        <w:keepNext/>
        <w:rPr>
          <w:snapToGrid w:val="0"/>
        </w:rPr>
      </w:pPr>
      <w:r>
        <w:rPr>
          <w:snapToGrid w:val="0"/>
        </w:rPr>
        <w:tab/>
        <w:t>(c)</w:t>
      </w:r>
      <w:r>
        <w:rPr>
          <w:snapToGrid w:val="0"/>
        </w:rPr>
        <w:tab/>
        <w:t>the original proprietor —</w:t>
      </w:r>
    </w:p>
    <w:p>
      <w:pPr>
        <w:pStyle w:val="Indenti"/>
        <w:rPr>
          <w:snapToGrid w:val="0"/>
        </w:rPr>
      </w:pPr>
      <w:r>
        <w:rPr>
          <w:snapToGrid w:val="0"/>
        </w:rPr>
        <w:tab/>
        <w:t>(i)</w:t>
      </w:r>
      <w:r>
        <w:rPr>
          <w:snapToGrid w:val="0"/>
        </w:rPr>
        <w:tab/>
        <w:t>is the registered proprietor of 50% or more of the lots in the scheme; or</w:t>
      </w:r>
    </w:p>
    <w:p>
      <w:pPr>
        <w:pStyle w:val="Indenti"/>
        <w:rPr>
          <w:snapToGrid w:val="0"/>
        </w:rPr>
      </w:pPr>
      <w:r>
        <w:rPr>
          <w:snapToGrid w:val="0"/>
        </w:rPr>
        <w:tab/>
        <w:t>(ii)</w:t>
      </w:r>
      <w:r>
        <w:rPr>
          <w:snapToGrid w:val="0"/>
        </w:rPr>
        <w:tab/>
        <w:t>has votes at a general meeting of the strata company equal in value to 50% or more of the aggregate unit entitlement of the lots in the scheme.</w:t>
      </w:r>
    </w:p>
    <w:p>
      <w:pPr>
        <w:pStyle w:val="Subsection"/>
        <w:keepNext/>
        <w:rPr>
          <w:snapToGrid w:val="0"/>
        </w:rPr>
      </w:pPr>
      <w:r>
        <w:rPr>
          <w:snapToGrid w:val="0"/>
        </w:rPr>
        <w:tab/>
        <w:t>(2)</w:t>
      </w:r>
      <w:r>
        <w:rPr>
          <w:snapToGrid w:val="0"/>
        </w:rPr>
        <w:tab/>
        <w:t>Where this section applies, the notifiable information to be given under section 69 by a vendor who is the original proprietor is, in addition to that required by section 69A —</w:t>
      </w:r>
    </w:p>
    <w:p>
      <w:pPr>
        <w:pStyle w:val="Indenta"/>
        <w:keepNext/>
        <w:rPr>
          <w:snapToGrid w:val="0"/>
        </w:rPr>
      </w:pPr>
      <w:r>
        <w:rPr>
          <w:snapToGrid w:val="0"/>
        </w:rPr>
        <w:tab/>
        <w:t>(a)</w:t>
      </w:r>
      <w:r>
        <w:rPr>
          <w:snapToGrid w:val="0"/>
        </w:rPr>
        <w:tab/>
        <w:t>details of every agreement for the provision of any amenity or service to the strata company or to any part of the parcel that —</w:t>
      </w:r>
    </w:p>
    <w:p>
      <w:pPr>
        <w:pStyle w:val="Indenti"/>
        <w:rPr>
          <w:snapToGrid w:val="0"/>
        </w:rPr>
      </w:pPr>
      <w:r>
        <w:rPr>
          <w:snapToGrid w:val="0"/>
        </w:rPr>
        <w:tab/>
        <w:t>(i)</w:t>
      </w:r>
      <w:r>
        <w:rPr>
          <w:snapToGrid w:val="0"/>
        </w:rPr>
        <w:tab/>
        <w:t>the company or the original proprietor has entered into and that is still in operation; or</w:t>
      </w:r>
    </w:p>
    <w:p>
      <w:pPr>
        <w:pStyle w:val="Indenti"/>
        <w:rPr>
          <w:snapToGrid w:val="0"/>
        </w:rPr>
      </w:pPr>
      <w:r>
        <w:rPr>
          <w:snapToGrid w:val="0"/>
        </w:rPr>
        <w:tab/>
        <w:t>(ii)</w:t>
      </w:r>
      <w:r>
        <w:rPr>
          <w:snapToGrid w:val="0"/>
        </w:rPr>
        <w:tab/>
        <w:t>the original proprietor in his own right or exercising the power of the company proposes to enter into,</w:t>
      </w:r>
    </w:p>
    <w:p>
      <w:pPr>
        <w:pStyle w:val="Indenta"/>
        <w:rPr>
          <w:snapToGrid w:val="0"/>
        </w:rPr>
      </w:pPr>
      <w:r>
        <w:rPr>
          <w:snapToGrid w:val="0"/>
        </w:rPr>
        <w:tab/>
      </w:r>
      <w:r>
        <w:rPr>
          <w:snapToGrid w:val="0"/>
        </w:rPr>
        <w:tab/>
        <w:t>including the terms and conditions of every such agreement, the consideration for it, and the estimated costs to the proprietor of the lot;</w:t>
      </w:r>
    </w:p>
    <w:p>
      <w:pPr>
        <w:pStyle w:val="Indenta"/>
        <w:rPr>
          <w:snapToGrid w:val="0"/>
        </w:rPr>
      </w:pPr>
      <w:r>
        <w:rPr>
          <w:snapToGrid w:val="0"/>
        </w:rPr>
        <w:tab/>
        <w:t>(b)</w:t>
      </w:r>
      <w:r>
        <w:rPr>
          <w:snapToGrid w:val="0"/>
        </w:rPr>
        <w:tab/>
        <w:t>particulars of any direct or indirect pecuniary interest that the vendor has in any agreement referred to in paragraph (a), other than as a proprietor;</w:t>
      </w:r>
    </w:p>
    <w:p>
      <w:pPr>
        <w:pStyle w:val="Indenta"/>
        <w:keepNext/>
        <w:rPr>
          <w:snapToGrid w:val="0"/>
        </w:rPr>
      </w:pPr>
      <w:r>
        <w:rPr>
          <w:snapToGrid w:val="0"/>
        </w:rPr>
        <w:tab/>
        <w:t>(c)</w:t>
      </w:r>
      <w:r>
        <w:rPr>
          <w:snapToGrid w:val="0"/>
        </w:rPr>
        <w:tab/>
        <w:t>the estimated receipts and expenditure of the company for the period of 12 months starting with —</w:t>
      </w:r>
    </w:p>
    <w:p>
      <w:pPr>
        <w:pStyle w:val="Indenti"/>
        <w:rPr>
          <w:snapToGrid w:val="0"/>
        </w:rPr>
      </w:pPr>
      <w:r>
        <w:rPr>
          <w:snapToGrid w:val="0"/>
        </w:rPr>
        <w:tab/>
        <w:t>(i)</w:t>
      </w:r>
      <w:r>
        <w:rPr>
          <w:snapToGrid w:val="0"/>
        </w:rPr>
        <w:tab/>
        <w:t>the day of registration of the strata/survey</w:t>
      </w:r>
      <w:r>
        <w:rPr>
          <w:snapToGrid w:val="0"/>
        </w:rPr>
        <w:noBreakHyphen/>
        <w:t>strata plan; or</w:t>
      </w:r>
    </w:p>
    <w:p>
      <w:pPr>
        <w:pStyle w:val="Indenti"/>
        <w:rPr>
          <w:snapToGrid w:val="0"/>
        </w:rPr>
      </w:pPr>
      <w:r>
        <w:rPr>
          <w:snapToGrid w:val="0"/>
        </w:rPr>
        <w:tab/>
        <w:t>(ii)</w:t>
      </w:r>
      <w:r>
        <w:rPr>
          <w:snapToGrid w:val="0"/>
        </w:rPr>
        <w:tab/>
        <w:t>the day of the last annual general meeting or if no such meeting has been held during the 15 months preceding the date of the contract, the day for settlement designated in the contract,</w:t>
      </w:r>
    </w:p>
    <w:p>
      <w:pPr>
        <w:pStyle w:val="Indenta"/>
        <w:rPr>
          <w:snapToGrid w:val="0"/>
        </w:rPr>
      </w:pPr>
      <w:r>
        <w:rPr>
          <w:snapToGrid w:val="0"/>
        </w:rPr>
        <w:tab/>
      </w:r>
      <w:r>
        <w:rPr>
          <w:snapToGrid w:val="0"/>
        </w:rPr>
        <w:tab/>
        <w:t>whichever is the later;</w:t>
      </w:r>
    </w:p>
    <w:p>
      <w:pPr>
        <w:pStyle w:val="Indenta"/>
        <w:rPr>
          <w:snapToGrid w:val="0"/>
        </w:rPr>
      </w:pPr>
      <w:r>
        <w:rPr>
          <w:snapToGrid w:val="0"/>
        </w:rPr>
        <w:tab/>
        <w:t>(d)</w:t>
      </w:r>
      <w:r>
        <w:rPr>
          <w:snapToGrid w:val="0"/>
        </w:rPr>
        <w:tab/>
        <w:t>the estimated contributions of the proprietor under section 36(1) and (2) during the period referred to in paragraph (c);</w:t>
      </w:r>
    </w:p>
    <w:p>
      <w:pPr>
        <w:pStyle w:val="Indenta"/>
        <w:rPr>
          <w:snapToGrid w:val="0"/>
        </w:rPr>
      </w:pPr>
      <w:r>
        <w:rPr>
          <w:snapToGrid w:val="0"/>
        </w:rPr>
        <w:tab/>
        <w:t>(e)</w:t>
      </w:r>
      <w:r>
        <w:rPr>
          <w:snapToGrid w:val="0"/>
        </w:rPr>
        <w:tab/>
        <w:t>details of every lease granted, and still in operation, or proposed to be granted to the purchaser or any other person in relation to the common property;</w:t>
      </w:r>
    </w:p>
    <w:p>
      <w:pPr>
        <w:pStyle w:val="Indenta"/>
        <w:rPr>
          <w:snapToGrid w:val="0"/>
        </w:rPr>
      </w:pPr>
      <w:r>
        <w:rPr>
          <w:snapToGrid w:val="0"/>
        </w:rPr>
        <w:tab/>
        <w:t>(f)</w:t>
      </w:r>
      <w:r>
        <w:rPr>
          <w:snapToGrid w:val="0"/>
        </w:rPr>
        <w:tab/>
        <w:t>details of every licence, right of exclusive use and enjoyment, or special privilege granted, and still in operation, or proposed to be granted to the purchaser or any other person in relation to the common property.</w:t>
      </w:r>
    </w:p>
    <w:p>
      <w:pPr>
        <w:pStyle w:val="Footnotesection"/>
      </w:pPr>
      <w:r>
        <w:tab/>
        <w:t>[Section 69B inserted: No. 58 of 1995 s. 63.]</w:t>
      </w:r>
    </w:p>
    <w:p>
      <w:pPr>
        <w:pStyle w:val="Heading5"/>
        <w:rPr>
          <w:snapToGrid w:val="0"/>
        </w:rPr>
      </w:pPr>
      <w:bookmarkStart w:id="233" w:name="_Toc530554950"/>
      <w:r>
        <w:rPr>
          <w:rStyle w:val="CharSectno"/>
        </w:rPr>
        <w:t>69C</w:t>
      </w:r>
      <w:r>
        <w:rPr>
          <w:snapToGrid w:val="0"/>
        </w:rPr>
        <w:t>.</w:t>
      </w:r>
      <w:r>
        <w:rPr>
          <w:snapToGrid w:val="0"/>
        </w:rPr>
        <w:tab/>
        <w:t>Vendor to inform purchaser of full particulars of notifiable variation</w:t>
      </w:r>
      <w:bookmarkEnd w:id="233"/>
    </w:p>
    <w:p>
      <w:pPr>
        <w:pStyle w:val="Subsection"/>
        <w:rPr>
          <w:snapToGrid w:val="0"/>
        </w:rPr>
      </w:pPr>
      <w:r>
        <w:rPr>
          <w:snapToGrid w:val="0"/>
        </w:rPr>
        <w:tab/>
        <w:t>(1)</w:t>
      </w:r>
      <w:r>
        <w:rPr>
          <w:snapToGrid w:val="0"/>
        </w:rPr>
        <w:tab/>
        <w:t>The vendor under a contract to sell a lot or proposed lot shall by notice in writing given to the purchaser inform the purchaser of full particulars of any notifiable variation.</w:t>
      </w:r>
    </w:p>
    <w:p>
      <w:pPr>
        <w:pStyle w:val="Subsection"/>
        <w:rPr>
          <w:snapToGrid w:val="0"/>
        </w:rPr>
      </w:pPr>
      <w:r>
        <w:rPr>
          <w:snapToGrid w:val="0"/>
        </w:rPr>
        <w:tab/>
        <w:t>(2)</w:t>
      </w:r>
      <w:r>
        <w:rPr>
          <w:snapToGrid w:val="0"/>
        </w:rPr>
        <w:tab/>
        <w:t>Notice under subsection (1) shall be given as soon as the vendor becomes aware of the variation.</w:t>
      </w:r>
    </w:p>
    <w:p>
      <w:pPr>
        <w:pStyle w:val="Subsection"/>
        <w:rPr>
          <w:snapToGrid w:val="0"/>
        </w:rPr>
      </w:pPr>
      <w:r>
        <w:rPr>
          <w:snapToGrid w:val="0"/>
        </w:rPr>
        <w:tab/>
        <w:t>(3)</w:t>
      </w:r>
      <w:r>
        <w:rPr>
          <w:snapToGrid w:val="0"/>
        </w:rPr>
        <w:tab/>
        <w:t>For the purposes of subsection (1), a notifiable variation occurs if before the registration of the purchaser as proprietor of the lot or proposed lot or earlier avoidance of the contract —</w:t>
      </w:r>
    </w:p>
    <w:p>
      <w:pPr>
        <w:pStyle w:val="Indenta"/>
        <w:rPr>
          <w:snapToGrid w:val="0"/>
        </w:rPr>
      </w:pPr>
      <w:r>
        <w:rPr>
          <w:snapToGrid w:val="0"/>
        </w:rPr>
        <w:tab/>
        <w:t>(a)</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enters into an agreement for the provision of any amenity or service to the strata company or that is otherwise likely to affect the rights of the purchaser; or</w:t>
      </w:r>
    </w:p>
    <w:p>
      <w:pPr>
        <w:pStyle w:val="Indenti"/>
        <w:rPr>
          <w:snapToGrid w:val="0"/>
          <w:spacing w:val="-4"/>
        </w:rPr>
      </w:pPr>
      <w:r>
        <w:rPr>
          <w:snapToGrid w:val="0"/>
          <w:spacing w:val="-4"/>
        </w:rPr>
        <w:tab/>
        <w:t>(ii)</w:t>
      </w:r>
      <w:r>
        <w:rPr>
          <w:snapToGrid w:val="0"/>
          <w:spacing w:val="-4"/>
        </w:rPr>
        <w:tab/>
        <w:t>varies any existing agreement of that kind whereby the rights of the purchaser are likely to be affected;</w:t>
      </w:r>
    </w:p>
    <w:p>
      <w:pPr>
        <w:pStyle w:val="Indenta"/>
        <w:keepNext/>
        <w:rPr>
          <w:snapToGrid w:val="0"/>
        </w:rPr>
      </w:pPr>
      <w:r>
        <w:rPr>
          <w:snapToGrid w:val="0"/>
        </w:rPr>
        <w:tab/>
        <w:t>(b)</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makes a by</w:t>
      </w:r>
      <w:r>
        <w:rPr>
          <w:snapToGrid w:val="0"/>
        </w:rPr>
        <w:noBreakHyphen/>
        <w:t>law; or</w:t>
      </w:r>
    </w:p>
    <w:p>
      <w:pPr>
        <w:pStyle w:val="Indenti"/>
        <w:rPr>
          <w:snapToGrid w:val="0"/>
        </w:rPr>
      </w:pPr>
      <w:r>
        <w:rPr>
          <w:snapToGrid w:val="0"/>
        </w:rPr>
        <w:tab/>
        <w:t>(ii)</w:t>
      </w:r>
      <w:r>
        <w:rPr>
          <w:snapToGrid w:val="0"/>
        </w:rPr>
        <w:tab/>
        <w:t>amends or repeals any by</w:t>
      </w:r>
      <w:r>
        <w:rPr>
          <w:snapToGrid w:val="0"/>
        </w:rPr>
        <w:noBreakHyphen/>
        <w:t>law;</w:t>
      </w:r>
    </w:p>
    <w:p>
      <w:pPr>
        <w:pStyle w:val="Indenta"/>
        <w:rPr>
          <w:snapToGrid w:val="0"/>
        </w:rPr>
      </w:pPr>
      <w:r>
        <w:rPr>
          <w:snapToGrid w:val="0"/>
        </w:rPr>
        <w:tab/>
        <w:t>(c)</w:t>
      </w:r>
      <w:r>
        <w:rPr>
          <w:snapToGrid w:val="0"/>
        </w:rPr>
        <w:tab/>
        <w:t>the registered or proposed strata/survey</w:t>
      </w:r>
      <w:r>
        <w:rPr>
          <w:snapToGrid w:val="0"/>
        </w:rPr>
        <w:noBreakHyphen/>
        <w:t>strata plan is varied in a material particular or the registered strata/survey</w:t>
      </w:r>
      <w:r>
        <w:rPr>
          <w:snapToGrid w:val="0"/>
        </w:rPr>
        <w:noBreakHyphen/>
        <w:t>strata plan differs in a material particular from the proposed strata/survey</w:t>
      </w:r>
      <w:r>
        <w:rPr>
          <w:snapToGrid w:val="0"/>
        </w:rPr>
        <w:noBreakHyphen/>
        <w:t>strata plan;</w:t>
      </w:r>
    </w:p>
    <w:p>
      <w:pPr>
        <w:pStyle w:val="Indenta"/>
        <w:rPr>
          <w:snapToGrid w:val="0"/>
        </w:rPr>
      </w:pPr>
      <w:r>
        <w:rPr>
          <w:snapToGrid w:val="0"/>
        </w:rPr>
        <w:tab/>
        <w:t>(d)</w:t>
      </w:r>
      <w:r>
        <w:rPr>
          <w:snapToGrid w:val="0"/>
        </w:rPr>
        <w:tab/>
        <w:t>the unit entitlement of any lot or the aggregate unit entitlement is not the same as the unit entitlement or proposed unit entitlement or the aggregate unit entitlement or proposed aggregate unit entitlement, as the case may be, that was notified under section 69A(c);</w:t>
      </w:r>
    </w:p>
    <w:p>
      <w:pPr>
        <w:pStyle w:val="Indenta"/>
        <w:rPr>
          <w:snapToGrid w:val="0"/>
        </w:rPr>
      </w:pPr>
      <w:r>
        <w:rPr>
          <w:snapToGrid w:val="0"/>
        </w:rPr>
        <w:tab/>
        <w:t>(e)</w:t>
      </w:r>
      <w:r>
        <w:rPr>
          <w:snapToGrid w:val="0"/>
        </w:rPr>
        <w:tab/>
        <w:t>a lease, licence, right or privilege in relation to the common property is granted or varied.</w:t>
      </w:r>
    </w:p>
    <w:p>
      <w:pPr>
        <w:pStyle w:val="Subsection"/>
        <w:rPr>
          <w:snapToGrid w:val="0"/>
        </w:rPr>
      </w:pPr>
      <w:r>
        <w:rPr>
          <w:snapToGrid w:val="0"/>
        </w:rPr>
        <w:tab/>
        <w:t>(4)</w:t>
      </w:r>
      <w:r>
        <w:rPr>
          <w:snapToGrid w:val="0"/>
        </w:rPr>
        <w:tab/>
        <w:t>Subsection (1) does not apply if —</w:t>
      </w:r>
    </w:p>
    <w:p>
      <w:pPr>
        <w:pStyle w:val="Indenta"/>
        <w:rPr>
          <w:snapToGrid w:val="0"/>
        </w:rPr>
      </w:pPr>
      <w:r>
        <w:rPr>
          <w:snapToGrid w:val="0"/>
        </w:rPr>
        <w:tab/>
        <w:t>(a)</w:t>
      </w:r>
      <w:r>
        <w:rPr>
          <w:snapToGrid w:val="0"/>
        </w:rPr>
        <w:tab/>
        <w:t>the vendor has by notice in writing informed the purchaser of any proposed action or matter that would be a notifiable variation under subsection (3); and</w:t>
      </w:r>
    </w:p>
    <w:p>
      <w:pPr>
        <w:pStyle w:val="Indenta"/>
        <w:rPr>
          <w:snapToGrid w:val="0"/>
        </w:rPr>
      </w:pPr>
      <w:r>
        <w:rPr>
          <w:snapToGrid w:val="0"/>
        </w:rPr>
        <w:tab/>
        <w:t>(b)</w:t>
      </w:r>
      <w:r>
        <w:rPr>
          <w:snapToGrid w:val="0"/>
        </w:rPr>
        <w:tab/>
        <w:t>the action or matter when completed does not differ from that described in the notice.</w:t>
      </w:r>
    </w:p>
    <w:p>
      <w:pPr>
        <w:pStyle w:val="Footnotesection"/>
        <w:ind w:left="890" w:hanging="890"/>
      </w:pPr>
      <w:r>
        <w:tab/>
        <w:t>[Section 69C inserted: No. 58 of 1995 s. 63.]</w:t>
      </w:r>
    </w:p>
    <w:p>
      <w:pPr>
        <w:pStyle w:val="Heading5"/>
        <w:rPr>
          <w:snapToGrid w:val="0"/>
        </w:rPr>
      </w:pPr>
      <w:bookmarkStart w:id="234" w:name="_Toc530554951"/>
      <w:r>
        <w:rPr>
          <w:rStyle w:val="CharSectno"/>
        </w:rPr>
        <w:t>69D</w:t>
      </w:r>
      <w:r>
        <w:rPr>
          <w:snapToGrid w:val="0"/>
        </w:rPr>
        <w:t>.</w:t>
      </w:r>
      <w:r>
        <w:rPr>
          <w:snapToGrid w:val="0"/>
        </w:rPr>
        <w:tab/>
        <w:t>When purchaser may avoid contract</w:t>
      </w:r>
      <w:bookmarkEnd w:id="234"/>
    </w:p>
    <w:p>
      <w:pPr>
        <w:pStyle w:val="Subsection"/>
        <w:rPr>
          <w:snapToGrid w:val="0"/>
        </w:rPr>
      </w:pPr>
      <w:r>
        <w:rPr>
          <w:snapToGrid w:val="0"/>
        </w:rPr>
        <w:tab/>
        <w:t>(1)</w:t>
      </w:r>
      <w:r>
        <w:rPr>
          <w:snapToGrid w:val="0"/>
        </w:rPr>
        <w:tab/>
        <w:t>Subject to subsection (3), if a vendor has failed to give to a purchaser information that substantially complies with section 69 or 69C and at the time required by that section, the purchaser has a right to avoid the contract by notice in writing given to the vendor before the settlement of the contract.</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a vendor gives to a purchaser information that substantially complies with section 69C and at the time required by that section; and</w:t>
      </w:r>
    </w:p>
    <w:p>
      <w:pPr>
        <w:pStyle w:val="Indenta"/>
        <w:keepNext/>
        <w:rPr>
          <w:snapToGrid w:val="0"/>
        </w:rPr>
      </w:pPr>
      <w:r>
        <w:rPr>
          <w:snapToGrid w:val="0"/>
        </w:rPr>
        <w:tab/>
        <w:t>(b)</w:t>
      </w:r>
      <w:r>
        <w:rPr>
          <w:snapToGrid w:val="0"/>
        </w:rPr>
        <w:tab/>
        <w:t>the purchaser has been materially prejudiced (proof of which shall lie on him) by any matter referred to in the notice and has not agreed to be bound by that matter,</w:t>
      </w:r>
    </w:p>
    <w:p>
      <w:pPr>
        <w:pStyle w:val="Subsection"/>
        <w:spacing w:before="180"/>
        <w:rPr>
          <w:snapToGrid w:val="0"/>
        </w:rPr>
      </w:pPr>
      <w:r>
        <w:rPr>
          <w:snapToGrid w:val="0"/>
        </w:rPr>
        <w:tab/>
      </w:r>
      <w:r>
        <w:rPr>
          <w:snapToGrid w:val="0"/>
        </w:rPr>
        <w:tab/>
        <w:t>the purchaser has a right to avoid the contract by notice in writing given to the vendor within 7 working days after that information is given.</w:t>
      </w:r>
    </w:p>
    <w:p>
      <w:pPr>
        <w:pStyle w:val="Subsection"/>
        <w:spacing w:before="180"/>
        <w:rPr>
          <w:snapToGrid w:val="0"/>
        </w:rPr>
      </w:pPr>
      <w:r>
        <w:rPr>
          <w:snapToGrid w:val="0"/>
        </w:rPr>
        <w:tab/>
        <w:t>(3)</w:t>
      </w:r>
      <w:r>
        <w:rPr>
          <w:snapToGrid w:val="0"/>
        </w:rPr>
        <w:tab/>
        <w:t>If under subsection (1) a purchaser has a right to avoid a contract but before notice of avoidance is given the vendor gives to the purchaser information that substantially complies with section 69 or 69C, the purchaser’s right under subsection (1) must be exercised within 7 working days after that information is given.</w:t>
      </w:r>
    </w:p>
    <w:p>
      <w:pPr>
        <w:pStyle w:val="Subsection"/>
        <w:keepNext/>
        <w:spacing w:before="180"/>
        <w:rPr>
          <w:snapToGrid w:val="0"/>
        </w:rPr>
      </w:pPr>
      <w:r>
        <w:rPr>
          <w:snapToGrid w:val="0"/>
        </w:rPr>
        <w:tab/>
        <w:t>(4)</w:t>
      </w:r>
      <w:r>
        <w:rPr>
          <w:snapToGrid w:val="0"/>
        </w:rPr>
        <w:tab/>
        <w:t>If the vendor gives to the purchaser information that substantially or partially complies with section 69 or 69C within 7 working days before the settlement date designated in the contract, the purchaser —</w:t>
      </w:r>
    </w:p>
    <w:p>
      <w:pPr>
        <w:pStyle w:val="Indenta"/>
        <w:spacing w:before="100"/>
        <w:rPr>
          <w:snapToGrid w:val="0"/>
        </w:rPr>
      </w:pPr>
      <w:r>
        <w:rPr>
          <w:snapToGrid w:val="0"/>
        </w:rPr>
        <w:tab/>
        <w:t>(a)</w:t>
      </w:r>
      <w:r>
        <w:rPr>
          <w:snapToGrid w:val="0"/>
        </w:rPr>
        <w:tab/>
        <w:t>may, despite the contract and without incurring any penalty under it, by notice in writing, postpone the time for settlement beyond that designated settlement date by not more than 7 working days after that information is given; and</w:t>
      </w:r>
    </w:p>
    <w:p>
      <w:pPr>
        <w:pStyle w:val="Indenta"/>
        <w:spacing w:before="100"/>
        <w:rPr>
          <w:snapToGrid w:val="0"/>
        </w:rPr>
      </w:pPr>
      <w:r>
        <w:rPr>
          <w:snapToGrid w:val="0"/>
        </w:rPr>
        <w:tab/>
        <w:t>(b)</w:t>
      </w:r>
      <w:r>
        <w:rPr>
          <w:snapToGrid w:val="0"/>
        </w:rPr>
        <w:tab/>
        <w:t>subject to subsection (5), has a right to avoid the contract by notice in writing given to the vendor at any time before the expiration of that period and before settlement is effected.</w:t>
      </w:r>
    </w:p>
    <w:p>
      <w:pPr>
        <w:pStyle w:val="Subsection"/>
        <w:spacing w:before="180"/>
        <w:rPr>
          <w:snapToGrid w:val="0"/>
        </w:rPr>
      </w:pPr>
      <w:r>
        <w:rPr>
          <w:snapToGrid w:val="0"/>
        </w:rPr>
        <w:tab/>
        <w:t>(5)</w:t>
      </w:r>
      <w:r>
        <w:rPr>
          <w:snapToGrid w:val="0"/>
        </w:rPr>
        <w:tab/>
        <w:t>The right conferred on a purchaser by subsection (4) does not apply if the information was given under section 69C and at the time required by that section unless the purchaser has been materially prejudiced (proof of which shall lie on him) by any matter referred to in the notice and has not agreed to be bound by that matter.</w:t>
      </w:r>
    </w:p>
    <w:p>
      <w:pPr>
        <w:pStyle w:val="Subsection"/>
        <w:keepNext/>
        <w:rPr>
          <w:snapToGrid w:val="0"/>
        </w:rPr>
      </w:pPr>
      <w:r>
        <w:rPr>
          <w:snapToGrid w:val="0"/>
        </w:rPr>
        <w:tab/>
        <w:t>(6)</w:t>
      </w:r>
      <w:r>
        <w:rPr>
          <w:snapToGrid w:val="0"/>
        </w:rPr>
        <w:tab/>
        <w:t>In this section —</w:t>
      </w:r>
    </w:p>
    <w:p>
      <w:pPr>
        <w:pStyle w:val="Defstart"/>
        <w:keepNext/>
      </w:pPr>
      <w:r>
        <w:rPr>
          <w:b/>
        </w:rPr>
        <w:tab/>
      </w:r>
      <w:r>
        <w:rPr>
          <w:rStyle w:val="CharDefText"/>
        </w:rPr>
        <w:t>settlement</w:t>
      </w:r>
      <w:r>
        <w:t xml:space="preserve"> means —</w:t>
      </w:r>
    </w:p>
    <w:p>
      <w:pPr>
        <w:pStyle w:val="Defpara"/>
      </w:pPr>
      <w:r>
        <w:tab/>
        <w:t>(a)</w:t>
      </w:r>
      <w:r>
        <w:tab/>
        <w:t>the time at which the purchaser pays to the vendor the purchase price, or the balance of the purchase price, in exchange for the documents of title; or</w:t>
      </w:r>
    </w:p>
    <w:p>
      <w:pPr>
        <w:pStyle w:val="Defpara"/>
      </w:pPr>
      <w:r>
        <w:tab/>
        <w:t>(b)</w:t>
      </w:r>
      <w:r>
        <w:tab/>
        <w:t xml:space="preserve">in the case of a terms contract, as defined in section 5 of the </w:t>
      </w:r>
      <w:r>
        <w:rPr>
          <w:i/>
        </w:rPr>
        <w:t>Sale of Land Act 1970</w:t>
      </w:r>
      <w:r>
        <w:t>, the time at which the purchaser becomes entitled to possession or occupation;</w:t>
      </w:r>
    </w:p>
    <w:p>
      <w:pPr>
        <w:pStyle w:val="Defstart"/>
      </w:pPr>
      <w:r>
        <w:rPr>
          <w:b/>
        </w:rPr>
        <w:tab/>
      </w:r>
      <w:r>
        <w:rPr>
          <w:rStyle w:val="CharDefText"/>
        </w:rPr>
        <w:t>working days</w:t>
      </w:r>
      <w:r>
        <w:t xml:space="preserve"> means Monday to Friday but excluding, in the case of a contract relating to land in any area of the State, a day that is a public holiday in that area or throughout the State.</w:t>
      </w:r>
    </w:p>
    <w:p>
      <w:pPr>
        <w:pStyle w:val="Footnotesection"/>
      </w:pPr>
      <w:r>
        <w:tab/>
        <w:t>[Section 69D inserted: No. 58 of 1995 s. 63.]</w:t>
      </w:r>
    </w:p>
    <w:p>
      <w:pPr>
        <w:pStyle w:val="Heading5"/>
        <w:rPr>
          <w:snapToGrid w:val="0"/>
        </w:rPr>
      </w:pPr>
      <w:bookmarkStart w:id="235" w:name="_Toc530554952"/>
      <w:r>
        <w:rPr>
          <w:rStyle w:val="CharSectno"/>
        </w:rPr>
        <w:t>69E</w:t>
      </w:r>
      <w:r>
        <w:rPr>
          <w:snapToGrid w:val="0"/>
        </w:rPr>
        <w:t>.</w:t>
      </w:r>
      <w:r>
        <w:rPr>
          <w:snapToGrid w:val="0"/>
        </w:rPr>
        <w:tab/>
        <w:t>Effect of avoidance</w:t>
      </w:r>
      <w:bookmarkEnd w:id="235"/>
    </w:p>
    <w:p>
      <w:pPr>
        <w:pStyle w:val="Subsection"/>
        <w:rPr>
          <w:snapToGrid w:val="0"/>
        </w:rPr>
      </w:pPr>
      <w:r>
        <w:rPr>
          <w:snapToGrid w:val="0"/>
        </w:rPr>
        <w:tab/>
      </w:r>
      <w:r>
        <w:rPr>
          <w:snapToGrid w:val="0"/>
        </w:rPr>
        <w:tab/>
        <w:t>Upon the avoidance of a contract under section 69D, the vendor is liable to repay to the purchaser all moneys paid by the purchaser under the contract and such moneys shall be recoverable, by action as for a debt, by the purchaser accordingly.</w:t>
      </w:r>
    </w:p>
    <w:p>
      <w:pPr>
        <w:pStyle w:val="Footnotesection"/>
      </w:pPr>
      <w:r>
        <w:tab/>
        <w:t>[Section 69E inserted: No. 58 of 1995 s. 63.]</w:t>
      </w:r>
    </w:p>
    <w:p>
      <w:pPr>
        <w:pStyle w:val="Heading5"/>
        <w:rPr>
          <w:snapToGrid w:val="0"/>
        </w:rPr>
      </w:pPr>
      <w:bookmarkStart w:id="236" w:name="_Toc530554953"/>
      <w:r>
        <w:rPr>
          <w:rStyle w:val="CharSectno"/>
        </w:rPr>
        <w:t>70</w:t>
      </w:r>
      <w:r>
        <w:rPr>
          <w:snapToGrid w:val="0"/>
        </w:rPr>
        <w:t>.</w:t>
      </w:r>
      <w:r>
        <w:rPr>
          <w:snapToGrid w:val="0"/>
        </w:rPr>
        <w:tab/>
        <w:t>Holding of deposit and other contract moneys when a lot is pre</w:t>
      </w:r>
      <w:r>
        <w:rPr>
          <w:snapToGrid w:val="0"/>
        </w:rPr>
        <w:noBreakHyphen/>
        <w:t>sold</w:t>
      </w:r>
      <w:bookmarkEnd w:id="236"/>
    </w:p>
    <w:p>
      <w:pPr>
        <w:pStyle w:val="Subsection"/>
        <w:rPr>
          <w:snapToGrid w:val="0"/>
        </w:rPr>
      </w:pPr>
      <w:r>
        <w:rPr>
          <w:snapToGrid w:val="0"/>
        </w:rPr>
        <w:tab/>
        <w:t>(1)</w:t>
      </w:r>
      <w:r>
        <w:rPr>
          <w:snapToGrid w:val="0"/>
        </w:rPr>
        <w:tab/>
        <w:t>No person shall sell a lot in a proposed scheme before the strata/survey</w:t>
      </w:r>
      <w:r>
        <w:rPr>
          <w:snapToGrid w:val="0"/>
        </w:rPr>
        <w:noBreakHyphen/>
        <w:t>strata plan is registered under Part II unless the contract of sale provides that any deposit and all other moneys payable by the purchaser prior to the registration of the strata/survey</w:t>
      </w:r>
      <w:r>
        <w:rPr>
          <w:snapToGrid w:val="0"/>
        </w:rPr>
        <w:noBreakHyphen/>
        <w:t>strata plan are to be paid to a solicitor, real estate agent or settlement agent, who shall be named or specified in the contract, to be held by that solicitor, real estate agent or settlement agent on trust for the purchaser until the strata/survey</w:t>
      </w:r>
      <w:r>
        <w:rPr>
          <w:snapToGrid w:val="0"/>
        </w:rPr>
        <w:noBreakHyphen/>
        <w:t>strata plan is registered.</w:t>
      </w:r>
    </w:p>
    <w:p>
      <w:pPr>
        <w:pStyle w:val="Subsection"/>
        <w:rPr>
          <w:snapToGrid w:val="0"/>
        </w:rPr>
      </w:pPr>
      <w:r>
        <w:rPr>
          <w:snapToGrid w:val="0"/>
        </w:rPr>
        <w:tab/>
        <w:t>(2)</w:t>
      </w:r>
      <w:r>
        <w:rPr>
          <w:snapToGrid w:val="0"/>
        </w:rPr>
        <w:tab/>
        <w:t>Any deposit and other moneys payable and paid by the purchaser prior to the registration of the strata/survey</w:t>
      </w:r>
      <w:r>
        <w:rPr>
          <w:snapToGrid w:val="0"/>
        </w:rPr>
        <w:noBreakHyphen/>
        <w:t>strata plan under any such contract as is referred to in subsection (1) shall be paid by the purchaser to the solicitor, real estate agent or settlement agent named or specified in the contract of sale.</w:t>
      </w:r>
    </w:p>
    <w:p>
      <w:pPr>
        <w:pStyle w:val="Subsection"/>
        <w:rPr>
          <w:snapToGrid w:val="0"/>
        </w:rPr>
      </w:pPr>
      <w:r>
        <w:rPr>
          <w:snapToGrid w:val="0"/>
        </w:rPr>
        <w:tab/>
        <w:t>(3)</w:t>
      </w:r>
      <w:r>
        <w:rPr>
          <w:snapToGrid w:val="0"/>
        </w:rPr>
        <w:tab/>
        <w:t>In the event of a contravention of subsection (1) or subsection (2), the purchaser may at any time before the strata/survey</w:t>
      </w:r>
      <w:r>
        <w:rPr>
          <w:snapToGrid w:val="0"/>
        </w:rPr>
        <w:noBreakHyphen/>
        <w:t>strata plan is registered avoid the sale.</w:t>
      </w:r>
    </w:p>
    <w:p>
      <w:pPr>
        <w:pStyle w:val="Subsection"/>
        <w:rPr>
          <w:snapToGrid w:val="0"/>
        </w:rPr>
      </w:pPr>
      <w:r>
        <w:rPr>
          <w:snapToGrid w:val="0"/>
        </w:rPr>
        <w:tab/>
        <w:t>(4)</w:t>
      </w:r>
      <w:r>
        <w:rPr>
          <w:snapToGrid w:val="0"/>
        </w:rPr>
        <w:tab/>
        <w:t>If the strata/survey</w:t>
      </w:r>
      <w:r>
        <w:rPr>
          <w:snapToGrid w:val="0"/>
        </w:rPr>
        <w:noBreakHyphen/>
        <w:t>strata plan is not registered —</w:t>
      </w:r>
    </w:p>
    <w:p>
      <w:pPr>
        <w:pStyle w:val="Indenta"/>
        <w:rPr>
          <w:snapToGrid w:val="0"/>
        </w:rPr>
      </w:pPr>
      <w:r>
        <w:rPr>
          <w:snapToGrid w:val="0"/>
        </w:rPr>
        <w:tab/>
        <w:t>(a)</w:t>
      </w:r>
      <w:r>
        <w:rPr>
          <w:snapToGrid w:val="0"/>
        </w:rPr>
        <w:tab/>
        <w:t>within such period after the date of the contract as is agreed in writing by the purchaser and the vendor; or</w:t>
      </w:r>
    </w:p>
    <w:p>
      <w:pPr>
        <w:pStyle w:val="Indenta"/>
        <w:rPr>
          <w:snapToGrid w:val="0"/>
        </w:rPr>
      </w:pPr>
      <w:r>
        <w:rPr>
          <w:snapToGrid w:val="0"/>
        </w:rPr>
        <w:tab/>
        <w:t>(b)</w:t>
      </w:r>
      <w:r>
        <w:rPr>
          <w:snapToGrid w:val="0"/>
        </w:rPr>
        <w:tab/>
        <w:t>in the absence of any such agreement, within 6 months after that date,</w:t>
      </w:r>
    </w:p>
    <w:p>
      <w:pPr>
        <w:pStyle w:val="Subsection"/>
        <w:spacing w:before="120"/>
        <w:rPr>
          <w:snapToGrid w:val="0"/>
        </w:rPr>
      </w:pPr>
      <w:r>
        <w:rPr>
          <w:snapToGrid w:val="0"/>
        </w:rPr>
        <w:tab/>
      </w:r>
      <w:r>
        <w:rPr>
          <w:snapToGrid w:val="0"/>
        </w:rPr>
        <w:tab/>
        <w:t>the purchaser may avoid the sale at any time before the plan is registered.</w:t>
      </w:r>
    </w:p>
    <w:p>
      <w:pPr>
        <w:pStyle w:val="Subsection"/>
        <w:rPr>
          <w:snapToGrid w:val="0"/>
          <w:spacing w:val="-4"/>
        </w:rPr>
      </w:pPr>
      <w:r>
        <w:rPr>
          <w:snapToGrid w:val="0"/>
          <w:spacing w:val="-4"/>
        </w:rPr>
        <w:tab/>
        <w:t>(5)</w:t>
      </w:r>
      <w:r>
        <w:rPr>
          <w:snapToGrid w:val="0"/>
          <w:spacing w:val="-4"/>
        </w:rPr>
        <w:tab/>
        <w:t>Where a purchaser avoids a sale under this section, all moneys, including the deposit, shall be recoverable by him from the solicitor, real estate agent or settlement agent or other person to whom they were paid, but the purchaser shall be liable to pay an occupation rent for any period during which he was in occupation of the lot or entitled to receive the rents and profits of the lot.</w:t>
      </w:r>
    </w:p>
    <w:p>
      <w:pPr>
        <w:pStyle w:val="Ednotesubsection"/>
      </w:pPr>
      <w:r>
        <w:tab/>
        <w:t>[(6), (7)</w:t>
      </w:r>
      <w:r>
        <w:tab/>
        <w:t>deleted]</w:t>
      </w:r>
    </w:p>
    <w:p>
      <w:pPr>
        <w:pStyle w:val="Subsection"/>
        <w:rPr>
          <w:snapToGrid w:val="0"/>
        </w:rPr>
      </w:pPr>
      <w:r>
        <w:rPr>
          <w:snapToGrid w:val="0"/>
        </w:rPr>
        <w:tab/>
        <w:t>(8)</w:t>
      </w:r>
      <w:r>
        <w:rPr>
          <w:snapToGrid w:val="0"/>
        </w:rPr>
        <w:tab/>
        <w:t>In this section —</w:t>
      </w:r>
    </w:p>
    <w:p>
      <w:pPr>
        <w:pStyle w:val="Defstart"/>
      </w:pPr>
      <w:r>
        <w:rPr>
          <w:b/>
        </w:rPr>
        <w:tab/>
      </w:r>
      <w:r>
        <w:rPr>
          <w:rStyle w:val="CharDefText"/>
        </w:rPr>
        <w:t>date of the contract</w:t>
      </w:r>
      <w:r>
        <w:t xml:space="preserve"> means the day on which the contract of sale referred to in subsection (1)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keepLines w:val="0"/>
      </w:pPr>
      <w:r>
        <w:tab/>
        <w:t>[Section 70 amended: No. 42 of 1986 s. 4; No. 58 of 1995 s. 64, 95 and 96; No. 61 of 1996 s. 31.]</w:t>
      </w:r>
    </w:p>
    <w:p>
      <w:pPr>
        <w:pStyle w:val="Heading5"/>
        <w:rPr>
          <w:snapToGrid w:val="0"/>
        </w:rPr>
      </w:pPr>
      <w:bookmarkStart w:id="237" w:name="_Toc530554954"/>
      <w:r>
        <w:rPr>
          <w:rStyle w:val="CharSectno"/>
        </w:rPr>
        <w:t>70A</w:t>
      </w:r>
      <w:r>
        <w:rPr>
          <w:snapToGrid w:val="0"/>
        </w:rPr>
        <w:t>.</w:t>
      </w:r>
      <w:r>
        <w:rPr>
          <w:snapToGrid w:val="0"/>
        </w:rPr>
        <w:tab/>
        <w:t>Contracting out prohibited</w:t>
      </w:r>
      <w:bookmarkEnd w:id="237"/>
    </w:p>
    <w:p>
      <w:pPr>
        <w:pStyle w:val="Subsection"/>
        <w:rPr>
          <w:snapToGrid w:val="0"/>
        </w:rPr>
      </w:pPr>
      <w:r>
        <w:rPr>
          <w:snapToGrid w:val="0"/>
        </w:rPr>
        <w:tab/>
        <w:t>(1)</w:t>
      </w:r>
      <w:r>
        <w:rPr>
          <w:snapToGrid w:val="0"/>
        </w:rPr>
        <w:tab/>
        <w:t>A contract or arrangement is of no effect to the extent that it purports to exclude or restrict the operation of this Part or the rights and remedies conferred on a purchaser by this Part.</w:t>
      </w:r>
    </w:p>
    <w:p>
      <w:pPr>
        <w:pStyle w:val="Subsection"/>
        <w:rPr>
          <w:snapToGrid w:val="0"/>
        </w:rPr>
      </w:pPr>
      <w:r>
        <w:rPr>
          <w:snapToGrid w:val="0"/>
        </w:rPr>
        <w:tab/>
        <w:t>(2)</w:t>
      </w:r>
      <w:r>
        <w:rPr>
          <w:snapToGrid w:val="0"/>
        </w:rPr>
        <w:tab/>
        <w:t>A purported waiver of a right, remedy or benefit conferred on a purchaser by this Part is of no effect.</w:t>
      </w:r>
    </w:p>
    <w:p>
      <w:pPr>
        <w:pStyle w:val="Footnotesection"/>
      </w:pPr>
      <w:r>
        <w:tab/>
        <w:t>[Section 70A inserted: No. 58 of 1995 s. 65.]</w:t>
      </w:r>
    </w:p>
    <w:p>
      <w:pPr>
        <w:pStyle w:val="Heading5"/>
        <w:rPr>
          <w:snapToGrid w:val="0"/>
        </w:rPr>
      </w:pPr>
      <w:bookmarkStart w:id="238" w:name="_Toc530554955"/>
      <w:r>
        <w:rPr>
          <w:rStyle w:val="CharSectno"/>
        </w:rPr>
        <w:t>70B</w:t>
      </w:r>
      <w:r>
        <w:rPr>
          <w:snapToGrid w:val="0"/>
        </w:rPr>
        <w:t>.</w:t>
      </w:r>
      <w:r>
        <w:rPr>
          <w:snapToGrid w:val="0"/>
        </w:rPr>
        <w:tab/>
        <w:t>Saving</w:t>
      </w:r>
      <w:bookmarkEnd w:id="238"/>
    </w:p>
    <w:p>
      <w:pPr>
        <w:pStyle w:val="Subsection"/>
        <w:rPr>
          <w:snapToGrid w:val="0"/>
        </w:rPr>
      </w:pPr>
      <w:r>
        <w:rPr>
          <w:snapToGrid w:val="0"/>
        </w:rPr>
        <w:tab/>
      </w:r>
      <w:r>
        <w:rPr>
          <w:snapToGrid w:val="0"/>
        </w:rPr>
        <w:tab/>
        <w:t>Except as provided by sections 69D, 70(3) and (4) and 70A, this Part does not apply so as to render any contract illegal or void or to empower any party to avoid the contract.</w:t>
      </w:r>
    </w:p>
    <w:p>
      <w:pPr>
        <w:pStyle w:val="Footnotesection"/>
      </w:pPr>
      <w:r>
        <w:tab/>
        <w:t>[Section 70B inserted: No. 58 of 1995 s. 65.]</w:t>
      </w:r>
    </w:p>
    <w:p>
      <w:pPr>
        <w:pStyle w:val="Heading2"/>
      </w:pPr>
      <w:bookmarkStart w:id="239" w:name="_Toc525288584"/>
      <w:bookmarkStart w:id="240" w:name="_Toc530554620"/>
      <w:bookmarkStart w:id="241" w:name="_Toc530554956"/>
      <w:r>
        <w:rPr>
          <w:rStyle w:val="CharPartNo"/>
        </w:rPr>
        <w:t>Part VI</w:t>
      </w:r>
      <w:r>
        <w:t> — </w:t>
      </w:r>
      <w:r>
        <w:rPr>
          <w:rStyle w:val="CharPartText"/>
        </w:rPr>
        <w:t>Resolution of disputes</w:t>
      </w:r>
      <w:bookmarkEnd w:id="239"/>
      <w:bookmarkEnd w:id="240"/>
      <w:bookmarkEnd w:id="241"/>
    </w:p>
    <w:p>
      <w:pPr>
        <w:pStyle w:val="Ednotedivision"/>
      </w:pPr>
      <w:r>
        <w:t>[Division 1 (s. 71</w:t>
      </w:r>
      <w:r>
        <w:noBreakHyphen/>
        <w:t>76) deleted: No. 55 of 2004 s. 1125.]</w:t>
      </w:r>
    </w:p>
    <w:p>
      <w:pPr>
        <w:pStyle w:val="Heading3"/>
      </w:pPr>
      <w:bookmarkStart w:id="242" w:name="_Toc525288585"/>
      <w:bookmarkStart w:id="243" w:name="_Toc530554621"/>
      <w:bookmarkStart w:id="244" w:name="_Toc530554957"/>
      <w:r>
        <w:rPr>
          <w:rStyle w:val="CharDivNo"/>
        </w:rPr>
        <w:t>Division 2</w:t>
      </w:r>
      <w:r>
        <w:rPr>
          <w:snapToGrid w:val="0"/>
        </w:rPr>
        <w:t> — </w:t>
      </w:r>
      <w:r>
        <w:rPr>
          <w:rStyle w:val="CharDivText"/>
        </w:rPr>
        <w:t>Applications for orders</w:t>
      </w:r>
      <w:bookmarkEnd w:id="242"/>
      <w:bookmarkEnd w:id="243"/>
      <w:bookmarkEnd w:id="244"/>
    </w:p>
    <w:p>
      <w:pPr>
        <w:pStyle w:val="Heading5"/>
        <w:rPr>
          <w:snapToGrid w:val="0"/>
        </w:rPr>
      </w:pPr>
      <w:bookmarkStart w:id="245" w:name="_Toc530554958"/>
      <w:r>
        <w:rPr>
          <w:rStyle w:val="CharSectno"/>
        </w:rPr>
        <w:t>77</w:t>
      </w:r>
      <w:r>
        <w:rPr>
          <w:snapToGrid w:val="0"/>
        </w:rPr>
        <w:t>.</w:t>
      </w:r>
      <w:r>
        <w:rPr>
          <w:snapToGrid w:val="0"/>
        </w:rPr>
        <w:tab/>
        <w:t>How applications are made</w:t>
      </w:r>
      <w:bookmarkEnd w:id="245"/>
    </w:p>
    <w:p>
      <w:pPr>
        <w:pStyle w:val="Subsection"/>
        <w:keepNext/>
        <w:spacing w:before="120"/>
        <w:rPr>
          <w:snapToGrid w:val="0"/>
        </w:rPr>
      </w:pPr>
      <w:r>
        <w:rPr>
          <w:snapToGrid w:val="0"/>
        </w:rPr>
        <w:tab/>
      </w:r>
      <w:r>
        <w:rPr>
          <w:snapToGrid w:val="0"/>
        </w:rPr>
        <w:tab/>
        <w:t xml:space="preserve">In addition to complying with any requirements of the </w:t>
      </w:r>
      <w:r>
        <w:rPr>
          <w:i/>
          <w:snapToGrid w:val="0"/>
        </w:rPr>
        <w:t>State Administrative Tribunal Act 2004</w:t>
      </w:r>
      <w:r>
        <w:rPr>
          <w:snapToGrid w:val="0"/>
        </w:rPr>
        <w:t>, an application to the State Administrative Tribunal for relief under this Part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comply with section 77B; and</w:t>
      </w:r>
    </w:p>
    <w:p>
      <w:pPr>
        <w:pStyle w:val="Indenta"/>
        <w:rPr>
          <w:snapToGrid w:val="0"/>
        </w:rPr>
      </w:pPr>
      <w:r>
        <w:rPr>
          <w:snapToGrid w:val="0"/>
        </w:rPr>
        <w:tab/>
        <w:t>(c)</w:t>
      </w:r>
      <w:r>
        <w:rPr>
          <w:snapToGrid w:val="0"/>
        </w:rPr>
        <w:tab/>
        <w:t>specify the order or orders that are applied for and the grounds relied on for the making of each order.</w:t>
      </w:r>
    </w:p>
    <w:p>
      <w:pPr>
        <w:pStyle w:val="Footnotesection"/>
      </w:pPr>
      <w:r>
        <w:tab/>
        <w:t>[Section 77 inserted: No. 58 of 1995 s. 67; amended: No. 55 of 2004 s. 1126 and 1156(1).]</w:t>
      </w:r>
    </w:p>
    <w:p>
      <w:pPr>
        <w:pStyle w:val="Ednotesection"/>
      </w:pPr>
      <w:r>
        <w:t>[</w:t>
      </w:r>
      <w:r>
        <w:rPr>
          <w:b/>
          <w:bCs/>
        </w:rPr>
        <w:t>77A.</w:t>
      </w:r>
      <w:r>
        <w:rPr>
          <w:b/>
          <w:bCs/>
        </w:rPr>
        <w:tab/>
      </w:r>
      <w:r>
        <w:t>Deleted: No. 55 of 2004 s. 1127.]</w:t>
      </w:r>
    </w:p>
    <w:p>
      <w:pPr>
        <w:pStyle w:val="Heading5"/>
        <w:rPr>
          <w:snapToGrid w:val="0"/>
        </w:rPr>
      </w:pPr>
      <w:bookmarkStart w:id="246" w:name="_Toc530554959"/>
      <w:r>
        <w:rPr>
          <w:rStyle w:val="CharSectno"/>
        </w:rPr>
        <w:t>77B</w:t>
      </w:r>
      <w:r>
        <w:rPr>
          <w:snapToGrid w:val="0"/>
        </w:rPr>
        <w:t>.</w:t>
      </w:r>
      <w:r>
        <w:rPr>
          <w:snapToGrid w:val="0"/>
        </w:rPr>
        <w:tab/>
        <w:t>Disputes procedures for scheme to be followed</w:t>
      </w:r>
      <w:bookmarkEnd w:id="246"/>
    </w:p>
    <w:p>
      <w:pPr>
        <w:pStyle w:val="Subsection"/>
        <w:spacing w:before="120"/>
        <w:rPr>
          <w:snapToGrid w:val="0"/>
        </w:rPr>
      </w:pPr>
      <w:r>
        <w:rPr>
          <w:snapToGrid w:val="0"/>
        </w:rPr>
        <w:tab/>
        <w:t>(1)</w:t>
      </w:r>
      <w:r>
        <w:rPr>
          <w:snapToGrid w:val="0"/>
        </w:rPr>
        <w:tab/>
        <w:t>An application for an order under this Part in relation to a scheme shall be accompanied by a certificate under subsection (2) given by the applicant.</w:t>
      </w:r>
    </w:p>
    <w:p>
      <w:pPr>
        <w:pStyle w:val="Subsection"/>
        <w:keepNext/>
        <w:spacing w:before="120"/>
        <w:rPr>
          <w:snapToGrid w:val="0"/>
        </w:rPr>
      </w:pPr>
      <w:r>
        <w:rPr>
          <w:snapToGrid w:val="0"/>
        </w:rPr>
        <w:tab/>
        <w:t>(2)</w:t>
      </w:r>
      <w:r>
        <w:rPr>
          <w:snapToGrid w:val="0"/>
        </w:rPr>
        <w:tab/>
        <w:t>The certificate must state either —</w:t>
      </w:r>
    </w:p>
    <w:p>
      <w:pPr>
        <w:pStyle w:val="Indenta"/>
        <w:rPr>
          <w:snapToGrid w:val="0"/>
        </w:rPr>
      </w:pPr>
      <w:r>
        <w:rPr>
          <w:snapToGrid w:val="0"/>
        </w:rPr>
        <w:tab/>
        <w:t>(a)</w:t>
      </w:r>
      <w:r>
        <w:rPr>
          <w:snapToGrid w:val="0"/>
        </w:rPr>
        <w:tab/>
        <w:t>that there are no relevant provisions in the by</w:t>
      </w:r>
      <w:r>
        <w:rPr>
          <w:snapToGrid w:val="0"/>
        </w:rPr>
        <w:noBreakHyphen/>
        <w:t>laws of the strata company for the scheme that relate to the resolution of the matter in dispute; or</w:t>
      </w:r>
    </w:p>
    <w:p>
      <w:pPr>
        <w:pStyle w:val="Indenta"/>
        <w:rPr>
          <w:snapToGrid w:val="0"/>
        </w:rPr>
      </w:pPr>
      <w:r>
        <w:rPr>
          <w:snapToGrid w:val="0"/>
        </w:rPr>
        <w:tab/>
        <w:t>(b)</w:t>
      </w:r>
      <w:r>
        <w:rPr>
          <w:snapToGrid w:val="0"/>
        </w:rPr>
        <w:tab/>
        <w:t>that there are such provisions and the applicant has, so far as is possible, complied with them.</w:t>
      </w:r>
    </w:p>
    <w:p>
      <w:pPr>
        <w:pStyle w:val="Footnotesection"/>
      </w:pPr>
      <w:r>
        <w:tab/>
        <w:t>[Section 77B inserted: No. 58 of 1995 s. 68.]</w:t>
      </w:r>
    </w:p>
    <w:p>
      <w:pPr>
        <w:pStyle w:val="Heading5"/>
        <w:keepNext w:val="0"/>
        <w:keepLines w:val="0"/>
        <w:rPr>
          <w:snapToGrid w:val="0"/>
        </w:rPr>
      </w:pPr>
      <w:bookmarkStart w:id="247" w:name="_Toc530554960"/>
      <w:r>
        <w:rPr>
          <w:rStyle w:val="CharSectno"/>
        </w:rPr>
        <w:t>78</w:t>
      </w:r>
      <w:r>
        <w:rPr>
          <w:snapToGrid w:val="0"/>
        </w:rPr>
        <w:t>.</w:t>
      </w:r>
      <w:r>
        <w:rPr>
          <w:snapToGrid w:val="0"/>
        </w:rPr>
        <w:tab/>
        <w:t>SAT may inspect certain records</w:t>
      </w:r>
      <w:bookmarkEnd w:id="247"/>
    </w:p>
    <w:p>
      <w:pPr>
        <w:pStyle w:val="Subsection"/>
        <w:spacing w:before="120"/>
        <w:rPr>
          <w:snapToGrid w:val="0"/>
        </w:rPr>
      </w:pPr>
      <w:r>
        <w:rPr>
          <w:snapToGrid w:val="0"/>
        </w:rPr>
        <w:tab/>
        <w:t>(1)</w:t>
      </w:r>
      <w:r>
        <w:rPr>
          <w:snapToGrid w:val="0"/>
        </w:rPr>
        <w:tab/>
        <w:t>Where an application is made to the State Administrative Tribunal for an order under this Part in relation to a scheme, the strata company for the scheme has, in relation to the State Administrative Tribunal, the same duties under sections 35A and 43 as it has under those sections in relation to a proprietor.</w:t>
      </w:r>
    </w:p>
    <w:p>
      <w:pPr>
        <w:pStyle w:val="Subsection"/>
        <w:keepNext/>
        <w:rPr>
          <w:snapToGrid w:val="0"/>
        </w:rPr>
      </w:pPr>
      <w:r>
        <w:rPr>
          <w:snapToGrid w:val="0"/>
        </w:rPr>
        <w:tab/>
        <w:t>(2)</w:t>
      </w:r>
      <w:r>
        <w:rPr>
          <w:snapToGrid w:val="0"/>
        </w:rPr>
        <w:tab/>
        <w:t>A strata company shall not neglect or fail to perform any duty owed by it to the State Administrative Tribunal under subsection (1).</w:t>
      </w:r>
    </w:p>
    <w:p>
      <w:pPr>
        <w:pStyle w:val="Penstart"/>
        <w:rPr>
          <w:snapToGrid w:val="0"/>
        </w:rPr>
      </w:pPr>
      <w:r>
        <w:rPr>
          <w:snapToGrid w:val="0"/>
        </w:rPr>
        <w:tab/>
        <w:t>Penalty: $500.</w:t>
      </w:r>
    </w:p>
    <w:p>
      <w:pPr>
        <w:pStyle w:val="Footnotesection"/>
      </w:pPr>
      <w:r>
        <w:tab/>
        <w:t>[Section 78 amended: No. 58 of 1995 s. 69 and 96; No. 55 of 2004 s. 1156(1).]</w:t>
      </w:r>
    </w:p>
    <w:p>
      <w:pPr>
        <w:pStyle w:val="Heading5"/>
        <w:keepNext w:val="0"/>
        <w:keepLines w:val="0"/>
        <w:rPr>
          <w:snapToGrid w:val="0"/>
        </w:rPr>
      </w:pPr>
      <w:bookmarkStart w:id="248" w:name="_Toc530554961"/>
      <w:r>
        <w:rPr>
          <w:rStyle w:val="CharSectno"/>
        </w:rPr>
        <w:t>79</w:t>
      </w:r>
      <w:r>
        <w:rPr>
          <w:snapToGrid w:val="0"/>
        </w:rPr>
        <w:t>.</w:t>
      </w:r>
      <w:r>
        <w:rPr>
          <w:snapToGrid w:val="0"/>
        </w:rPr>
        <w:tab/>
        <w:t>Notice of application to be given</w:t>
      </w:r>
      <w:bookmarkEnd w:id="248"/>
    </w:p>
    <w:p>
      <w:pPr>
        <w:pStyle w:val="Ednotesubsection"/>
      </w:pPr>
      <w:r>
        <w:tab/>
        <w:t>[(1)</w:t>
      </w:r>
      <w:r>
        <w:tab/>
        <w:t>deleted]</w:t>
      </w:r>
    </w:p>
    <w:p>
      <w:pPr>
        <w:pStyle w:val="Subsection"/>
        <w:keepNext/>
        <w:rPr>
          <w:snapToGrid w:val="0"/>
        </w:rPr>
      </w:pPr>
      <w:r>
        <w:rPr>
          <w:snapToGrid w:val="0"/>
        </w:rPr>
        <w:tab/>
        <w:t>(2)</w:t>
      </w:r>
      <w:r>
        <w:rPr>
          <w:snapToGrid w:val="0"/>
        </w:rPr>
        <w:tab/>
        <w:t xml:space="preserve">A strata company that is given notice </w:t>
      </w:r>
      <w:r>
        <w:t>of an application to the State Administrative Tribunal under this Part</w:t>
      </w:r>
      <w:r>
        <w:rPr>
          <w:snapToGrid w:val="0"/>
        </w:rPr>
        <w:t xml:space="preserve"> shall forthwith serve a copy of the notice on each —</w:t>
      </w:r>
    </w:p>
    <w:p>
      <w:pPr>
        <w:pStyle w:val="Indenta"/>
        <w:rPr>
          <w:snapToGrid w:val="0"/>
        </w:rPr>
      </w:pPr>
      <w:r>
        <w:rPr>
          <w:snapToGrid w:val="0"/>
        </w:rPr>
        <w:tab/>
        <w:t>(a)</w:t>
      </w:r>
      <w:r>
        <w:rPr>
          <w:snapToGrid w:val="0"/>
        </w:rPr>
        <w:tab/>
        <w:t>proprietor; and</w:t>
      </w:r>
    </w:p>
    <w:p>
      <w:pPr>
        <w:pStyle w:val="Indenta"/>
        <w:rPr>
          <w:snapToGrid w:val="0"/>
        </w:rPr>
      </w:pPr>
      <w:r>
        <w:rPr>
          <w:snapToGrid w:val="0"/>
        </w:rPr>
        <w:tab/>
        <w:t>(b)</w:t>
      </w:r>
      <w:r>
        <w:rPr>
          <w:snapToGrid w:val="0"/>
        </w:rPr>
        <w:tab/>
        <w:t>mortgagee who has given notice in writing of his interest to the strata company; and</w:t>
      </w:r>
    </w:p>
    <w:p>
      <w:pPr>
        <w:pStyle w:val="Indenta"/>
        <w:rPr>
          <w:snapToGrid w:val="0"/>
        </w:rPr>
      </w:pPr>
      <w:r>
        <w:rPr>
          <w:snapToGrid w:val="0"/>
        </w:rPr>
        <w:tab/>
        <w:t>(c)</w:t>
      </w:r>
      <w:r>
        <w:rPr>
          <w:snapToGrid w:val="0"/>
        </w:rPr>
        <w:tab/>
        <w:t>occupier who would be affected if the order sought were made.</w:t>
      </w:r>
    </w:p>
    <w:p>
      <w:pPr>
        <w:pStyle w:val="Footnotesection"/>
      </w:pPr>
      <w:r>
        <w:tab/>
        <w:t>[Section 79 inserted: No. 58 of 1995 s. 70; amended: No. 55 of 2004 s. 1128.]</w:t>
      </w:r>
    </w:p>
    <w:p>
      <w:pPr>
        <w:pStyle w:val="Ednotedivision"/>
      </w:pPr>
      <w:r>
        <w:t>[Division 2A (s. 80</w:t>
      </w:r>
      <w:r>
        <w:noBreakHyphen/>
        <w:t>80E) deleted: No. 55 of 2004 s. 1129.]</w:t>
      </w:r>
    </w:p>
    <w:p>
      <w:pPr>
        <w:pStyle w:val="Heading3"/>
        <w:rPr>
          <w:b w:val="0"/>
        </w:rPr>
      </w:pPr>
      <w:bookmarkStart w:id="249" w:name="_Toc525288590"/>
      <w:bookmarkStart w:id="250" w:name="_Toc530554626"/>
      <w:bookmarkStart w:id="251" w:name="_Toc530554962"/>
      <w:r>
        <w:rPr>
          <w:rStyle w:val="CharDivNo"/>
        </w:rPr>
        <w:t>Division 3</w:t>
      </w:r>
      <w:r>
        <w:rPr>
          <w:snapToGrid w:val="0"/>
        </w:rPr>
        <w:t> — </w:t>
      </w:r>
      <w:r>
        <w:rPr>
          <w:rStyle w:val="CharDivText"/>
        </w:rPr>
        <w:t>Orders by State Administrative Tribunal</w:t>
      </w:r>
      <w:bookmarkEnd w:id="249"/>
      <w:bookmarkEnd w:id="250"/>
      <w:bookmarkEnd w:id="251"/>
    </w:p>
    <w:p>
      <w:pPr>
        <w:pStyle w:val="Footnoteheading"/>
        <w:tabs>
          <w:tab w:val="clear" w:pos="879"/>
          <w:tab w:val="left" w:pos="890"/>
        </w:tabs>
      </w:pPr>
      <w:r>
        <w:tab/>
        <w:t>[Heading amended: No. 55 of 2004 s. 1130.]</w:t>
      </w:r>
    </w:p>
    <w:p>
      <w:pPr>
        <w:pStyle w:val="Heading5"/>
        <w:keepNext w:val="0"/>
        <w:keepLines w:val="0"/>
        <w:rPr>
          <w:snapToGrid w:val="0"/>
        </w:rPr>
      </w:pPr>
      <w:bookmarkStart w:id="252" w:name="_Toc530554963"/>
      <w:r>
        <w:rPr>
          <w:rStyle w:val="CharSectno"/>
        </w:rPr>
        <w:t>81</w:t>
      </w:r>
      <w:r>
        <w:rPr>
          <w:snapToGrid w:val="0"/>
        </w:rPr>
        <w:t>.</w:t>
      </w:r>
      <w:r>
        <w:rPr>
          <w:snapToGrid w:val="0"/>
        </w:rPr>
        <w:tab/>
        <w:t>Orders under this Division</w:t>
      </w:r>
      <w:bookmarkEnd w:id="252"/>
    </w:p>
    <w:p>
      <w:pPr>
        <w:pStyle w:val="Subsection"/>
        <w:rPr>
          <w:snapToGrid w:val="0"/>
        </w:rPr>
      </w:pPr>
      <w:r>
        <w:rPr>
          <w:snapToGrid w:val="0"/>
        </w:rPr>
        <w:tab/>
        <w:t>(1)</w:t>
      </w:r>
      <w:r>
        <w:rPr>
          <w:snapToGrid w:val="0"/>
        </w:rPr>
        <w:tab/>
        <w:t>The State</w:t>
      </w:r>
      <w:r>
        <w:rPr>
          <w:snapToGrid w:val="0"/>
          <w:spacing w:val="-4"/>
        </w:rPr>
        <w:t xml:space="preserve"> Administrative Tribunal</w:t>
      </w:r>
      <w:r>
        <w:rPr>
          <w:snapToGrid w:val="0"/>
        </w:rPr>
        <w:t xml:space="preserve"> may make an order sought by the applicant and an order made may be expressed in terms different from the order sought, so long as it does not differ in substance from the order sought.</w:t>
      </w:r>
    </w:p>
    <w:p>
      <w:pPr>
        <w:pStyle w:val="Subsection"/>
        <w:rPr>
          <w:snapToGrid w:val="0"/>
        </w:rPr>
      </w:pPr>
      <w:r>
        <w:rPr>
          <w:snapToGrid w:val="0"/>
        </w:rPr>
        <w:tab/>
        <w:t>(2)</w:t>
      </w:r>
      <w:r>
        <w:rPr>
          <w:snapToGrid w:val="0"/>
        </w:rPr>
        <w:tab/>
        <w:t>An order made may include such ancillary or consequential provisions as the State Administrative Tribunal thinks fit.</w:t>
      </w:r>
    </w:p>
    <w:p>
      <w:pPr>
        <w:pStyle w:val="Subsection"/>
        <w:rPr>
          <w:snapToGrid w:val="0"/>
        </w:rPr>
      </w:pPr>
      <w:r>
        <w:rPr>
          <w:snapToGrid w:val="0"/>
        </w:rPr>
        <w:tab/>
        <w:t>(3)</w:t>
      </w:r>
      <w:r>
        <w:rPr>
          <w:snapToGrid w:val="0"/>
        </w:rPr>
        <w:tab/>
        <w:t>The State Administrative Tribunal may order a strata company, an administrator, a proprietor, a person having an estate or interest in a lot or an occupier or other resident of a lot to do, or to refrain from doing, a specified act with respect to a parcel.</w:t>
      </w:r>
    </w:p>
    <w:p>
      <w:pPr>
        <w:pStyle w:val="Subsection"/>
        <w:rPr>
          <w:snapToGrid w:val="0"/>
        </w:rPr>
      </w:pPr>
      <w:r>
        <w:rPr>
          <w:snapToGrid w:val="0"/>
        </w:rPr>
        <w:tab/>
        <w:t>(4)</w:t>
      </w:r>
      <w:r>
        <w:rPr>
          <w:snapToGrid w:val="0"/>
        </w:rPr>
        <w:tab/>
        <w:t>The State Administrative Tribunal may by order dismiss an application for an order.</w:t>
      </w:r>
    </w:p>
    <w:p>
      <w:pPr>
        <w:pStyle w:val="Subsection"/>
        <w:rPr>
          <w:snapToGrid w:val="0"/>
        </w:rPr>
      </w:pPr>
      <w:r>
        <w:rPr>
          <w:snapToGrid w:val="0"/>
        </w:rPr>
        <w:tab/>
        <w:t>(5)</w:t>
      </w:r>
      <w:r>
        <w:rPr>
          <w:snapToGrid w:val="0"/>
        </w:rPr>
        <w:tab/>
        <w:t>An application may be withdrawn by the applicant at any time before an order is made.</w:t>
      </w:r>
    </w:p>
    <w:p>
      <w:pPr>
        <w:pStyle w:val="Ednotesubsection"/>
      </w:pPr>
      <w:r>
        <w:tab/>
        <w:t>[(6)</w:t>
      </w:r>
      <w:r>
        <w:tab/>
        <w:t>deleted]</w:t>
      </w:r>
    </w:p>
    <w:p>
      <w:pPr>
        <w:pStyle w:val="Subsection"/>
        <w:rPr>
          <w:snapToGrid w:val="0"/>
        </w:rPr>
      </w:pPr>
      <w:r>
        <w:rPr>
          <w:snapToGrid w:val="0"/>
        </w:rPr>
        <w:tab/>
        <w:t>(7)</w:t>
      </w:r>
      <w:r>
        <w:rPr>
          <w:snapToGrid w:val="0"/>
        </w:rPr>
        <w:tab/>
        <w:t>The State Administrative Tribunal cannot make any order for the payment of costs in connection with an application for an order except —</w:t>
      </w:r>
    </w:p>
    <w:p>
      <w:pPr>
        <w:pStyle w:val="Indenta"/>
      </w:pPr>
      <w:r>
        <w:rPr>
          <w:snapToGrid w:val="0"/>
        </w:rPr>
        <w:tab/>
        <w:t>(a)</w:t>
      </w:r>
      <w:r>
        <w:rPr>
          <w:snapToGrid w:val="0"/>
        </w:rPr>
        <w:tab/>
        <w:t xml:space="preserve">when allowing an applicant to amend the application, </w:t>
      </w:r>
      <w:r>
        <w:t>to compensate persons for time unnecessarily spent in connection with the application; or</w:t>
      </w:r>
    </w:p>
    <w:p>
      <w:pPr>
        <w:pStyle w:val="Indenta"/>
        <w:rPr>
          <w:snapToGrid w:val="0"/>
        </w:rPr>
      </w:pPr>
      <w:r>
        <w:rPr>
          <w:snapToGrid w:val="0"/>
        </w:rPr>
        <w:tab/>
        <w:t>(b)</w:t>
      </w:r>
      <w:r>
        <w:rPr>
          <w:snapToGrid w:val="0"/>
        </w:rPr>
        <w:tab/>
        <w:t>under section 103H(8).</w:t>
      </w:r>
    </w:p>
    <w:p>
      <w:pPr>
        <w:pStyle w:val="Ednotesubsection"/>
      </w:pPr>
      <w:r>
        <w:tab/>
        <w:t>[(8), (9)</w:t>
      </w:r>
      <w:r>
        <w:tab/>
        <w:t>deleted]</w:t>
      </w:r>
    </w:p>
    <w:p>
      <w:pPr>
        <w:pStyle w:val="Subsection"/>
        <w:rPr>
          <w:snapToGrid w:val="0"/>
        </w:rPr>
      </w:pPr>
      <w:r>
        <w:rPr>
          <w:snapToGrid w:val="0"/>
        </w:rPr>
        <w:tab/>
        <w:t>(10)</w:t>
      </w:r>
      <w:r>
        <w:rPr>
          <w:snapToGrid w:val="0"/>
        </w:rPr>
        <w:tab/>
        <w:t>Except to the extent that the order otherwise provides, an order under this Division (not being an order for payment of money referred to in section 84(1)(a)) ceases to have any force or effect upon the expiration of the period of 2 years that next succeeds the making of the order.</w:t>
      </w:r>
    </w:p>
    <w:p>
      <w:pPr>
        <w:pStyle w:val="Subsection"/>
        <w:rPr>
          <w:snapToGrid w:val="0"/>
        </w:rPr>
      </w:pPr>
      <w:r>
        <w:rPr>
          <w:snapToGrid w:val="0"/>
        </w:rPr>
        <w:tab/>
        <w:t>(11)</w:t>
      </w:r>
      <w:r>
        <w:rPr>
          <w:snapToGrid w:val="0"/>
        </w:rPr>
        <w:tab/>
        <w:t>Notwithstanding section 36, where an order against a strata company is made under this Division on the application of the proprietor of a lot, the strata company may not levy in respect of that lot a contribution towards the expenses of the strata company in relation to the application.</w:t>
      </w:r>
    </w:p>
    <w:p>
      <w:pPr>
        <w:pStyle w:val="Footnotesection"/>
      </w:pPr>
      <w:r>
        <w:tab/>
        <w:t>[Section 81 amended: No. 58 of 1995 s. 72; No. 55 of 2004 s. 1131 and 1156(2) and (3).]</w:t>
      </w:r>
    </w:p>
    <w:p>
      <w:pPr>
        <w:pStyle w:val="Heading5"/>
        <w:rPr>
          <w:snapToGrid w:val="0"/>
        </w:rPr>
      </w:pPr>
      <w:bookmarkStart w:id="253" w:name="_Toc530554964"/>
      <w:r>
        <w:rPr>
          <w:rStyle w:val="CharSectno"/>
        </w:rPr>
        <w:t>82</w:t>
      </w:r>
      <w:r>
        <w:rPr>
          <w:snapToGrid w:val="0"/>
        </w:rPr>
        <w:t>.</w:t>
      </w:r>
      <w:r>
        <w:rPr>
          <w:snapToGrid w:val="0"/>
        </w:rPr>
        <w:tab/>
        <w:t>Interim orders</w:t>
      </w:r>
      <w:bookmarkEnd w:id="253"/>
    </w:p>
    <w:p>
      <w:pPr>
        <w:pStyle w:val="Subsection"/>
        <w:spacing w:before="140"/>
        <w:rPr>
          <w:snapToGrid w:val="0"/>
        </w:rPr>
      </w:pPr>
      <w:r>
        <w:rPr>
          <w:snapToGrid w:val="0"/>
        </w:rPr>
        <w:tab/>
        <w:t>(1)</w:t>
      </w:r>
      <w:r>
        <w:rPr>
          <w:snapToGrid w:val="0"/>
        </w:rPr>
        <w:tab/>
        <w:t xml:space="preserve">In this section, </w:t>
      </w:r>
      <w:r>
        <w:rPr>
          <w:rStyle w:val="CharDefText"/>
        </w:rPr>
        <w:t>interim order</w:t>
      </w:r>
      <w:r>
        <w:rPr>
          <w:snapToGrid w:val="0"/>
        </w:rPr>
        <w:t xml:space="preserve"> means an order made under subsection (2).</w:t>
      </w:r>
    </w:p>
    <w:p>
      <w:pPr>
        <w:pStyle w:val="Subsection"/>
        <w:spacing w:before="140"/>
        <w:rPr>
          <w:snapToGrid w:val="0"/>
        </w:rPr>
      </w:pPr>
      <w:r>
        <w:rPr>
          <w:snapToGrid w:val="0"/>
        </w:rPr>
        <w:tab/>
        <w:t>(2)</w:t>
      </w:r>
      <w:r>
        <w:rPr>
          <w:snapToGrid w:val="0"/>
        </w:rPr>
        <w:tab/>
        <w:t>Where an applicant for an order under this Division states in his application that he requests an interim order, the State Administrative Tribunal may, if satisfied on reasonable grounds that by reason of the urgent circumstances of the case it should do so —</w:t>
      </w:r>
    </w:p>
    <w:p>
      <w:pPr>
        <w:pStyle w:val="Indenta"/>
        <w:spacing w:before="60"/>
        <w:rPr>
          <w:snapToGrid w:val="0"/>
        </w:rPr>
      </w:pPr>
      <w:r>
        <w:rPr>
          <w:snapToGrid w:val="0"/>
        </w:rPr>
        <w:tab/>
        <w:t>(a)</w:t>
      </w:r>
      <w:r>
        <w:rPr>
          <w:snapToGrid w:val="0"/>
        </w:rPr>
        <w:tab/>
        <w:t>make under this subsection as an interim order any order that may be made under this Division with respect to the application; and</w:t>
      </w:r>
    </w:p>
    <w:p>
      <w:pPr>
        <w:pStyle w:val="Indenta"/>
        <w:spacing w:before="60"/>
        <w:rPr>
          <w:snapToGrid w:val="0"/>
        </w:rPr>
      </w:pPr>
      <w:r>
        <w:rPr>
          <w:snapToGrid w:val="0"/>
        </w:rPr>
        <w:tab/>
        <w:t>(b)</w:t>
      </w:r>
      <w:r>
        <w:rPr>
          <w:snapToGrid w:val="0"/>
        </w:rPr>
        <w:tab/>
        <w:t>before the expiration of 3 months from the date on which an interim order takes effect and upon a further request made by the applicant, renew the interim order that is in force by serving notice in accordance with section 104 that the order is renewed.</w:t>
      </w:r>
    </w:p>
    <w:p>
      <w:pPr>
        <w:pStyle w:val="Subsection"/>
        <w:spacing w:before="140"/>
        <w:rPr>
          <w:snapToGrid w:val="0"/>
        </w:rPr>
      </w:pPr>
      <w:r>
        <w:rPr>
          <w:snapToGrid w:val="0"/>
        </w:rPr>
        <w:tab/>
        <w:t>(3)</w:t>
      </w:r>
      <w:r>
        <w:rPr>
          <w:snapToGrid w:val="0"/>
        </w:rPr>
        <w:tab/>
        <w:t>An interim order may be made or renewed notwithstanding that the time within which a person may make a written submission has not expired.</w:t>
      </w:r>
    </w:p>
    <w:p>
      <w:pPr>
        <w:pStyle w:val="Subsection"/>
        <w:spacing w:before="140"/>
        <w:rPr>
          <w:snapToGrid w:val="0"/>
        </w:rPr>
      </w:pPr>
      <w:r>
        <w:rPr>
          <w:snapToGrid w:val="0"/>
        </w:rPr>
        <w:tab/>
        <w:t>(4)</w:t>
      </w:r>
      <w:r>
        <w:rPr>
          <w:snapToGrid w:val="0"/>
        </w:rPr>
        <w:tab/>
        <w:t>An interim order made pursuant to an application for an order under this Division ceases to have effect —</w:t>
      </w:r>
    </w:p>
    <w:p>
      <w:pPr>
        <w:pStyle w:val="Indenta"/>
        <w:spacing w:before="60"/>
        <w:rPr>
          <w:snapToGrid w:val="0"/>
        </w:rPr>
      </w:pPr>
      <w:r>
        <w:rPr>
          <w:snapToGrid w:val="0"/>
          <w:spacing w:val="-4"/>
        </w:rPr>
        <w:tab/>
        <w:t>(a)</w:t>
      </w:r>
      <w:r>
        <w:rPr>
          <w:snapToGrid w:val="0"/>
          <w:spacing w:val="-4"/>
        </w:rPr>
        <w:tab/>
      </w:r>
      <w:r>
        <w:rPr>
          <w:snapToGrid w:val="0"/>
        </w:rPr>
        <w:t>at the expiration of 3 months from the date on which it takes effect or, where the State Administrative Tribunal has renewed the interim order, at the expiration of 6 months from that date; or</w:t>
      </w:r>
    </w:p>
    <w:p>
      <w:pPr>
        <w:pStyle w:val="Indenta"/>
        <w:spacing w:before="60"/>
        <w:rPr>
          <w:snapToGrid w:val="0"/>
        </w:rPr>
      </w:pPr>
      <w:r>
        <w:rPr>
          <w:snapToGrid w:val="0"/>
        </w:rPr>
        <w:tab/>
        <w:t>(b)</w:t>
      </w:r>
      <w:r>
        <w:rPr>
          <w:snapToGrid w:val="0"/>
        </w:rPr>
        <w:tab/>
        <w:t>where the interim order is revoked by the Supreme Court on appeal from the State Administrative Tribunal; or</w:t>
      </w:r>
    </w:p>
    <w:p>
      <w:pPr>
        <w:pStyle w:val="Indenta"/>
        <w:spacing w:before="60"/>
        <w:rPr>
          <w:snapToGrid w:val="0"/>
        </w:rPr>
      </w:pPr>
      <w:r>
        <w:rPr>
          <w:snapToGrid w:val="0"/>
        </w:rPr>
        <w:tab/>
        <w:t>(c)</w:t>
      </w:r>
      <w:r>
        <w:rPr>
          <w:snapToGrid w:val="0"/>
        </w:rPr>
        <w:tab/>
        <w:t>if the State Administrative Tribunal (or the Supreme Court on appeal from the State Administrative Tribunal) —</w:t>
      </w:r>
    </w:p>
    <w:p>
      <w:pPr>
        <w:pStyle w:val="Indenti"/>
        <w:spacing w:before="60"/>
        <w:rPr>
          <w:snapToGrid w:val="0"/>
        </w:rPr>
      </w:pPr>
      <w:r>
        <w:rPr>
          <w:snapToGrid w:val="0"/>
        </w:rPr>
        <w:tab/>
        <w:t>(i)</w:t>
      </w:r>
      <w:r>
        <w:rPr>
          <w:snapToGrid w:val="0"/>
        </w:rPr>
        <w:tab/>
        <w:t>makes an order under this Division with respect to the application; or</w:t>
      </w:r>
    </w:p>
    <w:p>
      <w:pPr>
        <w:pStyle w:val="Indenti"/>
        <w:spacing w:before="60"/>
        <w:rPr>
          <w:snapToGrid w:val="0"/>
        </w:rPr>
      </w:pPr>
      <w:r>
        <w:rPr>
          <w:snapToGrid w:val="0"/>
        </w:rPr>
        <w:tab/>
        <w:t>(ii)</w:t>
      </w:r>
      <w:r>
        <w:rPr>
          <w:snapToGrid w:val="0"/>
        </w:rPr>
        <w:tab/>
        <w:t>dismi</w:t>
      </w:r>
      <w:r>
        <w:t>s</w:t>
      </w:r>
      <w:r>
        <w:rPr>
          <w:snapToGrid w:val="0"/>
        </w:rPr>
        <w:t>ses the application.</w:t>
      </w:r>
    </w:p>
    <w:p>
      <w:pPr>
        <w:pStyle w:val="Subsection"/>
        <w:rPr>
          <w:snapToGrid w:val="0"/>
        </w:rPr>
      </w:pPr>
      <w:r>
        <w:rPr>
          <w:snapToGrid w:val="0"/>
        </w:rPr>
        <w:tab/>
        <w:t>(5)</w:t>
      </w:r>
      <w:r>
        <w:rPr>
          <w:snapToGrid w:val="0"/>
        </w:rPr>
        <w:tab/>
        <w:t>The State Administrative Tribunal may revoke an interim order and, if it does so, shall serve notice in accordance with section 104 that the order has been revoked.</w:t>
      </w:r>
    </w:p>
    <w:p>
      <w:pPr>
        <w:pStyle w:val="Footnotesection"/>
        <w:spacing w:before="140"/>
      </w:pPr>
      <w:r>
        <w:tab/>
        <w:t>[Section 82 amended: No. 55 of 2004 s. 1132, 1156(2) and (3) and 1158.]</w:t>
      </w:r>
    </w:p>
    <w:p>
      <w:pPr>
        <w:pStyle w:val="Heading5"/>
        <w:spacing w:before="260"/>
        <w:rPr>
          <w:snapToGrid w:val="0"/>
        </w:rPr>
      </w:pPr>
      <w:bookmarkStart w:id="254" w:name="_Toc530554965"/>
      <w:r>
        <w:rPr>
          <w:rStyle w:val="CharSectno"/>
        </w:rPr>
        <w:t>83</w:t>
      </w:r>
      <w:r>
        <w:rPr>
          <w:snapToGrid w:val="0"/>
        </w:rPr>
        <w:t>.</w:t>
      </w:r>
      <w:r>
        <w:rPr>
          <w:snapToGrid w:val="0"/>
        </w:rPr>
        <w:tab/>
        <w:t>General powers of SAT to make orders</w:t>
      </w:r>
      <w:bookmarkEnd w:id="254"/>
    </w:p>
    <w:p>
      <w:pPr>
        <w:pStyle w:val="Subsection"/>
        <w:spacing w:before="180"/>
        <w:rPr>
          <w:snapToGrid w:val="0"/>
        </w:rPr>
      </w:pPr>
      <w:r>
        <w:rPr>
          <w:snapToGrid w:val="0"/>
        </w:rPr>
        <w:tab/>
        <w:t>(1)</w:t>
      </w:r>
      <w:r>
        <w:rPr>
          <w:snapToGrid w:val="0"/>
        </w:rPr>
        <w:tab/>
        <w:t>The State Administrative Tribunal may, pursuant to an application of a strata company, an administrator, a proprietor, a person having an estate or interest in a lot or an occupier or other resident of a lot, in respect of a scheme, make an order for the settlement of a dispute, or the rectification of a complaint, with respect to the exercise or performance of, or the failure to exercise or perform, a power, authority, duty or function conferred or imposed by this Act or the by</w:t>
      </w:r>
      <w:r>
        <w:rPr>
          <w:snapToGrid w:val="0"/>
        </w:rPr>
        <w:noBreakHyphen/>
        <w:t>laws in connection with that scheme on any person entitled to make an application under this subsection or on the council or the chairman, secretary or treasurer of the strata company.</w:t>
      </w:r>
    </w:p>
    <w:p>
      <w:pPr>
        <w:pStyle w:val="Subsection"/>
        <w:spacing w:before="180"/>
        <w:rPr>
          <w:snapToGrid w:val="0"/>
        </w:rPr>
      </w:pPr>
      <w:r>
        <w:rPr>
          <w:snapToGrid w:val="0"/>
        </w:rPr>
        <w:tab/>
        <w:t>(2)</w:t>
      </w:r>
      <w:r>
        <w:rPr>
          <w:snapToGrid w:val="0"/>
        </w:rPr>
        <w:tab/>
        <w:t>Where a strata company has a discretion as to whether or not it exercises or performs a power, authority, duty or function conferred or imposed on it by this Act, it shall be deemed to have refused or failed to exercise or perform that power, authority, duty or function only if it has decided not to exercise or perform that power, authority, duty or function.</w:t>
      </w:r>
    </w:p>
    <w:p>
      <w:pPr>
        <w:pStyle w:val="Subsection"/>
        <w:keepNext/>
        <w:spacing w:before="180"/>
        <w:rPr>
          <w:snapToGrid w:val="0"/>
        </w:rPr>
      </w:pPr>
      <w:r>
        <w:rPr>
          <w:snapToGrid w:val="0"/>
        </w:rPr>
        <w:tab/>
        <w:t>(3)</w:t>
      </w:r>
      <w:r>
        <w:rPr>
          <w:snapToGrid w:val="0"/>
        </w:rPr>
        <w:tab/>
        <w:t>For the purposes of subsection (2), where —</w:t>
      </w:r>
    </w:p>
    <w:p>
      <w:pPr>
        <w:pStyle w:val="Indenta"/>
        <w:spacing w:before="100"/>
        <w:rPr>
          <w:snapToGrid w:val="0"/>
        </w:rPr>
      </w:pPr>
      <w:r>
        <w:rPr>
          <w:snapToGrid w:val="0"/>
        </w:rPr>
        <w:tab/>
        <w:t>(a)</w:t>
      </w:r>
      <w:r>
        <w:rPr>
          <w:snapToGrid w:val="0"/>
        </w:rPr>
        <w:tab/>
        <w:t>application is made to a strata company to exercise a discretion referred to in that subsection; and</w:t>
      </w:r>
    </w:p>
    <w:p>
      <w:pPr>
        <w:pStyle w:val="Indenta"/>
        <w:keepNext/>
        <w:spacing w:before="100"/>
        <w:rPr>
          <w:snapToGrid w:val="0"/>
        </w:rPr>
      </w:pPr>
      <w:r>
        <w:rPr>
          <w:snapToGrid w:val="0"/>
        </w:rPr>
        <w:tab/>
        <w:t>(b)</w:t>
      </w:r>
      <w:r>
        <w:rPr>
          <w:snapToGrid w:val="0"/>
        </w:rPr>
        <w:tab/>
        <w:t>the strata company does not, before the expiration of the period of 2 months that next succeeds the making of the application —</w:t>
      </w:r>
    </w:p>
    <w:p>
      <w:pPr>
        <w:pStyle w:val="Indenti"/>
        <w:spacing w:before="100"/>
        <w:rPr>
          <w:snapToGrid w:val="0"/>
        </w:rPr>
      </w:pPr>
      <w:r>
        <w:rPr>
          <w:snapToGrid w:val="0"/>
        </w:rPr>
        <w:tab/>
        <w:t>(i)</w:t>
      </w:r>
      <w:r>
        <w:rPr>
          <w:snapToGrid w:val="0"/>
        </w:rPr>
        <w:tab/>
        <w:t>exercise or perform a power, authority, duty or function in accordance with the application; or</w:t>
      </w:r>
    </w:p>
    <w:p>
      <w:pPr>
        <w:pStyle w:val="Indenti"/>
        <w:rPr>
          <w:snapToGrid w:val="0"/>
        </w:rPr>
      </w:pPr>
      <w:r>
        <w:rPr>
          <w:snapToGrid w:val="0"/>
        </w:rPr>
        <w:tab/>
        <w:t>(ii)</w:t>
      </w:r>
      <w:r>
        <w:rPr>
          <w:snapToGrid w:val="0"/>
        </w:rPr>
        <w:tab/>
        <w:t>inform the applicant that it has decided not to exercise or perform the power, authority, duty or function in accordance with the application,</w:t>
      </w:r>
    </w:p>
    <w:p>
      <w:pPr>
        <w:pStyle w:val="Subsection"/>
        <w:spacing w:before="120"/>
        <w:rPr>
          <w:snapToGrid w:val="0"/>
        </w:rPr>
      </w:pPr>
      <w:r>
        <w:rPr>
          <w:snapToGrid w:val="0"/>
        </w:rPr>
        <w:tab/>
      </w:r>
      <w:r>
        <w:rPr>
          <w:snapToGrid w:val="0"/>
        </w:rPr>
        <w:tab/>
        <w:t>the strata company shall be deemed to have decided not to exercise or perform the power, authority, duty or function.</w:t>
      </w:r>
    </w:p>
    <w:p>
      <w:pPr>
        <w:pStyle w:val="Subsection"/>
        <w:rPr>
          <w:snapToGrid w:val="0"/>
        </w:rPr>
      </w:pPr>
      <w:r>
        <w:rPr>
          <w:snapToGrid w:val="0"/>
        </w:rPr>
        <w:tab/>
        <w:t>(4)</w:t>
      </w:r>
      <w:r>
        <w:rPr>
          <w:snapToGrid w:val="0"/>
        </w:rPr>
        <w:tab/>
        <w:t>Nothing in subsection (1) empowers the State Administrative Tribunal to make an order under that subsection for the settlement of a dispute, or the rectification of a complaint, with respect to the exercise or performance of, or the failure to exercise or perform, a power, authority, duty or function conferred or imposed on the strata company by this Act where that power, authority, duty or function may, in accordance with any provision of this Act, only be exercised or performed pursuant to a unanimous resolution, resolution without dissent or a special resolution.</w:t>
      </w:r>
    </w:p>
    <w:p>
      <w:pPr>
        <w:pStyle w:val="Subsection"/>
        <w:rPr>
          <w:snapToGrid w:val="0"/>
        </w:rPr>
      </w:pPr>
      <w:r>
        <w:rPr>
          <w:snapToGrid w:val="0"/>
        </w:rPr>
        <w:tab/>
        <w:t>(5)</w:t>
      </w:r>
      <w:r>
        <w:rPr>
          <w:snapToGrid w:val="0"/>
        </w:rPr>
        <w:tab/>
        <w:t>Nothing in this Part authorises the State Administrative Tribunal to make an order of the kind that may be made under section 28, 29, 29A or 31.</w:t>
      </w:r>
    </w:p>
    <w:p>
      <w:pPr>
        <w:pStyle w:val="Subsection"/>
        <w:rPr>
          <w:snapToGrid w:val="0"/>
        </w:rPr>
      </w:pPr>
      <w:r>
        <w:rPr>
          <w:snapToGrid w:val="0"/>
        </w:rPr>
        <w:tab/>
        <w:t>(6)</w:t>
      </w:r>
      <w:r>
        <w:rPr>
          <w:snapToGrid w:val="0"/>
        </w:rPr>
        <w:tab/>
        <w:t>Nothing in this Part affects the generality of subsection (1), but an order in respect of any matter referred to in any other section of this Part shall not be made under this section.</w:t>
      </w:r>
    </w:p>
    <w:p>
      <w:pPr>
        <w:pStyle w:val="Footnotesection"/>
      </w:pPr>
      <w:r>
        <w:tab/>
        <w:t>[Section 83 amended: No. 58 of 1995 s. 73, 93(1) and 96; No. 24 of 2000 s. 40(8); No. 55 of 2004 s. 1133 and 1156(1) and (2).]</w:t>
      </w:r>
    </w:p>
    <w:p>
      <w:pPr>
        <w:pStyle w:val="Heading5"/>
        <w:rPr>
          <w:snapToGrid w:val="0"/>
        </w:rPr>
      </w:pPr>
      <w:bookmarkStart w:id="255" w:name="_Toc530554966"/>
      <w:r>
        <w:rPr>
          <w:rStyle w:val="CharSectno"/>
        </w:rPr>
        <w:t>84</w:t>
      </w:r>
      <w:r>
        <w:rPr>
          <w:snapToGrid w:val="0"/>
        </w:rPr>
        <w:t>.</w:t>
      </w:r>
      <w:r>
        <w:rPr>
          <w:snapToGrid w:val="0"/>
        </w:rPr>
        <w:tab/>
        <w:t>Further powers of SAT</w:t>
      </w:r>
      <w:bookmarkEnd w:id="255"/>
    </w:p>
    <w:p>
      <w:pPr>
        <w:pStyle w:val="Subsection"/>
        <w:keepNext/>
        <w:rPr>
          <w:snapToGrid w:val="0"/>
        </w:rPr>
      </w:pPr>
      <w:r>
        <w:rPr>
          <w:snapToGrid w:val="0"/>
        </w:rPr>
        <w:tab/>
        <w:t>(1)</w:t>
      </w:r>
      <w:r>
        <w:rPr>
          <w:snapToGrid w:val="0"/>
        </w:rPr>
        <w:tab/>
        <w:t>The State Administrative Tribunal is empowered to make an order that —</w:t>
      </w:r>
    </w:p>
    <w:p>
      <w:pPr>
        <w:pStyle w:val="Indenta"/>
        <w:rPr>
          <w:snapToGrid w:val="0"/>
        </w:rPr>
      </w:pPr>
      <w:r>
        <w:rPr>
          <w:snapToGrid w:val="0"/>
        </w:rPr>
        <w:tab/>
        <w:t>(a)</w:t>
      </w:r>
      <w:r>
        <w:rPr>
          <w:snapToGrid w:val="0"/>
        </w:rPr>
        <w:tab/>
        <w:t>requires a party to the dispute before it to pay money not exceeding the sum of $1 000 to a person specified in the order;</w:t>
      </w:r>
    </w:p>
    <w:p>
      <w:pPr>
        <w:pStyle w:val="Indenta"/>
        <w:rPr>
          <w:snapToGrid w:val="0"/>
        </w:rPr>
      </w:pPr>
      <w:r>
        <w:rPr>
          <w:snapToGrid w:val="0"/>
        </w:rPr>
        <w:tab/>
        <w:t>(b)</w:t>
      </w:r>
      <w:r>
        <w:rPr>
          <w:snapToGrid w:val="0"/>
        </w:rPr>
        <w:tab/>
        <w:t>requires a party to the dispute before it to do, or refrain from doing, some specified act to which the application relates;</w:t>
      </w:r>
    </w:p>
    <w:p>
      <w:pPr>
        <w:pStyle w:val="Indenta"/>
        <w:rPr>
          <w:snapToGrid w:val="0"/>
          <w:spacing w:val="-4"/>
        </w:rPr>
      </w:pPr>
      <w:r>
        <w:rPr>
          <w:snapToGrid w:val="0"/>
          <w:spacing w:val="-4"/>
        </w:rPr>
        <w:tab/>
        <w:t>(c)</w:t>
      </w:r>
      <w:r>
        <w:rPr>
          <w:snapToGrid w:val="0"/>
          <w:spacing w:val="-4"/>
        </w:rPr>
        <w:tab/>
        <w:t>strikes out for want of jurisdiction the dispute before</w:t>
      </w:r>
      <w:r>
        <w:rPr>
          <w:snapToGrid w:val="0"/>
        </w:rPr>
        <w:t xml:space="preserve"> it</w:t>
      </w:r>
      <w:r>
        <w:rPr>
          <w:snapToGrid w:val="0"/>
          <w:spacing w:val="-4"/>
        </w:rPr>
        <w:t>.</w:t>
      </w:r>
    </w:p>
    <w:p>
      <w:pPr>
        <w:pStyle w:val="Subsection"/>
        <w:spacing w:before="180"/>
        <w:rPr>
          <w:snapToGrid w:val="0"/>
        </w:rPr>
      </w:pPr>
      <w:r>
        <w:rPr>
          <w:snapToGrid w:val="0"/>
        </w:rPr>
        <w:tab/>
        <w:t>(2)</w:t>
      </w:r>
      <w:r>
        <w:rPr>
          <w:snapToGrid w:val="0"/>
        </w:rPr>
        <w:tab/>
        <w:t>An order made by the State Administrative Tribunal may direct that the order shall be complied with within a period specified in the order.</w:t>
      </w:r>
    </w:p>
    <w:p>
      <w:pPr>
        <w:pStyle w:val="Subsection"/>
        <w:spacing w:before="180"/>
        <w:rPr>
          <w:snapToGrid w:val="0"/>
        </w:rPr>
      </w:pPr>
      <w:r>
        <w:rPr>
          <w:snapToGrid w:val="0"/>
        </w:rPr>
        <w:tab/>
        <w:t>(3)</w:t>
      </w:r>
      <w:r>
        <w:rPr>
          <w:snapToGrid w:val="0"/>
        </w:rPr>
        <w:tab/>
        <w:t>An order made by the State Administrative Tribunal that requires the payment of money may be made to take effect immediately or so as to take effect upon default being made in complying with some other order made by it.</w:t>
      </w:r>
    </w:p>
    <w:p>
      <w:pPr>
        <w:pStyle w:val="Footnotesection"/>
      </w:pPr>
      <w:r>
        <w:tab/>
        <w:t>[Section 84 amended: No. 55 of 2004 s. 1134 and 1156(1) and (2).]</w:t>
      </w:r>
    </w:p>
    <w:p>
      <w:pPr>
        <w:pStyle w:val="Heading5"/>
        <w:keepNext w:val="0"/>
        <w:spacing w:before="260"/>
        <w:rPr>
          <w:snapToGrid w:val="0"/>
        </w:rPr>
      </w:pPr>
      <w:bookmarkStart w:id="256" w:name="_Toc530554967"/>
      <w:r>
        <w:rPr>
          <w:rStyle w:val="CharSectno"/>
        </w:rPr>
        <w:t>85</w:t>
      </w:r>
      <w:r>
        <w:rPr>
          <w:snapToGrid w:val="0"/>
        </w:rPr>
        <w:t>.</w:t>
      </w:r>
      <w:r>
        <w:rPr>
          <w:snapToGrid w:val="0"/>
        </w:rPr>
        <w:tab/>
        <w:t>Order with respect to certain consents affecting common property</w:t>
      </w:r>
      <w:bookmarkEnd w:id="256"/>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consent to a proposal by that proprietor —</w:t>
      </w:r>
    </w:p>
    <w:p>
      <w:pPr>
        <w:pStyle w:val="Indenta"/>
        <w:spacing w:before="100"/>
        <w:rPr>
          <w:snapToGrid w:val="0"/>
        </w:rPr>
      </w:pPr>
      <w:r>
        <w:rPr>
          <w:snapToGrid w:val="0"/>
        </w:rPr>
        <w:tab/>
        <w:t>(a)</w:t>
      </w:r>
      <w:r>
        <w:rPr>
          <w:snapToGrid w:val="0"/>
        </w:rPr>
        <w:tab/>
        <w:t>to effect alterations to the common property; or</w:t>
      </w:r>
    </w:p>
    <w:p>
      <w:pPr>
        <w:pStyle w:val="Indenta"/>
        <w:spacing w:before="100"/>
        <w:rPr>
          <w:snapToGrid w:val="0"/>
        </w:rPr>
      </w:pPr>
      <w:r>
        <w:rPr>
          <w:snapToGrid w:val="0"/>
        </w:rPr>
        <w:tab/>
        <w:t>(b)</w:t>
      </w:r>
      <w:r>
        <w:rPr>
          <w:snapToGrid w:val="0"/>
        </w:rPr>
        <w:tab/>
        <w:t>to have carried out repairs to any damage to the common property or any other property of the strata company,</w:t>
      </w:r>
    </w:p>
    <w:p>
      <w:pPr>
        <w:pStyle w:val="Subsection"/>
        <w:rPr>
          <w:snapToGrid w:val="0"/>
        </w:rPr>
      </w:pPr>
      <w:r>
        <w:rPr>
          <w:snapToGrid w:val="0"/>
        </w:rPr>
        <w:tab/>
      </w:r>
      <w:r>
        <w:rPr>
          <w:snapToGrid w:val="0"/>
        </w:rPr>
        <w:tab/>
        <w:t>it may make an order that the strata company consent to the proposal.</w:t>
      </w:r>
    </w:p>
    <w:p>
      <w:pPr>
        <w:pStyle w:val="Footnotesection"/>
      </w:pPr>
      <w:r>
        <w:tab/>
        <w:t>[Section 85 amended: No. 58 of 1995 s. 96; No. 55 of 2004 s. 1135 and 1156(3).]</w:t>
      </w:r>
    </w:p>
    <w:p>
      <w:pPr>
        <w:pStyle w:val="Heading5"/>
        <w:keepNext w:val="0"/>
        <w:keepLines w:val="0"/>
        <w:spacing w:before="260"/>
        <w:rPr>
          <w:snapToGrid w:val="0"/>
        </w:rPr>
      </w:pPr>
      <w:bookmarkStart w:id="257" w:name="_Toc530554968"/>
      <w:r>
        <w:rPr>
          <w:rStyle w:val="CharSectno"/>
        </w:rPr>
        <w:t>86</w:t>
      </w:r>
      <w:r>
        <w:rPr>
          <w:snapToGrid w:val="0"/>
        </w:rPr>
        <w:t>.</w:t>
      </w:r>
      <w:r>
        <w:rPr>
          <w:snapToGrid w:val="0"/>
        </w:rPr>
        <w:tab/>
        <w:t>Order with respect to acquisition of personal property</w:t>
      </w:r>
      <w:bookmarkEnd w:id="257"/>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an acquisition or a proposed acquisition of personal property by the strata company for the scheme to which the application relates is unreasonable, the State Administrative Tribunal may order —</w:t>
      </w:r>
    </w:p>
    <w:p>
      <w:pPr>
        <w:pStyle w:val="Indenta"/>
        <w:rPr>
          <w:snapToGrid w:val="0"/>
        </w:rPr>
      </w:pPr>
      <w:r>
        <w:rPr>
          <w:snapToGrid w:val="0"/>
        </w:rPr>
        <w:tab/>
        <w:t>(a)</w:t>
      </w:r>
      <w:r>
        <w:rPr>
          <w:snapToGrid w:val="0"/>
        </w:rPr>
        <w:tab/>
        <w:t>that the personal property acquired be sold or otherwise disposed of by the strata company within a specified time; or</w:t>
      </w:r>
    </w:p>
    <w:p>
      <w:pPr>
        <w:pStyle w:val="Indenta"/>
        <w:rPr>
          <w:snapToGrid w:val="0"/>
        </w:rPr>
      </w:pPr>
      <w:r>
        <w:rPr>
          <w:snapToGrid w:val="0"/>
        </w:rPr>
        <w:tab/>
        <w:t>(b)</w:t>
      </w:r>
      <w:r>
        <w:rPr>
          <w:snapToGrid w:val="0"/>
        </w:rPr>
        <w:tab/>
        <w:t>that the personal property be not acquired.</w:t>
      </w:r>
    </w:p>
    <w:p>
      <w:pPr>
        <w:pStyle w:val="Footnotesection"/>
      </w:pPr>
      <w:r>
        <w:tab/>
        <w:t>[Section 86 amended: No. 58 of 1995 s. 96; No. 55 of 2004 s. 1156(3).]</w:t>
      </w:r>
    </w:p>
    <w:p>
      <w:pPr>
        <w:pStyle w:val="Heading5"/>
        <w:rPr>
          <w:snapToGrid w:val="0"/>
        </w:rPr>
      </w:pPr>
      <w:bookmarkStart w:id="258" w:name="_Toc530554969"/>
      <w:r>
        <w:rPr>
          <w:rStyle w:val="CharSectno"/>
        </w:rPr>
        <w:t>87</w:t>
      </w:r>
      <w:r>
        <w:rPr>
          <w:snapToGrid w:val="0"/>
        </w:rPr>
        <w:t>.</w:t>
      </w:r>
      <w:r>
        <w:rPr>
          <w:snapToGrid w:val="0"/>
        </w:rPr>
        <w:tab/>
        <w:t>Order to acquire personal property</w:t>
      </w:r>
      <w:bookmarkEnd w:id="258"/>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acquire personal property, the State Administrative Tribunal may order the strata company to acquire the personal property.</w:t>
      </w:r>
    </w:p>
    <w:p>
      <w:pPr>
        <w:pStyle w:val="Footnotesection"/>
      </w:pPr>
      <w:r>
        <w:tab/>
        <w:t>[Section 87 amended: No. 58 of 1995 s. 96; No. 55 of 2004 s. 1156(3).]</w:t>
      </w:r>
    </w:p>
    <w:p>
      <w:pPr>
        <w:pStyle w:val="Heading5"/>
        <w:rPr>
          <w:snapToGrid w:val="0"/>
        </w:rPr>
      </w:pPr>
      <w:bookmarkStart w:id="259" w:name="_Toc530554970"/>
      <w:r>
        <w:rPr>
          <w:rStyle w:val="CharSectno"/>
        </w:rPr>
        <w:t>88</w:t>
      </w:r>
      <w:r>
        <w:rPr>
          <w:snapToGrid w:val="0"/>
        </w:rPr>
        <w:t>.</w:t>
      </w:r>
      <w:r>
        <w:rPr>
          <w:snapToGrid w:val="0"/>
        </w:rPr>
        <w:tab/>
        <w:t>Order to make or pursue insurance claim</w:t>
      </w:r>
      <w:bookmarkEnd w:id="259"/>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make or pursue an insurance claim in respect of damage to a building or any other property insured by the strata company under Part IV, the State Administrative Tribunal may order the strata company to make or pursue the claim.</w:t>
      </w:r>
    </w:p>
    <w:p>
      <w:pPr>
        <w:pStyle w:val="Footnotesection"/>
        <w:ind w:left="890" w:hanging="890"/>
      </w:pPr>
      <w:r>
        <w:tab/>
        <w:t>[Section 88 amended: No. 58 of 1995 s. 96; No. 55 of 2004 s. 1156(3).]</w:t>
      </w:r>
    </w:p>
    <w:p>
      <w:pPr>
        <w:pStyle w:val="Heading5"/>
        <w:rPr>
          <w:snapToGrid w:val="0"/>
        </w:rPr>
      </w:pPr>
      <w:bookmarkStart w:id="260" w:name="_Toc530554971"/>
      <w:r>
        <w:rPr>
          <w:rStyle w:val="CharSectno"/>
        </w:rPr>
        <w:t>89</w:t>
      </w:r>
      <w:r>
        <w:rPr>
          <w:snapToGrid w:val="0"/>
        </w:rPr>
        <w:t>.</w:t>
      </w:r>
      <w:r>
        <w:rPr>
          <w:snapToGrid w:val="0"/>
        </w:rPr>
        <w:tab/>
        <w:t>Order varying certain rates of interest</w:t>
      </w:r>
      <w:bookmarkEnd w:id="260"/>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determined an unreasonable rate as the rate of interest chargeable for the late payment of a contribution levied under section 36, the State Administrative Tribunal may, in respect of such contributions as are specified in the order and instead of the rate so determined, order that no interest be so chargeable or that the rate so chargeable be a rate specified in the order.</w:t>
      </w:r>
    </w:p>
    <w:p>
      <w:pPr>
        <w:pStyle w:val="Footnotesection"/>
        <w:ind w:left="890" w:hanging="890"/>
      </w:pPr>
      <w:r>
        <w:tab/>
        <w:t>[Section 89 amended: No. 58 of 1995 s. 96; No. 55 of 2004 s. 1136 and 1156(3).]</w:t>
      </w:r>
    </w:p>
    <w:p>
      <w:pPr>
        <w:pStyle w:val="Heading5"/>
        <w:rPr>
          <w:snapToGrid w:val="0"/>
        </w:rPr>
      </w:pPr>
      <w:bookmarkStart w:id="261" w:name="_Toc530554972"/>
      <w:r>
        <w:rPr>
          <w:rStyle w:val="CharSectno"/>
        </w:rPr>
        <w:t>90</w:t>
      </w:r>
      <w:r>
        <w:rPr>
          <w:snapToGrid w:val="0"/>
        </w:rPr>
        <w:t>.</w:t>
      </w:r>
      <w:r>
        <w:rPr>
          <w:snapToGrid w:val="0"/>
        </w:rPr>
        <w:tab/>
        <w:t>Order to supply information or documents</w:t>
      </w:r>
      <w:bookmarkEnd w:id="261"/>
    </w:p>
    <w:p>
      <w:pPr>
        <w:pStyle w:val="Subsection"/>
        <w:rPr>
          <w:snapToGrid w:val="0"/>
        </w:rPr>
      </w:pPr>
      <w:r>
        <w:rPr>
          <w:snapToGrid w:val="0"/>
        </w:rPr>
        <w:tab/>
      </w:r>
      <w:r>
        <w:rPr>
          <w:snapToGrid w:val="0"/>
        </w:rPr>
        <w:tab/>
        <w:t>Where, pursuant to an application for an order under this section, the State Administrative Tribunal considers that the strata company for the scheme to which the application relates, or the administrator for that scheme, or the chairman, secretary or treasurer of that strata company has wrongfully —</w:t>
      </w:r>
    </w:p>
    <w:p>
      <w:pPr>
        <w:pStyle w:val="Indenta"/>
        <w:rPr>
          <w:snapToGrid w:val="0"/>
        </w:rPr>
      </w:pPr>
      <w:r>
        <w:rPr>
          <w:snapToGrid w:val="0"/>
        </w:rPr>
        <w:tab/>
        <w:t>(a)</w:t>
      </w:r>
      <w:r>
        <w:rPr>
          <w:snapToGrid w:val="0"/>
        </w:rPr>
        <w:tab/>
        <w:t>withheld from the applicant information to which he is entitled under this Act; or</w:t>
      </w:r>
    </w:p>
    <w:p>
      <w:pPr>
        <w:pStyle w:val="Indenta"/>
        <w:keepNext/>
        <w:rPr>
          <w:snapToGrid w:val="0"/>
        </w:rPr>
      </w:pPr>
      <w:r>
        <w:rPr>
          <w:snapToGrid w:val="0"/>
        </w:rPr>
        <w:tab/>
        <w:t>(b)</w:t>
      </w:r>
      <w:r>
        <w:rPr>
          <w:snapToGrid w:val="0"/>
        </w:rPr>
        <w:tab/>
        <w:t>failed to make available for inspection by the applicant or his agent a record or document that under this Act he is entitled to inspect,</w:t>
      </w:r>
    </w:p>
    <w:p>
      <w:pPr>
        <w:pStyle w:val="Subsection"/>
        <w:spacing w:before="120"/>
        <w:rPr>
          <w:snapToGrid w:val="0"/>
        </w:rPr>
      </w:pPr>
      <w:r>
        <w:rPr>
          <w:snapToGrid w:val="0"/>
        </w:rPr>
        <w:tab/>
      </w:r>
      <w:r>
        <w:rPr>
          <w:snapToGrid w:val="0"/>
        </w:rPr>
        <w:tab/>
        <w:t>the State Administrative Tribunal may order that strata company, administrator, chairman, secretary or treasurer to supply or make available the information or to make so available the record or document, as the case may require, to the applicant.</w:t>
      </w:r>
    </w:p>
    <w:p>
      <w:pPr>
        <w:pStyle w:val="Footnotesection"/>
        <w:ind w:left="890" w:hanging="890"/>
      </w:pPr>
      <w:r>
        <w:tab/>
        <w:t>[Section 90 amended: No. 58 of 1995 s. 96; No. 55 of 2004 s. 1156(3).]</w:t>
      </w:r>
    </w:p>
    <w:p>
      <w:pPr>
        <w:pStyle w:val="Heading5"/>
        <w:rPr>
          <w:snapToGrid w:val="0"/>
        </w:rPr>
      </w:pPr>
      <w:bookmarkStart w:id="262" w:name="_Toc530554973"/>
      <w:r>
        <w:rPr>
          <w:rStyle w:val="CharSectno"/>
        </w:rPr>
        <w:t>91</w:t>
      </w:r>
      <w:r>
        <w:rPr>
          <w:snapToGrid w:val="0"/>
        </w:rPr>
        <w:t>.</w:t>
      </w:r>
      <w:r>
        <w:rPr>
          <w:snapToGrid w:val="0"/>
        </w:rPr>
        <w:tab/>
        <w:t>Order relating to animal kept contrary to by</w:t>
      </w:r>
      <w:r>
        <w:rPr>
          <w:snapToGrid w:val="0"/>
        </w:rPr>
        <w:noBreakHyphen/>
        <w:t>laws</w:t>
      </w:r>
      <w:bookmarkEnd w:id="262"/>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 person is keeping an animal on a lot or common property in contravention of the by</w:t>
      </w:r>
      <w:r>
        <w:rPr>
          <w:snapToGrid w:val="0"/>
        </w:rPr>
        <w:noBreakHyphen/>
        <w:t>laws, the State Administrative Tribunal may order that person to cause the animal to be removed from the parcel within a specified time and thereafter to be kept away from the parcel, unless the keeping of the animal on the lot or common property, as the case may be, is subsequently authorised by the by</w:t>
      </w:r>
      <w:r>
        <w:rPr>
          <w:snapToGrid w:val="0"/>
        </w:rPr>
        <w:noBreakHyphen/>
        <w:t>laws.</w:t>
      </w:r>
    </w:p>
    <w:p>
      <w:pPr>
        <w:pStyle w:val="Footnotesection"/>
      </w:pPr>
      <w:r>
        <w:tab/>
        <w:t>[Section 91 amended: No. 55 of 2004 s. 1156(3).]</w:t>
      </w:r>
    </w:p>
    <w:p>
      <w:pPr>
        <w:pStyle w:val="Heading5"/>
        <w:rPr>
          <w:snapToGrid w:val="0"/>
        </w:rPr>
      </w:pPr>
      <w:bookmarkStart w:id="263" w:name="_Toc530554974"/>
      <w:r>
        <w:rPr>
          <w:rStyle w:val="CharSectno"/>
        </w:rPr>
        <w:t>92</w:t>
      </w:r>
      <w:r>
        <w:rPr>
          <w:snapToGrid w:val="0"/>
        </w:rPr>
        <w:t>.</w:t>
      </w:r>
      <w:r>
        <w:rPr>
          <w:snapToGrid w:val="0"/>
        </w:rPr>
        <w:tab/>
        <w:t>Order relating to animal kept pursuant to by</w:t>
      </w:r>
      <w:r>
        <w:rPr>
          <w:snapToGrid w:val="0"/>
        </w:rPr>
        <w:noBreakHyphen/>
        <w:t>laws</w:t>
      </w:r>
      <w:bookmarkEnd w:id="263"/>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an animal kept on a lot or the common property in accordance with the by</w:t>
      </w:r>
      <w:r>
        <w:rPr>
          <w:snapToGrid w:val="0"/>
        </w:rPr>
        <w:noBreakHyphen/>
        <w:t>laws causes a nuisance or hazard to the proprietor, occupier or resident of another lot or unreasonably interferes with the use and enjoyment of another lot or of the common property, the State Administrative Tribunal may —</w:t>
      </w:r>
    </w:p>
    <w:p>
      <w:pPr>
        <w:pStyle w:val="Indenta"/>
        <w:rPr>
          <w:snapToGrid w:val="0"/>
        </w:rPr>
      </w:pPr>
      <w:r>
        <w:rPr>
          <w:snapToGrid w:val="0"/>
        </w:rPr>
        <w:tab/>
        <w:t>(a)</w:t>
      </w:r>
      <w:r>
        <w:rPr>
          <w:snapToGrid w:val="0"/>
        </w:rPr>
        <w:tab/>
        <w:t>order the person keeping the animal to cause the animal to be removed from the parcel within a specified time, and thereafter to be kept away from the parcel; or</w:t>
      </w:r>
    </w:p>
    <w:p>
      <w:pPr>
        <w:pStyle w:val="Indenta"/>
        <w:rPr>
          <w:snapToGrid w:val="0"/>
        </w:rPr>
      </w:pPr>
      <w:r>
        <w:rPr>
          <w:snapToGrid w:val="0"/>
        </w:rPr>
        <w:tab/>
        <w:t>(b)</w:t>
      </w:r>
      <w:r>
        <w:rPr>
          <w:snapToGrid w:val="0"/>
        </w:rPr>
        <w:tab/>
        <w:t>order the person keeping the animal to take, within a time specified in the order, such action as is specified in the order and, in the opinion of the State Administrative Tribunal, will terminate the nuisance, hazard or unreasonable interference.</w:t>
      </w:r>
    </w:p>
    <w:p>
      <w:pPr>
        <w:pStyle w:val="Footnotesection"/>
      </w:pPr>
      <w:r>
        <w:tab/>
        <w:t>[Section 92 amended: No. 55 of 2004 s. 1156(3).]</w:t>
      </w:r>
    </w:p>
    <w:p>
      <w:pPr>
        <w:pStyle w:val="Heading5"/>
        <w:rPr>
          <w:snapToGrid w:val="0"/>
        </w:rPr>
      </w:pPr>
      <w:bookmarkStart w:id="264" w:name="_Toc530554975"/>
      <w:r>
        <w:rPr>
          <w:rStyle w:val="CharSectno"/>
        </w:rPr>
        <w:t>93</w:t>
      </w:r>
      <w:r>
        <w:rPr>
          <w:snapToGrid w:val="0"/>
        </w:rPr>
        <w:t>.</w:t>
      </w:r>
      <w:r>
        <w:rPr>
          <w:snapToGrid w:val="0"/>
        </w:rPr>
        <w:tab/>
        <w:t>Order relating to by</w:t>
      </w:r>
      <w:r>
        <w:rPr>
          <w:snapToGrid w:val="0"/>
        </w:rPr>
        <w:noBreakHyphen/>
        <w:t>laws</w:t>
      </w:r>
      <w:bookmarkEnd w:id="264"/>
    </w:p>
    <w:p>
      <w:pPr>
        <w:pStyle w:val="Subsection"/>
        <w:rPr>
          <w:snapToGrid w:val="0"/>
        </w:rPr>
      </w:pPr>
      <w:r>
        <w:rPr>
          <w:snapToGrid w:val="0"/>
        </w:rPr>
        <w:tab/>
        <w:t>(1)</w:t>
      </w:r>
      <w:r>
        <w:rPr>
          <w:snapToGrid w:val="0"/>
        </w:rPr>
        <w:tab/>
        <w:t>Any person entitled to vote at a meeting of a strata company (including both a first mortgagee and a proprietor who is a mortgagor of a lot) may apply to the State Administrative Tribunal for an order under this section.</w:t>
      </w:r>
    </w:p>
    <w:p>
      <w:pPr>
        <w:pStyle w:val="Subsection"/>
        <w:rPr>
          <w:snapToGrid w:val="0"/>
        </w:rPr>
      </w:pPr>
      <w:r>
        <w:rPr>
          <w:snapToGrid w:val="0"/>
        </w:rPr>
        <w:tab/>
        <w:t>(2)</w:t>
      </w:r>
      <w:r>
        <w:rPr>
          <w:snapToGrid w:val="0"/>
        </w:rPr>
        <w:tab/>
        <w:t>An order under this section is an order for one or more of the following —</w:t>
      </w:r>
    </w:p>
    <w:p>
      <w:pPr>
        <w:pStyle w:val="Indenta"/>
        <w:spacing w:before="50"/>
        <w:rPr>
          <w:snapToGrid w:val="0"/>
        </w:rPr>
      </w:pPr>
      <w:r>
        <w:rPr>
          <w:snapToGrid w:val="0"/>
        </w:rPr>
        <w:tab/>
        <w:t>(a)</w:t>
      </w:r>
      <w:r>
        <w:rPr>
          <w:snapToGrid w:val="0"/>
        </w:rPr>
        <w:tab/>
        <w:t>a declaration that a by</w:t>
      </w:r>
      <w:r>
        <w:rPr>
          <w:snapToGrid w:val="0"/>
        </w:rPr>
        <w:noBreakHyphen/>
        <w:t>law or an amendment or repeal of a by</w:t>
      </w:r>
      <w:r>
        <w:rPr>
          <w:snapToGrid w:val="0"/>
        </w:rPr>
        <w:noBreakHyphen/>
        <w:t>law is invalid;</w:t>
      </w:r>
    </w:p>
    <w:p>
      <w:pPr>
        <w:pStyle w:val="Indenta"/>
        <w:spacing w:before="50"/>
        <w:rPr>
          <w:snapToGrid w:val="0"/>
        </w:rPr>
      </w:pPr>
      <w:r>
        <w:rPr>
          <w:snapToGrid w:val="0"/>
        </w:rPr>
        <w:tab/>
        <w:t>(b)</w:t>
      </w:r>
      <w:r>
        <w:rPr>
          <w:snapToGrid w:val="0"/>
        </w:rPr>
        <w:tab/>
        <w:t>the repeal of a by</w:t>
      </w:r>
      <w:r>
        <w:rPr>
          <w:snapToGrid w:val="0"/>
        </w:rPr>
        <w:noBreakHyphen/>
        <w:t>law;</w:t>
      </w:r>
    </w:p>
    <w:p>
      <w:pPr>
        <w:pStyle w:val="Indenta"/>
        <w:spacing w:before="50"/>
        <w:rPr>
          <w:snapToGrid w:val="0"/>
        </w:rPr>
      </w:pPr>
      <w:r>
        <w:rPr>
          <w:snapToGrid w:val="0"/>
        </w:rPr>
        <w:tab/>
        <w:t>(c)</w:t>
      </w:r>
      <w:r>
        <w:rPr>
          <w:snapToGrid w:val="0"/>
        </w:rPr>
        <w:tab/>
        <w:t>the repeal of an amendment to a by</w:t>
      </w:r>
      <w:r>
        <w:rPr>
          <w:snapToGrid w:val="0"/>
        </w:rPr>
        <w:noBreakHyphen/>
        <w:t>law;</w:t>
      </w:r>
    </w:p>
    <w:p>
      <w:pPr>
        <w:pStyle w:val="Indenta"/>
        <w:spacing w:before="50"/>
        <w:rPr>
          <w:snapToGrid w:val="0"/>
        </w:rPr>
      </w:pPr>
      <w:r>
        <w:rPr>
          <w:snapToGrid w:val="0"/>
        </w:rPr>
        <w:tab/>
        <w:t>(d)</w:t>
      </w:r>
      <w:r>
        <w:rPr>
          <w:snapToGrid w:val="0"/>
        </w:rPr>
        <w:tab/>
        <w:t>the re</w:t>
      </w:r>
      <w:r>
        <w:rPr>
          <w:snapToGrid w:val="0"/>
        </w:rPr>
        <w:noBreakHyphen/>
        <w:t>instatement of —</w:t>
      </w:r>
    </w:p>
    <w:p>
      <w:pPr>
        <w:pStyle w:val="Indenti"/>
        <w:spacing w:before="50"/>
        <w:rPr>
          <w:snapToGrid w:val="0"/>
        </w:rPr>
      </w:pPr>
      <w:r>
        <w:rPr>
          <w:snapToGrid w:val="0"/>
        </w:rPr>
        <w:tab/>
        <w:t>(i)</w:t>
      </w:r>
      <w:r>
        <w:rPr>
          <w:snapToGrid w:val="0"/>
        </w:rPr>
        <w:tab/>
        <w:t>a by</w:t>
      </w:r>
      <w:r>
        <w:rPr>
          <w:snapToGrid w:val="0"/>
        </w:rPr>
        <w:noBreakHyphen/>
        <w:t>law that was repealed or deemed by subsection (4) to be repealed; or</w:t>
      </w:r>
    </w:p>
    <w:p>
      <w:pPr>
        <w:pStyle w:val="Indenti"/>
        <w:spacing w:before="50"/>
        <w:rPr>
          <w:snapToGrid w:val="0"/>
        </w:rPr>
      </w:pPr>
      <w:r>
        <w:rPr>
          <w:snapToGrid w:val="0"/>
        </w:rPr>
        <w:tab/>
        <w:t>(ii)</w:t>
      </w:r>
      <w:r>
        <w:rPr>
          <w:snapToGrid w:val="0"/>
        </w:rPr>
        <w:tab/>
        <w:t>any provision of a by</w:t>
      </w:r>
      <w:r>
        <w:rPr>
          <w:snapToGrid w:val="0"/>
        </w:rPr>
        <w:noBreakHyphen/>
        <w:t>law that was amended or deemed by subsection (4) to be amended.</w:t>
      </w:r>
    </w:p>
    <w:p>
      <w:pPr>
        <w:pStyle w:val="Subsection"/>
        <w:spacing w:before="120"/>
        <w:rPr>
          <w:snapToGrid w:val="0"/>
        </w:rPr>
      </w:pPr>
      <w:r>
        <w:rPr>
          <w:snapToGrid w:val="0"/>
        </w:rPr>
        <w:tab/>
        <w:t>(3)</w:t>
      </w:r>
      <w:r>
        <w:rPr>
          <w:snapToGrid w:val="0"/>
        </w:rPr>
        <w:tab/>
        <w:t>On the making of an application under subsection (1) the State Administrative Tribunal may make an order under this section if satisfied that the by</w:t>
      </w:r>
      <w:r>
        <w:rPr>
          <w:snapToGrid w:val="0"/>
        </w:rPr>
        <w:noBreakHyphen/>
        <w:t>law or the repeal or amendment of a by</w:t>
      </w:r>
      <w:r>
        <w:rPr>
          <w:snapToGrid w:val="0"/>
        </w:rPr>
        <w:noBreakHyphen/>
        <w:t>law —</w:t>
      </w:r>
    </w:p>
    <w:p>
      <w:pPr>
        <w:pStyle w:val="Indenta"/>
        <w:spacing w:before="50"/>
        <w:rPr>
          <w:snapToGrid w:val="0"/>
        </w:rPr>
      </w:pPr>
      <w:r>
        <w:rPr>
          <w:snapToGrid w:val="0"/>
        </w:rPr>
        <w:tab/>
        <w:t>(a)</w:t>
      </w:r>
      <w:r>
        <w:rPr>
          <w:snapToGrid w:val="0"/>
        </w:rPr>
        <w:tab/>
        <w:t>was made without power; or</w:t>
      </w:r>
    </w:p>
    <w:p>
      <w:pPr>
        <w:pStyle w:val="Indenta"/>
        <w:spacing w:before="50"/>
        <w:rPr>
          <w:snapToGrid w:val="0"/>
        </w:rPr>
      </w:pPr>
      <w:r>
        <w:rPr>
          <w:snapToGrid w:val="0"/>
        </w:rPr>
        <w:tab/>
        <w:t>(b)</w:t>
      </w:r>
      <w:r>
        <w:rPr>
          <w:snapToGrid w:val="0"/>
        </w:rPr>
        <w:tab/>
        <w:t>was not made in accordance with this Act or the regulations or any other requirement that ought to have been observed; or</w:t>
      </w:r>
    </w:p>
    <w:p>
      <w:pPr>
        <w:pStyle w:val="Indenta"/>
        <w:spacing w:before="50"/>
        <w:rPr>
          <w:snapToGrid w:val="0"/>
        </w:rPr>
      </w:pPr>
      <w:r>
        <w:rPr>
          <w:snapToGrid w:val="0"/>
        </w:rPr>
        <w:tab/>
        <w:t>(c)</w:t>
      </w:r>
      <w:r>
        <w:rPr>
          <w:snapToGrid w:val="0"/>
        </w:rPr>
        <w:tab/>
        <w:t>should not have been made having regard to the interests of all proprietors in the use and enjoyment of their lots or the common property.</w:t>
      </w:r>
    </w:p>
    <w:p>
      <w:pPr>
        <w:pStyle w:val="Subsection"/>
        <w:keepNext/>
        <w:keepLines/>
        <w:spacing w:before="120"/>
        <w:rPr>
          <w:snapToGrid w:val="0"/>
        </w:rPr>
      </w:pPr>
      <w:r>
        <w:rPr>
          <w:snapToGrid w:val="0"/>
        </w:rPr>
        <w:tab/>
        <w:t>(4)</w:t>
      </w:r>
      <w:r>
        <w:rPr>
          <w:snapToGrid w:val="0"/>
        </w:rPr>
        <w:tab/>
        <w:t>An order under this section, when recorded under section 115, has effect according to its tenor and subject to any order with respect thereto made by a superior court; and in particular an order has effect —</w:t>
      </w:r>
    </w:p>
    <w:p>
      <w:pPr>
        <w:pStyle w:val="Indenta"/>
        <w:spacing w:before="50"/>
        <w:rPr>
          <w:snapToGrid w:val="0"/>
          <w:spacing w:val="-4"/>
        </w:rPr>
      </w:pPr>
      <w:r>
        <w:rPr>
          <w:snapToGrid w:val="0"/>
          <w:spacing w:val="-4"/>
        </w:rPr>
        <w:tab/>
        <w:t>(a)</w:t>
      </w:r>
      <w:r>
        <w:rPr>
          <w:snapToGrid w:val="0"/>
          <w:spacing w:val="-4"/>
        </w:rPr>
        <w:tab/>
        <w:t>where subsection (2)(a) applies, as if its terms were an exercise of the power to repeal or amend the by</w:t>
      </w:r>
      <w:r>
        <w:rPr>
          <w:snapToGrid w:val="0"/>
          <w:spacing w:val="-4"/>
        </w:rPr>
        <w:noBreakHyphen/>
        <w:t>laws; and</w:t>
      </w:r>
    </w:p>
    <w:p>
      <w:pPr>
        <w:pStyle w:val="Indenta"/>
        <w:spacing w:before="50"/>
        <w:rPr>
          <w:snapToGrid w:val="0"/>
        </w:rPr>
      </w:pPr>
      <w:r>
        <w:rPr>
          <w:snapToGrid w:val="0"/>
        </w:rPr>
        <w:tab/>
        <w:t>(b)</w:t>
      </w:r>
      <w:r>
        <w:rPr>
          <w:snapToGrid w:val="0"/>
        </w:rPr>
        <w:tab/>
        <w:t>in any other case, as if it were the exercise by the strata company of its powers in respect of by</w:t>
      </w:r>
      <w:r>
        <w:rPr>
          <w:snapToGrid w:val="0"/>
        </w:rPr>
        <w:noBreakHyphen/>
        <w:t>laws.</w:t>
      </w:r>
    </w:p>
    <w:p>
      <w:pPr>
        <w:pStyle w:val="Subsection"/>
        <w:spacing w:before="120"/>
        <w:rPr>
          <w:snapToGrid w:val="0"/>
        </w:rPr>
      </w:pPr>
      <w:r>
        <w:rPr>
          <w:snapToGrid w:val="0"/>
        </w:rPr>
        <w:tab/>
        <w:t>(5)</w:t>
      </w:r>
      <w:r>
        <w:rPr>
          <w:snapToGrid w:val="0"/>
        </w:rPr>
        <w:tab/>
        <w:t>This section does not apply with respect to a by</w:t>
      </w:r>
      <w:r>
        <w:rPr>
          <w:snapToGrid w:val="0"/>
        </w:rPr>
        <w:noBreakHyphen/>
        <w:t>law made or deemed to be made under section 42(8).</w:t>
      </w:r>
    </w:p>
    <w:p>
      <w:pPr>
        <w:pStyle w:val="Footnotesection"/>
        <w:spacing w:before="80"/>
      </w:pPr>
      <w:r>
        <w:tab/>
        <w:t>[Section 93 inserted: No. 58 of 1995 s. 74; amended: No. 55 of 2004 s. 1156(1) and 1158.]</w:t>
      </w:r>
    </w:p>
    <w:p>
      <w:pPr>
        <w:pStyle w:val="Heading5"/>
        <w:rPr>
          <w:snapToGrid w:val="0"/>
        </w:rPr>
      </w:pPr>
      <w:bookmarkStart w:id="265" w:name="_Toc530554976"/>
      <w:r>
        <w:rPr>
          <w:rStyle w:val="CharSectno"/>
        </w:rPr>
        <w:t>94</w:t>
      </w:r>
      <w:r>
        <w:rPr>
          <w:snapToGrid w:val="0"/>
        </w:rPr>
        <w:t>.</w:t>
      </w:r>
      <w:r>
        <w:rPr>
          <w:snapToGrid w:val="0"/>
        </w:rPr>
        <w:tab/>
        <w:t>Order granting certain licence</w:t>
      </w:r>
      <w:bookmarkEnd w:id="265"/>
    </w:p>
    <w:p>
      <w:pPr>
        <w:pStyle w:val="Subsection"/>
        <w:spacing w:before="120"/>
        <w:rPr>
          <w:snapToGrid w:val="0"/>
        </w:rPr>
      </w:pPr>
      <w:r>
        <w:rPr>
          <w:snapToGrid w:val="0"/>
        </w:rPr>
        <w:tab/>
        <w:t>(1)</w:t>
      </w:r>
      <w:r>
        <w:rPr>
          <w:snapToGrid w:val="0"/>
        </w:rPr>
        <w:tab/>
        <w:t>Pursuant to an application by a proprietor for an order under this section, the State Administrative Tribunal may, subject to this section, order that the applicant, and any occupier or other resident of the lot of which the applicant is the proprietor, may use specified common property in such a manner, for such purposes, and upon such terms and conditions, if any, as are specified in the order.</w:t>
      </w:r>
    </w:p>
    <w:p>
      <w:pPr>
        <w:pStyle w:val="Subsection"/>
        <w:keepNext/>
        <w:spacing w:before="120"/>
        <w:rPr>
          <w:snapToGrid w:val="0"/>
        </w:rPr>
      </w:pPr>
      <w:r>
        <w:rPr>
          <w:snapToGrid w:val="0"/>
        </w:rPr>
        <w:tab/>
        <w:t>(2)</w:t>
      </w:r>
      <w:r>
        <w:rPr>
          <w:snapToGrid w:val="0"/>
        </w:rPr>
        <w:tab/>
        <w:t>The State Administrative Tribunal shall not make an order under subsection (1) unless satisfied —</w:t>
      </w:r>
    </w:p>
    <w:p>
      <w:pPr>
        <w:pStyle w:val="Indenta"/>
        <w:spacing w:before="60"/>
        <w:rPr>
          <w:snapToGrid w:val="0"/>
        </w:rPr>
      </w:pPr>
      <w:r>
        <w:rPr>
          <w:snapToGrid w:val="0"/>
        </w:rPr>
        <w:tab/>
        <w:t>(a)</w:t>
      </w:r>
      <w:r>
        <w:rPr>
          <w:snapToGrid w:val="0"/>
        </w:rPr>
        <w:tab/>
        <w:t>that the lot of which the applicant is proprietor is incapable of reasonable use and enjoyment by the proprietor, occupier, or other resident of the lot unless the order is made; and</w:t>
      </w:r>
    </w:p>
    <w:p>
      <w:pPr>
        <w:pStyle w:val="Indenta"/>
        <w:spacing w:before="60"/>
        <w:rPr>
          <w:snapToGrid w:val="0"/>
        </w:rPr>
      </w:pPr>
      <w:r>
        <w:rPr>
          <w:snapToGrid w:val="0"/>
        </w:rPr>
        <w:tab/>
        <w:t>(b)</w:t>
      </w:r>
      <w:r>
        <w:rPr>
          <w:snapToGrid w:val="0"/>
        </w:rPr>
        <w:tab/>
        <w:t>that the strata company has refused to grant a licence to use common property in such a manner, for such purposes, and upon such terms and conditions as would enable that proprietor or such an occupier or other resident reasonably to use and enjoy that lot.</w:t>
      </w:r>
    </w:p>
    <w:p>
      <w:pPr>
        <w:pStyle w:val="Subsection"/>
        <w:spacing w:before="120"/>
        <w:rPr>
          <w:snapToGrid w:val="0"/>
        </w:rPr>
      </w:pPr>
      <w:r>
        <w:rPr>
          <w:snapToGrid w:val="0"/>
        </w:rPr>
        <w:tab/>
        <w:t>(3)</w:t>
      </w:r>
      <w:r>
        <w:rPr>
          <w:snapToGrid w:val="0"/>
        </w:rPr>
        <w:tab/>
        <w:t>An order under subsection (1), when recorded under section 115, has effect, subject to any order with respect thereto made by a superior court, as if its terms were a by</w:t>
      </w:r>
      <w:r>
        <w:rPr>
          <w:snapToGrid w:val="0"/>
        </w:rPr>
        <w:noBreakHyphen/>
        <w:t>law.</w:t>
      </w:r>
    </w:p>
    <w:p>
      <w:pPr>
        <w:pStyle w:val="Footnotesection"/>
        <w:spacing w:before="100"/>
      </w:pPr>
      <w:r>
        <w:tab/>
        <w:t>[Section 94 amended: No. 55 of 2004 s. 1156(1) and (2) and 1158.]</w:t>
      </w:r>
    </w:p>
    <w:p>
      <w:pPr>
        <w:pStyle w:val="Heading5"/>
        <w:rPr>
          <w:snapToGrid w:val="0"/>
        </w:rPr>
      </w:pPr>
      <w:bookmarkStart w:id="266" w:name="_Toc530554977"/>
      <w:r>
        <w:rPr>
          <w:rStyle w:val="CharSectno"/>
        </w:rPr>
        <w:t>95</w:t>
      </w:r>
      <w:r>
        <w:rPr>
          <w:snapToGrid w:val="0"/>
        </w:rPr>
        <w:t>.</w:t>
      </w:r>
      <w:r>
        <w:rPr>
          <w:snapToGrid w:val="0"/>
        </w:rPr>
        <w:tab/>
        <w:t>SAT may make certain by</w:t>
      </w:r>
      <w:r>
        <w:rPr>
          <w:snapToGrid w:val="0"/>
        </w:rPr>
        <w:noBreakHyphen/>
        <w:t>laws</w:t>
      </w:r>
      <w:bookmarkEnd w:id="266"/>
    </w:p>
    <w:p>
      <w:pPr>
        <w:pStyle w:val="Subsection"/>
        <w:spacing w:before="120"/>
        <w:rPr>
          <w:snapToGrid w:val="0"/>
        </w:rPr>
      </w:pPr>
      <w:r>
        <w:rPr>
          <w:snapToGrid w:val="0"/>
        </w:rPr>
        <w:tab/>
        <w:t>(1)</w:t>
      </w:r>
      <w:r>
        <w:rPr>
          <w:snapToGrid w:val="0"/>
        </w:rPr>
        <w:tab/>
        <w:t>Where, pursuant to an application by a proprietor under this section, the State Administrative Tribunal considers that the strata company has unreasonably refused to make a by</w:t>
      </w:r>
      <w:r>
        <w:rPr>
          <w:snapToGrid w:val="0"/>
        </w:rPr>
        <w:noBreakHyphen/>
        <w:t>law under section 42(8) with respect to any fixture or fitting to be attached to the common property, the State Administrative Tribunal may —</w:t>
      </w:r>
    </w:p>
    <w:p>
      <w:pPr>
        <w:pStyle w:val="Indenta"/>
        <w:spacing w:before="60"/>
        <w:rPr>
          <w:snapToGrid w:val="0"/>
        </w:rPr>
      </w:pPr>
      <w:r>
        <w:rPr>
          <w:snapToGrid w:val="0"/>
        </w:rPr>
        <w:tab/>
        <w:t>(a)</w:t>
      </w:r>
      <w:r>
        <w:rPr>
          <w:snapToGrid w:val="0"/>
        </w:rPr>
        <w:tab/>
        <w:t>by order, exercise the powers conferred on the strata company under section 42(8) with respect to the making of a by</w:t>
      </w:r>
      <w:r>
        <w:rPr>
          <w:snapToGrid w:val="0"/>
        </w:rPr>
        <w:noBreakHyphen/>
        <w:t>law in relation to the fixture or fitting; and</w:t>
      </w:r>
    </w:p>
    <w:p>
      <w:pPr>
        <w:pStyle w:val="Indenta"/>
        <w:rPr>
          <w:snapToGrid w:val="0"/>
        </w:rPr>
      </w:pPr>
      <w:r>
        <w:rPr>
          <w:snapToGrid w:val="0"/>
        </w:rPr>
        <w:tab/>
        <w:t>(b)</w:t>
      </w:r>
      <w:r>
        <w:rPr>
          <w:snapToGrid w:val="0"/>
        </w:rPr>
        <w:tab/>
        <w:t>include among the terms and conditions specified in the by</w:t>
      </w:r>
      <w:r>
        <w:rPr>
          <w:snapToGrid w:val="0"/>
        </w:rPr>
        <w:noBreakHyphen/>
        <w:t>law terms and conditions relating to insurance of the fixture or fitting.</w:t>
      </w:r>
    </w:p>
    <w:p>
      <w:pPr>
        <w:pStyle w:val="Subsection"/>
        <w:rPr>
          <w:snapToGrid w:val="0"/>
        </w:rPr>
      </w:pPr>
      <w:r>
        <w:rPr>
          <w:snapToGrid w:val="0"/>
        </w:rPr>
        <w:tab/>
        <w:t>(2)</w:t>
      </w:r>
      <w:r>
        <w:rPr>
          <w:snapToGrid w:val="0"/>
        </w:rPr>
        <w:tab/>
        <w:t>In making a by</w:t>
      </w:r>
      <w:r>
        <w:rPr>
          <w:snapToGrid w:val="0"/>
        </w:rPr>
        <w:noBreakHyphen/>
        <w:t>law under subsection (1), the State Administrative Tribunal shall specify in the order whether or not section 42(10) is to apply to the by</w:t>
      </w:r>
      <w:r>
        <w:rPr>
          <w:snapToGrid w:val="0"/>
        </w:rPr>
        <w:noBreakHyphen/>
        <w:t>law and section 42(10) shall, or shall not, apply accordingly.</w:t>
      </w:r>
    </w:p>
    <w:p>
      <w:pPr>
        <w:pStyle w:val="Footnotesection"/>
      </w:pPr>
      <w:r>
        <w:tab/>
        <w:t>[Section 95 amended: No. 55 of 2004 s. 1156(1) and (3).]</w:t>
      </w:r>
    </w:p>
    <w:p>
      <w:pPr>
        <w:pStyle w:val="Ednotesection"/>
      </w:pPr>
      <w:r>
        <w:t>[</w:t>
      </w:r>
      <w:r>
        <w:rPr>
          <w:b/>
        </w:rPr>
        <w:t>96.</w:t>
      </w:r>
      <w:r>
        <w:tab/>
        <w:t>Deleted: No. 58 of 1995 s. 75.]</w:t>
      </w:r>
    </w:p>
    <w:p>
      <w:pPr>
        <w:pStyle w:val="Heading5"/>
        <w:rPr>
          <w:snapToGrid w:val="0"/>
        </w:rPr>
      </w:pPr>
      <w:bookmarkStart w:id="267" w:name="_Toc530554978"/>
      <w:r>
        <w:rPr>
          <w:rStyle w:val="CharSectno"/>
        </w:rPr>
        <w:t>97</w:t>
      </w:r>
      <w:r>
        <w:rPr>
          <w:snapToGrid w:val="0"/>
        </w:rPr>
        <w:t>.</w:t>
      </w:r>
      <w:r>
        <w:rPr>
          <w:snapToGrid w:val="0"/>
        </w:rPr>
        <w:tab/>
        <w:t>Power of SAT to invalidate a resolution or election</w:t>
      </w:r>
      <w:bookmarkEnd w:id="267"/>
    </w:p>
    <w:p>
      <w:pPr>
        <w:pStyle w:val="Subsection"/>
        <w:rPr>
          <w:snapToGrid w:val="0"/>
        </w:rPr>
      </w:pPr>
      <w:r>
        <w:rPr>
          <w:snapToGrid w:val="0"/>
        </w:rPr>
        <w:tab/>
        <w:t>(1)</w:t>
      </w:r>
      <w:r>
        <w:rPr>
          <w:snapToGrid w:val="0"/>
        </w:rPr>
        <w:tab/>
        <w:t>Where, pursuant to an application by a proprietor or first mortgagee of a lot for an order under this section, the State Administrative Tribunal considers that the provisions of this Act have not been complied with in relation to a meeting of the strata company, the State Administrative Tribunal may, by order —</w:t>
      </w:r>
    </w:p>
    <w:p>
      <w:pPr>
        <w:pStyle w:val="Indenta"/>
        <w:rPr>
          <w:snapToGrid w:val="0"/>
        </w:rPr>
      </w:pPr>
      <w:r>
        <w:rPr>
          <w:snapToGrid w:val="0"/>
        </w:rPr>
        <w:tab/>
        <w:t>(a)</w:t>
      </w:r>
      <w:r>
        <w:rPr>
          <w:snapToGrid w:val="0"/>
        </w:rPr>
        <w:tab/>
        <w:t>invalidate any resolution of, or election held by, the persons present at the meeting; or</w:t>
      </w:r>
    </w:p>
    <w:p>
      <w:pPr>
        <w:pStyle w:val="Indenta"/>
        <w:rPr>
          <w:snapToGrid w:val="0"/>
        </w:rPr>
      </w:pPr>
      <w:r>
        <w:rPr>
          <w:snapToGrid w:val="0"/>
        </w:rPr>
        <w:tab/>
        <w:t>(b)</w:t>
      </w:r>
      <w:r>
        <w:rPr>
          <w:snapToGrid w:val="0"/>
        </w:rPr>
        <w:tab/>
        <w:t>refuse to invalidate any such resolution or election.</w:t>
      </w:r>
    </w:p>
    <w:p>
      <w:pPr>
        <w:pStyle w:val="Subsection"/>
        <w:rPr>
          <w:snapToGrid w:val="0"/>
        </w:rPr>
      </w:pPr>
      <w:r>
        <w:rPr>
          <w:snapToGrid w:val="0"/>
        </w:rPr>
        <w:tab/>
        <w:t>(2)</w:t>
      </w:r>
      <w:r>
        <w:rPr>
          <w:snapToGrid w:val="0"/>
        </w:rPr>
        <w:tab/>
        <w:t>The State Administrative Tribunal shall not make an order under subsection (1) refusing to invalidate a resolution or election unless it considers —</w:t>
      </w:r>
    </w:p>
    <w:p>
      <w:pPr>
        <w:pStyle w:val="Indenta"/>
        <w:rPr>
          <w:snapToGrid w:val="0"/>
        </w:rPr>
      </w:pPr>
      <w:r>
        <w:rPr>
          <w:snapToGrid w:val="0"/>
        </w:rPr>
        <w:tab/>
        <w:t>(a)</w:t>
      </w:r>
      <w:r>
        <w:rPr>
          <w:snapToGrid w:val="0"/>
        </w:rPr>
        <w:tab/>
        <w:t>that the failure to comply with the provisions of this Act did not prejudicially affect any person; and</w:t>
      </w:r>
    </w:p>
    <w:p>
      <w:pPr>
        <w:pStyle w:val="Indenta"/>
        <w:rPr>
          <w:snapToGrid w:val="0"/>
          <w:spacing w:val="-4"/>
        </w:rPr>
      </w:pPr>
      <w:r>
        <w:rPr>
          <w:snapToGrid w:val="0"/>
          <w:spacing w:val="-4"/>
        </w:rPr>
        <w:tab/>
        <w:t>(b)</w:t>
      </w:r>
      <w:r>
        <w:rPr>
          <w:snapToGrid w:val="0"/>
          <w:spacing w:val="-4"/>
        </w:rPr>
        <w:tab/>
        <w:t>that compliance with the provisions of this Act would not have resulted in a failure to pass the resolution, or have affected the result of the election, as the case may be.</w:t>
      </w:r>
    </w:p>
    <w:p>
      <w:pPr>
        <w:pStyle w:val="Footnotesection"/>
        <w:rPr>
          <w:spacing w:val="-4"/>
        </w:rPr>
      </w:pPr>
      <w:r>
        <w:tab/>
        <w:t>[Section 97 amended: No. 55 of 2004 s. 1137 and 1156.]</w:t>
      </w:r>
    </w:p>
    <w:p>
      <w:pPr>
        <w:pStyle w:val="Heading5"/>
        <w:rPr>
          <w:snapToGrid w:val="0"/>
        </w:rPr>
      </w:pPr>
      <w:bookmarkStart w:id="268" w:name="_Toc530554979"/>
      <w:r>
        <w:rPr>
          <w:rStyle w:val="CharSectno"/>
        </w:rPr>
        <w:t>98</w:t>
      </w:r>
      <w:r>
        <w:rPr>
          <w:snapToGrid w:val="0"/>
        </w:rPr>
        <w:t>.</w:t>
      </w:r>
      <w:r>
        <w:rPr>
          <w:snapToGrid w:val="0"/>
        </w:rPr>
        <w:tab/>
        <w:t>Order authorising application to SAT</w:t>
      </w:r>
      <w:bookmarkEnd w:id="268"/>
    </w:p>
    <w:p>
      <w:pPr>
        <w:pStyle w:val="Subsection"/>
        <w:rPr>
          <w:snapToGrid w:val="0"/>
        </w:rPr>
      </w:pPr>
      <w:r>
        <w:rPr>
          <w:snapToGrid w:val="0"/>
        </w:rPr>
        <w:tab/>
      </w:r>
      <w:r>
        <w:rPr>
          <w:snapToGrid w:val="0"/>
        </w:rPr>
        <w:tab/>
        <w:t>Where, pursuant to an application by a proprietor for an order under this section, the State Administrative Tribunal considers that the failure of a strata company to authorise by special resolution an application by that proprietor under section 16 is inequitable, the State Administrative Tribunal may, by order, exercise the function conferred on the strata company under section 16(2)(a).</w:t>
      </w:r>
    </w:p>
    <w:p>
      <w:pPr>
        <w:pStyle w:val="Footnotesection"/>
      </w:pPr>
      <w:r>
        <w:tab/>
        <w:t>[Section 98 amended: No. 55 of 2004 s. 1138 and 1156(3).]</w:t>
      </w:r>
    </w:p>
    <w:p>
      <w:pPr>
        <w:pStyle w:val="Heading5"/>
        <w:rPr>
          <w:snapToGrid w:val="0"/>
        </w:rPr>
      </w:pPr>
      <w:bookmarkStart w:id="269" w:name="_Toc530554980"/>
      <w:r>
        <w:rPr>
          <w:rStyle w:val="CharSectno"/>
        </w:rPr>
        <w:t>99</w:t>
      </w:r>
      <w:r>
        <w:rPr>
          <w:snapToGrid w:val="0"/>
        </w:rPr>
        <w:t>.</w:t>
      </w:r>
      <w:r>
        <w:rPr>
          <w:snapToGrid w:val="0"/>
        </w:rPr>
        <w:tab/>
        <w:t>Order for variation or manner of payment of contributions</w:t>
      </w:r>
      <w:bookmarkEnd w:id="269"/>
    </w:p>
    <w:p>
      <w:pPr>
        <w:pStyle w:val="Subsection"/>
        <w:rPr>
          <w:snapToGrid w:val="0"/>
        </w:rPr>
      </w:pPr>
      <w:r>
        <w:rPr>
          <w:snapToGrid w:val="0"/>
        </w:rPr>
        <w:tab/>
        <w:t>(1)</w:t>
      </w:r>
      <w:r>
        <w:rPr>
          <w:snapToGrid w:val="0"/>
        </w:rPr>
        <w:tab/>
        <w:t>Where, pursuant to an application by a proprietor or by a mortgagee in possession (whether by himself or another person) for an order under this section, the State Administrative Tribunal considers that any amount of contributions levied under section 36 is inadequate or excessive, or that the manner of payment of contributions is unreasonable, the State Administrative Tribunal may —</w:t>
      </w:r>
    </w:p>
    <w:p>
      <w:pPr>
        <w:pStyle w:val="Indenta"/>
        <w:rPr>
          <w:snapToGrid w:val="0"/>
        </w:rPr>
      </w:pPr>
      <w:r>
        <w:rPr>
          <w:snapToGrid w:val="0"/>
        </w:rPr>
        <w:tab/>
        <w:t>(a)</w:t>
      </w:r>
      <w:r>
        <w:rPr>
          <w:snapToGrid w:val="0"/>
        </w:rPr>
        <w:tab/>
        <w:t>order variation of the amount; or</w:t>
      </w:r>
    </w:p>
    <w:p>
      <w:pPr>
        <w:pStyle w:val="Indenta"/>
        <w:rPr>
          <w:snapToGrid w:val="0"/>
        </w:rPr>
      </w:pPr>
      <w:r>
        <w:rPr>
          <w:snapToGrid w:val="0"/>
        </w:rPr>
        <w:tab/>
        <w:t>(b)</w:t>
      </w:r>
      <w:r>
        <w:rPr>
          <w:snapToGrid w:val="0"/>
        </w:rPr>
        <w:tab/>
        <w:t>order payment of contributions in a different manner; or</w:t>
      </w:r>
    </w:p>
    <w:p>
      <w:pPr>
        <w:pStyle w:val="Indenta"/>
        <w:rPr>
          <w:snapToGrid w:val="0"/>
        </w:rPr>
      </w:pPr>
      <w:r>
        <w:rPr>
          <w:snapToGrid w:val="0"/>
        </w:rPr>
        <w:tab/>
        <w:t>(c)</w:t>
      </w:r>
      <w:r>
        <w:rPr>
          <w:snapToGrid w:val="0"/>
        </w:rPr>
        <w:tab/>
        <w:t>make orders under paragraphs (a) and (b).</w:t>
      </w:r>
    </w:p>
    <w:p>
      <w:pPr>
        <w:pStyle w:val="Subsection"/>
        <w:rPr>
          <w:snapToGrid w:val="0"/>
          <w:spacing w:val="-4"/>
        </w:rPr>
      </w:pPr>
      <w:r>
        <w:rPr>
          <w:snapToGrid w:val="0"/>
          <w:spacing w:val="-4"/>
        </w:rPr>
        <w:tab/>
        <w:t>(2)</w:t>
      </w:r>
      <w:r>
        <w:rPr>
          <w:snapToGrid w:val="0"/>
          <w:spacing w:val="-4"/>
        </w:rPr>
        <w:tab/>
        <w:t>Where an order under subsection (1) takes effect in relation to a contribution levied by a strata company that has been wholly or partly paid in respect of a lot, the strata company shall —</w:t>
      </w:r>
    </w:p>
    <w:p>
      <w:pPr>
        <w:pStyle w:val="Indenta"/>
        <w:rPr>
          <w:snapToGrid w:val="0"/>
        </w:rPr>
      </w:pPr>
      <w:r>
        <w:rPr>
          <w:snapToGrid w:val="0"/>
        </w:rPr>
        <w:tab/>
        <w:t>(a)</w:t>
      </w:r>
      <w:r>
        <w:rPr>
          <w:snapToGrid w:val="0"/>
        </w:rPr>
        <w:tab/>
        <w:t>where the contribution required to be paid in respect of the lot pursuant to the order is greater than the amount already paid in respect of the lot — be deemed to have determined to make a levy under section 36 of an amount equal to the difference between the amount already paid in respect of the lot and the amount of the contribution required to be paid in respect of the lot pursuant to the order; or</w:t>
      </w:r>
    </w:p>
    <w:p>
      <w:pPr>
        <w:pStyle w:val="Indenta"/>
        <w:rPr>
          <w:snapToGrid w:val="0"/>
        </w:rPr>
      </w:pPr>
      <w:r>
        <w:rPr>
          <w:snapToGrid w:val="0"/>
        </w:rPr>
        <w:tab/>
        <w:t>(b)</w:t>
      </w:r>
      <w:r>
        <w:rPr>
          <w:snapToGrid w:val="0"/>
        </w:rPr>
        <w:tab/>
        <w:t>where the contribution required to be paid in respect of the lot pursuant to the order is less than the amount already paid in respect of the lot — refund to the proprietor by whom, or on whose behalf, the payment had already been made an amount equal to the difference between the amount already paid in respect of the lot and the amount of the contribution required to be paid in respect of the lot pursuant to the order.</w:t>
      </w:r>
    </w:p>
    <w:p>
      <w:pPr>
        <w:pStyle w:val="Footnotesection"/>
        <w:spacing w:before="100"/>
      </w:pPr>
      <w:r>
        <w:tab/>
        <w:t>[Section 99 amended: No. 55 of 2004 s. 1139 and 1156(1) and (3).]</w:t>
      </w:r>
    </w:p>
    <w:p>
      <w:pPr>
        <w:pStyle w:val="Heading5"/>
        <w:rPr>
          <w:snapToGrid w:val="0"/>
        </w:rPr>
      </w:pPr>
      <w:bookmarkStart w:id="270" w:name="_Toc530554981"/>
      <w:r>
        <w:rPr>
          <w:rStyle w:val="CharSectno"/>
        </w:rPr>
        <w:t>99A</w:t>
      </w:r>
      <w:r>
        <w:rPr>
          <w:snapToGrid w:val="0"/>
        </w:rPr>
        <w:t>.</w:t>
      </w:r>
      <w:r>
        <w:rPr>
          <w:snapToGrid w:val="0"/>
        </w:rPr>
        <w:tab/>
        <w:t>Order fixing different basis for levying contributions</w:t>
      </w:r>
      <w:bookmarkEnd w:id="270"/>
    </w:p>
    <w:p>
      <w:pPr>
        <w:pStyle w:val="Subsection"/>
        <w:spacing w:before="130"/>
        <w:rPr>
          <w:snapToGrid w:val="0"/>
        </w:rPr>
      </w:pPr>
      <w:r>
        <w:rPr>
          <w:snapToGrid w:val="0"/>
        </w:rPr>
        <w:tab/>
        <w:t>(1)</w:t>
      </w:r>
      <w:r>
        <w:rPr>
          <w:snapToGrid w:val="0"/>
        </w:rPr>
        <w:tab/>
        <w:t>A proprietor who is aggrieved by the operation of a by</w:t>
      </w:r>
      <w:r>
        <w:rPr>
          <w:snapToGrid w:val="0"/>
        </w:rPr>
        <w:noBreakHyphen/>
        <w:t>law referred to in section 42B may apply to the State Administrative Tribunal for an order under this section.</w:t>
      </w:r>
    </w:p>
    <w:p>
      <w:pPr>
        <w:pStyle w:val="Subsection"/>
        <w:keepNext/>
        <w:spacing w:before="130"/>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fixing a method of assessing contributions to be levied on proprietors under section 36 otherwise than —</w:t>
      </w:r>
    </w:p>
    <w:p>
      <w:pPr>
        <w:pStyle w:val="Indenti"/>
        <w:spacing w:before="60"/>
        <w:rPr>
          <w:snapToGrid w:val="0"/>
        </w:rPr>
      </w:pPr>
      <w:r>
        <w:rPr>
          <w:snapToGrid w:val="0"/>
        </w:rPr>
        <w:tab/>
        <w:t>(i)</w:t>
      </w:r>
      <w:r>
        <w:rPr>
          <w:snapToGrid w:val="0"/>
        </w:rPr>
        <w:tab/>
        <w:t>in proportion to the unit entitlements of their respective lots; or</w:t>
      </w:r>
    </w:p>
    <w:p>
      <w:pPr>
        <w:pStyle w:val="Indenti"/>
        <w:spacing w:before="60"/>
        <w:rPr>
          <w:snapToGrid w:val="0"/>
        </w:rPr>
      </w:pPr>
      <w:r>
        <w:rPr>
          <w:snapToGrid w:val="0"/>
        </w:rPr>
        <w:tab/>
        <w:t>(ii)</w:t>
      </w:r>
      <w:r>
        <w:rPr>
          <w:snapToGrid w:val="0"/>
        </w:rPr>
        <w:tab/>
        <w:t>in accordance with a by</w:t>
      </w:r>
      <w:r>
        <w:rPr>
          <w:snapToGrid w:val="0"/>
        </w:rPr>
        <w:noBreakHyphen/>
        <w:t>law referred to in section 42B;</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such contributions are to be levied in accordance with section 36(1)(c)(i).</w:t>
      </w:r>
    </w:p>
    <w:p>
      <w:pPr>
        <w:pStyle w:val="Subsection"/>
        <w:spacing w:before="130"/>
        <w:rPr>
          <w:snapToGrid w:val="0"/>
        </w:rPr>
      </w:pPr>
      <w:r>
        <w:rPr>
          <w:snapToGrid w:val="0"/>
        </w:rPr>
        <w:tab/>
        <w:t>(3)</w:t>
      </w:r>
      <w:r>
        <w:rPr>
          <w:snapToGrid w:val="0"/>
        </w:rPr>
        <w:tab/>
        <w:t>An order under this section may relate to contributions to all of the expenses of the strata company or to one or more particular kinds of expenses.</w:t>
      </w:r>
    </w:p>
    <w:p>
      <w:pPr>
        <w:pStyle w:val="Subsection"/>
        <w:spacing w:before="130"/>
        <w:rPr>
          <w:snapToGrid w:val="0"/>
        </w:rPr>
      </w:pPr>
      <w:r>
        <w:rPr>
          <w:snapToGrid w:val="0"/>
        </w:rPr>
        <w:tab/>
        <w:t>(4)</w:t>
      </w:r>
      <w:r>
        <w:rPr>
          <w:snapToGrid w:val="0"/>
        </w:rPr>
        <w:tab/>
        <w:t>On the making of an application under subsection (1), the State Administrative Tribunal may make an order under this section that appears to it to provide for a method of fixing contributions that is fair to all proprietors having regard to their use and enjoyment of the common property and any building or other improvement on the parcel.</w:t>
      </w:r>
    </w:p>
    <w:p>
      <w:pPr>
        <w:pStyle w:val="Subsection"/>
        <w:spacing w:before="130"/>
        <w:rPr>
          <w:snapToGrid w:val="0"/>
        </w:rPr>
      </w:pPr>
      <w:r>
        <w:rPr>
          <w:snapToGrid w:val="0"/>
        </w:rPr>
        <w:tab/>
        <w:t>(5)</w:t>
      </w:r>
      <w:r>
        <w:rPr>
          <w:snapToGrid w:val="0"/>
        </w:rPr>
        <w:tab/>
        <w:t>To the extent of any inconsistency, an order under this section prevails over section 36(1)(c) or a by</w:t>
      </w:r>
      <w:r>
        <w:rPr>
          <w:snapToGrid w:val="0"/>
        </w:rPr>
        <w:noBreakHyphen/>
        <w:t>law under section 42B.</w:t>
      </w:r>
    </w:p>
    <w:p>
      <w:pPr>
        <w:pStyle w:val="Subsection"/>
        <w:spacing w:before="140"/>
        <w:rPr>
          <w:snapToGrid w:val="0"/>
        </w:rPr>
      </w:pPr>
      <w:r>
        <w:rPr>
          <w:snapToGrid w:val="0"/>
        </w:rPr>
        <w:tab/>
        <w:t>(6)</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140"/>
        <w:rPr>
          <w:snapToGrid w:val="0"/>
        </w:rPr>
      </w:pPr>
      <w:r>
        <w:rPr>
          <w:snapToGrid w:val="0"/>
        </w:rPr>
        <w:tab/>
        <w:t>(7)</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 xml:space="preserve">law, subsequently made by the strata company by resolution without dissent </w:t>
      </w:r>
      <w:r>
        <w:t>(or unanimous resolution, in the case of a two</w:t>
      </w:r>
      <w:r>
        <w:noBreakHyphen/>
        <w:t>lot scheme) and of effect under section 42(4)</w:t>
      </w:r>
      <w:r>
        <w:rPr>
          <w:snapToGrid w:val="0"/>
        </w:rPr>
        <w:t>.</w:t>
      </w:r>
    </w:p>
    <w:p>
      <w:pPr>
        <w:pStyle w:val="Footnotesection"/>
        <w:spacing w:before="80"/>
        <w:ind w:left="890" w:hanging="890"/>
      </w:pPr>
      <w:r>
        <w:tab/>
        <w:t>[Section 99A inserted: No. 58 of 1995 s. 76; amended: No. 24 of 2000 s. 40(9); No. 55 of 2004 s. 1140 and 1156(1) and (3).]</w:t>
      </w:r>
    </w:p>
    <w:p>
      <w:pPr>
        <w:pStyle w:val="Heading5"/>
        <w:rPr>
          <w:snapToGrid w:val="0"/>
        </w:rPr>
      </w:pPr>
      <w:bookmarkStart w:id="271" w:name="_Toc530554982"/>
      <w:r>
        <w:rPr>
          <w:rStyle w:val="CharSectno"/>
        </w:rPr>
        <w:t>100</w:t>
      </w:r>
      <w:r>
        <w:rPr>
          <w:snapToGrid w:val="0"/>
        </w:rPr>
        <w:t>.</w:t>
      </w:r>
      <w:r>
        <w:rPr>
          <w:snapToGrid w:val="0"/>
        </w:rPr>
        <w:tab/>
        <w:t>Order where voting rights denied or due notice of item of business not given</w:t>
      </w:r>
      <w:bookmarkEnd w:id="271"/>
    </w:p>
    <w:p>
      <w:pPr>
        <w:pStyle w:val="Subsection"/>
        <w:spacing w:before="140"/>
        <w:rPr>
          <w:snapToGrid w:val="0"/>
        </w:rPr>
      </w:pPr>
      <w:r>
        <w:rPr>
          <w:snapToGrid w:val="0"/>
        </w:rPr>
        <w:tab/>
        <w:t>(1)</w:t>
      </w:r>
      <w:r>
        <w:rPr>
          <w:snapToGrid w:val="0"/>
        </w:rPr>
        <w:tab/>
        <w:t>Where, pursuant to an application by a person under this section, the State Administrative Tribunal is satisfied that a particular resolution would not have been passed at a general meeting of a strata company but for the fact that the applicant —</w:t>
      </w:r>
    </w:p>
    <w:p>
      <w:pPr>
        <w:pStyle w:val="Indenta"/>
        <w:spacing w:before="60"/>
        <w:rPr>
          <w:snapToGrid w:val="0"/>
        </w:rPr>
      </w:pPr>
      <w:r>
        <w:rPr>
          <w:snapToGrid w:val="0"/>
        </w:rPr>
        <w:tab/>
        <w:t>(a)</w:t>
      </w:r>
      <w:r>
        <w:rPr>
          <w:snapToGrid w:val="0"/>
        </w:rPr>
        <w:tab/>
        <w:t>was improperly denied a vote on the motion for the resolution; or</w:t>
      </w:r>
    </w:p>
    <w:p>
      <w:pPr>
        <w:pStyle w:val="Indenta"/>
        <w:spacing w:before="60"/>
        <w:rPr>
          <w:snapToGrid w:val="0"/>
        </w:rPr>
      </w:pPr>
      <w:r>
        <w:rPr>
          <w:snapToGrid w:val="0"/>
        </w:rPr>
        <w:tab/>
        <w:t>(b)</w:t>
      </w:r>
      <w:r>
        <w:rPr>
          <w:snapToGrid w:val="0"/>
        </w:rPr>
        <w:tab/>
        <w:t>was not given due notice of the item of business pursuant to which the resolution was passed,</w:t>
      </w:r>
    </w:p>
    <w:p>
      <w:pPr>
        <w:pStyle w:val="Subsection"/>
        <w:spacing w:before="120"/>
        <w:rPr>
          <w:snapToGrid w:val="0"/>
        </w:rPr>
      </w:pPr>
      <w:r>
        <w:rPr>
          <w:snapToGrid w:val="0"/>
        </w:rPr>
        <w:tab/>
      </w:r>
      <w:r>
        <w:rPr>
          <w:snapToGrid w:val="0"/>
        </w:rPr>
        <w:tab/>
        <w:t>the State Administrative Tribunal may order that the resolution be treated as a nullity on and from the date of the order.</w:t>
      </w:r>
    </w:p>
    <w:p>
      <w:pPr>
        <w:pStyle w:val="Subsection"/>
        <w:spacing w:before="130"/>
        <w:rPr>
          <w:snapToGrid w:val="0"/>
        </w:rPr>
      </w:pPr>
      <w:r>
        <w:rPr>
          <w:snapToGrid w:val="0"/>
        </w:rPr>
        <w:tab/>
        <w:t>(2)</w:t>
      </w:r>
      <w:r>
        <w:rPr>
          <w:snapToGrid w:val="0"/>
        </w:rPr>
        <w:tab/>
        <w:t>An application for an order under subsection (1) may not be made later than 30 days after the day of the meeting at which the resolution was passed.</w:t>
      </w:r>
    </w:p>
    <w:p>
      <w:pPr>
        <w:pStyle w:val="Subsection"/>
        <w:spacing w:before="13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an order under subsection (1) is made in respect of a resolution making a by</w:t>
      </w:r>
      <w:r>
        <w:rPr>
          <w:snapToGrid w:val="0"/>
        </w:rPr>
        <w:noBreakHyphen/>
        <w:t>law or amending or repealing a by</w:t>
      </w:r>
      <w:r>
        <w:rPr>
          <w:snapToGrid w:val="0"/>
        </w:rPr>
        <w:noBreakHyphen/>
        <w:t>law; and</w:t>
      </w:r>
    </w:p>
    <w:p>
      <w:pPr>
        <w:pStyle w:val="Indenta"/>
        <w:rPr>
          <w:snapToGrid w:val="0"/>
        </w:rPr>
      </w:pPr>
      <w:r>
        <w:rPr>
          <w:snapToGrid w:val="0"/>
        </w:rPr>
        <w:tab/>
        <w:t>(b)</w:t>
      </w:r>
      <w:r>
        <w:rPr>
          <w:snapToGrid w:val="0"/>
        </w:rPr>
        <w:tab/>
        <w:t>the by</w:t>
      </w:r>
      <w:r>
        <w:rPr>
          <w:snapToGrid w:val="0"/>
        </w:rPr>
        <w:noBreakHyphen/>
        <w:t>law made or amended by that resolution is in force; and</w:t>
      </w:r>
    </w:p>
    <w:p>
      <w:pPr>
        <w:pStyle w:val="Indenta"/>
        <w:rPr>
          <w:snapToGrid w:val="0"/>
        </w:rPr>
      </w:pPr>
      <w:r>
        <w:rPr>
          <w:snapToGrid w:val="0"/>
        </w:rPr>
        <w:tab/>
        <w:t>(c)</w:t>
      </w:r>
      <w:r>
        <w:rPr>
          <w:snapToGrid w:val="0"/>
        </w:rPr>
        <w:tab/>
        <w:t>the order is recorded as provided by section 115,</w:t>
      </w:r>
    </w:p>
    <w:p>
      <w:pPr>
        <w:pStyle w:val="Subsection"/>
        <w:spacing w:before="100"/>
        <w:rPr>
          <w:snapToGrid w:val="0"/>
        </w:rPr>
      </w:pPr>
      <w:r>
        <w:rPr>
          <w:snapToGrid w:val="0"/>
        </w:rPr>
        <w:tab/>
      </w:r>
      <w:r>
        <w:rPr>
          <w:snapToGrid w:val="0"/>
        </w:rPr>
        <w:tab/>
        <w:t>the by</w:t>
      </w:r>
      <w:r>
        <w:rPr>
          <w:snapToGrid w:val="0"/>
        </w:rPr>
        <w:noBreakHyphen/>
        <w:t>laws shall, subject to their having been or being amended, added to or repealed under section 42 and to any order with respect to the order under subsection (1) made by a superior court, have force and effect on and from the date the order is so recorded to the same extent as they would have had if the resolution had not been passed.</w:t>
      </w:r>
    </w:p>
    <w:p>
      <w:pPr>
        <w:pStyle w:val="Footnotesection"/>
      </w:pPr>
      <w:r>
        <w:tab/>
        <w:t>[Section 100 amended: No. 55 of 2004 s. 1156(1) and (3).]</w:t>
      </w:r>
    </w:p>
    <w:p>
      <w:pPr>
        <w:pStyle w:val="Heading5"/>
        <w:rPr>
          <w:snapToGrid w:val="0"/>
        </w:rPr>
      </w:pPr>
      <w:bookmarkStart w:id="272" w:name="_Toc530554983"/>
      <w:r>
        <w:rPr>
          <w:rStyle w:val="CharSectno"/>
        </w:rPr>
        <w:t>101</w:t>
      </w:r>
      <w:r>
        <w:rPr>
          <w:snapToGrid w:val="0"/>
        </w:rPr>
        <w:t>.</w:t>
      </w:r>
      <w:r>
        <w:rPr>
          <w:snapToGrid w:val="0"/>
        </w:rPr>
        <w:tab/>
        <w:t>Order varying amount of insurance to be provided</w:t>
      </w:r>
      <w:bookmarkEnd w:id="272"/>
    </w:p>
    <w:p>
      <w:pPr>
        <w:pStyle w:val="Subsection"/>
        <w:rPr>
          <w:snapToGrid w:val="0"/>
        </w:rPr>
      </w:pPr>
      <w:r>
        <w:rPr>
          <w:snapToGrid w:val="0"/>
        </w:rPr>
        <w:tab/>
      </w:r>
      <w:r>
        <w:rPr>
          <w:snapToGrid w:val="0"/>
        </w:rPr>
        <w:tab/>
        <w:t>Where, pursuant to an application by a proprietor or a mortgagee of a lot for an order under this section, the State Administrative Tribunal considers that the amount for which the strata company for the scheme concerned has insured under section 54 or 55(1)(b) is not reasonable, the State Administrative Tribunal may order the strata company to vary that amount to a specified amount.</w:t>
      </w:r>
    </w:p>
    <w:p>
      <w:pPr>
        <w:pStyle w:val="Footnotesection"/>
      </w:pPr>
      <w:r>
        <w:tab/>
        <w:t>[Section 101 amended: No. 58 of 1995 s. 96; No. 55 of 2004 s. 1156(1) and (3).]</w:t>
      </w:r>
    </w:p>
    <w:p>
      <w:pPr>
        <w:pStyle w:val="Heading5"/>
        <w:rPr>
          <w:snapToGrid w:val="0"/>
        </w:rPr>
      </w:pPr>
      <w:bookmarkStart w:id="273" w:name="_Toc530554984"/>
      <w:r>
        <w:rPr>
          <w:rStyle w:val="CharSectno"/>
        </w:rPr>
        <w:t>102</w:t>
      </w:r>
      <w:r>
        <w:rPr>
          <w:snapToGrid w:val="0"/>
        </w:rPr>
        <w:t>.</w:t>
      </w:r>
      <w:r>
        <w:rPr>
          <w:snapToGrid w:val="0"/>
        </w:rPr>
        <w:tab/>
        <w:t>Order appointing administrator</w:t>
      </w:r>
      <w:bookmarkEnd w:id="273"/>
    </w:p>
    <w:p>
      <w:pPr>
        <w:pStyle w:val="Subsection"/>
        <w:keepNext/>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in consequence of the making of an order under this Part a duty is imposed on a strata company; or</w:t>
      </w:r>
    </w:p>
    <w:p>
      <w:pPr>
        <w:pStyle w:val="Indenta"/>
        <w:spacing w:before="60"/>
        <w:rPr>
          <w:snapToGrid w:val="0"/>
        </w:rPr>
      </w:pPr>
      <w:r>
        <w:rPr>
          <w:snapToGrid w:val="0"/>
        </w:rPr>
        <w:tab/>
        <w:t>(b)</w:t>
      </w:r>
      <w:r>
        <w:rPr>
          <w:snapToGrid w:val="0"/>
        </w:rPr>
        <w:tab/>
        <w:t>a duty is otherwise imposed by this Act or the by</w:t>
      </w:r>
      <w:r>
        <w:rPr>
          <w:snapToGrid w:val="0"/>
        </w:rPr>
        <w:noBreakHyphen/>
        <w:t>laws on a strata company; or</w:t>
      </w:r>
    </w:p>
    <w:p>
      <w:pPr>
        <w:pStyle w:val="Indenta"/>
        <w:spacing w:before="60"/>
        <w:rPr>
          <w:snapToGrid w:val="0"/>
        </w:rPr>
      </w:pPr>
      <w:r>
        <w:rPr>
          <w:snapToGrid w:val="0"/>
        </w:rPr>
        <w:tab/>
        <w:t>(c)</w:t>
      </w:r>
      <w:r>
        <w:rPr>
          <w:snapToGrid w:val="0"/>
        </w:rPr>
        <w:tab/>
        <w:t>a duty is imposed by this Act or the by</w:t>
      </w:r>
      <w:r>
        <w:rPr>
          <w:snapToGrid w:val="0"/>
        </w:rPr>
        <w:noBreakHyphen/>
        <w:t>laws on the chairman, secretary or treasurer of a strata company or on the council of a strata company; or</w:t>
      </w:r>
    </w:p>
    <w:p>
      <w:pPr>
        <w:pStyle w:val="Indenta"/>
        <w:keepNext/>
        <w:spacing w:before="60"/>
        <w:rPr>
          <w:snapToGrid w:val="0"/>
        </w:rPr>
      </w:pPr>
      <w:r>
        <w:rPr>
          <w:snapToGrid w:val="0"/>
        </w:rPr>
        <w:tab/>
        <w:t>(d)</w:t>
      </w:r>
      <w:r>
        <w:rPr>
          <w:snapToGrid w:val="0"/>
        </w:rPr>
        <w:tab/>
        <w:t>a judgment debt is owed by a strata company,</w:t>
      </w:r>
    </w:p>
    <w:p>
      <w:pPr>
        <w:pStyle w:val="Subsection"/>
        <w:keepNext/>
        <w:spacing w:before="120"/>
        <w:rPr>
          <w:snapToGrid w:val="0"/>
        </w:rPr>
      </w:pPr>
      <w:r>
        <w:rPr>
          <w:snapToGrid w:val="0"/>
        </w:rPr>
        <w:tab/>
      </w:r>
      <w:r>
        <w:rPr>
          <w:snapToGrid w:val="0"/>
        </w:rPr>
        <w:tab/>
        <w:t>the State Administrative Tribunal may —</w:t>
      </w:r>
    </w:p>
    <w:p>
      <w:pPr>
        <w:pStyle w:val="Indenta"/>
        <w:spacing w:before="60"/>
        <w:rPr>
          <w:snapToGrid w:val="0"/>
        </w:rPr>
      </w:pPr>
      <w:r>
        <w:rPr>
          <w:snapToGrid w:val="0"/>
        </w:rPr>
        <w:tab/>
        <w:t>(e)</w:t>
      </w:r>
      <w:r>
        <w:rPr>
          <w:snapToGrid w:val="0"/>
        </w:rPr>
        <w:tab/>
        <w:t>in the case referred to in paragraph (a), on the application of the person who obtained the order so referred to; or</w:t>
      </w:r>
    </w:p>
    <w:p>
      <w:pPr>
        <w:pStyle w:val="Indenta"/>
        <w:rPr>
          <w:snapToGrid w:val="0"/>
        </w:rPr>
      </w:pPr>
      <w:r>
        <w:rPr>
          <w:snapToGrid w:val="0"/>
        </w:rPr>
        <w:tab/>
        <w:t>(f)</w:t>
      </w:r>
      <w:r>
        <w:rPr>
          <w:snapToGrid w:val="0"/>
        </w:rPr>
        <w:tab/>
        <w:t>in a case referred to in paragraph (b) or (c), on the application of a person having an estate or interest in a lot the subject of the scheme concerned; or</w:t>
      </w:r>
    </w:p>
    <w:p>
      <w:pPr>
        <w:pStyle w:val="Indenta"/>
        <w:rPr>
          <w:snapToGrid w:val="0"/>
        </w:rPr>
      </w:pPr>
      <w:r>
        <w:rPr>
          <w:snapToGrid w:val="0"/>
        </w:rPr>
        <w:tab/>
        <w:t>(g)</w:t>
      </w:r>
      <w:r>
        <w:rPr>
          <w:snapToGrid w:val="0"/>
        </w:rPr>
        <w:tab/>
        <w:t>in the case referred to in paragraph (d), on the application of the judgment creditor,</w:t>
      </w:r>
    </w:p>
    <w:p>
      <w:pPr>
        <w:pStyle w:val="Subsection"/>
        <w:rPr>
          <w:snapToGrid w:val="0"/>
        </w:rPr>
      </w:pPr>
      <w:r>
        <w:rPr>
          <w:snapToGrid w:val="0"/>
        </w:rPr>
        <w:tab/>
      </w:r>
      <w:r>
        <w:rPr>
          <w:snapToGrid w:val="0"/>
        </w:rPr>
        <w:tab/>
        <w:t>by order appoint an administrator (being a person who has consented in writing to the appointment) to perform that duty and any other duty specified in the order or to pay that judgment debt, as the case may require.</w:t>
      </w:r>
    </w:p>
    <w:p>
      <w:pPr>
        <w:pStyle w:val="Subsection"/>
        <w:keepNext/>
        <w:rPr>
          <w:snapToGrid w:val="0"/>
        </w:rPr>
      </w:pPr>
      <w:r>
        <w:rPr>
          <w:snapToGrid w:val="0"/>
        </w:rPr>
        <w:tab/>
        <w:t>(2)</w:t>
      </w:r>
      <w:r>
        <w:rPr>
          <w:snapToGrid w:val="0"/>
        </w:rPr>
        <w:tab/>
        <w:t>If it appoints an administrator under subsection (1), the State Administrative Tribunal may also order that the administrator shall have and may exercise and perform —</w:t>
      </w:r>
    </w:p>
    <w:p>
      <w:pPr>
        <w:pStyle w:val="Indenta"/>
        <w:rPr>
          <w:snapToGrid w:val="0"/>
        </w:rPr>
      </w:pPr>
      <w:r>
        <w:rPr>
          <w:snapToGrid w:val="0"/>
        </w:rPr>
        <w:tab/>
        <w:t>(a)</w:t>
      </w:r>
      <w:r>
        <w:rPr>
          <w:snapToGrid w:val="0"/>
        </w:rPr>
        <w:tab/>
        <w:t>all of the powers, authorities, duties and functions of the strata company for the parcel to which the order relates or of the chairman, secretary or treasurer of that strata company or the council of that strata company; or</w:t>
      </w:r>
    </w:p>
    <w:p>
      <w:pPr>
        <w:pStyle w:val="Indenta"/>
        <w:rPr>
          <w:snapToGrid w:val="0"/>
        </w:rPr>
      </w:pPr>
      <w:r>
        <w:rPr>
          <w:snapToGrid w:val="0"/>
        </w:rPr>
        <w:tab/>
        <w:t>(b)</w:t>
      </w:r>
      <w:r>
        <w:rPr>
          <w:snapToGrid w:val="0"/>
        </w:rPr>
        <w:tab/>
        <w:t>any one or more of those powers, authorities, duties or functions as specified in the order; or</w:t>
      </w:r>
    </w:p>
    <w:p>
      <w:pPr>
        <w:pStyle w:val="Indenta"/>
        <w:rPr>
          <w:snapToGrid w:val="0"/>
        </w:rPr>
      </w:pPr>
      <w:r>
        <w:rPr>
          <w:snapToGrid w:val="0"/>
        </w:rPr>
        <w:tab/>
        <w:t>(c)</w:t>
      </w:r>
      <w:r>
        <w:rPr>
          <w:snapToGrid w:val="0"/>
        </w:rPr>
        <w:tab/>
        <w:t>all of those powers, authorities, duties and functions except those specified in the order.</w:t>
      </w:r>
    </w:p>
    <w:p>
      <w:pPr>
        <w:pStyle w:val="Subsection"/>
        <w:rPr>
          <w:snapToGrid w:val="0"/>
        </w:rPr>
      </w:pPr>
      <w:r>
        <w:rPr>
          <w:snapToGrid w:val="0"/>
        </w:rPr>
        <w:tab/>
        <w:t>(3)</w:t>
      </w:r>
      <w:r>
        <w:rPr>
          <w:snapToGrid w:val="0"/>
        </w:rPr>
        <w:tab/>
        <w:t>An order made under this section may be revoked or varied by the State Administrative Tribunal upon the application of the administrator or a person entitled to apply for an order of the kind sought to be revoked or varied.</w:t>
      </w:r>
    </w:p>
    <w:p>
      <w:pPr>
        <w:pStyle w:val="Subsection"/>
        <w:rPr>
          <w:snapToGrid w:val="0"/>
        </w:rPr>
      </w:pPr>
      <w:r>
        <w:rPr>
          <w:snapToGrid w:val="0"/>
        </w:rPr>
        <w:tab/>
        <w:t>(4)</w:t>
      </w:r>
      <w:r>
        <w:rPr>
          <w:snapToGrid w:val="0"/>
        </w:rPr>
        <w:tab/>
        <w:t>Where the State Administrative Tribunal makes an order under subsection (1) —</w:t>
      </w:r>
    </w:p>
    <w:p>
      <w:pPr>
        <w:pStyle w:val="Indenta"/>
        <w:rPr>
          <w:snapToGrid w:val="0"/>
        </w:rPr>
      </w:pPr>
      <w:r>
        <w:rPr>
          <w:snapToGrid w:val="0"/>
        </w:rPr>
        <w:tab/>
        <w:t>(a)</w:t>
      </w:r>
      <w:r>
        <w:rPr>
          <w:snapToGrid w:val="0"/>
        </w:rPr>
        <w:tab/>
        <w:t>no person other than the administrator appointed by the order may, while that administrator holds office, exercise or perform any power, authority, duty or function which the administrator is authorised to exercise or perform by that order or an order under subsection (2); and</w:t>
      </w:r>
    </w:p>
    <w:p>
      <w:pPr>
        <w:pStyle w:val="Indenta"/>
        <w:rPr>
          <w:snapToGrid w:val="0"/>
        </w:rPr>
      </w:pPr>
      <w:r>
        <w:rPr>
          <w:snapToGrid w:val="0"/>
        </w:rPr>
        <w:tab/>
        <w:t>(b)</w:t>
      </w:r>
      <w:r>
        <w:rPr>
          <w:snapToGrid w:val="0"/>
        </w:rPr>
        <w:tab/>
        <w:t>any act or thing done or suffered by that administrator in the exercise or performance of such a power, authority, duty or function has the same effect as it would have had if the order had not been made and it had been done or suffered by the person or body who, but for the order, would have been entitled or required to exercise or perform the power, authority, duty or function.</w:t>
      </w:r>
    </w:p>
    <w:p>
      <w:pPr>
        <w:pStyle w:val="Subsection"/>
        <w:rPr>
          <w:snapToGrid w:val="0"/>
        </w:rPr>
      </w:pPr>
      <w:r>
        <w:rPr>
          <w:snapToGrid w:val="0"/>
        </w:rPr>
        <w:tab/>
        <w:t>(5)</w:t>
      </w:r>
      <w:r>
        <w:rPr>
          <w:snapToGrid w:val="0"/>
        </w:rPr>
        <w:tab/>
        <w:t>The appointment of an administrator under this section may be made upon such terms and conditions (including terms and conditions as to remuneration by the strata company and the duration of the appointment) as are specified in the order making the appointment.</w:t>
      </w:r>
    </w:p>
    <w:p>
      <w:pPr>
        <w:pStyle w:val="Subsection"/>
        <w:rPr>
          <w:snapToGrid w:val="0"/>
        </w:rPr>
      </w:pPr>
      <w:r>
        <w:rPr>
          <w:snapToGrid w:val="0"/>
        </w:rPr>
        <w:tab/>
        <w:t>(6)</w:t>
      </w:r>
      <w:r>
        <w:rPr>
          <w:snapToGrid w:val="0"/>
        </w:rPr>
        <w:tab/>
        <w:t>An administrator appointed under subsection (1) who exercises or performs a power, authority, duty or function pursuant to an order under subsection (1) shall, forthwith after its exercise or performance —</w:t>
      </w:r>
    </w:p>
    <w:p>
      <w:pPr>
        <w:pStyle w:val="Indenta"/>
        <w:rPr>
          <w:snapToGrid w:val="0"/>
        </w:rPr>
      </w:pPr>
      <w:r>
        <w:rPr>
          <w:snapToGrid w:val="0"/>
        </w:rPr>
        <w:tab/>
        <w:t>(a)</w:t>
      </w:r>
      <w:r>
        <w:rPr>
          <w:snapToGrid w:val="0"/>
        </w:rPr>
        <w:tab/>
        <w:t>make a written record specifying the power, authority, duty or function and the manner of its exercise or performance; and</w:t>
      </w:r>
    </w:p>
    <w:p>
      <w:pPr>
        <w:pStyle w:val="Indenta"/>
        <w:rPr>
          <w:snapToGrid w:val="0"/>
        </w:rPr>
      </w:pPr>
      <w:r>
        <w:rPr>
          <w:snapToGrid w:val="0"/>
        </w:rPr>
        <w:tab/>
        <w:t>(b)</w:t>
      </w:r>
      <w:r>
        <w:rPr>
          <w:snapToGrid w:val="0"/>
        </w:rPr>
        <w:tab/>
        <w:t>serve the record on the strata company for the scheme to which the order relates.</w:t>
      </w:r>
    </w:p>
    <w:p>
      <w:pPr>
        <w:pStyle w:val="Footnotesection"/>
      </w:pPr>
      <w:r>
        <w:tab/>
        <w:t>[Section 102 amended: No. 58 of 1995 s. 96; No. 55 of 2004 s. 1141 and 1156(1).]</w:t>
      </w:r>
    </w:p>
    <w:p>
      <w:pPr>
        <w:pStyle w:val="Heading5"/>
        <w:rPr>
          <w:snapToGrid w:val="0"/>
        </w:rPr>
      </w:pPr>
      <w:bookmarkStart w:id="274" w:name="_Toc530554985"/>
      <w:r>
        <w:rPr>
          <w:rStyle w:val="CharSectno"/>
        </w:rPr>
        <w:t>103</w:t>
      </w:r>
      <w:r>
        <w:rPr>
          <w:snapToGrid w:val="0"/>
        </w:rPr>
        <w:t>.</w:t>
      </w:r>
      <w:r>
        <w:rPr>
          <w:snapToGrid w:val="0"/>
        </w:rPr>
        <w:tab/>
        <w:t>Order calling first annual general meeting of strata company</w:t>
      </w:r>
      <w:bookmarkEnd w:id="274"/>
    </w:p>
    <w:p>
      <w:pPr>
        <w:pStyle w:val="Subsection"/>
        <w:rPr>
          <w:snapToGrid w:val="0"/>
        </w:rPr>
      </w:pPr>
      <w:r>
        <w:rPr>
          <w:snapToGrid w:val="0"/>
        </w:rPr>
        <w:tab/>
        <w:t>(1)</w:t>
      </w:r>
      <w:r>
        <w:rPr>
          <w:snapToGrid w:val="0"/>
        </w:rPr>
        <w:tab/>
        <w:t>If the first annual general meeting of the strata company is not convened in accordance with section 49 or, having been so convened, is not held, the State Administrative Tribunal may, pursuant to an application by the strata company, a proprietor or a mortgagee of a lot, appoint by order a person to convene a meeting of the strata company within such time as may be specified in the order and the meeting convened by that person shall be deemed to be the meeting convened under that section.</w:t>
      </w:r>
    </w:p>
    <w:p>
      <w:pPr>
        <w:pStyle w:val="Subsection"/>
        <w:rPr>
          <w:snapToGrid w:val="0"/>
        </w:rPr>
      </w:pPr>
      <w:r>
        <w:rPr>
          <w:snapToGrid w:val="0"/>
        </w:rPr>
        <w:tab/>
        <w:t>(2)</w:t>
      </w:r>
      <w:r>
        <w:rPr>
          <w:snapToGrid w:val="0"/>
        </w:rPr>
        <w:tab/>
        <w:t>At any time after the meeting convened under subsection (1) has been held, the State Administrative Tribunal may, pursuant to an application made by a proprietor or a mortgagee of a lot, appoint by order a person, nominated by the proprietor or mortgagee, who has consented to that nomination —</w:t>
      </w:r>
    </w:p>
    <w:p>
      <w:pPr>
        <w:pStyle w:val="Indenta"/>
        <w:rPr>
          <w:snapToGrid w:val="0"/>
        </w:rPr>
      </w:pPr>
      <w:r>
        <w:rPr>
          <w:snapToGrid w:val="0"/>
        </w:rPr>
        <w:tab/>
        <w:t>(a)</w:t>
      </w:r>
      <w:r>
        <w:rPr>
          <w:snapToGrid w:val="0"/>
        </w:rPr>
        <w:tab/>
        <w:t>if there is not a council of the strata company, to convene a meeting of the strata company within such time as may be specified in the order and a meeting so convened shall, for the purpose of the election of a council, be deemed to be the first annual general meeting of the strata company; or</w:t>
      </w:r>
    </w:p>
    <w:p>
      <w:pPr>
        <w:pStyle w:val="Indenta"/>
        <w:rPr>
          <w:snapToGrid w:val="0"/>
        </w:rPr>
      </w:pPr>
      <w:r>
        <w:rPr>
          <w:snapToGrid w:val="0"/>
        </w:rPr>
        <w:tab/>
        <w:t>(b)</w:t>
      </w:r>
      <w:r>
        <w:rPr>
          <w:snapToGrid w:val="0"/>
        </w:rPr>
        <w:tab/>
        <w:t>if there is not a chairman, secretary and treasurer of the council of the strata company, to convene a meeting of the council of the strata company within such time as may be specified in the order and a meeting so convened shall be deemed to have been convened by that council.</w:t>
      </w:r>
    </w:p>
    <w:p>
      <w:pPr>
        <w:pStyle w:val="Subsection"/>
        <w:rPr>
          <w:snapToGrid w:val="0"/>
        </w:rPr>
      </w:pPr>
      <w:r>
        <w:rPr>
          <w:snapToGrid w:val="0"/>
        </w:rPr>
        <w:tab/>
        <w:t>(3)</w:t>
      </w:r>
      <w:r>
        <w:rPr>
          <w:snapToGrid w:val="0"/>
        </w:rPr>
        <w:tab/>
        <w:t>An order made under subsection (1) or (2) may include such ancillary or consequential provisions as the State Administrative Tribunal thinks fit.</w:t>
      </w:r>
    </w:p>
    <w:p>
      <w:pPr>
        <w:pStyle w:val="Subsection"/>
        <w:keepNext/>
        <w:rPr>
          <w:snapToGrid w:val="0"/>
        </w:rPr>
      </w:pPr>
      <w:r>
        <w:rPr>
          <w:snapToGrid w:val="0"/>
        </w:rPr>
        <w:tab/>
        <w:t>(4)</w:t>
      </w:r>
      <w:r>
        <w:rPr>
          <w:snapToGrid w:val="0"/>
        </w:rPr>
        <w:tab/>
        <w:t>Notwithstanding Schedule 1, where an order made under subsection (1) or (2) so provides —</w:t>
      </w:r>
    </w:p>
    <w:p>
      <w:pPr>
        <w:pStyle w:val="Indenta"/>
        <w:rPr>
          <w:snapToGrid w:val="0"/>
        </w:rPr>
      </w:pPr>
      <w:r>
        <w:rPr>
          <w:snapToGrid w:val="0"/>
        </w:rPr>
        <w:tab/>
        <w:t>(a)</w:t>
      </w:r>
      <w:r>
        <w:rPr>
          <w:snapToGrid w:val="0"/>
        </w:rPr>
        <w:tab/>
        <w:t>the person appointed by the order to convene a meeting of a strata company shall preside at the meeting and, while he so presides, shall be deemed to be the chairman of the strata company; and</w:t>
      </w:r>
    </w:p>
    <w:p>
      <w:pPr>
        <w:pStyle w:val="Indenta"/>
        <w:rPr>
          <w:snapToGrid w:val="0"/>
        </w:rPr>
      </w:pPr>
      <w:r>
        <w:rPr>
          <w:snapToGrid w:val="0"/>
        </w:rPr>
        <w:tab/>
        <w:t>(b)</w:t>
      </w:r>
      <w:r>
        <w:rPr>
          <w:snapToGrid w:val="0"/>
        </w:rPr>
        <w:tab/>
        <w:t>notice of that meeting may be given in the manner specified in the order.</w:t>
      </w:r>
    </w:p>
    <w:p>
      <w:pPr>
        <w:pStyle w:val="Subsection"/>
        <w:rPr>
          <w:snapToGrid w:val="0"/>
        </w:rPr>
      </w:pPr>
      <w:r>
        <w:rPr>
          <w:snapToGrid w:val="0"/>
        </w:rPr>
        <w:tab/>
        <w:t>(5)</w:t>
      </w:r>
      <w:r>
        <w:rPr>
          <w:snapToGrid w:val="0"/>
        </w:rPr>
        <w:tab/>
        <w:t>Where a meeting of the strata company convened in accordance with this section is held after the time limited under this section for the holding of the meeting, it does not on that account fail to be the first annual general meeting of the strata company.</w:t>
      </w:r>
    </w:p>
    <w:p>
      <w:pPr>
        <w:pStyle w:val="Subsection"/>
        <w:rPr>
          <w:snapToGrid w:val="0"/>
        </w:rPr>
      </w:pPr>
      <w:r>
        <w:rPr>
          <w:snapToGrid w:val="0"/>
        </w:rPr>
        <w:tab/>
        <w:t>(6)</w:t>
      </w:r>
      <w:r>
        <w:rPr>
          <w:snapToGrid w:val="0"/>
        </w:rPr>
        <w:tab/>
        <w:t>An original proprietor who has failed to convene and hold a meeting of the body corporate in accordance with section 49 remains liable to the penalty provided by that section notwithstanding that an order is made under subsection (1) or that a meeting is convened and held pursuant to such an order.</w:t>
      </w:r>
    </w:p>
    <w:p>
      <w:pPr>
        <w:pStyle w:val="Footnotesection"/>
      </w:pPr>
      <w:r>
        <w:tab/>
        <w:t>[Section 103 amended: No. 55 of 2004 s. 1156(1) and (3).]</w:t>
      </w:r>
    </w:p>
    <w:p>
      <w:pPr>
        <w:pStyle w:val="Heading5"/>
        <w:rPr>
          <w:snapToGrid w:val="0"/>
        </w:rPr>
      </w:pPr>
      <w:bookmarkStart w:id="275" w:name="_Toc530554986"/>
      <w:r>
        <w:rPr>
          <w:rStyle w:val="CharSectno"/>
        </w:rPr>
        <w:t>103A</w:t>
      </w:r>
      <w:r>
        <w:rPr>
          <w:snapToGrid w:val="0"/>
        </w:rPr>
        <w:t>.</w:t>
      </w:r>
      <w:r>
        <w:rPr>
          <w:snapToGrid w:val="0"/>
        </w:rPr>
        <w:tab/>
        <w:t>Order for compliance, despite s. 36A</w:t>
      </w:r>
      <w:bookmarkEnd w:id="275"/>
    </w:p>
    <w:p>
      <w:pPr>
        <w:pStyle w:val="Subsection"/>
        <w:rPr>
          <w:snapToGrid w:val="0"/>
        </w:rPr>
      </w:pPr>
      <w:r>
        <w:rPr>
          <w:snapToGrid w:val="0"/>
        </w:rPr>
        <w:tab/>
        <w:t>(1)</w:t>
      </w:r>
      <w:r>
        <w:rPr>
          <w:snapToGrid w:val="0"/>
        </w:rPr>
        <w:tab/>
        <w:t>A proprietor of a lot in a two</w:t>
      </w:r>
      <w:r>
        <w:rPr>
          <w:snapToGrid w:val="0"/>
        </w:rPr>
        <w:noBreakHyphen/>
        <w:t>lot scheme may apply to the State Administrative Tribunal for an order under this section.</w:t>
      </w:r>
    </w:p>
    <w:p>
      <w:pPr>
        <w:pStyle w:val="Subsection"/>
        <w:rPr>
          <w:snapToGrid w:val="0"/>
        </w:rPr>
      </w:pPr>
      <w:r>
        <w:rPr>
          <w:snapToGrid w:val="0"/>
        </w:rPr>
        <w:tab/>
        <w:t>(2)</w:t>
      </w:r>
      <w:r>
        <w:rPr>
          <w:snapToGrid w:val="0"/>
        </w:rPr>
        <w:tab/>
        <w:t>An order under this section is an order that, despite subsection (1) of section 36A, one or more of the provisions in the Table to that subsection apply to the strata company for the two</w:t>
      </w:r>
      <w:r>
        <w:rPr>
          <w:snapToGrid w:val="0"/>
        </w:rPr>
        <w:noBreakHyphen/>
        <w:t>lot scheme.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having regard to the interests of all proprietors, the provision or provisions should apply to the strata company.</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unanimous resolution and of effect under section 42(4).</w:t>
      </w:r>
    </w:p>
    <w:p>
      <w:pPr>
        <w:pStyle w:val="Footnotesection"/>
      </w:pPr>
      <w:r>
        <w:tab/>
        <w:t>[Section 103A inserted: No. 58 of 1995 s. 77; amended: No. 24 of 2000 s. 40(10); No. 55 of 2004 s. 1156(1) and 1158.]</w:t>
      </w:r>
    </w:p>
    <w:p>
      <w:pPr>
        <w:pStyle w:val="Heading5"/>
        <w:rPr>
          <w:snapToGrid w:val="0"/>
        </w:rPr>
      </w:pPr>
      <w:bookmarkStart w:id="276" w:name="_Toc530554987"/>
      <w:r>
        <w:rPr>
          <w:rStyle w:val="CharSectno"/>
        </w:rPr>
        <w:t>103B</w:t>
      </w:r>
      <w:r>
        <w:rPr>
          <w:snapToGrid w:val="0"/>
        </w:rPr>
        <w:t>.</w:t>
      </w:r>
      <w:r>
        <w:rPr>
          <w:snapToGrid w:val="0"/>
        </w:rPr>
        <w:tab/>
        <w:t>Order to enable quorum in two</w:t>
      </w:r>
      <w:r>
        <w:rPr>
          <w:snapToGrid w:val="0"/>
        </w:rPr>
        <w:noBreakHyphen/>
        <w:t>lot scheme</w:t>
      </w:r>
      <w:bookmarkEnd w:id="276"/>
    </w:p>
    <w:p>
      <w:pPr>
        <w:pStyle w:val="Subsection"/>
        <w:rPr>
          <w:snapToGrid w:val="0"/>
        </w:rPr>
      </w:pPr>
      <w:r>
        <w:rPr>
          <w:snapToGrid w:val="0"/>
        </w:rPr>
        <w:tab/>
        <w:t>(1)</w:t>
      </w:r>
      <w:r>
        <w:rPr>
          <w:snapToGrid w:val="0"/>
        </w:rPr>
        <w:tab/>
        <w:t>Where a proprietor of a lot in a two</w:t>
      </w:r>
      <w:r>
        <w:rPr>
          <w:snapToGrid w:val="0"/>
        </w:rPr>
        <w:noBreakHyphen/>
        <w:t>lot scheme (</w:t>
      </w:r>
      <w:r>
        <w:t xml:space="preserve">the </w:t>
      </w:r>
      <w:r>
        <w:rPr>
          <w:rStyle w:val="CharDefText"/>
        </w:rPr>
        <w:t>proprietor in default</w:t>
      </w:r>
      <w:r>
        <w:rPr>
          <w:snapToGrid w:val="0"/>
        </w:rPr>
        <w:t>) has failed or refused to attend a general meeting of the strata company, the proprietor of the other lot may apply to the State Administrative Tribunal for an order under this section.</w:t>
      </w:r>
    </w:p>
    <w:p>
      <w:pPr>
        <w:pStyle w:val="Subsection"/>
        <w:rPr>
          <w:snapToGrid w:val="0"/>
        </w:rPr>
      </w:pPr>
      <w:r>
        <w:rPr>
          <w:snapToGrid w:val="0"/>
        </w:rPr>
        <w:tab/>
        <w:t>(2)</w:t>
      </w:r>
      <w:r>
        <w:rPr>
          <w:snapToGrid w:val="0"/>
        </w:rPr>
        <w:tab/>
        <w:t>An order under this section is an order appointing a fit and proper person to exercise such powers of voting under this Act in respect of the lot of the proprietor in default as the State Administrative Tribunal shall specify in the order.</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proprietor in default has acted unreasonably in refusing to attend a general meeting of the strata company.</w:t>
      </w:r>
    </w:p>
    <w:p>
      <w:pPr>
        <w:pStyle w:val="Footnotesection"/>
      </w:pPr>
      <w:r>
        <w:tab/>
        <w:t>[Section 103B inserted: No. 58 of 1995 s. 77; No. 55 of 2004 s. 1156(1) and (3) and 1158.]</w:t>
      </w:r>
    </w:p>
    <w:p>
      <w:pPr>
        <w:pStyle w:val="Heading5"/>
        <w:rPr>
          <w:snapToGrid w:val="0"/>
        </w:rPr>
      </w:pPr>
      <w:bookmarkStart w:id="277" w:name="_Toc530554988"/>
      <w:r>
        <w:rPr>
          <w:rStyle w:val="CharSectno"/>
        </w:rPr>
        <w:t>103C</w:t>
      </w:r>
      <w:r>
        <w:rPr>
          <w:snapToGrid w:val="0"/>
        </w:rPr>
        <w:t>.</w:t>
      </w:r>
      <w:r>
        <w:rPr>
          <w:snapToGrid w:val="0"/>
        </w:rPr>
        <w:tab/>
        <w:t>Order making resolution for two</w:t>
      </w:r>
      <w:r>
        <w:rPr>
          <w:snapToGrid w:val="0"/>
        </w:rPr>
        <w:noBreakHyphen/>
        <w:t>lot scheme</w:t>
      </w:r>
      <w:bookmarkEnd w:id="277"/>
    </w:p>
    <w:p>
      <w:pPr>
        <w:pStyle w:val="Subsection"/>
        <w:rPr>
          <w:snapToGrid w:val="0"/>
        </w:rPr>
      </w:pPr>
      <w:r>
        <w:rPr>
          <w:snapToGrid w:val="0"/>
        </w:rPr>
        <w:tab/>
        <w:t>(1)</w:t>
      </w:r>
      <w:r>
        <w:rPr>
          <w:snapToGrid w:val="0"/>
        </w:rPr>
        <w:tab/>
        <w:t>Where a resolution, including a special resolution, for which an order under this section may be made has been proposed by a proprietor of a lot in a two</w:t>
      </w:r>
      <w:r>
        <w:rPr>
          <w:snapToGrid w:val="0"/>
        </w:rPr>
        <w:noBreakHyphen/>
        <w:t>lot scheme for passing by the strata company for the scheme but has been defeated, the proprietor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w:t>
      </w:r>
    </w:p>
    <w:p>
      <w:pPr>
        <w:pStyle w:val="Indenta"/>
        <w:rPr>
          <w:snapToGrid w:val="0"/>
        </w:rPr>
      </w:pPr>
      <w:r>
        <w:rPr>
          <w:snapToGrid w:val="0"/>
        </w:rPr>
        <w:tab/>
        <w:t>(a)</w:t>
      </w:r>
      <w:r>
        <w:rPr>
          <w:snapToGrid w:val="0"/>
        </w:rPr>
        <w:tab/>
        <w:t>a resolution or a special resolution, as the case may be, specified in the order is to be deemed to have been duly passed by the strata company; or</w:t>
      </w:r>
    </w:p>
    <w:p>
      <w:pPr>
        <w:pStyle w:val="Indenta"/>
        <w:rPr>
          <w:snapToGrid w:val="0"/>
        </w:rPr>
      </w:pPr>
      <w:r>
        <w:rPr>
          <w:snapToGrid w:val="0"/>
        </w:rPr>
        <w:tab/>
        <w:t>(b)</w:t>
      </w:r>
      <w:r>
        <w:rPr>
          <w:snapToGrid w:val="0"/>
        </w:rPr>
        <w:tab/>
        <w:t>a resolution specified in the order is to be deemed to have been duly passed by the strata company as a unanimous resolution for the purposes of section 21F or 21Q.</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other proprietor has acted unreasonably in refusing to agree to the resolution.</w:t>
      </w:r>
    </w:p>
    <w:p>
      <w:pPr>
        <w:pStyle w:val="Footnotesection"/>
      </w:pPr>
      <w:r>
        <w:tab/>
        <w:t>[Section 103C inserted: No. 58 of 1995 s. 77; amended: No. 61 of 1996 s. 32; No. 55 of 2004 s. 1156(1) and (3) and 1158.]</w:t>
      </w:r>
    </w:p>
    <w:p>
      <w:pPr>
        <w:pStyle w:val="Heading5"/>
        <w:rPr>
          <w:snapToGrid w:val="0"/>
        </w:rPr>
      </w:pPr>
      <w:bookmarkStart w:id="278" w:name="_Toc530554989"/>
      <w:r>
        <w:rPr>
          <w:rStyle w:val="CharSectno"/>
        </w:rPr>
        <w:t>103D</w:t>
      </w:r>
      <w:r>
        <w:rPr>
          <w:snapToGrid w:val="0"/>
        </w:rPr>
        <w:t>.</w:t>
      </w:r>
      <w:r>
        <w:rPr>
          <w:snapToGrid w:val="0"/>
        </w:rPr>
        <w:tab/>
        <w:t>Order cancelling special resolution</w:t>
      </w:r>
      <w:bookmarkEnd w:id="278"/>
    </w:p>
    <w:p>
      <w:pPr>
        <w:pStyle w:val="Subsection"/>
        <w:rPr>
          <w:snapToGrid w:val="0"/>
        </w:rPr>
      </w:pPr>
      <w:r>
        <w:rPr>
          <w:snapToGrid w:val="0"/>
        </w:rPr>
        <w:tab/>
        <w:t>(1)</w:t>
      </w:r>
      <w:r>
        <w:rPr>
          <w:snapToGrid w:val="0"/>
        </w:rPr>
        <w:tab/>
        <w:t>Where a special resolution has been passed by a strata company for a scheme in which there are 3, 4 or 5 lots a proprietor who did not vote, either personally or by proxy, in support of the resolution may apply to the State Administrative Tribunal for an order under this section.</w:t>
      </w:r>
    </w:p>
    <w:p>
      <w:pPr>
        <w:pStyle w:val="Subsection"/>
        <w:keepNext/>
        <w:rPr>
          <w:snapToGrid w:val="0"/>
        </w:rPr>
      </w:pPr>
      <w:r>
        <w:rPr>
          <w:snapToGrid w:val="0"/>
        </w:rPr>
        <w:tab/>
        <w:t>(2)</w:t>
      </w:r>
      <w:r>
        <w:rPr>
          <w:snapToGrid w:val="0"/>
        </w:rPr>
        <w:tab/>
        <w:t>An application under subsection (1) cannot be made by a proprietor later than —</w:t>
      </w:r>
    </w:p>
    <w:p>
      <w:pPr>
        <w:pStyle w:val="Indenta"/>
        <w:rPr>
          <w:snapToGrid w:val="0"/>
        </w:rPr>
      </w:pPr>
      <w:r>
        <w:rPr>
          <w:snapToGrid w:val="0"/>
        </w:rPr>
        <w:tab/>
        <w:t>(a)</w:t>
      </w:r>
      <w:r>
        <w:rPr>
          <w:snapToGrid w:val="0"/>
        </w:rPr>
        <w:tab/>
        <w:t>the 28th day after the day of the meeting at which the special resolution was passed; or</w:t>
      </w:r>
    </w:p>
    <w:p>
      <w:pPr>
        <w:pStyle w:val="Indenta"/>
        <w:rPr>
          <w:snapToGrid w:val="0"/>
        </w:rPr>
      </w:pPr>
      <w:r>
        <w:rPr>
          <w:snapToGrid w:val="0"/>
        </w:rPr>
        <w:tab/>
        <w:t>(b)</w:t>
      </w:r>
      <w:r>
        <w:rPr>
          <w:snapToGrid w:val="0"/>
        </w:rPr>
        <w:tab/>
        <w:t>if any vote in support of the resolution was cast under section 3B(5), the 56th day after the day of the meeting or the 28th day after service of notice of passing of the special resolution on the proprietor, whichever first occurs.</w:t>
      </w:r>
    </w:p>
    <w:p>
      <w:pPr>
        <w:pStyle w:val="Subsection"/>
        <w:rPr>
          <w:snapToGrid w:val="0"/>
        </w:rPr>
      </w:pPr>
      <w:r>
        <w:rPr>
          <w:snapToGrid w:val="0"/>
        </w:rPr>
        <w:tab/>
        <w:t>(3)</w:t>
      </w:r>
      <w:r>
        <w:rPr>
          <w:snapToGrid w:val="0"/>
        </w:rPr>
        <w:tab/>
        <w:t>An order under this section is an order declaring that a special resolution specified in the order is to be deemed not to have been passed by the strata company.</w:t>
      </w:r>
    </w:p>
    <w:p>
      <w:pPr>
        <w:pStyle w:val="Subsection"/>
        <w:rPr>
          <w:snapToGrid w:val="0"/>
        </w:rPr>
      </w:pPr>
      <w:r>
        <w:rPr>
          <w:snapToGrid w:val="0"/>
        </w:rPr>
        <w:tab/>
        <w:t>(4)</w:t>
      </w:r>
      <w:r>
        <w:rPr>
          <w:snapToGrid w:val="0"/>
        </w:rPr>
        <w:tab/>
        <w:t>On the making of an application by a proprietor under subsection (1), the State Administrative Tribunal may make an order under this section if satisfied that the other proprietors have acted unreasonably in passing the special resolution.</w:t>
      </w:r>
    </w:p>
    <w:p>
      <w:pPr>
        <w:pStyle w:val="Subsection"/>
        <w:rPr>
          <w:snapToGrid w:val="0"/>
        </w:rPr>
      </w:pPr>
      <w:r>
        <w:rPr>
          <w:snapToGrid w:val="0"/>
        </w:rPr>
        <w:tab/>
        <w:t>(5)</w:t>
      </w:r>
      <w:r>
        <w:rPr>
          <w:snapToGrid w:val="0"/>
        </w:rPr>
        <w:tab/>
        <w:t xml:space="preserve">In subsection (1)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ind w:left="890" w:hanging="890"/>
      </w:pPr>
      <w:r>
        <w:tab/>
        <w:t>[Section 103D inserted: No. 58 of 1995 s. 77; No. 55 of 2004 s. 1156(1) and (3) and 1158.]</w:t>
      </w:r>
    </w:p>
    <w:p>
      <w:pPr>
        <w:pStyle w:val="Heading5"/>
        <w:rPr>
          <w:snapToGrid w:val="0"/>
        </w:rPr>
      </w:pPr>
      <w:bookmarkStart w:id="279" w:name="_Toc530554990"/>
      <w:r>
        <w:rPr>
          <w:rStyle w:val="CharSectno"/>
        </w:rPr>
        <w:t>103E</w:t>
      </w:r>
      <w:r>
        <w:rPr>
          <w:snapToGrid w:val="0"/>
        </w:rPr>
        <w:t>.</w:t>
      </w:r>
      <w:r>
        <w:rPr>
          <w:snapToGrid w:val="0"/>
        </w:rPr>
        <w:tab/>
        <w:t>Order for termination of contract for services to strata company</w:t>
      </w:r>
      <w:bookmarkEnd w:id="279"/>
    </w:p>
    <w:p>
      <w:pPr>
        <w:pStyle w:val="Subsection"/>
        <w:rPr>
          <w:snapToGrid w:val="0"/>
        </w:rPr>
      </w:pPr>
      <w:r>
        <w:rPr>
          <w:snapToGrid w:val="0"/>
        </w:rPr>
        <w:tab/>
        <w:t>(1)</w:t>
      </w:r>
      <w:r>
        <w:rPr>
          <w:snapToGrid w:val="0"/>
        </w:rPr>
        <w:tab/>
        <w:t>A strata company for a scheme, or a proprietor of a lot in a scheme,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terminating; or</w:t>
      </w:r>
    </w:p>
    <w:p>
      <w:pPr>
        <w:pStyle w:val="Indenta"/>
        <w:keepNext/>
        <w:rPr>
          <w:snapToGrid w:val="0"/>
        </w:rPr>
      </w:pPr>
      <w:r>
        <w:rPr>
          <w:snapToGrid w:val="0"/>
        </w:rPr>
        <w:tab/>
        <w:t>(b)</w:t>
      </w:r>
      <w:r>
        <w:rPr>
          <w:snapToGrid w:val="0"/>
        </w:rPr>
        <w:tab/>
        <w:t>shortening the term of,</w:t>
      </w:r>
    </w:p>
    <w:p>
      <w:pPr>
        <w:pStyle w:val="Subsection"/>
        <w:rPr>
          <w:snapToGrid w:val="0"/>
        </w:rPr>
      </w:pPr>
      <w:r>
        <w:rPr>
          <w:snapToGrid w:val="0"/>
        </w:rPr>
        <w:tab/>
      </w:r>
      <w:r>
        <w:rPr>
          <w:snapToGrid w:val="0"/>
        </w:rPr>
        <w:tab/>
        <w:t>an agreement to which this section applies made between the strata company and another person.</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agreement —</w:t>
      </w:r>
    </w:p>
    <w:p>
      <w:pPr>
        <w:pStyle w:val="Indenta"/>
        <w:rPr>
          <w:snapToGrid w:val="0"/>
        </w:rPr>
      </w:pPr>
      <w:r>
        <w:rPr>
          <w:snapToGrid w:val="0"/>
        </w:rPr>
        <w:tab/>
        <w:t>(a)</w:t>
      </w:r>
      <w:r>
        <w:rPr>
          <w:snapToGrid w:val="0"/>
        </w:rPr>
        <w:tab/>
        <w:t>is unfair to the proprietors of 25% or more of the aggregate unit entitlement of the lots in the scheme; or</w:t>
      </w:r>
    </w:p>
    <w:p>
      <w:pPr>
        <w:pStyle w:val="Indenta"/>
        <w:rPr>
          <w:snapToGrid w:val="0"/>
        </w:rPr>
      </w:pPr>
      <w:r>
        <w:rPr>
          <w:snapToGrid w:val="0"/>
        </w:rPr>
        <w:tab/>
        <w:t>(b)</w:t>
      </w:r>
      <w:r>
        <w:rPr>
          <w:snapToGrid w:val="0"/>
        </w:rPr>
        <w:tab/>
        <w:t>is for an excessively long term.</w:t>
      </w:r>
    </w:p>
    <w:p>
      <w:pPr>
        <w:pStyle w:val="Subsection"/>
        <w:keepNext/>
        <w:rPr>
          <w:snapToGrid w:val="0"/>
        </w:rPr>
      </w:pPr>
      <w:r>
        <w:rPr>
          <w:snapToGrid w:val="0"/>
        </w:rPr>
        <w:tab/>
        <w:t>(4)</w:t>
      </w:r>
      <w:r>
        <w:rPr>
          <w:snapToGrid w:val="0"/>
        </w:rPr>
        <w:tab/>
        <w:t>This section applies to an agreement if —</w:t>
      </w:r>
    </w:p>
    <w:p>
      <w:pPr>
        <w:pStyle w:val="Indenta"/>
        <w:rPr>
          <w:snapToGrid w:val="0"/>
        </w:rPr>
      </w:pPr>
      <w:r>
        <w:rPr>
          <w:snapToGrid w:val="0"/>
        </w:rPr>
        <w:tab/>
        <w:t>(a)</w:t>
      </w:r>
      <w:r>
        <w:rPr>
          <w:snapToGrid w:val="0"/>
        </w:rPr>
        <w:tab/>
        <w:t>it relates to the provision of services to the strata company or the proprietors; and</w:t>
      </w:r>
    </w:p>
    <w:p>
      <w:pPr>
        <w:pStyle w:val="Indenta"/>
        <w:rPr>
          <w:snapToGrid w:val="0"/>
        </w:rPr>
      </w:pPr>
      <w:r>
        <w:rPr>
          <w:snapToGrid w:val="0"/>
        </w:rPr>
        <w:tab/>
        <w:t>(b)</w:t>
      </w:r>
      <w:r>
        <w:rPr>
          <w:snapToGrid w:val="0"/>
        </w:rPr>
        <w:tab/>
        <w:t xml:space="preserve">it is made before the commencement of section 77 of the </w:t>
      </w:r>
      <w:r>
        <w:rPr>
          <w:i/>
          <w:iCs/>
          <w:snapToGrid w:val="0"/>
        </w:rPr>
        <w:t>Strata Titles Amendment Act 1995</w:t>
      </w:r>
      <w:r>
        <w:rPr>
          <w:snapToGrid w:val="0"/>
        </w:rPr>
        <w:t>.</w:t>
      </w:r>
    </w:p>
    <w:p>
      <w:pPr>
        <w:pStyle w:val="Subsection"/>
        <w:rPr>
          <w:snapToGrid w:val="0"/>
        </w:rPr>
      </w:pPr>
      <w:r>
        <w:rPr>
          <w:snapToGrid w:val="0"/>
        </w:rPr>
        <w:tab/>
        <w:t>(5)</w:t>
      </w:r>
      <w:r>
        <w:rPr>
          <w:snapToGrid w:val="0"/>
        </w:rPr>
        <w:tab/>
        <w:t>An order under this section may include an order for the payment of money by any party to the agreement to another party for the purpose of adjusting the position or rights of the parties consequentially on the termination or shortening of the term of the agreement.</w:t>
      </w:r>
    </w:p>
    <w:p>
      <w:pPr>
        <w:pStyle w:val="Footnotesection"/>
        <w:ind w:left="890" w:hanging="890"/>
      </w:pPr>
      <w:r>
        <w:tab/>
        <w:t>[Section 103E inserted: No. 58 of 1995 s. 77; No. 55 of 2004 s. 1156(1) and 1158.]</w:t>
      </w:r>
    </w:p>
    <w:p>
      <w:pPr>
        <w:pStyle w:val="Heading5"/>
        <w:rPr>
          <w:snapToGrid w:val="0"/>
        </w:rPr>
      </w:pPr>
      <w:bookmarkStart w:id="280" w:name="_Toc530554991"/>
      <w:r>
        <w:rPr>
          <w:rStyle w:val="CharSectno"/>
        </w:rPr>
        <w:t>103F</w:t>
      </w:r>
      <w:r>
        <w:rPr>
          <w:snapToGrid w:val="0"/>
        </w:rPr>
        <w:t>.</w:t>
      </w:r>
      <w:r>
        <w:rPr>
          <w:snapToGrid w:val="0"/>
        </w:rPr>
        <w:tab/>
        <w:t>Order dispensing with approval under s. 7(2) or 7A(2)</w:t>
      </w:r>
      <w:bookmarkEnd w:id="280"/>
    </w:p>
    <w:p>
      <w:pPr>
        <w:pStyle w:val="Subsection"/>
        <w:rPr>
          <w:snapToGrid w:val="0"/>
        </w:rPr>
      </w:pPr>
      <w:r>
        <w:rPr>
          <w:snapToGrid w:val="0"/>
        </w:rPr>
        <w:tab/>
        <w:t>(1)</w:t>
      </w:r>
      <w:r>
        <w:rPr>
          <w:snapToGrid w:val="0"/>
        </w:rPr>
        <w:tab/>
        <w:t>A proprietor of a lot who has applied for but not obtained an approval under section 7B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the approval required under section 7 or 7A, as the case may be, is to be deemed to have been given by the proprietor or the strata company.</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approval —</w:t>
      </w:r>
    </w:p>
    <w:p>
      <w:pPr>
        <w:pStyle w:val="Indenta"/>
        <w:rPr>
          <w:snapToGrid w:val="0"/>
        </w:rPr>
      </w:pPr>
      <w:r>
        <w:rPr>
          <w:snapToGrid w:val="0"/>
        </w:rPr>
        <w:tab/>
        <w:t>(a)</w:t>
      </w:r>
      <w:r>
        <w:rPr>
          <w:snapToGrid w:val="0"/>
        </w:rPr>
        <w:tab/>
        <w:t>should have been given under section 7 or 7A, as the case may be; but</w:t>
      </w:r>
    </w:p>
    <w:p>
      <w:pPr>
        <w:pStyle w:val="Indenta"/>
        <w:rPr>
          <w:snapToGrid w:val="0"/>
        </w:rPr>
      </w:pPr>
      <w:r>
        <w:rPr>
          <w:snapToGrid w:val="0"/>
        </w:rPr>
        <w:tab/>
        <w:t>(b)</w:t>
      </w:r>
      <w:r>
        <w:rPr>
          <w:snapToGrid w:val="0"/>
        </w:rPr>
        <w:tab/>
        <w:t>has been unreasonably withheld,</w:t>
      </w:r>
    </w:p>
    <w:p>
      <w:pPr>
        <w:pStyle w:val="Subsection"/>
        <w:rPr>
          <w:snapToGrid w:val="0"/>
        </w:rPr>
      </w:pPr>
      <w:r>
        <w:rPr>
          <w:snapToGrid w:val="0"/>
        </w:rPr>
        <w:tab/>
      </w:r>
      <w:r>
        <w:rPr>
          <w:snapToGrid w:val="0"/>
        </w:rPr>
        <w:tab/>
        <w:t>by the proprietor or the strata company.</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 proprietor has made an application to a strata company under section 7B; and</w:t>
      </w:r>
    </w:p>
    <w:p>
      <w:pPr>
        <w:pStyle w:val="Indenta"/>
        <w:rPr>
          <w:snapToGrid w:val="0"/>
        </w:rPr>
      </w:pPr>
      <w:r>
        <w:rPr>
          <w:snapToGrid w:val="0"/>
        </w:rPr>
        <w:tab/>
        <w:t>(b)</w:t>
      </w:r>
      <w:r>
        <w:rPr>
          <w:snapToGrid w:val="0"/>
        </w:rPr>
        <w:tab/>
        <w:t>the application has been considered at a general meeting at which no vote was passed against the application,</w:t>
      </w:r>
    </w:p>
    <w:p>
      <w:pPr>
        <w:pStyle w:val="Subsection"/>
        <w:rPr>
          <w:snapToGrid w:val="0"/>
        </w:rPr>
      </w:pPr>
      <w:r>
        <w:rPr>
          <w:snapToGrid w:val="0"/>
        </w:rPr>
        <w:tab/>
      </w:r>
      <w:r>
        <w:rPr>
          <w:snapToGrid w:val="0"/>
        </w:rPr>
        <w:tab/>
        <w:t>the proprietor may make a conditional application for an order under this section.</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cannot make an order on a conditional application unless a proprietor, voting in accordance with section 3AC(2), casts a vote against the application referred to in subsection (4)(a) nor until the expiration of 35 days after the meeting.</w:t>
      </w:r>
    </w:p>
    <w:p>
      <w:pPr>
        <w:pStyle w:val="Footnotesection"/>
        <w:keepLines w:val="0"/>
      </w:pPr>
      <w:r>
        <w:tab/>
        <w:t>[Section 103F inserted: No. 58 of 1995 s. 77; amended: No. 61 of 1996 s. 5; No. 55 of 2004 s. 1142, 1156(1) and 1158.]</w:t>
      </w:r>
    </w:p>
    <w:p>
      <w:pPr>
        <w:pStyle w:val="Heading5"/>
        <w:rPr>
          <w:snapToGrid w:val="0"/>
        </w:rPr>
      </w:pPr>
      <w:bookmarkStart w:id="281" w:name="_Toc530554992"/>
      <w:r>
        <w:rPr>
          <w:rStyle w:val="CharSectno"/>
        </w:rPr>
        <w:t>103G</w:t>
      </w:r>
      <w:r>
        <w:rPr>
          <w:snapToGrid w:val="0"/>
        </w:rPr>
        <w:t>.</w:t>
      </w:r>
      <w:r>
        <w:rPr>
          <w:snapToGrid w:val="0"/>
        </w:rPr>
        <w:tab/>
        <w:t>Order granting relief for breach of s. 7(2)</w:t>
      </w:r>
      <w:bookmarkEnd w:id="281"/>
    </w:p>
    <w:p>
      <w:pPr>
        <w:pStyle w:val="Subsection"/>
        <w:keepNext/>
        <w:rPr>
          <w:snapToGrid w:val="0"/>
        </w:rPr>
      </w:pPr>
      <w:r>
        <w:rPr>
          <w:snapToGrid w:val="0"/>
        </w:rPr>
        <w:tab/>
        <w:t>(1)</w:t>
      </w:r>
      <w:r>
        <w:rPr>
          <w:snapToGrid w:val="0"/>
        </w:rPr>
        <w:tab/>
        <w:t>An application to the State Administrative Tribunal for a finding and an order under this section may be made —</w:t>
      </w:r>
    </w:p>
    <w:p>
      <w:pPr>
        <w:pStyle w:val="Indenta"/>
        <w:rPr>
          <w:snapToGrid w:val="0"/>
        </w:rPr>
      </w:pPr>
      <w:r>
        <w:rPr>
          <w:snapToGrid w:val="0"/>
        </w:rPr>
        <w:tab/>
        <w:t>(a)</w:t>
      </w:r>
      <w:r>
        <w:rPr>
          <w:snapToGrid w:val="0"/>
        </w:rPr>
        <w:tab/>
        <w:t>by the proprietor of a lot in a two</w:t>
      </w:r>
      <w:r>
        <w:rPr>
          <w:snapToGrid w:val="0"/>
        </w:rPr>
        <w:noBreakHyphen/>
        <w:t>lot scheme; or</w:t>
      </w:r>
    </w:p>
    <w:p>
      <w:pPr>
        <w:pStyle w:val="Indenta"/>
        <w:rPr>
          <w:snapToGrid w:val="0"/>
        </w:rPr>
      </w:pPr>
      <w:r>
        <w:rPr>
          <w:snapToGrid w:val="0"/>
        </w:rPr>
        <w:tab/>
        <w:t>(b)</w:t>
      </w:r>
      <w:r>
        <w:rPr>
          <w:snapToGrid w:val="0"/>
        </w:rPr>
        <w:tab/>
        <w:t>in the case of any other scheme, by the strata company.</w:t>
      </w:r>
    </w:p>
    <w:p>
      <w:pPr>
        <w:pStyle w:val="Subsection"/>
        <w:rPr>
          <w:snapToGrid w:val="0"/>
        </w:rPr>
      </w:pPr>
      <w:r>
        <w:rPr>
          <w:snapToGrid w:val="0"/>
        </w:rPr>
        <w:tab/>
        <w:t>(2)</w:t>
      </w:r>
      <w:r>
        <w:rPr>
          <w:snapToGrid w:val="0"/>
        </w:rPr>
        <w:tab/>
        <w:t>A finding under this section is a finding that the proprietor of a lot in the scheme has committed a breach of section 7(2).</w:t>
      </w:r>
    </w:p>
    <w:p>
      <w:pPr>
        <w:pStyle w:val="Subsection"/>
        <w:keepNext/>
        <w:rPr>
          <w:snapToGrid w:val="0"/>
        </w:rPr>
      </w:pPr>
      <w:r>
        <w:rPr>
          <w:snapToGrid w:val="0"/>
        </w:rPr>
        <w:tab/>
        <w:t>(3)</w:t>
      </w:r>
      <w:r>
        <w:rPr>
          <w:snapToGrid w:val="0"/>
        </w:rPr>
        <w:tab/>
        <w:t>An order under this section is an order that the proprietor —</w:t>
      </w:r>
    </w:p>
    <w:p>
      <w:pPr>
        <w:pStyle w:val="Indenta"/>
        <w:rPr>
          <w:snapToGrid w:val="0"/>
        </w:rPr>
      </w:pPr>
      <w:r>
        <w:rPr>
          <w:snapToGrid w:val="0"/>
        </w:rPr>
        <w:tab/>
        <w:t>(a)</w:t>
      </w:r>
      <w:r>
        <w:rPr>
          <w:snapToGrid w:val="0"/>
        </w:rPr>
        <w:tab/>
        <w:t>stop carrying out any work or any specified work in breach of subsection (2) of section 7; or</w:t>
      </w:r>
    </w:p>
    <w:p>
      <w:pPr>
        <w:pStyle w:val="Indenta"/>
        <w:rPr>
          <w:snapToGrid w:val="0"/>
        </w:rPr>
      </w:pPr>
      <w:r>
        <w:rPr>
          <w:snapToGrid w:val="0"/>
        </w:rPr>
        <w:tab/>
        <w:t>(b)</w:t>
      </w:r>
      <w:r>
        <w:rPr>
          <w:snapToGrid w:val="0"/>
        </w:rPr>
        <w:tab/>
        <w:t>within a specified time, pull down, remove, or alter anything or any specified thing that is in place as a result of work done in breach of that subsection,</w:t>
      </w:r>
    </w:p>
    <w:p>
      <w:pPr>
        <w:pStyle w:val="Subsection"/>
        <w:rPr>
          <w:snapToGrid w:val="0"/>
        </w:rPr>
      </w:pPr>
      <w:r>
        <w:rPr>
          <w:snapToGrid w:val="0"/>
        </w:rPr>
        <w:tab/>
      </w:r>
      <w:r>
        <w:rPr>
          <w:snapToGrid w:val="0"/>
        </w:rPr>
        <w:tab/>
        <w:t>or an order under both of those paragraphs.</w:t>
      </w:r>
    </w:p>
    <w:p>
      <w:pPr>
        <w:pStyle w:val="Subsection"/>
        <w:keepNext/>
        <w:rPr>
          <w:snapToGrid w:val="0"/>
        </w:rPr>
      </w:pPr>
      <w:r>
        <w:rPr>
          <w:snapToGrid w:val="0"/>
        </w:rPr>
        <w:tab/>
        <w:t>(4)</w:t>
      </w:r>
      <w:r>
        <w:rPr>
          <w:snapToGrid w:val="0"/>
        </w:rPr>
        <w:tab/>
        <w:t>On the making of an application under subsection (1), the State Administrative Tribunal shall —</w:t>
      </w:r>
    </w:p>
    <w:p>
      <w:pPr>
        <w:pStyle w:val="Indenta"/>
        <w:rPr>
          <w:snapToGrid w:val="0"/>
        </w:rPr>
      </w:pPr>
      <w:r>
        <w:rPr>
          <w:snapToGrid w:val="0"/>
        </w:rPr>
        <w:tab/>
        <w:t>(a)</w:t>
      </w:r>
      <w:r>
        <w:rPr>
          <w:snapToGrid w:val="0"/>
        </w:rPr>
        <w:tab/>
        <w:t>make a finding under this section if satisfied that a breach of section 7(2) has occurred;</w:t>
      </w:r>
    </w:p>
    <w:p>
      <w:pPr>
        <w:pStyle w:val="Indenta"/>
        <w:rPr>
          <w:snapToGrid w:val="0"/>
        </w:rPr>
      </w:pPr>
      <w:r>
        <w:rPr>
          <w:snapToGrid w:val="0"/>
        </w:rPr>
        <w:tab/>
        <w:t>(b)</w:t>
      </w:r>
      <w:r>
        <w:rPr>
          <w:snapToGrid w:val="0"/>
        </w:rPr>
        <w:tab/>
        <w:t>make an order under this section unless satisfied that the work done or intended to be done will not cause any significant inconvenience or detriment to the other proprietors.</w:t>
      </w:r>
    </w:p>
    <w:p>
      <w:pPr>
        <w:pStyle w:val="Footnotesection"/>
      </w:pPr>
      <w:r>
        <w:tab/>
        <w:t>[Section 103G inserted: No. 58 of 1995 s. 77; amended: No. 55 of 2004 s. 1156(1) and 1158.]</w:t>
      </w:r>
    </w:p>
    <w:p>
      <w:pPr>
        <w:pStyle w:val="Heading5"/>
        <w:rPr>
          <w:snapToGrid w:val="0"/>
        </w:rPr>
      </w:pPr>
      <w:bookmarkStart w:id="282" w:name="_Toc530554993"/>
      <w:r>
        <w:rPr>
          <w:rStyle w:val="CharSectno"/>
        </w:rPr>
        <w:t>103H</w:t>
      </w:r>
      <w:r>
        <w:rPr>
          <w:snapToGrid w:val="0"/>
        </w:rPr>
        <w:t>.</w:t>
      </w:r>
      <w:r>
        <w:rPr>
          <w:snapToGrid w:val="0"/>
        </w:rPr>
        <w:tab/>
        <w:t>Order for variation of unit entitlement</w:t>
      </w:r>
      <w:bookmarkEnd w:id="282"/>
    </w:p>
    <w:p>
      <w:pPr>
        <w:pStyle w:val="Subsection"/>
        <w:keepNext/>
        <w:rPr>
          <w:snapToGrid w:val="0"/>
        </w:rPr>
      </w:pPr>
      <w:r>
        <w:rPr>
          <w:snapToGrid w:val="0"/>
        </w:rPr>
        <w:tab/>
        <w:t>(1)</w:t>
      </w:r>
      <w:r>
        <w:rPr>
          <w:snapToGrid w:val="0"/>
        </w:rPr>
        <w:tab/>
        <w:t>An application to the State Administrative Tribunal for an order under this section may be made —</w:t>
      </w:r>
    </w:p>
    <w:p>
      <w:pPr>
        <w:pStyle w:val="Indenta"/>
        <w:rPr>
          <w:snapToGrid w:val="0"/>
        </w:rPr>
      </w:pPr>
      <w:r>
        <w:rPr>
          <w:snapToGrid w:val="0"/>
        </w:rPr>
        <w:tab/>
        <w:t>(a)</w:t>
      </w:r>
      <w:r>
        <w:rPr>
          <w:snapToGrid w:val="0"/>
        </w:rPr>
        <w:tab/>
        <w:t>by the proprietor or a registered mortgagee of a lot in a scheme; or</w:t>
      </w:r>
    </w:p>
    <w:p>
      <w:pPr>
        <w:pStyle w:val="Indenta"/>
        <w:rPr>
          <w:snapToGrid w:val="0"/>
        </w:rPr>
      </w:pPr>
      <w:r>
        <w:rPr>
          <w:snapToGrid w:val="0"/>
        </w:rPr>
        <w:tab/>
        <w:t>(b)</w:t>
      </w:r>
      <w:r>
        <w:rPr>
          <w:snapToGrid w:val="0"/>
        </w:rPr>
        <w:tab/>
        <w:t>by the strata company for the scheme.</w:t>
      </w:r>
    </w:p>
    <w:p>
      <w:pPr>
        <w:pStyle w:val="Subsection"/>
        <w:rPr>
          <w:snapToGrid w:val="0"/>
        </w:rPr>
      </w:pPr>
      <w:r>
        <w:rPr>
          <w:snapToGrid w:val="0"/>
        </w:rPr>
        <w:tab/>
        <w:t>(2)</w:t>
      </w:r>
      <w:r>
        <w:rPr>
          <w:snapToGrid w:val="0"/>
        </w:rPr>
        <w:tab/>
        <w:t>An order under this section is an order amending the schedule of unit entitlement registered in respect of the scheme in a manner that the State Administrative Tribunal thinks appropriate.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proportion that the unit entitlement of any lot in the scheme bears to the aggregate unit entitlement of all lots in the scheme is not consistent with the proportion that the value of that lot bears to the aggregate value of all lots in the scheme; and</w:t>
      </w:r>
    </w:p>
    <w:p>
      <w:pPr>
        <w:pStyle w:val="Indenta"/>
        <w:rPr>
          <w:snapToGrid w:val="0"/>
        </w:rPr>
      </w:pPr>
      <w:r>
        <w:rPr>
          <w:snapToGrid w:val="0"/>
        </w:rPr>
        <w:tab/>
        <w:t>(b)</w:t>
      </w:r>
      <w:r>
        <w:rPr>
          <w:snapToGrid w:val="0"/>
        </w:rPr>
        <w:tab/>
        <w:t>that the lack of consistency is sufficiently great as to be unfair or anomalous.</w:t>
      </w:r>
    </w:p>
    <w:p>
      <w:pPr>
        <w:pStyle w:val="Subsection"/>
        <w:keepNext/>
        <w:rPr>
          <w:snapToGrid w:val="0"/>
        </w:rPr>
      </w:pPr>
      <w:r>
        <w:rPr>
          <w:snapToGrid w:val="0"/>
        </w:rPr>
        <w:tab/>
        <w:t>(4)</w:t>
      </w:r>
      <w:r>
        <w:rPr>
          <w:snapToGrid w:val="0"/>
        </w:rPr>
        <w:tab/>
        <w:t xml:space="preserve">References in subsection (3)(a) to </w:t>
      </w:r>
      <w:r>
        <w:rPr>
          <w:rStyle w:val="CharDefText"/>
        </w:rPr>
        <w:t>value</w:t>
      </w:r>
      <w:r>
        <w:rPr>
          <w:snapToGrid w:val="0"/>
        </w:rPr>
        <w:t xml:space="preserve"> are to —</w:t>
      </w:r>
    </w:p>
    <w:p>
      <w:pPr>
        <w:pStyle w:val="Indenta"/>
        <w:rPr>
          <w:snapToGrid w:val="0"/>
        </w:rPr>
      </w:pPr>
      <w:r>
        <w:rPr>
          <w:snapToGrid w:val="0"/>
        </w:rPr>
        <w:tab/>
        <w:t>(a)</w:t>
      </w:r>
      <w:r>
        <w:rPr>
          <w:snapToGrid w:val="0"/>
        </w:rPr>
        <w:tab/>
        <w:t xml:space="preserve">capital value as defined in the </w:t>
      </w:r>
      <w:r>
        <w:rPr>
          <w:i/>
          <w:snapToGrid w:val="0"/>
        </w:rPr>
        <w:t>Valuation of Land Act 1978</w:t>
      </w:r>
      <w:r>
        <w:rPr>
          <w:snapToGrid w:val="0"/>
        </w:rPr>
        <w:t>, in the case of lots in a strata scheme; and</w:t>
      </w:r>
    </w:p>
    <w:p>
      <w:pPr>
        <w:pStyle w:val="Indenta"/>
        <w:rPr>
          <w:snapToGrid w:val="0"/>
        </w:rPr>
      </w:pPr>
      <w:r>
        <w:rPr>
          <w:snapToGrid w:val="0"/>
        </w:rPr>
        <w:tab/>
        <w:t>(b)</w:t>
      </w:r>
      <w:r>
        <w:rPr>
          <w:snapToGrid w:val="0"/>
        </w:rPr>
        <w:tab/>
        <w:t>site value as defined in that Act, in the case of lots in a survey</w:t>
      </w:r>
      <w:r>
        <w:rPr>
          <w:snapToGrid w:val="0"/>
        </w:rPr>
        <w:noBreakHyphen/>
        <w:t>strata scheme.</w:t>
      </w:r>
    </w:p>
    <w:p>
      <w:pPr>
        <w:pStyle w:val="Subsection"/>
        <w:rPr>
          <w:snapToGrid w:val="0"/>
        </w:rPr>
      </w:pPr>
      <w:r>
        <w:rPr>
          <w:snapToGrid w:val="0"/>
        </w:rPr>
        <w:tab/>
        <w:t>(5)</w:t>
      </w:r>
      <w:r>
        <w:rPr>
          <w:snapToGrid w:val="0"/>
        </w:rPr>
        <w:tab/>
        <w:t>An order under this section is of no effect until a copy of the order has been lodged with the Registrar of Titles under section 115 and he has made the amendment required by subsection (7).</w:t>
      </w:r>
    </w:p>
    <w:p>
      <w:pPr>
        <w:pStyle w:val="Subsection"/>
        <w:rPr>
          <w:snapToGrid w:val="0"/>
        </w:rPr>
      </w:pPr>
      <w:r>
        <w:rPr>
          <w:snapToGrid w:val="0"/>
        </w:rPr>
        <w:tab/>
        <w:t>(6)</w:t>
      </w:r>
      <w:r>
        <w:rPr>
          <w:snapToGrid w:val="0"/>
        </w:rPr>
        <w:tab/>
        <w:t>Upon the lodgement of a copy of an order certified by the executive officer of the State</w:t>
      </w:r>
      <w:r>
        <w:rPr>
          <w:snapToGrid w:val="0"/>
          <w:spacing w:val="-4"/>
        </w:rPr>
        <w:t xml:space="preserve"> Administrative Tribunal</w:t>
      </w:r>
      <w:r>
        <w:rPr>
          <w:snapToGrid w:val="0"/>
        </w:rPr>
        <w:t xml:space="preserve"> as a true copy, the Registrar of Titles shall amend the schedule of unit entitlement registered in respect of the scheme in the prescribed manner.</w:t>
      </w:r>
    </w:p>
    <w:p>
      <w:pPr>
        <w:pStyle w:val="Subsection"/>
        <w:rPr>
          <w:snapToGrid w:val="0"/>
        </w:rPr>
      </w:pPr>
      <w:r>
        <w:rPr>
          <w:snapToGrid w:val="0"/>
        </w:rPr>
        <w:tab/>
        <w:t>(7)</w:t>
      </w:r>
      <w:r>
        <w:rPr>
          <w:snapToGrid w:val="0"/>
        </w:rPr>
        <w:tab/>
        <w:t>When the schedule is so amended the share of a proprietor in common property vested in the proprietor pursuant to the amended schedule shall by operation of law be subject to any encumbrance registered or caveat lodged with the Registrar of Titles against his lot, and every such encumbrance or caveat is deemed to be amended accordingly.</w:t>
      </w:r>
    </w:p>
    <w:p>
      <w:pPr>
        <w:pStyle w:val="Subsection"/>
        <w:keepNext/>
        <w:keepLines/>
        <w:rPr>
          <w:snapToGrid w:val="0"/>
        </w:rPr>
      </w:pPr>
      <w:r>
        <w:rPr>
          <w:snapToGrid w:val="0"/>
        </w:rPr>
        <w:tab/>
        <w:t>(8)</w:t>
      </w:r>
      <w:r>
        <w:rPr>
          <w:snapToGrid w:val="0"/>
        </w:rPr>
        <w:tab/>
        <w:t>The State Administrative Tribunal may order a party who opposes an application under this section to pay the costs of a successful applicant if the State Administrative Tribunal considers the actions of that party in relation to the application have been unreasonable.</w:t>
      </w:r>
    </w:p>
    <w:p>
      <w:pPr>
        <w:pStyle w:val="Footnotesection"/>
      </w:pPr>
      <w:r>
        <w:tab/>
        <w:t>[Section 103H inserted: No. 58 of 1995 s. 77; amended: No. 55 of 2004 s. 1143, 1156 and 1158.]</w:t>
      </w:r>
    </w:p>
    <w:p>
      <w:pPr>
        <w:pStyle w:val="Heading5"/>
        <w:rPr>
          <w:snapToGrid w:val="0"/>
        </w:rPr>
      </w:pPr>
      <w:bookmarkStart w:id="283" w:name="_Toc530554994"/>
      <w:r>
        <w:rPr>
          <w:rStyle w:val="CharSectno"/>
        </w:rPr>
        <w:t>103I</w:t>
      </w:r>
      <w:r>
        <w:rPr>
          <w:snapToGrid w:val="0"/>
        </w:rPr>
        <w:t>.</w:t>
      </w:r>
      <w:r>
        <w:rPr>
          <w:snapToGrid w:val="0"/>
        </w:rPr>
        <w:tab/>
        <w:t>Order for payment of penalty</w:t>
      </w:r>
      <w:bookmarkEnd w:id="283"/>
    </w:p>
    <w:p>
      <w:pPr>
        <w:pStyle w:val="Subsection"/>
        <w:keepNext/>
        <w:keepLines/>
        <w:rPr>
          <w:snapToGrid w:val="0"/>
        </w:rPr>
      </w:pPr>
      <w:r>
        <w:rPr>
          <w:snapToGrid w:val="0"/>
        </w:rPr>
        <w:tab/>
        <w:t>(1)</w:t>
      </w:r>
      <w:r>
        <w:rPr>
          <w:snapToGrid w:val="0"/>
        </w:rPr>
        <w:tab/>
        <w:t>A strata company for a scheme may apply to the State Administrative Tribunal for an order under this section.</w:t>
      </w:r>
    </w:p>
    <w:p>
      <w:pPr>
        <w:pStyle w:val="Subsection"/>
        <w:keepNext/>
        <w:keepLines/>
        <w:rPr>
          <w:snapToGrid w:val="0"/>
        </w:rPr>
      </w:pPr>
      <w:r>
        <w:rPr>
          <w:snapToGrid w:val="0"/>
        </w:rPr>
        <w:tab/>
        <w:t>(2)</w:t>
      </w:r>
      <w:r>
        <w:rPr>
          <w:snapToGrid w:val="0"/>
        </w:rPr>
        <w:tab/>
        <w:t>An order under this section is an order that a proprietor shall pay to the strata company one or both of the following —</w:t>
      </w:r>
    </w:p>
    <w:p>
      <w:pPr>
        <w:pStyle w:val="Indenta"/>
        <w:rPr>
          <w:snapToGrid w:val="0"/>
        </w:rPr>
      </w:pPr>
      <w:r>
        <w:rPr>
          <w:snapToGrid w:val="0"/>
        </w:rPr>
        <w:tab/>
        <w:t>(a)</w:t>
      </w:r>
      <w:r>
        <w:rPr>
          <w:snapToGrid w:val="0"/>
        </w:rPr>
        <w:tab/>
        <w:t>a specified sum by way of penalty for a breach of a by</w:t>
      </w:r>
      <w:r>
        <w:rPr>
          <w:snapToGrid w:val="0"/>
        </w:rPr>
        <w:noBreakHyphen/>
        <w:t>law;</w:t>
      </w:r>
    </w:p>
    <w:p>
      <w:pPr>
        <w:pStyle w:val="Indenta"/>
        <w:rPr>
          <w:snapToGrid w:val="0"/>
        </w:rPr>
      </w:pPr>
      <w:r>
        <w:rPr>
          <w:snapToGrid w:val="0"/>
        </w:rPr>
        <w:tab/>
        <w:t>(b)</w:t>
      </w:r>
      <w:r>
        <w:rPr>
          <w:snapToGrid w:val="0"/>
        </w:rPr>
        <w:tab/>
        <w:t>the company’s costs of making the application.</w:t>
      </w:r>
    </w:p>
    <w:p>
      <w:pPr>
        <w:pStyle w:val="Subsection"/>
        <w:keepNext/>
        <w:keepLines/>
        <w:rPr>
          <w:snapToGrid w:val="0"/>
        </w:rPr>
      </w:pPr>
      <w:r>
        <w:rPr>
          <w:snapToGrid w:val="0"/>
        </w:rPr>
        <w:tab/>
        <w:t>(3)</w:t>
      </w:r>
      <w:r>
        <w:rPr>
          <w:snapToGrid w:val="0"/>
        </w:rPr>
        <w:tab/>
        <w:t>On the making of an application under subsection (1), the State Administrative Tribunal may make an order under this section in respect of a by</w:t>
      </w:r>
      <w:r>
        <w:rPr>
          <w:snapToGrid w:val="0"/>
        </w:rPr>
        <w:noBreakHyphen/>
        <w:t>law if satisfied that —</w:t>
      </w:r>
    </w:p>
    <w:p>
      <w:pPr>
        <w:pStyle w:val="Indenta"/>
        <w:rPr>
          <w:snapToGrid w:val="0"/>
        </w:rPr>
      </w:pPr>
      <w:r>
        <w:rPr>
          <w:snapToGrid w:val="0"/>
        </w:rPr>
        <w:tab/>
        <w:t>(a)</w:t>
      </w:r>
      <w:r>
        <w:rPr>
          <w:snapToGrid w:val="0"/>
        </w:rPr>
        <w:tab/>
        <w:t>the by</w:t>
      </w:r>
      <w:r>
        <w:rPr>
          <w:snapToGrid w:val="0"/>
        </w:rPr>
        <w:noBreakHyphen/>
        <w:t>law specifies a penalty for breach of it; and</w:t>
      </w:r>
    </w:p>
    <w:p>
      <w:pPr>
        <w:pStyle w:val="Indenta"/>
        <w:rPr>
          <w:snapToGrid w:val="0"/>
        </w:rPr>
      </w:pPr>
      <w:r>
        <w:rPr>
          <w:snapToGrid w:val="0"/>
        </w:rPr>
        <w:tab/>
        <w:t>(b)</w:t>
      </w:r>
      <w:r>
        <w:rPr>
          <w:snapToGrid w:val="0"/>
        </w:rPr>
        <w:tab/>
        <w:t>the strata company has authorised the application; and</w:t>
      </w:r>
    </w:p>
    <w:p>
      <w:pPr>
        <w:pStyle w:val="Indenta"/>
        <w:rPr>
          <w:snapToGrid w:val="0"/>
        </w:rPr>
      </w:pPr>
      <w:r>
        <w:rPr>
          <w:snapToGrid w:val="0"/>
        </w:rPr>
        <w:tab/>
        <w:t>(c)</w:t>
      </w:r>
      <w:r>
        <w:rPr>
          <w:snapToGrid w:val="0"/>
        </w:rPr>
        <w:tab/>
        <w:t>the proprietor has wilfully and persistently breached the by</w:t>
      </w:r>
      <w:r>
        <w:rPr>
          <w:snapToGrid w:val="0"/>
        </w:rPr>
        <w:noBreakHyphen/>
        <w:t>law.</w:t>
      </w:r>
    </w:p>
    <w:p>
      <w:pPr>
        <w:pStyle w:val="Subsection"/>
        <w:keepNext/>
        <w:keepLines/>
        <w:rPr>
          <w:snapToGrid w:val="0"/>
        </w:rPr>
      </w:pPr>
      <w:r>
        <w:rPr>
          <w:snapToGrid w:val="0"/>
        </w:rPr>
        <w:tab/>
        <w:t>(4)</w:t>
      </w:r>
      <w:r>
        <w:rPr>
          <w:snapToGrid w:val="0"/>
        </w:rPr>
        <w:tab/>
        <w:t>The State Administrative Tribunal cannot order an amount exceeding the prescribed amount to be paid by way of penalty under subsection (2)(a).</w:t>
      </w:r>
    </w:p>
    <w:p>
      <w:pPr>
        <w:pStyle w:val="Footnotesection"/>
      </w:pPr>
      <w:r>
        <w:tab/>
        <w:t>[Section 103I inserted: No. 58 of 1995 s. 77; No. 55 of 2004 s. 1156 and 1158.]</w:t>
      </w:r>
    </w:p>
    <w:p>
      <w:pPr>
        <w:pStyle w:val="Heading5"/>
        <w:rPr>
          <w:snapToGrid w:val="0"/>
        </w:rPr>
      </w:pPr>
      <w:bookmarkStart w:id="284" w:name="_Toc530554995"/>
      <w:r>
        <w:rPr>
          <w:rStyle w:val="CharSectno"/>
        </w:rPr>
        <w:t>103J</w:t>
      </w:r>
      <w:r>
        <w:rPr>
          <w:snapToGrid w:val="0"/>
        </w:rPr>
        <w:t>.</w:t>
      </w:r>
      <w:r>
        <w:rPr>
          <w:snapToGrid w:val="0"/>
        </w:rPr>
        <w:tab/>
        <w:t>Order for exemption from s. 54 or 55(1)</w:t>
      </w:r>
      <w:bookmarkEnd w:id="284"/>
    </w:p>
    <w:p>
      <w:pPr>
        <w:pStyle w:val="Subsection"/>
        <w:keepNext/>
        <w:rPr>
          <w:snapToGrid w:val="0"/>
        </w:rPr>
      </w:pPr>
      <w:r>
        <w:rPr>
          <w:snapToGrid w:val="0"/>
        </w:rPr>
        <w:tab/>
        <w:t>(1)</w:t>
      </w:r>
      <w:r>
        <w:rPr>
          <w:snapToGrid w:val="0"/>
        </w:rPr>
        <w:tab/>
        <w:t>An application to the State Administrative Tribunal for an order under this section may be made by —</w:t>
      </w:r>
    </w:p>
    <w:p>
      <w:pPr>
        <w:pStyle w:val="Indenta"/>
        <w:spacing w:before="70"/>
        <w:rPr>
          <w:snapToGrid w:val="0"/>
        </w:rPr>
      </w:pPr>
      <w:r>
        <w:rPr>
          <w:snapToGrid w:val="0"/>
        </w:rPr>
        <w:tab/>
        <w:t>(a)</w:t>
      </w:r>
      <w:r>
        <w:rPr>
          <w:snapToGrid w:val="0"/>
        </w:rPr>
        <w:tab/>
        <w:t>a strata company; or</w:t>
      </w:r>
    </w:p>
    <w:p>
      <w:pPr>
        <w:pStyle w:val="Indenta"/>
        <w:keepNext/>
        <w:spacing w:before="70"/>
        <w:rPr>
          <w:snapToGrid w:val="0"/>
        </w:rPr>
      </w:pPr>
      <w:r>
        <w:rPr>
          <w:snapToGrid w:val="0"/>
        </w:rPr>
        <w:tab/>
        <w:t>(b)</w:t>
      </w:r>
      <w:r>
        <w:rPr>
          <w:snapToGrid w:val="0"/>
        </w:rPr>
        <w:tab/>
        <w:t>a proprietor of a lot in a strata scheme if —</w:t>
      </w:r>
    </w:p>
    <w:p>
      <w:pPr>
        <w:pStyle w:val="Indenti"/>
        <w:spacing w:before="70"/>
        <w:rPr>
          <w:snapToGrid w:val="0"/>
        </w:rPr>
      </w:pPr>
      <w:r>
        <w:rPr>
          <w:snapToGrid w:val="0"/>
        </w:rPr>
        <w:tab/>
        <w:t>(i)</w:t>
      </w:r>
      <w:r>
        <w:rPr>
          <w:snapToGrid w:val="0"/>
        </w:rPr>
        <w:tab/>
        <w:t>a general meeting of the strata company has been duly convened; but</w:t>
      </w:r>
    </w:p>
    <w:p>
      <w:pPr>
        <w:pStyle w:val="Indenti"/>
        <w:spacing w:before="70"/>
        <w:rPr>
          <w:snapToGrid w:val="0"/>
        </w:rPr>
      </w:pPr>
      <w:r>
        <w:rPr>
          <w:snapToGrid w:val="0"/>
        </w:rPr>
        <w:tab/>
        <w:t>(ii)</w:t>
      </w:r>
      <w:r>
        <w:rPr>
          <w:snapToGrid w:val="0"/>
        </w:rPr>
        <w:tab/>
        <w:t>a quorum was not present within half an hour of the time appointed for the general meeting or for the adjourned meeting provided for by by</w:t>
      </w:r>
      <w:r>
        <w:rPr>
          <w:snapToGrid w:val="0"/>
        </w:rPr>
        <w:noBreakHyphen/>
        <w:t>law 12(4) in Schedule 1.</w:t>
      </w:r>
    </w:p>
    <w:p>
      <w:pPr>
        <w:pStyle w:val="Subsection"/>
        <w:rPr>
          <w:snapToGrid w:val="0"/>
        </w:rPr>
      </w:pPr>
      <w:r>
        <w:rPr>
          <w:snapToGrid w:val="0"/>
        </w:rPr>
        <w:tab/>
        <w:t>(2)</w:t>
      </w:r>
      <w:r>
        <w:rPr>
          <w:snapToGrid w:val="0"/>
        </w:rPr>
        <w:tab/>
        <w:t>An order under this section is an order exempting the strata company from the obligation to insure imposed upon it by section 54 or 55(1), or both of those provisions, either generally or in a particular respect.</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exemption will not be against the interests of any proprietor.</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resolution without dissent (or unanimous resolution, in the case of a two</w:t>
      </w:r>
      <w:r>
        <w:rPr>
          <w:snapToGrid w:val="0"/>
        </w:rPr>
        <w:noBreakHyphen/>
        <w:t>lot scheme) and of effect under section 42(4).</w:t>
      </w:r>
    </w:p>
    <w:p>
      <w:pPr>
        <w:pStyle w:val="Footnotesection"/>
      </w:pPr>
      <w:r>
        <w:tab/>
        <w:t>[Section 103J inserted: No. 58 of 1995 s. 77; amended: No. 61 of 1996 s. 33; No. 24 of 2000 s. 40(11); No. 74 of 2003 s. 112(14); No. 55 of 2004 s. 1156(1) and 1158.]</w:t>
      </w:r>
    </w:p>
    <w:p>
      <w:pPr>
        <w:pStyle w:val="Heading5"/>
        <w:rPr>
          <w:snapToGrid w:val="0"/>
        </w:rPr>
      </w:pPr>
      <w:bookmarkStart w:id="285" w:name="_Toc530554996"/>
      <w:r>
        <w:rPr>
          <w:rStyle w:val="CharSectno"/>
        </w:rPr>
        <w:t>103K</w:t>
      </w:r>
      <w:r>
        <w:rPr>
          <w:snapToGrid w:val="0"/>
        </w:rPr>
        <w:t>.</w:t>
      </w:r>
      <w:r>
        <w:rPr>
          <w:snapToGrid w:val="0"/>
        </w:rPr>
        <w:tab/>
        <w:t>Order for compliance with s. 54A</w:t>
      </w:r>
      <w:bookmarkEnd w:id="285"/>
    </w:p>
    <w:p>
      <w:pPr>
        <w:pStyle w:val="Subsection"/>
        <w:rPr>
          <w:snapToGrid w:val="0"/>
        </w:rPr>
      </w:pPr>
      <w:r>
        <w:rPr>
          <w:snapToGrid w:val="0"/>
        </w:rPr>
        <w:tab/>
        <w:t>(1)</w:t>
      </w:r>
      <w:r>
        <w:rPr>
          <w:snapToGrid w:val="0"/>
        </w:rPr>
        <w:tab/>
        <w:t>A strata company for a scheme may apply to the State Administrative Tribunal for an order under this section against a proprietor of a lot in that scheme.</w:t>
      </w:r>
    </w:p>
    <w:p>
      <w:pPr>
        <w:pStyle w:val="Subsection"/>
        <w:keepNext/>
        <w:rPr>
          <w:snapToGrid w:val="0"/>
        </w:rPr>
      </w:pPr>
      <w:r>
        <w:rPr>
          <w:snapToGrid w:val="0"/>
        </w:rPr>
        <w:tab/>
        <w:t>(2)</w:t>
      </w:r>
      <w:r>
        <w:rPr>
          <w:snapToGrid w:val="0"/>
        </w:rPr>
        <w:tab/>
        <w:t>An order under this section is an order that a proprietor of a lot —</w:t>
      </w:r>
    </w:p>
    <w:p>
      <w:pPr>
        <w:pStyle w:val="Indenta"/>
        <w:rPr>
          <w:snapToGrid w:val="0"/>
        </w:rPr>
      </w:pPr>
      <w:r>
        <w:rPr>
          <w:snapToGrid w:val="0"/>
        </w:rPr>
        <w:tab/>
        <w:t>(a)</w:t>
      </w:r>
      <w:r>
        <w:rPr>
          <w:snapToGrid w:val="0"/>
        </w:rPr>
        <w:tab/>
        <w:t>ensure that the lot is not used for a specified activity contrary to a notice given to the proprietor by the strata company under section 54A(1); or</w:t>
      </w:r>
    </w:p>
    <w:p>
      <w:pPr>
        <w:pStyle w:val="Indenta"/>
        <w:rPr>
          <w:snapToGrid w:val="0"/>
        </w:rPr>
      </w:pPr>
      <w:r>
        <w:rPr>
          <w:snapToGrid w:val="0"/>
        </w:rPr>
        <w:tab/>
        <w:t>(b)</w:t>
      </w:r>
      <w:r>
        <w:rPr>
          <w:snapToGrid w:val="0"/>
        </w:rPr>
        <w:tab/>
        <w:t>carry out any specified work required by a notice given under section 54A(2).</w:t>
      </w:r>
    </w:p>
    <w:p>
      <w:pPr>
        <w:pStyle w:val="Subsection"/>
        <w:rPr>
          <w:snapToGrid w:val="0"/>
        </w:rPr>
      </w:pPr>
      <w:r>
        <w:rPr>
          <w:snapToGrid w:val="0"/>
        </w:rPr>
        <w:tab/>
        <w:t>(3)</w:t>
      </w:r>
      <w:r>
        <w:rPr>
          <w:snapToGrid w:val="0"/>
        </w:rPr>
        <w:tab/>
        <w:t>On the making of an application for an order referred to in subsection (2)(a)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54A(1) has been served on the proprietor; and</w:t>
      </w:r>
    </w:p>
    <w:p>
      <w:pPr>
        <w:pStyle w:val="Indenta"/>
        <w:spacing w:before="60"/>
        <w:rPr>
          <w:snapToGrid w:val="0"/>
        </w:rPr>
      </w:pPr>
      <w:r>
        <w:rPr>
          <w:snapToGrid w:val="0"/>
        </w:rPr>
        <w:tab/>
        <w:t>(b)</w:t>
      </w:r>
      <w:r>
        <w:rPr>
          <w:snapToGrid w:val="0"/>
        </w:rPr>
        <w:tab/>
        <w:t>section 54A(3)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because of the activity being carried on on the lot.</w:t>
      </w:r>
    </w:p>
    <w:p>
      <w:pPr>
        <w:pStyle w:val="Subsection"/>
        <w:spacing w:before="140"/>
        <w:rPr>
          <w:snapToGrid w:val="0"/>
        </w:rPr>
      </w:pPr>
      <w:r>
        <w:rPr>
          <w:snapToGrid w:val="0"/>
        </w:rPr>
        <w:tab/>
        <w:t>(4)</w:t>
      </w:r>
      <w:r>
        <w:rPr>
          <w:snapToGrid w:val="0"/>
        </w:rPr>
        <w:tab/>
        <w:t>On the making of an application for an order referred to in subsection (2)(b)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54A(2) has been served on the proprietor; and</w:t>
      </w:r>
    </w:p>
    <w:p>
      <w:pPr>
        <w:pStyle w:val="Indenta"/>
        <w:spacing w:before="60"/>
        <w:rPr>
          <w:snapToGrid w:val="0"/>
        </w:rPr>
      </w:pPr>
      <w:r>
        <w:rPr>
          <w:snapToGrid w:val="0"/>
        </w:rPr>
        <w:tab/>
        <w:t>(b)</w:t>
      </w:r>
      <w:r>
        <w:rPr>
          <w:snapToGrid w:val="0"/>
        </w:rPr>
        <w:tab/>
        <w:t>section 54A(3) or (4)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until work is carried out by the proprietor on the building on the lot.</w:t>
      </w:r>
    </w:p>
    <w:p>
      <w:pPr>
        <w:pStyle w:val="Subsection"/>
        <w:spacing w:before="130"/>
        <w:rPr>
          <w:snapToGrid w:val="0"/>
        </w:rPr>
      </w:pPr>
      <w:r>
        <w:rPr>
          <w:snapToGrid w:val="0"/>
        </w:rPr>
        <w:tab/>
        <w:t>(5)</w:t>
      </w:r>
      <w:r>
        <w:rPr>
          <w:snapToGrid w:val="0"/>
        </w:rPr>
        <w:tab/>
        <w:t>An order referred to in subsection (2)(b) shall specify a time by which the work is to be carried out.</w:t>
      </w:r>
    </w:p>
    <w:p>
      <w:pPr>
        <w:pStyle w:val="Subsection"/>
        <w:spacing w:before="130"/>
        <w:rPr>
          <w:snapToGrid w:val="0"/>
        </w:rPr>
      </w:pPr>
      <w:r>
        <w:rPr>
          <w:snapToGrid w:val="0"/>
        </w:rPr>
        <w:tab/>
        <w:t>(6)</w:t>
      </w:r>
      <w:r>
        <w:rPr>
          <w:snapToGrid w:val="0"/>
        </w:rPr>
        <w:tab/>
        <w:t>An order may be made under this section notwithstanding the terms of any lease, licence or tenancy agreement between a proprietor and any other person, and any such lease, licence or agreement is modified to the extent necessary to enable the proprietor to comply with such an order.</w:t>
      </w:r>
    </w:p>
    <w:p>
      <w:pPr>
        <w:pStyle w:val="Footnotesection"/>
        <w:spacing w:before="100"/>
      </w:pPr>
      <w:r>
        <w:tab/>
        <w:t>[Section 103K inserted: No. 58 of 1995 s. 77; amended: No. 55 of 2004 s. 1156(1) and (3) and 1158.]</w:t>
      </w:r>
    </w:p>
    <w:p>
      <w:pPr>
        <w:pStyle w:val="Heading5"/>
        <w:rPr>
          <w:snapToGrid w:val="0"/>
        </w:rPr>
      </w:pPr>
      <w:bookmarkStart w:id="286" w:name="_Toc530554997"/>
      <w:r>
        <w:rPr>
          <w:rStyle w:val="CharSectno"/>
        </w:rPr>
        <w:t>103L</w:t>
      </w:r>
      <w:r>
        <w:rPr>
          <w:snapToGrid w:val="0"/>
        </w:rPr>
        <w:t>.</w:t>
      </w:r>
      <w:r>
        <w:rPr>
          <w:snapToGrid w:val="0"/>
        </w:rPr>
        <w:tab/>
        <w:t>Order to contribute to insurance premium paid by proprietor</w:t>
      </w:r>
      <w:bookmarkEnd w:id="286"/>
    </w:p>
    <w:p>
      <w:pPr>
        <w:pStyle w:val="Subsection"/>
        <w:spacing w:before="130"/>
        <w:rPr>
          <w:snapToGrid w:val="0"/>
        </w:rPr>
      </w:pPr>
      <w:r>
        <w:rPr>
          <w:snapToGrid w:val="0"/>
        </w:rPr>
        <w:tab/>
        <w:t>(1)</w:t>
      </w:r>
      <w:r>
        <w:rPr>
          <w:snapToGrid w:val="0"/>
        </w:rPr>
        <w:tab/>
        <w:t>A person who as a proprietor has paid a premium or other charge —</w:t>
      </w:r>
    </w:p>
    <w:p>
      <w:pPr>
        <w:pStyle w:val="Indenta"/>
        <w:spacing w:before="60"/>
        <w:rPr>
          <w:snapToGrid w:val="0"/>
        </w:rPr>
      </w:pPr>
      <w:r>
        <w:rPr>
          <w:snapToGrid w:val="0"/>
        </w:rPr>
        <w:tab/>
        <w:t>(a)</w:t>
      </w:r>
      <w:r>
        <w:rPr>
          <w:snapToGrid w:val="0"/>
        </w:rPr>
        <w:tab/>
        <w:t>for any insurance effected or maintained under section 56A; or</w:t>
      </w:r>
    </w:p>
    <w:p>
      <w:pPr>
        <w:pStyle w:val="Indenta"/>
        <w:rPr>
          <w:snapToGrid w:val="0"/>
        </w:rPr>
      </w:pPr>
      <w:r>
        <w:rPr>
          <w:snapToGrid w:val="0"/>
        </w:rPr>
        <w:tab/>
        <w:t>(b)</w:t>
      </w:r>
      <w:r>
        <w:rPr>
          <w:snapToGrid w:val="0"/>
        </w:rPr>
        <w:tab/>
        <w:t>in the circumstances mentioned in section 53E,</w:t>
      </w:r>
    </w:p>
    <w:p>
      <w:pPr>
        <w:pStyle w:val="Subsection"/>
        <w:rPr>
          <w:snapToGrid w:val="0"/>
        </w:rPr>
      </w:pPr>
      <w:r>
        <w:rPr>
          <w:snapToGrid w:val="0"/>
        </w:rPr>
        <w:tab/>
      </w:r>
      <w:r>
        <w:rPr>
          <w:snapToGrid w:val="0"/>
        </w:rPr>
        <w:tab/>
        <w:t>may apply to the State Administrative Tribunal for an order under this section.</w:t>
      </w:r>
    </w:p>
    <w:p>
      <w:pPr>
        <w:pStyle w:val="Subsection"/>
        <w:rPr>
          <w:snapToGrid w:val="0"/>
        </w:rPr>
      </w:pPr>
      <w:r>
        <w:rPr>
          <w:snapToGrid w:val="0"/>
        </w:rPr>
        <w:tab/>
        <w:t>(1a)</w:t>
      </w:r>
      <w:r>
        <w:rPr>
          <w:snapToGrid w:val="0"/>
        </w:rPr>
        <w:tab/>
        <w:t>An application under subsection (1)(b) is to be made within 3 months after the day on which the payment is made.</w:t>
      </w:r>
    </w:p>
    <w:p>
      <w:pPr>
        <w:pStyle w:val="Subsection"/>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varying the amount of contributions levied under section 36 in a way that the State Administrative Tribunal considers necessary to ensure that the cost of any premium or other charge referred to in subsection (1) falls fairly on all proprietors of lots in the scheme; or</w:t>
      </w:r>
    </w:p>
    <w:p>
      <w:pPr>
        <w:pStyle w:val="Indenta"/>
        <w:rPr>
          <w:snapToGrid w:val="0"/>
        </w:rPr>
      </w:pPr>
      <w:r>
        <w:rPr>
          <w:snapToGrid w:val="0"/>
        </w:rPr>
        <w:tab/>
        <w:t>(b)</w:t>
      </w:r>
      <w:r>
        <w:rPr>
          <w:snapToGrid w:val="0"/>
        </w:rPr>
        <w:tab/>
        <w:t>requiring the strata company to allow the applicant a credit, against contributions payable by the proprietor, for any premium or other charge paid by him;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in accordance with section 36A or 36B there is no fund under section 36(1)(a); or</w:t>
      </w:r>
    </w:p>
    <w:p>
      <w:pPr>
        <w:pStyle w:val="Indenti"/>
        <w:rPr>
          <w:snapToGrid w:val="0"/>
        </w:rPr>
      </w:pPr>
      <w:r>
        <w:rPr>
          <w:snapToGrid w:val="0"/>
        </w:rPr>
        <w:tab/>
        <w:t>(ii)</w:t>
      </w:r>
      <w:r>
        <w:rPr>
          <w:snapToGrid w:val="0"/>
        </w:rPr>
        <w:tab/>
        <w:t>the applicant is no longer a proprietor,</w:t>
      </w:r>
    </w:p>
    <w:p>
      <w:pPr>
        <w:pStyle w:val="Indenta"/>
        <w:rPr>
          <w:snapToGrid w:val="0"/>
        </w:rPr>
      </w:pPr>
      <w:r>
        <w:rPr>
          <w:snapToGrid w:val="0"/>
        </w:rPr>
        <w:tab/>
      </w:r>
      <w:r>
        <w:rPr>
          <w:snapToGrid w:val="0"/>
        </w:rPr>
        <w:tab/>
        <w:t>that any proprietor or the strata company pay to the applicant a proportion of any premium or other charge referred to in subsection (1).</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applicant was justified in —</w:t>
      </w:r>
    </w:p>
    <w:p>
      <w:pPr>
        <w:pStyle w:val="Indenta"/>
        <w:rPr>
          <w:snapToGrid w:val="0"/>
        </w:rPr>
      </w:pPr>
      <w:r>
        <w:rPr>
          <w:snapToGrid w:val="0"/>
        </w:rPr>
        <w:tab/>
        <w:t>(a)</w:t>
      </w:r>
      <w:r>
        <w:rPr>
          <w:snapToGrid w:val="0"/>
        </w:rPr>
        <w:tab/>
        <w:t>exercising the power in section 56A to effect or maintain insurance; or</w:t>
      </w:r>
    </w:p>
    <w:p>
      <w:pPr>
        <w:pStyle w:val="Indenta"/>
        <w:rPr>
          <w:snapToGrid w:val="0"/>
        </w:rPr>
      </w:pPr>
      <w:r>
        <w:rPr>
          <w:snapToGrid w:val="0"/>
        </w:rPr>
        <w:tab/>
        <w:t>(b)</w:t>
      </w:r>
      <w:r>
        <w:rPr>
          <w:snapToGrid w:val="0"/>
        </w:rPr>
        <w:tab/>
        <w:t>paying the amount of another proprietor’s share under section 53E.</w:t>
      </w:r>
    </w:p>
    <w:p>
      <w:pPr>
        <w:pStyle w:val="Subsection"/>
        <w:rPr>
          <w:snapToGrid w:val="0"/>
        </w:rPr>
      </w:pPr>
      <w:r>
        <w:rPr>
          <w:snapToGrid w:val="0"/>
        </w:rPr>
        <w:tab/>
        <w:t>(4)</w:t>
      </w:r>
      <w:r>
        <w:rPr>
          <w:snapToGrid w:val="0"/>
        </w:rPr>
        <w:tab/>
        <w:t>The amount of a contribution required to be paid by a proprietor pursuant to an order under this section shall be deemed to have been levied on that proprietor by the strata company under section 36(1)(c).</w:t>
      </w:r>
    </w:p>
    <w:p>
      <w:pPr>
        <w:pStyle w:val="Footnotesection"/>
      </w:pPr>
      <w:r>
        <w:tab/>
        <w:t>[Section 103L inserted: No. 58 of 1995 s. 77; amended: No. 61 of 1996 s. 34</w:t>
      </w:r>
      <w:r>
        <w:rPr>
          <w:iCs/>
        </w:rPr>
        <w:t>;</w:t>
      </w:r>
      <w:r>
        <w:rPr>
          <w:i w:val="0"/>
        </w:rPr>
        <w:t xml:space="preserve"> </w:t>
      </w:r>
      <w:r>
        <w:rPr>
          <w:iCs/>
        </w:rPr>
        <w:t>No. 55 of 2004 s.</w:t>
      </w:r>
      <w:r>
        <w:t> 1156(1) and (3) and 1158.]</w:t>
      </w:r>
    </w:p>
    <w:p>
      <w:pPr>
        <w:pStyle w:val="Heading5"/>
        <w:rPr>
          <w:snapToGrid w:val="0"/>
        </w:rPr>
      </w:pPr>
      <w:bookmarkStart w:id="287" w:name="_Toc530554998"/>
      <w:r>
        <w:rPr>
          <w:rStyle w:val="CharSectno"/>
        </w:rPr>
        <w:t>103M</w:t>
      </w:r>
      <w:r>
        <w:rPr>
          <w:snapToGrid w:val="0"/>
        </w:rPr>
        <w:t>.</w:t>
      </w:r>
      <w:r>
        <w:rPr>
          <w:snapToGrid w:val="0"/>
        </w:rPr>
        <w:tab/>
        <w:t>Order as to resolution under s. 21F or 21Q</w:t>
      </w:r>
      <w:bookmarkEnd w:id="287"/>
    </w:p>
    <w:p>
      <w:pPr>
        <w:pStyle w:val="Subsection"/>
        <w:rPr>
          <w:snapToGrid w:val="0"/>
        </w:rPr>
      </w:pPr>
      <w:r>
        <w:rPr>
          <w:snapToGrid w:val="0"/>
        </w:rPr>
        <w:tab/>
        <w:t>(1)</w:t>
      </w:r>
      <w:r>
        <w:rPr>
          <w:snapToGrid w:val="0"/>
        </w:rPr>
        <w:tab/>
        <w:t>Where a resolution of the kind described in section 21F or 21Q has been passed by a strata company for a strata scheme but not as a resolution without dissent, the strata company may apply to the State Administrative Tribunal for an order under this section.</w:t>
      </w:r>
    </w:p>
    <w:p>
      <w:pPr>
        <w:pStyle w:val="Subsection"/>
        <w:rPr>
          <w:snapToGrid w:val="0"/>
        </w:rPr>
      </w:pPr>
      <w:r>
        <w:rPr>
          <w:snapToGrid w:val="0"/>
        </w:rPr>
        <w:tab/>
        <w:t>(2)</w:t>
      </w:r>
      <w:r>
        <w:rPr>
          <w:snapToGrid w:val="0"/>
        </w:rPr>
        <w:tab/>
        <w:t>Subsection (1) does not apply to a two</w:t>
      </w:r>
      <w:r>
        <w:rPr>
          <w:snapToGrid w:val="0"/>
        </w:rPr>
        <w:noBreakHyphen/>
        <w:t>lot scheme.</w:t>
      </w:r>
    </w:p>
    <w:p>
      <w:pPr>
        <w:pStyle w:val="Subsection"/>
        <w:rPr>
          <w:snapToGrid w:val="0"/>
        </w:rPr>
      </w:pPr>
      <w:r>
        <w:rPr>
          <w:snapToGrid w:val="0"/>
        </w:rPr>
        <w:tab/>
        <w:t>(3)</w:t>
      </w:r>
      <w:r>
        <w:rPr>
          <w:snapToGrid w:val="0"/>
        </w:rPr>
        <w:tab/>
        <w:t>An order under this section is an order that a resolution —</w:t>
      </w:r>
    </w:p>
    <w:p>
      <w:pPr>
        <w:pStyle w:val="Indenta"/>
        <w:rPr>
          <w:snapToGrid w:val="0"/>
        </w:rPr>
      </w:pPr>
      <w:r>
        <w:rPr>
          <w:snapToGrid w:val="0"/>
        </w:rPr>
        <w:tab/>
        <w:t>(a)</w:t>
      </w:r>
      <w:r>
        <w:rPr>
          <w:snapToGrid w:val="0"/>
        </w:rPr>
        <w:tab/>
        <w:t>of the kind described in section 21F or 21Q; and</w:t>
      </w:r>
    </w:p>
    <w:p>
      <w:pPr>
        <w:pStyle w:val="Indenta"/>
        <w:rPr>
          <w:snapToGrid w:val="0"/>
        </w:rPr>
      </w:pPr>
      <w:r>
        <w:rPr>
          <w:snapToGrid w:val="0"/>
        </w:rPr>
        <w:tab/>
        <w:t>(b)</w:t>
      </w:r>
      <w:r>
        <w:rPr>
          <w:snapToGrid w:val="0"/>
        </w:rPr>
        <w:tab/>
        <w:t>specified in the order,</w:t>
      </w:r>
    </w:p>
    <w:p>
      <w:pPr>
        <w:pStyle w:val="Subsection"/>
        <w:rPr>
          <w:snapToGrid w:val="0"/>
        </w:rPr>
      </w:pPr>
      <w:r>
        <w:rPr>
          <w:snapToGrid w:val="0"/>
        </w:rPr>
        <w:tab/>
      </w:r>
      <w:r>
        <w:rPr>
          <w:snapToGrid w:val="0"/>
        </w:rPr>
        <w:tab/>
        <w:t>is to be treated as if it were a resolution without dissent.</w:t>
      </w:r>
    </w:p>
    <w:p>
      <w:pPr>
        <w:pStyle w:val="Subsection"/>
        <w:rPr>
          <w:snapToGrid w:val="0"/>
        </w:rPr>
      </w:pPr>
      <w:r>
        <w:rPr>
          <w:snapToGrid w:val="0"/>
        </w:rPr>
        <w:tab/>
        <w:t>(4)</w:t>
      </w:r>
      <w:r>
        <w:rPr>
          <w:snapToGrid w:val="0"/>
        </w:rPr>
        <w:tab/>
        <w:t>On the making of an application under subsection (1), the State Administrative Tribunal may make an order under this section if satisfied that it is fair to all of the proprietors in the scheme to do so.</w:t>
      </w:r>
    </w:p>
    <w:p>
      <w:pPr>
        <w:pStyle w:val="Footnotesection"/>
      </w:pPr>
      <w:r>
        <w:tab/>
        <w:t>[Section 103M inserted: No. 61 of 1996 s. 35; No. 55 of 2004 s. 1156(1) and (3) and 1158.]</w:t>
      </w:r>
    </w:p>
    <w:p>
      <w:pPr>
        <w:pStyle w:val="Heading5"/>
        <w:rPr>
          <w:snapToGrid w:val="0"/>
        </w:rPr>
      </w:pPr>
      <w:bookmarkStart w:id="288" w:name="_Toc530554999"/>
      <w:r>
        <w:rPr>
          <w:rStyle w:val="CharSectno"/>
        </w:rPr>
        <w:t>103N</w:t>
      </w:r>
      <w:r>
        <w:rPr>
          <w:snapToGrid w:val="0"/>
        </w:rPr>
        <w:t>.</w:t>
      </w:r>
      <w:r>
        <w:rPr>
          <w:snapToGrid w:val="0"/>
        </w:rPr>
        <w:tab/>
        <w:t>Order for extension of period for reinstatement of building under s. 3AB(2)</w:t>
      </w:r>
      <w:bookmarkEnd w:id="288"/>
    </w:p>
    <w:p>
      <w:pPr>
        <w:pStyle w:val="Subsection"/>
        <w:rPr>
          <w:snapToGrid w:val="0"/>
        </w:rPr>
      </w:pPr>
      <w:r>
        <w:rPr>
          <w:snapToGrid w:val="0"/>
        </w:rPr>
        <w:tab/>
        <w:t>(1)</w:t>
      </w:r>
      <w:r>
        <w:rPr>
          <w:snapToGrid w:val="0"/>
        </w:rPr>
        <w:tab/>
        <w:t>If a part of a building that constitutes a permitted boundary deviation has been destroyed as mentioned in section 3AB(2), 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section 3AB(2).</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keepNext/>
        <w:keepLines/>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spacing w:before="100"/>
      </w:pPr>
      <w:r>
        <w:tab/>
        <w:t>[Section 103N inserted: No. 61 of 1996 s. 35; No. 55 of 2004 s. 1156(1) and (3) and 1158.]</w:t>
      </w:r>
    </w:p>
    <w:p>
      <w:pPr>
        <w:pStyle w:val="Heading5"/>
        <w:rPr>
          <w:snapToGrid w:val="0"/>
        </w:rPr>
      </w:pPr>
      <w:bookmarkStart w:id="289" w:name="_Toc530555000"/>
      <w:r>
        <w:rPr>
          <w:rStyle w:val="CharSectno"/>
        </w:rPr>
        <w:t>103O</w:t>
      </w:r>
      <w:r>
        <w:rPr>
          <w:snapToGrid w:val="0"/>
        </w:rPr>
        <w:t>.</w:t>
      </w:r>
      <w:r>
        <w:rPr>
          <w:snapToGrid w:val="0"/>
        </w:rPr>
        <w:tab/>
        <w:t>Order for extension of period for reinstatement of building under regulations</w:t>
      </w:r>
      <w:bookmarkEnd w:id="28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 of a building to which an easement under section 5D relates has been destroyed; and</w:t>
      </w:r>
    </w:p>
    <w:p>
      <w:pPr>
        <w:pStyle w:val="Indenta"/>
        <w:keepNext/>
        <w:rPr>
          <w:snapToGrid w:val="0"/>
        </w:rPr>
      </w:pPr>
      <w:r>
        <w:rPr>
          <w:snapToGrid w:val="0"/>
        </w:rPr>
        <w:tab/>
        <w:t>(b)</w:t>
      </w:r>
      <w:r>
        <w:rPr>
          <w:snapToGrid w:val="0"/>
        </w:rPr>
        <w:tab/>
        <w:t>regulations made under section 5H —</w:t>
      </w:r>
    </w:p>
    <w:p>
      <w:pPr>
        <w:pStyle w:val="Indenti"/>
        <w:rPr>
          <w:snapToGrid w:val="0"/>
        </w:rPr>
      </w:pPr>
      <w:r>
        <w:rPr>
          <w:snapToGrid w:val="0"/>
        </w:rPr>
        <w:tab/>
        <w:t>(i)</w:t>
      </w:r>
      <w:r>
        <w:rPr>
          <w:snapToGrid w:val="0"/>
        </w:rPr>
        <w:tab/>
        <w:t>provide for reinstatement of the part to be completed within a specified period; but</w:t>
      </w:r>
    </w:p>
    <w:p>
      <w:pPr>
        <w:pStyle w:val="Indenti"/>
        <w:keepNext/>
        <w:rPr>
          <w:snapToGrid w:val="0"/>
        </w:rPr>
      </w:pPr>
      <w:r>
        <w:rPr>
          <w:snapToGrid w:val="0"/>
        </w:rPr>
        <w:tab/>
        <w:t>(ii)</w:t>
      </w:r>
      <w:r>
        <w:rPr>
          <w:snapToGrid w:val="0"/>
        </w:rPr>
        <w:tab/>
        <w:t>authorise the State Administrative Tribunal to extend the period allowed for reinstatement,</w:t>
      </w:r>
    </w:p>
    <w:p>
      <w:pPr>
        <w:pStyle w:val="Subsection"/>
        <w:spacing w:before="120"/>
        <w:rPr>
          <w:snapToGrid w:val="0"/>
        </w:rPr>
      </w:pPr>
      <w:r>
        <w:rPr>
          <w:snapToGrid w:val="0"/>
        </w:rPr>
        <w:tab/>
      </w:r>
      <w:r>
        <w:rPr>
          <w:snapToGrid w:val="0"/>
        </w:rPr>
        <w:tab/>
        <w:t>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the regulations.</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[Section 103O inserted: No. 61 of 1996 s. 35; amended: No. 55 of 2004 s. 1156(1) and (3) and 1158.]</w:t>
      </w:r>
    </w:p>
    <w:p>
      <w:pPr>
        <w:pStyle w:val="Heading5"/>
        <w:rPr>
          <w:snapToGrid w:val="0"/>
        </w:rPr>
      </w:pPr>
      <w:bookmarkStart w:id="290" w:name="_Toc530555001"/>
      <w:r>
        <w:rPr>
          <w:rStyle w:val="CharSectno"/>
        </w:rPr>
        <w:t>103P</w:t>
      </w:r>
      <w:r>
        <w:rPr>
          <w:snapToGrid w:val="0"/>
        </w:rPr>
        <w:t>.</w:t>
      </w:r>
      <w:r>
        <w:rPr>
          <w:snapToGrid w:val="0"/>
        </w:rPr>
        <w:tab/>
        <w:t>Order reversing the effect of s. 21M</w:t>
      </w:r>
      <w:bookmarkEnd w:id="290"/>
    </w:p>
    <w:p>
      <w:pPr>
        <w:pStyle w:val="Subsection"/>
        <w:rPr>
          <w:snapToGrid w:val="0"/>
        </w:rPr>
      </w:pPr>
      <w:r>
        <w:rPr>
          <w:snapToGrid w:val="0"/>
        </w:rPr>
        <w:tab/>
        <w:t>(1)</w:t>
      </w:r>
      <w:r>
        <w:rPr>
          <w:snapToGrid w:val="0"/>
        </w:rPr>
        <w:tab/>
        <w:t>A proprietor of a lot in an existing small strata scheme, as defined in section 21A, who did not lodge an objection under section 21O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the boundaries of lots in the scheme are to be amended to be those shown on the strata plan immediately before the change</w:t>
      </w:r>
      <w:r>
        <w:rPr>
          <w:snapToGrid w:val="0"/>
        </w:rPr>
        <w:noBreakHyphen/>
        <w:t>over day for that scheme under section 21M; and</w:t>
      </w:r>
    </w:p>
    <w:p>
      <w:pPr>
        <w:pStyle w:val="Indenta"/>
        <w:rPr>
          <w:snapToGrid w:val="0"/>
        </w:rPr>
      </w:pPr>
      <w:r>
        <w:rPr>
          <w:snapToGrid w:val="0"/>
        </w:rPr>
        <w:tab/>
        <w:t>(b)</w:t>
      </w:r>
      <w:r>
        <w:rPr>
          <w:snapToGrid w:val="0"/>
        </w:rPr>
        <w:tab/>
        <w:t>that such other specified things occur or be done as may be necessary to reinstate the rights and interests of proprietors accordingly.</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lodge an objection under section 21O; and</w:t>
      </w:r>
    </w:p>
    <w:p>
      <w:pPr>
        <w:pStyle w:val="Indenta"/>
        <w:rPr>
          <w:snapToGrid w:val="0"/>
        </w:rPr>
      </w:pPr>
      <w:r>
        <w:rPr>
          <w:snapToGrid w:val="0"/>
        </w:rPr>
        <w:tab/>
        <w:t>(b)</w:t>
      </w:r>
      <w:r>
        <w:rPr>
          <w:snapToGrid w:val="0"/>
        </w:rPr>
        <w:tab/>
        <w:t>there is a good reason why the boundaries should be amended as mentioned in subsection (2);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which the boundaries as amended by the order are to have effect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Subsection"/>
        <w:rPr>
          <w:snapToGrid w:val="0"/>
        </w:rPr>
      </w:pPr>
      <w:r>
        <w:rPr>
          <w:snapToGrid w:val="0"/>
        </w:rPr>
        <w:tab/>
        <w:t>(6)</w:t>
      </w:r>
      <w:r>
        <w:rPr>
          <w:snapToGrid w:val="0"/>
        </w:rPr>
        <w:tab/>
        <w:t>In addition to the provisions referred to in subsection (2) an order under this section has the effects described in subsections (7), (8), (9) and (10).</w:t>
      </w:r>
    </w:p>
    <w:p>
      <w:pPr>
        <w:pStyle w:val="Subsection"/>
        <w:keepNext/>
        <w:rPr>
          <w:snapToGrid w:val="0"/>
        </w:rPr>
      </w:pPr>
      <w:r>
        <w:rPr>
          <w:snapToGrid w:val="0"/>
        </w:rPr>
        <w:tab/>
        <w:t>(7)</w:t>
      </w:r>
      <w:r>
        <w:rPr>
          <w:snapToGrid w:val="0"/>
        </w:rPr>
        <w:tab/>
        <w:t>Each lot as enlarged or diminished by the order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rPr>
          <w:snapToGrid w:val="0"/>
        </w:rPr>
      </w:pPr>
      <w:r>
        <w:rPr>
          <w:snapToGrid w:val="0"/>
        </w:rPr>
        <w:tab/>
      </w:r>
      <w:r>
        <w:rPr>
          <w:snapToGrid w:val="0"/>
        </w:rPr>
        <w:tab/>
        <w:t>with the Registrar of Titles against the lot before the day on which the order has effect.</w:t>
      </w:r>
    </w:p>
    <w:p>
      <w:pPr>
        <w:pStyle w:val="Subsection"/>
        <w:rPr>
          <w:snapToGrid w:val="0"/>
        </w:rPr>
      </w:pPr>
      <w:r>
        <w:rPr>
          <w:snapToGrid w:val="0"/>
        </w:rPr>
        <w:tab/>
        <w:t>(8)</w:t>
      </w:r>
      <w:r>
        <w:rPr>
          <w:snapToGrid w:val="0"/>
        </w:rPr>
        <w:tab/>
        <w:t>Each lot or part of a lot that becomes common property under the order vests in the proprietors to be held by them as tenants in common in shares proportional to the unit entitlements of their respective lots.</w:t>
      </w:r>
    </w:p>
    <w:p>
      <w:pPr>
        <w:pStyle w:val="Subsection"/>
        <w:rPr>
          <w:snapToGrid w:val="0"/>
        </w:rPr>
      </w:pPr>
      <w:r>
        <w:rPr>
          <w:snapToGrid w:val="0"/>
        </w:rPr>
        <w:tab/>
        <w:t>(9)</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(10)</w:t>
      </w:r>
      <w:r>
        <w:rPr>
          <w:snapToGrid w:val="0"/>
        </w:rPr>
        <w:tab/>
        <w:t>Any encumbrance or caveat referred to in subsection (7) or (9) is to be taken to be amended to give effect to that subsection.</w:t>
      </w:r>
    </w:p>
    <w:p>
      <w:pPr>
        <w:pStyle w:val="Footnotesection"/>
      </w:pPr>
      <w:r>
        <w:tab/>
        <w:t>[Section 103P inserted: No. 61 of 1996 s. 35; amended: No. 55 of 2004 s. 1156(1) and (3) and 1158.]</w:t>
      </w:r>
    </w:p>
    <w:p>
      <w:pPr>
        <w:pStyle w:val="Heading5"/>
        <w:rPr>
          <w:snapToGrid w:val="0"/>
        </w:rPr>
      </w:pPr>
      <w:bookmarkStart w:id="291" w:name="_Toc530555002"/>
      <w:r>
        <w:rPr>
          <w:rStyle w:val="CharSectno"/>
        </w:rPr>
        <w:t>103Q</w:t>
      </w:r>
      <w:r>
        <w:rPr>
          <w:snapToGrid w:val="0"/>
        </w:rPr>
        <w:t>.</w:t>
      </w:r>
      <w:r>
        <w:rPr>
          <w:snapToGrid w:val="0"/>
        </w:rPr>
        <w:tab/>
        <w:t>Order rectifying failure to give notice under s. 123A</w:t>
      </w:r>
      <w:bookmarkEnd w:id="291"/>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123A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spacing w:before="180"/>
        <w:rPr>
          <w:snapToGrid w:val="0"/>
        </w:rPr>
      </w:pPr>
      <w:r>
        <w:rPr>
          <w:snapToGrid w:val="0"/>
        </w:rPr>
        <w:tab/>
      </w:r>
      <w:r>
        <w:rPr>
          <w:snapToGrid w:val="0"/>
        </w:rPr>
        <w:tab/>
        <w:t>may apply to the State Administrative Tribunal for an order under this section.</w:t>
      </w:r>
    </w:p>
    <w:p>
      <w:pPr>
        <w:pStyle w:val="Subsection"/>
        <w:keepNext/>
        <w:spacing w:before="180"/>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section 123(2) applies to the scheme;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spacing w:before="180"/>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rPr>
          <w:snapToGrid w:val="0"/>
        </w:rPr>
      </w:pPr>
      <w:r>
        <w:rPr>
          <w:snapToGrid w:val="0"/>
        </w:rPr>
        <w:tab/>
        <w:t>(b)</w:t>
      </w:r>
      <w:r>
        <w:rPr>
          <w:snapToGrid w:val="0"/>
        </w:rPr>
        <w:tab/>
        <w:t>there is a good reason why section 123(2) should apply to the scheme;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spacing w:before="180"/>
        <w:rPr>
          <w:snapToGrid w:val="0"/>
        </w:rPr>
      </w:pPr>
      <w:r>
        <w:rPr>
          <w:snapToGrid w:val="0"/>
        </w:rPr>
        <w:tab/>
        <w:t>(4)</w:t>
      </w:r>
      <w:r>
        <w:rPr>
          <w:snapToGrid w:val="0"/>
        </w:rPr>
        <w:tab/>
        <w:t>An order under this section is to specify the day on and from which section 123(2) is to apply to the scheme but that day cannot be before subsection (5) has been complied with.</w:t>
      </w:r>
    </w:p>
    <w:p>
      <w:pPr>
        <w:pStyle w:val="Subsection"/>
        <w:spacing w:before="180"/>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103Q inserted: No. 61 of 1996 s. 35; amended: No. 55 of 2004 s. 1156(1) and (3) and 1158.]</w:t>
      </w:r>
    </w:p>
    <w:p>
      <w:pPr>
        <w:pStyle w:val="Heading5"/>
        <w:rPr>
          <w:snapToGrid w:val="0"/>
        </w:rPr>
      </w:pPr>
      <w:bookmarkStart w:id="292" w:name="_Toc530555003"/>
      <w:r>
        <w:rPr>
          <w:rStyle w:val="CharSectno"/>
        </w:rPr>
        <w:t>103R</w:t>
      </w:r>
      <w:r>
        <w:rPr>
          <w:snapToGrid w:val="0"/>
        </w:rPr>
        <w:t>.</w:t>
      </w:r>
      <w:r>
        <w:rPr>
          <w:snapToGrid w:val="0"/>
        </w:rPr>
        <w:tab/>
        <w:t>Order rectifying failure to give notice under s. 123C</w:t>
      </w:r>
      <w:bookmarkEnd w:id="292"/>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123C —</w:t>
      </w:r>
    </w:p>
    <w:p>
      <w:pPr>
        <w:pStyle w:val="Indenta"/>
        <w:spacing w:before="60"/>
        <w:rPr>
          <w:snapToGrid w:val="0"/>
        </w:rPr>
      </w:pPr>
      <w:r>
        <w:rPr>
          <w:snapToGrid w:val="0"/>
        </w:rPr>
        <w:tab/>
        <w:t>(a)</w:t>
      </w:r>
      <w:r>
        <w:rPr>
          <w:snapToGrid w:val="0"/>
        </w:rPr>
        <w:tab/>
        <w:t>give notice under subsection (3) of that section; and</w:t>
      </w:r>
    </w:p>
    <w:p>
      <w:pPr>
        <w:pStyle w:val="Indenta"/>
        <w:spacing w:before="60"/>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that liability in relation to fencing between lots in the scheme is to be determined as if section 123B had not been enacted; and</w:t>
      </w:r>
    </w:p>
    <w:p>
      <w:pPr>
        <w:pStyle w:val="Indenta"/>
        <w:spacing w:before="60"/>
        <w:rPr>
          <w:snapToGrid w:val="0"/>
        </w:rPr>
      </w:pPr>
      <w:r>
        <w:rPr>
          <w:snapToGrid w:val="0"/>
        </w:rPr>
        <w:tab/>
        <w:t>(b)</w:t>
      </w:r>
      <w:r>
        <w:rPr>
          <w:snapToGrid w:val="0"/>
        </w:rPr>
        <w:tab/>
        <w:t>making provisions of a transitional or incidental nature that may be necessary in the circumstances.</w:t>
      </w:r>
    </w:p>
    <w:p>
      <w:pPr>
        <w:pStyle w:val="Subsection"/>
        <w:keepNext/>
        <w:rPr>
          <w:snapToGrid w:val="0"/>
          <w:spacing w:val="-4"/>
        </w:rPr>
      </w:pPr>
      <w:r>
        <w:rPr>
          <w:snapToGrid w:val="0"/>
          <w:spacing w:val="-4"/>
        </w:rPr>
        <w:tab/>
        <w:t>(3)</w:t>
      </w:r>
      <w:r>
        <w:rPr>
          <w:snapToGrid w:val="0"/>
          <w:spacing w:val="-4"/>
        </w:rPr>
        <w:tab/>
        <w:t xml:space="preserve">On the making of an application under subsection (1), </w:t>
      </w:r>
      <w:r>
        <w:rPr>
          <w:snapToGrid w:val="0"/>
        </w:rPr>
        <w:t xml:space="preserve">the State Administrative Tribunal </w:t>
      </w:r>
      <w:r>
        <w:rPr>
          <w:snapToGrid w:val="0"/>
          <w:spacing w:val="-4"/>
        </w:rPr>
        <w:t>may make an order under this section if satisfied that —</w:t>
      </w:r>
    </w:p>
    <w:p>
      <w:pPr>
        <w:pStyle w:val="Indenta"/>
        <w:spacing w:before="60"/>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spacing w:before="60"/>
        <w:rPr>
          <w:snapToGrid w:val="0"/>
        </w:rPr>
      </w:pPr>
      <w:r>
        <w:rPr>
          <w:snapToGrid w:val="0"/>
        </w:rPr>
        <w:tab/>
        <w:t>(b)</w:t>
      </w:r>
      <w:r>
        <w:rPr>
          <w:snapToGrid w:val="0"/>
        </w:rPr>
        <w:tab/>
        <w:t>there is a good reason why liability in relation to fencing between lots in the scheme should be determined as if section 123B had not been enacted; and</w:t>
      </w:r>
    </w:p>
    <w:p>
      <w:pPr>
        <w:pStyle w:val="Indenta"/>
        <w:spacing w:before="60"/>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spacing w:val="-4"/>
        </w:rPr>
      </w:pPr>
      <w:r>
        <w:rPr>
          <w:snapToGrid w:val="0"/>
          <w:spacing w:val="-4"/>
        </w:rPr>
        <w:tab/>
        <w:t>(4)</w:t>
      </w:r>
      <w:r>
        <w:rPr>
          <w:snapToGrid w:val="0"/>
          <w:spacing w:val="-4"/>
        </w:rPr>
        <w:tab/>
      </w:r>
      <w:r>
        <w:rPr>
          <w:snapToGrid w:val="0"/>
        </w:rPr>
        <w:t>An order under this section is to specify the day on and from which liability in relation to fencing between lots in the scheme is to be determined as if section 123B had not been enacted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103R inserted: No. 61 of 1996 s. 35; amended: No. 55 of 2004 s. 1156(1) and (3) and 1158.]</w:t>
      </w:r>
    </w:p>
    <w:p>
      <w:pPr>
        <w:pStyle w:val="Heading5"/>
        <w:keepLines w:val="0"/>
        <w:rPr>
          <w:snapToGrid w:val="0"/>
        </w:rPr>
      </w:pPr>
      <w:bookmarkStart w:id="293" w:name="_Toc530555004"/>
      <w:r>
        <w:rPr>
          <w:rStyle w:val="CharSectno"/>
        </w:rPr>
        <w:t>104</w:t>
      </w:r>
      <w:r>
        <w:rPr>
          <w:snapToGrid w:val="0"/>
        </w:rPr>
        <w:t>.</w:t>
      </w:r>
      <w:r>
        <w:rPr>
          <w:snapToGrid w:val="0"/>
        </w:rPr>
        <w:tab/>
        <w:t>Copy of order to be served</w:t>
      </w:r>
      <w:bookmarkEnd w:id="293"/>
    </w:p>
    <w:p>
      <w:pPr>
        <w:pStyle w:val="Subsection"/>
        <w:keepNext/>
        <w:rPr>
          <w:snapToGrid w:val="0"/>
        </w:rPr>
      </w:pPr>
      <w:r>
        <w:rPr>
          <w:snapToGrid w:val="0"/>
        </w:rPr>
        <w:tab/>
        <w:t>(1)</w:t>
      </w:r>
      <w:r>
        <w:rPr>
          <w:snapToGrid w:val="0"/>
        </w:rPr>
        <w:tab/>
        <w:t>A copy of an order by the State</w:t>
      </w:r>
      <w:r>
        <w:rPr>
          <w:snapToGrid w:val="0"/>
          <w:spacing w:val="-4"/>
        </w:rPr>
        <w:t xml:space="preserve"> Administrative Tribunal</w:t>
      </w:r>
      <w:r>
        <w:rPr>
          <w:snapToGrid w:val="0"/>
        </w:rPr>
        <w:t xml:space="preserve"> shall be served on —</w:t>
      </w:r>
    </w:p>
    <w:p>
      <w:pPr>
        <w:pStyle w:val="Indenta"/>
        <w:rPr>
          <w:snapToGrid w:val="0"/>
        </w:rPr>
      </w:pPr>
      <w:r>
        <w:rPr>
          <w:snapToGrid w:val="0"/>
        </w:rPr>
        <w:tab/>
        <w:t>(a)</w:t>
      </w:r>
      <w:r>
        <w:rPr>
          <w:snapToGrid w:val="0"/>
        </w:rPr>
        <w:tab/>
        <w:t>the strata company for the scheme to which the order relates; and</w:t>
      </w:r>
    </w:p>
    <w:p>
      <w:pPr>
        <w:pStyle w:val="Indenta"/>
        <w:rPr>
          <w:snapToGrid w:val="0"/>
        </w:rPr>
      </w:pPr>
      <w:r>
        <w:rPr>
          <w:snapToGrid w:val="0"/>
        </w:rPr>
        <w:tab/>
        <w:t>(b)</w:t>
      </w:r>
      <w:r>
        <w:rPr>
          <w:snapToGrid w:val="0"/>
        </w:rPr>
        <w:tab/>
        <w:t>the applicant for the order; and</w:t>
      </w:r>
    </w:p>
    <w:p>
      <w:pPr>
        <w:pStyle w:val="Indenta"/>
        <w:rPr>
          <w:snapToGrid w:val="0"/>
        </w:rPr>
      </w:pPr>
      <w:r>
        <w:rPr>
          <w:snapToGrid w:val="0"/>
        </w:rPr>
        <w:tab/>
        <w:t>(c)</w:t>
      </w:r>
      <w:r>
        <w:rPr>
          <w:snapToGrid w:val="0"/>
        </w:rPr>
        <w:tab/>
        <w:t>any person who was entitled to make and made a written submission to the State Administrative Tribunal in connection with the application; and</w:t>
      </w:r>
    </w:p>
    <w:p>
      <w:pPr>
        <w:pStyle w:val="Indenta"/>
        <w:rPr>
          <w:snapToGrid w:val="0"/>
        </w:rPr>
      </w:pPr>
      <w:r>
        <w:rPr>
          <w:snapToGrid w:val="0"/>
        </w:rPr>
        <w:tab/>
        <w:t>(d)</w:t>
      </w:r>
      <w:r>
        <w:rPr>
          <w:snapToGrid w:val="0"/>
        </w:rPr>
        <w:tab/>
        <w:t>any person against whom the order was sought and any other person who by the order is required to do or to refrain from doing a specified act.</w:t>
      </w:r>
    </w:p>
    <w:p>
      <w:pPr>
        <w:pStyle w:val="Subsection"/>
        <w:rPr>
          <w:snapToGrid w:val="0"/>
        </w:rPr>
      </w:pPr>
      <w:r>
        <w:rPr>
          <w:snapToGrid w:val="0"/>
        </w:rPr>
        <w:tab/>
        <w:t>(2)</w:t>
      </w:r>
      <w:r>
        <w:rPr>
          <w:snapToGrid w:val="0"/>
        </w:rPr>
        <w:tab/>
        <w:t xml:space="preserve">Each copy of the order served under subsection (1) shall be accompanied by a statement setting out the reasons for </w:t>
      </w:r>
      <w:r>
        <w:t>the State Administrative Tribunal’s</w:t>
      </w:r>
      <w:r>
        <w:rPr>
          <w:snapToGrid w:val="0"/>
        </w:rPr>
        <w:t xml:space="preserve"> decision.</w:t>
      </w:r>
    </w:p>
    <w:p>
      <w:pPr>
        <w:pStyle w:val="Subsection"/>
        <w:keepNext/>
        <w:rPr>
          <w:snapToGrid w:val="0"/>
        </w:rPr>
      </w:pPr>
      <w:r>
        <w:rPr>
          <w:snapToGrid w:val="0"/>
        </w:rPr>
        <w:tab/>
        <w:t>(3)</w:t>
      </w:r>
      <w:r>
        <w:rPr>
          <w:snapToGrid w:val="0"/>
        </w:rPr>
        <w:tab/>
        <w:t xml:space="preserve">In this section, </w:t>
      </w:r>
      <w:r>
        <w:rPr>
          <w:rStyle w:val="CharDefText"/>
        </w:rPr>
        <w:t>order</w:t>
      </w:r>
      <w:r>
        <w:rPr>
          <w:snapToGrid w:val="0"/>
        </w:rPr>
        <w:t xml:space="preserve"> includes a variation of an order, an interim order and a renewal or revocation of an interim order.</w:t>
      </w:r>
    </w:p>
    <w:p>
      <w:pPr>
        <w:pStyle w:val="Footnotesection"/>
      </w:pPr>
      <w:r>
        <w:tab/>
        <w:t>[Section 104 amended: No. 58 of 1995 s. 96; No. 55 of 2004 s. 1144 and 1156(3).]</w:t>
      </w:r>
    </w:p>
    <w:p>
      <w:pPr>
        <w:pStyle w:val="Heading3"/>
      </w:pPr>
      <w:bookmarkStart w:id="294" w:name="_Toc525288633"/>
      <w:bookmarkStart w:id="295" w:name="_Toc530554669"/>
      <w:bookmarkStart w:id="296" w:name="_Toc530555005"/>
      <w:r>
        <w:rPr>
          <w:rStyle w:val="CharDivNo"/>
        </w:rPr>
        <w:t>Division 4</w:t>
      </w:r>
      <w:r>
        <w:rPr>
          <w:snapToGrid w:val="0"/>
        </w:rPr>
        <w:t> — </w:t>
      </w:r>
      <w:r>
        <w:rPr>
          <w:rStyle w:val="CharDivText"/>
        </w:rPr>
        <w:t>Appeals</w:t>
      </w:r>
      <w:bookmarkEnd w:id="294"/>
      <w:bookmarkEnd w:id="295"/>
      <w:bookmarkEnd w:id="296"/>
    </w:p>
    <w:p>
      <w:pPr>
        <w:pStyle w:val="Footnoteheading"/>
      </w:pPr>
      <w:r>
        <w:tab/>
        <w:t>[Heading amended: No. 42 of 1986 s. 5.]</w:t>
      </w:r>
    </w:p>
    <w:p>
      <w:pPr>
        <w:pStyle w:val="Ednotesection"/>
        <w:spacing w:before="180"/>
        <w:ind w:left="890" w:hanging="890"/>
      </w:pPr>
      <w:r>
        <w:t>[</w:t>
      </w:r>
      <w:r>
        <w:rPr>
          <w:b/>
        </w:rPr>
        <w:t>105</w:t>
      </w:r>
      <w:r>
        <w:rPr>
          <w:b/>
        </w:rPr>
        <w:noBreakHyphen/>
        <w:t>107.</w:t>
      </w:r>
      <w:r>
        <w:tab/>
        <w:t>Deleted: No. 55 of 2004 s. 1145.]</w:t>
      </w:r>
    </w:p>
    <w:p>
      <w:pPr>
        <w:pStyle w:val="Ednotesection"/>
        <w:spacing w:before="180"/>
        <w:ind w:left="890" w:hanging="890"/>
      </w:pPr>
      <w:r>
        <w:t>[</w:t>
      </w:r>
      <w:r>
        <w:rPr>
          <w:b/>
        </w:rPr>
        <w:t>108, 109.</w:t>
      </w:r>
      <w:r>
        <w:tab/>
        <w:t>Deleted: No. 42 of 1986 s. 6.]</w:t>
      </w:r>
    </w:p>
    <w:p>
      <w:pPr>
        <w:pStyle w:val="Ednotesection"/>
        <w:spacing w:before="180"/>
        <w:ind w:left="890" w:hanging="890"/>
      </w:pPr>
      <w:r>
        <w:t>[</w:t>
      </w:r>
      <w:r>
        <w:rPr>
          <w:b/>
        </w:rPr>
        <w:t>110.</w:t>
      </w:r>
      <w:r>
        <w:rPr>
          <w:b/>
        </w:rPr>
        <w:tab/>
      </w:r>
      <w:r>
        <w:t>Deleted: No. 55 of 2004 s. 1146.]</w:t>
      </w:r>
    </w:p>
    <w:p>
      <w:pPr>
        <w:pStyle w:val="Heading5"/>
        <w:rPr>
          <w:snapToGrid w:val="0"/>
        </w:rPr>
      </w:pPr>
      <w:bookmarkStart w:id="297" w:name="_Toc530555006"/>
      <w:r>
        <w:rPr>
          <w:rStyle w:val="CharSectno"/>
        </w:rPr>
        <w:t>111</w:t>
      </w:r>
      <w:r>
        <w:rPr>
          <w:snapToGrid w:val="0"/>
        </w:rPr>
        <w:t>.</w:t>
      </w:r>
      <w:r>
        <w:rPr>
          <w:snapToGrid w:val="0"/>
        </w:rPr>
        <w:tab/>
        <w:t>Expenses of strata company on appeal</w:t>
      </w:r>
      <w:bookmarkEnd w:id="297"/>
    </w:p>
    <w:p>
      <w:pPr>
        <w:pStyle w:val="Subsection"/>
        <w:rPr>
          <w:snapToGrid w:val="0"/>
        </w:rPr>
      </w:pPr>
      <w:r>
        <w:rPr>
          <w:snapToGrid w:val="0"/>
        </w:rPr>
        <w:tab/>
        <w:t>(1)</w:t>
      </w:r>
      <w:r>
        <w:rPr>
          <w:snapToGrid w:val="0"/>
        </w:rPr>
        <w:tab/>
        <w:t>Notwithstanding section 36, where the strata company is the respondent to a successful appeal to the Supreme Court from the State</w:t>
      </w:r>
      <w:r>
        <w:rPr>
          <w:snapToGrid w:val="0"/>
          <w:spacing w:val="-4"/>
        </w:rPr>
        <w:t xml:space="preserve"> Administrative Tribunal</w:t>
      </w:r>
      <w:r>
        <w:rPr>
          <w:snapToGrid w:val="0"/>
        </w:rPr>
        <w:t xml:space="preserve"> by the proprietor of a lot, the strata company may not levy in respect of that lot a contribution towards the expenses of the strata company in relation to the appeal.</w:t>
      </w:r>
    </w:p>
    <w:p>
      <w:pPr>
        <w:pStyle w:val="Ednotesubsection"/>
      </w:pPr>
      <w:r>
        <w:tab/>
        <w:t>[(2)</w:t>
      </w:r>
      <w:r>
        <w:tab/>
        <w:t>deleted]</w:t>
      </w:r>
    </w:p>
    <w:p>
      <w:pPr>
        <w:pStyle w:val="Footnotesection"/>
        <w:ind w:left="890" w:hanging="890"/>
      </w:pPr>
      <w:r>
        <w:tab/>
        <w:t>[Section 111 amended: No. 42 of 1986 s. 8; No. 55 of 2004 s. 1147.]</w:t>
      </w:r>
    </w:p>
    <w:p>
      <w:pPr>
        <w:pStyle w:val="Ednotesection"/>
      </w:pPr>
      <w:r>
        <w:t>[</w:t>
      </w:r>
      <w:r>
        <w:rPr>
          <w:b/>
        </w:rPr>
        <w:t>112.</w:t>
      </w:r>
      <w:r>
        <w:tab/>
        <w:t>Deleted: No. 42 of 1986 s. 9.]</w:t>
      </w:r>
    </w:p>
    <w:p>
      <w:pPr>
        <w:pStyle w:val="Heading5"/>
        <w:rPr>
          <w:snapToGrid w:val="0"/>
        </w:rPr>
      </w:pPr>
      <w:bookmarkStart w:id="298" w:name="_Toc530555007"/>
      <w:r>
        <w:rPr>
          <w:rStyle w:val="CharSectno"/>
        </w:rPr>
        <w:t>113</w:t>
      </w:r>
      <w:r>
        <w:rPr>
          <w:snapToGrid w:val="0"/>
        </w:rPr>
        <w:t>.</w:t>
      </w:r>
      <w:r>
        <w:rPr>
          <w:snapToGrid w:val="0"/>
        </w:rPr>
        <w:tab/>
        <w:t>Copy of order to be served</w:t>
      </w:r>
      <w:bookmarkEnd w:id="298"/>
    </w:p>
    <w:p>
      <w:pPr>
        <w:pStyle w:val="Ednotesubsection"/>
      </w:pPr>
      <w:r>
        <w:tab/>
        <w:t>[(1)</w:t>
      </w:r>
      <w:r>
        <w:tab/>
        <w:t>deleted]</w:t>
      </w:r>
    </w:p>
    <w:p>
      <w:pPr>
        <w:pStyle w:val="Subsection"/>
        <w:rPr>
          <w:snapToGrid w:val="0"/>
        </w:rPr>
      </w:pPr>
      <w:r>
        <w:rPr>
          <w:snapToGrid w:val="0"/>
        </w:rPr>
        <w:tab/>
        <w:t>(2)</w:t>
      </w:r>
      <w:r>
        <w:rPr>
          <w:snapToGrid w:val="0"/>
        </w:rPr>
        <w:tab/>
        <w:t>Where an order has been made by the Supreme Court on appeal from the State</w:t>
      </w:r>
      <w:r>
        <w:rPr>
          <w:snapToGrid w:val="0"/>
          <w:spacing w:val="-4"/>
        </w:rPr>
        <w:t xml:space="preserve"> Administrative Tribunal</w:t>
      </w:r>
      <w:r>
        <w:rPr>
          <w:snapToGrid w:val="0"/>
        </w:rPr>
        <w:t>, the executive officer of the State</w:t>
      </w:r>
      <w:r>
        <w:rPr>
          <w:snapToGrid w:val="0"/>
          <w:spacing w:val="-4"/>
        </w:rPr>
        <w:t xml:space="preserve"> Administrative Tribunal</w:t>
      </w:r>
      <w:r>
        <w:rPr>
          <w:snapToGrid w:val="0"/>
        </w:rPr>
        <w:t xml:space="preserve"> shall cause a copy of the order to be served on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appellant;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person who by the order is required to do or to refrain from doing a specified act.</w:t>
      </w:r>
    </w:p>
    <w:p>
      <w:pPr>
        <w:pStyle w:val="Footnotesection"/>
      </w:pPr>
      <w:r>
        <w:tab/>
        <w:t>[Section 113 amended: No. 42 of 1986 s. 10; No. 58 of 1995 s. 96; No. 55 of 2004 s. 1148 and 1156(1) and (3).]</w:t>
      </w:r>
    </w:p>
    <w:p>
      <w:pPr>
        <w:pStyle w:val="Heading3"/>
      </w:pPr>
      <w:bookmarkStart w:id="299" w:name="_Toc525288636"/>
      <w:bookmarkStart w:id="300" w:name="_Toc530554672"/>
      <w:bookmarkStart w:id="301" w:name="_Toc530555008"/>
      <w:r>
        <w:rPr>
          <w:rStyle w:val="CharDivNo"/>
        </w:rPr>
        <w:t>Division 5</w:t>
      </w:r>
      <w:r>
        <w:rPr>
          <w:snapToGrid w:val="0"/>
        </w:rPr>
        <w:t> — </w:t>
      </w:r>
      <w:r>
        <w:rPr>
          <w:rStyle w:val="CharDivText"/>
        </w:rPr>
        <w:t>Miscellaneous</w:t>
      </w:r>
      <w:bookmarkEnd w:id="299"/>
      <w:bookmarkEnd w:id="300"/>
      <w:bookmarkEnd w:id="301"/>
    </w:p>
    <w:p>
      <w:pPr>
        <w:pStyle w:val="Heading5"/>
        <w:rPr>
          <w:snapToGrid w:val="0"/>
        </w:rPr>
      </w:pPr>
      <w:bookmarkStart w:id="302" w:name="_Toc530555009"/>
      <w:r>
        <w:rPr>
          <w:rStyle w:val="CharSectno"/>
        </w:rPr>
        <w:t>114</w:t>
      </w:r>
      <w:r>
        <w:rPr>
          <w:snapToGrid w:val="0"/>
        </w:rPr>
        <w:t>.</w:t>
      </w:r>
      <w:r>
        <w:rPr>
          <w:snapToGrid w:val="0"/>
        </w:rPr>
        <w:tab/>
        <w:t>Effect of certain orders</w:t>
      </w:r>
      <w:bookmarkEnd w:id="302"/>
    </w:p>
    <w:p>
      <w:pPr>
        <w:pStyle w:val="Subsection"/>
        <w:rPr>
          <w:snapToGrid w:val="0"/>
        </w:rPr>
      </w:pPr>
      <w:r>
        <w:rPr>
          <w:snapToGrid w:val="0"/>
        </w:rPr>
        <w:tab/>
        <w:t>(1)</w:t>
      </w:r>
      <w:r>
        <w:rPr>
          <w:snapToGrid w:val="0"/>
        </w:rPr>
        <w:tab/>
        <w:t>The terms of an order made under section 85, 86, 87, 89, 99, or 100 (other than section 100(3)(a)) or under section 101 or an order made under section 83 in which the State Administrative Tribunal declares that it is to have effect as a decision of a strata company shall be deemed to be a resolution passed by the strata company in respect of the scheme to which the order relates.</w:t>
      </w:r>
    </w:p>
    <w:p>
      <w:pPr>
        <w:pStyle w:val="Subsection"/>
        <w:rPr>
          <w:snapToGrid w:val="0"/>
        </w:rPr>
      </w:pPr>
      <w:r>
        <w:rPr>
          <w:snapToGrid w:val="0"/>
        </w:rPr>
        <w:tab/>
        <w:t>(2)</w:t>
      </w:r>
      <w:r>
        <w:rPr>
          <w:snapToGrid w:val="0"/>
        </w:rPr>
        <w:tab/>
        <w:t>Upon service upon it of a copy of an order referred to in subsection (1), the strata company shall cause the terms of the order to be recorded in its minute book.</w:t>
      </w:r>
    </w:p>
    <w:p>
      <w:pPr>
        <w:pStyle w:val="Subsection"/>
        <w:rPr>
          <w:snapToGrid w:val="0"/>
        </w:rPr>
      </w:pPr>
      <w:r>
        <w:rPr>
          <w:snapToGrid w:val="0"/>
        </w:rPr>
        <w:tab/>
        <w:t>(3)</w:t>
      </w:r>
      <w:r>
        <w:rPr>
          <w:snapToGrid w:val="0"/>
        </w:rPr>
        <w:tab/>
        <w:t>Except in the case of a unanimous resolution, a resolution passed by a strata company has no force or effect if it purports to rescind or amend a resolution deemed by subsection (1) to have been passed by the strata company.</w:t>
      </w:r>
    </w:p>
    <w:p>
      <w:pPr>
        <w:pStyle w:val="Subsection"/>
        <w:rPr>
          <w:snapToGrid w:val="0"/>
        </w:rPr>
      </w:pPr>
      <w:r>
        <w:rPr>
          <w:snapToGrid w:val="0"/>
        </w:rPr>
        <w:tab/>
        <w:t>(4)</w:t>
      </w:r>
      <w:r>
        <w:rPr>
          <w:snapToGrid w:val="0"/>
        </w:rPr>
        <w:tab/>
        <w:t>Where an order referred to in subsection (1) specifies a period during which a resolution passed by the strata company has no force or effect if it purports to alter the effect of that order, such a resolution has no force or effect if it is passed during that period —</w:t>
      </w:r>
    </w:p>
    <w:p>
      <w:pPr>
        <w:pStyle w:val="Indenta"/>
        <w:rPr>
          <w:snapToGrid w:val="0"/>
        </w:rPr>
      </w:pPr>
      <w:r>
        <w:rPr>
          <w:snapToGrid w:val="0"/>
        </w:rPr>
        <w:tab/>
        <w:t>(a)</w:t>
      </w:r>
      <w:r>
        <w:rPr>
          <w:snapToGrid w:val="0"/>
        </w:rPr>
        <w:tab/>
        <w:t>unless it is a unanimous resolution; or</w:t>
      </w:r>
    </w:p>
    <w:p>
      <w:pPr>
        <w:pStyle w:val="Indenta"/>
        <w:rPr>
          <w:snapToGrid w:val="0"/>
        </w:rPr>
      </w:pPr>
      <w:r>
        <w:rPr>
          <w:snapToGrid w:val="0"/>
        </w:rPr>
        <w:tab/>
        <w:t>(b)</w:t>
      </w:r>
      <w:r>
        <w:rPr>
          <w:snapToGrid w:val="0"/>
        </w:rPr>
        <w:tab/>
        <w:t>unless, upon an application made as referred to in subsection (5), the State Administrative Tribunal makes an order under this paragraph authorising the submission to a general meeting of the strata company of a motion for that resolution.</w:t>
      </w:r>
    </w:p>
    <w:p>
      <w:pPr>
        <w:pStyle w:val="Subsection"/>
        <w:keepNext/>
        <w:rPr>
          <w:snapToGrid w:val="0"/>
        </w:rPr>
      </w:pPr>
      <w:r>
        <w:rPr>
          <w:snapToGrid w:val="0"/>
        </w:rPr>
        <w:tab/>
        <w:t>(5)</w:t>
      </w:r>
      <w:r>
        <w:rPr>
          <w:snapToGrid w:val="0"/>
        </w:rPr>
        <w:tab/>
        <w:t>An application for an order under subsection (4)(b) —</w:t>
      </w:r>
    </w:p>
    <w:p>
      <w:pPr>
        <w:pStyle w:val="Indenta"/>
        <w:rPr>
          <w:snapToGrid w:val="0"/>
        </w:rPr>
      </w:pPr>
      <w:r>
        <w:rPr>
          <w:snapToGrid w:val="0"/>
        </w:rPr>
        <w:tab/>
        <w:t>(a)</w:t>
      </w:r>
      <w:r>
        <w:rPr>
          <w:snapToGrid w:val="0"/>
        </w:rPr>
        <w:tab/>
        <w:t>may be made by any person who, if the application for the order referred to in subsection (1) were made at the time the application referred to in this subsection is made, would be entitled to make the application for the order referred to in subsection (1); and</w:t>
      </w:r>
    </w:p>
    <w:p>
      <w:pPr>
        <w:pStyle w:val="Indenta"/>
      </w:pPr>
      <w:r>
        <w:rPr>
          <w:snapToGrid w:val="0"/>
        </w:rPr>
        <w:tab/>
        <w:t>(b)</w:t>
      </w:r>
      <w:r>
        <w:rPr>
          <w:snapToGrid w:val="0"/>
        </w:rPr>
        <w:tab/>
        <w:t>shall specify the order sought.</w:t>
      </w:r>
    </w:p>
    <w:p>
      <w:pPr>
        <w:pStyle w:val="Footnotesection"/>
      </w:pPr>
      <w:r>
        <w:tab/>
        <w:t>[Section 114 amended: No. 58 of 1995 s. 96; No. 55 of 2004 s. 1149 and 1156(1) and (3).]</w:t>
      </w:r>
    </w:p>
    <w:p>
      <w:pPr>
        <w:pStyle w:val="Heading5"/>
        <w:rPr>
          <w:snapToGrid w:val="0"/>
        </w:rPr>
      </w:pPr>
      <w:bookmarkStart w:id="303" w:name="_Toc530555010"/>
      <w:r>
        <w:rPr>
          <w:rStyle w:val="CharSectno"/>
        </w:rPr>
        <w:t>115</w:t>
      </w:r>
      <w:r>
        <w:rPr>
          <w:snapToGrid w:val="0"/>
        </w:rPr>
        <w:t>.</w:t>
      </w:r>
      <w:r>
        <w:rPr>
          <w:snapToGrid w:val="0"/>
        </w:rPr>
        <w:tab/>
        <w:t>Recording of certain orders</w:t>
      </w:r>
      <w:bookmarkEnd w:id="30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order is made under section 93, 94, 99A, 103A, 103H, 103J, 103P, 103Q or 103R; or</w:t>
      </w:r>
    </w:p>
    <w:p>
      <w:pPr>
        <w:pStyle w:val="Indenta"/>
        <w:rPr>
          <w:snapToGrid w:val="0"/>
        </w:rPr>
      </w:pPr>
      <w:r>
        <w:rPr>
          <w:snapToGrid w:val="0"/>
        </w:rPr>
        <w:tab/>
        <w:t>(b)</w:t>
      </w:r>
      <w:r>
        <w:rPr>
          <w:snapToGrid w:val="0"/>
        </w:rPr>
        <w:tab/>
        <w:t>an order is directed by the State Administrative Tribunal to be recorded under this section,</w:t>
      </w:r>
    </w:p>
    <w:p>
      <w:pPr>
        <w:pStyle w:val="Subsection"/>
        <w:rPr>
          <w:snapToGrid w:val="0"/>
        </w:rPr>
      </w:pPr>
      <w:r>
        <w:rPr>
          <w:snapToGrid w:val="0"/>
        </w:rPr>
        <w:tab/>
      </w:r>
      <w:r>
        <w:rPr>
          <w:snapToGrid w:val="0"/>
        </w:rPr>
        <w:tab/>
        <w:t>a copy of the order certified by the executive officer of the State</w:t>
      </w:r>
      <w:r>
        <w:rPr>
          <w:snapToGrid w:val="0"/>
          <w:spacing w:val="-4"/>
        </w:rPr>
        <w:t xml:space="preserve"> Administrative Tribunal</w:t>
      </w:r>
      <w:r>
        <w:rPr>
          <w:snapToGrid w:val="0"/>
        </w:rPr>
        <w:t xml:space="preserve"> as a true copy shall be lodged in the </w:t>
      </w:r>
      <w:r>
        <w:t xml:space="preserve">Authority’s office </w:t>
      </w:r>
      <w:r>
        <w:rPr>
          <w:snapToGrid w:val="0"/>
        </w:rPr>
        <w:t>together with the prescribed fee.</w:t>
      </w:r>
    </w:p>
    <w:p>
      <w:pPr>
        <w:pStyle w:val="Subsection"/>
        <w:rPr>
          <w:snapToGrid w:val="0"/>
        </w:rPr>
      </w:pPr>
      <w:r>
        <w:rPr>
          <w:snapToGrid w:val="0"/>
        </w:rPr>
        <w:tab/>
        <w:t>(2)</w:t>
      </w:r>
      <w:r>
        <w:rPr>
          <w:snapToGrid w:val="0"/>
        </w:rPr>
        <w:tab/>
        <w:t>The person who applied for the order shall see to it that subsection (1) is complied with but if he fails to do so any other person may lodge the order together with the prescribed fee.</w:t>
      </w:r>
    </w:p>
    <w:p>
      <w:pPr>
        <w:pStyle w:val="Subsection"/>
        <w:rPr>
          <w:snapToGrid w:val="0"/>
        </w:rPr>
      </w:pPr>
      <w:r>
        <w:rPr>
          <w:snapToGrid w:val="0"/>
        </w:rPr>
        <w:tab/>
        <w:t>(3)</w:t>
      </w:r>
      <w:r>
        <w:rPr>
          <w:snapToGrid w:val="0"/>
        </w:rPr>
        <w:tab/>
        <w:t>The Registrar of Titles shall record an order lodged under subsection (1) on the registered strata/survey</w:t>
      </w:r>
      <w:r>
        <w:rPr>
          <w:snapToGrid w:val="0"/>
        </w:rPr>
        <w:noBreakHyphen/>
        <w:t>strata plan.</w:t>
      </w:r>
    </w:p>
    <w:p>
      <w:pPr>
        <w:pStyle w:val="Footnotesection"/>
      </w:pPr>
      <w:r>
        <w:tab/>
        <w:t>[Section 115 inserted: No. 58 of 1995 s. 79; amended: No. 61 of 1996 s. 36; No. 55 of 2004 s. 1150; No. 60 of 2006 s. 160(8).]</w:t>
      </w:r>
    </w:p>
    <w:p>
      <w:pPr>
        <w:pStyle w:val="Ednotesection"/>
        <w:tabs>
          <w:tab w:val="clear" w:pos="893"/>
          <w:tab w:val="left" w:pos="1200"/>
        </w:tabs>
      </w:pPr>
      <w:r>
        <w:t>[</w:t>
      </w:r>
      <w:r>
        <w:rPr>
          <w:b/>
          <w:bCs/>
        </w:rPr>
        <w:t>116</w:t>
      </w:r>
      <w:r>
        <w:rPr>
          <w:b/>
          <w:bCs/>
        </w:rPr>
        <w:noBreakHyphen/>
        <w:t>120.</w:t>
      </w:r>
      <w:r>
        <w:rPr>
          <w:b/>
          <w:bCs/>
        </w:rPr>
        <w:tab/>
      </w:r>
      <w:r>
        <w:t>Deleted: No. 55 of 2004 s. 1151.]</w:t>
      </w:r>
    </w:p>
    <w:p>
      <w:pPr>
        <w:pStyle w:val="Heading5"/>
        <w:rPr>
          <w:snapToGrid w:val="0"/>
        </w:rPr>
      </w:pPr>
      <w:bookmarkStart w:id="304" w:name="_Toc530555011"/>
      <w:r>
        <w:rPr>
          <w:rStyle w:val="CharSectno"/>
        </w:rPr>
        <w:t>121</w:t>
      </w:r>
      <w:r>
        <w:rPr>
          <w:snapToGrid w:val="0"/>
        </w:rPr>
        <w:t>.</w:t>
      </w:r>
      <w:r>
        <w:rPr>
          <w:snapToGrid w:val="0"/>
        </w:rPr>
        <w:tab/>
        <w:t>SAT not to have jurisdiction where title to land in question</w:t>
      </w:r>
      <w:bookmarkEnd w:id="304"/>
    </w:p>
    <w:p>
      <w:pPr>
        <w:pStyle w:val="Subsection"/>
        <w:rPr>
          <w:snapToGrid w:val="0"/>
        </w:rPr>
      </w:pPr>
      <w:r>
        <w:rPr>
          <w:snapToGrid w:val="0"/>
        </w:rPr>
        <w:tab/>
      </w:r>
      <w:r>
        <w:rPr>
          <w:snapToGrid w:val="0"/>
        </w:rPr>
        <w:tab/>
        <w:t>Notwithstanding any other provision of this Part, the State Administrative Tribunal shall not have jurisdiction under this Part in any case in which the title to land is in question otherwise than for the purpose of determining any matter before the State Administrative Tribunal and any determination made by the State Administrative Tribunal shall not have any force or effect except as provided by this Act.</w:t>
      </w:r>
    </w:p>
    <w:p>
      <w:pPr>
        <w:pStyle w:val="Footnotesection"/>
      </w:pPr>
      <w:r>
        <w:tab/>
        <w:t>[Section 121 amended: No. 55 of 2004 s. 1156(1) and (3).]</w:t>
      </w:r>
    </w:p>
    <w:p>
      <w:pPr>
        <w:pStyle w:val="Heading2"/>
      </w:pPr>
      <w:bookmarkStart w:id="305" w:name="_Toc525288640"/>
      <w:bookmarkStart w:id="306" w:name="_Toc530554676"/>
      <w:bookmarkStart w:id="307" w:name="_Toc530555012"/>
      <w:r>
        <w:rPr>
          <w:rStyle w:val="CharPartNo"/>
        </w:rPr>
        <w:t>Part VII</w:t>
      </w:r>
      <w:r>
        <w:rPr>
          <w:rStyle w:val="CharDivNo"/>
        </w:rPr>
        <w:t> </w:t>
      </w:r>
      <w:r>
        <w:t>—</w:t>
      </w:r>
      <w:r>
        <w:rPr>
          <w:rStyle w:val="CharDivText"/>
        </w:rPr>
        <w:t> </w:t>
      </w:r>
      <w:r>
        <w:rPr>
          <w:rStyle w:val="CharPartText"/>
        </w:rPr>
        <w:t>Miscellaneous</w:t>
      </w:r>
      <w:bookmarkEnd w:id="305"/>
      <w:bookmarkEnd w:id="306"/>
      <w:bookmarkEnd w:id="307"/>
    </w:p>
    <w:p>
      <w:pPr>
        <w:pStyle w:val="Heading5"/>
        <w:rPr>
          <w:snapToGrid w:val="0"/>
        </w:rPr>
      </w:pPr>
      <w:bookmarkStart w:id="308" w:name="_Toc530555013"/>
      <w:r>
        <w:rPr>
          <w:rStyle w:val="CharSectno"/>
        </w:rPr>
        <w:t>122</w:t>
      </w:r>
      <w:r>
        <w:rPr>
          <w:snapToGrid w:val="0"/>
        </w:rPr>
        <w:t>.</w:t>
      </w:r>
      <w:r>
        <w:rPr>
          <w:snapToGrid w:val="0"/>
        </w:rPr>
        <w:tab/>
        <w:t>Other rights and remedies not affected by this Act</w:t>
      </w:r>
      <w:bookmarkEnd w:id="308"/>
    </w:p>
    <w:p>
      <w:pPr>
        <w:pStyle w:val="Subsection"/>
        <w:rPr>
          <w:snapToGrid w:val="0"/>
        </w:rPr>
      </w:pPr>
      <w:r>
        <w:rPr>
          <w:snapToGrid w:val="0"/>
        </w:rPr>
        <w:tab/>
        <w:t>(1)</w:t>
      </w:r>
      <w:r>
        <w:rPr>
          <w:snapToGrid w:val="0"/>
        </w:rPr>
        <w:tab/>
        <w:t>Nothing in this Act derogates from any rights or remedies that a strata company, a proprietor or mortgagee of a lot, an administrator, a person having an estate or interest in a lot or an occupier may have in relation to any lot or the common property apart from this Act.</w:t>
      </w:r>
    </w:p>
    <w:p>
      <w:pPr>
        <w:pStyle w:val="Subsection"/>
        <w:rPr>
          <w:snapToGrid w:val="0"/>
        </w:rPr>
      </w:pPr>
      <w:r>
        <w:rPr>
          <w:snapToGrid w:val="0"/>
        </w:rPr>
        <w:tab/>
        <w:t>(2)</w:t>
      </w:r>
      <w:r>
        <w:rPr>
          <w:snapToGrid w:val="0"/>
        </w:rPr>
        <w:tab/>
        <w:t>Where a court in which any proceedings to enforce any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Part VI makes adequate provision for the enforcement of those rights or remedies, the court shall order the plaintiff to pay the defendant’s costs in such amount as may be determined by the court.</w:t>
      </w:r>
    </w:p>
    <w:p>
      <w:pPr>
        <w:pStyle w:val="Heading5"/>
        <w:rPr>
          <w:snapToGrid w:val="0"/>
        </w:rPr>
      </w:pPr>
      <w:bookmarkStart w:id="309" w:name="_Toc530555014"/>
      <w:r>
        <w:rPr>
          <w:rStyle w:val="CharSectno"/>
        </w:rPr>
        <w:t>122A</w:t>
      </w:r>
      <w:r>
        <w:rPr>
          <w:snapToGrid w:val="0"/>
        </w:rPr>
        <w:t>.</w:t>
      </w:r>
      <w:r>
        <w:rPr>
          <w:snapToGrid w:val="0"/>
        </w:rPr>
        <w:tab/>
        <w:t>Caravan and camping areas not to be subdivided</w:t>
      </w:r>
      <w:bookmarkEnd w:id="309"/>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or re</w:t>
      </w:r>
      <w:r>
        <w:rPr>
          <w:snapToGrid w:val="0"/>
        </w:rPr>
        <w:noBreakHyphen/>
        <w:t>subdivided under this Act where that subdivision or re</w:t>
      </w:r>
      <w:r>
        <w:rPr>
          <w:snapToGrid w:val="0"/>
        </w:rPr>
        <w:noBreakHyphen/>
        <w:t>subdivision would result in there being a caravan park on more than one lot, a camping ground on more than one lot or a caravan park and camping ground on more than one lot.</w:t>
      </w:r>
    </w:p>
    <w:p>
      <w:pPr>
        <w:pStyle w:val="Subsection"/>
        <w:rPr>
          <w:snapToGrid w:val="0"/>
        </w:rPr>
      </w:pPr>
      <w:r>
        <w:rPr>
          <w:snapToGrid w:val="0"/>
        </w:rPr>
        <w:tab/>
        <w:t>(2)</w:t>
      </w:r>
      <w:r>
        <w:rPr>
          <w:snapToGrid w:val="0"/>
        </w:rPr>
        <w:tab/>
        <w:t>Despite subsection (1), land referred to in subsection (1)(a) may be re</w:t>
      </w:r>
      <w:r>
        <w:rPr>
          <w:snapToGrid w:val="0"/>
        </w:rPr>
        <w:noBreakHyphen/>
        <w:t>subdivided where that re</w:t>
      </w:r>
      <w:r>
        <w:rPr>
          <w:snapToGrid w:val="0"/>
        </w:rPr>
        <w:noBreakHyphen/>
        <w:t>subdivision would not result in the land being re</w:t>
      </w:r>
      <w:r>
        <w:rPr>
          <w:snapToGrid w:val="0"/>
        </w:rPr>
        <w:noBreakHyphen/>
        <w:t>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 as they have for the purposes of the </w:t>
      </w:r>
      <w:r>
        <w:rPr>
          <w:i/>
          <w:snapToGrid w:val="0"/>
        </w:rPr>
        <w:t>Caravan Parks and Camping Grounds Act 1995</w:t>
      </w:r>
      <w:r>
        <w:rPr>
          <w:snapToGrid w:val="0"/>
        </w:rPr>
        <w:t>.</w:t>
      </w:r>
    </w:p>
    <w:p>
      <w:pPr>
        <w:pStyle w:val="Footnotesection"/>
      </w:pPr>
      <w:r>
        <w:tab/>
        <w:t>[Section 122A inserted as section 123A: No. 34 of 1995 s. 33 and redesignated as 122A: No. 10 of 1998 s. 66.]</w:t>
      </w:r>
    </w:p>
    <w:p>
      <w:pPr>
        <w:pStyle w:val="Heading5"/>
        <w:rPr>
          <w:snapToGrid w:val="0"/>
        </w:rPr>
      </w:pPr>
      <w:bookmarkStart w:id="310" w:name="_Toc530555015"/>
      <w:r>
        <w:rPr>
          <w:rStyle w:val="CharSectno"/>
        </w:rPr>
        <w:t>123</w:t>
      </w:r>
      <w:r>
        <w:rPr>
          <w:snapToGrid w:val="0"/>
        </w:rPr>
        <w:t>.</w:t>
      </w:r>
      <w:r>
        <w:rPr>
          <w:snapToGrid w:val="0"/>
        </w:rPr>
        <w:tab/>
        <w:t>Dividing fences</w:t>
      </w:r>
      <w:bookmarkEnd w:id="310"/>
    </w:p>
    <w:p>
      <w:pPr>
        <w:pStyle w:val="Subsection"/>
        <w:rPr>
          <w:snapToGrid w:val="0"/>
        </w:rPr>
      </w:pPr>
      <w:r>
        <w:rPr>
          <w:snapToGrid w:val="0"/>
        </w:rPr>
        <w:tab/>
        <w:t>(1)</w:t>
      </w:r>
      <w:r>
        <w:rPr>
          <w:snapToGrid w:val="0"/>
        </w:rPr>
        <w:tab/>
        <w:t xml:space="preserve">The ownership of land in a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scheme shall be regarded as the owner of the parcel that is the subject of that scheme, other than such part (if any) of the parcel as is the subject of a lease accepted or acquired by the strata company under section 18.</w:t>
      </w:r>
    </w:p>
    <w:p>
      <w:pPr>
        <w:pStyle w:val="Subsection"/>
        <w:keepNext/>
        <w:rPr>
          <w:snapToGrid w:val="0"/>
        </w:rPr>
      </w:pPr>
      <w:r>
        <w:rPr>
          <w:snapToGrid w:val="0"/>
        </w:rPr>
        <w:tab/>
        <w:t>(3)</w:t>
      </w:r>
      <w:r>
        <w:rPr>
          <w:snapToGrid w:val="0"/>
        </w:rPr>
        <w:tab/>
        <w:t>In a single tier strata scheme or a survey</w:t>
      </w:r>
      <w:r>
        <w:rPr>
          <w:snapToGrid w:val="0"/>
        </w:rPr>
        <w:noBreakHyphen/>
        <w:t>strata scheme the owner of land in the scheme that adjoins land outside the scheme shall be regarded to be —</w:t>
      </w:r>
    </w:p>
    <w:p>
      <w:pPr>
        <w:pStyle w:val="Indenta"/>
        <w:rPr>
          <w:snapToGrid w:val="0"/>
        </w:rPr>
      </w:pPr>
      <w:r>
        <w:rPr>
          <w:snapToGrid w:val="0"/>
        </w:rPr>
        <w:tab/>
        <w:t>(a)</w:t>
      </w:r>
      <w:r>
        <w:rPr>
          <w:snapToGrid w:val="0"/>
        </w:rPr>
        <w:tab/>
        <w:t>in the case of a lot, the proprietor of the lot; and</w:t>
      </w:r>
    </w:p>
    <w:p>
      <w:pPr>
        <w:pStyle w:val="Indenta"/>
        <w:rPr>
          <w:snapToGrid w:val="0"/>
        </w:rPr>
      </w:pPr>
      <w:r>
        <w:rPr>
          <w:snapToGrid w:val="0"/>
        </w:rPr>
        <w:tab/>
        <w:t>(b)</w:t>
      </w:r>
      <w:r>
        <w:rPr>
          <w:snapToGrid w:val="0"/>
        </w:rPr>
        <w:tab/>
        <w:t>in the case of common property, the strata company.</w:t>
      </w:r>
    </w:p>
    <w:p>
      <w:pPr>
        <w:pStyle w:val="Subsection"/>
        <w:keepNext/>
        <w:rPr>
          <w:snapToGrid w:val="0"/>
        </w:rPr>
      </w:pPr>
      <w:r>
        <w:rPr>
          <w:snapToGrid w:val="0"/>
        </w:rPr>
        <w:tab/>
        <w:t>(4)</w:t>
      </w:r>
      <w:r>
        <w:rPr>
          <w:snapToGrid w:val="0"/>
        </w:rPr>
        <w:tab/>
        <w:t>If a by</w:t>
      </w:r>
      <w:r>
        <w:rPr>
          <w:snapToGrid w:val="0"/>
        </w:rPr>
        <w:noBreakHyphen/>
        <w:t>law of a strata company for —</w:t>
      </w:r>
    </w:p>
    <w:p>
      <w:pPr>
        <w:pStyle w:val="Indenta"/>
        <w:rPr>
          <w:snapToGrid w:val="0"/>
        </w:rPr>
      </w:pPr>
      <w:r>
        <w:rPr>
          <w:snapToGrid w:val="0"/>
        </w:rPr>
        <w:tab/>
        <w:t>(a)</w:t>
      </w:r>
      <w:r>
        <w:rPr>
          <w:snapToGrid w:val="0"/>
        </w:rPr>
        <w:tab/>
        <w:t>a single tier strata scheme; or</w:t>
      </w:r>
    </w:p>
    <w:p>
      <w:pPr>
        <w:pStyle w:val="Indenta"/>
        <w:rPr>
          <w:snapToGrid w:val="0"/>
        </w:rPr>
      </w:pPr>
      <w:r>
        <w:rPr>
          <w:snapToGrid w:val="0"/>
        </w:rPr>
        <w:tab/>
        <w:t>(b)</w:t>
      </w:r>
      <w:r>
        <w:rPr>
          <w:snapToGrid w:val="0"/>
        </w:rPr>
        <w:tab/>
        <w:t>a survey</w:t>
      </w:r>
      <w:r>
        <w:rPr>
          <w:snapToGrid w:val="0"/>
        </w:rPr>
        <w:noBreakHyphen/>
        <w:t>strata scheme,</w:t>
      </w:r>
    </w:p>
    <w:p>
      <w:pPr>
        <w:pStyle w:val="Subsection"/>
        <w:rPr>
          <w:snapToGrid w:val="0"/>
        </w:rPr>
      </w:pPr>
      <w:r>
        <w:rPr>
          <w:snapToGrid w:val="0"/>
        </w:rPr>
        <w:tab/>
      </w:r>
      <w:r>
        <w:rPr>
          <w:snapToGrid w:val="0"/>
        </w:rPr>
        <w:tab/>
        <w:t xml:space="preserve">determines who is to be regarded as the owner of land in the scheme for the purposes of the </w:t>
      </w:r>
      <w:r>
        <w:rPr>
          <w:i/>
          <w:snapToGrid w:val="0"/>
        </w:rPr>
        <w:t>Dividing Fences Act 1961</w:t>
      </w:r>
      <w:r>
        <w:rPr>
          <w:snapToGrid w:val="0"/>
        </w:rPr>
        <w:t>, that by</w:t>
      </w:r>
      <w:r>
        <w:rPr>
          <w:snapToGrid w:val="0"/>
        </w:rPr>
        <w:noBreakHyphen/>
        <w:t>law has effect despite any provision of that Act or of this section.</w:t>
      </w:r>
    </w:p>
    <w:p>
      <w:pPr>
        <w:pStyle w:val="Footnotesection"/>
      </w:pPr>
      <w:r>
        <w:tab/>
        <w:t>[Section 123 inserted: No. 61 of 1996 s. 37.]</w:t>
      </w:r>
    </w:p>
    <w:p>
      <w:pPr>
        <w:pStyle w:val="Heading5"/>
        <w:rPr>
          <w:snapToGrid w:val="0"/>
        </w:rPr>
      </w:pPr>
      <w:bookmarkStart w:id="311" w:name="_Toc530555016"/>
      <w:r>
        <w:rPr>
          <w:rStyle w:val="CharSectno"/>
        </w:rPr>
        <w:t>123A</w:t>
      </w:r>
      <w:r>
        <w:rPr>
          <w:snapToGrid w:val="0"/>
        </w:rPr>
        <w:t>.</w:t>
      </w:r>
      <w:r>
        <w:rPr>
          <w:snapToGrid w:val="0"/>
        </w:rPr>
        <w:tab/>
        <w:t>Transitional provision as to dividing fences</w:t>
      </w:r>
      <w:bookmarkEnd w:id="311"/>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xml:space="preserve">) the ownership of land in a scheme is to be determined, for the purposes of the </w:t>
      </w:r>
      <w:r>
        <w:rPr>
          <w:i/>
          <w:snapToGrid w:val="0"/>
        </w:rPr>
        <w:t>Dividing Fences Act 1961</w:t>
      </w:r>
      <w:r>
        <w:rPr>
          <w:snapToGrid w:val="0"/>
        </w:rPr>
        <w:t>, in accordance with section 123(2).</w:t>
      </w:r>
    </w:p>
    <w:p>
      <w:pPr>
        <w:pStyle w:val="Subsection"/>
        <w:keepNext/>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section 123(2) continue to apply to the scheme after the expiry of that period.</w:t>
      </w:r>
    </w:p>
    <w:p>
      <w:pPr>
        <w:pStyle w:val="Subsection"/>
        <w:keepNext/>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rPr>
          <w:snapToGrid w:val="0"/>
        </w:rPr>
      </w:pPr>
      <w:r>
        <w:rPr>
          <w:snapToGrid w:val="0"/>
        </w:rPr>
        <w:tab/>
      </w:r>
      <w:r>
        <w:rPr>
          <w:snapToGrid w:val="0"/>
        </w:rPr>
        <w:tab/>
        <w:t>section 123(2) continues to apply to the scheme after the expiry of the transition period.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keepNext/>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keepNext/>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20"/>
        <w:rPr>
          <w:snapToGrid w:val="0"/>
        </w:rPr>
      </w:pPr>
      <w:r>
        <w:rPr>
          <w:snapToGrid w:val="0"/>
        </w:rPr>
        <w:tab/>
      </w:r>
      <w:r>
        <w:rPr>
          <w:snapToGrid w:val="0"/>
        </w:rPr>
        <w:tab/>
        <w:t>section 123(3)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rPr>
          <w:snapToGrid w:val="0"/>
        </w:rPr>
      </w:pPr>
      <w:r>
        <w:rPr>
          <w:snapToGrid w:val="0"/>
        </w:rPr>
        <w:tab/>
        <w:t>(a)</w:t>
      </w:r>
      <w:r>
        <w:rPr>
          <w:snapToGrid w:val="0"/>
        </w:rPr>
        <w:tab/>
        <w:t>any order under section 103Q; and</w:t>
      </w:r>
    </w:p>
    <w:p>
      <w:pPr>
        <w:pStyle w:val="Indenta"/>
        <w:rPr>
          <w:snapToGrid w:val="0"/>
        </w:rPr>
      </w:pPr>
      <w:r>
        <w:rPr>
          <w:snapToGrid w:val="0"/>
        </w:rPr>
        <w:tab/>
        <w:t>(b)</w:t>
      </w:r>
      <w:r>
        <w:rPr>
          <w:snapToGrid w:val="0"/>
        </w:rPr>
        <w:tab/>
        <w:t>any by</w:t>
      </w:r>
      <w:r>
        <w:rPr>
          <w:snapToGrid w:val="0"/>
        </w:rPr>
        <w:noBreakHyphen/>
        <w:t>law of the kind referred to in section 123(4).</w:t>
      </w:r>
    </w:p>
    <w:p>
      <w:pPr>
        <w:pStyle w:val="Footnotesection"/>
      </w:pPr>
      <w:r>
        <w:tab/>
        <w:t>[Section 123A inserted: No. 61 of 1996 s. 37.]</w:t>
      </w:r>
    </w:p>
    <w:p>
      <w:pPr>
        <w:pStyle w:val="Heading5"/>
        <w:rPr>
          <w:snapToGrid w:val="0"/>
        </w:rPr>
      </w:pPr>
      <w:bookmarkStart w:id="312" w:name="_Toc530555017"/>
      <w:r>
        <w:rPr>
          <w:rStyle w:val="CharSectno"/>
        </w:rPr>
        <w:t>123B</w:t>
      </w:r>
      <w:r>
        <w:rPr>
          <w:snapToGrid w:val="0"/>
        </w:rPr>
        <w:t>.</w:t>
      </w:r>
      <w:r>
        <w:rPr>
          <w:snapToGrid w:val="0"/>
        </w:rPr>
        <w:tab/>
        <w:t>Internal fencing</w:t>
      </w:r>
      <w:bookmarkEnd w:id="312"/>
    </w:p>
    <w:p>
      <w:pPr>
        <w:pStyle w:val="Subsection"/>
        <w:keepNext/>
      </w:pPr>
      <w:r>
        <w:tab/>
        <w:t>(1)</w:t>
      </w:r>
      <w:r>
        <w:tab/>
      </w:r>
      <w:r>
        <w:rPr>
          <w:snapToGrid w:val="0"/>
        </w:rPr>
        <w:t>The</w:t>
      </w:r>
      <w:r>
        <w:t xml:space="preserve"> </w:t>
      </w:r>
      <w:r>
        <w:rPr>
          <w:i/>
        </w:rPr>
        <w:t>Dividing Fences Act 1961</w:t>
      </w:r>
      <w:r>
        <w:t xml:space="preserve"> applies to fencing between lots in a survey</w:t>
      </w:r>
      <w:r>
        <w:noBreakHyphen/>
        <w:t>strata scheme and a single tier strata scheme as if —</w:t>
      </w:r>
    </w:p>
    <w:p>
      <w:pPr>
        <w:pStyle w:val="Indenta"/>
        <w:rPr>
          <w:snapToGrid w:val="0"/>
        </w:rPr>
      </w:pPr>
      <w:r>
        <w:rPr>
          <w:snapToGrid w:val="0"/>
        </w:rPr>
        <w:tab/>
        <w:t>(a)</w:t>
      </w:r>
      <w:r>
        <w:rPr>
          <w:snapToGrid w:val="0"/>
        </w:rPr>
        <w:tab/>
        <w:t>adjoining lots were adjoining lands to which that Act applies; and</w:t>
      </w:r>
    </w:p>
    <w:p>
      <w:pPr>
        <w:pStyle w:val="Indenta"/>
        <w:rPr>
          <w:snapToGrid w:val="0"/>
        </w:rPr>
      </w:pPr>
      <w:r>
        <w:rPr>
          <w:snapToGrid w:val="0"/>
        </w:rPr>
        <w:tab/>
        <w:t>(b)</w:t>
      </w:r>
      <w:r>
        <w:rPr>
          <w:snapToGrid w:val="0"/>
        </w:rPr>
        <w:tab/>
        <w:t>a proprietor of a lot held the lot for an estate of freehold in possession; and</w:t>
      </w:r>
    </w:p>
    <w:p>
      <w:pPr>
        <w:pStyle w:val="Indenta"/>
        <w:rPr>
          <w:snapToGrid w:val="0"/>
        </w:rPr>
      </w:pPr>
      <w:r>
        <w:rPr>
          <w:snapToGrid w:val="0"/>
        </w:rPr>
        <w:tab/>
        <w:t>(c)</w:t>
      </w:r>
      <w:r>
        <w:rPr>
          <w:snapToGrid w:val="0"/>
        </w:rPr>
        <w:tab/>
        <w:t>common property were held by the strata company for an estate of freehold in possession.</w:t>
      </w:r>
    </w:p>
    <w:p>
      <w:pPr>
        <w:pStyle w:val="Subsection"/>
        <w:keepNext/>
        <w:rPr>
          <w:snapToGrid w:val="0"/>
        </w:rPr>
      </w:pPr>
      <w:r>
        <w:rPr>
          <w:snapToGrid w:val="0"/>
        </w:rPr>
        <w:tab/>
        <w:t>(2)</w:t>
      </w:r>
      <w:r>
        <w:rPr>
          <w:snapToGrid w:val="0"/>
        </w:rPr>
        <w:tab/>
        <w:t>Subsection (1) has effect subject to any by</w:t>
      </w:r>
      <w:r>
        <w:rPr>
          <w:snapToGrid w:val="0"/>
        </w:rPr>
        <w:noBreakHyphen/>
        <w:t>law of the strata company.</w:t>
      </w:r>
    </w:p>
    <w:p>
      <w:pPr>
        <w:pStyle w:val="Footnotesection"/>
        <w:spacing w:before="80"/>
        <w:ind w:left="890" w:hanging="890"/>
      </w:pPr>
      <w:r>
        <w:tab/>
        <w:t>[Section 123B inserted: No. 61 of 1996 s. 37.]</w:t>
      </w:r>
    </w:p>
    <w:p>
      <w:pPr>
        <w:pStyle w:val="Heading5"/>
        <w:rPr>
          <w:snapToGrid w:val="0"/>
        </w:rPr>
      </w:pPr>
      <w:bookmarkStart w:id="313" w:name="_Toc530555018"/>
      <w:r>
        <w:rPr>
          <w:rStyle w:val="CharSectno"/>
        </w:rPr>
        <w:t>123C</w:t>
      </w:r>
      <w:r>
        <w:rPr>
          <w:snapToGrid w:val="0"/>
        </w:rPr>
        <w:t>.</w:t>
      </w:r>
      <w:r>
        <w:rPr>
          <w:snapToGrid w:val="0"/>
        </w:rPr>
        <w:tab/>
        <w:t>Transitional provision as to internal fencing</w:t>
      </w:r>
      <w:bookmarkEnd w:id="313"/>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spacing w:before="120"/>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liability in relation to fencing between lots in a scheme is to be determined as if section 123B had not been enacted.</w:t>
      </w:r>
    </w:p>
    <w:p>
      <w:pPr>
        <w:pStyle w:val="Subsection"/>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spacing w:before="140"/>
        <w:rPr>
          <w:snapToGrid w:val="0"/>
        </w:rPr>
      </w:pPr>
      <w:r>
        <w:rPr>
          <w:snapToGrid w:val="0"/>
        </w:rPr>
        <w:tab/>
      </w:r>
      <w:r>
        <w:rPr>
          <w:snapToGrid w:val="0"/>
        </w:rPr>
        <w:tab/>
        <w:t>that he requires that after the expiry of that period liability in relation to fencing between lots in the scheme is to be determined as if section 123B had not been enacted.</w:t>
      </w:r>
    </w:p>
    <w:p>
      <w:pPr>
        <w:pStyle w:val="Subsection"/>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after the expiry of the transition period liability in relation to fencing between lots in the scheme is to be determined as if section 123B had not been enacted.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section 123B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spacing w:before="60"/>
        <w:rPr>
          <w:snapToGrid w:val="0"/>
        </w:rPr>
      </w:pPr>
      <w:r>
        <w:rPr>
          <w:snapToGrid w:val="0"/>
        </w:rPr>
        <w:tab/>
        <w:t>(a)</w:t>
      </w:r>
      <w:r>
        <w:rPr>
          <w:snapToGrid w:val="0"/>
        </w:rPr>
        <w:tab/>
        <w:t>any order under section 103R; and</w:t>
      </w:r>
    </w:p>
    <w:p>
      <w:pPr>
        <w:pStyle w:val="Indenta"/>
        <w:keepNext/>
        <w:spacing w:before="60"/>
        <w:rPr>
          <w:snapToGrid w:val="0"/>
        </w:rPr>
      </w:pPr>
      <w:r>
        <w:rPr>
          <w:snapToGrid w:val="0"/>
        </w:rPr>
        <w:tab/>
        <w:t>(b)</w:t>
      </w:r>
      <w:r>
        <w:rPr>
          <w:snapToGrid w:val="0"/>
        </w:rPr>
        <w:tab/>
        <w:t>any by</w:t>
      </w:r>
      <w:r>
        <w:rPr>
          <w:snapToGrid w:val="0"/>
        </w:rPr>
        <w:noBreakHyphen/>
        <w:t>law of the strata company.</w:t>
      </w:r>
    </w:p>
    <w:p>
      <w:pPr>
        <w:pStyle w:val="Footnotesection"/>
        <w:keepLines w:val="0"/>
        <w:spacing w:before="80"/>
        <w:ind w:left="890" w:hanging="890"/>
      </w:pPr>
      <w:r>
        <w:tab/>
        <w:t>[Section 123C inserted: No. 61 of 1996 s. 37.]</w:t>
      </w:r>
    </w:p>
    <w:p>
      <w:pPr>
        <w:pStyle w:val="Heading5"/>
        <w:rPr>
          <w:snapToGrid w:val="0"/>
        </w:rPr>
      </w:pPr>
      <w:bookmarkStart w:id="314" w:name="_Toc530555019"/>
      <w:r>
        <w:rPr>
          <w:rStyle w:val="CharSectno"/>
        </w:rPr>
        <w:t>124</w:t>
      </w:r>
      <w:r>
        <w:rPr>
          <w:snapToGrid w:val="0"/>
        </w:rPr>
        <w:t>.</w:t>
      </w:r>
      <w:r>
        <w:rPr>
          <w:snapToGrid w:val="0"/>
        </w:rPr>
        <w:tab/>
        <w:t>Notice of application for order under s. 28, 29 or 31</w:t>
      </w:r>
      <w:bookmarkEnd w:id="314"/>
    </w:p>
    <w:p>
      <w:pPr>
        <w:pStyle w:val="Subsection"/>
        <w:rPr>
          <w:snapToGrid w:val="0"/>
        </w:rPr>
      </w:pPr>
      <w:r>
        <w:rPr>
          <w:snapToGrid w:val="0"/>
        </w:rPr>
        <w:tab/>
        <w:t>(1)</w:t>
      </w:r>
      <w:r>
        <w:rPr>
          <w:snapToGrid w:val="0"/>
        </w:rPr>
        <w:tab/>
        <w:t>The District Court may, in respect of any proceedings on an application for an order under section 28, 29 or 31,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rules of court, the District Court shall not make an order referred to in subsection (1)(b) in respect of any person unless the District Court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spacing w:before="60"/>
        <w:rPr>
          <w:snapToGrid w:val="0"/>
          <w:spacing w:val="-4"/>
        </w:rPr>
      </w:pPr>
      <w:r>
        <w:rPr>
          <w:snapToGrid w:val="0"/>
          <w:spacing w:val="-4"/>
        </w:rPr>
        <w:tab/>
        <w:t>(c)</w:t>
      </w:r>
      <w:r>
        <w:rPr>
          <w:snapToGrid w:val="0"/>
          <w:spacing w:val="-4"/>
        </w:rPr>
        <w:tab/>
        <w:t>service cannot be effected upon that person without expense disproportional to the value, if any, of his interest.</w:t>
      </w:r>
    </w:p>
    <w:p>
      <w:pPr>
        <w:pStyle w:val="Footnotesection"/>
        <w:spacing w:before="80"/>
        <w:ind w:left="890" w:hanging="890"/>
      </w:pPr>
      <w:r>
        <w:tab/>
        <w:t>[Section 124 amended: No. 58 of 1995 s. 82 and 93(1).]</w:t>
      </w:r>
    </w:p>
    <w:p>
      <w:pPr>
        <w:pStyle w:val="Heading5"/>
        <w:rPr>
          <w:snapToGrid w:val="0"/>
        </w:rPr>
      </w:pPr>
      <w:bookmarkStart w:id="315" w:name="_Toc530555020"/>
      <w:r>
        <w:rPr>
          <w:rStyle w:val="CharSectno"/>
        </w:rPr>
        <w:t>125</w:t>
      </w:r>
      <w:r>
        <w:rPr>
          <w:snapToGrid w:val="0"/>
        </w:rPr>
        <w:t>.</w:t>
      </w:r>
      <w:r>
        <w:rPr>
          <w:snapToGrid w:val="0"/>
        </w:rPr>
        <w:tab/>
        <w:t>Service of documents on strata company, proprietors and others</w:t>
      </w:r>
      <w:bookmarkEnd w:id="315"/>
    </w:p>
    <w:p>
      <w:pPr>
        <w:pStyle w:val="Subsection"/>
        <w:rPr>
          <w:snapToGrid w:val="0"/>
        </w:rPr>
      </w:pPr>
      <w:r>
        <w:rPr>
          <w:snapToGrid w:val="0"/>
        </w:rPr>
        <w:tab/>
        <w:t>(1)</w:t>
      </w:r>
      <w:r>
        <w:rPr>
          <w:snapToGrid w:val="0"/>
        </w:rPr>
        <w:tab/>
        <w:t>A summons or other legal process may be served on a strata company by leaving it with the chairman or secretary of the strata company or with any member of the council or with every proprietor of a lot.</w:t>
      </w:r>
    </w:p>
    <w:p>
      <w:pPr>
        <w:pStyle w:val="Subsection"/>
        <w:keepNext/>
        <w:rPr>
          <w:snapToGrid w:val="0"/>
        </w:rPr>
      </w:pPr>
      <w:r>
        <w:rPr>
          <w:snapToGrid w:val="0"/>
        </w:rPr>
        <w:tab/>
        <w:t>(2)</w:t>
      </w:r>
      <w:r>
        <w:rPr>
          <w:snapToGrid w:val="0"/>
        </w:rPr>
        <w:tab/>
        <w:t>A document other than a document referred to in subsection (1) may be served on a strata company —</w:t>
      </w:r>
    </w:p>
    <w:p>
      <w:pPr>
        <w:pStyle w:val="Indenta"/>
        <w:rPr>
          <w:snapToGrid w:val="0"/>
        </w:rPr>
      </w:pPr>
      <w:r>
        <w:rPr>
          <w:snapToGrid w:val="0"/>
        </w:rPr>
        <w:tab/>
        <w:t>(a)</w:t>
      </w:r>
      <w:r>
        <w:rPr>
          <w:snapToGrid w:val="0"/>
        </w:rPr>
        <w:tab/>
        <w:t>by leaving it with any person referred to in subsection (1) or in the receptacle provided by the strata company in accordance with section 35(1)(i); or</w:t>
      </w:r>
    </w:p>
    <w:p>
      <w:pPr>
        <w:pStyle w:val="Indenta"/>
        <w:rPr>
          <w:snapToGrid w:val="0"/>
          <w:spacing w:val="-4"/>
        </w:rPr>
      </w:pPr>
      <w:r>
        <w:rPr>
          <w:snapToGrid w:val="0"/>
          <w:spacing w:val="-4"/>
        </w:rPr>
        <w:tab/>
        <w:t>(b)</w:t>
      </w:r>
      <w:r>
        <w:rPr>
          <w:snapToGrid w:val="0"/>
          <w:spacing w:val="-4"/>
        </w:rPr>
        <w:tab/>
        <w:t>by posting it, by prepaid mail, to the strata company at its address recorded on the registered strata/survey</w:t>
      </w:r>
      <w:r>
        <w:rPr>
          <w:snapToGrid w:val="0"/>
          <w:spacing w:val="-4"/>
        </w:rPr>
        <w:noBreakHyphen/>
        <w:t>strata plan or recorded by the Registrar of Titles under section 40(2).</w:t>
      </w:r>
    </w:p>
    <w:p>
      <w:pPr>
        <w:pStyle w:val="Subsection"/>
        <w:keepNext/>
        <w:rPr>
          <w:snapToGrid w:val="0"/>
        </w:rPr>
      </w:pPr>
      <w:r>
        <w:rPr>
          <w:snapToGrid w:val="0"/>
        </w:rPr>
        <w:tab/>
        <w:t>(3)</w:t>
      </w:r>
      <w:r>
        <w:rPr>
          <w:snapToGrid w:val="0"/>
        </w:rPr>
        <w:tab/>
        <w:t>Subject to this Act, a notice or other document required or authorised by this Act or the by</w:t>
      </w:r>
      <w:r>
        <w:rPr>
          <w:snapToGrid w:val="0"/>
        </w:rPr>
        <w:noBreakHyphen/>
        <w:t>laws to be served by the State Administrative Tribunal, the strata company, a council or the secretary of a council on a proprietor or occupier of a lot may be served —</w:t>
      </w:r>
    </w:p>
    <w:p>
      <w:pPr>
        <w:pStyle w:val="Indenta"/>
        <w:rPr>
          <w:snapToGrid w:val="0"/>
        </w:rPr>
      </w:pPr>
      <w:r>
        <w:rPr>
          <w:snapToGrid w:val="0"/>
        </w:rPr>
        <w:tab/>
        <w:t>(a)</w:t>
      </w:r>
      <w:r>
        <w:rPr>
          <w:snapToGrid w:val="0"/>
        </w:rPr>
        <w:tab/>
        <w:t>in the case of an occupier, by leaving it with some person apparently of or over the age of 16 years at the address of the lot; or</w:t>
      </w:r>
    </w:p>
    <w:p>
      <w:pPr>
        <w:pStyle w:val="Indenta"/>
        <w:rPr>
          <w:snapToGrid w:val="0"/>
        </w:rPr>
      </w:pPr>
      <w:r>
        <w:rPr>
          <w:snapToGrid w:val="0"/>
        </w:rPr>
        <w:tab/>
        <w:t>(b)</w:t>
      </w:r>
      <w:r>
        <w:rPr>
          <w:snapToGrid w:val="0"/>
        </w:rPr>
        <w:tab/>
        <w:t>in the case of a proprietor —</w:t>
      </w:r>
    </w:p>
    <w:p>
      <w:pPr>
        <w:pStyle w:val="Indenti"/>
        <w:rPr>
          <w:snapToGrid w:val="0"/>
        </w:rPr>
      </w:pPr>
      <w:r>
        <w:rPr>
          <w:snapToGrid w:val="0"/>
        </w:rPr>
        <w:tab/>
        <w:t>(i)</w:t>
      </w:r>
      <w:r>
        <w:rPr>
          <w:snapToGrid w:val="0"/>
        </w:rPr>
        <w:tab/>
        <w:t>personally;</w:t>
      </w:r>
    </w:p>
    <w:p>
      <w:pPr>
        <w:pStyle w:val="Indenti"/>
        <w:rPr>
          <w:snapToGrid w:val="0"/>
        </w:rPr>
      </w:pPr>
      <w:r>
        <w:rPr>
          <w:snapToGrid w:val="0"/>
        </w:rPr>
        <w:tab/>
        <w:t>(ii)</w:t>
      </w:r>
      <w:r>
        <w:rPr>
          <w:snapToGrid w:val="0"/>
        </w:rPr>
        <w:tab/>
        <w:t>by post to the proprietor’s address for service appearing on the roll maintained by the strata company under section 35A or, where no such address is specified, by post to the address of the proprietor’s lot;</w:t>
      </w:r>
    </w:p>
    <w:p>
      <w:pPr>
        <w:pStyle w:val="Indenti"/>
        <w:rPr>
          <w:snapToGrid w:val="0"/>
        </w:rPr>
      </w:pPr>
      <w:r>
        <w:rPr>
          <w:snapToGrid w:val="0"/>
        </w:rPr>
        <w:tab/>
        <w:t>(iii)</w:t>
      </w:r>
      <w:r>
        <w:rPr>
          <w:snapToGrid w:val="0"/>
        </w:rPr>
        <w:tab/>
        <w:t>where under section 36A or 36B a roll is not maintained by a strata company, by post to the address notified under subsection (3a);</w:t>
      </w:r>
    </w:p>
    <w:p>
      <w:pPr>
        <w:pStyle w:val="Ednotesubpara"/>
        <w:rPr>
          <w:iCs/>
          <w:snapToGrid w:val="0"/>
        </w:rPr>
      </w:pPr>
      <w:r>
        <w:rPr>
          <w:iCs/>
          <w:snapToGrid w:val="0"/>
        </w:rPr>
        <w:tab/>
        <w:t>[(iv)</w:t>
      </w:r>
      <w:r>
        <w:rPr>
          <w:iCs/>
          <w:snapToGrid w:val="0"/>
        </w:rPr>
        <w:tab/>
        <w:t>deleted]</w:t>
      </w:r>
    </w:p>
    <w:p>
      <w:pPr>
        <w:pStyle w:val="Indenti"/>
        <w:rPr>
          <w:snapToGrid w:val="0"/>
        </w:rPr>
      </w:pPr>
      <w:r>
        <w:rPr>
          <w:snapToGrid w:val="0"/>
        </w:rPr>
        <w:tab/>
        <w:t>(v)</w:t>
      </w:r>
      <w:r>
        <w:rPr>
          <w:snapToGrid w:val="0"/>
        </w:rPr>
        <w:tab/>
        <w:t>in any manner authorised by the by</w:t>
      </w:r>
      <w:r>
        <w:rPr>
          <w:snapToGrid w:val="0"/>
        </w:rPr>
        <w:noBreakHyphen/>
        <w:t>laws for the service of notices on proprietors.</w:t>
      </w:r>
    </w:p>
    <w:p>
      <w:pPr>
        <w:pStyle w:val="Subsection"/>
        <w:rPr>
          <w:snapToGrid w:val="0"/>
        </w:rPr>
      </w:pPr>
      <w:r>
        <w:rPr>
          <w:snapToGrid w:val="0"/>
        </w:rPr>
        <w:tab/>
        <w:t>(3a)</w:t>
      </w:r>
      <w:r>
        <w:rPr>
          <w:snapToGrid w:val="0"/>
        </w:rPr>
        <w:tab/>
        <w:t>Where under section 36A or 36B a roll is not maintained by a strata company for a scheme, the proprietor of a lot in the scheme shall give notice in writing to the strata company and each of the other proprietors of his address for service.</w:t>
      </w:r>
    </w:p>
    <w:p>
      <w:pPr>
        <w:pStyle w:val="Penstart"/>
        <w:rPr>
          <w:snapToGrid w:val="0"/>
        </w:rPr>
      </w:pPr>
      <w:r>
        <w:rPr>
          <w:snapToGrid w:val="0"/>
        </w:rPr>
        <w:tab/>
        <w:t>Penalty: $400.</w:t>
      </w:r>
    </w:p>
    <w:p>
      <w:pPr>
        <w:pStyle w:val="Subsection"/>
        <w:rPr>
          <w:snapToGrid w:val="0"/>
        </w:rPr>
      </w:pPr>
      <w:r>
        <w:rPr>
          <w:snapToGrid w:val="0"/>
        </w:rPr>
        <w:tab/>
        <w:t>(3b)</w:t>
      </w:r>
      <w:r>
        <w:rPr>
          <w:snapToGrid w:val="0"/>
        </w:rPr>
        <w:tab/>
        <w:t>Where on a change of ownership a proprietor of a lot in a scheme for which a roll is not maintained under section 36A or 36B notifies an address for service to the strata company and each of the other proprietors, each of the other proprietors shall give notice in writing to the new proprietor of their respective addresses for service.</w:t>
      </w:r>
    </w:p>
    <w:p>
      <w:pPr>
        <w:pStyle w:val="Subsection"/>
        <w:keepNext/>
        <w:rPr>
          <w:snapToGrid w:val="0"/>
        </w:rPr>
      </w:pPr>
      <w:r>
        <w:rPr>
          <w:snapToGrid w:val="0"/>
        </w:rPr>
        <w:tab/>
        <w:t>(4)</w:t>
      </w:r>
      <w:r>
        <w:rPr>
          <w:snapToGrid w:val="0"/>
        </w:rPr>
        <w:tab/>
        <w:t>Notice under section 48(1) may be served on a person —</w:t>
      </w:r>
    </w:p>
    <w:p>
      <w:pPr>
        <w:pStyle w:val="Indenta"/>
        <w:rPr>
          <w:snapToGrid w:val="0"/>
        </w:rPr>
      </w:pPr>
      <w:r>
        <w:rPr>
          <w:snapToGrid w:val="0"/>
        </w:rPr>
        <w:tab/>
        <w:t>(a)</w:t>
      </w:r>
      <w:r>
        <w:rPr>
          <w:snapToGrid w:val="0"/>
        </w:rPr>
        <w:tab/>
        <w:t>personally or by post; or</w:t>
      </w:r>
    </w:p>
    <w:p>
      <w:pPr>
        <w:pStyle w:val="Indenta"/>
        <w:rPr>
          <w:snapToGrid w:val="0"/>
        </w:rPr>
      </w:pPr>
      <w:r>
        <w:rPr>
          <w:snapToGrid w:val="0"/>
        </w:rPr>
        <w:tab/>
        <w:t>(b)</w:t>
      </w:r>
      <w:r>
        <w:rPr>
          <w:snapToGrid w:val="0"/>
        </w:rPr>
        <w:tab/>
        <w:t>by leaving it with a person apparently of or over the age of 16 years at the place of residence or place of business of the first</w:t>
      </w:r>
      <w:r>
        <w:rPr>
          <w:snapToGrid w:val="0"/>
        </w:rPr>
        <w:noBreakHyphen/>
        <w:t>mentioned person.</w:t>
      </w:r>
    </w:p>
    <w:p>
      <w:pPr>
        <w:pStyle w:val="Footnotesection"/>
      </w:pPr>
      <w:r>
        <w:tab/>
        <w:t>[Section 125 amended: No. 58 of 1995 s. 83 and 95; No. 55 of 2004 s. 1156(1).]</w:t>
      </w:r>
    </w:p>
    <w:p>
      <w:pPr>
        <w:pStyle w:val="Heading5"/>
        <w:rPr>
          <w:snapToGrid w:val="0"/>
        </w:rPr>
      </w:pPr>
      <w:bookmarkStart w:id="316" w:name="_Toc530555021"/>
      <w:r>
        <w:rPr>
          <w:rStyle w:val="CharSectno"/>
        </w:rPr>
        <w:t>126</w:t>
      </w:r>
      <w:r>
        <w:rPr>
          <w:snapToGrid w:val="0"/>
        </w:rPr>
        <w:t>.</w:t>
      </w:r>
      <w:r>
        <w:rPr>
          <w:snapToGrid w:val="0"/>
        </w:rPr>
        <w:tab/>
        <w:t>Powers of entry by public authority or local government</w:t>
      </w:r>
      <w:bookmarkEnd w:id="316"/>
    </w:p>
    <w:p>
      <w:pPr>
        <w:pStyle w:val="Subsection"/>
        <w:rPr>
          <w:snapToGrid w:val="0"/>
        </w:rPr>
      </w:pPr>
      <w:r>
        <w:rPr>
          <w:snapToGrid w:val="0"/>
        </w:rPr>
        <w:tab/>
      </w:r>
      <w:r>
        <w:rPr>
          <w:snapToGrid w:val="0"/>
        </w:rPr>
        <w:tab/>
        <w:t>A public authority or local government which is authorised by any Act to enter upon part of a parcel for the purpose of exercising any power conferred on it may enter upon any other part of that parcel if it is necessary to do so in order to exercise that power.</w:t>
      </w:r>
    </w:p>
    <w:p>
      <w:pPr>
        <w:pStyle w:val="Footnotesection"/>
      </w:pPr>
      <w:r>
        <w:tab/>
        <w:t>[Section 126 amended: No. 14 of 1996 s. 4.]</w:t>
      </w:r>
    </w:p>
    <w:p>
      <w:pPr>
        <w:pStyle w:val="Heading5"/>
        <w:rPr>
          <w:snapToGrid w:val="0"/>
        </w:rPr>
      </w:pPr>
      <w:bookmarkStart w:id="317" w:name="_Toc530555022"/>
      <w:r>
        <w:rPr>
          <w:rStyle w:val="CharSectno"/>
        </w:rPr>
        <w:t>127</w:t>
      </w:r>
      <w:r>
        <w:rPr>
          <w:snapToGrid w:val="0"/>
        </w:rPr>
        <w:t>.</w:t>
      </w:r>
      <w:r>
        <w:rPr>
          <w:snapToGrid w:val="0"/>
        </w:rPr>
        <w:tab/>
        <w:t>Service of orders by public authority or local government</w:t>
      </w:r>
      <w:bookmarkEnd w:id="317"/>
    </w:p>
    <w:p>
      <w:pPr>
        <w:pStyle w:val="Subsection"/>
        <w:rPr>
          <w:snapToGrid w:val="0"/>
        </w:rPr>
      </w:pPr>
      <w:r>
        <w:rPr>
          <w:snapToGrid w:val="0"/>
        </w:rPr>
        <w:tab/>
      </w:r>
      <w:r>
        <w:rPr>
          <w:snapToGrid w:val="0"/>
        </w:rPr>
        <w:tab/>
        <w:t>Where a public authority or local government is authorised or required by any Act to serve or deliver a notice or order on all the proprietors of lots in a scheme, the public authority or local government may serve or deliver the notice or order on the strata company for the scheme and for the purposes of that Act such service shall be taken to be service on all the proprietors and any obligation imposed on the proprietors of that scheme by the notice or order shall be deemed to be imposed on the strata company.</w:t>
      </w:r>
    </w:p>
    <w:p>
      <w:pPr>
        <w:pStyle w:val="Footnotesection"/>
      </w:pPr>
      <w:r>
        <w:tab/>
        <w:t>[Section 127 amended: No. 58 of 1995 s. 96; No. 14 of 1996 s. 4.]</w:t>
      </w:r>
    </w:p>
    <w:p>
      <w:pPr>
        <w:pStyle w:val="Ednotesection"/>
      </w:pPr>
      <w:r>
        <w:t>[</w:t>
      </w:r>
      <w:r>
        <w:rPr>
          <w:b/>
          <w:bCs/>
        </w:rPr>
        <w:t>128.</w:t>
      </w:r>
      <w:r>
        <w:rPr>
          <w:b/>
          <w:bCs/>
        </w:rPr>
        <w:tab/>
      </w:r>
      <w:r>
        <w:t>Deleted: No. 55 of 2004 s. 1152.]</w:t>
      </w:r>
    </w:p>
    <w:p>
      <w:pPr>
        <w:pStyle w:val="Heading5"/>
        <w:rPr>
          <w:snapToGrid w:val="0"/>
        </w:rPr>
      </w:pPr>
      <w:bookmarkStart w:id="318" w:name="_Toc530555023"/>
      <w:r>
        <w:rPr>
          <w:rStyle w:val="CharSectno"/>
        </w:rPr>
        <w:t>129</w:t>
      </w:r>
      <w:r>
        <w:rPr>
          <w:snapToGrid w:val="0"/>
        </w:rPr>
        <w:t>.</w:t>
      </w:r>
      <w:r>
        <w:rPr>
          <w:snapToGrid w:val="0"/>
        </w:rPr>
        <w:tab/>
        <w:t>Procedure upon application to District Court</w:t>
      </w:r>
      <w:bookmarkEnd w:id="318"/>
    </w:p>
    <w:p>
      <w:pPr>
        <w:pStyle w:val="Subsection"/>
        <w:rPr>
          <w:snapToGrid w:val="0"/>
          <w:spacing w:val="-4"/>
        </w:rPr>
      </w:pPr>
      <w:r>
        <w:rPr>
          <w:snapToGrid w:val="0"/>
          <w:spacing w:val="-4"/>
        </w:rPr>
        <w:tab/>
        <w:t>(1)</w:t>
      </w:r>
      <w:r>
        <w:rPr>
          <w:snapToGrid w:val="0"/>
          <w:spacing w:val="-4"/>
        </w:rPr>
        <w:tab/>
      </w:r>
      <w:r>
        <w:rPr>
          <w:snapToGrid w:val="0"/>
        </w:rPr>
        <w:t>Every application to the District Court under this Act shall be by summons at chambers unless otherwise provided by rules of court.</w:t>
      </w:r>
    </w:p>
    <w:p>
      <w:pPr>
        <w:pStyle w:val="Subsection"/>
        <w:rPr>
          <w:snapToGrid w:val="0"/>
        </w:rPr>
      </w:pPr>
      <w:r>
        <w:rPr>
          <w:snapToGrid w:val="0"/>
        </w:rPr>
        <w:tab/>
        <w:t>(2)</w:t>
      </w:r>
      <w:r>
        <w:rPr>
          <w:snapToGrid w:val="0"/>
        </w:rPr>
        <w:tab/>
        <w:t>Notice of an application to the District Court under this Act shall be served on such persons as the District Court thinks fit, or the Court may dispense with notice.</w:t>
      </w:r>
    </w:p>
    <w:p>
      <w:pPr>
        <w:pStyle w:val="Subsection"/>
        <w:rPr>
          <w:snapToGrid w:val="0"/>
        </w:rPr>
      </w:pPr>
      <w:r>
        <w:rPr>
          <w:snapToGrid w:val="0"/>
        </w:rPr>
        <w:tab/>
        <w:t>(3)</w:t>
      </w:r>
      <w:r>
        <w:rPr>
          <w:snapToGrid w:val="0"/>
        </w:rPr>
        <w:tab/>
        <w:t>The District Court may, if it thinks fit, adjourn any application into Court and thereupon may give such directions as to all matters, including filing of pleadings as may appear necessary and proper for the final hearing of the application.</w:t>
      </w:r>
    </w:p>
    <w:p>
      <w:pPr>
        <w:pStyle w:val="Ednotesubsection"/>
      </w:pPr>
      <w:r>
        <w:tab/>
        <w:t>[(4)</w:t>
      </w:r>
      <w:r>
        <w:tab/>
        <w:t>deleted]</w:t>
      </w:r>
    </w:p>
    <w:p>
      <w:pPr>
        <w:pStyle w:val="Subsection"/>
        <w:rPr>
          <w:snapToGrid w:val="0"/>
        </w:rPr>
      </w:pPr>
      <w:r>
        <w:rPr>
          <w:snapToGrid w:val="0"/>
        </w:rPr>
        <w:tab/>
        <w:t>(5)</w:t>
      </w:r>
      <w:r>
        <w:rPr>
          <w:snapToGrid w:val="0"/>
        </w:rPr>
        <w:tab/>
        <w:t>Rules of court may be made for regulating the practice and procedure of the Court under this Act.</w:t>
      </w:r>
    </w:p>
    <w:p>
      <w:pPr>
        <w:pStyle w:val="Footnotesection"/>
      </w:pPr>
      <w:r>
        <w:tab/>
        <w:t>[Section 129 amended: No. 58 of 1995 s. 84 and 93(1).]</w:t>
      </w:r>
    </w:p>
    <w:p>
      <w:pPr>
        <w:pStyle w:val="Heading5"/>
        <w:rPr>
          <w:snapToGrid w:val="0"/>
        </w:rPr>
      </w:pPr>
      <w:bookmarkStart w:id="319" w:name="_Toc530555024"/>
      <w:r>
        <w:rPr>
          <w:rStyle w:val="CharSectno"/>
        </w:rPr>
        <w:t>129A</w:t>
      </w:r>
      <w:r>
        <w:rPr>
          <w:snapToGrid w:val="0"/>
        </w:rPr>
        <w:t>.</w:t>
      </w:r>
      <w:r>
        <w:rPr>
          <w:snapToGrid w:val="0"/>
        </w:rPr>
        <w:tab/>
        <w:t>Correction of errors by Registrar</w:t>
      </w:r>
      <w:bookmarkEnd w:id="319"/>
    </w:p>
    <w:p>
      <w:pPr>
        <w:pStyle w:val="Subsection"/>
        <w:keepNext/>
        <w:rPr>
          <w:snapToGrid w:val="0"/>
        </w:rPr>
      </w:pPr>
      <w:r>
        <w:rPr>
          <w:snapToGrid w:val="0"/>
        </w:rPr>
        <w:tab/>
        <w:t>(1)</w:t>
      </w:r>
      <w:r>
        <w:rPr>
          <w:snapToGrid w:val="0"/>
        </w:rPr>
        <w:tab/>
        <w:t>The Commissioner of Titles may direct the Registrar of Titles —</w:t>
      </w:r>
    </w:p>
    <w:p>
      <w:pPr>
        <w:pStyle w:val="Indenta"/>
        <w:rPr>
          <w:snapToGrid w:val="0"/>
        </w:rPr>
      </w:pPr>
      <w:r>
        <w:rPr>
          <w:snapToGrid w:val="0"/>
        </w:rPr>
        <w:tab/>
        <w:t>(a)</w:t>
      </w:r>
      <w:r>
        <w:rPr>
          <w:snapToGrid w:val="0"/>
        </w:rPr>
        <w:tab/>
        <w:t>to correct errors in, or in entries made in, the Register; and</w:t>
      </w:r>
    </w:p>
    <w:p>
      <w:pPr>
        <w:pStyle w:val="Indenta"/>
        <w:rPr>
          <w:snapToGrid w:val="0"/>
        </w:rPr>
      </w:pPr>
      <w:r>
        <w:rPr>
          <w:snapToGrid w:val="0"/>
        </w:rPr>
        <w:tab/>
        <w:t>(b)</w:t>
      </w:r>
      <w:r>
        <w:rPr>
          <w:snapToGrid w:val="0"/>
        </w:rPr>
        <w:tab/>
        <w:t>to supply any entry omitted to be made in the Register,</w:t>
      </w:r>
    </w:p>
    <w:p>
      <w:pPr>
        <w:pStyle w:val="Subsection"/>
        <w:rPr>
          <w:snapToGrid w:val="0"/>
        </w:rPr>
      </w:pPr>
      <w:r>
        <w:rPr>
          <w:snapToGrid w:val="0"/>
        </w:rPr>
        <w:tab/>
      </w:r>
      <w:r>
        <w:rPr>
          <w:snapToGrid w:val="0"/>
        </w:rPr>
        <w:tab/>
        <w:t>and the Registrar shall comply with any such direction.</w:t>
      </w:r>
    </w:p>
    <w:p>
      <w:pPr>
        <w:pStyle w:val="Subsection"/>
        <w:keepNext/>
        <w:rPr>
          <w:snapToGrid w:val="0"/>
        </w:rPr>
      </w:pPr>
      <w:r>
        <w:rPr>
          <w:snapToGrid w:val="0"/>
        </w:rPr>
        <w:tab/>
        <w:t>(2)</w:t>
      </w:r>
      <w:r>
        <w:rPr>
          <w:snapToGrid w:val="0"/>
        </w:rPr>
        <w:tab/>
        <w:t>The Registrar of Titles may in respect of any plan or other document lodged for registration or approval —</w:t>
      </w:r>
    </w:p>
    <w:p>
      <w:pPr>
        <w:pStyle w:val="Indenta"/>
        <w:rPr>
          <w:snapToGrid w:val="0"/>
        </w:rPr>
      </w:pPr>
      <w:r>
        <w:rPr>
          <w:snapToGrid w:val="0"/>
        </w:rPr>
        <w:tab/>
        <w:t>(a)</w:t>
      </w:r>
      <w:r>
        <w:rPr>
          <w:snapToGrid w:val="0"/>
        </w:rPr>
        <w:tab/>
        <w:t>correct any patent error appearing on the face of the plan or other document; and</w:t>
      </w:r>
    </w:p>
    <w:p>
      <w:pPr>
        <w:pStyle w:val="Indenta"/>
        <w:rPr>
          <w:snapToGrid w:val="0"/>
        </w:rPr>
      </w:pPr>
      <w:r>
        <w:rPr>
          <w:snapToGrid w:val="0"/>
        </w:rPr>
        <w:tab/>
        <w:t>(b)</w:t>
      </w:r>
      <w:r>
        <w:rPr>
          <w:snapToGrid w:val="0"/>
        </w:rPr>
        <w:tab/>
        <w:t>supply any entry omitted to be made under this Act in the plan or other document.</w:t>
      </w:r>
    </w:p>
    <w:p>
      <w:pPr>
        <w:pStyle w:val="Subsection"/>
        <w:keepNext/>
        <w:rPr>
          <w:snapToGrid w:val="0"/>
        </w:rPr>
      </w:pPr>
      <w:r>
        <w:rPr>
          <w:snapToGrid w:val="0"/>
        </w:rPr>
        <w:tab/>
        <w:t>(3)</w:t>
      </w:r>
      <w:r>
        <w:rPr>
          <w:snapToGrid w:val="0"/>
        </w:rPr>
        <w:tab/>
        <w:t>When correcting an error under subsection (1) or (2), the Registrar —</w:t>
      </w:r>
    </w:p>
    <w:p>
      <w:pPr>
        <w:pStyle w:val="Indenta"/>
        <w:rPr>
          <w:snapToGrid w:val="0"/>
        </w:rPr>
      </w:pPr>
      <w:r>
        <w:rPr>
          <w:snapToGrid w:val="0"/>
        </w:rPr>
        <w:tab/>
        <w:t>(a)</w:t>
      </w:r>
      <w:r>
        <w:rPr>
          <w:snapToGrid w:val="0"/>
        </w:rPr>
        <w:tab/>
        <w:t>shall not erase or render illegible the original writing; and</w:t>
      </w:r>
    </w:p>
    <w:p>
      <w:pPr>
        <w:pStyle w:val="Indenta"/>
        <w:rPr>
          <w:snapToGrid w:val="0"/>
        </w:rPr>
      </w:pPr>
      <w:r>
        <w:rPr>
          <w:snapToGrid w:val="0"/>
        </w:rPr>
        <w:tab/>
        <w:t>(b)</w:t>
      </w:r>
      <w:r>
        <w:rPr>
          <w:snapToGrid w:val="0"/>
        </w:rPr>
        <w:tab/>
        <w:t>shall affix the date upon which any correction was made or omission supplied together with his initials.</w:t>
      </w:r>
    </w:p>
    <w:p>
      <w:pPr>
        <w:pStyle w:val="Subsection"/>
        <w:rPr>
          <w:snapToGrid w:val="0"/>
        </w:rPr>
      </w:pPr>
      <w:r>
        <w:rPr>
          <w:snapToGrid w:val="0"/>
        </w:rPr>
        <w:tab/>
        <w:t>(4)</w:t>
      </w:r>
      <w:r>
        <w:rPr>
          <w:snapToGrid w:val="0"/>
        </w:rPr>
        <w:tab/>
        <w:t>A plan or other document corrected under this section has the same validity and effect as if the error or omission had not been made except as regards any entry made in the Register before the time of correcting the error or supplying the omitted entry.</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Commissioner of Titles</w:t>
      </w:r>
      <w:r>
        <w:t xml:space="preserve"> means the Commissioner of Titles under the </w:t>
      </w:r>
      <w:r>
        <w:rPr>
          <w:i/>
        </w:rPr>
        <w:t>Transfer of Land Act 1893</w:t>
      </w:r>
      <w:r>
        <w:t>, and includes the Deputy Commissioner of Titles under that Act.</w:t>
      </w:r>
    </w:p>
    <w:p>
      <w:pPr>
        <w:pStyle w:val="Footnotesection"/>
      </w:pPr>
      <w:r>
        <w:tab/>
        <w:t>[Section 129A inserted: No. 58 of 1995 s. 85; amended: No. 81 of 1996 s. 153(1).]</w:t>
      </w:r>
    </w:p>
    <w:p>
      <w:pPr>
        <w:pStyle w:val="Heading5"/>
      </w:pPr>
      <w:bookmarkStart w:id="320" w:name="_Toc530555025"/>
      <w:r>
        <w:rPr>
          <w:rStyle w:val="CharSectno"/>
        </w:rPr>
        <w:t>129B</w:t>
      </w:r>
      <w:r>
        <w:t>.</w:t>
      </w:r>
      <w:r>
        <w:tab/>
        <w:t>Delegation by Commissioner of Titles</w:t>
      </w:r>
      <w:bookmarkEnd w:id="320"/>
    </w:p>
    <w:p>
      <w:pPr>
        <w:pStyle w:val="Subsection"/>
      </w:pPr>
      <w:r>
        <w:tab/>
        <w:t>(1)</w:t>
      </w:r>
      <w:r>
        <w:tab/>
        <w:t xml:space="preserve">The Commissioner of Titles may delegate the power that section 129A gives the Commissioner to any other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In this section —</w:t>
      </w:r>
    </w:p>
    <w:p>
      <w:pPr>
        <w:pStyle w:val="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Footnotesection"/>
      </w:pPr>
      <w:r>
        <w:tab/>
        <w:t>[Section 129B inserted: No. 60 of 2006 s. 160(9); amended: No. 21 of 2008 s. 707.]</w:t>
      </w:r>
    </w:p>
    <w:p>
      <w:pPr>
        <w:pStyle w:val="Heading5"/>
      </w:pPr>
      <w:bookmarkStart w:id="321" w:name="_Toc530555026"/>
      <w:r>
        <w:rPr>
          <w:rStyle w:val="CharSectno"/>
        </w:rPr>
        <w:t>129C</w:t>
      </w:r>
      <w:r>
        <w:t>.</w:t>
      </w:r>
      <w:r>
        <w:tab/>
        <w:t>Delegation by Registrar of Titles</w:t>
      </w:r>
      <w:bookmarkEnd w:id="321"/>
    </w:p>
    <w:p>
      <w:pPr>
        <w:pStyle w:val="Subsection"/>
      </w:pPr>
      <w:r>
        <w:tab/>
        <w:t>(1)</w:t>
      </w:r>
      <w:r>
        <w:tab/>
        <w:t>The Registrar of Titles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Subsection"/>
      </w:pPr>
      <w:r>
        <w:tab/>
        <w:t>(6)</w:t>
      </w:r>
      <w:r>
        <w:tab/>
        <w:t>In this section —</w:t>
      </w:r>
    </w:p>
    <w:p>
      <w:pPr>
        <w:pStyle w:val="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Footnotesection"/>
      </w:pPr>
      <w:r>
        <w:tab/>
        <w:t>[Section 129C inserted: No. 60 of 2006 s. 160(9).]</w:t>
      </w:r>
    </w:p>
    <w:p>
      <w:pPr>
        <w:pStyle w:val="Heading5"/>
      </w:pPr>
      <w:bookmarkStart w:id="322" w:name="_Toc530555027"/>
      <w:r>
        <w:rPr>
          <w:rStyle w:val="CharSectno"/>
        </w:rPr>
        <w:t>129D</w:t>
      </w:r>
      <w:r>
        <w:t>.</w:t>
      </w:r>
      <w:r>
        <w:tab/>
        <w:t>Money received by Registrar</w:t>
      </w:r>
      <w:bookmarkEnd w:id="322"/>
    </w:p>
    <w:p>
      <w:pPr>
        <w:pStyle w:val="Subsection"/>
      </w:pPr>
      <w:r>
        <w:tab/>
      </w:r>
      <w:r>
        <w:tab/>
        <w:t>The Registrar of Titles is to pay to the Authority any money paid to the Registrar under this Act.</w:t>
      </w:r>
    </w:p>
    <w:p>
      <w:pPr>
        <w:pStyle w:val="Footnotesection"/>
      </w:pPr>
      <w:r>
        <w:tab/>
        <w:t>[Section 129D inserted: No. 60 of 2006 s. 160(9).]</w:t>
      </w:r>
    </w:p>
    <w:p>
      <w:pPr>
        <w:pStyle w:val="Heading5"/>
        <w:rPr>
          <w:snapToGrid w:val="0"/>
        </w:rPr>
      </w:pPr>
      <w:bookmarkStart w:id="323" w:name="_Toc530555028"/>
      <w:r>
        <w:rPr>
          <w:rStyle w:val="CharSectno"/>
        </w:rPr>
        <w:t>130</w:t>
      </w:r>
      <w:r>
        <w:rPr>
          <w:snapToGrid w:val="0"/>
        </w:rPr>
        <w:t>.</w:t>
      </w:r>
      <w:r>
        <w:rPr>
          <w:snapToGrid w:val="0"/>
        </w:rPr>
        <w:tab/>
        <w:t>Regulations</w:t>
      </w:r>
      <w:bookmarkEnd w:id="323"/>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the fees to be paid for any procedure or function required or permitted to be done under this Act except fees to be payable in respect of applications to</w:t>
      </w:r>
      <w:r>
        <w:t xml:space="preserve"> the State Administrative Tribunal</w:t>
      </w:r>
      <w:r>
        <w:rPr>
          <w:snapToGrid w:val="0"/>
        </w:rPr>
        <w:t>; and</w:t>
      </w:r>
    </w:p>
    <w:p>
      <w:pPr>
        <w:pStyle w:val="Indenta"/>
        <w:rPr>
          <w:snapToGrid w:val="0"/>
        </w:rPr>
      </w:pPr>
      <w:r>
        <w:rPr>
          <w:snapToGrid w:val="0"/>
        </w:rPr>
        <w:tab/>
        <w:t>(c)</w:t>
      </w:r>
      <w:r>
        <w:rPr>
          <w:snapToGrid w:val="0"/>
        </w:rPr>
        <w:tab/>
        <w:t>prescribing forms under this Act and the respective purposes for which those forms are to be used and providing that in such cases as may be prescribed, forms or other documents required by or under this Act to be lodged with the Registrar of Titles shall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prescribing 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Ednotepara"/>
        <w:spacing w:before="80"/>
      </w:pPr>
      <w:r>
        <w:tab/>
        <w:t>[(g), (h)</w:t>
      </w:r>
      <w:r>
        <w:tab/>
        <w:t>deleted]</w:t>
      </w:r>
    </w:p>
    <w:p>
      <w:pPr>
        <w:pStyle w:val="Indenta"/>
        <w:keepNext/>
        <w:keepLines/>
        <w:rPr>
          <w:snapToGrid w:val="0"/>
        </w:rPr>
      </w:pPr>
      <w:r>
        <w:rPr>
          <w:snapToGrid w:val="0"/>
        </w:rPr>
        <w:tab/>
        <w:t>(i)</w:t>
      </w:r>
      <w:r>
        <w:rPr>
          <w:snapToGrid w:val="0"/>
        </w:rPr>
        <w:tab/>
        <w:t>providing that a contravention of a provision of the regulations constitutes an offence and for a penalty in respect of such a contravention not exceeding a fine of $400.</w:t>
      </w:r>
    </w:p>
    <w:p>
      <w:pPr>
        <w:pStyle w:val="Footnotesection"/>
      </w:pPr>
      <w:r>
        <w:tab/>
        <w:t>[Section 130 amended: No. 58 of 1995 s. 86 and 94; No. 55 of 2004 s. 1153.]</w:t>
      </w:r>
    </w:p>
    <w:p>
      <w:pPr>
        <w:pStyle w:val="Heading5"/>
      </w:pPr>
      <w:bookmarkStart w:id="324" w:name="_Toc530555029"/>
      <w:r>
        <w:rPr>
          <w:rStyle w:val="CharSectno"/>
        </w:rPr>
        <w:t>131A</w:t>
      </w:r>
      <w:r>
        <w:t>.</w:t>
      </w:r>
      <w:r>
        <w:tab/>
        <w:t>Certain prescribed fees may exceed cost recovery</w:t>
      </w:r>
      <w:bookmarkEnd w:id="324"/>
    </w:p>
    <w:p>
      <w:pPr>
        <w:pStyle w:val="Subsection"/>
      </w:pPr>
      <w:r>
        <w:tab/>
        <w:t>(1)</w:t>
      </w:r>
      <w:r>
        <w:tab/>
        <w:t xml:space="preserve">Regulations made under section 130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The definition of </w:t>
      </w:r>
      <w:r>
        <w:rPr>
          <w:rStyle w:val="CharDefText"/>
        </w:rPr>
        <w:t>scheme</w:t>
      </w:r>
      <w:r>
        <w:t xml:space="preserve"> in section 3(1) does not apply to subsection (1).</w:t>
      </w:r>
    </w:p>
    <w:p>
      <w:pPr>
        <w:pStyle w:val="Subsection"/>
      </w:pPr>
      <w:r>
        <w:tab/>
        <w:t>(3)</w:t>
      </w:r>
      <w:r>
        <w:tab/>
        <w:t xml:space="preserve">This section does not limit the </w:t>
      </w:r>
      <w:r>
        <w:rPr>
          <w:i/>
        </w:rPr>
        <w:t>Interpretation Act 1984</w:t>
      </w:r>
      <w:r>
        <w:t xml:space="preserve"> section 45A.</w:t>
      </w:r>
    </w:p>
    <w:p>
      <w:pPr>
        <w:pStyle w:val="Footnotesection"/>
      </w:pPr>
      <w:r>
        <w:tab/>
        <w:t>[Section 131A inserted: No. 11 of 2015 s. 8; amended: No. 12 of 2015 s. 6.]</w:t>
      </w:r>
    </w:p>
    <w:p>
      <w:pPr>
        <w:pStyle w:val="Heading5"/>
      </w:pPr>
      <w:bookmarkStart w:id="325" w:name="_Toc530555030"/>
      <w:r>
        <w:rPr>
          <w:rStyle w:val="CharSectno"/>
        </w:rPr>
        <w:t>131B</w:t>
      </w:r>
      <w:r>
        <w:t>.</w:t>
      </w:r>
      <w:r>
        <w:tab/>
        <w:t>Expiry of section 131A</w:t>
      </w:r>
      <w:bookmarkEnd w:id="325"/>
    </w:p>
    <w:p>
      <w:pPr>
        <w:pStyle w:val="Subsection"/>
        <w:keepNext/>
      </w:pPr>
      <w:r>
        <w:tab/>
        <w:t>(1)</w:t>
      </w:r>
      <w:r>
        <w:tab/>
        <w:t>Section 131A expires at the end of 31 December 2019</w:t>
      </w:r>
      <w:r>
        <w:rPr>
          <w:vertAlign w:val="superscript"/>
        </w:rPr>
        <w:t> 21</w:t>
      </w:r>
      <w:r>
        <w:t>.</w:t>
      </w:r>
    </w:p>
    <w:p>
      <w:pPr>
        <w:pStyle w:val="Subsection"/>
      </w:pPr>
      <w:r>
        <w:tab/>
        <w:t>(2)</w:t>
      </w:r>
      <w:r>
        <w:tab/>
        <w:t>However, the Governor, on the recommendation of the Minister, may, by proclamation made before section 131A expires, postpone the expiry of section 131A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131A should be postponed.</w:t>
      </w:r>
    </w:p>
    <w:p>
      <w:pPr>
        <w:pStyle w:val="Subsection"/>
      </w:pPr>
      <w:r>
        <w:tab/>
        <w:t>(4)</w:t>
      </w:r>
      <w:r>
        <w:tab/>
        <w:t>There is no limit on the number of times the expiry of section 131A may be postponed, but each postponement cannot be for longer than 5 years beginning on the day after the most recent date on which section 131A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131A does not affect the validity of any regulations made under section 130 and in effect immediately before that expiry.</w:t>
      </w:r>
    </w:p>
    <w:p>
      <w:pPr>
        <w:pStyle w:val="Footnotesection"/>
      </w:pPr>
      <w:r>
        <w:tab/>
        <w:t>[Section 131B inserted: No. 11 of 2015 s. 8.]</w:t>
      </w:r>
    </w:p>
    <w:p>
      <w:pPr>
        <w:pStyle w:val="Footnotesection"/>
      </w:pPr>
      <w:r>
        <w:tab/>
        <w:t>[</w:t>
      </w:r>
      <w:r>
        <w:rPr>
          <w:b/>
        </w:rPr>
        <w:t>Note:</w:t>
      </w:r>
      <w:r>
        <w:t xml:space="preserve">  The expiry of section 131A is postponed until the end of 31 December 2024 by the Land Legislation (Postponement of Expiry) Proclamation 2018 (see Gazette 21 Dec 2018 p. 4845-6).]</w:t>
      </w:r>
    </w:p>
    <w:p>
      <w:pPr>
        <w:pStyle w:val="Ednotesection"/>
      </w:pPr>
      <w:r>
        <w:t>[</w:t>
      </w:r>
      <w:r>
        <w:rPr>
          <w:b/>
        </w:rPr>
        <w:t>131.</w:t>
      </w:r>
      <w:r>
        <w:tab/>
        <w:t>Omitted under the Reprints Act 1984 s. 7(4)(f).]</w:t>
      </w:r>
    </w:p>
    <w:p>
      <w:pPr>
        <w:pStyle w:val="Heading5"/>
        <w:rPr>
          <w:snapToGrid w:val="0"/>
        </w:rPr>
      </w:pPr>
      <w:bookmarkStart w:id="326" w:name="_Toc530555031"/>
      <w:r>
        <w:rPr>
          <w:rStyle w:val="CharSectno"/>
        </w:rPr>
        <w:t>132</w:t>
      </w:r>
      <w:r>
        <w:rPr>
          <w:snapToGrid w:val="0"/>
        </w:rPr>
        <w:t>.</w:t>
      </w:r>
      <w:r>
        <w:rPr>
          <w:snapToGrid w:val="0"/>
        </w:rPr>
        <w:tab/>
        <w:t>Transitional and savings</w:t>
      </w:r>
      <w:bookmarkEnd w:id="326"/>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pStyle w:val="Heading2"/>
      </w:pPr>
      <w:bookmarkStart w:id="327" w:name="_Toc525288660"/>
      <w:bookmarkStart w:id="328" w:name="_Toc530554696"/>
      <w:bookmarkStart w:id="329" w:name="_Toc530555032"/>
      <w:r>
        <w:rPr>
          <w:rStyle w:val="CharPartNo"/>
        </w:rPr>
        <w:t>Part VIII</w:t>
      </w:r>
      <w:r>
        <w:rPr>
          <w:b w:val="0"/>
        </w:rPr>
        <w:t> </w:t>
      </w:r>
      <w:r>
        <w:t>—</w:t>
      </w:r>
      <w:r>
        <w:rPr>
          <w:b w:val="0"/>
        </w:rPr>
        <w:t> </w:t>
      </w:r>
      <w:r>
        <w:rPr>
          <w:rStyle w:val="CharPartText"/>
        </w:rPr>
        <w:t>Transitional provisions for amendments made to this Act</w:t>
      </w:r>
      <w:bookmarkEnd w:id="327"/>
      <w:bookmarkEnd w:id="328"/>
      <w:bookmarkEnd w:id="329"/>
    </w:p>
    <w:p>
      <w:pPr>
        <w:pStyle w:val="Footnoteheading"/>
        <w:spacing w:before="100"/>
      </w:pPr>
      <w:r>
        <w:tab/>
        <w:t>[Heading inserted: No. 24 of 2011 s. 174(12).]</w:t>
      </w:r>
    </w:p>
    <w:p>
      <w:pPr>
        <w:pStyle w:val="Heading5"/>
      </w:pPr>
      <w:bookmarkStart w:id="330" w:name="_Toc530555033"/>
      <w:r>
        <w:rPr>
          <w:rStyle w:val="CharDivNo"/>
        </w:rPr>
        <w:t>Division 1</w:t>
      </w:r>
      <w:r>
        <w:t> — </w:t>
      </w:r>
      <w:r>
        <w:rPr>
          <w:rStyle w:val="CharDivText"/>
        </w:rPr>
        <w:t xml:space="preserve">Transitional provisions arising from certain amendments made by the </w:t>
      </w:r>
      <w:r>
        <w:rPr>
          <w:rStyle w:val="CharDivText"/>
          <w:i/>
        </w:rPr>
        <w:t>Building Act 2011</w:t>
      </w:r>
      <w:bookmarkEnd w:id="330"/>
    </w:p>
    <w:p>
      <w:pPr>
        <w:pStyle w:val="Footnoteheading"/>
        <w:spacing w:before="100"/>
      </w:pPr>
      <w:r>
        <w:tab/>
        <w:t>[Heading inserted: No. 24 of 2011 s. 174(12).]</w:t>
      </w:r>
    </w:p>
    <w:p>
      <w:pPr>
        <w:pStyle w:val="Heading5"/>
        <w:spacing w:before="200"/>
      </w:pPr>
      <w:bookmarkStart w:id="331" w:name="_Toc530555034"/>
      <w:r>
        <w:rPr>
          <w:rStyle w:val="CharSectno"/>
        </w:rPr>
        <w:t>133</w:t>
      </w:r>
      <w:r>
        <w:t>.</w:t>
      </w:r>
      <w:r>
        <w:tab/>
        <w:t>Terms used</w:t>
      </w:r>
      <w:bookmarkEnd w:id="331"/>
    </w:p>
    <w:p>
      <w:pPr>
        <w:pStyle w:val="Subsection"/>
        <w:spacing w:before="120"/>
      </w:pPr>
      <w:r>
        <w:tab/>
      </w:r>
      <w:r>
        <w:tab/>
        <w:t xml:space="preserve">In this Division — </w:t>
      </w:r>
    </w:p>
    <w:p>
      <w:pPr>
        <w:pStyle w:val="Defstart"/>
        <w:spacing w:before="70"/>
      </w:pPr>
      <w:r>
        <w:tab/>
      </w:r>
      <w:r>
        <w:rPr>
          <w:rStyle w:val="CharDefText"/>
        </w:rPr>
        <w:t>amendments</w:t>
      </w:r>
      <w:r>
        <w:t xml:space="preserve"> means the amendments made by the </w:t>
      </w:r>
      <w:r>
        <w:rPr>
          <w:i/>
          <w:iCs/>
        </w:rPr>
        <w:t>Building Act 2011</w:t>
      </w:r>
      <w:r>
        <w:t xml:space="preserve"> section 174;</w:t>
      </w:r>
    </w:p>
    <w:p>
      <w:pPr>
        <w:pStyle w:val="Defstart"/>
        <w:spacing w:before="70"/>
      </w:pPr>
      <w:r>
        <w:tab/>
      </w:r>
      <w:r>
        <w:rPr>
          <w:rStyle w:val="CharDefText"/>
        </w:rPr>
        <w:t>commencement day</w:t>
      </w:r>
      <w:r>
        <w:t xml:space="preserve"> means the day on which the </w:t>
      </w:r>
      <w:r>
        <w:rPr>
          <w:i/>
          <w:iCs/>
        </w:rPr>
        <w:t>Building Act 2011</w:t>
      </w:r>
      <w:r>
        <w:t xml:space="preserve"> section 174 comes into operation</w:t>
      </w:r>
      <w:r>
        <w:rPr>
          <w:vertAlign w:val="superscript"/>
        </w:rPr>
        <w:t> 1</w:t>
      </w:r>
      <w:r>
        <w:t>.</w:t>
      </w:r>
    </w:p>
    <w:p>
      <w:pPr>
        <w:pStyle w:val="Footnotesection"/>
        <w:spacing w:before="100"/>
      </w:pPr>
      <w:r>
        <w:tab/>
        <w:t>[Section 133 inserted: No. 24 of 2011 s. 174(12).]</w:t>
      </w:r>
    </w:p>
    <w:p>
      <w:pPr>
        <w:pStyle w:val="Heading5"/>
        <w:spacing w:before="200"/>
      </w:pPr>
      <w:bookmarkStart w:id="332" w:name="_Toc530555035"/>
      <w:r>
        <w:rPr>
          <w:rStyle w:val="CharSectno"/>
        </w:rPr>
        <w:t>134</w:t>
      </w:r>
      <w:r>
        <w:t>.</w:t>
      </w:r>
      <w:r>
        <w:tab/>
        <w:t>Certificates of local government required by s. 5B(2)</w:t>
      </w:r>
      <w:bookmarkEnd w:id="332"/>
    </w:p>
    <w:p>
      <w:pPr>
        <w:pStyle w:val="Subsection"/>
        <w:spacing w:before="120"/>
      </w:pPr>
      <w:r>
        <w:tab/>
      </w:r>
      <w:r>
        <w:tab/>
        <w:t>A strata plan that was lodged for registration, but not registered, before commencement day must be dealt with as if the amendments had not been made.</w:t>
      </w:r>
    </w:p>
    <w:p>
      <w:pPr>
        <w:pStyle w:val="Footnotesection"/>
        <w:spacing w:before="100"/>
      </w:pPr>
      <w:r>
        <w:tab/>
        <w:t>[Section 134 inserted: No. 24 of 2011 s. 174(12).]</w:t>
      </w:r>
    </w:p>
    <w:p>
      <w:pPr>
        <w:pStyle w:val="Heading5"/>
        <w:spacing w:before="200"/>
      </w:pPr>
      <w:bookmarkStart w:id="333" w:name="_Toc530555036"/>
      <w:r>
        <w:rPr>
          <w:rStyle w:val="CharSectno"/>
        </w:rPr>
        <w:t>135</w:t>
      </w:r>
      <w:r>
        <w:t>.</w:t>
      </w:r>
      <w:r>
        <w:tab/>
        <w:t>Certificates of local government required by s. 8A(f)</w:t>
      </w:r>
      <w:bookmarkEnd w:id="333"/>
    </w:p>
    <w:p>
      <w:pPr>
        <w:pStyle w:val="Subsection"/>
        <w:spacing w:before="120"/>
      </w:pPr>
      <w:r>
        <w:tab/>
      </w:r>
      <w:r>
        <w:tab/>
        <w:t>An application to register a plan of re</w:t>
      </w:r>
      <w:r>
        <w:noBreakHyphen/>
        <w:t>subdivision of a lot in a strata scheme that was started, but not finalised, before commencement day must be dealt with as if the amendments had not been made.</w:t>
      </w:r>
    </w:p>
    <w:p>
      <w:pPr>
        <w:pStyle w:val="Footnotesection"/>
        <w:spacing w:before="100"/>
      </w:pPr>
      <w:r>
        <w:tab/>
        <w:t>[Section 135 inserted: No. 24 of 2011 s. 174(12).]</w:t>
      </w:r>
    </w:p>
    <w:p>
      <w:pPr>
        <w:pStyle w:val="Heading5"/>
        <w:spacing w:before="200"/>
      </w:pPr>
      <w:bookmarkStart w:id="334" w:name="_Toc530555037"/>
      <w:r>
        <w:rPr>
          <w:rStyle w:val="CharSectno"/>
        </w:rPr>
        <w:t>136</w:t>
      </w:r>
      <w:r>
        <w:t>.</w:t>
      </w:r>
      <w:r>
        <w:tab/>
        <w:t>Applications for certificates of local government and review of related decisions</w:t>
      </w:r>
      <w:bookmarkEnd w:id="334"/>
    </w:p>
    <w:p>
      <w:pPr>
        <w:pStyle w:val="Subsection"/>
        <w:spacing w:before="120"/>
      </w:pPr>
      <w:r>
        <w:tab/>
        <w:t>(1)</w:t>
      </w:r>
      <w:r>
        <w:tab/>
        <w:t xml:space="preserve">In this section — </w:t>
      </w:r>
    </w:p>
    <w:p>
      <w:pPr>
        <w:pStyle w:val="Defstart"/>
      </w:pPr>
      <w:r>
        <w:tab/>
      </w:r>
      <w:r>
        <w:rPr>
          <w:rStyle w:val="CharDefText"/>
        </w:rPr>
        <w:t>application</w:t>
      </w:r>
      <w:r>
        <w:t xml:space="preserve"> means an application as defined in section 26(1) as in force immediately before commencement day.</w:t>
      </w:r>
    </w:p>
    <w:p>
      <w:pPr>
        <w:pStyle w:val="Subsection"/>
      </w:pPr>
      <w:r>
        <w:tab/>
        <w:t>(2)</w:t>
      </w:r>
      <w:r>
        <w:tab/>
        <w:t>An application that was started, but not finalised, before commencement day must be dealt with as if the amendments had not been made.</w:t>
      </w:r>
    </w:p>
    <w:p>
      <w:pPr>
        <w:pStyle w:val="Subsection"/>
      </w:pPr>
      <w:r>
        <w:tab/>
        <w:t>(3)</w:t>
      </w:r>
      <w:r>
        <w:tab/>
        <w:t>A review under section 26 of an application mentioned in subsection (2) must be dealt with as if the amendments had not been made.</w:t>
      </w:r>
    </w:p>
    <w:p>
      <w:pPr>
        <w:pStyle w:val="Subsection"/>
      </w:pPr>
      <w:r>
        <w:tab/>
        <w:t>(4)</w:t>
      </w:r>
      <w:r>
        <w:tab/>
        <w:t>A review under section 26 that was started, but not finalised, before commencement day must be dealt with as if the amendments had not been made.</w:t>
      </w:r>
    </w:p>
    <w:p>
      <w:pPr>
        <w:pStyle w:val="Subsection"/>
      </w:pPr>
      <w:r>
        <w:tab/>
        <w:t>(5)</w:t>
      </w:r>
      <w:r>
        <w:tab/>
        <w:t xml:space="preserve">If a certificate that had been required by section 5B(2) and 8A(f) before the amendments is given by a local government as a consequence of — </w:t>
      </w:r>
    </w:p>
    <w:p>
      <w:pPr>
        <w:pStyle w:val="Indenta"/>
      </w:pPr>
      <w:r>
        <w:tab/>
        <w:t>(a)</w:t>
      </w:r>
      <w:r>
        <w:tab/>
        <w:t xml:space="preserve">an application mentioned in subsection (2); or </w:t>
      </w:r>
    </w:p>
    <w:p>
      <w:pPr>
        <w:pStyle w:val="Indenta"/>
      </w:pPr>
      <w:r>
        <w:tab/>
        <w:t>(b)</w:t>
      </w:r>
      <w:r>
        <w:tab/>
        <w:t xml:space="preserve">a review mentioned in subsection (3) or (4), </w:t>
      </w:r>
    </w:p>
    <w:p>
      <w:pPr>
        <w:pStyle w:val="Subsection"/>
      </w:pPr>
      <w:r>
        <w:tab/>
      </w:r>
      <w:r>
        <w:tab/>
        <w:t>sections 5B(2) and 8A(f) are to be read as if that particular certificate must accompany the plan.</w:t>
      </w:r>
    </w:p>
    <w:p>
      <w:pPr>
        <w:pStyle w:val="Footnotesection"/>
      </w:pPr>
      <w:r>
        <w:tab/>
        <w:t>[Section 136 inserted: No. 24 of 2011 s. 174(12).]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5" w:name="_Toc525288666"/>
      <w:bookmarkStart w:id="336" w:name="_Toc530554702"/>
      <w:bookmarkStart w:id="337" w:name="_Toc530555038"/>
      <w:r>
        <w:rPr>
          <w:rStyle w:val="CharSchNo"/>
        </w:rPr>
        <w:t>Schedule 1</w:t>
      </w:r>
      <w:r>
        <w:t> — </w:t>
      </w:r>
      <w:r>
        <w:rPr>
          <w:rStyle w:val="CharSchText"/>
        </w:rPr>
        <w:t>By-laws</w:t>
      </w:r>
      <w:bookmarkEnd w:id="335"/>
      <w:bookmarkEnd w:id="336"/>
      <w:bookmarkEnd w:id="337"/>
    </w:p>
    <w:p>
      <w:pPr>
        <w:pStyle w:val="yShoulderClause"/>
        <w:rPr>
          <w:snapToGrid w:val="0"/>
        </w:rPr>
      </w:pPr>
      <w:r>
        <w:rPr>
          <w:snapToGrid w:val="0"/>
        </w:rPr>
        <w:t>[s. 42(2)]</w:t>
      </w:r>
    </w:p>
    <w:p>
      <w:pPr>
        <w:pStyle w:val="yFootnoteheading"/>
      </w:pPr>
      <w:r>
        <w:tab/>
        <w:t>[Heading amended: No. 19 of 2010 s. 4.]</w:t>
      </w:r>
    </w:p>
    <w:p>
      <w:pPr>
        <w:pStyle w:val="yEdnotedivision"/>
      </w:pPr>
      <w:r>
        <w:t>[Part I heading deleted: No. 58 of 1995 s. 87(1).]</w:t>
      </w:r>
    </w:p>
    <w:p>
      <w:pPr>
        <w:pStyle w:val="yHeading5"/>
        <w:outlineLvl w:val="0"/>
        <w:rPr>
          <w:snapToGrid w:val="0"/>
        </w:rPr>
      </w:pPr>
      <w:bookmarkStart w:id="338" w:name="_Toc530555039"/>
      <w:r>
        <w:rPr>
          <w:rStyle w:val="CharSClsNo"/>
        </w:rPr>
        <w:t>1</w:t>
      </w:r>
      <w:r>
        <w:rPr>
          <w:snapToGrid w:val="0"/>
        </w:rPr>
        <w:t>.</w:t>
      </w:r>
      <w:r>
        <w:rPr>
          <w:snapToGrid w:val="0"/>
        </w:rPr>
        <w:tab/>
        <w:t>Duties of proprietor, occupiers etc.</w:t>
      </w:r>
      <w:bookmarkEnd w:id="338"/>
    </w:p>
    <w:p>
      <w:pPr>
        <w:pStyle w:val="ySubsection"/>
        <w:rPr>
          <w:snapToGrid w:val="0"/>
        </w:rPr>
      </w:pPr>
      <w:r>
        <w:rPr>
          <w:snapToGrid w:val="0"/>
        </w:rPr>
        <w:tab/>
        <w:t>(1)</w:t>
      </w:r>
      <w:r>
        <w:rPr>
          <w:snapToGrid w:val="0"/>
        </w:rPr>
        <w:tab/>
        <w:t>A proprietor shall —</w:t>
      </w:r>
    </w:p>
    <w:p>
      <w:pPr>
        <w:pStyle w:val="yIndenta"/>
        <w:rPr>
          <w:snapToGrid w:val="0"/>
        </w:rPr>
      </w:pPr>
      <w:r>
        <w:rPr>
          <w:snapToGrid w:val="0"/>
        </w:rPr>
        <w:tab/>
        <w:t>(a)</w:t>
      </w:r>
      <w:r>
        <w:rPr>
          <w:snapToGrid w:val="0"/>
        </w:rPr>
        <w:tab/>
        <w:t>forthwith carry out all work that may be ordered by any competent public authority or local government in respect of his lot other than such work as may be for the benefit of the building generally and pay all rates, taxes, charges, outgoings and assessments that may be payable in respect of his lot;</w:t>
      </w:r>
    </w:p>
    <w:p>
      <w:pPr>
        <w:pStyle w:val="yIndenta"/>
        <w:rPr>
          <w:snapToGrid w:val="0"/>
        </w:rPr>
      </w:pPr>
      <w:r>
        <w:rPr>
          <w:snapToGrid w:val="0"/>
        </w:rPr>
        <w:tab/>
        <w:t>(b)</w:t>
      </w:r>
      <w:r>
        <w:rPr>
          <w:snapToGrid w:val="0"/>
        </w:rPr>
        <w:tab/>
        <w:t>repair and maintain his lot, and keep it in a state of good repair, reasonable wear and tear, and damage by fire, storm, tempest or act of God excepted.</w:t>
      </w:r>
    </w:p>
    <w:p>
      <w:pPr>
        <w:pStyle w:val="ySubsection"/>
        <w:keepNext/>
        <w:rPr>
          <w:snapToGrid w:val="0"/>
        </w:rPr>
      </w:pPr>
      <w:r>
        <w:rPr>
          <w:snapToGrid w:val="0"/>
        </w:rPr>
        <w:tab/>
        <w:t>(1a)</w:t>
      </w:r>
      <w:r>
        <w:rPr>
          <w:snapToGrid w:val="0"/>
        </w:rPr>
        <w:tab/>
        <w:t>A proprietor shall —</w:t>
      </w:r>
    </w:p>
    <w:p>
      <w:pPr>
        <w:pStyle w:val="yIndenta"/>
        <w:rPr>
          <w:snapToGrid w:val="0"/>
        </w:rPr>
      </w:pPr>
      <w:r>
        <w:rPr>
          <w:snapToGrid w:val="0"/>
        </w:rPr>
        <w:tab/>
        <w:t>(a)</w:t>
      </w:r>
      <w:r>
        <w:rPr>
          <w:snapToGrid w:val="0"/>
        </w:rPr>
        <w:tab/>
        <w:t>notify the strata company forthwith upon any change of ownership, including in the notice an address of the proprietor for service of notices and other documents under this Act; and</w:t>
      </w:r>
    </w:p>
    <w:p>
      <w:pPr>
        <w:pStyle w:val="yIndenta"/>
        <w:rPr>
          <w:snapToGrid w:val="0"/>
        </w:rPr>
      </w:pPr>
      <w:r>
        <w:rPr>
          <w:snapToGrid w:val="0"/>
        </w:rPr>
        <w:tab/>
        <w:t>(b)</w:t>
      </w:r>
      <w:r>
        <w:rPr>
          <w:snapToGrid w:val="0"/>
        </w:rPr>
        <w:tab/>
        <w:t>if required in writing by the strata company, notify the strata company of any mortgage or other dealing in connection with his lot, including in the case of a lease of a lot, the name of the lessee and the term of the lease.</w:t>
      </w:r>
    </w:p>
    <w:p>
      <w:pPr>
        <w:pStyle w:val="ySubsection"/>
        <w:keepNext/>
        <w:rPr>
          <w:snapToGrid w:val="0"/>
        </w:rPr>
      </w:pPr>
      <w:r>
        <w:rPr>
          <w:snapToGrid w:val="0"/>
        </w:rPr>
        <w:tab/>
        <w:t>(2)</w:t>
      </w:r>
      <w:r>
        <w:rPr>
          <w:snapToGrid w:val="0"/>
        </w:rPr>
        <w:tab/>
        <w:t>A proprietor, occupier or other resident of a lot shall —</w:t>
      </w:r>
    </w:p>
    <w:p>
      <w:pPr>
        <w:pStyle w:val="yIndenta"/>
        <w:rPr>
          <w:snapToGrid w:val="0"/>
        </w:rPr>
      </w:pPr>
      <w:r>
        <w:rPr>
          <w:snapToGrid w:val="0"/>
        </w:rPr>
        <w:tab/>
        <w:t>(a)</w:t>
      </w:r>
      <w:r>
        <w:rPr>
          <w:snapToGrid w:val="0"/>
        </w:rPr>
        <w:tab/>
        <w:t>use and enjoy the common property in such a manner as not unreasonably to interfere with the use and enjoyment thereof by other proprietors, occupiers or residents, or of their visitors; and</w:t>
      </w:r>
    </w:p>
    <w:p>
      <w:pPr>
        <w:pStyle w:val="yIndenta"/>
        <w:rPr>
          <w:snapToGrid w:val="0"/>
        </w:rPr>
      </w:pPr>
      <w:r>
        <w:rPr>
          <w:snapToGrid w:val="0"/>
        </w:rPr>
        <w:tab/>
        <w:t>(b)</w:t>
      </w:r>
      <w:r>
        <w:rPr>
          <w:snapToGrid w:val="0"/>
        </w:rPr>
        <w:tab/>
        <w:t>not use the lot or permit it to be used in such manner or for such purpose as causes a nuisance to any occupier of another lot (whether a proprietor or not) or the family of such an occupier; and</w:t>
      </w:r>
    </w:p>
    <w:p>
      <w:pPr>
        <w:pStyle w:val="yIndenta"/>
        <w:rPr>
          <w:snapToGrid w:val="0"/>
        </w:rPr>
      </w:pPr>
      <w:r>
        <w:rPr>
          <w:snapToGrid w:val="0"/>
        </w:rPr>
        <w:tab/>
        <w:t>(c)</w:t>
      </w:r>
      <w:r>
        <w:rPr>
          <w:snapToGrid w:val="0"/>
        </w:rPr>
        <w:tab/>
        <w:t>take all reasonable steps to ensure that his visitors do not behave in a manner likely to interfere with the peaceful enjoyment of the proprietor, occupier or other resident of another lot or of any person lawfully using common property; and</w:t>
      </w:r>
    </w:p>
    <w:p>
      <w:pPr>
        <w:pStyle w:val="yIndenta"/>
        <w:rPr>
          <w:snapToGrid w:val="0"/>
        </w:rPr>
      </w:pPr>
      <w:r>
        <w:rPr>
          <w:snapToGrid w:val="0"/>
        </w:rPr>
        <w:tab/>
        <w:t>(d)</w:t>
      </w:r>
      <w:r>
        <w:rPr>
          <w:snapToGrid w:val="0"/>
        </w:rPr>
        <w:tab/>
        <w:t>take all reasonable steps to ensure that his visitors comply with the by</w:t>
      </w:r>
      <w:r>
        <w:rPr>
          <w:snapToGrid w:val="0"/>
        </w:rPr>
        <w:noBreakHyphen/>
        <w:t>laws of the strata company relating to the parking of motor vehicles.</w:t>
      </w:r>
    </w:p>
    <w:p>
      <w:pPr>
        <w:pStyle w:val="yFootnotesection"/>
        <w:rPr>
          <w:iCs/>
        </w:rPr>
      </w:pPr>
      <w:r>
        <w:tab/>
        <w:t>[By</w:t>
      </w:r>
      <w:r>
        <w:noBreakHyphen/>
        <w:t xml:space="preserve">law 1 amended: </w:t>
      </w:r>
      <w:r>
        <w:rPr>
          <w:iCs/>
        </w:rPr>
        <w:t>No. 58 of 1995 s. 87(2); No. 14 of 1996 s. 4; No. 74 of 2003 s. 112(15).]</w:t>
      </w:r>
    </w:p>
    <w:p>
      <w:pPr>
        <w:pStyle w:val="yHeading5"/>
        <w:outlineLvl w:val="0"/>
        <w:rPr>
          <w:snapToGrid w:val="0"/>
        </w:rPr>
      </w:pPr>
      <w:bookmarkStart w:id="339" w:name="_Toc530555040"/>
      <w:r>
        <w:rPr>
          <w:rStyle w:val="CharSClsNo"/>
        </w:rPr>
        <w:t>2</w:t>
      </w:r>
      <w:r>
        <w:rPr>
          <w:snapToGrid w:val="0"/>
        </w:rPr>
        <w:t>.</w:t>
      </w:r>
      <w:r>
        <w:rPr>
          <w:snapToGrid w:val="0"/>
        </w:rPr>
        <w:tab/>
        <w:t>Power of proprietor to decorate etc.</w:t>
      </w:r>
      <w:bookmarkEnd w:id="339"/>
    </w:p>
    <w:p>
      <w:pPr>
        <w:pStyle w:val="ySubsection"/>
        <w:rPr>
          <w:snapToGrid w:val="0"/>
        </w:rPr>
      </w:pPr>
      <w:r>
        <w:rPr>
          <w:snapToGrid w:val="0"/>
        </w:rPr>
        <w:tab/>
      </w:r>
      <w:r>
        <w:rPr>
          <w:snapToGrid w:val="0"/>
        </w:rPr>
        <w:tab/>
        <w:t>A proprietor may, without obtaining the consent of the strata company, paint, wallpaper or otherwise decorate the structure which forms the inner surface of the boundary of his lot or affix locking devices, flyscreens, furnishings, furniture, carpets and other similar things to that surface, if and so long as such action does not unreasonably damage the common property.</w:t>
      </w:r>
    </w:p>
    <w:p>
      <w:pPr>
        <w:pStyle w:val="yHeading5"/>
        <w:outlineLvl w:val="0"/>
        <w:rPr>
          <w:snapToGrid w:val="0"/>
        </w:rPr>
      </w:pPr>
      <w:bookmarkStart w:id="340" w:name="_Toc530555041"/>
      <w:r>
        <w:rPr>
          <w:snapToGrid w:val="0"/>
        </w:rPr>
        <w:t>3.</w:t>
      </w:r>
      <w:r>
        <w:rPr>
          <w:snapToGrid w:val="0"/>
        </w:rPr>
        <w:tab/>
        <w:t>Power of strata company regarding submeters</w:t>
      </w:r>
      <w:bookmarkEnd w:id="340"/>
    </w:p>
    <w:p>
      <w:pPr>
        <w:pStyle w:val="ySubsection"/>
        <w:rPr>
          <w:snapToGrid w:val="0"/>
        </w:rPr>
      </w:pPr>
      <w:r>
        <w:rPr>
          <w:snapToGrid w:val="0"/>
        </w:rPr>
        <w:tab/>
        <w:t>(1)</w:t>
      </w:r>
      <w:r>
        <w:rPr>
          <w:snapToGrid w:val="0"/>
        </w:rPr>
        <w:tab/>
        <w:t>Where the supply of gas or electricity to a lot is regulated by means of a submeter, the strata company may require the proprietor or other occupier of the lot to pay the strata company by way of security for the payment of charges arising through the submeter an amount not exceeding $200 and, if any amount so paid is applied by the strata company under sub</w:t>
      </w:r>
      <w:r>
        <w:rPr>
          <w:snapToGrid w:val="0"/>
        </w:rPr>
        <w:noBreakHyphen/>
        <w:t>bylaw (2),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The strata company shall lodge every sum received under this by</w:t>
      </w:r>
      <w:r>
        <w:rPr>
          <w:snapToGrid w:val="0"/>
        </w:rPr>
        <w:noBreakHyphen/>
        <w:t>law to the credit of an interest</w:t>
      </w:r>
      <w:r>
        <w:rPr>
          <w:snapToGrid w:val="0"/>
        </w:rPr>
        <w:noBreakHyphen/>
        <w:t>bearing account with 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 all interest accruing in respect of amounts so received shall, subject to this by</w:t>
      </w:r>
      <w:r>
        <w:rPr>
          <w:snapToGrid w:val="0"/>
        </w:rPr>
        <w:noBreakHyphen/>
        <w:t>law, be held on trust for the proprietor or occupier who made the payment.</w:t>
      </w:r>
    </w:p>
    <w:p>
      <w:pPr>
        <w:pStyle w:val="ySubsection"/>
        <w:rPr>
          <w:snapToGrid w:val="0"/>
        </w:rPr>
      </w:pPr>
      <w:r>
        <w:rPr>
          <w:snapToGrid w:val="0"/>
        </w:rPr>
        <w:tab/>
        <w:t>(3)</w:t>
      </w:r>
      <w:r>
        <w:rPr>
          <w:snapToGrid w:val="0"/>
        </w:rPr>
        <w:tab/>
        <w:t>If the proprietor or other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proprietor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t>Where a person who has paid an amount under this by</w:t>
      </w:r>
      <w:r>
        <w:rPr>
          <w:snapToGrid w:val="0"/>
        </w:rPr>
        <w:noBreakHyphen/>
        <w:t>law to a strata company satisfies the strata company that he is no longer the proprietor or occupier of a lot and that the strata company no longer has any liability or contingent liability for the supply of gas or electricity to that lot during the period when that person was a proprietor or occupier of the lot, the strata company shall refund to that person the amount then held on his behalf under this by</w:t>
      </w:r>
      <w:r>
        <w:rPr>
          <w:snapToGrid w:val="0"/>
        </w:rPr>
        <w:noBreakHyphen/>
        <w:t>law.</w:t>
      </w:r>
    </w:p>
    <w:p>
      <w:pPr>
        <w:pStyle w:val="yFootnotesection"/>
      </w:pPr>
      <w:r>
        <w:tab/>
        <w:t>[By</w:t>
      </w:r>
      <w:r>
        <w:noBreakHyphen/>
        <w:t>law 3 amended: No. 26 of 1999 s. 104; No. 74 of 2003 s. 112(16).]</w:t>
      </w:r>
    </w:p>
    <w:p>
      <w:pPr>
        <w:pStyle w:val="yHeading5"/>
        <w:outlineLvl w:val="0"/>
        <w:rPr>
          <w:snapToGrid w:val="0"/>
        </w:rPr>
      </w:pPr>
      <w:bookmarkStart w:id="341" w:name="_Toc530555042"/>
      <w:r>
        <w:rPr>
          <w:rStyle w:val="CharSClsNo"/>
        </w:rPr>
        <w:t>4</w:t>
      </w:r>
      <w:r>
        <w:rPr>
          <w:snapToGrid w:val="0"/>
        </w:rPr>
        <w:t>.</w:t>
      </w:r>
      <w:r>
        <w:rPr>
          <w:snapToGrid w:val="0"/>
        </w:rPr>
        <w:tab/>
        <w:t>Constitution of council</w:t>
      </w:r>
      <w:bookmarkEnd w:id="341"/>
    </w:p>
    <w:p>
      <w:pPr>
        <w:pStyle w:val="ySubsection"/>
        <w:rPr>
          <w:snapToGrid w:val="0"/>
        </w:rPr>
      </w:pPr>
      <w:r>
        <w:rPr>
          <w:snapToGrid w:val="0"/>
        </w:rPr>
        <w:tab/>
        <w:t>(1)</w:t>
      </w:r>
      <w:r>
        <w:rPr>
          <w:snapToGrid w:val="0"/>
        </w:rPr>
        <w:tab/>
        <w:t>The powers and duties of the strata company shall, subject to any restriction imposed or direction given at a general meeting, be exercised and performed by the council of the strata company and a meeting of the council at which a quorum is present shall be competent to exercise all or any of the authorities, functions or powers of the council.</w:t>
      </w:r>
    </w:p>
    <w:p>
      <w:pPr>
        <w:pStyle w:val="ySubsection"/>
        <w:rPr>
          <w:snapToGrid w:val="0"/>
        </w:rPr>
      </w:pPr>
      <w:r>
        <w:rPr>
          <w:snapToGrid w:val="0"/>
        </w:rPr>
        <w:tab/>
        <w:t>(2)</w:t>
      </w:r>
      <w:r>
        <w:rPr>
          <w:snapToGrid w:val="0"/>
        </w:rPr>
        <w:tab/>
        <w:t>Until the first annual general meeting of the strata company, the proprietors of all the lots shall constitute the council.</w:t>
      </w:r>
    </w:p>
    <w:p>
      <w:pPr>
        <w:pStyle w:val="ySubsection"/>
        <w:rPr>
          <w:snapToGrid w:val="0"/>
        </w:rPr>
      </w:pPr>
      <w:r>
        <w:rPr>
          <w:snapToGrid w:val="0"/>
        </w:rPr>
        <w:tab/>
        <w:t>(3)</w:t>
      </w:r>
      <w:r>
        <w:rPr>
          <w:snapToGrid w:val="0"/>
        </w:rPr>
        <w:tab/>
        <w:t>Where there are not more than 3 proprietors the council shall consist of all proprietors and where there are more than 3 proprietors the council shall consist of not less than 3 nor more than 7 proprietors as is determined by the strata company.</w:t>
      </w:r>
    </w:p>
    <w:p>
      <w:pPr>
        <w:pStyle w:val="ySubsection"/>
        <w:rPr>
          <w:snapToGrid w:val="0"/>
        </w:rPr>
      </w:pPr>
      <w:r>
        <w:rPr>
          <w:snapToGrid w:val="0"/>
        </w:rPr>
        <w:tab/>
        <w:t>(4)</w:t>
      </w:r>
      <w:r>
        <w:rPr>
          <w:snapToGrid w:val="0"/>
        </w:rPr>
        <w:tab/>
        <w:t>Where there are more than 3 proprietors the members of the council shall be elected at each annual general meeting of the strata company or, if the number of proprietors increases to more than 3, at an extraordinary general meeting convened for the purpose.</w:t>
      </w:r>
    </w:p>
    <w:p>
      <w:pPr>
        <w:pStyle w:val="ySubsection"/>
        <w:rPr>
          <w:snapToGrid w:val="0"/>
        </w:rPr>
      </w:pPr>
      <w:r>
        <w:rPr>
          <w:snapToGrid w:val="0"/>
        </w:rPr>
        <w:tab/>
        <w:t>(5)</w:t>
      </w:r>
      <w:r>
        <w:rPr>
          <w:snapToGrid w:val="0"/>
        </w:rPr>
        <w:tab/>
        <w:t>In determining the number of proprietors for the purposes of this by</w:t>
      </w:r>
      <w:r>
        <w:rPr>
          <w:snapToGrid w:val="0"/>
        </w:rPr>
        <w:noBreakHyphen/>
        <w:t>law, co</w:t>
      </w:r>
      <w:r>
        <w:rPr>
          <w:snapToGrid w:val="0"/>
        </w:rPr>
        <w:noBreakHyphen/>
        <w:t>proprietors of a lot or more than one lot shall be deemed to be one proprietor and a person who owns more than one lot shall also be deemed to be one proprietor.</w:t>
      </w:r>
    </w:p>
    <w:p>
      <w:pPr>
        <w:pStyle w:val="ySubsection"/>
        <w:rPr>
          <w:snapToGrid w:val="0"/>
        </w:rPr>
      </w:pPr>
      <w:r>
        <w:rPr>
          <w:snapToGrid w:val="0"/>
        </w:rPr>
        <w:tab/>
        <w:t>(6)</w:t>
      </w:r>
      <w:r>
        <w:rPr>
          <w:snapToGrid w:val="0"/>
        </w:rPr>
        <w:tab/>
        <w:t>If there are co</w:t>
      </w:r>
      <w:r>
        <w:rPr>
          <w:snapToGrid w:val="0"/>
        </w:rPr>
        <w:noBreakHyphen/>
        <w:t>proprietors of a lot, one only of the co</w:t>
      </w:r>
      <w:r>
        <w:rPr>
          <w:snapToGrid w:val="0"/>
        </w:rPr>
        <w:noBreakHyphen/>
        <w:t>proprietors shall be eligible to be, or to be elected to be, a member of the council and the co</w:t>
      </w:r>
      <w:r>
        <w:rPr>
          <w:snapToGrid w:val="0"/>
        </w:rPr>
        <w:noBreakHyphen/>
        <w:t>proprietor who is so eligible shall be nominated by his co</w:t>
      </w:r>
      <w:r>
        <w:rPr>
          <w:snapToGrid w:val="0"/>
        </w:rPr>
        <w:noBreakHyphen/>
        <w:t>proprietors, but, if the co</w:t>
      </w:r>
      <w:r>
        <w:rPr>
          <w:snapToGrid w:val="0"/>
        </w:rPr>
        <w:noBreakHyphen/>
        <w:t>proprietors fail to agree on a nominee, the co</w:t>
      </w:r>
      <w:r>
        <w:rPr>
          <w:snapToGrid w:val="0"/>
        </w:rPr>
        <w:noBreakHyphen/>
        <w:t>proprietor who owns the largest share of the lot shall be the nominee or if there is no co</w:t>
      </w:r>
      <w:r>
        <w:rPr>
          <w:snapToGrid w:val="0"/>
        </w:rPr>
        <w:noBreakHyphen/>
        <w:t>proprietor who owns the largest share of the lot, the co</w:t>
      </w:r>
      <w:r>
        <w:rPr>
          <w:snapToGrid w:val="0"/>
        </w:rPr>
        <w:noBreakHyphen/>
        <w:t>proprietor whose name appears first in the certificate of title for the lot shall be the nominee.</w:t>
      </w:r>
    </w:p>
    <w:p>
      <w:pPr>
        <w:pStyle w:val="ySubsection"/>
        <w:rPr>
          <w:snapToGrid w:val="0"/>
        </w:rPr>
      </w:pPr>
      <w:r>
        <w:rPr>
          <w:snapToGrid w:val="0"/>
        </w:rPr>
        <w:tab/>
        <w:t>(7)</w:t>
      </w:r>
      <w:r>
        <w:rPr>
          <w:snapToGrid w:val="0"/>
        </w:rPr>
        <w:tab/>
        <w:t>On an election of members of the council, a proprietor shall have one vote in respect of each lot owned by him.</w:t>
      </w:r>
    </w:p>
    <w:p>
      <w:pPr>
        <w:pStyle w:val="ySubsection"/>
        <w:rPr>
          <w:snapToGrid w:val="0"/>
        </w:rPr>
      </w:pPr>
      <w:r>
        <w:rPr>
          <w:snapToGrid w:val="0"/>
        </w:rPr>
        <w:tab/>
        <w:t>(8)</w:t>
      </w:r>
      <w:r>
        <w:rPr>
          <w:snapToGrid w:val="0"/>
        </w:rPr>
        <w:tab/>
        <w:t>Except where the council consists of all the proprietors, the strata company may by special resolution remove any member of the council before the expiration of his term of office.</w:t>
      </w:r>
    </w:p>
    <w:p>
      <w:pPr>
        <w:pStyle w:val="ySubsection"/>
        <w:keepNext/>
        <w:rPr>
          <w:snapToGrid w:val="0"/>
        </w:rPr>
      </w:pPr>
      <w:r>
        <w:rPr>
          <w:snapToGrid w:val="0"/>
        </w:rPr>
        <w:tab/>
        <w:t>(9)</w:t>
      </w:r>
      <w:r>
        <w:rPr>
          <w:snapToGrid w:val="0"/>
        </w:rPr>
        <w:tab/>
        <w:t>A member of the council vacates his office as a member of the council —</w:t>
      </w:r>
    </w:p>
    <w:p>
      <w:pPr>
        <w:pStyle w:val="yIndenta"/>
        <w:rPr>
          <w:snapToGrid w:val="0"/>
        </w:rPr>
      </w:pPr>
      <w:r>
        <w:rPr>
          <w:snapToGrid w:val="0"/>
        </w:rPr>
        <w:tab/>
        <w:t>(a)</w:t>
      </w:r>
      <w:r>
        <w:rPr>
          <w:snapToGrid w:val="0"/>
        </w:rPr>
        <w:tab/>
        <w:t>if he dies or ceases to be a proprietor or a co</w:t>
      </w:r>
      <w:r>
        <w:rPr>
          <w:snapToGrid w:val="0"/>
        </w:rPr>
        <w:noBreakHyphen/>
        <w:t>proprietor of a lot; or</w:t>
      </w:r>
    </w:p>
    <w:p>
      <w:pPr>
        <w:pStyle w:val="yIndenta"/>
        <w:rPr>
          <w:snapToGrid w:val="0"/>
        </w:rPr>
      </w:pPr>
      <w:r>
        <w:rPr>
          <w:snapToGrid w:val="0"/>
        </w:rPr>
        <w:tab/>
        <w:t>(b)</w:t>
      </w:r>
      <w:r>
        <w:rPr>
          <w:snapToGrid w:val="0"/>
        </w:rPr>
        <w:tab/>
        <w:t>upon receipt by the strata company of notice in writing of his resignation from the office of member; or</w:t>
      </w:r>
    </w:p>
    <w:p>
      <w:pPr>
        <w:pStyle w:val="yIndenta"/>
        <w:rPr>
          <w:snapToGrid w:val="0"/>
        </w:rPr>
      </w:pPr>
      <w:r>
        <w:rPr>
          <w:snapToGrid w:val="0"/>
        </w:rPr>
        <w:tab/>
        <w:t>(c)</w:t>
      </w:r>
      <w:r>
        <w:rPr>
          <w:snapToGrid w:val="0"/>
        </w:rPr>
        <w:tab/>
        <w:t>at the conclusion of an annual general meeting of the strata company at which an election of members of the council takes place and at which he is not elected or re</w:t>
      </w:r>
      <w:r>
        <w:rPr>
          <w:snapToGrid w:val="0"/>
        </w:rPr>
        <w:noBreakHyphen/>
        <w:t>elected; or</w:t>
      </w:r>
    </w:p>
    <w:p>
      <w:pPr>
        <w:pStyle w:val="yIndenta"/>
        <w:rPr>
          <w:snapToGrid w:val="0"/>
        </w:rPr>
      </w:pPr>
      <w:r>
        <w:rPr>
          <w:snapToGrid w:val="0"/>
        </w:rPr>
        <w:tab/>
        <w:t>(d)</w:t>
      </w:r>
      <w:r>
        <w:rPr>
          <w:snapToGrid w:val="0"/>
        </w:rPr>
        <w:tab/>
        <w:t>in a case where he is a member of the council by reason of there being not more than 3 proprietors, upon an election of members of the council (as a result of there being an increase in the number of proprietors to more than 3) at which he is not elected; or</w:t>
      </w:r>
    </w:p>
    <w:p>
      <w:pPr>
        <w:pStyle w:val="yIndenta"/>
        <w:rPr>
          <w:snapToGrid w:val="0"/>
        </w:rPr>
      </w:pPr>
      <w:r>
        <w:rPr>
          <w:snapToGrid w:val="0"/>
        </w:rPr>
        <w:tab/>
        <w:t>(e)</w:t>
      </w:r>
      <w:r>
        <w:rPr>
          <w:snapToGrid w:val="0"/>
        </w:rPr>
        <w:tab/>
        <w:t>where he is removed from office under sub</w:t>
      </w:r>
      <w:r>
        <w:rPr>
          <w:snapToGrid w:val="0"/>
        </w:rPr>
        <w:noBreakHyphen/>
        <w:t>bylaw (8).</w:t>
      </w:r>
    </w:p>
    <w:p>
      <w:pPr>
        <w:pStyle w:val="ySubsection"/>
        <w:rPr>
          <w:snapToGrid w:val="0"/>
        </w:rPr>
      </w:pPr>
      <w:r>
        <w:rPr>
          <w:snapToGrid w:val="0"/>
        </w:rPr>
        <w:tab/>
        <w:t>(10)</w:t>
      </w:r>
      <w:r>
        <w:rPr>
          <w:snapToGrid w:val="0"/>
        </w:rPr>
        <w:tab/>
        <w:t>Any casual vacancy on the council may be filled by the remaining members of the council, except that, in a case where a casual vacancy arises because of the removal from office of a member under sub</w:t>
      </w:r>
      <w:r>
        <w:rPr>
          <w:snapToGrid w:val="0"/>
        </w:rPr>
        <w:noBreakHyphen/>
        <w:t>bylaw (8), the strata company may resolve that the casual vacancy shall be filled by the strata company at a general meeting.</w:t>
      </w:r>
    </w:p>
    <w:p>
      <w:pPr>
        <w:pStyle w:val="ySubsection"/>
        <w:rPr>
          <w:snapToGrid w:val="0"/>
        </w:rPr>
      </w:pPr>
      <w:r>
        <w:rPr>
          <w:snapToGrid w:val="0"/>
        </w:rPr>
        <w:tab/>
        <w:t>(11)</w:t>
      </w:r>
      <w:r>
        <w:rPr>
          <w:snapToGrid w:val="0"/>
        </w:rPr>
        <w:tab/>
        <w:t>Except where there is only one proprietor, a quorum of the council shall be 2 where the council consists of 3 or 4 members; 3, where it consists of 5 or 6 members; and 4, where it consists of 7 members.</w:t>
      </w:r>
    </w:p>
    <w:p>
      <w:pPr>
        <w:pStyle w:val="ySubsection"/>
        <w:rPr>
          <w:snapToGrid w:val="0"/>
        </w:rPr>
      </w:pPr>
      <w:r>
        <w:rPr>
          <w:snapToGrid w:val="0"/>
        </w:rPr>
        <w:tab/>
        <w:t>(12)</w:t>
      </w:r>
      <w:r>
        <w:rPr>
          <w:snapToGrid w:val="0"/>
        </w:rPr>
        <w:tab/>
        <w:t>The continuing members of the council may act notwithstanding any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All acts done in good faith by the council shall, notwithstanding that it is afterwards discovered that there was some defect in the appointment or continuance in office of any member of the council, be as valid as if that member had been duly appointed or had duly continued in office.</w:t>
      </w:r>
    </w:p>
    <w:p>
      <w:pPr>
        <w:pStyle w:val="yHeading5"/>
        <w:outlineLvl w:val="0"/>
        <w:rPr>
          <w:snapToGrid w:val="0"/>
        </w:rPr>
      </w:pPr>
      <w:bookmarkStart w:id="342" w:name="_Toc530555043"/>
      <w:r>
        <w:rPr>
          <w:rStyle w:val="CharSClsNo"/>
        </w:rPr>
        <w:t>5</w:t>
      </w:r>
      <w:r>
        <w:rPr>
          <w:snapToGrid w:val="0"/>
        </w:rPr>
        <w:t>.</w:t>
      </w:r>
      <w:r>
        <w:rPr>
          <w:snapToGrid w:val="0"/>
        </w:rPr>
        <w:tab/>
        <w:t>Election of council</w:t>
      </w:r>
      <w:bookmarkEnd w:id="342"/>
    </w:p>
    <w:p>
      <w:pPr>
        <w:pStyle w:val="ySubsection"/>
        <w:keepNext/>
        <w:rPr>
          <w:snapToGrid w:val="0"/>
        </w:rPr>
      </w:pPr>
      <w:r>
        <w:rPr>
          <w:snapToGrid w:val="0"/>
        </w:rPr>
        <w:tab/>
      </w:r>
      <w:r>
        <w:rPr>
          <w:snapToGrid w:val="0"/>
        </w:rPr>
        <w:tab/>
        <w:t>The procedure for nomination and election of members of a council shall be in accordance with the following rules —</w:t>
      </w:r>
    </w:p>
    <w:p>
      <w:pPr>
        <w:pStyle w:val="yIndenta"/>
        <w:rPr>
          <w:snapToGrid w:val="0"/>
        </w:rPr>
      </w:pPr>
      <w:r>
        <w:rPr>
          <w:snapToGrid w:val="0"/>
        </w:rPr>
        <w:tab/>
        <w:t>(1)</w:t>
      </w:r>
      <w:r>
        <w:rPr>
          <w:snapToGrid w:val="0"/>
        </w:rPr>
        <w:tab/>
        <w:t>The meeting shall determine, in accordance with the requirements of by</w:t>
      </w:r>
      <w:r>
        <w:rPr>
          <w:snapToGrid w:val="0"/>
        </w:rPr>
        <w:noBreakHyphen/>
        <w:t>law 4(3) the number of persons of whom the council shall consist.</w:t>
      </w:r>
    </w:p>
    <w:p>
      <w:pPr>
        <w:pStyle w:val="yIndenta"/>
        <w:rPr>
          <w:snapToGrid w:val="0"/>
        </w:rPr>
      </w:pPr>
      <w:r>
        <w:rPr>
          <w:snapToGrid w:val="0"/>
        </w:rPr>
        <w:tab/>
        <w:t>(2)</w:t>
      </w:r>
      <w:r>
        <w:rPr>
          <w:snapToGrid w:val="0"/>
        </w:rPr>
        <w:tab/>
        <w:t>The chairman shall call upon those persons present and entitled to nominate candidates to nominate candidates for election to the council.</w:t>
      </w:r>
    </w:p>
    <w:p>
      <w:pPr>
        <w:pStyle w:val="yIndenta"/>
        <w:rPr>
          <w:snapToGrid w:val="0"/>
        </w:rPr>
      </w:pPr>
      <w:r>
        <w:rPr>
          <w:snapToGrid w:val="0"/>
        </w:rPr>
        <w:tab/>
        <w:t>(3)</w:t>
      </w:r>
      <w:r>
        <w:rPr>
          <w:snapToGrid w:val="0"/>
        </w:rPr>
        <w:tab/>
        <w:t>A nomination is ineffective unless supported by the consent of the nominee to his nomination, given —</w:t>
      </w:r>
    </w:p>
    <w:p>
      <w:pPr>
        <w:pStyle w:val="yIndenti0"/>
        <w:rPr>
          <w:snapToGrid w:val="0"/>
        </w:rPr>
      </w:pPr>
      <w:r>
        <w:rPr>
          <w:snapToGrid w:val="0"/>
        </w:rPr>
        <w:tab/>
        <w:t>(a)</w:t>
      </w:r>
      <w:r>
        <w:rPr>
          <w:snapToGrid w:val="0"/>
        </w:rPr>
        <w:tab/>
        <w:t>in writing, and furnished to the chairman at the meeting; or</w:t>
      </w:r>
    </w:p>
    <w:p>
      <w:pPr>
        <w:pStyle w:val="yIndenti0"/>
        <w:rPr>
          <w:snapToGrid w:val="0"/>
        </w:rPr>
      </w:pPr>
      <w:r>
        <w:rPr>
          <w:snapToGrid w:val="0"/>
        </w:rPr>
        <w:tab/>
        <w:t>(b)</w:t>
      </w:r>
      <w:r>
        <w:rPr>
          <w:snapToGrid w:val="0"/>
        </w:rPr>
        <w:tab/>
        <w:t>orally by a nominee who is present at the meeting.</w:t>
      </w:r>
    </w:p>
    <w:p>
      <w:pPr>
        <w:pStyle w:val="yIndenta"/>
        <w:rPr>
          <w:snapToGrid w:val="0"/>
        </w:rPr>
      </w:pPr>
      <w:r>
        <w:rPr>
          <w:snapToGrid w:val="0"/>
        </w:rPr>
        <w:tab/>
        <w:t>(4)</w:t>
      </w:r>
      <w:r>
        <w:rPr>
          <w:snapToGrid w:val="0"/>
        </w:rPr>
        <w:tab/>
        <w:t>When no further nominations are forthcoming, the chairman —</w:t>
      </w:r>
    </w:p>
    <w:p>
      <w:pPr>
        <w:pStyle w:val="yIndenti0"/>
        <w:rPr>
          <w:snapToGrid w:val="0"/>
        </w:rPr>
      </w:pPr>
      <w:r>
        <w:rPr>
          <w:snapToGrid w:val="0"/>
        </w:rPr>
        <w:tab/>
        <w:t>(a)</w:t>
      </w:r>
      <w:r>
        <w:rPr>
          <w:snapToGrid w:val="0"/>
        </w:rPr>
        <w:tab/>
        <w:t>where the number of candidates equals the number of members of the council determined in accordance with the requirements of by</w:t>
      </w:r>
      <w:r>
        <w:rPr>
          <w:snapToGrid w:val="0"/>
        </w:rPr>
        <w:noBreakHyphen/>
        <w:t>law 4(3), shall declare those candidates to be elected as members of the council;</w:t>
      </w:r>
    </w:p>
    <w:p>
      <w:pPr>
        <w:pStyle w:val="yIndenti0"/>
        <w:rPr>
          <w:snapToGrid w:val="0"/>
        </w:rPr>
      </w:pPr>
      <w:r>
        <w:rPr>
          <w:snapToGrid w:val="0"/>
        </w:rPr>
        <w:tab/>
        <w:t>(b)</w:t>
      </w:r>
      <w:r>
        <w:rPr>
          <w:snapToGrid w:val="0"/>
        </w:rPr>
        <w:tab/>
        <w:t>where the number of candidates exceeds the number of members of the council as so determined, shall direct that a ballot be held.</w:t>
      </w:r>
    </w:p>
    <w:p>
      <w:pPr>
        <w:pStyle w:val="yIndenta"/>
        <w:rPr>
          <w:snapToGrid w:val="0"/>
        </w:rPr>
      </w:pPr>
      <w:r>
        <w:rPr>
          <w:snapToGrid w:val="0"/>
        </w:rPr>
        <w:tab/>
        <w:t>(5)</w:t>
      </w:r>
      <w:r>
        <w:rPr>
          <w:snapToGrid w:val="0"/>
        </w:rPr>
        <w:tab/>
        <w:t>If a ballot is to be held, the chairman shall —</w:t>
      </w:r>
    </w:p>
    <w:p>
      <w:pPr>
        <w:pStyle w:val="yIndenti0"/>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cause to be furnished to each person present and entitled to vote a blank paper in respect of each lot in respect of which he is entitled to vote for use as a ballot</w:t>
      </w:r>
      <w:r>
        <w:rPr>
          <w:snapToGrid w:val="0"/>
        </w:rPr>
        <w:noBreakHyphen/>
        <w:t>paper.</w:t>
      </w:r>
    </w:p>
    <w:p>
      <w:pPr>
        <w:pStyle w:val="yIndenta"/>
        <w:rPr>
          <w:snapToGrid w:val="0"/>
        </w:rPr>
      </w:pPr>
      <w:r>
        <w:rPr>
          <w:snapToGrid w:val="0"/>
        </w:rPr>
        <w:tab/>
        <w:t>(6)</w:t>
      </w:r>
      <w:r>
        <w:rPr>
          <w:snapToGrid w:val="0"/>
        </w:rPr>
        <w:tab/>
        <w:t>A person who is entitled to vote shall complete a valid ballot</w:t>
      </w:r>
      <w:r>
        <w:rPr>
          <w:snapToGrid w:val="0"/>
        </w:rPr>
        <w:noBreakHyphen/>
        <w:t>paper by —</w:t>
      </w:r>
    </w:p>
    <w:p>
      <w:pPr>
        <w:pStyle w:val="yIndenti0"/>
        <w:rPr>
          <w:snapToGrid w:val="0"/>
        </w:rPr>
      </w:pPr>
      <w:r>
        <w:rPr>
          <w:snapToGrid w:val="0"/>
        </w:rPr>
        <w:tab/>
        <w:t>(a)</w:t>
      </w:r>
      <w:r>
        <w:rPr>
          <w:snapToGrid w:val="0"/>
        </w:rPr>
        <w:tab/>
        <w:t>writing thereon the names of candidates, equal in number to the number of members of the council so that no name is repeated; and</w:t>
      </w:r>
    </w:p>
    <w:p>
      <w:pPr>
        <w:pStyle w:val="yIndenti0"/>
        <w:rPr>
          <w:snapToGrid w:val="0"/>
        </w:rPr>
      </w:pPr>
      <w:r>
        <w:rPr>
          <w:snapToGrid w:val="0"/>
        </w:rPr>
        <w:tab/>
        <w:t>(b)</w:t>
      </w:r>
      <w:r>
        <w:rPr>
          <w:snapToGrid w:val="0"/>
        </w:rPr>
        <w:tab/>
        <w:t>indicating thereon the number of each lot in respect of which his vote is cast and whether he so votes as proprietor or first mortgagee of each such lot or as proxy of the proprietor or first mortgagee; and</w:t>
      </w:r>
    </w:p>
    <w:p>
      <w:pPr>
        <w:pStyle w:val="yIndenti0"/>
        <w:rPr>
          <w:snapToGrid w:val="0"/>
        </w:rPr>
      </w:pPr>
      <w:r>
        <w:rPr>
          <w:snapToGrid w:val="0"/>
        </w:rPr>
        <w:tab/>
        <w:t>(c)</w:t>
      </w:r>
      <w:r>
        <w:rPr>
          <w:snapToGrid w:val="0"/>
        </w:rPr>
        <w:tab/>
        <w:t>signing the ballot</w:t>
      </w:r>
      <w:r>
        <w:rPr>
          <w:snapToGrid w:val="0"/>
        </w:rPr>
        <w:noBreakHyphen/>
        <w:t>paper; and</w:t>
      </w:r>
    </w:p>
    <w:p>
      <w:pPr>
        <w:pStyle w:val="yIndenti0"/>
        <w:rPr>
          <w:snapToGrid w:val="0"/>
        </w:rPr>
      </w:pPr>
      <w:r>
        <w:rPr>
          <w:snapToGrid w:val="0"/>
        </w:rPr>
        <w:tab/>
        <w:t>(d)</w:t>
      </w:r>
      <w:r>
        <w:rPr>
          <w:snapToGrid w:val="0"/>
        </w:rPr>
        <w:tab/>
        <w:t>returning it to the chairman.</w:t>
      </w:r>
    </w:p>
    <w:p>
      <w:pPr>
        <w:pStyle w:val="yIndenta"/>
        <w:rPr>
          <w:snapToGrid w:val="0"/>
        </w:rPr>
      </w:pPr>
      <w:r>
        <w:rPr>
          <w:snapToGrid w:val="0"/>
        </w:rPr>
        <w:tab/>
        <w:t>(7)</w:t>
      </w:r>
      <w:r>
        <w:rPr>
          <w:snapToGrid w:val="0"/>
        </w:rPr>
        <w:tab/>
        <w:t>The chairman, or a person appointed by him, shall count the votes recorded on valid ballot</w:t>
      </w:r>
      <w:r>
        <w:rPr>
          <w:snapToGrid w:val="0"/>
        </w:rPr>
        <w:noBreakHyphen/>
        <w:t>papers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law 4(3), who receive the highest numbers of votes shall be declared elected to the council.</w:t>
      </w:r>
    </w:p>
    <w:p>
      <w:pPr>
        <w:pStyle w:val="yIndenta"/>
        <w:rPr>
          <w:snapToGrid w:val="0"/>
        </w:rPr>
      </w:pPr>
      <w:r>
        <w:rPr>
          <w:snapToGrid w:val="0"/>
        </w:rPr>
        <w:tab/>
        <w:t>(9)</w:t>
      </w:r>
      <w:r>
        <w:rPr>
          <w:snapToGrid w:val="0"/>
        </w:rPr>
        <w:tab/>
        <w:t xml:space="preserve">Where the number 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as between those candidates, the election shall be decided by a show of hands of those present and entitled to vote.</w:t>
      </w:r>
    </w:p>
    <w:p>
      <w:pPr>
        <w:pStyle w:val="yFootnotesection"/>
      </w:pPr>
      <w:r>
        <w:tab/>
        <w:t>[By</w:t>
      </w:r>
      <w:r>
        <w:noBreakHyphen/>
        <w:t>law 5 amended: No. 74 of 2003 s. 112(17)</w:t>
      </w:r>
      <w:r>
        <w:noBreakHyphen/>
        <w:t>(19).]</w:t>
      </w:r>
    </w:p>
    <w:p>
      <w:pPr>
        <w:pStyle w:val="yHeading5"/>
        <w:outlineLvl w:val="0"/>
        <w:rPr>
          <w:snapToGrid w:val="0"/>
        </w:rPr>
      </w:pPr>
      <w:bookmarkStart w:id="343" w:name="_Toc530555044"/>
      <w:r>
        <w:rPr>
          <w:rStyle w:val="CharSClsNo"/>
        </w:rPr>
        <w:t>6</w:t>
      </w:r>
      <w:r>
        <w:rPr>
          <w:snapToGrid w:val="0"/>
        </w:rPr>
        <w:t>.</w:t>
      </w:r>
      <w:r>
        <w:rPr>
          <w:snapToGrid w:val="0"/>
        </w:rPr>
        <w:tab/>
        <w:t>Chairman, secretary and treasurer of council</w:t>
      </w:r>
      <w:bookmarkEnd w:id="343"/>
    </w:p>
    <w:p>
      <w:pPr>
        <w:pStyle w:val="ySubsection"/>
        <w:rPr>
          <w:snapToGrid w:val="0"/>
        </w:rPr>
      </w:pPr>
      <w:r>
        <w:rPr>
          <w:snapToGrid w:val="0"/>
        </w:rPr>
        <w:tab/>
        <w:t>(1)</w:t>
      </w:r>
      <w:r>
        <w:rPr>
          <w:snapToGrid w:val="0"/>
        </w:rPr>
        <w:tab/>
        <w:t>The members of a council shall, at the first meeting of the council after they assume office as such members, appoint a chairman,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t>shall not be appointed to an office referred to in sub</w:t>
      </w:r>
      <w:r>
        <w:rPr>
          <w:snapToGrid w:val="0"/>
        </w:rPr>
        <w:noBreakHyphen/>
        <w:t>bylaw (1) unless he is a member of the council; and</w:t>
      </w:r>
    </w:p>
    <w:p>
      <w:pPr>
        <w:pStyle w:val="yIndenta"/>
        <w:rPr>
          <w:snapToGrid w:val="0"/>
        </w:rPr>
      </w:pPr>
      <w:r>
        <w:rPr>
          <w:snapToGrid w:val="0"/>
        </w:rPr>
        <w:tab/>
        <w:t>(b)</w:t>
      </w:r>
      <w:r>
        <w:rPr>
          <w:snapToGrid w:val="0"/>
        </w:rPr>
        <w:tab/>
        <w:t>may be appointed to one or more of those offices.</w:t>
      </w:r>
    </w:p>
    <w:p>
      <w:pPr>
        <w:pStyle w:val="ySubsection"/>
        <w:keepNext/>
        <w:rPr>
          <w:snapToGrid w:val="0"/>
        </w:rPr>
      </w:pPr>
      <w:r>
        <w:rPr>
          <w:snapToGrid w:val="0"/>
        </w:rPr>
        <w:tab/>
        <w:t>(3)</w:t>
      </w:r>
      <w:r>
        <w:rPr>
          <w:snapToGrid w:val="0"/>
        </w:rPr>
        <w:tab/>
        <w:t>A person appointed to an office referred to in sub</w:t>
      </w:r>
      <w:r>
        <w:rPr>
          <w:snapToGrid w:val="0"/>
        </w:rPr>
        <w:noBreakHyphen/>
        <w:t>bylaw (1) shall hold office until —</w:t>
      </w:r>
    </w:p>
    <w:p>
      <w:pPr>
        <w:pStyle w:val="yIndenta"/>
        <w:rPr>
          <w:snapToGrid w:val="0"/>
        </w:rPr>
      </w:pPr>
      <w:r>
        <w:rPr>
          <w:snapToGrid w:val="0"/>
        </w:rPr>
        <w:tab/>
        <w:t>(a)</w:t>
      </w:r>
      <w:r>
        <w:rPr>
          <w:snapToGrid w:val="0"/>
        </w:rPr>
        <w:tab/>
        <w:t>he ceases to be a member of the council; or</w:t>
      </w:r>
    </w:p>
    <w:p>
      <w:pPr>
        <w:pStyle w:val="yIndenta"/>
        <w:rPr>
          <w:snapToGrid w:val="0"/>
        </w:rPr>
      </w:pPr>
      <w:r>
        <w:rPr>
          <w:snapToGrid w:val="0"/>
        </w:rPr>
        <w:tab/>
        <w:t>(b)</w:t>
      </w:r>
      <w:r>
        <w:rPr>
          <w:snapToGrid w:val="0"/>
        </w:rPr>
        <w:tab/>
        <w:t>receipt by the strata company of notice in writing of his resignation from that office; or</w:t>
      </w:r>
    </w:p>
    <w:p>
      <w:pPr>
        <w:pStyle w:val="yIndenta"/>
        <w:rPr>
          <w:snapToGrid w:val="0"/>
        </w:rPr>
      </w:pPr>
      <w:r>
        <w:rPr>
          <w:snapToGrid w:val="0"/>
        </w:rPr>
        <w:tab/>
        <w:t>(c)</w:t>
      </w:r>
      <w:r>
        <w:rPr>
          <w:snapToGrid w:val="0"/>
        </w:rPr>
        <w:tab/>
        <w:t>another person is appointed by the council to hold that office,</w:t>
      </w:r>
    </w:p>
    <w:p>
      <w:pPr>
        <w:pStyle w:val="ySubsection"/>
        <w:rPr>
          <w:snapToGrid w:val="0"/>
        </w:rPr>
      </w:pPr>
      <w:r>
        <w:rPr>
          <w:snapToGrid w:val="0"/>
        </w:rPr>
        <w:tab/>
      </w:r>
      <w:r>
        <w:rPr>
          <w:snapToGrid w:val="0"/>
        </w:rPr>
        <w:tab/>
        <w:t>whichever first happens.</w:t>
      </w:r>
    </w:p>
    <w:p>
      <w:pPr>
        <w:pStyle w:val="ySubsection"/>
        <w:rPr>
          <w:snapToGrid w:val="0"/>
        </w:rPr>
      </w:pPr>
      <w:r>
        <w:rPr>
          <w:snapToGrid w:val="0"/>
        </w:rPr>
        <w:tab/>
        <w:t>(4)</w:t>
      </w:r>
      <w:r>
        <w:rPr>
          <w:snapToGrid w:val="0"/>
        </w:rPr>
        <w:tab/>
        <w:t>The chairman shall preside at all meetings of the council at which he is present and, if he is absent from any meeting, the members of the council present at that meeting shall appoint one of their number to preside at that meeting during the absence of the chairman.</w:t>
      </w:r>
    </w:p>
    <w:p>
      <w:pPr>
        <w:pStyle w:val="yHeading5"/>
        <w:outlineLvl w:val="0"/>
        <w:rPr>
          <w:snapToGrid w:val="0"/>
        </w:rPr>
      </w:pPr>
      <w:bookmarkStart w:id="344" w:name="_Toc530555045"/>
      <w:r>
        <w:rPr>
          <w:rStyle w:val="CharSClsNo"/>
        </w:rPr>
        <w:t>7</w:t>
      </w:r>
      <w:r>
        <w:rPr>
          <w:snapToGrid w:val="0"/>
        </w:rPr>
        <w:t>.</w:t>
      </w:r>
      <w:r>
        <w:rPr>
          <w:snapToGrid w:val="0"/>
        </w:rPr>
        <w:tab/>
        <w:t>Chairman, secretary and treasurer of strata company</w:t>
      </w:r>
      <w:bookmarkEnd w:id="344"/>
    </w:p>
    <w:p>
      <w:pPr>
        <w:pStyle w:val="ySubsection"/>
        <w:rPr>
          <w:snapToGrid w:val="0"/>
        </w:rPr>
      </w:pPr>
      <w:r>
        <w:rPr>
          <w:snapToGrid w:val="0"/>
        </w:rPr>
        <w:tab/>
        <w:t>(1)</w:t>
      </w:r>
      <w:r>
        <w:rPr>
          <w:snapToGrid w:val="0"/>
        </w:rPr>
        <w:tab/>
        <w:t>Subject to sub</w:t>
      </w:r>
      <w:r>
        <w:rPr>
          <w:snapToGrid w:val="0"/>
        </w:rPr>
        <w:noBreakHyphen/>
        <w:t>bylaw (2), the chairman, secretary and treasurer of the council are also respectively the chairman, secretary and treasurer of the strata company.</w:t>
      </w:r>
    </w:p>
    <w:p>
      <w:pPr>
        <w:pStyle w:val="ySubsection"/>
        <w:rPr>
          <w:snapToGrid w:val="0"/>
        </w:rPr>
      </w:pPr>
      <w:r>
        <w:rPr>
          <w:snapToGrid w:val="0"/>
        </w:rPr>
        <w:tab/>
        <w:t>(2)</w:t>
      </w:r>
      <w:r>
        <w:rPr>
          <w:snapToGrid w:val="0"/>
        </w:rPr>
        <w:tab/>
        <w:t>A strata company may at a general meeting authorise a person who is not a proprietor to act as the chairman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bylaw (2) may act until the end of the meeting for which he was appointed to act.</w:t>
      </w:r>
    </w:p>
    <w:p>
      <w:pPr>
        <w:pStyle w:val="yFootnotesection"/>
      </w:pPr>
      <w:r>
        <w:tab/>
        <w:t>[By</w:t>
      </w:r>
      <w:r>
        <w:noBreakHyphen/>
        <w:t xml:space="preserve">law 7 inserted: </w:t>
      </w:r>
      <w:r>
        <w:rPr>
          <w:iCs/>
        </w:rPr>
        <w:t xml:space="preserve">No. 58 of 1995 s. 87(3); </w:t>
      </w:r>
      <w:r>
        <w:t>amended: No. 74 of 2003 s. 112(20).]</w:t>
      </w:r>
    </w:p>
    <w:p>
      <w:pPr>
        <w:pStyle w:val="yHeading5"/>
        <w:outlineLvl w:val="0"/>
        <w:rPr>
          <w:snapToGrid w:val="0"/>
        </w:rPr>
      </w:pPr>
      <w:bookmarkStart w:id="345" w:name="_Toc530555046"/>
      <w:r>
        <w:rPr>
          <w:rStyle w:val="CharSClsNo"/>
        </w:rPr>
        <w:t>8</w:t>
      </w:r>
      <w:r>
        <w:rPr>
          <w:snapToGrid w:val="0"/>
        </w:rPr>
        <w:t>.</w:t>
      </w:r>
      <w:r>
        <w:rPr>
          <w:snapToGrid w:val="0"/>
        </w:rPr>
        <w:tab/>
        <w:t>Meetings of council</w:t>
      </w:r>
      <w:bookmarkEnd w:id="345"/>
    </w:p>
    <w:p>
      <w:pPr>
        <w:pStyle w:val="ySubsection"/>
        <w:rPr>
          <w:snapToGrid w:val="0"/>
        </w:rPr>
      </w:pPr>
      <w:r>
        <w:rPr>
          <w:snapToGrid w:val="0"/>
        </w:rPr>
        <w:tab/>
        <w:t>(1)</w:t>
      </w:r>
      <w:r>
        <w:rPr>
          <w:snapToGrid w:val="0"/>
        </w:rPr>
        <w:tab/>
        <w:t>At meetings of the council, all matters shall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meet together for the conduct of business and adjourn and otherwise regulate its meetings as it thinks fit, but the council shall meet when any member of the council gives to the other members not less than 7 days’ notice of a meeting proposed by him, specifying in the notice the reason for calling the meeting;</w:t>
      </w:r>
    </w:p>
    <w:p>
      <w:pPr>
        <w:pStyle w:val="yIndenta"/>
        <w:rPr>
          <w:snapToGrid w:val="0"/>
        </w:rPr>
      </w:pPr>
      <w:r>
        <w:rPr>
          <w:snapToGrid w:val="0"/>
        </w:rPr>
        <w:tab/>
        <w:t>(b)</w:t>
      </w:r>
      <w:r>
        <w:rPr>
          <w:snapToGrid w:val="0"/>
        </w:rPr>
        <w:tab/>
        <w:t>employ on behalf of the strata company such agents and employees as it thinks fit in connection with the control and management of the common property and the exercise and performance of the powers and duties of the strata company;</w:t>
      </w:r>
    </w:p>
    <w:p>
      <w:pPr>
        <w:pStyle w:val="yIndenta"/>
        <w:rPr>
          <w:snapToGrid w:val="0"/>
        </w:rPr>
      </w:pPr>
      <w:r>
        <w:rPr>
          <w:snapToGrid w:val="0"/>
        </w:rPr>
        <w:tab/>
        <w:t>(c)</w:t>
      </w:r>
      <w:r>
        <w:rPr>
          <w:snapToGrid w:val="0"/>
        </w:rPr>
        <w:tab/>
        <w:t>subject to any restriction imposed or direction given at a general meeting of the strata company, delegate to one or more of its members such of its powers and duties as it thinks fit, and at any time revoke the delegation.</w:t>
      </w:r>
    </w:p>
    <w:p>
      <w:pPr>
        <w:pStyle w:val="ySubsection"/>
        <w:rPr>
          <w:snapToGrid w:val="0"/>
        </w:rPr>
      </w:pPr>
      <w:r>
        <w:rPr>
          <w:snapToGrid w:val="0"/>
        </w:rPr>
        <w:tab/>
        <w:t>(3)</w:t>
      </w:r>
      <w:r>
        <w:rPr>
          <w:snapToGrid w:val="0"/>
        </w:rPr>
        <w:tab/>
        <w:t>A member of a council may appoint a proprietor, or an individual authorised under section 45 of the Act by a corporation which is a proprietor, to act in his place as a member of the council at any meeting of the council and any proprietor or individual so appointed shall, when so acting, be deemed to be a member of the council.</w:t>
      </w:r>
    </w:p>
    <w:p>
      <w:pPr>
        <w:pStyle w:val="ySubsection"/>
        <w:rPr>
          <w:snapToGrid w:val="0"/>
        </w:rPr>
      </w:pPr>
      <w:r>
        <w:rPr>
          <w:snapToGrid w:val="0"/>
        </w:rPr>
        <w:tab/>
        <w:t>(4)</w:t>
      </w:r>
      <w:r>
        <w:rPr>
          <w:snapToGrid w:val="0"/>
        </w:rPr>
        <w:tab/>
        <w:t>A proprietor or individual may be appointed under sub</w:t>
      </w:r>
      <w:r>
        <w:rPr>
          <w:snapToGrid w:val="0"/>
        </w:rPr>
        <w:noBreakHyphen/>
        <w:t>bylaw (3) whether or not he is a member of the council.</w:t>
      </w:r>
    </w:p>
    <w:p>
      <w:pPr>
        <w:pStyle w:val="ySubsection"/>
        <w:rPr>
          <w:snapToGrid w:val="0"/>
        </w:rPr>
      </w:pPr>
      <w:r>
        <w:rPr>
          <w:snapToGrid w:val="0"/>
        </w:rPr>
        <w:tab/>
        <w:t>(5)</w:t>
      </w:r>
      <w:r>
        <w:rPr>
          <w:snapToGrid w:val="0"/>
        </w:rPr>
        <w:tab/>
        <w:t>If a person appointed under sub</w:t>
      </w:r>
      <w:r>
        <w:rPr>
          <w:snapToGrid w:val="0"/>
        </w:rPr>
        <w:noBreakHyphen/>
        <w:t>bylaw (3) is a member of the council he may, at any meeting of the council, separately vote in his capacity as a member and on behalf of the member in whose place he has been appointed to act.</w:t>
      </w:r>
    </w:p>
    <w:p>
      <w:pPr>
        <w:pStyle w:val="ySubsection"/>
        <w:rPr>
          <w:snapToGrid w:val="0"/>
        </w:rPr>
      </w:pPr>
      <w:r>
        <w:rPr>
          <w:snapToGrid w:val="0"/>
        </w:rPr>
        <w:tab/>
        <w:t>(6)</w:t>
      </w:r>
      <w:r>
        <w:rPr>
          <w:snapToGrid w:val="0"/>
        </w:rPr>
        <w:tab/>
        <w:t>The council shall keep minutes of its proceedings.</w:t>
      </w:r>
    </w:p>
    <w:p>
      <w:pPr>
        <w:pStyle w:val="yHeading5"/>
        <w:outlineLvl w:val="0"/>
        <w:rPr>
          <w:snapToGrid w:val="0"/>
        </w:rPr>
      </w:pPr>
      <w:bookmarkStart w:id="346" w:name="_Toc530555047"/>
      <w:r>
        <w:rPr>
          <w:rStyle w:val="CharSClsNo"/>
        </w:rPr>
        <w:t>9</w:t>
      </w:r>
      <w:r>
        <w:rPr>
          <w:snapToGrid w:val="0"/>
        </w:rPr>
        <w:t>.</w:t>
      </w:r>
      <w:r>
        <w:rPr>
          <w:snapToGrid w:val="0"/>
        </w:rPr>
        <w:tab/>
        <w:t>Powers and duties of secretary of strata company</w:t>
      </w:r>
      <w:bookmarkEnd w:id="346"/>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rPr>
          <w:snapToGrid w:val="0"/>
        </w:rPr>
      </w:pPr>
      <w:r>
        <w:rPr>
          <w:snapToGrid w:val="0"/>
        </w:rPr>
        <w:tab/>
        <w:t>(c)</w:t>
      </w:r>
      <w:r>
        <w:rPr>
          <w:snapToGrid w:val="0"/>
        </w:rPr>
        <w:tab/>
        <w:t>the supply of information on behalf of the strata company in accordance with section 43(1)(a) and (b) of the Act;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rPr>
          <w:snapToGrid w:val="0"/>
        </w:rPr>
      </w:pPr>
      <w:r>
        <w:rPr>
          <w:snapToGrid w:val="0"/>
        </w:rPr>
        <w:tab/>
        <w:t>(f)</w:t>
      </w:r>
      <w:r>
        <w:rPr>
          <w:snapToGrid w:val="0"/>
        </w:rPr>
        <w:tab/>
        <w:t>subject to sections 49 and 103 of the Act the convening of meetings of the strata company and of the council.</w:t>
      </w:r>
    </w:p>
    <w:p>
      <w:pPr>
        <w:pStyle w:val="yHeading5"/>
        <w:outlineLvl w:val="0"/>
        <w:rPr>
          <w:snapToGrid w:val="0"/>
        </w:rPr>
      </w:pPr>
      <w:bookmarkStart w:id="347" w:name="_Toc530555048"/>
      <w:r>
        <w:rPr>
          <w:rStyle w:val="CharSClsNo"/>
        </w:rPr>
        <w:t>10</w:t>
      </w:r>
      <w:r>
        <w:rPr>
          <w:snapToGrid w:val="0"/>
        </w:rPr>
        <w:t>.</w:t>
      </w:r>
      <w:r>
        <w:rPr>
          <w:snapToGrid w:val="0"/>
        </w:rPr>
        <w:tab/>
        <w:t>Powers and duties of treasurer of strata company</w:t>
      </w:r>
      <w:bookmarkEnd w:id="347"/>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the notifying of proprietors of any contributions levied pursuant to the Act;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the preparation of any certificate applied for under section 43 of the Act; and</w:t>
      </w:r>
    </w:p>
    <w:p>
      <w:pPr>
        <w:pStyle w:val="yIndenta"/>
        <w:spacing w:before="70"/>
        <w:rPr>
          <w:snapToGrid w:val="0"/>
        </w:rPr>
      </w:pPr>
      <w:r>
        <w:rPr>
          <w:snapToGrid w:val="0"/>
        </w:rPr>
        <w:tab/>
        <w:t>(d)</w:t>
      </w:r>
      <w:r>
        <w:rPr>
          <w:snapToGrid w:val="0"/>
        </w:rPr>
        <w:tab/>
        <w:t>the keeping of the books of account referred to in section 35(1)(f) of the Act and the preparation of the statement of accounts referred to in section 35(1)(g) of the Act.</w:t>
      </w:r>
    </w:p>
    <w:p>
      <w:pPr>
        <w:pStyle w:val="yHeading5"/>
        <w:outlineLvl w:val="0"/>
        <w:rPr>
          <w:snapToGrid w:val="0"/>
        </w:rPr>
      </w:pPr>
      <w:bookmarkStart w:id="348" w:name="_Toc530555049"/>
      <w:r>
        <w:rPr>
          <w:rStyle w:val="CharSClsNo"/>
        </w:rPr>
        <w:t>11</w:t>
      </w:r>
      <w:r>
        <w:rPr>
          <w:snapToGrid w:val="0"/>
        </w:rPr>
        <w:t>.</w:t>
      </w:r>
      <w:r>
        <w:rPr>
          <w:snapToGrid w:val="0"/>
        </w:rPr>
        <w:tab/>
        <w:t>General meetings of strata company</w:t>
      </w:r>
      <w:bookmarkEnd w:id="348"/>
    </w:p>
    <w:p>
      <w:pPr>
        <w:pStyle w:val="ySubsection"/>
        <w:rPr>
          <w:snapToGrid w:val="0"/>
        </w:rPr>
      </w:pPr>
      <w:r>
        <w:rPr>
          <w:snapToGrid w:val="0"/>
        </w:rPr>
        <w:tab/>
        <w:t>(1)</w:t>
      </w:r>
      <w:r>
        <w:rPr>
          <w:snapToGrid w:val="0"/>
        </w:rPr>
        <w:tab/>
        <w:t>General meetings of the strata company shall be held once in each year and so that not more than 15 months shall elapse between the date of one annual general meeting and that of the next.</w:t>
      </w:r>
    </w:p>
    <w:p>
      <w:pPr>
        <w:pStyle w:val="ySubsection"/>
        <w:rPr>
          <w:snapToGrid w:val="0"/>
        </w:rPr>
      </w:pPr>
      <w:r>
        <w:rPr>
          <w:snapToGrid w:val="0"/>
        </w:rPr>
        <w:tab/>
        <w:t>(2)</w:t>
      </w:r>
      <w:r>
        <w:rPr>
          <w:snapToGrid w:val="0"/>
        </w:rPr>
        <w:tab/>
        <w:t>All general meetings other than the annual general meeting shall be called extraordinary general meetings.</w:t>
      </w:r>
    </w:p>
    <w:p>
      <w:pPr>
        <w:pStyle w:val="ySubsection"/>
        <w:rPr>
          <w:snapToGrid w:val="0"/>
        </w:rPr>
      </w:pPr>
      <w:r>
        <w:rPr>
          <w:snapToGrid w:val="0"/>
        </w:rPr>
        <w:tab/>
        <w:t>(3)</w:t>
      </w:r>
      <w:r>
        <w:rPr>
          <w:snapToGrid w:val="0"/>
        </w:rPr>
        <w:tab/>
        <w:t>The council may when ever it thinks fit and shall upon a requisition in writing made by proprietors entitled to a quarter or more of the aggregate unit entitlement of the lots convene an extraordinary general meeting.</w:t>
      </w:r>
    </w:p>
    <w:p>
      <w:pPr>
        <w:pStyle w:val="ySubsection"/>
        <w:rPr>
          <w:snapToGrid w:val="0"/>
        </w:rPr>
      </w:pPr>
      <w:r>
        <w:rPr>
          <w:snapToGrid w:val="0"/>
        </w:rPr>
        <w:tab/>
        <w:t>(4)</w:t>
      </w:r>
      <w:r>
        <w:rPr>
          <w:snapToGrid w:val="0"/>
        </w:rPr>
        <w:tab/>
        <w:t>If the council does not within 21 days after the date of the making of a requisition under this by</w:t>
      </w:r>
      <w:r>
        <w:rPr>
          <w:snapToGrid w:val="0"/>
        </w:rPr>
        <w:noBreakHyphen/>
        <w:t>law proceed to convene an extraordinary general meeting, the requisitionists, or any of them representing more than one</w:t>
      </w:r>
      <w:r>
        <w:rPr>
          <w:snapToGrid w:val="0"/>
        </w:rPr>
        <w:noBreakHyphen/>
        <w:t>half of the aggregate unit entitlement of all of them, may themselves, in the same manner as nearly as possible as that in which meetings are to be convened by the council, convene an extraordinary general meeting, but any meeting so convened shall not be held after the expiration of 3 months from the date on which the requisition was made.</w:t>
      </w:r>
    </w:p>
    <w:p>
      <w:pPr>
        <w:pStyle w:val="ySubsection"/>
        <w:rPr>
          <w:snapToGrid w:val="0"/>
        </w:rPr>
      </w:pPr>
      <w:r>
        <w:rPr>
          <w:snapToGrid w:val="0"/>
        </w:rPr>
        <w:tab/>
        <w:t>(5)</w:t>
      </w:r>
      <w:r>
        <w:rPr>
          <w:snapToGrid w:val="0"/>
        </w:rPr>
        <w:tab/>
        <w:t>Not less than 14 days’ notice of every general meeting specifying the place, the date and the hour of meeting and in case of special business the general nature of that business, shall be given to all proprietors and registered first mortgagees who have notified their interests to the strata company, but accidental omission to give the notice to any proprietor or to any registered first mortgagee or non</w:t>
      </w:r>
      <w:r>
        <w:rPr>
          <w:snapToGrid w:val="0"/>
        </w:rPr>
        <w:noBreakHyphen/>
        <w:t>receipt of the notice by any proprietor or by any registered first mortgagee does not invalidate any proceedings at any such meeting.</w:t>
      </w:r>
    </w:p>
    <w:p>
      <w:pPr>
        <w:pStyle w:val="ySubsection"/>
        <w:rPr>
          <w:snapToGrid w:val="0"/>
        </w:rPr>
      </w:pPr>
      <w:r>
        <w:rPr>
          <w:snapToGrid w:val="0"/>
        </w:rPr>
        <w:tab/>
        <w:t>(6)</w:t>
      </w:r>
      <w:r>
        <w:rPr>
          <w:snapToGrid w:val="0"/>
        </w:rPr>
        <w:tab/>
        <w:t>If a proprietor gives notice in writing to the secretary of an item of business that the proprietor requires to be included on the agenda for the next general meeting of the strata company, the secretary shall include that item on the agenda accordingly and shall give notice of that item as an item of special business in accordance with sub</w:t>
      </w:r>
      <w:r>
        <w:rPr>
          <w:snapToGrid w:val="0"/>
        </w:rPr>
        <w:noBreakHyphen/>
        <w:t>bylaw (5).</w:t>
      </w:r>
    </w:p>
    <w:p>
      <w:pPr>
        <w:pStyle w:val="yFootnotesection"/>
        <w:rPr>
          <w:iCs/>
        </w:rPr>
      </w:pPr>
      <w:r>
        <w:tab/>
        <w:t>[By</w:t>
      </w:r>
      <w:r>
        <w:noBreakHyphen/>
        <w:t xml:space="preserve">law 11 amended: </w:t>
      </w:r>
      <w:r>
        <w:rPr>
          <w:iCs/>
        </w:rPr>
        <w:t>No. 58 of 1995 s. 87(4).]</w:t>
      </w:r>
    </w:p>
    <w:p>
      <w:pPr>
        <w:pStyle w:val="yHeading5"/>
        <w:outlineLvl w:val="0"/>
        <w:rPr>
          <w:snapToGrid w:val="0"/>
        </w:rPr>
      </w:pPr>
      <w:bookmarkStart w:id="349" w:name="_Toc530555050"/>
      <w:r>
        <w:rPr>
          <w:rStyle w:val="CharSClsNo"/>
        </w:rPr>
        <w:t>12</w:t>
      </w:r>
      <w:r>
        <w:rPr>
          <w:snapToGrid w:val="0"/>
        </w:rPr>
        <w:t>.</w:t>
      </w:r>
      <w:r>
        <w:rPr>
          <w:snapToGrid w:val="0"/>
        </w:rPr>
        <w:tab/>
        <w:t>Proceedings at general meetings</w:t>
      </w:r>
      <w:bookmarkEnd w:id="349"/>
    </w:p>
    <w:p>
      <w:pPr>
        <w:pStyle w:val="ySubsection"/>
        <w:rPr>
          <w:snapToGrid w:val="0"/>
        </w:rPr>
      </w:pPr>
      <w:r>
        <w:rPr>
          <w:snapToGrid w:val="0"/>
        </w:rPr>
        <w:tab/>
        <w:t>(1)</w:t>
      </w:r>
      <w:r>
        <w:rPr>
          <w:snapToGrid w:val="0"/>
        </w:rPr>
        <w:tab/>
        <w:t>All business shall be deemed special that is transacted at an annual general meeting, with the exception of the consideration of accounts and election of members to the council, or at an extraordinary general meeting.</w:t>
      </w:r>
    </w:p>
    <w:p>
      <w:pPr>
        <w:pStyle w:val="ySubsection"/>
        <w:rPr>
          <w:snapToGrid w:val="0"/>
        </w:rPr>
      </w:pPr>
      <w:r>
        <w:rPr>
          <w:snapToGrid w:val="0"/>
        </w:rPr>
        <w:tab/>
        <w:t>(2)</w:t>
      </w:r>
      <w:r>
        <w:rPr>
          <w:snapToGrid w:val="0"/>
        </w:rPr>
        <w:tab/>
        <w:t>Except as otherwise provided in these by</w:t>
      </w:r>
      <w:r>
        <w:rPr>
          <w:snapToGrid w:val="0"/>
        </w:rPr>
        <w:noBreakHyphen/>
        <w:t>laws, no business may be transacted at any general meeting unless a quorum of members is present at the time when the meeting proceeds to business.</w:t>
      </w:r>
    </w:p>
    <w:p>
      <w:pPr>
        <w:pStyle w:val="ySubsection"/>
        <w:rPr>
          <w:snapToGrid w:val="0"/>
        </w:rPr>
      </w:pPr>
      <w:r>
        <w:rPr>
          <w:snapToGrid w:val="0"/>
        </w:rPr>
        <w:tab/>
        <w:t>(3)</w:t>
      </w:r>
      <w:r>
        <w:rPr>
          <w:snapToGrid w:val="0"/>
        </w:rPr>
        <w:tab/>
        <w:t>One</w:t>
      </w:r>
      <w:r>
        <w:rPr>
          <w:snapToGrid w:val="0"/>
        </w:rPr>
        <w:noBreakHyphen/>
        <w:t>half of the persons entitled to vote present in person or by duly appointed proxy constitutes a quorum.</w:t>
      </w:r>
    </w:p>
    <w:p>
      <w:pPr>
        <w:pStyle w:val="ySubsection"/>
        <w:rPr>
          <w:snapToGrid w:val="0"/>
        </w:rPr>
      </w:pPr>
      <w:r>
        <w:rPr>
          <w:snapToGrid w:val="0"/>
        </w:rPr>
        <w:tab/>
        <w:t>(4)</w:t>
      </w:r>
      <w:r>
        <w:rPr>
          <w:snapToGrid w:val="0"/>
        </w:rPr>
        <w:tab/>
        <w:t>If within half an hour from the time appointed for a general meeting a quorum is not present, the meeting, if convened upon the requisition of proprietors, shall be dissolved and in any other case it shall stand adjourned to the same day in the next week at the same place and time and if at the adjourned meeting a quorum is not present within half an hour from the time appointed for the meeting, the persons entitled to vote and present constitute a quorum.</w:t>
      </w:r>
    </w:p>
    <w:p>
      <w:pPr>
        <w:pStyle w:val="ySubsection"/>
        <w:rPr>
          <w:snapToGrid w:val="0"/>
        </w:rPr>
      </w:pPr>
      <w:r>
        <w:rPr>
          <w:snapToGrid w:val="0"/>
        </w:rPr>
        <w:tab/>
        <w:t>(4a)</w:t>
      </w:r>
      <w:r>
        <w:rPr>
          <w:snapToGrid w:val="0"/>
        </w:rPr>
        <w:tab/>
        <w:t>Sub</w:t>
      </w:r>
      <w:r>
        <w:rPr>
          <w:snapToGrid w:val="0"/>
        </w:rPr>
        <w:noBreakHyphen/>
        <w:t>bylaws (3) and (4) do not apply to a general meeting of a strata company referred to in section 50B.</w:t>
      </w:r>
    </w:p>
    <w:p>
      <w:pPr>
        <w:pStyle w:val="ySubsection"/>
        <w:rPr>
          <w:snapToGrid w:val="0"/>
        </w:rPr>
      </w:pPr>
      <w:r>
        <w:rPr>
          <w:snapToGrid w:val="0"/>
        </w:rPr>
        <w:tab/>
        <w:t>(5)</w:t>
      </w:r>
      <w:r>
        <w:rPr>
          <w:snapToGrid w:val="0"/>
        </w:rPr>
        <w:tab/>
        <w:t>The chairman, may with the consent of the meeting, adjourn any general meeting from time to time and from place to place but no business may be transacted at an adjourned meeting other than the business left unfinished at the meeting from which the adjournment took place.</w:t>
      </w:r>
    </w:p>
    <w:p>
      <w:pPr>
        <w:pStyle w:val="ySubsection"/>
        <w:rPr>
          <w:snapToGrid w:val="0"/>
        </w:rPr>
      </w:pPr>
      <w:r>
        <w:rPr>
          <w:snapToGrid w:val="0"/>
        </w:rPr>
        <w:tab/>
        <w:t>(6)</w:t>
      </w:r>
      <w:r>
        <w:rPr>
          <w:snapToGrid w:val="0"/>
        </w:rPr>
        <w:tab/>
        <w:t>Except where otherwise required by or under the Act, resolutions may be passed at a general meeting by a simple majority vote.</w:t>
      </w:r>
    </w:p>
    <w:p>
      <w:pPr>
        <w:pStyle w:val="ySubsection"/>
        <w:rPr>
          <w:snapToGrid w:val="0"/>
        </w:rPr>
      </w:pPr>
      <w:r>
        <w:rPr>
          <w:snapToGrid w:val="0"/>
        </w:rPr>
        <w:tab/>
        <w:t>(7)</w:t>
      </w:r>
      <w:r>
        <w:rPr>
          <w:snapToGrid w:val="0"/>
        </w:rPr>
        <w:tab/>
        <w:t>At any general meeting a resolution by the vote of the meeting shall be decided on a show of hands unless a poll is demanded by any proprietor present in person or by proxy.</w:t>
      </w:r>
    </w:p>
    <w:p>
      <w:pPr>
        <w:pStyle w:val="ySubsection"/>
        <w:rPr>
          <w:snapToGrid w:val="0"/>
        </w:rPr>
      </w:pPr>
      <w:r>
        <w:rPr>
          <w:snapToGrid w:val="0"/>
        </w:rPr>
        <w:tab/>
        <w:t>(8)</w:t>
      </w:r>
      <w:r>
        <w:rPr>
          <w:snapToGrid w:val="0"/>
        </w:rPr>
        <w:tab/>
        <w:t>Unless a poll be so demanded a declaration by the chairman that a resolution has on the show of hands been carried is conclusive evidence of the fact without proof of the number or proportion of votes recorded in favour of or against such resolution.</w:t>
      </w:r>
    </w:p>
    <w:p>
      <w:pPr>
        <w:pStyle w:val="ySubsection"/>
        <w:rPr>
          <w:snapToGrid w:val="0"/>
        </w:rPr>
      </w:pPr>
      <w:r>
        <w:rPr>
          <w:snapToGrid w:val="0"/>
        </w:rPr>
        <w:tab/>
        <w:t>(9)</w:t>
      </w:r>
      <w:r>
        <w:rPr>
          <w:snapToGrid w:val="0"/>
        </w:rPr>
        <w:tab/>
        <w:t>A demand for a poll may be withdrawn.</w:t>
      </w:r>
    </w:p>
    <w:p>
      <w:pPr>
        <w:pStyle w:val="ySubsection"/>
        <w:rPr>
          <w:snapToGrid w:val="0"/>
        </w:rPr>
      </w:pPr>
      <w:r>
        <w:rPr>
          <w:snapToGrid w:val="0"/>
        </w:rPr>
        <w:tab/>
        <w:t>(10)</w:t>
      </w:r>
      <w:r>
        <w:rPr>
          <w:snapToGrid w:val="0"/>
        </w:rPr>
        <w:tab/>
        <w:t>A poll if demanded shall be taken in such manner as the chairman thinks fit and the result of the poll shall be deemed to be the resolution of the meeting at which such poll was demanded.</w:t>
      </w:r>
    </w:p>
    <w:p>
      <w:pPr>
        <w:pStyle w:val="ySubsection"/>
        <w:rPr>
          <w:snapToGrid w:val="0"/>
        </w:rPr>
      </w:pPr>
      <w:r>
        <w:rPr>
          <w:snapToGrid w:val="0"/>
        </w:rPr>
        <w:tab/>
        <w:t>(11)</w:t>
      </w:r>
      <w:r>
        <w:rPr>
          <w:snapToGrid w:val="0"/>
        </w:rPr>
        <w:tab/>
        <w:t>In the case of equality in the votes whether on a show of hands or on a poll, the question is determined in the negative.</w:t>
      </w:r>
    </w:p>
    <w:p>
      <w:pPr>
        <w:pStyle w:val="yFootnotesection"/>
      </w:pPr>
      <w:r>
        <w:tab/>
        <w:t>[By</w:t>
      </w:r>
      <w:r>
        <w:noBreakHyphen/>
        <w:t xml:space="preserve">law 12 amended: </w:t>
      </w:r>
      <w:r>
        <w:rPr>
          <w:iCs/>
        </w:rPr>
        <w:t xml:space="preserve">No. 58 of 1995 s. 87(5); </w:t>
      </w:r>
      <w:r>
        <w:t>No. 74 of 2003 s. 112(21).]</w:t>
      </w:r>
    </w:p>
    <w:p>
      <w:pPr>
        <w:pStyle w:val="yHeading5"/>
        <w:spacing w:before="800"/>
        <w:outlineLvl w:val="0"/>
        <w:rPr>
          <w:snapToGrid w:val="0"/>
        </w:rPr>
      </w:pPr>
      <w:bookmarkStart w:id="350" w:name="_Toc530555051"/>
      <w:r>
        <w:rPr>
          <w:rStyle w:val="CharSClsNo"/>
        </w:rPr>
        <w:t>13</w:t>
      </w:r>
      <w:r>
        <w:rPr>
          <w:snapToGrid w:val="0"/>
        </w:rPr>
        <w:t>.</w:t>
      </w:r>
      <w:r>
        <w:rPr>
          <w:snapToGrid w:val="0"/>
        </w:rPr>
        <w:tab/>
        <w:t>Restriction on moving motion or nominating candidate</w:t>
      </w:r>
      <w:bookmarkEnd w:id="350"/>
    </w:p>
    <w:p>
      <w:pPr>
        <w:pStyle w:val="ySubsection"/>
        <w:rPr>
          <w:snapToGrid w:val="0"/>
        </w:rPr>
      </w:pPr>
      <w:r>
        <w:rPr>
          <w:snapToGrid w:val="0"/>
        </w:rPr>
        <w:tab/>
      </w:r>
      <w:r>
        <w:rPr>
          <w:snapToGrid w:val="0"/>
        </w:rPr>
        <w:tab/>
        <w:t>A person is not entitled to move a motion at a general meeting or to nominate a candidate for election as a member of the council unless the person is entitled to vote on the motion or at the election.</w:t>
      </w:r>
    </w:p>
    <w:p>
      <w:pPr>
        <w:pStyle w:val="yHeading5"/>
        <w:outlineLvl w:val="0"/>
        <w:rPr>
          <w:snapToGrid w:val="0"/>
        </w:rPr>
      </w:pPr>
      <w:bookmarkStart w:id="351" w:name="_Toc530555052"/>
      <w:r>
        <w:rPr>
          <w:rStyle w:val="CharSClsNo"/>
        </w:rPr>
        <w:t>14</w:t>
      </w:r>
      <w:r>
        <w:rPr>
          <w:snapToGrid w:val="0"/>
        </w:rPr>
        <w:t>.</w:t>
      </w:r>
      <w:r>
        <w:rPr>
          <w:snapToGrid w:val="0"/>
        </w:rPr>
        <w:tab/>
        <w:t>Votes of proprietors</w:t>
      </w:r>
      <w:bookmarkEnd w:id="351"/>
    </w:p>
    <w:p>
      <w:pPr>
        <w:pStyle w:val="ySubsection"/>
        <w:rPr>
          <w:snapToGrid w:val="0"/>
        </w:rPr>
      </w:pPr>
      <w:r>
        <w:rPr>
          <w:snapToGrid w:val="0"/>
        </w:rPr>
        <w:tab/>
        <w:t>(1)</w:t>
      </w:r>
      <w:r>
        <w:rPr>
          <w:snapToGrid w:val="0"/>
        </w:rPr>
        <w:tab/>
        <w:t>On a show of hands each proprietor has one vote.</w:t>
      </w:r>
    </w:p>
    <w:p>
      <w:pPr>
        <w:pStyle w:val="ySubsection"/>
        <w:rPr>
          <w:snapToGrid w:val="0"/>
        </w:rPr>
      </w:pPr>
      <w:r>
        <w:rPr>
          <w:snapToGrid w:val="0"/>
        </w:rPr>
        <w:tab/>
        <w:t>(2)</w:t>
      </w:r>
      <w:r>
        <w:rPr>
          <w:snapToGrid w:val="0"/>
        </w:rPr>
        <w:tab/>
        <w:t>On a poll the proprietors have the same number of votes as the unit entitlements of their respective lots.</w:t>
      </w:r>
    </w:p>
    <w:p>
      <w:pPr>
        <w:pStyle w:val="ySubsection"/>
        <w:rPr>
          <w:snapToGrid w:val="0"/>
        </w:rPr>
      </w:pPr>
      <w:r>
        <w:rPr>
          <w:snapToGrid w:val="0"/>
        </w:rPr>
        <w:tab/>
        <w:t>(3)</w:t>
      </w:r>
      <w:r>
        <w:rPr>
          <w:snapToGrid w:val="0"/>
        </w:rPr>
        <w:tab/>
        <w:t>On a show of hands or on a poll votes may be given either personally or by duly appointed proxy.</w:t>
      </w:r>
    </w:p>
    <w:p>
      <w:pPr>
        <w:pStyle w:val="ySubsection"/>
        <w:rPr>
          <w:snapToGrid w:val="0"/>
        </w:rPr>
      </w:pPr>
      <w:r>
        <w:rPr>
          <w:snapToGrid w:val="0"/>
        </w:rPr>
        <w:tab/>
        <w:t>(4)</w:t>
      </w:r>
      <w:r>
        <w:rPr>
          <w:snapToGrid w:val="0"/>
        </w:rPr>
        <w:tab/>
        <w:t>An instrument appointing a proxy shall be in writing under the hand of the appointer or his attorney and may be either general or for a particular meeting.</w:t>
      </w:r>
    </w:p>
    <w:p>
      <w:pPr>
        <w:pStyle w:val="ySubsection"/>
        <w:rPr>
          <w:snapToGrid w:val="0"/>
        </w:rPr>
      </w:pPr>
      <w:r>
        <w:rPr>
          <w:snapToGrid w:val="0"/>
        </w:rPr>
        <w:tab/>
        <w:t>(5)</w:t>
      </w:r>
      <w:r>
        <w:rPr>
          <w:snapToGrid w:val="0"/>
        </w:rPr>
        <w:tab/>
        <w:t>A proxy need not be a proprietor.</w:t>
      </w:r>
    </w:p>
    <w:p>
      <w:pPr>
        <w:pStyle w:val="ySubsection"/>
        <w:rPr>
          <w:snapToGrid w:val="0"/>
        </w:rPr>
      </w:pPr>
      <w:r>
        <w:rPr>
          <w:snapToGrid w:val="0"/>
        </w:rPr>
        <w:tab/>
        <w:t>(6)</w:t>
      </w:r>
      <w:r>
        <w:rPr>
          <w:snapToGrid w:val="0"/>
        </w:rPr>
        <w:tab/>
        <w:t>Except in cases where by or under the Act a unanimous resolution or a resolution without dissent is required, no proprietor is entitled to vote at any general meeting unless all contributions payable in respect of his lot have been duly paid and any other moneys recoverable under the Act by the strata company from him at the date of the notice given to proprietors of the meeting have been duly paid before the commencement of the meeting.</w:t>
      </w:r>
    </w:p>
    <w:p>
      <w:pPr>
        <w:pStyle w:val="ySubsection"/>
        <w:rPr>
          <w:snapToGrid w:val="0"/>
        </w:rPr>
      </w:pPr>
      <w:r>
        <w:rPr>
          <w:snapToGrid w:val="0"/>
        </w:rPr>
        <w:tab/>
        <w:t>(7)</w:t>
      </w:r>
      <w:r>
        <w:rPr>
          <w:snapToGrid w:val="0"/>
        </w:rPr>
        <w:tab/>
        <w:t>Co</w:t>
      </w:r>
      <w:r>
        <w:rPr>
          <w:snapToGrid w:val="0"/>
        </w:rPr>
        <w:noBreakHyphen/>
        <w:t>proprietors may vote by proxy jointly appointed by them and in the absence of such a proxy are not entitled to vote on a show of hands, except when the unanimous resolution of proprietors is required by the Act.</w:t>
      </w:r>
    </w:p>
    <w:p>
      <w:pPr>
        <w:pStyle w:val="ySubsection"/>
        <w:rPr>
          <w:snapToGrid w:val="0"/>
        </w:rPr>
      </w:pPr>
      <w:r>
        <w:rPr>
          <w:snapToGrid w:val="0"/>
        </w:rPr>
        <w:tab/>
        <w:t>(8)</w:t>
      </w:r>
      <w:r>
        <w:rPr>
          <w:snapToGrid w:val="0"/>
        </w:rPr>
        <w:tab/>
        <w:t>On any poll each co</w:t>
      </w:r>
      <w:r>
        <w:rPr>
          <w:snapToGrid w:val="0"/>
        </w:rPr>
        <w:noBreakHyphen/>
        <w:t>proprietor is entitled to such part of the vote applicable to a lot as is proportionate to his interest in the lot.</w:t>
      </w:r>
    </w:p>
    <w:p>
      <w:pPr>
        <w:pStyle w:val="ySubsection"/>
        <w:rPr>
          <w:snapToGrid w:val="0"/>
        </w:rPr>
      </w:pPr>
      <w:r>
        <w:rPr>
          <w:snapToGrid w:val="0"/>
        </w:rPr>
        <w:tab/>
        <w:t>(9)</w:t>
      </w:r>
      <w:r>
        <w:rPr>
          <w:snapToGrid w:val="0"/>
        </w:rPr>
        <w:tab/>
        <w:t>The joint proxy (if any) on a poll has a vote proportionate to the interests in the lot of such of the joint proprietors as do not vote personally or by individual proxy.</w:t>
      </w:r>
    </w:p>
    <w:p>
      <w:pPr>
        <w:pStyle w:val="yFootnotesection"/>
      </w:pPr>
      <w:r>
        <w:tab/>
        <w:t>[By</w:t>
      </w:r>
      <w:r>
        <w:noBreakHyphen/>
        <w:t xml:space="preserve">law 14 amended: </w:t>
      </w:r>
      <w:r>
        <w:rPr>
          <w:iCs/>
        </w:rPr>
        <w:t>No. 24 of 2000 s. 40(12</w:t>
      </w:r>
      <w:r>
        <w:t>).]</w:t>
      </w:r>
    </w:p>
    <w:p>
      <w:pPr>
        <w:pStyle w:val="yHeading5"/>
        <w:outlineLvl w:val="0"/>
        <w:rPr>
          <w:snapToGrid w:val="0"/>
        </w:rPr>
      </w:pPr>
      <w:bookmarkStart w:id="352" w:name="_Toc530555053"/>
      <w:r>
        <w:rPr>
          <w:rStyle w:val="CharSClsNo"/>
        </w:rPr>
        <w:t>15</w:t>
      </w:r>
      <w:r>
        <w:rPr>
          <w:snapToGrid w:val="0"/>
        </w:rPr>
        <w:t>.</w:t>
      </w:r>
      <w:r>
        <w:rPr>
          <w:snapToGrid w:val="0"/>
        </w:rPr>
        <w:tab/>
      </w:r>
      <w:r>
        <w:rPr>
          <w:rStyle w:val="CharSClsNo"/>
        </w:rPr>
        <w:t>Common</w:t>
      </w:r>
      <w:r>
        <w:rPr>
          <w:snapToGrid w:val="0"/>
        </w:rPr>
        <w:t xml:space="preserve"> seal</w:t>
      </w:r>
      <w:bookmarkEnd w:id="352"/>
    </w:p>
    <w:p>
      <w:pPr>
        <w:pStyle w:val="ySubsection"/>
        <w:rPr>
          <w:snapToGrid w:val="0"/>
        </w:rPr>
      </w:pPr>
      <w:r>
        <w:rPr>
          <w:snapToGrid w:val="0"/>
        </w:rPr>
        <w:tab/>
        <w:t>(1)</w:t>
      </w:r>
      <w:r>
        <w:rPr>
          <w:snapToGrid w:val="0"/>
        </w:rPr>
        <w:tab/>
        <w:t>The common seal of the strata company shall at no time be used except by authority of the council previously given and in the presence of the members of the council or at least 2 members of the council, who shall sign every instrument to which the seal is affixed, but where there is only one member of the strata company his signature shall be sufficient for the purpose of this by</w:t>
      </w:r>
      <w:r>
        <w:rPr>
          <w:snapToGrid w:val="0"/>
        </w:rPr>
        <w:noBreakHyphen/>
        <w:t>law.</w:t>
      </w:r>
    </w:p>
    <w:p>
      <w:pPr>
        <w:pStyle w:val="ySubsection"/>
        <w:keepNext/>
        <w:rPr>
          <w:snapToGrid w:val="0"/>
        </w:rPr>
      </w:pPr>
      <w:r>
        <w:rPr>
          <w:snapToGrid w:val="0"/>
        </w:rPr>
        <w:tab/>
        <w:t>(2)</w:t>
      </w:r>
      <w:r>
        <w:rPr>
          <w:snapToGrid w:val="0"/>
        </w:rPr>
        <w:tab/>
        <w:t>The council shall make provision for the safe custody of the common seal.</w:t>
      </w:r>
    </w:p>
    <w:p>
      <w:pPr>
        <w:pStyle w:val="yEdnotesection"/>
      </w:pPr>
      <w:r>
        <w:t>[</w:t>
      </w:r>
      <w:r>
        <w:rPr>
          <w:b/>
        </w:rPr>
        <w:t>16.</w:t>
      </w:r>
      <w:r>
        <w:tab/>
        <w:t>Deleted: No. 58 of 1995 s. 87(6).]</w:t>
      </w:r>
    </w:p>
    <w:p>
      <w:pPr>
        <w:pStyle w:val="yEdnotedivision"/>
      </w:pPr>
      <w:r>
        <w:t>[Part II deleted: No. 58 of 1995 s. 87(7).]</w:t>
      </w:r>
    </w:p>
    <w:p>
      <w:pPr>
        <w:pStyle w:val="yScheduleHeading"/>
        <w:outlineLvl w:val="0"/>
      </w:pPr>
      <w:bookmarkStart w:id="353" w:name="_Toc525288682"/>
      <w:bookmarkStart w:id="354" w:name="_Toc530554718"/>
      <w:bookmarkStart w:id="355" w:name="_Toc530555054"/>
      <w:r>
        <w:rPr>
          <w:rStyle w:val="CharSchNo"/>
        </w:rPr>
        <w:t>Schedule 2</w:t>
      </w:r>
      <w:r>
        <w:t> — </w:t>
      </w:r>
      <w:r>
        <w:rPr>
          <w:rStyle w:val="CharSchText"/>
        </w:rPr>
        <w:t>Schedule 2 by-laws</w:t>
      </w:r>
      <w:bookmarkEnd w:id="353"/>
      <w:bookmarkEnd w:id="354"/>
      <w:bookmarkEnd w:id="355"/>
    </w:p>
    <w:p>
      <w:pPr>
        <w:pStyle w:val="yShoulderClause"/>
        <w:spacing w:before="80"/>
        <w:rPr>
          <w:snapToGrid w:val="0"/>
        </w:rPr>
      </w:pPr>
      <w:r>
        <w:rPr>
          <w:snapToGrid w:val="0"/>
        </w:rPr>
        <w:t>[s.</w:t>
      </w:r>
      <w:r>
        <w:t> </w:t>
      </w:r>
      <w:r>
        <w:rPr>
          <w:snapToGrid w:val="0"/>
        </w:rPr>
        <w:t>42(2)]</w:t>
      </w:r>
    </w:p>
    <w:p>
      <w:pPr>
        <w:pStyle w:val="yFootnoteheading"/>
      </w:pPr>
      <w:r>
        <w:tab/>
        <w:t>[Heading amended: No. 19 of 2010 s. 4.]</w:t>
      </w:r>
    </w:p>
    <w:p>
      <w:pPr>
        <w:pStyle w:val="yEdnotedivision"/>
      </w:pPr>
      <w:r>
        <w:t>[Heading deleted: No. 58 of 1995 s. 88(1)(b).]</w:t>
      </w:r>
    </w:p>
    <w:p>
      <w:pPr>
        <w:pStyle w:val="yHeading5"/>
        <w:outlineLvl w:val="0"/>
        <w:rPr>
          <w:snapToGrid w:val="0"/>
        </w:rPr>
      </w:pPr>
      <w:bookmarkStart w:id="356" w:name="_Toc530555055"/>
      <w:r>
        <w:rPr>
          <w:rStyle w:val="CharSClsNo"/>
        </w:rPr>
        <w:t>1</w:t>
      </w:r>
      <w:r>
        <w:rPr>
          <w:snapToGrid w:val="0"/>
        </w:rPr>
        <w:t>.</w:t>
      </w:r>
      <w:r>
        <w:rPr>
          <w:snapToGrid w:val="0"/>
        </w:rPr>
        <w:tab/>
        <w:t>Vehicles</w:t>
      </w:r>
      <w:bookmarkEnd w:id="356"/>
    </w:p>
    <w:p>
      <w:pPr>
        <w:pStyle w:val="ySubsection"/>
        <w:rPr>
          <w:snapToGrid w:val="0"/>
        </w:rPr>
      </w:pPr>
      <w:r>
        <w:rPr>
          <w:snapToGrid w:val="0"/>
        </w:rPr>
        <w:tab/>
      </w:r>
      <w:r>
        <w:rPr>
          <w:snapToGrid w:val="0"/>
        </w:rPr>
        <w:tab/>
        <w:t>A proprietor, occupier, or other resident of a lot shall not park or stand any motor or other vehicle upon common property except with the written approval of the strata company.</w:t>
      </w:r>
    </w:p>
    <w:p>
      <w:pPr>
        <w:pStyle w:val="yHeading5"/>
        <w:outlineLvl w:val="0"/>
        <w:rPr>
          <w:snapToGrid w:val="0"/>
        </w:rPr>
      </w:pPr>
      <w:bookmarkStart w:id="357" w:name="_Toc530555056"/>
      <w:r>
        <w:rPr>
          <w:rStyle w:val="CharSClsNo"/>
        </w:rPr>
        <w:t>2</w:t>
      </w:r>
      <w:r>
        <w:rPr>
          <w:snapToGrid w:val="0"/>
        </w:rPr>
        <w:t>.</w:t>
      </w:r>
      <w:r>
        <w:rPr>
          <w:snapToGrid w:val="0"/>
        </w:rPr>
        <w:tab/>
        <w:t>Obstruction of common property</w:t>
      </w:r>
      <w:bookmarkEnd w:id="357"/>
    </w:p>
    <w:p>
      <w:pPr>
        <w:pStyle w:val="ySubsection"/>
        <w:rPr>
          <w:snapToGrid w:val="0"/>
        </w:rPr>
      </w:pPr>
      <w:r>
        <w:rPr>
          <w:snapToGrid w:val="0"/>
        </w:rPr>
        <w:tab/>
      </w:r>
      <w:r>
        <w:rPr>
          <w:snapToGrid w:val="0"/>
        </w:rPr>
        <w:tab/>
        <w:t>A proprietor, occupier, or other resident of a lot shall not obstruct lawful use of common property by any person.</w:t>
      </w:r>
    </w:p>
    <w:p>
      <w:pPr>
        <w:pStyle w:val="yHeading5"/>
        <w:outlineLvl w:val="0"/>
        <w:rPr>
          <w:snapToGrid w:val="0"/>
        </w:rPr>
      </w:pPr>
      <w:bookmarkStart w:id="358" w:name="_Toc530555057"/>
      <w:r>
        <w:rPr>
          <w:rStyle w:val="CharSClsNo"/>
        </w:rPr>
        <w:t>3</w:t>
      </w:r>
      <w:r>
        <w:rPr>
          <w:snapToGrid w:val="0"/>
        </w:rPr>
        <w:t>.</w:t>
      </w:r>
      <w:r>
        <w:rPr>
          <w:snapToGrid w:val="0"/>
        </w:rPr>
        <w:tab/>
        <w:t>Damage to lawns etc. on common property</w:t>
      </w:r>
      <w:bookmarkEnd w:id="358"/>
    </w:p>
    <w:p>
      <w:pPr>
        <w:pStyle w:val="ySubsection"/>
        <w:keepNext/>
        <w:rPr>
          <w:snapToGrid w:val="0"/>
        </w:rPr>
      </w:pPr>
      <w:r>
        <w:rPr>
          <w:snapToGrid w:val="0"/>
        </w:rPr>
        <w:tab/>
      </w:r>
      <w:r>
        <w:rPr>
          <w:snapToGrid w:val="0"/>
        </w:rPr>
        <w:tab/>
        <w:t>Except with the approval of the strata company, a proprietor, occupier, or other resident of a lot shall not —</w:t>
      </w:r>
    </w:p>
    <w:p>
      <w:pPr>
        <w:pStyle w:val="yIndenta"/>
        <w:rPr>
          <w:snapToGrid w:val="0"/>
        </w:rPr>
      </w:pPr>
      <w:r>
        <w:rPr>
          <w:snapToGrid w:val="0"/>
        </w:rPr>
        <w:tab/>
        <w:t>(a)</w:t>
      </w:r>
      <w:r>
        <w:rPr>
          <w:snapToGrid w:val="0"/>
        </w:rPr>
        <w:tab/>
        <w:t>damage any lawn, garden, tree, shrub, plant or flower upon common property; or</w:t>
      </w:r>
    </w:p>
    <w:p>
      <w:pPr>
        <w:pStyle w:val="yIndenta"/>
        <w:rPr>
          <w:snapToGrid w:val="0"/>
        </w:rPr>
      </w:pPr>
      <w:r>
        <w:rPr>
          <w:snapToGrid w:val="0"/>
        </w:rPr>
        <w:tab/>
        <w:t>(b)</w:t>
      </w:r>
      <w:r>
        <w:rPr>
          <w:snapToGrid w:val="0"/>
        </w:rPr>
        <w:tab/>
        <w:t>use any portion of the common property for his own purposes as a garden.</w:t>
      </w:r>
    </w:p>
    <w:p>
      <w:pPr>
        <w:pStyle w:val="yHeading5"/>
        <w:outlineLvl w:val="0"/>
        <w:rPr>
          <w:snapToGrid w:val="0"/>
        </w:rPr>
      </w:pPr>
      <w:bookmarkStart w:id="359" w:name="_Toc530555058"/>
      <w:r>
        <w:rPr>
          <w:rStyle w:val="CharSClsNo"/>
        </w:rPr>
        <w:t>4</w:t>
      </w:r>
      <w:r>
        <w:rPr>
          <w:snapToGrid w:val="0"/>
        </w:rPr>
        <w:t>.</w:t>
      </w:r>
      <w:r>
        <w:rPr>
          <w:snapToGrid w:val="0"/>
        </w:rPr>
        <w:tab/>
        <w:t>Behaviour of proprietors and occupiers</w:t>
      </w:r>
      <w:bookmarkEnd w:id="359"/>
    </w:p>
    <w:p>
      <w:pPr>
        <w:pStyle w:val="ySubsection"/>
        <w:rPr>
          <w:snapToGrid w:val="0"/>
        </w:rPr>
      </w:pPr>
      <w:r>
        <w:rPr>
          <w:snapToGrid w:val="0"/>
        </w:rPr>
        <w:tab/>
      </w:r>
      <w:r>
        <w:rPr>
          <w:snapToGrid w:val="0"/>
        </w:rPr>
        <w:tab/>
        <w:t>A proprietor, occupier, or other resident of a lot shall be adequately clothed when upon common property and shall not use language or behave in a manner likely to cause offence or embarrassment to the proprietor, occupier, or other resident of another lot or to any person lawfully using common property.</w:t>
      </w:r>
    </w:p>
    <w:p>
      <w:pPr>
        <w:pStyle w:val="yHeading5"/>
        <w:outlineLvl w:val="0"/>
        <w:rPr>
          <w:snapToGrid w:val="0"/>
        </w:rPr>
      </w:pPr>
      <w:bookmarkStart w:id="360" w:name="_Toc530555059"/>
      <w:r>
        <w:rPr>
          <w:rStyle w:val="CharSClsNo"/>
        </w:rPr>
        <w:t>5</w:t>
      </w:r>
      <w:r>
        <w:rPr>
          <w:snapToGrid w:val="0"/>
        </w:rPr>
        <w:t>.</w:t>
      </w:r>
      <w:r>
        <w:rPr>
          <w:snapToGrid w:val="0"/>
        </w:rPr>
        <w:tab/>
        <w:t>Children playing upon common property in building</w:t>
      </w:r>
      <w:bookmarkEnd w:id="360"/>
    </w:p>
    <w:p>
      <w:pPr>
        <w:pStyle w:val="ySubsection"/>
        <w:rPr>
          <w:snapToGrid w:val="0"/>
          <w:spacing w:val="-4"/>
        </w:rPr>
      </w:pPr>
      <w:r>
        <w:rPr>
          <w:snapToGrid w:val="0"/>
          <w:spacing w:val="-4"/>
        </w:rPr>
        <w:tab/>
      </w:r>
      <w:r>
        <w:rPr>
          <w:snapToGrid w:val="0"/>
          <w:spacing w:val="-4"/>
        </w:rPr>
        <w:tab/>
        <w:t>A proprietor, occupier, or other resident of a lot shall not permit any child of whom he has control to play upon common property within the building or, unless accompanied by an adult exercising effective control, to be or to remain upon common property comprising a laundry, car parking area or other area of possible danger or hazard to children.</w:t>
      </w:r>
    </w:p>
    <w:p>
      <w:pPr>
        <w:pStyle w:val="yHeading5"/>
        <w:outlineLvl w:val="0"/>
        <w:rPr>
          <w:snapToGrid w:val="0"/>
        </w:rPr>
      </w:pPr>
      <w:bookmarkStart w:id="361" w:name="_Toc530555060"/>
      <w:r>
        <w:rPr>
          <w:rStyle w:val="CharSClsNo"/>
        </w:rPr>
        <w:t>6</w:t>
      </w:r>
      <w:r>
        <w:rPr>
          <w:snapToGrid w:val="0"/>
        </w:rPr>
        <w:t>.</w:t>
      </w:r>
      <w:r>
        <w:rPr>
          <w:snapToGrid w:val="0"/>
        </w:rPr>
        <w:tab/>
        <w:t>Depositing rubbish etc. on common property</w:t>
      </w:r>
      <w:bookmarkEnd w:id="361"/>
    </w:p>
    <w:p>
      <w:pPr>
        <w:pStyle w:val="ySubsection"/>
        <w:rPr>
          <w:snapToGrid w:val="0"/>
        </w:rPr>
      </w:pPr>
      <w:r>
        <w:rPr>
          <w:snapToGrid w:val="0"/>
        </w:rPr>
        <w:tab/>
      </w:r>
      <w:r>
        <w:rPr>
          <w:snapToGrid w:val="0"/>
        </w:rPr>
        <w:tab/>
        <w:t>A proprietor, occupier, or other resident of a lot shall not deposit or throw upon that lot or any other lot or the common property any rubbish, dirt, dust or other material likely to interfere with the peaceful enjoyment of another proprietor, occupier or resident or of any person lawfully using the common property.</w:t>
      </w:r>
    </w:p>
    <w:p>
      <w:pPr>
        <w:pStyle w:val="yFootnotesection"/>
      </w:pPr>
      <w:r>
        <w:tab/>
        <w:t>[By-law 6 amended: No. 58 of 1995 s. 88(2).]</w:t>
      </w:r>
    </w:p>
    <w:p>
      <w:pPr>
        <w:pStyle w:val="yHeading5"/>
        <w:outlineLvl w:val="0"/>
        <w:rPr>
          <w:snapToGrid w:val="0"/>
        </w:rPr>
      </w:pPr>
      <w:bookmarkStart w:id="362" w:name="_Toc530555061"/>
      <w:r>
        <w:rPr>
          <w:rStyle w:val="CharSClsNo"/>
        </w:rPr>
        <w:t>7</w:t>
      </w:r>
      <w:r>
        <w:rPr>
          <w:snapToGrid w:val="0"/>
        </w:rPr>
        <w:t>.</w:t>
      </w:r>
      <w:r>
        <w:rPr>
          <w:snapToGrid w:val="0"/>
        </w:rPr>
        <w:tab/>
        <w:t>Drying of laundry items</w:t>
      </w:r>
      <w:bookmarkEnd w:id="362"/>
    </w:p>
    <w:p>
      <w:pPr>
        <w:pStyle w:val="ySubsection"/>
        <w:keepNext/>
        <w:rPr>
          <w:snapToGrid w:val="0"/>
        </w:rPr>
      </w:pPr>
      <w:r>
        <w:rPr>
          <w:snapToGrid w:val="0"/>
        </w:rPr>
        <w:tab/>
      </w:r>
      <w:r>
        <w:rPr>
          <w:snapToGrid w:val="0"/>
        </w:rPr>
        <w:tab/>
        <w:t>A proprietor, occupier, or other resident of a lot shall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display any sign, advertisement, placard, banner, pamphlet or like matter on any part of his lot in such a way as to be visible from outside the building.</w:t>
      </w:r>
    </w:p>
    <w:p>
      <w:pPr>
        <w:pStyle w:val="yFootnotesection"/>
      </w:pPr>
      <w:r>
        <w:tab/>
        <w:t>[Former by-law 8 repealed: No. 58 of 1995 s. 88(3).]</w:t>
      </w:r>
    </w:p>
    <w:p>
      <w:pPr>
        <w:pStyle w:val="yHeading5"/>
        <w:outlineLvl w:val="0"/>
        <w:rPr>
          <w:snapToGrid w:val="0"/>
        </w:rPr>
      </w:pPr>
      <w:bookmarkStart w:id="363" w:name="_Toc530555062"/>
      <w:r>
        <w:rPr>
          <w:rStyle w:val="CharSClsNo"/>
        </w:rPr>
        <w:t>8</w:t>
      </w:r>
      <w:r>
        <w:rPr>
          <w:snapToGrid w:val="0"/>
        </w:rPr>
        <w:t>.</w:t>
      </w:r>
      <w:r>
        <w:rPr>
          <w:snapToGrid w:val="0"/>
        </w:rPr>
        <w:tab/>
        <w:t>Storage of inflammable liquids etc.</w:t>
      </w:r>
      <w:bookmarkEnd w:id="363"/>
    </w:p>
    <w:p>
      <w:pPr>
        <w:pStyle w:val="ySubsection"/>
        <w:rPr>
          <w:snapToGrid w:val="0"/>
        </w:rPr>
      </w:pPr>
      <w:r>
        <w:rPr>
          <w:snapToGrid w:val="0"/>
        </w:rPr>
        <w:tab/>
      </w:r>
      <w:r>
        <w:rPr>
          <w:snapToGrid w:val="0"/>
        </w:rPr>
        <w:tab/>
        <w:t>A proprietor, occupier, or other resident of a lot shall not, except with the approval in writing of the strata company, use or store upon the lot or upon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w:t>
      </w:r>
    </w:p>
    <w:p>
      <w:pPr>
        <w:pStyle w:val="yHeading5"/>
        <w:outlineLvl w:val="0"/>
        <w:rPr>
          <w:snapToGrid w:val="0"/>
        </w:rPr>
      </w:pPr>
      <w:bookmarkStart w:id="364" w:name="_Toc530555063"/>
      <w:r>
        <w:rPr>
          <w:rStyle w:val="CharSClsNo"/>
        </w:rPr>
        <w:t>9</w:t>
      </w:r>
      <w:r>
        <w:rPr>
          <w:snapToGrid w:val="0"/>
        </w:rPr>
        <w:t>.</w:t>
      </w:r>
      <w:r>
        <w:rPr>
          <w:snapToGrid w:val="0"/>
        </w:rPr>
        <w:tab/>
        <w:t>Moving furniture etc. on or through common property</w:t>
      </w:r>
      <w:bookmarkEnd w:id="364"/>
    </w:p>
    <w:p>
      <w:pPr>
        <w:pStyle w:val="ySubsection"/>
        <w:rPr>
          <w:snapToGrid w:val="0"/>
        </w:rPr>
      </w:pPr>
      <w:r>
        <w:rPr>
          <w:snapToGrid w:val="0"/>
        </w:rPr>
        <w:tab/>
      </w:r>
      <w:r>
        <w:rPr>
          <w:snapToGrid w:val="0"/>
        </w:rPr>
        <w:tab/>
        <w:t>A proprietor, occupier, or other resident of a lot shall not transport any furniture or large object through or upon common property within the building unless he has first given to the council sufficient notice of his intention to do so to enable the council to arrange for its nominee to be present at the time when he does so.</w:t>
      </w:r>
    </w:p>
    <w:p>
      <w:pPr>
        <w:pStyle w:val="yFootnotesection"/>
      </w:pPr>
      <w:r>
        <w:tab/>
        <w:t>[By-law 9, formerly by-law 10, renumbered as by-law 9: No. 58 of 1995 s. 88(4).]</w:t>
      </w:r>
    </w:p>
    <w:p>
      <w:pPr>
        <w:pStyle w:val="yHeading5"/>
        <w:outlineLvl w:val="0"/>
        <w:rPr>
          <w:snapToGrid w:val="0"/>
        </w:rPr>
      </w:pPr>
      <w:bookmarkStart w:id="365" w:name="_Toc530555064"/>
      <w:r>
        <w:rPr>
          <w:rStyle w:val="CharSClsNo"/>
        </w:rPr>
        <w:t>10</w:t>
      </w:r>
      <w:r>
        <w:rPr>
          <w:snapToGrid w:val="0"/>
        </w:rPr>
        <w:t>.</w:t>
      </w:r>
      <w:r>
        <w:rPr>
          <w:snapToGrid w:val="0"/>
        </w:rPr>
        <w:tab/>
        <w:t>Floor coverings</w:t>
      </w:r>
      <w:bookmarkEnd w:id="365"/>
    </w:p>
    <w:p>
      <w:pPr>
        <w:pStyle w:val="ySubsection"/>
        <w:keepNext/>
        <w:keepLines/>
        <w:rPr>
          <w:snapToGrid w:val="0"/>
        </w:rPr>
      </w:pPr>
      <w:r>
        <w:rPr>
          <w:snapToGrid w:val="0"/>
        </w:rPr>
        <w:tab/>
      </w:r>
      <w:r>
        <w:rPr>
          <w:snapToGrid w:val="0"/>
        </w:rPr>
        <w:tab/>
        <w:t>A proprietor of a lot shall ensure that all floor space within the lot (other than that comprising kitchen, laundry, lavatory or bathroom) is covered or otherwise treated to an extent sufficient to prevent the transmission therefrom of noise likely to disturb the peaceful enjoyment of the proprietor, occupier or other resident of another lot.</w:t>
      </w:r>
    </w:p>
    <w:p>
      <w:pPr>
        <w:pStyle w:val="yFootnotesection"/>
      </w:pPr>
      <w:r>
        <w:tab/>
        <w:t>[By-law 10, formerly by-law 11, renumbered as by-law 10: No. 58 of 1995 s. 88(4).]</w:t>
      </w:r>
    </w:p>
    <w:p>
      <w:pPr>
        <w:pStyle w:val="yHeading5"/>
        <w:outlineLvl w:val="0"/>
        <w:rPr>
          <w:snapToGrid w:val="0"/>
        </w:rPr>
      </w:pPr>
      <w:bookmarkStart w:id="366" w:name="_Toc530555065"/>
      <w:r>
        <w:rPr>
          <w:rStyle w:val="CharSClsNo"/>
        </w:rPr>
        <w:t>11</w:t>
      </w:r>
      <w:r>
        <w:rPr>
          <w:snapToGrid w:val="0"/>
        </w:rPr>
        <w:t>.</w:t>
      </w:r>
      <w:r>
        <w:rPr>
          <w:snapToGrid w:val="0"/>
        </w:rPr>
        <w:tab/>
        <w:t>Garbage disposal</w:t>
      </w:r>
      <w:bookmarkEnd w:id="366"/>
    </w:p>
    <w:p>
      <w:pPr>
        <w:pStyle w:val="ySubsection"/>
        <w:keepNext/>
        <w:rPr>
          <w:snapToGrid w:val="0"/>
        </w:rPr>
      </w:pPr>
      <w:r>
        <w:rPr>
          <w:snapToGrid w:val="0"/>
        </w:rPr>
        <w:tab/>
      </w:r>
      <w:r>
        <w:rPr>
          <w:snapToGrid w:val="0"/>
        </w:rPr>
        <w:tab/>
        <w:t>A proprietor or occupier of a lot —</w:t>
      </w:r>
    </w:p>
    <w:p>
      <w:pPr>
        <w:pStyle w:val="yIndenta"/>
        <w:rPr>
          <w:snapToGrid w:val="0"/>
        </w:rPr>
      </w:pPr>
      <w:r>
        <w:rPr>
          <w:snapToGrid w:val="0"/>
        </w:rPr>
        <w:tab/>
        <w:t>(a)</w:t>
      </w:r>
      <w:r>
        <w:rPr>
          <w:snapToGrid w:val="0"/>
        </w:rPr>
        <w:tab/>
        <w:t>shall maintain within his 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ensure that the health, hygiene and comfort of the proprietor, occupier or other resident of any other lot is not adversely affected by his disposal of garbage.</w:t>
      </w:r>
    </w:p>
    <w:p>
      <w:pPr>
        <w:pStyle w:val="yFootnotesection"/>
      </w:pPr>
      <w:r>
        <w:tab/>
        <w:t>[By-law 11, formerly by-law 12, renumbered as by-law 11: No. 58 of 1995 s. 88(4); amended: No. 57 of 1997 s. 115(5).]</w:t>
      </w:r>
    </w:p>
    <w:p>
      <w:pPr>
        <w:pStyle w:val="yHeading5"/>
        <w:outlineLvl w:val="0"/>
        <w:rPr>
          <w:snapToGrid w:val="0"/>
        </w:rPr>
      </w:pPr>
      <w:bookmarkStart w:id="367" w:name="_Toc530555066"/>
      <w:r>
        <w:rPr>
          <w:rStyle w:val="CharSClsNo"/>
        </w:rPr>
        <w:t>12</w:t>
      </w:r>
      <w:r>
        <w:rPr>
          <w:snapToGrid w:val="0"/>
        </w:rPr>
        <w:t>.</w:t>
      </w:r>
      <w:r>
        <w:rPr>
          <w:snapToGrid w:val="0"/>
        </w:rPr>
        <w:tab/>
        <w:t>Additional duties of proprietors, occupiers etc.</w:t>
      </w:r>
      <w:bookmarkEnd w:id="367"/>
    </w:p>
    <w:p>
      <w:pPr>
        <w:pStyle w:val="ySubsection"/>
        <w:keepNext/>
        <w:rPr>
          <w:snapToGrid w:val="0"/>
        </w:rPr>
      </w:pPr>
      <w:r>
        <w:rPr>
          <w:snapToGrid w:val="0"/>
        </w:rPr>
        <w:tab/>
      </w:r>
      <w:r>
        <w:rPr>
          <w:snapToGrid w:val="0"/>
        </w:rPr>
        <w:tab/>
        <w:t>A proprietor, occupier or other resident shall not —</w:t>
      </w:r>
    </w:p>
    <w:p>
      <w:pPr>
        <w:pStyle w:val="yIndenta"/>
        <w:rPr>
          <w:snapToGrid w:val="0"/>
        </w:rPr>
      </w:pPr>
      <w:r>
        <w:rPr>
          <w:snapToGrid w:val="0"/>
        </w:rPr>
        <w:tab/>
        <w:t>(a)</w:t>
      </w:r>
      <w:r>
        <w:rPr>
          <w:snapToGrid w:val="0"/>
        </w:rPr>
        <w:tab/>
        <w:t>use the lot that he owns, occupies or resides in for any purpose that may be illegal or injurious to the reputation of the building; or</w:t>
      </w:r>
    </w:p>
    <w:p>
      <w:pPr>
        <w:pStyle w:val="yIndenta"/>
        <w:rPr>
          <w:snapToGrid w:val="0"/>
        </w:rPr>
      </w:pPr>
      <w:r>
        <w:rPr>
          <w:snapToGrid w:val="0"/>
        </w:rPr>
        <w:tab/>
        <w:t>(b)</w:t>
      </w:r>
      <w:r>
        <w:rPr>
          <w:snapToGrid w:val="0"/>
        </w:rPr>
        <w:tab/>
        <w:t>make undue noise in or about any lot or common property; or</w:t>
      </w:r>
    </w:p>
    <w:p>
      <w:pPr>
        <w:pStyle w:val="yIndenta"/>
        <w:rPr>
          <w:snapToGrid w:val="0"/>
        </w:rPr>
      </w:pPr>
      <w:r>
        <w:rPr>
          <w:snapToGrid w:val="0"/>
        </w:rPr>
        <w:tab/>
        <w:t>(c)</w:t>
      </w:r>
      <w:r>
        <w:rPr>
          <w:snapToGrid w:val="0"/>
        </w:rPr>
        <w:tab/>
        <w:t>subject to section 42(15) of the Act, keep any animals on the lot that he owns, occupies or resides in or the common property after notice in that behalf given to him by the council.</w:t>
      </w:r>
    </w:p>
    <w:p>
      <w:pPr>
        <w:pStyle w:val="yFootnotesection"/>
      </w:pPr>
      <w:r>
        <w:tab/>
        <w:t>[By</w:t>
      </w:r>
      <w:r>
        <w:noBreakHyphen/>
        <w:t>law 12 inserted: No. 58 of 1995 s. 88(5); amended: No. 74 of 2003 s. 112(22).]</w:t>
      </w:r>
    </w:p>
    <w:p>
      <w:pPr>
        <w:pStyle w:val="yHeading5"/>
        <w:outlineLvl w:val="0"/>
        <w:rPr>
          <w:snapToGrid w:val="0"/>
        </w:rPr>
      </w:pPr>
      <w:bookmarkStart w:id="368" w:name="_Toc530555067"/>
      <w:r>
        <w:rPr>
          <w:rStyle w:val="CharSClsNo"/>
        </w:rPr>
        <w:t>13</w:t>
      </w:r>
      <w:r>
        <w:rPr>
          <w:snapToGrid w:val="0"/>
        </w:rPr>
        <w:t>.</w:t>
      </w:r>
      <w:r>
        <w:rPr>
          <w:snapToGrid w:val="0"/>
        </w:rPr>
        <w:tab/>
        <w:t>Notice of alteration to lot</w:t>
      </w:r>
      <w:bookmarkEnd w:id="368"/>
    </w:p>
    <w:p>
      <w:pPr>
        <w:pStyle w:val="ySubsection"/>
        <w:rPr>
          <w:snapToGrid w:val="0"/>
        </w:rPr>
      </w:pPr>
      <w:r>
        <w:rPr>
          <w:snapToGrid w:val="0"/>
        </w:rPr>
        <w:tab/>
      </w:r>
      <w:r>
        <w:rPr>
          <w:snapToGrid w:val="0"/>
        </w:rPr>
        <w:tab/>
        <w:t>A proprietor of a lot shall not alter the structure of the lot except as may be permitted and provided for under the Act and the by</w:t>
      </w:r>
      <w:r>
        <w:rPr>
          <w:snapToGrid w:val="0"/>
        </w:rPr>
        <w:noBreakHyphen/>
        <w:t>laws and in any event shall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w:t>
      </w:r>
    </w:p>
    <w:p>
      <w:pPr>
        <w:pStyle w:val="yHeading5"/>
        <w:outlineLvl w:val="0"/>
        <w:rPr>
          <w:snapToGrid w:val="0"/>
        </w:rPr>
      </w:pPr>
      <w:bookmarkStart w:id="369" w:name="_Toc530555068"/>
      <w:r>
        <w:rPr>
          <w:rStyle w:val="CharSClsNo"/>
        </w:rPr>
        <w:t>14</w:t>
      </w:r>
      <w:r>
        <w:rPr>
          <w:snapToGrid w:val="0"/>
        </w:rPr>
        <w:t>.</w:t>
      </w:r>
      <w:r>
        <w:rPr>
          <w:snapToGrid w:val="0"/>
        </w:rPr>
        <w:tab/>
        <w:t>Appearance of lot</w:t>
      </w:r>
      <w:bookmarkEnd w:id="369"/>
    </w:p>
    <w:p>
      <w:pPr>
        <w:pStyle w:val="ySubsection"/>
        <w:rPr>
          <w:snapToGrid w:val="0"/>
        </w:rPr>
      </w:pPr>
      <w:r>
        <w:rPr>
          <w:snapToGrid w:val="0"/>
        </w:rPr>
        <w:tab/>
      </w:r>
      <w:r>
        <w:rPr>
          <w:snapToGrid w:val="0"/>
        </w:rPr>
        <w:tab/>
        <w:t>A proprietor, occupier or other resident of a lot shall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71" w:name="_Toc525288697"/>
      <w:bookmarkStart w:id="372" w:name="_Toc530554733"/>
      <w:bookmarkStart w:id="373" w:name="_Toc530555069"/>
      <w:r>
        <w:rPr>
          <w:rStyle w:val="CharSchNo"/>
        </w:rPr>
        <w:t>Schedule 2A</w:t>
      </w:r>
      <w:r>
        <w:t> — </w:t>
      </w:r>
      <w:r>
        <w:rPr>
          <w:rStyle w:val="CharSchText"/>
        </w:rPr>
        <w:t>Matters that may be provided for in management statement</w:t>
      </w:r>
      <w:bookmarkEnd w:id="371"/>
      <w:bookmarkEnd w:id="372"/>
      <w:bookmarkEnd w:id="373"/>
    </w:p>
    <w:p>
      <w:pPr>
        <w:pStyle w:val="yShoulderClause"/>
        <w:rPr>
          <w:snapToGrid w:val="0"/>
        </w:rPr>
      </w:pPr>
      <w:r>
        <w:rPr>
          <w:snapToGrid w:val="0"/>
        </w:rPr>
        <w:t>[s. 5C and 42]</w:t>
      </w:r>
    </w:p>
    <w:p>
      <w:pPr>
        <w:pStyle w:val="yFootnoteheading"/>
        <w:rPr>
          <w:snapToGrid w:val="0"/>
        </w:rPr>
      </w:pPr>
      <w:r>
        <w:rPr>
          <w:snapToGrid w:val="0"/>
        </w:rPr>
        <w:tab/>
        <w:t>[Heading inserted: No. 58 of 1995 s. 89; amended: No. 19 of 2010 s. 4.]</w:t>
      </w:r>
    </w:p>
    <w:p>
      <w:pPr>
        <w:pStyle w:val="yMiscellaneousBody"/>
        <w:tabs>
          <w:tab w:val="left" w:pos="567"/>
        </w:tabs>
        <w:ind w:left="567" w:hanging="567"/>
        <w:rPr>
          <w:snapToGrid w:val="0"/>
        </w:rPr>
      </w:pPr>
      <w:r>
        <w:rPr>
          <w:snapToGrid w:val="0"/>
        </w:rPr>
        <w:t>1.</w:t>
      </w:r>
      <w:r>
        <w:rPr>
          <w:snapToGrid w:val="0"/>
        </w:rPr>
        <w:tab/>
        <w:t>The amendment or repeal of a by</w:t>
      </w:r>
      <w:r>
        <w:rPr>
          <w:snapToGrid w:val="0"/>
        </w:rPr>
        <w:noBreakHyphen/>
        <w:t>law contained in Schedule 1.</w:t>
      </w:r>
    </w:p>
    <w:p>
      <w:pPr>
        <w:pStyle w:val="yMiscellaneousBody"/>
        <w:tabs>
          <w:tab w:val="left" w:pos="567"/>
        </w:tabs>
        <w:ind w:left="567" w:hanging="567"/>
        <w:rPr>
          <w:snapToGrid w:val="0"/>
        </w:rPr>
      </w:pPr>
      <w:r>
        <w:rPr>
          <w:snapToGrid w:val="0"/>
        </w:rPr>
        <w:t>2.</w:t>
      </w:r>
      <w:r>
        <w:rPr>
          <w:snapToGrid w:val="0"/>
        </w:rPr>
        <w:tab/>
        <w:t>The amendment or repeal of a by</w:t>
      </w:r>
      <w:r>
        <w:rPr>
          <w:snapToGrid w:val="0"/>
        </w:rPr>
        <w:noBreakHyphen/>
        <w:t>law contained in Schedule 2.</w:t>
      </w:r>
    </w:p>
    <w:p>
      <w:pPr>
        <w:pStyle w:val="yMiscellaneousBody"/>
        <w:tabs>
          <w:tab w:val="left" w:pos="567"/>
        </w:tabs>
        <w:ind w:left="567" w:hanging="567"/>
        <w:rPr>
          <w:snapToGrid w:val="0"/>
        </w:rPr>
      </w:pPr>
      <w:r>
        <w:rPr>
          <w:snapToGrid w:val="0"/>
        </w:rPr>
        <w:t>3.</w:t>
      </w:r>
      <w:r>
        <w:rPr>
          <w:snapToGrid w:val="0"/>
        </w:rPr>
        <w:tab/>
        <w:t>Any additional by</w:t>
      </w:r>
      <w:r>
        <w:rPr>
          <w:snapToGrid w:val="0"/>
        </w:rPr>
        <w:noBreakHyphen/>
        <w:t>law that may be made under section 42.</w:t>
      </w:r>
    </w:p>
    <w:p>
      <w:pPr>
        <w:pStyle w:val="yMiscellaneousBody"/>
        <w:tabs>
          <w:tab w:val="left" w:pos="567"/>
        </w:tabs>
        <w:ind w:left="567" w:hanging="567"/>
        <w:rPr>
          <w:snapToGrid w:val="0"/>
        </w:rPr>
      </w:pPr>
      <w:r>
        <w:rPr>
          <w:snapToGrid w:val="0"/>
        </w:rPr>
        <w:t>4.</w:t>
      </w:r>
      <w:r>
        <w:rPr>
          <w:snapToGrid w:val="0"/>
        </w:rPr>
        <w:tab/>
        <w:t>The control or preservation of the essence or theme of the development under the scheme.</w:t>
      </w:r>
    </w:p>
    <w:p>
      <w:pPr>
        <w:pStyle w:val="yMiscellaneousBody"/>
        <w:tabs>
          <w:tab w:val="left" w:pos="567"/>
        </w:tabs>
        <w:ind w:left="567" w:hanging="567"/>
        <w:rPr>
          <w:snapToGrid w:val="0"/>
        </w:rPr>
      </w:pPr>
      <w:r>
        <w:rPr>
          <w:snapToGrid w:val="0"/>
        </w:rPr>
        <w:t>5.</w:t>
      </w:r>
      <w:r>
        <w:rPr>
          <w:snapToGrid w:val="0"/>
        </w:rPr>
        <w:tab/>
        <w:t>Architectural and landscaping guidelines to be observed by proprietors.</w:t>
      </w:r>
    </w:p>
    <w:p>
      <w:pPr>
        <w:pStyle w:val="yMiscellaneousBody"/>
        <w:tabs>
          <w:tab w:val="left" w:pos="567"/>
        </w:tabs>
        <w:ind w:left="567" w:hanging="567"/>
        <w:rPr>
          <w:snapToGrid w:val="0"/>
        </w:rPr>
      </w:pPr>
      <w:r>
        <w:rPr>
          <w:snapToGrid w:val="0"/>
        </w:rPr>
        <w:t>6.</w:t>
      </w:r>
      <w:r>
        <w:rPr>
          <w:snapToGrid w:val="0"/>
        </w:rPr>
        <w:tab/>
        <w:t>Plot ratio restrictions and open space requirements.</w:t>
      </w:r>
    </w:p>
    <w:p>
      <w:pPr>
        <w:pStyle w:val="yMiscellaneousBody"/>
        <w:tabs>
          <w:tab w:val="left" w:pos="567"/>
        </w:tabs>
        <w:ind w:left="567" w:hanging="567"/>
        <w:rPr>
          <w:snapToGrid w:val="0"/>
        </w:rPr>
      </w:pPr>
      <w:r>
        <w:rPr>
          <w:snapToGrid w:val="0"/>
        </w:rPr>
        <w:t>7.</w:t>
      </w:r>
      <w:r>
        <w:rPr>
          <w:snapToGrid w:val="0"/>
        </w:rPr>
        <w:tab/>
        <w:t>The control, management, use and maintenance of any part of the common property, including any special facilities provided on the common property.</w:t>
      </w:r>
    </w:p>
    <w:p>
      <w:pPr>
        <w:pStyle w:val="yMiscellaneousBody"/>
        <w:tabs>
          <w:tab w:val="left" w:pos="567"/>
        </w:tabs>
        <w:ind w:left="567" w:hanging="567"/>
        <w:rPr>
          <w:snapToGrid w:val="0"/>
        </w:rPr>
      </w:pPr>
      <w:r>
        <w:rPr>
          <w:snapToGrid w:val="0"/>
        </w:rPr>
        <w:t>8.</w:t>
      </w:r>
      <w:r>
        <w:rPr>
          <w:snapToGrid w:val="0"/>
        </w:rPr>
        <w:tab/>
        <w:t>Provisions relating to any proposed re</w:t>
      </w:r>
      <w:r>
        <w:rPr>
          <w:snapToGrid w:val="0"/>
        </w:rPr>
        <w:noBreakHyphen/>
        <w:t>subdivision in a scheme being provisions that —</w:t>
      </w:r>
    </w:p>
    <w:p>
      <w:pPr>
        <w:pStyle w:val="yMiscellaneousBody"/>
        <w:tabs>
          <w:tab w:val="left" w:pos="709"/>
          <w:tab w:val="left" w:pos="1134"/>
        </w:tabs>
        <w:ind w:left="1134" w:hanging="1134"/>
        <w:rPr>
          <w:snapToGrid w:val="0"/>
        </w:rPr>
      </w:pPr>
      <w:r>
        <w:rPr>
          <w:snapToGrid w:val="0"/>
        </w:rPr>
        <w:tab/>
        <w:t>(a)</w:t>
      </w:r>
      <w:r>
        <w:rPr>
          <w:snapToGrid w:val="0"/>
        </w:rPr>
        <w:tab/>
        <w:t>comply with the requirements of section 8A(b) and (c) and any other prescribed requirements; and</w:t>
      </w:r>
    </w:p>
    <w:p>
      <w:pPr>
        <w:pStyle w:val="yMiscellaneousBody"/>
        <w:tabs>
          <w:tab w:val="left" w:pos="709"/>
          <w:tab w:val="left" w:pos="1134"/>
        </w:tabs>
        <w:ind w:left="1134" w:hanging="1134"/>
        <w:rPr>
          <w:snapToGrid w:val="0"/>
        </w:rPr>
      </w:pPr>
      <w:r>
        <w:rPr>
          <w:snapToGrid w:val="0"/>
        </w:rPr>
        <w:tab/>
        <w:t>(b)</w:t>
      </w:r>
      <w:r>
        <w:rPr>
          <w:snapToGrid w:val="0"/>
        </w:rPr>
        <w:tab/>
        <w:t>state the proposed unit entitlement of each lot and the proposed aggregate unit entitlement of the scheme following the completion of all proposed re</w:t>
      </w:r>
      <w:r>
        <w:rPr>
          <w:snapToGrid w:val="0"/>
        </w:rPr>
        <w:noBreakHyphen/>
        <w:t>subdivisions in the scheme.</w:t>
      </w:r>
    </w:p>
    <w:p>
      <w:pPr>
        <w:pStyle w:val="yMiscellaneousBody"/>
        <w:tabs>
          <w:tab w:val="left" w:pos="567"/>
        </w:tabs>
        <w:ind w:left="567" w:hanging="567"/>
        <w:rPr>
          <w:snapToGrid w:val="0"/>
        </w:rPr>
      </w:pPr>
      <w:r>
        <w:rPr>
          <w:snapToGrid w:val="0"/>
        </w:rPr>
        <w:t>9.</w:t>
      </w:r>
      <w:r>
        <w:rPr>
          <w:snapToGrid w:val="0"/>
        </w:rPr>
        <w:tab/>
        <w:t>Matters affecting the provision of, and payment for —</w:t>
      </w:r>
    </w:p>
    <w:p>
      <w:pPr>
        <w:pStyle w:val="yMiscellaneousBody"/>
        <w:tabs>
          <w:tab w:val="left" w:pos="709"/>
          <w:tab w:val="left" w:pos="1134"/>
        </w:tabs>
        <w:ind w:left="1134" w:hanging="1134"/>
        <w:rPr>
          <w:snapToGrid w:val="0"/>
        </w:rPr>
      </w:pPr>
      <w:r>
        <w:rPr>
          <w:snapToGrid w:val="0"/>
        </w:rPr>
        <w:tab/>
        <w:t>(a)</w:t>
      </w:r>
      <w:r>
        <w:rPr>
          <w:snapToGrid w:val="0"/>
        </w:rPr>
        <w:tab/>
        <w:t>internal fencing on the parcel; or</w:t>
      </w:r>
    </w:p>
    <w:p>
      <w:pPr>
        <w:pStyle w:val="yMiscellaneousBody"/>
        <w:tabs>
          <w:tab w:val="left" w:pos="709"/>
          <w:tab w:val="left" w:pos="1134"/>
        </w:tabs>
        <w:ind w:left="1134" w:hanging="1134"/>
        <w:rPr>
          <w:snapToGrid w:val="0"/>
        </w:rPr>
      </w:pPr>
      <w:r>
        <w:rPr>
          <w:snapToGrid w:val="0"/>
        </w:rPr>
        <w:tab/>
        <w:t>(b)</w:t>
      </w:r>
      <w:r>
        <w:rPr>
          <w:snapToGrid w:val="0"/>
        </w:rPr>
        <w:tab/>
        <w:t>fencing to which the Dividing Fences Act 1961 applies,</w:t>
      </w:r>
    </w:p>
    <w:p>
      <w:pPr>
        <w:pStyle w:val="yMiscellaneousBody"/>
        <w:tabs>
          <w:tab w:val="left" w:pos="567"/>
        </w:tabs>
        <w:ind w:left="567" w:hanging="567"/>
        <w:rPr>
          <w:snapToGrid w:val="0"/>
        </w:rPr>
      </w:pPr>
      <w:r>
        <w:rPr>
          <w:snapToGrid w:val="0"/>
        </w:rPr>
        <w:tab/>
        <w:t>including any obligations of the strata company.</w:t>
      </w:r>
    </w:p>
    <w:p>
      <w:pPr>
        <w:pStyle w:val="yMiscellaneousBody"/>
        <w:tabs>
          <w:tab w:val="left" w:pos="567"/>
        </w:tabs>
        <w:ind w:left="567" w:hanging="567"/>
        <w:rPr>
          <w:snapToGrid w:val="0"/>
        </w:rPr>
      </w:pPr>
      <w:r>
        <w:rPr>
          <w:snapToGrid w:val="0"/>
        </w:rPr>
        <w:t>10.</w:t>
      </w:r>
      <w:r>
        <w:rPr>
          <w:snapToGrid w:val="0"/>
        </w:rPr>
        <w:tab/>
        <w:t>The maintenance of water, sewerage, drainage, gas, electricity, telephone and other services.</w:t>
      </w:r>
    </w:p>
    <w:p>
      <w:pPr>
        <w:pStyle w:val="yMiscellaneousBody"/>
        <w:keepNext/>
        <w:tabs>
          <w:tab w:val="left" w:pos="567"/>
        </w:tabs>
        <w:ind w:left="567" w:hanging="567"/>
        <w:rPr>
          <w:snapToGrid w:val="0"/>
        </w:rPr>
      </w:pPr>
      <w:r>
        <w:rPr>
          <w:snapToGrid w:val="0"/>
        </w:rPr>
        <w:t>11.</w:t>
      </w:r>
      <w:r>
        <w:rPr>
          <w:snapToGrid w:val="0"/>
        </w:rPr>
        <w:tab/>
        <w:t>Insurance of the common property.</w:t>
      </w:r>
    </w:p>
    <w:p>
      <w:pPr>
        <w:pStyle w:val="yMiscellaneousBody"/>
        <w:tabs>
          <w:tab w:val="left" w:pos="567"/>
        </w:tabs>
        <w:ind w:left="567" w:hanging="567"/>
        <w:rPr>
          <w:snapToGrid w:val="0"/>
        </w:rPr>
      </w:pPr>
      <w:r>
        <w:rPr>
          <w:snapToGrid w:val="0"/>
        </w:rPr>
        <w:t>12.</w:t>
      </w:r>
      <w:r>
        <w:rPr>
          <w:snapToGrid w:val="0"/>
        </w:rPr>
        <w:tab/>
        <w:t>Safety and security.</w:t>
      </w:r>
    </w:p>
    <w:p>
      <w:pPr>
        <w:pStyle w:val="yMiscellaneousBody"/>
        <w:tabs>
          <w:tab w:val="left" w:pos="567"/>
        </w:tabs>
        <w:ind w:left="567" w:hanging="567"/>
        <w:rPr>
          <w:snapToGrid w:val="0"/>
        </w:rPr>
      </w:pPr>
      <w:r>
        <w:rPr>
          <w:snapToGrid w:val="0"/>
        </w:rPr>
        <w:t>13.</w:t>
      </w:r>
      <w:r>
        <w:rPr>
          <w:snapToGrid w:val="0"/>
        </w:rPr>
        <w:tab/>
        <w:t>The carrying on of any business or trading activity by the strata company, and the method of distributing and sharing any profit or loss.</w:t>
      </w:r>
    </w:p>
    <w:p>
      <w:pPr>
        <w:pStyle w:val="yMiscellaneousBody"/>
        <w:tabs>
          <w:tab w:val="left" w:pos="567"/>
        </w:tabs>
        <w:ind w:left="567" w:hanging="567"/>
        <w:rPr>
          <w:snapToGrid w:val="0"/>
        </w:rPr>
      </w:pPr>
      <w:r>
        <w:rPr>
          <w:snapToGrid w:val="0"/>
        </w:rPr>
        <w:t>14.</w:t>
      </w:r>
      <w:r>
        <w:rPr>
          <w:snapToGrid w:val="0"/>
        </w:rPr>
        <w:tab/>
        <w:t>Procedures to be followed for the resolution of disputes as a prerequisite to the making of an application to the State Administrative Tribunal for relief under this Act.</w:t>
      </w:r>
    </w:p>
    <w:p>
      <w:pPr>
        <w:pStyle w:val="yFootnotesection"/>
        <w:tabs>
          <w:tab w:val="clear" w:pos="893"/>
        </w:tabs>
        <w:ind w:left="0" w:firstLine="0"/>
      </w:pPr>
      <w:r>
        <w:t>[Schedule 2A inserted: No. 58 of 1995 s. 89; amended: No. 61 of 1996 s. 38; No. 55 of 2004 s. 1156(3).]</w:t>
      </w:r>
    </w:p>
    <w:p>
      <w:pPr>
        <w:pStyle w:val="yScheduleHeading"/>
        <w:outlineLvl w:val="0"/>
      </w:pPr>
      <w:bookmarkStart w:id="374" w:name="_Toc525288698"/>
      <w:bookmarkStart w:id="375" w:name="_Toc530554734"/>
      <w:bookmarkStart w:id="376" w:name="_Toc530555070"/>
      <w:r>
        <w:rPr>
          <w:rStyle w:val="CharSchNo"/>
        </w:rPr>
        <w:t>Schedule 3</w:t>
      </w:r>
      <w:r>
        <w:t> — </w:t>
      </w:r>
      <w:r>
        <w:rPr>
          <w:rStyle w:val="CharSchText"/>
        </w:rPr>
        <w:t>Transitional and savings provisions</w:t>
      </w:r>
      <w:bookmarkEnd w:id="374"/>
      <w:bookmarkEnd w:id="375"/>
      <w:bookmarkEnd w:id="376"/>
    </w:p>
    <w:p>
      <w:pPr>
        <w:pStyle w:val="yShoulderClause"/>
        <w:spacing w:before="100"/>
        <w:rPr>
          <w:snapToGrid w:val="0"/>
        </w:rPr>
      </w:pPr>
      <w:r>
        <w:rPr>
          <w:snapToGrid w:val="0"/>
        </w:rPr>
        <w:t>[s. 132]</w:t>
      </w:r>
    </w:p>
    <w:p>
      <w:pPr>
        <w:pStyle w:val="yFootnoteheading"/>
        <w:spacing w:before="60"/>
      </w:pPr>
      <w:r>
        <w:tab/>
        <w:t>[Heading amended: No. 19 of 2010 s. 4.]</w:t>
      </w:r>
    </w:p>
    <w:p>
      <w:pPr>
        <w:pStyle w:val="yHeading5"/>
        <w:outlineLvl w:val="0"/>
        <w:rPr>
          <w:snapToGrid w:val="0"/>
        </w:rPr>
      </w:pPr>
      <w:bookmarkStart w:id="377" w:name="_Toc530555071"/>
      <w:r>
        <w:rPr>
          <w:rStyle w:val="CharSClsNo"/>
        </w:rPr>
        <w:t>1</w:t>
      </w:r>
      <w:r>
        <w:rPr>
          <w:snapToGrid w:val="0"/>
        </w:rPr>
        <w:t>.</w:t>
      </w:r>
      <w:r>
        <w:rPr>
          <w:snapToGrid w:val="0"/>
        </w:rPr>
        <w:tab/>
        <w:t>Terms used</w:t>
      </w:r>
      <w:bookmarkEnd w:id="377"/>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r>
        <w:rPr>
          <w:vertAlign w:val="superscript"/>
        </w:rPr>
        <w:t xml:space="preserve"> 1</w:t>
      </w:r>
      <w:r>
        <w:t>;</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outlineLvl w:val="0"/>
        <w:rPr>
          <w:snapToGrid w:val="0"/>
        </w:rPr>
      </w:pPr>
      <w:bookmarkStart w:id="378" w:name="_Toc530555072"/>
      <w:r>
        <w:rPr>
          <w:rStyle w:val="CharSClsNo"/>
        </w:rPr>
        <w:t>2</w:t>
      </w:r>
      <w:r>
        <w:rPr>
          <w:snapToGrid w:val="0"/>
        </w:rPr>
        <w:t>.</w:t>
      </w:r>
      <w:r>
        <w:rPr>
          <w:snapToGrid w:val="0"/>
        </w:rPr>
        <w:tab/>
        <w:t>Registration of unregistered former strata plans</w:t>
      </w:r>
      <w:bookmarkEnd w:id="378"/>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outlineLvl w:val="0"/>
        <w:rPr>
          <w:snapToGrid w:val="0"/>
        </w:rPr>
      </w:pPr>
      <w:bookmarkStart w:id="379" w:name="_Toc530555073"/>
      <w:r>
        <w:rPr>
          <w:rStyle w:val="CharSClsNo"/>
        </w:rPr>
        <w:t>3</w:t>
      </w:r>
      <w:r>
        <w:rPr>
          <w:snapToGrid w:val="0"/>
        </w:rPr>
        <w:t>.</w:t>
      </w:r>
      <w:r>
        <w:rPr>
          <w:snapToGrid w:val="0"/>
        </w:rPr>
        <w:tab/>
        <w:t>Former lots and former common property to be derived lots and derived common property</w:t>
      </w:r>
      <w:bookmarkEnd w:id="379"/>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spacing w:before="260"/>
        <w:outlineLvl w:val="0"/>
        <w:rPr>
          <w:snapToGrid w:val="0"/>
        </w:rPr>
      </w:pPr>
      <w:bookmarkStart w:id="380" w:name="_Toc530555074"/>
      <w:r>
        <w:rPr>
          <w:rStyle w:val="CharSClsNo"/>
        </w:rPr>
        <w:t>4</w:t>
      </w:r>
      <w:r>
        <w:rPr>
          <w:snapToGrid w:val="0"/>
        </w:rPr>
        <w:t>.</w:t>
      </w:r>
      <w:r>
        <w:rPr>
          <w:snapToGrid w:val="0"/>
        </w:rPr>
        <w:tab/>
        <w:t>Continuation of companies</w:t>
      </w:r>
      <w:bookmarkEnd w:id="380"/>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spacing w:before="260"/>
        <w:outlineLvl w:val="0"/>
        <w:rPr>
          <w:snapToGrid w:val="0"/>
        </w:rPr>
      </w:pPr>
      <w:bookmarkStart w:id="381" w:name="_Toc530555075"/>
      <w:r>
        <w:rPr>
          <w:rStyle w:val="CharSClsNo"/>
        </w:rPr>
        <w:t>5</w:t>
      </w:r>
      <w:r>
        <w:rPr>
          <w:snapToGrid w:val="0"/>
        </w:rPr>
        <w:t>.</w:t>
      </w:r>
      <w:r>
        <w:rPr>
          <w:snapToGrid w:val="0"/>
        </w:rPr>
        <w:tab/>
        <w:t>Continuation of estates or interests in former lots and former common property and rights in former common property</w:t>
      </w:r>
      <w:bookmarkEnd w:id="381"/>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outlineLvl w:val="0"/>
        <w:rPr>
          <w:snapToGrid w:val="0"/>
        </w:rPr>
      </w:pPr>
      <w:bookmarkStart w:id="382" w:name="_Toc530555076"/>
      <w:r>
        <w:rPr>
          <w:rStyle w:val="CharSClsNo"/>
        </w:rPr>
        <w:t>6</w:t>
      </w:r>
      <w:r>
        <w:rPr>
          <w:snapToGrid w:val="0"/>
        </w:rPr>
        <w:t>.</w:t>
      </w:r>
      <w:r>
        <w:rPr>
          <w:snapToGrid w:val="0"/>
        </w:rPr>
        <w:tab/>
        <w:t>Application of Act to former strata schemes, former parcels, derived lots and common property</w:t>
      </w:r>
      <w:bookmarkEnd w:id="382"/>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outlineLvl w:val="0"/>
        <w:rPr>
          <w:snapToGrid w:val="0"/>
        </w:rPr>
      </w:pPr>
      <w:bookmarkStart w:id="383" w:name="_Toc530555077"/>
      <w:r>
        <w:rPr>
          <w:rStyle w:val="CharSClsNo"/>
        </w:rPr>
        <w:t>7</w:t>
      </w:r>
      <w:r>
        <w:rPr>
          <w:snapToGrid w:val="0"/>
        </w:rPr>
        <w:t>.</w:t>
      </w:r>
      <w:r>
        <w:rPr>
          <w:snapToGrid w:val="0"/>
        </w:rPr>
        <w:tab/>
        <w:t>Registration of transfers or leases of derived common property registrable under s. 10 of former Act</w:t>
      </w:r>
      <w:bookmarkEnd w:id="383"/>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outlineLvl w:val="0"/>
        <w:rPr>
          <w:snapToGrid w:val="0"/>
        </w:rPr>
      </w:pPr>
      <w:bookmarkStart w:id="384" w:name="_Toc530555078"/>
      <w:r>
        <w:rPr>
          <w:rStyle w:val="CharSClsNo"/>
        </w:rPr>
        <w:t>8</w:t>
      </w:r>
      <w:r>
        <w:rPr>
          <w:snapToGrid w:val="0"/>
        </w:rPr>
        <w:t>.</w:t>
      </w:r>
      <w:r>
        <w:rPr>
          <w:snapToGrid w:val="0"/>
        </w:rPr>
        <w:tab/>
        <w:t>Reallocation of unit entitlement</w:t>
      </w:r>
      <w:bookmarkEnd w:id="384"/>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outlineLvl w:val="0"/>
        <w:rPr>
          <w:snapToGrid w:val="0"/>
        </w:rPr>
      </w:pPr>
      <w:bookmarkStart w:id="385" w:name="_Toc530555079"/>
      <w:r>
        <w:rPr>
          <w:rStyle w:val="CharSClsNo"/>
        </w:rPr>
        <w:t>9</w:t>
      </w:r>
      <w:r>
        <w:rPr>
          <w:snapToGrid w:val="0"/>
        </w:rPr>
        <w:t>.</w:t>
      </w:r>
      <w:r>
        <w:rPr>
          <w:snapToGrid w:val="0"/>
        </w:rPr>
        <w:tab/>
        <w:t>General meetings of certain continued companies</w:t>
      </w:r>
      <w:bookmarkEnd w:id="385"/>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outlineLvl w:val="0"/>
        <w:rPr>
          <w:snapToGrid w:val="0"/>
        </w:rPr>
      </w:pPr>
      <w:bookmarkStart w:id="386" w:name="_Toc530555080"/>
      <w:r>
        <w:rPr>
          <w:rStyle w:val="CharSClsNo"/>
        </w:rPr>
        <w:t>10</w:t>
      </w:r>
      <w:r>
        <w:rPr>
          <w:snapToGrid w:val="0"/>
        </w:rPr>
        <w:t>.</w:t>
      </w:r>
      <w:r>
        <w:rPr>
          <w:snapToGrid w:val="0"/>
        </w:rPr>
        <w:tab/>
        <w:t>Meetings of former companies held within 2 months after appointed day</w:t>
      </w:r>
      <w:bookmarkEnd w:id="386"/>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outlineLvl w:val="0"/>
        <w:rPr>
          <w:snapToGrid w:val="0"/>
        </w:rPr>
      </w:pPr>
      <w:bookmarkStart w:id="387" w:name="_Toc530555081"/>
      <w:r>
        <w:rPr>
          <w:rStyle w:val="CharSClsNo"/>
        </w:rPr>
        <w:t>11</w:t>
      </w:r>
      <w:r>
        <w:rPr>
          <w:snapToGrid w:val="0"/>
        </w:rPr>
        <w:t>.</w:t>
      </w:r>
      <w:r>
        <w:rPr>
          <w:snapToGrid w:val="0"/>
        </w:rPr>
        <w:tab/>
        <w:t>Notices served by public or local government authority before appointed day</w:t>
      </w:r>
      <w:bookmarkEnd w:id="387"/>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outlineLvl w:val="0"/>
        <w:rPr>
          <w:snapToGrid w:val="0"/>
        </w:rPr>
      </w:pPr>
      <w:bookmarkStart w:id="388" w:name="_Toc530555082"/>
      <w:r>
        <w:rPr>
          <w:rStyle w:val="CharSClsNo"/>
        </w:rPr>
        <w:t>12</w:t>
      </w:r>
      <w:r>
        <w:rPr>
          <w:snapToGrid w:val="0"/>
        </w:rPr>
        <w:t>.</w:t>
      </w:r>
      <w:r>
        <w:rPr>
          <w:snapToGrid w:val="0"/>
        </w:rPr>
        <w:tab/>
        <w:t>Effect of former by</w:t>
      </w:r>
      <w:r>
        <w:rPr>
          <w:snapToGrid w:val="0"/>
        </w:rPr>
        <w:noBreakHyphen/>
        <w:t>laws</w:t>
      </w:r>
      <w:bookmarkEnd w:id="388"/>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outlineLvl w:val="0"/>
        <w:rPr>
          <w:snapToGrid w:val="0"/>
        </w:rPr>
      </w:pPr>
      <w:bookmarkStart w:id="389" w:name="_Toc530555083"/>
      <w:r>
        <w:rPr>
          <w:rStyle w:val="CharSClsNo"/>
        </w:rPr>
        <w:t>13</w:t>
      </w:r>
      <w:r>
        <w:rPr>
          <w:snapToGrid w:val="0"/>
        </w:rPr>
        <w:t>.</w:t>
      </w:r>
      <w:r>
        <w:rPr>
          <w:snapToGrid w:val="0"/>
        </w:rPr>
        <w:tab/>
        <w:t>Maintenance of exclusive use of, or special privileges in respect of, common property</w:t>
      </w:r>
      <w:bookmarkEnd w:id="389"/>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outlineLvl w:val="0"/>
        <w:rPr>
          <w:snapToGrid w:val="0"/>
        </w:rPr>
      </w:pPr>
      <w:bookmarkStart w:id="390" w:name="_Toc530555084"/>
      <w:r>
        <w:rPr>
          <w:rStyle w:val="CharSClsNo"/>
        </w:rPr>
        <w:t>13A</w:t>
      </w:r>
      <w:r>
        <w:rPr>
          <w:snapToGrid w:val="0"/>
        </w:rPr>
        <w:t>.</w:t>
      </w:r>
      <w:r>
        <w:rPr>
          <w:snapToGrid w:val="0"/>
        </w:rPr>
        <w:tab/>
        <w:t>Exclusive use and privileges to lapse unless provided for by by</w:t>
      </w:r>
      <w:r>
        <w:rPr>
          <w:snapToGrid w:val="0"/>
        </w:rPr>
        <w:noBreakHyphen/>
        <w:t>law or SAT’s order</w:t>
      </w:r>
      <w:bookmarkEnd w:id="390"/>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outlineLvl w:val="0"/>
        <w:rPr>
          <w:snapToGrid w:val="0"/>
        </w:rPr>
      </w:pPr>
      <w:bookmarkStart w:id="391" w:name="_Toc530555085"/>
      <w:r>
        <w:rPr>
          <w:rStyle w:val="CharSClsNo"/>
        </w:rPr>
        <w:t>13B</w:t>
      </w:r>
      <w:r>
        <w:rPr>
          <w:snapToGrid w:val="0"/>
        </w:rPr>
        <w:t>.</w:t>
      </w:r>
      <w:r>
        <w:rPr>
          <w:snapToGrid w:val="0"/>
        </w:rPr>
        <w:tab/>
        <w:t>Strata companies to notify proprietors of operation of cl. 13A</w:t>
      </w:r>
      <w:bookmarkEnd w:id="391"/>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outlineLvl w:val="0"/>
        <w:rPr>
          <w:snapToGrid w:val="0"/>
        </w:rPr>
      </w:pPr>
      <w:bookmarkStart w:id="392" w:name="_Toc530555086"/>
      <w:r>
        <w:rPr>
          <w:rStyle w:val="CharSClsNo"/>
        </w:rPr>
        <w:t>14</w:t>
      </w:r>
      <w:r>
        <w:rPr>
          <w:snapToGrid w:val="0"/>
        </w:rPr>
        <w:t>.</w:t>
      </w:r>
      <w:r>
        <w:rPr>
          <w:snapToGrid w:val="0"/>
        </w:rPr>
        <w:tab/>
        <w:t>Recovery of contributions levied under former Acts</w:t>
      </w:r>
      <w:bookmarkEnd w:id="392"/>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outlineLvl w:val="0"/>
        <w:rPr>
          <w:snapToGrid w:val="0"/>
        </w:rPr>
      </w:pPr>
      <w:bookmarkStart w:id="393" w:name="_Toc530555087"/>
      <w:r>
        <w:rPr>
          <w:rStyle w:val="CharSClsNo"/>
        </w:rPr>
        <w:t>15</w:t>
      </w:r>
      <w:r>
        <w:rPr>
          <w:snapToGrid w:val="0"/>
        </w:rPr>
        <w:t>.</w:t>
      </w:r>
      <w:r>
        <w:rPr>
          <w:snapToGrid w:val="0"/>
        </w:rPr>
        <w:tab/>
        <w:t>Modification of s. 35(1)(j) in relation to companies</w:t>
      </w:r>
      <w:bookmarkEnd w:id="393"/>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outlineLvl w:val="0"/>
        <w:rPr>
          <w:snapToGrid w:val="0"/>
        </w:rPr>
      </w:pPr>
      <w:bookmarkStart w:id="394" w:name="_Toc530555088"/>
      <w:r>
        <w:rPr>
          <w:rStyle w:val="CharSClsNo"/>
        </w:rPr>
        <w:t>16</w:t>
      </w:r>
      <w:r>
        <w:rPr>
          <w:snapToGrid w:val="0"/>
        </w:rPr>
        <w:t>.</w:t>
      </w:r>
      <w:r>
        <w:rPr>
          <w:snapToGrid w:val="0"/>
        </w:rPr>
        <w:tab/>
        <w:t>Inspection of former records etc.</w:t>
      </w:r>
      <w:bookmarkEnd w:id="394"/>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outlineLvl w:val="0"/>
        <w:rPr>
          <w:snapToGrid w:val="0"/>
        </w:rPr>
      </w:pPr>
      <w:bookmarkStart w:id="395" w:name="_Toc530555089"/>
      <w:r>
        <w:rPr>
          <w:rStyle w:val="CharSClsNo"/>
        </w:rPr>
        <w:t>17</w:t>
      </w:r>
      <w:r>
        <w:rPr>
          <w:snapToGrid w:val="0"/>
        </w:rPr>
        <w:t>.</w:t>
      </w:r>
      <w:r>
        <w:rPr>
          <w:snapToGrid w:val="0"/>
        </w:rPr>
        <w:tab/>
        <w:t>Administrative funds of continued companies</w:t>
      </w:r>
      <w:bookmarkEnd w:id="395"/>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outlineLvl w:val="0"/>
        <w:rPr>
          <w:snapToGrid w:val="0"/>
        </w:rPr>
      </w:pPr>
      <w:bookmarkStart w:id="396" w:name="_Toc530555090"/>
      <w:r>
        <w:rPr>
          <w:rStyle w:val="CharSClsNo"/>
        </w:rPr>
        <w:t>18</w:t>
      </w:r>
      <w:r>
        <w:rPr>
          <w:snapToGrid w:val="0"/>
        </w:rPr>
        <w:t>.</w:t>
      </w:r>
      <w:r>
        <w:rPr>
          <w:snapToGrid w:val="0"/>
        </w:rPr>
        <w:tab/>
        <w:t>Modification of s. 43(1)(c) in relation to continued companies</w:t>
      </w:r>
      <w:bookmarkEnd w:id="396"/>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outlineLvl w:val="0"/>
        <w:rPr>
          <w:snapToGrid w:val="0"/>
        </w:rPr>
      </w:pPr>
      <w:bookmarkStart w:id="397" w:name="_Toc530555091"/>
      <w:r>
        <w:rPr>
          <w:rStyle w:val="CharSClsNo"/>
        </w:rPr>
        <w:t>19</w:t>
      </w:r>
      <w:r>
        <w:rPr>
          <w:snapToGrid w:val="0"/>
        </w:rPr>
        <w:t>.</w:t>
      </w:r>
      <w:r>
        <w:rPr>
          <w:snapToGrid w:val="0"/>
        </w:rPr>
        <w:tab/>
        <w:t>Continuation of councils of former companies</w:t>
      </w:r>
      <w:bookmarkEnd w:id="397"/>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outlineLvl w:val="0"/>
        <w:rPr>
          <w:snapToGrid w:val="0"/>
        </w:rPr>
      </w:pPr>
      <w:bookmarkStart w:id="398" w:name="_Toc530555092"/>
      <w:r>
        <w:rPr>
          <w:rStyle w:val="CharSClsNo"/>
        </w:rPr>
        <w:t>20</w:t>
      </w:r>
      <w:r>
        <w:rPr>
          <w:snapToGrid w:val="0"/>
        </w:rPr>
        <w:t>.</w:t>
      </w:r>
      <w:r>
        <w:rPr>
          <w:snapToGrid w:val="0"/>
        </w:rPr>
        <w:tab/>
        <w:t>Ope</w:t>
      </w:r>
      <w:r>
        <w:rPr>
          <w:rStyle w:val="CharSClsNo"/>
        </w:rPr>
        <w:t>r</w:t>
      </w:r>
      <w:r>
        <w:rPr>
          <w:snapToGrid w:val="0"/>
        </w:rPr>
        <w:t>ation of by</w:t>
      </w:r>
      <w:r>
        <w:rPr>
          <w:snapToGrid w:val="0"/>
        </w:rPr>
        <w:noBreakHyphen/>
        <w:t>law 1, Part I of Sch. 1</w:t>
      </w:r>
      <w:bookmarkEnd w:id="398"/>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outlineLvl w:val="0"/>
        <w:rPr>
          <w:snapToGrid w:val="0"/>
        </w:rPr>
      </w:pPr>
      <w:bookmarkStart w:id="399" w:name="_Toc530555093"/>
      <w:r>
        <w:rPr>
          <w:rStyle w:val="CharSClsNo"/>
        </w:rPr>
        <w:t>21</w:t>
      </w:r>
      <w:r>
        <w:rPr>
          <w:snapToGrid w:val="0"/>
        </w:rPr>
        <w:t>.</w:t>
      </w:r>
      <w:r>
        <w:rPr>
          <w:snapToGrid w:val="0"/>
        </w:rPr>
        <w:tab/>
      </w:r>
      <w:r>
        <w:rPr>
          <w:rStyle w:val="CharSClsNo"/>
        </w:rPr>
        <w:t>Modification</w:t>
      </w:r>
      <w:r>
        <w:rPr>
          <w:snapToGrid w:val="0"/>
        </w:rPr>
        <w:t xml:space="preserve"> of Part IV Div. 4</w:t>
      </w:r>
      <w:bookmarkEnd w:id="399"/>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outlineLvl w:val="0"/>
        <w:rPr>
          <w:snapToGrid w:val="0"/>
        </w:rPr>
      </w:pPr>
      <w:bookmarkStart w:id="400" w:name="_Toc530555094"/>
      <w:r>
        <w:rPr>
          <w:rStyle w:val="CharSClsNo"/>
        </w:rPr>
        <w:t>22</w:t>
      </w:r>
      <w:r>
        <w:rPr>
          <w:snapToGrid w:val="0"/>
        </w:rPr>
        <w:t>.</w:t>
      </w:r>
      <w:r>
        <w:rPr>
          <w:snapToGrid w:val="0"/>
        </w:rPr>
        <w:tab/>
        <w:t>Evidentiary effect under s. 61 of particulars furnished under s. 21(3) of former Act</w:t>
      </w:r>
      <w:bookmarkEnd w:id="400"/>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outlineLvl w:val="0"/>
        <w:rPr>
          <w:snapToGrid w:val="0"/>
        </w:rPr>
      </w:pPr>
      <w:bookmarkStart w:id="401" w:name="_Toc530555095"/>
      <w:r>
        <w:rPr>
          <w:rStyle w:val="CharSClsNo"/>
        </w:rPr>
        <w:t>23</w:t>
      </w:r>
      <w:r>
        <w:rPr>
          <w:snapToGrid w:val="0"/>
        </w:rPr>
        <w:t>.</w:t>
      </w:r>
      <w:r>
        <w:rPr>
          <w:snapToGrid w:val="0"/>
        </w:rPr>
        <w:tab/>
        <w:t>Destruction of or damage to building under former Act</w:t>
      </w:r>
      <w:bookmarkEnd w:id="401"/>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outlineLvl w:val="0"/>
        <w:rPr>
          <w:snapToGrid w:val="0"/>
        </w:rPr>
      </w:pPr>
      <w:bookmarkStart w:id="402" w:name="_Toc530555096"/>
      <w:r>
        <w:rPr>
          <w:rStyle w:val="CharSClsNo"/>
        </w:rPr>
        <w:t>24</w:t>
      </w:r>
      <w:r>
        <w:rPr>
          <w:snapToGrid w:val="0"/>
        </w:rPr>
        <w:t>.</w:t>
      </w:r>
      <w:r>
        <w:rPr>
          <w:snapToGrid w:val="0"/>
        </w:rPr>
        <w:tab/>
        <w:t>Administrators under former Act</w:t>
      </w:r>
      <w:bookmarkEnd w:id="402"/>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outlineLvl w:val="0"/>
        <w:rPr>
          <w:snapToGrid w:val="0"/>
        </w:rPr>
      </w:pPr>
      <w:bookmarkStart w:id="403" w:name="_Toc530555097"/>
      <w:r>
        <w:rPr>
          <w:rStyle w:val="CharSClsNo"/>
        </w:rPr>
        <w:t>25</w:t>
      </w:r>
      <w:r>
        <w:rPr>
          <w:snapToGrid w:val="0"/>
        </w:rPr>
        <w:t>.</w:t>
      </w:r>
      <w:r>
        <w:rPr>
          <w:snapToGrid w:val="0"/>
        </w:rPr>
        <w:tab/>
        <w:t>Recovery of rates paid by company</w:t>
      </w:r>
      <w:bookmarkEnd w:id="403"/>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outlineLvl w:val="0"/>
        <w:rPr>
          <w:snapToGrid w:val="0"/>
        </w:rPr>
      </w:pPr>
      <w:bookmarkStart w:id="404" w:name="_Toc530555098"/>
      <w:r>
        <w:rPr>
          <w:rStyle w:val="CharSClsNo"/>
        </w:rPr>
        <w:t>26</w:t>
      </w:r>
      <w:r>
        <w:rPr>
          <w:snapToGrid w:val="0"/>
        </w:rPr>
        <w:t>.</w:t>
      </w:r>
      <w:r>
        <w:rPr>
          <w:snapToGrid w:val="0"/>
        </w:rPr>
        <w:tab/>
        <w:t>Regulations — Transitional</w:t>
      </w:r>
      <w:bookmarkEnd w:id="404"/>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outlineLvl w:val="0"/>
      </w:pPr>
      <w:bookmarkStart w:id="405" w:name="_Toc525288727"/>
      <w:bookmarkStart w:id="406" w:name="_Toc530554763"/>
      <w:bookmarkStart w:id="407" w:name="_Toc530555099"/>
      <w:r>
        <w:rPr>
          <w:rStyle w:val="CharSchNo"/>
        </w:rPr>
        <w:t>Schedule 4</w:t>
      </w:r>
      <w:r>
        <w:t> — </w:t>
      </w:r>
      <w:r>
        <w:rPr>
          <w:rStyle w:val="CharSchText"/>
        </w:rPr>
        <w:t>Transitional provisions for by</w:t>
      </w:r>
      <w:r>
        <w:rPr>
          <w:rStyle w:val="CharSchText"/>
        </w:rPr>
        <w:noBreakHyphen/>
        <w:t>laws of strata companies other than companies to which Schedule 3 applies</w:t>
      </w:r>
      <w:bookmarkEnd w:id="405"/>
      <w:bookmarkEnd w:id="406"/>
      <w:bookmarkEnd w:id="407"/>
    </w:p>
    <w:p>
      <w:pPr>
        <w:pStyle w:val="yShoulderClause"/>
        <w:rPr>
          <w:snapToGrid w:val="0"/>
        </w:rPr>
      </w:pPr>
      <w:r>
        <w:rPr>
          <w:snapToGrid w:val="0"/>
        </w:rPr>
        <w:t>[s. 42C]</w:t>
      </w:r>
    </w:p>
    <w:p>
      <w:pPr>
        <w:pStyle w:val="yFootnoteheading"/>
        <w:tabs>
          <w:tab w:val="clear" w:pos="879"/>
          <w:tab w:val="left" w:pos="890"/>
        </w:tabs>
      </w:pPr>
      <w:r>
        <w:tab/>
        <w:t>[Heading inserted: No. 58 of 1995 s. 91; amended: No. 19 of 2010 s. 4.]</w:t>
      </w:r>
    </w:p>
    <w:p>
      <w:pPr>
        <w:pStyle w:val="yHeading5"/>
        <w:rPr>
          <w:snapToGrid w:val="0"/>
        </w:rPr>
      </w:pPr>
      <w:bookmarkStart w:id="408" w:name="_Toc530555100"/>
      <w:r>
        <w:rPr>
          <w:rStyle w:val="CharSClsNo"/>
        </w:rPr>
        <w:t>1</w:t>
      </w:r>
      <w:r>
        <w:rPr>
          <w:snapToGrid w:val="0"/>
        </w:rPr>
        <w:t>.</w:t>
      </w:r>
      <w:r>
        <w:rPr>
          <w:snapToGrid w:val="0"/>
        </w:rPr>
        <w:tab/>
        <w:t>Terms used</w:t>
      </w:r>
      <w:bookmarkEnd w:id="408"/>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409" w:name="_Toc530555101"/>
      <w:r>
        <w:rPr>
          <w:rStyle w:val="CharSClsNo"/>
        </w:rPr>
        <w:t>2</w:t>
      </w:r>
      <w:r>
        <w:rPr>
          <w:snapToGrid w:val="0"/>
        </w:rPr>
        <w:t>.</w:t>
      </w:r>
      <w:r>
        <w:rPr>
          <w:snapToGrid w:val="0"/>
        </w:rPr>
        <w:tab/>
        <w:t>Transitional provisions</w:t>
      </w:r>
      <w:bookmarkEnd w:id="409"/>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4" w:bottom="3544" w:left="2404" w:header="709" w:footer="3379" w:gutter="0"/>
          <w:cols w:space="720"/>
          <w:noEndnote/>
          <w:docGrid w:linePitch="326"/>
        </w:sectPr>
      </w:pPr>
    </w:p>
    <w:p>
      <w:pPr>
        <w:pStyle w:val="nHeading2"/>
        <w:outlineLvl w:val="0"/>
      </w:pPr>
      <w:bookmarkStart w:id="410" w:name="_Toc525288730"/>
      <w:bookmarkStart w:id="411" w:name="_Toc530554766"/>
      <w:bookmarkStart w:id="412" w:name="_Toc530555102"/>
      <w:r>
        <w:t>Notes</w:t>
      </w:r>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Act 1985</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413" w:name="_Toc530555103"/>
      <w:r>
        <w:rPr>
          <w:snapToGrid w:val="0"/>
        </w:rPr>
        <w:t>Compilation table</w:t>
      </w:r>
      <w:bookmarkEnd w:id="413"/>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smartTag w:uri="urn:schemas-microsoft-com:office:smarttags" w:element="City">
                  <w:r>
                    <w:rPr>
                      <w:i/>
                    </w:rPr>
                    <w:t>Parks</w:t>
                  </w:r>
                </w:smartTag>
              </w:smartTag>
            </w:smartTag>
            <w:r>
              <w:rPr>
                <w:i/>
              </w:rPr>
              <w:t xml:space="preserve">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City">
                <w:r>
                  <w:rPr>
                    <w:i/>
                  </w:rPr>
                  <w:t>Parks</w:t>
                </w:r>
              </w:smartTag>
            </w:smartTag>
            <w:r>
              <w:rPr>
                <w:i/>
              </w:rPr>
              <w:t xml:space="preserve">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City">
                <w:r>
                  <w:rPr>
                    <w:i/>
                  </w:rPr>
                  <w:t>Parks</w:t>
                </w:r>
              </w:smartTag>
            </w:smartTag>
            <w:r>
              <w:rPr>
                <w:i/>
              </w:rPr>
              <w:t xml:space="preserve">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rFonts w:ascii="Times" w:hAnsi="Times"/>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rFonts w:ascii="Times" w:hAnsi="Times"/>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rPr>
                <w:rFonts w:ascii="Times" w:hAnsi="Times"/>
              </w:rPr>
            </w:pPr>
            <w:r>
              <w:rPr>
                <w:snapToGrid w:val="0"/>
              </w:rPr>
              <w:t>59 of 2004 (as amended by No. 2 of 2008 s. 77(12) and (13))</w:t>
            </w:r>
          </w:p>
        </w:tc>
        <w:tc>
          <w:tcPr>
            <w:tcW w:w="1134" w:type="dxa"/>
            <w:gridSpan w:val="2"/>
          </w:tcPr>
          <w:p>
            <w:pPr>
              <w:pStyle w:val="nTable"/>
              <w:spacing w:after="40"/>
              <w:rPr>
                <w:rFonts w:ascii="Times" w:hAnsi="Times"/>
              </w:rPr>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121 </w:t>
            </w:r>
            <w:r>
              <w:rPr>
                <w:rFonts w:ascii="Times" w:hAnsi="Times"/>
                <w:vertAlign w:val="superscript"/>
              </w:rPr>
              <w:t>15, 16</w:t>
            </w:r>
          </w:p>
        </w:tc>
        <w:tc>
          <w:tcPr>
            <w:tcW w:w="1134" w:type="dxa"/>
            <w:gridSpan w:val="2"/>
          </w:tcPr>
          <w:p>
            <w:pPr>
              <w:pStyle w:val="nTable"/>
              <w:spacing w:after="40"/>
              <w:rPr>
                <w:snapToGrid w:val="0"/>
              </w:rPr>
            </w:pPr>
            <w:r>
              <w:rPr>
                <w:rFonts w:ascii="Times" w:hAnsi="Times"/>
              </w:rPr>
              <w:t>55 of 2004</w:t>
            </w:r>
          </w:p>
        </w:tc>
        <w:tc>
          <w:tcPr>
            <w:tcW w:w="1134" w:type="dxa"/>
            <w:gridSpan w:val="2"/>
          </w:tcPr>
          <w:p>
            <w:pPr>
              <w:pStyle w:val="nTable"/>
              <w:spacing w:after="40"/>
            </w:pPr>
            <w:r>
              <w:rPr>
                <w:rFonts w:ascii="Times" w:hAnsi="Times"/>
              </w:rP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rFonts w:ascii="Times" w:hAnsi="Times"/>
                <w:i/>
                <w:iCs/>
                <w:snapToGrid w:val="0"/>
              </w:rPr>
              <w:t>Planning and Development (Consequential and Transitional Provisions) Act 2005</w:t>
            </w:r>
            <w:r>
              <w:rPr>
                <w:rFonts w:ascii="Times" w:hAnsi="Times"/>
              </w:rPr>
              <w:t xml:space="preserve"> s. 15 </w:t>
            </w:r>
            <w:r>
              <w:rPr>
                <w:rFonts w:ascii="Times" w:hAnsi="Times"/>
                <w:vertAlign w:val="superscript"/>
              </w:rPr>
              <w:t>17</w:t>
            </w:r>
          </w:p>
        </w:tc>
        <w:tc>
          <w:tcPr>
            <w:tcW w:w="1134" w:type="dxa"/>
            <w:gridSpan w:val="2"/>
          </w:tcPr>
          <w:p>
            <w:pPr>
              <w:pStyle w:val="nTable"/>
              <w:spacing w:after="40"/>
              <w:rPr>
                <w:snapToGrid w:val="0"/>
              </w:rPr>
            </w:pPr>
            <w:r>
              <w:rPr>
                <w:rFonts w:ascii="Times" w:hAnsi="Times"/>
                <w:snapToGrid w:val="0"/>
              </w:rPr>
              <w:t>38 of 2005</w:t>
            </w:r>
          </w:p>
        </w:tc>
        <w:tc>
          <w:tcPr>
            <w:tcW w:w="1134" w:type="dxa"/>
            <w:gridSpan w:val="2"/>
          </w:tcPr>
          <w:p>
            <w:pPr>
              <w:pStyle w:val="nTable"/>
              <w:spacing w:after="40"/>
            </w:pPr>
            <w:r>
              <w:rPr>
                <w:rFonts w:ascii="Times" w:hAnsi="Times"/>
              </w:rP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spacing w:after="40"/>
              <w:rPr>
                <w:rFonts w:ascii="Times" w:hAnsi="Times"/>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rFonts w:ascii="Times" w:hAnsi="Times"/>
                <w:snapToGrid w:val="0"/>
              </w:rPr>
            </w:pPr>
            <w:r>
              <w:rPr>
                <w:snapToGrid w:val="0"/>
              </w:rPr>
              <w:t>60 of 2006</w:t>
            </w:r>
          </w:p>
        </w:tc>
        <w:tc>
          <w:tcPr>
            <w:tcW w:w="1134" w:type="dxa"/>
            <w:gridSpan w:val="2"/>
          </w:tcPr>
          <w:p>
            <w:pPr>
              <w:pStyle w:val="nTable"/>
              <w:spacing w:after="40"/>
              <w:rPr>
                <w:rFonts w:ascii="Times" w:hAnsi="Times"/>
              </w:rPr>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tcBorders>
              <w:bottom w:val="single" w:sz="4" w:space="0" w:color="auto"/>
            </w:tcBorders>
            <w:shd w:val="clear" w:color="auto" w:fill="auto"/>
          </w:tcPr>
          <w:p>
            <w:pPr>
              <w:pStyle w:val="nTable"/>
              <w:spacing w:after="40"/>
              <w:ind w:right="113"/>
              <w:rPr>
                <w:i/>
              </w:rPr>
            </w:pPr>
            <w:r>
              <w:rPr>
                <w:i/>
              </w:rPr>
              <w:t>Land Legislation Amendment (Taxing) Act 2015</w:t>
            </w:r>
            <w:r>
              <w:t xml:space="preserve"> Pt. 3</w:t>
            </w:r>
          </w:p>
        </w:tc>
        <w:tc>
          <w:tcPr>
            <w:tcW w:w="1134" w:type="dxa"/>
            <w:gridSpan w:val="2"/>
            <w:tcBorders>
              <w:bottom w:val="single" w:sz="4" w:space="0" w:color="auto"/>
            </w:tcBorders>
            <w:shd w:val="clear" w:color="auto" w:fill="auto"/>
          </w:tcPr>
          <w:p>
            <w:pPr>
              <w:pStyle w:val="nTable"/>
              <w:spacing w:after="40"/>
            </w:pPr>
            <w:r>
              <w:t>12 of 2015</w:t>
            </w:r>
          </w:p>
        </w:tc>
        <w:tc>
          <w:tcPr>
            <w:tcW w:w="1134" w:type="dxa"/>
            <w:gridSpan w:val="2"/>
            <w:tcBorders>
              <w:bottom w:val="single" w:sz="4" w:space="0" w:color="auto"/>
            </w:tcBorders>
            <w:shd w:val="clear" w:color="auto" w:fill="auto"/>
          </w:tcPr>
          <w:p>
            <w:pPr>
              <w:pStyle w:val="nTable"/>
              <w:spacing w:after="40"/>
            </w:pPr>
            <w:r>
              <w:t>29 Apr 2015</w:t>
            </w:r>
          </w:p>
        </w:tc>
        <w:tc>
          <w:tcPr>
            <w:tcW w:w="2551" w:type="dxa"/>
            <w:gridSpan w:val="2"/>
            <w:tcBorders>
              <w:bottom w:val="single" w:sz="4" w:space="0" w:color="auto"/>
            </w:tcBorders>
            <w:shd w:val="clear" w:color="auto" w:fill="auto"/>
          </w:tcPr>
          <w:p>
            <w:pPr>
              <w:pStyle w:val="nTable"/>
              <w:spacing w:after="40"/>
            </w:pPr>
            <w:r>
              <w:t xml:space="preserve">30 Jun 2015 (see s. 2(b) and </w:t>
            </w:r>
            <w:r>
              <w:rPr>
                <w:i/>
              </w:rPr>
              <w:t>Gazette</w:t>
            </w:r>
            <w:r>
              <w:t xml:space="preserve"> 2 Jun 2015 p. 1937)</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414" w:name="_Toc530555104"/>
      <w:r>
        <w:rPr>
          <w:snapToGrid w:val="0"/>
        </w:rPr>
        <w:t>Provisions that have not come into operation</w:t>
      </w:r>
      <w:bookmarkEnd w:id="414"/>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10"/>
        <w:gridCol w:w="1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7" w:type="dxa"/>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 </w:t>
            </w:r>
            <w:r>
              <w:rPr>
                <w:snapToGrid w:val="0"/>
                <w:vertAlign w:val="superscript"/>
              </w:rPr>
              <w:t>18</w:t>
            </w:r>
          </w:p>
        </w:tc>
        <w:tc>
          <w:tcPr>
            <w:tcW w:w="1137" w:type="dxa"/>
            <w:gridSpan w:val="2"/>
            <w:tcBorders>
              <w:top w:val="single" w:sz="2" w:space="0" w:color="auto"/>
            </w:tcBorders>
          </w:tcPr>
          <w:p>
            <w:pPr>
              <w:pStyle w:val="nTable"/>
              <w:keepNext/>
              <w:spacing w:after="40"/>
            </w:pPr>
            <w:r>
              <w:t>43 of 2000</w:t>
            </w:r>
          </w:p>
        </w:tc>
        <w:tc>
          <w:tcPr>
            <w:tcW w:w="1137" w:type="dxa"/>
            <w:gridSpan w:val="2"/>
            <w:tcBorders>
              <w:top w:val="single" w:sz="2" w:space="0" w:color="auto"/>
            </w:tcBorders>
          </w:tcPr>
          <w:p>
            <w:pPr>
              <w:pStyle w:val="nTable"/>
              <w:keepNext/>
              <w:spacing w:after="40"/>
            </w:pPr>
            <w:r>
              <w:t>2 Nov 2000</w:t>
            </w:r>
          </w:p>
        </w:tc>
        <w:tc>
          <w:tcPr>
            <w:tcW w:w="2551" w:type="dxa"/>
            <w:gridSpan w:val="3"/>
            <w:tcBorders>
              <w:top w:val="single" w:sz="2"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7" w:type="dxa"/>
        </w:trPr>
        <w:tc>
          <w:tcPr>
            <w:tcW w:w="2296" w:type="dxa"/>
            <w:gridSpan w:val="2"/>
            <w:tcBorders>
              <w:top w:val="nil"/>
              <w:bottom w:val="nil"/>
            </w:tcBorders>
          </w:tcPr>
          <w:p>
            <w:pPr>
              <w:pStyle w:val="nTable"/>
              <w:keepNext/>
              <w:spacing w:after="40"/>
              <w:rPr>
                <w:vertAlign w:val="superscript"/>
              </w:rPr>
            </w:pPr>
            <w:r>
              <w:rPr>
                <w:i/>
              </w:rPr>
              <w:t xml:space="preserve">Heritage Act 2018 </w:t>
            </w:r>
            <w:r>
              <w:t>s. 187 </w:t>
            </w:r>
            <w:r>
              <w:rPr>
                <w:vertAlign w:val="superscript"/>
              </w:rPr>
              <w:t>19</w:t>
            </w:r>
          </w:p>
        </w:tc>
        <w:tc>
          <w:tcPr>
            <w:tcW w:w="1134" w:type="dxa"/>
            <w:gridSpan w:val="2"/>
            <w:tcBorders>
              <w:top w:val="nil"/>
              <w:bottom w:val="nil"/>
            </w:tcBorders>
          </w:tcPr>
          <w:p>
            <w:pPr>
              <w:pStyle w:val="nTable"/>
              <w:spacing w:after="40"/>
            </w:pPr>
            <w:r>
              <w:t>22 of 2018</w:t>
            </w:r>
          </w:p>
        </w:tc>
        <w:tc>
          <w:tcPr>
            <w:tcW w:w="1134" w:type="dxa"/>
            <w:gridSpan w:val="2"/>
            <w:tcBorders>
              <w:top w:val="nil"/>
              <w:bottom w:val="nil"/>
            </w:tcBorders>
          </w:tcPr>
          <w:p>
            <w:pPr>
              <w:pStyle w:val="nTable"/>
              <w:spacing w:after="40"/>
            </w:pPr>
            <w:r>
              <w:t>18 Sep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7" w:type="dxa"/>
        </w:trPr>
        <w:tc>
          <w:tcPr>
            <w:tcW w:w="2296" w:type="dxa"/>
            <w:gridSpan w:val="2"/>
            <w:tcBorders>
              <w:top w:val="nil"/>
              <w:bottom w:val="single" w:sz="2" w:space="0" w:color="auto"/>
            </w:tcBorders>
          </w:tcPr>
          <w:p>
            <w:pPr>
              <w:pStyle w:val="nTable"/>
              <w:spacing w:after="40"/>
            </w:pPr>
            <w:r>
              <w:rPr>
                <w:i/>
              </w:rPr>
              <w:t>Strata Titles Amendment Act 2018</w:t>
            </w:r>
            <w:r>
              <w:t xml:space="preserve"> Pt. 2</w:t>
            </w:r>
            <w:r>
              <w:rPr>
                <w:vertAlign w:val="superscript"/>
              </w:rPr>
              <w:t> 20</w:t>
            </w:r>
          </w:p>
        </w:tc>
        <w:tc>
          <w:tcPr>
            <w:tcW w:w="1134" w:type="dxa"/>
            <w:gridSpan w:val="2"/>
            <w:tcBorders>
              <w:top w:val="nil"/>
              <w:bottom w:val="single" w:sz="2" w:space="0" w:color="auto"/>
            </w:tcBorders>
          </w:tcPr>
          <w:p>
            <w:pPr>
              <w:pStyle w:val="nTable"/>
              <w:spacing w:after="40"/>
            </w:pPr>
            <w:r>
              <w:t>30 of 2018</w:t>
            </w:r>
          </w:p>
        </w:tc>
        <w:tc>
          <w:tcPr>
            <w:tcW w:w="1134" w:type="dxa"/>
            <w:gridSpan w:val="2"/>
            <w:tcBorders>
              <w:top w:val="nil"/>
              <w:bottom w:val="single" w:sz="2" w:space="0" w:color="auto"/>
            </w:tcBorders>
          </w:tcPr>
          <w:p>
            <w:pPr>
              <w:pStyle w:val="nTable"/>
              <w:spacing w:after="40"/>
            </w:pPr>
            <w:r>
              <w:t>19 Nov 2018</w:t>
            </w:r>
          </w:p>
        </w:tc>
        <w:tc>
          <w:tcPr>
            <w:tcW w:w="2524" w:type="dxa"/>
            <w:tcBorders>
              <w:top w:val="nil"/>
              <w:bottom w:val="single" w:sz="2"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Subsection"/>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Subsection"/>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Subsection"/>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Subsection"/>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Subsection"/>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Subsection"/>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Subsection"/>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Subsection"/>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Subsection"/>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Subsection"/>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Subsection"/>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Subsection"/>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Subsection"/>
        <w:keepNext/>
        <w:keepLines/>
      </w:pPr>
      <w:r>
        <w:rPr>
          <w:szCs w:val="28"/>
          <w:vertAlign w:val="superscript"/>
        </w:rPr>
        <w:t>18</w:t>
      </w:r>
      <w:r>
        <w:tab/>
        <w:t xml:space="preserve">On the date as at which this compilation was prepared, the </w:t>
      </w:r>
      <w:r>
        <w:rPr>
          <w:i/>
          <w:iCs/>
        </w:rPr>
        <w:t>State Superannuation (Transitional and Consequential Provisions) Act 2000</w:t>
      </w:r>
      <w:r>
        <w:t xml:space="preserve"> s. 67 had not come into operation.  It reads as follows:</w:t>
      </w:r>
    </w:p>
    <w:p>
      <w:pPr>
        <w:pStyle w:val="BlankOpen"/>
        <w:rPr>
          <w:snapToGrid w:val="0"/>
        </w:rPr>
      </w:pPr>
    </w:p>
    <w:p>
      <w:pPr>
        <w:pStyle w:val="nzHeading5"/>
        <w:spacing w:before="0"/>
      </w:pPr>
      <w:r>
        <w:t>67.</w:t>
      </w:r>
      <w:r>
        <w:tab/>
      </w:r>
      <w:r>
        <w:rPr>
          <w:i/>
          <w:iCs/>
        </w:rPr>
        <w:t>Strata Titles Act 1985</w:t>
      </w:r>
      <w:r>
        <w:t xml:space="preserve"> amended</w:t>
      </w:r>
    </w:p>
    <w:p>
      <w:pPr>
        <w:pStyle w:val="nzSubsection"/>
      </w:pPr>
      <w:r>
        <w:tab/>
      </w:r>
      <w:r>
        <w:tab/>
        <w:t xml:space="preserve">Section 73(1)(g)(i) of the </w:t>
      </w:r>
      <w:r>
        <w:rPr>
          <w:i/>
          <w:iCs/>
        </w:rPr>
        <w:t>Strata Titles Act 1985</w:t>
      </w:r>
      <w:r>
        <w:t xml:space="preserve"> is amended by deleting “, and in particular his rights, if any, under the </w:t>
      </w:r>
      <w:r>
        <w:rPr>
          <w:i/>
          <w:iCs/>
        </w:rPr>
        <w:t>Superannuation and Family Benefits Act 1938</w:t>
      </w:r>
      <w:r>
        <w:t>.”.</w:t>
      </w:r>
    </w:p>
    <w:p>
      <w:pPr>
        <w:pStyle w:val="BlankClose"/>
        <w:rPr>
          <w:snapToGrid w:val="0"/>
        </w:rPr>
      </w:pPr>
    </w:p>
    <w:p>
      <w:pPr>
        <w:pStyle w:val="nSubsection"/>
        <w:spacing w:before="60"/>
      </w:pPr>
      <w:r>
        <w:tab/>
        <w:t xml:space="preserve">The section that it seeks to amend has been repealed by the </w:t>
      </w:r>
      <w:r>
        <w:rPr>
          <w:i/>
          <w:iCs/>
        </w:rPr>
        <w:t>State Administrative Tribunal (Conferral of Jurisdiction) Amendment and Repeal Act 2004</w:t>
      </w:r>
      <w:r>
        <w:t xml:space="preserve"> s. 1125.</w:t>
      </w:r>
    </w:p>
    <w:p>
      <w:pPr>
        <w:pStyle w:val="nSubsection"/>
      </w:pPr>
      <w:r>
        <w:rPr>
          <w:vertAlign w:val="superscript"/>
        </w:rPr>
        <w:t>19</w:t>
      </w:r>
      <w:r>
        <w:tab/>
        <w:t xml:space="preserve">On the date as at which this compilation was prepared, the </w:t>
      </w:r>
      <w:r>
        <w:rPr>
          <w:i/>
        </w:rPr>
        <w:t>Heritage Act 2018</w:t>
      </w:r>
      <w:r>
        <w:t xml:space="preserve"> s. 187 had not come into operation.  It reads as follows:</w:t>
      </w:r>
    </w:p>
    <w:p>
      <w:pPr>
        <w:pStyle w:val="BlankOpen"/>
      </w:pPr>
    </w:p>
    <w:p>
      <w:pPr>
        <w:pStyle w:val="nzHeading5"/>
      </w:pPr>
      <w:r>
        <w:rPr>
          <w:rStyle w:val="CharSectno"/>
        </w:rPr>
        <w:t>187</w:t>
      </w:r>
      <w:r>
        <w:t>.</w:t>
      </w:r>
      <w:r>
        <w:tab/>
      </w:r>
      <w:r>
        <w:rPr>
          <w:i/>
        </w:rPr>
        <w:t>Strata Titles Act 1985</w:t>
      </w:r>
      <w:r>
        <w:t xml:space="preserve"> amended</w:t>
      </w:r>
    </w:p>
    <w:p>
      <w:pPr>
        <w:pStyle w:val="nzSubsection"/>
      </w:pPr>
      <w:r>
        <w:tab/>
        <w:t>(1)</w:t>
      </w:r>
      <w:r>
        <w:tab/>
        <w:t xml:space="preserve">This section amends the </w:t>
      </w:r>
      <w:r>
        <w:rPr>
          <w:i/>
        </w:rPr>
        <w:t>Strata Titles Act 1985</w:t>
      </w:r>
      <w:r>
        <w:t>.</w:t>
      </w:r>
    </w:p>
    <w:p>
      <w:pPr>
        <w:pStyle w:val="nzSubsection"/>
      </w:pPr>
      <w:r>
        <w:tab/>
        <w:t>(2)</w:t>
      </w:r>
      <w:r>
        <w:tab/>
        <w:t xml:space="preserve">In section 25(7)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pPr>
    </w:p>
    <w:p>
      <w:pPr>
        <w:pStyle w:val="nzSubsection"/>
      </w:pPr>
      <w:r>
        <w:tab/>
        <w:t>(3)</w:t>
      </w:r>
      <w:r>
        <w:tab/>
        <w:t xml:space="preserve">In section 25(8) delete “land to which section 78 of the </w:t>
      </w:r>
      <w:r>
        <w:rPr>
          <w:i/>
        </w:rPr>
        <w:t xml:space="preserve">Heritage of Western Australia Act 1990 </w:t>
      </w:r>
      <w:r>
        <w:t>applies.” and insert:</w:t>
      </w:r>
    </w:p>
    <w:p>
      <w:pPr>
        <w:pStyle w:val="BlankOpen"/>
        <w:keepNext w:val="0"/>
      </w:pPr>
    </w:p>
    <w:p>
      <w:pPr>
        <w:pStyle w:val="nzSubsection"/>
      </w:pPr>
      <w:r>
        <w:tab/>
      </w:r>
      <w:r>
        <w:tab/>
        <w:t xml:space="preserve">included in a place of a kind referred to in the </w:t>
      </w:r>
      <w:r>
        <w:rPr>
          <w:i/>
        </w:rPr>
        <w:t>Heritage Act 2018</w:t>
      </w:r>
      <w:r>
        <w:t xml:space="preserve"> section 72(1).</w:t>
      </w:r>
    </w:p>
    <w:p>
      <w:pPr>
        <w:pStyle w:val="BlankClose"/>
      </w:pPr>
    </w:p>
    <w:p>
      <w:pPr>
        <w:pStyle w:val="BlankClose"/>
      </w:pPr>
    </w:p>
    <w:p>
      <w:pPr>
        <w:pStyle w:val="nSubsection"/>
        <w:spacing w:before="60"/>
      </w:pPr>
    </w:p>
    <w:p>
      <w:pPr>
        <w:pStyle w:val="nSubsection"/>
        <w:spacing w:before="60"/>
      </w:pPr>
    </w:p>
    <w:p>
      <w:pPr>
        <w:pStyle w:val="nSubsection"/>
      </w:pPr>
      <w:bookmarkStart w:id="415" w:name="_Toc517437462"/>
      <w:bookmarkStart w:id="416" w:name="_Toc517438004"/>
      <w:bookmarkStart w:id="417" w:name="_Toc517440341"/>
      <w:bookmarkStart w:id="418" w:name="_Toc517447378"/>
      <w:bookmarkStart w:id="419" w:name="_Toc517449856"/>
      <w:bookmarkStart w:id="420" w:name="_Toc517450398"/>
      <w:bookmarkStart w:id="421" w:name="_Toc517856854"/>
      <w:bookmarkStart w:id="422" w:name="_Toc518292981"/>
      <w:bookmarkStart w:id="423" w:name="_Toc522744209"/>
      <w:bookmarkStart w:id="424" w:name="_Toc522747332"/>
      <w:bookmarkStart w:id="425" w:name="_Toc529183169"/>
      <w:bookmarkStart w:id="426" w:name="_Toc529187932"/>
      <w:bookmarkStart w:id="427" w:name="_Toc529434445"/>
      <w:bookmarkStart w:id="428" w:name="_Toc529524336"/>
      <w:bookmarkStart w:id="429" w:name="_Toc530474260"/>
      <w:bookmarkStart w:id="430" w:name="_Toc530474855"/>
      <w:r>
        <w:rPr>
          <w:vertAlign w:val="superscript"/>
        </w:rPr>
        <w:t>20</w:t>
      </w:r>
      <w:r>
        <w:tab/>
        <w:t xml:space="preserve">On the date as at which this compilation was prepared, the </w:t>
      </w:r>
      <w:r>
        <w:rPr>
          <w:i/>
        </w:rPr>
        <w:t>Strata Titles Amendment Act 2018</w:t>
      </w:r>
      <w:r>
        <w:t xml:space="preserve"> Pt. 2 had not come into operation.  It reads as follows:</w:t>
      </w:r>
    </w:p>
    <w:p>
      <w:pPr>
        <w:pStyle w:val="BlankOpen"/>
      </w:pPr>
    </w:p>
    <w:p>
      <w:pPr>
        <w:pStyle w:val="nzHeading2"/>
      </w:pPr>
      <w:r>
        <w:rPr>
          <w:rStyle w:val="CharPartNo"/>
        </w:rPr>
        <w:t>Part 2</w:t>
      </w:r>
      <w:r>
        <w:t> — </w:t>
      </w:r>
      <w:r>
        <w:rPr>
          <w:rStyle w:val="CharPartText"/>
          <w:i/>
        </w:rPr>
        <w:t>Strata Titles Act 1985</w:t>
      </w:r>
      <w:r>
        <w:rPr>
          <w:rStyle w:val="CharPartText"/>
        </w:rPr>
        <w:t xml:space="preserve"> amended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zHeading3"/>
      </w:pPr>
      <w:bookmarkStart w:id="431" w:name="_Toc517437463"/>
      <w:bookmarkStart w:id="432" w:name="_Toc517438005"/>
      <w:bookmarkStart w:id="433" w:name="_Toc517440342"/>
      <w:bookmarkStart w:id="434" w:name="_Toc517447379"/>
      <w:bookmarkStart w:id="435" w:name="_Toc517449857"/>
      <w:bookmarkStart w:id="436" w:name="_Toc517450399"/>
      <w:bookmarkStart w:id="437" w:name="_Toc517856855"/>
      <w:bookmarkStart w:id="438" w:name="_Toc518292982"/>
      <w:bookmarkStart w:id="439" w:name="_Toc522744210"/>
      <w:bookmarkStart w:id="440" w:name="_Toc522747333"/>
      <w:bookmarkStart w:id="441" w:name="_Toc529183170"/>
      <w:bookmarkStart w:id="442" w:name="_Toc529187933"/>
      <w:bookmarkStart w:id="443" w:name="_Toc529434446"/>
      <w:bookmarkStart w:id="444" w:name="_Toc529524337"/>
      <w:bookmarkStart w:id="445" w:name="_Toc530474261"/>
      <w:bookmarkStart w:id="446" w:name="_Toc530474856"/>
      <w:r>
        <w:rPr>
          <w:rStyle w:val="CharDivNo"/>
        </w:rPr>
        <w:t>Division 1</w:t>
      </w:r>
      <w:r>
        <w:t> — </w:t>
      </w:r>
      <w:r>
        <w:rPr>
          <w:rStyle w:val="CharDivText"/>
        </w:rPr>
        <w:t>Preliminary</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nzHeading5"/>
        <w:rPr>
          <w:snapToGrid w:val="0"/>
        </w:rPr>
      </w:pPr>
      <w:bookmarkStart w:id="447" w:name="_Toc530474262"/>
      <w:bookmarkStart w:id="448" w:name="_Toc530474857"/>
      <w:r>
        <w:rPr>
          <w:rStyle w:val="CharSectno"/>
        </w:rPr>
        <w:t>4</w:t>
      </w:r>
      <w:r>
        <w:rPr>
          <w:snapToGrid w:val="0"/>
        </w:rPr>
        <w:t>.</w:t>
      </w:r>
      <w:r>
        <w:rPr>
          <w:snapToGrid w:val="0"/>
        </w:rPr>
        <w:tab/>
        <w:t>Act amended</w:t>
      </w:r>
      <w:bookmarkEnd w:id="447"/>
      <w:bookmarkEnd w:id="448"/>
    </w:p>
    <w:p>
      <w:pPr>
        <w:pStyle w:val="nzSubsection"/>
      </w:pPr>
      <w:r>
        <w:tab/>
      </w:r>
      <w:r>
        <w:tab/>
        <w:t xml:space="preserve">This Part amends the </w:t>
      </w:r>
      <w:r>
        <w:rPr>
          <w:i/>
        </w:rPr>
        <w:t>Strata Titles Act 1985</w:t>
      </w:r>
      <w:r>
        <w:t>.</w:t>
      </w:r>
    </w:p>
    <w:p>
      <w:pPr>
        <w:pStyle w:val="nzHeading3"/>
      </w:pPr>
      <w:bookmarkStart w:id="449" w:name="_Toc517437465"/>
      <w:bookmarkStart w:id="450" w:name="_Toc517438007"/>
      <w:bookmarkStart w:id="451" w:name="_Toc517440344"/>
      <w:bookmarkStart w:id="452" w:name="_Toc517447381"/>
      <w:bookmarkStart w:id="453" w:name="_Toc517449859"/>
      <w:bookmarkStart w:id="454" w:name="_Toc517450401"/>
      <w:bookmarkStart w:id="455" w:name="_Toc517856857"/>
      <w:bookmarkStart w:id="456" w:name="_Toc518292984"/>
      <w:bookmarkStart w:id="457" w:name="_Toc522744212"/>
      <w:bookmarkStart w:id="458" w:name="_Toc522747335"/>
      <w:bookmarkStart w:id="459" w:name="_Toc529183172"/>
      <w:bookmarkStart w:id="460" w:name="_Toc529187935"/>
      <w:bookmarkStart w:id="461" w:name="_Toc529434448"/>
      <w:bookmarkStart w:id="462" w:name="_Toc529524339"/>
      <w:bookmarkStart w:id="463" w:name="_Toc530474263"/>
      <w:bookmarkStart w:id="464" w:name="_Toc530474858"/>
      <w:r>
        <w:rPr>
          <w:rStyle w:val="CharDivNo"/>
        </w:rPr>
        <w:t>Division 2</w:t>
      </w:r>
      <w:r>
        <w:t> — </w:t>
      </w:r>
      <w:r>
        <w:rPr>
          <w:rStyle w:val="CharDivText"/>
        </w:rPr>
        <w:t>Amendment of long title and Parts I to VIII</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PermNoteHeading"/>
      </w:pPr>
      <w:r>
        <w:tab/>
        <w:t>Note:</w:t>
      </w:r>
    </w:p>
    <w:p>
      <w:pPr>
        <w:pStyle w:val="nzPermNoteText"/>
      </w:pPr>
      <w:r>
        <w:tab/>
      </w:r>
      <w:r>
        <w:tab/>
        <w:t>The sections amended in this Division and other sections not amended are redesignated or renumbered and relocated by Divisions 4 and 6.</w:t>
      </w:r>
    </w:p>
    <w:p>
      <w:pPr>
        <w:pStyle w:val="nzHeading5"/>
      </w:pPr>
      <w:bookmarkStart w:id="465" w:name="_Toc530474264"/>
      <w:bookmarkStart w:id="466" w:name="_Toc530474859"/>
      <w:r>
        <w:rPr>
          <w:rStyle w:val="CharSectno"/>
        </w:rPr>
        <w:t>5</w:t>
      </w:r>
      <w:r>
        <w:t>.</w:t>
      </w:r>
      <w:r>
        <w:tab/>
        <w:t>Long title replaced</w:t>
      </w:r>
      <w:bookmarkEnd w:id="465"/>
      <w:bookmarkEnd w:id="466"/>
    </w:p>
    <w:p>
      <w:pPr>
        <w:pStyle w:val="nzSubsection"/>
      </w:pPr>
      <w:r>
        <w:tab/>
      </w:r>
      <w:r>
        <w:tab/>
        <w:t>Delete the long title and insert:</w:t>
      </w:r>
    </w:p>
    <w:p>
      <w:pPr>
        <w:pStyle w:val="BlankOpen"/>
      </w:pPr>
    </w:p>
    <w:p>
      <w:pPr>
        <w:pStyle w:val="zLongTitle"/>
      </w:pPr>
      <w:r>
        <w:tab/>
        <w:t xml:space="preserve">An Act — </w:t>
      </w:r>
    </w:p>
    <w:p>
      <w:pPr>
        <w:pStyle w:val="zLongTitle"/>
        <w:numPr>
          <w:ilvl w:val="0"/>
          <w:numId w:val="11"/>
        </w:numPr>
        <w:ind w:left="1418" w:hanging="284"/>
      </w:pPr>
      <w:r>
        <w:t>to provide for the subdivision of land by strata titles schemes, the creation of strata titles and the governance and operation of strata titles schemes; and</w:t>
      </w:r>
    </w:p>
    <w:p>
      <w:pPr>
        <w:pStyle w:val="zLongTitle"/>
        <w:numPr>
          <w:ilvl w:val="0"/>
          <w:numId w:val="11"/>
        </w:numPr>
        <w:ind w:left="1418" w:hanging="284"/>
      </w:pPr>
      <w:r>
        <w:t>for related purposes.</w:t>
      </w:r>
    </w:p>
    <w:p>
      <w:pPr>
        <w:pStyle w:val="BlankClose"/>
      </w:pPr>
    </w:p>
    <w:p>
      <w:pPr>
        <w:pStyle w:val="nzHeading5"/>
      </w:pPr>
      <w:bookmarkStart w:id="467" w:name="_Toc530474265"/>
      <w:bookmarkStart w:id="468" w:name="_Toc530474860"/>
      <w:r>
        <w:rPr>
          <w:rStyle w:val="CharSectno"/>
        </w:rPr>
        <w:t>6</w:t>
      </w:r>
      <w:r>
        <w:t>.</w:t>
      </w:r>
      <w:r>
        <w:tab/>
        <w:t>Part 1 heading replaced</w:t>
      </w:r>
      <w:bookmarkEnd w:id="467"/>
      <w:bookmarkEnd w:id="468"/>
    </w:p>
    <w:p>
      <w:pPr>
        <w:pStyle w:val="nzSubsection"/>
      </w:pPr>
      <w:r>
        <w:tab/>
      </w:r>
      <w:r>
        <w:tab/>
        <w:t>Delete the heading to Part 1 and insert:</w:t>
      </w:r>
    </w:p>
    <w:p>
      <w:pPr>
        <w:pStyle w:val="BlankOpen"/>
      </w:pPr>
    </w:p>
    <w:p>
      <w:pPr>
        <w:pStyle w:val="nzHeading2"/>
      </w:pPr>
      <w:bookmarkStart w:id="469" w:name="_Toc517437468"/>
      <w:bookmarkStart w:id="470" w:name="_Toc517438010"/>
      <w:bookmarkStart w:id="471" w:name="_Toc517440347"/>
      <w:bookmarkStart w:id="472" w:name="_Toc517447384"/>
      <w:bookmarkStart w:id="473" w:name="_Toc517449862"/>
      <w:bookmarkStart w:id="474" w:name="_Toc517450404"/>
      <w:bookmarkStart w:id="475" w:name="_Toc517856860"/>
      <w:bookmarkStart w:id="476" w:name="_Toc518292987"/>
      <w:bookmarkStart w:id="477" w:name="_Toc522744215"/>
      <w:bookmarkStart w:id="478" w:name="_Toc522747338"/>
      <w:bookmarkStart w:id="479" w:name="_Toc529183175"/>
      <w:bookmarkStart w:id="480" w:name="_Toc529187938"/>
      <w:bookmarkStart w:id="481" w:name="_Toc529434451"/>
      <w:bookmarkStart w:id="482" w:name="_Toc529524342"/>
      <w:bookmarkStart w:id="483" w:name="_Toc530474266"/>
      <w:bookmarkStart w:id="484" w:name="_Toc530474861"/>
      <w:r>
        <w:t>Part 1 — Preliminary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BlankClose"/>
      </w:pPr>
    </w:p>
    <w:p>
      <w:pPr>
        <w:pStyle w:val="nzHeading5"/>
      </w:pPr>
      <w:bookmarkStart w:id="485" w:name="_Toc530474267"/>
      <w:bookmarkStart w:id="486" w:name="_Toc530474862"/>
      <w:r>
        <w:rPr>
          <w:rStyle w:val="CharSectno"/>
        </w:rPr>
        <w:t>7</w:t>
      </w:r>
      <w:r>
        <w:t>.</w:t>
      </w:r>
      <w:r>
        <w:tab/>
        <w:t>Section 3 amended</w:t>
      </w:r>
      <w:bookmarkEnd w:id="485"/>
      <w:bookmarkEnd w:id="486"/>
    </w:p>
    <w:p>
      <w:pPr>
        <w:pStyle w:val="nzSubsection"/>
      </w:pPr>
      <w:r>
        <w:tab/>
        <w:t>(1)</w:t>
      </w:r>
      <w:r>
        <w:tab/>
        <w:t>In section 3(1) delete the definitions of:</w:t>
      </w:r>
    </w:p>
    <w:p>
      <w:pPr>
        <w:pStyle w:val="nzDeleteListSub"/>
      </w:pPr>
      <w:r>
        <w:rPr>
          <w:b/>
          <w:i/>
        </w:rPr>
        <w:t>administrator</w:t>
      </w:r>
    </w:p>
    <w:p>
      <w:pPr>
        <w:pStyle w:val="nzDeleteListSub"/>
      </w:pPr>
      <w:r>
        <w:t>building</w:t>
      </w:r>
    </w:p>
    <w:p>
      <w:pPr>
        <w:pStyle w:val="nzDeleteListSub"/>
      </w:pPr>
      <w:r>
        <w:t>Commission</w:t>
      </w:r>
    </w:p>
    <w:p>
      <w:pPr>
        <w:pStyle w:val="nzDeleteListSub"/>
      </w:pPr>
      <w:r>
        <w:t>common property</w:t>
      </w:r>
    </w:p>
    <w:p>
      <w:pPr>
        <w:pStyle w:val="nzDeleteListSub"/>
      </w:pPr>
      <w:r>
        <w:t>council</w:t>
      </w:r>
    </w:p>
    <w:p>
      <w:pPr>
        <w:pStyle w:val="nzDeleteListSub"/>
      </w:pPr>
      <w:r>
        <w:t>licensed surveyor</w:t>
      </w:r>
    </w:p>
    <w:p>
      <w:pPr>
        <w:pStyle w:val="nzDeleteListSub"/>
      </w:pPr>
      <w:r>
        <w:t>licensed valuer</w:t>
      </w:r>
    </w:p>
    <w:p>
      <w:pPr>
        <w:pStyle w:val="nzDeleteListSub"/>
      </w:pPr>
      <w:r>
        <w:t>local government</w:t>
      </w:r>
    </w:p>
    <w:p>
      <w:pPr>
        <w:pStyle w:val="nzDeleteListSub"/>
      </w:pPr>
      <w:r>
        <w:t>occupier</w:t>
      </w:r>
    </w:p>
    <w:p>
      <w:pPr>
        <w:pStyle w:val="nzDeleteListSub"/>
      </w:pPr>
      <w:r>
        <w:t>open space</w:t>
      </w:r>
    </w:p>
    <w:p>
      <w:pPr>
        <w:pStyle w:val="nzDeleteListSub"/>
      </w:pPr>
      <w:r>
        <w:t>original proprietor</w:t>
      </w:r>
    </w:p>
    <w:p>
      <w:pPr>
        <w:pStyle w:val="nzDeleteListSub"/>
      </w:pPr>
      <w:r>
        <w:t>parcel</w:t>
      </w:r>
    </w:p>
    <w:p>
      <w:pPr>
        <w:pStyle w:val="nzDeleteListSub"/>
      </w:pPr>
      <w:r>
        <w:t>permitted boundary deviation</w:t>
      </w:r>
    </w:p>
    <w:p>
      <w:pPr>
        <w:pStyle w:val="nzDeleteListSub"/>
      </w:pPr>
      <w:r>
        <w:t>person concerned</w:t>
      </w:r>
    </w:p>
    <w:p>
      <w:pPr>
        <w:pStyle w:val="nzDeleteListSub"/>
      </w:pPr>
      <w:r>
        <w:t>prescribed</w:t>
      </w:r>
    </w:p>
    <w:p>
      <w:pPr>
        <w:pStyle w:val="nzDeleteListSub"/>
      </w:pPr>
      <w:r>
        <w:t>proprietor</w:t>
      </w:r>
    </w:p>
    <w:p>
      <w:pPr>
        <w:pStyle w:val="nzDeleteListSub"/>
      </w:pPr>
      <w:r>
        <w:t>Register</w:t>
      </w:r>
    </w:p>
    <w:p>
      <w:pPr>
        <w:pStyle w:val="nzDeleteListSub"/>
      </w:pPr>
      <w:r>
        <w:t>Registrar of Titles</w:t>
      </w:r>
    </w:p>
    <w:p>
      <w:pPr>
        <w:pStyle w:val="nzDeleteListSub"/>
      </w:pPr>
      <w:r>
        <w:t>resolution without dissent</w:t>
      </w:r>
    </w:p>
    <w:p>
      <w:pPr>
        <w:pStyle w:val="nzDeleteListSub"/>
      </w:pPr>
      <w:r>
        <w:t>re</w:t>
      </w:r>
      <w:r>
        <w:noBreakHyphen/>
        <w:t>subdivision</w:t>
      </w:r>
    </w:p>
    <w:p>
      <w:pPr>
        <w:pStyle w:val="nzDeleteListSub"/>
      </w:pPr>
      <w:r>
        <w:t>scheme</w:t>
      </w:r>
    </w:p>
    <w:p>
      <w:pPr>
        <w:pStyle w:val="nzDeleteListSub"/>
      </w:pPr>
      <w:r>
        <w:t>single tier strata scheme</w:t>
      </w:r>
    </w:p>
    <w:p>
      <w:pPr>
        <w:pStyle w:val="nzDeleteListSub"/>
      </w:pPr>
      <w:r>
        <w:t>special resolution</w:t>
      </w:r>
    </w:p>
    <w:p>
      <w:pPr>
        <w:pStyle w:val="nzDeleteListSub"/>
      </w:pPr>
      <w:r>
        <w:t>strata company</w:t>
      </w:r>
    </w:p>
    <w:p>
      <w:pPr>
        <w:pStyle w:val="nzDeleteListSub"/>
      </w:pPr>
      <w:r>
        <w:t>strata/survey</w:t>
      </w:r>
      <w:r>
        <w:noBreakHyphen/>
        <w:t>strata plan</w:t>
      </w:r>
    </w:p>
    <w:p>
      <w:pPr>
        <w:pStyle w:val="nzDeleteListSub"/>
      </w:pPr>
      <w:r>
        <w:t>strata plan</w:t>
      </w:r>
    </w:p>
    <w:p>
      <w:pPr>
        <w:pStyle w:val="nzDeleteListSub"/>
      </w:pPr>
      <w:r>
        <w:t>strata scheme</w:t>
      </w:r>
    </w:p>
    <w:p>
      <w:pPr>
        <w:pStyle w:val="nzDeleteListSub"/>
      </w:pPr>
      <w:r>
        <w:t>structural cubic space</w:t>
      </w:r>
    </w:p>
    <w:p>
      <w:pPr>
        <w:pStyle w:val="nzDeleteListSub"/>
      </w:pPr>
      <w:r>
        <w:t>survey</w:t>
      </w:r>
      <w:r>
        <w:noBreakHyphen/>
        <w:t>strata plan</w:t>
      </w:r>
    </w:p>
    <w:p>
      <w:pPr>
        <w:pStyle w:val="nzDeleteListSub"/>
      </w:pPr>
      <w:r>
        <w:t>survey</w:t>
      </w:r>
      <w:r>
        <w:noBreakHyphen/>
        <w:t>strata scheme</w:t>
      </w:r>
    </w:p>
    <w:p>
      <w:pPr>
        <w:pStyle w:val="nzDeleteListSub"/>
      </w:pPr>
      <w:r>
        <w:t>take, taken and taking</w:t>
      </w:r>
    </w:p>
    <w:p>
      <w:pPr>
        <w:pStyle w:val="nzDeleteListSub"/>
      </w:pPr>
      <w:r>
        <w:t>two</w:t>
      </w:r>
      <w:r>
        <w:noBreakHyphen/>
        <w:t>lot scheme</w:t>
      </w:r>
    </w:p>
    <w:p>
      <w:pPr>
        <w:pStyle w:val="nzDeleteListSub"/>
      </w:pPr>
      <w:r>
        <w:t>unanimous resolution</w:t>
      </w:r>
    </w:p>
    <w:p>
      <w:pPr>
        <w:pStyle w:val="nzDeleteListSub"/>
      </w:pPr>
      <w:r>
        <w:t>unit entitlement</w:t>
      </w:r>
    </w:p>
    <w:p>
      <w:pPr>
        <w:pStyle w:val="nzSubsection"/>
      </w:pPr>
      <w:r>
        <w:tab/>
        <w:t>(2)</w:t>
      </w:r>
      <w:r>
        <w:tab/>
        <w:t>In section 3(1) insert in alphabetical order:</w:t>
      </w:r>
    </w:p>
    <w:p>
      <w:pPr>
        <w:pStyle w:val="BlankOpen"/>
      </w:pPr>
    </w:p>
    <w:p>
      <w:pPr>
        <w:pStyle w:val="nz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nzDefstart"/>
      </w:pPr>
      <w:r>
        <w:tab/>
      </w:r>
      <w:r>
        <w:rPr>
          <w:rStyle w:val="CharDefText"/>
        </w:rPr>
        <w:t>address for service —</w:t>
      </w:r>
      <w:r>
        <w:t xml:space="preserve"> see section 215;</w:t>
      </w:r>
    </w:p>
    <w:p>
      <w:pPr>
        <w:pStyle w:val="nz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nzDefstart"/>
      </w:pPr>
      <w:r>
        <w:tab/>
      </w:r>
      <w:r>
        <w:rPr>
          <w:rStyle w:val="CharDefText"/>
        </w:rPr>
        <w:t>administrative fund —</w:t>
      </w:r>
      <w:r>
        <w:t xml:space="preserve"> see section 100(1)(a);</w:t>
      </w:r>
    </w:p>
    <w:p>
      <w:pPr>
        <w:pStyle w:val="nzDefstart"/>
      </w:pPr>
      <w:r>
        <w:rPr>
          <w:b/>
        </w:rPr>
        <w:tab/>
      </w:r>
      <w:r>
        <w:rPr>
          <w:rStyle w:val="CharDefText"/>
        </w:rPr>
        <w:t>administrator of a strata company</w:t>
      </w:r>
      <w:r>
        <w:t xml:space="preserve"> means a person appointed by the Tribunal as an administrator of the strata company under section 205;</w:t>
      </w:r>
    </w:p>
    <w:p>
      <w:pPr>
        <w:pStyle w:val="nzDefstart"/>
      </w:pPr>
      <w:r>
        <w:tab/>
      </w:r>
      <w:r>
        <w:rPr>
          <w:rStyle w:val="CharDefText"/>
        </w:rPr>
        <w:t>amendment of a strata titles scheme —</w:t>
      </w:r>
      <w:r>
        <w:t>see section 12(2);</w:t>
      </w:r>
    </w:p>
    <w:p>
      <w:pPr>
        <w:pStyle w:val="nzDefstart"/>
      </w:pPr>
      <w:r>
        <w:tab/>
      </w:r>
      <w:r>
        <w:rPr>
          <w:rStyle w:val="CharDefText"/>
        </w:rPr>
        <w:t>amendment in relation to common property or a lot in a strata titles scheme —</w:t>
      </w:r>
      <w:r>
        <w:t xml:space="preserve"> see subsection (7);</w:t>
      </w:r>
    </w:p>
    <w:p>
      <w:pPr>
        <w:pStyle w:val="nz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nzDefstart"/>
      </w:pPr>
      <w:r>
        <w:tab/>
      </w:r>
      <w:r>
        <w:rPr>
          <w:rStyle w:val="CharDefText"/>
        </w:rPr>
        <w:t>assistance animal</w:t>
      </w:r>
      <w:r>
        <w:t xml:space="preserve"> has the meaning given in the </w:t>
      </w:r>
      <w:r>
        <w:rPr>
          <w:i/>
        </w:rPr>
        <w:t>Disability Discrimination Act 1992</w:t>
      </w:r>
      <w:r>
        <w:t xml:space="preserve"> (Commonwealth) section 9(2);</w:t>
      </w:r>
    </w:p>
    <w:p>
      <w:pPr>
        <w:pStyle w:val="nzDefstart"/>
      </w:pPr>
      <w:r>
        <w:tab/>
      </w:r>
      <w:r>
        <w:rPr>
          <w:rStyle w:val="CharDefText"/>
        </w:rPr>
        <w:t>associate</w:t>
      </w:r>
      <w:r>
        <w:t> — 2 persons are associates if —</w:t>
      </w:r>
    </w:p>
    <w:p>
      <w:pPr>
        <w:pStyle w:val="nzDefpara"/>
      </w:pPr>
      <w:r>
        <w:tab/>
        <w:t>(a)</w:t>
      </w:r>
      <w:r>
        <w:tab/>
        <w:t>1 is the spouse or de facto spouse of the other; or</w:t>
      </w:r>
    </w:p>
    <w:p>
      <w:pPr>
        <w:pStyle w:val="nzDefpara"/>
      </w:pPr>
      <w:r>
        <w:tab/>
        <w:t>(b)</w:t>
      </w:r>
      <w:r>
        <w:tab/>
        <w:t>1 is the child or grandchild of the other; or</w:t>
      </w:r>
    </w:p>
    <w:p>
      <w:pPr>
        <w:pStyle w:val="nzDefpara"/>
      </w:pPr>
      <w:r>
        <w:tab/>
        <w:t>(c)</w:t>
      </w:r>
      <w:r>
        <w:tab/>
        <w:t>they have a parent or grandparent in common; or</w:t>
      </w:r>
    </w:p>
    <w:p>
      <w:pPr>
        <w:pStyle w:val="nzDefpara"/>
      </w:pPr>
      <w:r>
        <w:tab/>
        <w:t>(d)</w:t>
      </w:r>
      <w:r>
        <w:tab/>
        <w:t>they are partners; or</w:t>
      </w:r>
    </w:p>
    <w:p>
      <w:pPr>
        <w:pStyle w:val="nzDefpara"/>
      </w:pPr>
      <w:r>
        <w:tab/>
        <w:t>(e)</w:t>
      </w:r>
      <w:r>
        <w:tab/>
        <w:t>they are directors of the same body corporate; or</w:t>
      </w:r>
    </w:p>
    <w:p>
      <w:pPr>
        <w:pStyle w:val="nzDefpara"/>
      </w:pPr>
      <w:r>
        <w:tab/>
        <w:t>(f)</w:t>
      </w:r>
      <w:r>
        <w:tab/>
        <w:t>1 is employed by the other; or</w:t>
      </w:r>
    </w:p>
    <w:p>
      <w:pPr>
        <w:pStyle w:val="nzDefpara"/>
      </w:pPr>
      <w:r>
        <w:tab/>
        <w:t>(g)</w:t>
      </w:r>
      <w:r>
        <w:tab/>
        <w:t>1 is a body corporate and the other is a director, officer or employee of the body corporate or a person who is otherwise in a position to control or substantially influence the conduct of the body corporate; or</w:t>
      </w:r>
    </w:p>
    <w:p>
      <w:pPr>
        <w:pStyle w:val="nzDefpara"/>
      </w:pPr>
      <w:r>
        <w:tab/>
        <w:t>(h)</w:t>
      </w:r>
      <w:r>
        <w:tab/>
        <w:t>they are bodies corporate and the same person is a director of both bodies corporate;</w:t>
      </w:r>
    </w:p>
    <w:p>
      <w:pPr>
        <w:pStyle w:val="nzDefstart"/>
      </w:pPr>
      <w:r>
        <w:tab/>
      </w:r>
      <w:r>
        <w:rPr>
          <w:rStyle w:val="CharDefText"/>
        </w:rPr>
        <w:t>Australian legal practitioner</w:t>
      </w:r>
      <w:r>
        <w:t xml:space="preserve"> has the meaning given in the </w:t>
      </w:r>
      <w:r>
        <w:rPr>
          <w:i/>
        </w:rPr>
        <w:t>Legal Profession Act 2008</w:t>
      </w:r>
      <w:r>
        <w:t xml:space="preserve"> section 3;</w:t>
      </w:r>
    </w:p>
    <w:p>
      <w:pPr>
        <w:pStyle w:val="nzDefstart"/>
      </w:pPr>
      <w:r>
        <w:rPr>
          <w:b/>
        </w:rPr>
        <w:tab/>
      </w:r>
      <w:r>
        <w:rPr>
          <w:rStyle w:val="CharDefText"/>
        </w:rPr>
        <w:t>building</w:t>
      </w:r>
      <w:r>
        <w:t xml:space="preserve"> includes structure;</w:t>
      </w:r>
    </w:p>
    <w:p>
      <w:pPr>
        <w:pStyle w:val="nzDefstart"/>
      </w:pPr>
      <w:r>
        <w:tab/>
      </w:r>
      <w:r>
        <w:rPr>
          <w:rStyle w:val="CharDefText"/>
        </w:rPr>
        <w:t>capital value</w:t>
      </w:r>
      <w:r>
        <w:t xml:space="preserve"> has the meaning given in the </w:t>
      </w:r>
      <w:r>
        <w:rPr>
          <w:i/>
        </w:rPr>
        <w:t>Valuation of Land Act 1978</w:t>
      </w:r>
      <w:r>
        <w:t xml:space="preserve"> section 4(1);</w:t>
      </w:r>
    </w:p>
    <w:p>
      <w:pPr>
        <w:pStyle w:val="nzDefstart"/>
      </w:pPr>
      <w:r>
        <w:tab/>
      </w:r>
      <w:r>
        <w:rPr>
          <w:rStyle w:val="CharDefText"/>
        </w:rPr>
        <w:t xml:space="preserve">chairperson </w:t>
      </w:r>
      <w:r>
        <w:t>of a general meeting of a strata company means the person presiding at the meeting;</w:t>
      </w:r>
    </w:p>
    <w:p>
      <w:pPr>
        <w:pStyle w:val="nzDefstart"/>
      </w:pPr>
      <w:r>
        <w:tab/>
      </w:r>
      <w:r>
        <w:rPr>
          <w:rStyle w:val="CharDefText"/>
        </w:rPr>
        <w:t xml:space="preserve">chairperson </w:t>
      </w:r>
      <w:r>
        <w:t>of a strata company means the member of the council of the strata company holding office as the chairperson of the strata company;</w:t>
      </w:r>
    </w:p>
    <w:p>
      <w:pPr>
        <w:pStyle w:val="nzDefstart"/>
        <w:rPr>
          <w:rStyle w:val="CharDefText"/>
        </w:rPr>
      </w:pPr>
      <w:r>
        <w:rPr>
          <w:rStyle w:val="CharDefText"/>
        </w:rPr>
        <w:tab/>
        <w:t>Commissioner of Titles</w:t>
      </w:r>
      <w:r>
        <w:t xml:space="preserve"> means the person holding or acting in the office of the Commissioner of Titles under the </w:t>
      </w:r>
      <w:r>
        <w:rPr>
          <w:i/>
        </w:rPr>
        <w:t>Transfer of Land Act 1893</w:t>
      </w:r>
      <w:r>
        <w:t>;</w:t>
      </w:r>
    </w:p>
    <w:p>
      <w:pPr>
        <w:pStyle w:val="nzDefstart"/>
      </w:pPr>
      <w:r>
        <w:tab/>
      </w:r>
      <w:r>
        <w:rPr>
          <w:rStyle w:val="CharDefText"/>
        </w:rPr>
        <w:t>common property</w:t>
      </w:r>
      <w:r>
        <w:t> — see section 10;</w:t>
      </w:r>
    </w:p>
    <w:p>
      <w:pPr>
        <w:pStyle w:val="nzDefstart"/>
      </w:pPr>
      <w:r>
        <w:rPr>
          <w:b/>
          <w:i/>
        </w:rPr>
        <w:tab/>
      </w:r>
      <w:r>
        <w:rPr>
          <w:rStyle w:val="CharDefText"/>
        </w:rPr>
        <w:t>common property (utility and sustainability infrastructure) easement</w:t>
      </w:r>
      <w:r>
        <w:t xml:space="preserve"> means an easement under section 64;</w:t>
      </w:r>
    </w:p>
    <w:p>
      <w:pPr>
        <w:pStyle w:val="nzDefstart"/>
      </w:pPr>
      <w:r>
        <w:rPr>
          <w:rStyle w:val="CharDefText"/>
        </w:rPr>
        <w:tab/>
        <w:t>conduct by</w:t>
      </w:r>
      <w:r>
        <w:rPr>
          <w:rStyle w:val="CharDefText"/>
        </w:rPr>
        <w:noBreakHyphen/>
        <w:t>laws</w:t>
      </w:r>
      <w:r>
        <w:t xml:space="preserve"> for a strata titles scheme —</w:t>
      </w:r>
    </w:p>
    <w:p>
      <w:pPr>
        <w:pStyle w:val="nzDefpara"/>
      </w:pPr>
      <w:r>
        <w:tab/>
        <w:t>(a)</w:t>
      </w:r>
      <w:r>
        <w:tab/>
        <w:t>means scheme by</w:t>
      </w:r>
      <w:r>
        <w:noBreakHyphen/>
        <w:t>laws (other than governance by</w:t>
      </w:r>
      <w:r>
        <w:noBreakHyphen/>
        <w:t>laws) dealing with —</w:t>
      </w:r>
    </w:p>
    <w:p>
      <w:pPr>
        <w:pStyle w:val="nzIndenti"/>
      </w:pPr>
      <w:r>
        <w:tab/>
        <w:t>(i)</w:t>
      </w:r>
      <w:r>
        <w:tab/>
        <w:t>the conduct of an owner or occupier of a lot in the scheme or of any other person on the land subdivided by the scheme; or</w:t>
      </w:r>
    </w:p>
    <w:p>
      <w:pPr>
        <w:pStyle w:val="nzIndenti"/>
      </w:pPr>
      <w:r>
        <w:tab/>
        <w:t>(ii)</w:t>
      </w:r>
      <w:r>
        <w:tab/>
        <w:t>the management, control, use or enjoyment of a lot or common property in the scheme;</w:t>
      </w:r>
    </w:p>
    <w:p>
      <w:pPr>
        <w:pStyle w:val="nzDefpara"/>
      </w:pPr>
      <w:r>
        <w:tab/>
      </w:r>
      <w:r>
        <w:tab/>
        <w:t>and</w:t>
      </w:r>
    </w:p>
    <w:p>
      <w:pPr>
        <w:pStyle w:val="nzDefpara"/>
      </w:pPr>
      <w:r>
        <w:tab/>
        <w:t>(b)</w:t>
      </w:r>
      <w:r>
        <w:tab/>
        <w:t>includes the following —</w:t>
      </w:r>
    </w:p>
    <w:p>
      <w:pPr>
        <w:pStyle w:val="nzDefsubpara"/>
      </w:pPr>
      <w:r>
        <w:tab/>
        <w:t>(i)</w:t>
      </w:r>
      <w:r>
        <w:tab/>
        <w:t>scheme by</w:t>
      </w:r>
      <w:r>
        <w:noBreakHyphen/>
        <w:t>laws set out in Schedule 2;</w:t>
      </w:r>
    </w:p>
    <w:p>
      <w:pPr>
        <w:pStyle w:val="nzDefsubpara"/>
      </w:pPr>
      <w:r>
        <w:tab/>
        <w:t>(ii)</w:t>
      </w:r>
      <w:r>
        <w:tab/>
        <w:t>scheme by</w:t>
      </w:r>
      <w:r>
        <w:noBreakHyphen/>
        <w:t>laws that deal with any of the following —</w:t>
      </w:r>
    </w:p>
    <w:p>
      <w:pPr>
        <w:pStyle w:val="nzDefitem"/>
      </w:pPr>
      <w:r>
        <w:tab/>
        <w:t>(I)</w:t>
      </w:r>
      <w:r>
        <w:tab/>
        <w:t>landscaping requirements to be observed by owners of lots;</w:t>
      </w:r>
    </w:p>
    <w:p>
      <w:pPr>
        <w:pStyle w:val="nzDefitem"/>
      </w:pPr>
      <w:r>
        <w:tab/>
        <w:t>(II)</w:t>
      </w:r>
      <w:r>
        <w:tab/>
        <w:t>the maintenance of water, sewerage, drainage, gas, electricity, telephone and other services;</w:t>
      </w:r>
    </w:p>
    <w:p>
      <w:pPr>
        <w:pStyle w:val="nzDefitem"/>
      </w:pPr>
      <w:r>
        <w:tab/>
        <w:t>(III)</w:t>
      </w:r>
      <w:r>
        <w:tab/>
        <w:t>insurance of the common property;</w:t>
      </w:r>
    </w:p>
    <w:p>
      <w:pPr>
        <w:pStyle w:val="nzDefitem"/>
      </w:pPr>
      <w:r>
        <w:tab/>
        <w:t>(IV)</w:t>
      </w:r>
      <w:r>
        <w:tab/>
        <w:t>safety and security;</w:t>
      </w:r>
    </w:p>
    <w:p>
      <w:pPr>
        <w:pStyle w:val="nzDefitem"/>
      </w:pPr>
      <w:r>
        <w:tab/>
        <w:t>(V)</w:t>
      </w:r>
      <w:r>
        <w:tab/>
        <w:t>procedures for the resolution of disputes;</w:t>
      </w:r>
    </w:p>
    <w:p>
      <w:pPr>
        <w:pStyle w:val="nzDefsubpara"/>
      </w:pPr>
      <w:r>
        <w:tab/>
        <w:t>(iii)</w:t>
      </w:r>
      <w:r>
        <w:tab/>
        <w:t>scheme by</w:t>
      </w:r>
      <w:r>
        <w:noBreakHyphen/>
        <w:t>laws classified by the regulations as conduct by</w:t>
      </w:r>
      <w:r>
        <w:noBreakHyphen/>
        <w:t>laws;</w:t>
      </w:r>
    </w:p>
    <w:p>
      <w:pPr>
        <w:pStyle w:val="nzDefstart"/>
      </w:pPr>
      <w:r>
        <w:rPr>
          <w:b/>
        </w:rPr>
        <w:tab/>
      </w:r>
      <w:r>
        <w:rPr>
          <w:rStyle w:val="CharDefText"/>
        </w:rPr>
        <w:t>contract</w:t>
      </w:r>
      <w:r>
        <w:t xml:space="preserve"> means a contract, agreement or document that legally binds a person, whether conditionally or unconditionally;</w:t>
      </w:r>
    </w:p>
    <w:p>
      <w:pPr>
        <w:pStyle w:val="nz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nzDefstart"/>
      </w:pPr>
      <w:r>
        <w:rPr>
          <w:b/>
        </w:rPr>
        <w:tab/>
      </w:r>
      <w:r>
        <w:rPr>
          <w:rStyle w:val="CharDefText"/>
        </w:rPr>
        <w:t>council</w:t>
      </w:r>
      <w:r>
        <w:t xml:space="preserve"> means the governing body of a strata company;</w:t>
      </w:r>
    </w:p>
    <w:p>
      <w:pPr>
        <w:pStyle w:val="nzDefstart"/>
      </w:pPr>
      <w:r>
        <w:tab/>
      </w:r>
      <w:r>
        <w:rPr>
          <w:rStyle w:val="CharDefText"/>
        </w:rPr>
        <w:t>cubic space</w:t>
      </w:r>
      <w:r>
        <w:t> — see subsection (3);</w:t>
      </w:r>
    </w:p>
    <w:p>
      <w:pPr>
        <w:pStyle w:val="nzDefstart"/>
      </w:pPr>
      <w:r>
        <w:tab/>
      </w:r>
      <w:r>
        <w:rPr>
          <w:rStyle w:val="CharDefText"/>
        </w:rPr>
        <w:t>designated interest</w:t>
      </w:r>
      <w:r>
        <w:t xml:space="preserve"> means —</w:t>
      </w:r>
    </w:p>
    <w:p>
      <w:pPr>
        <w:pStyle w:val="nzDefpara"/>
      </w:pPr>
      <w:r>
        <w:tab/>
        <w:t>(a)</w:t>
      </w:r>
      <w:r>
        <w:tab/>
        <w:t>a registered mortgage; or</w:t>
      </w:r>
    </w:p>
    <w:p>
      <w:pPr>
        <w:pStyle w:val="nzDefpara"/>
      </w:pPr>
      <w:r>
        <w:tab/>
        <w:t>(b)</w:t>
      </w:r>
      <w:r>
        <w:tab/>
        <w:t>a registered lease; or</w:t>
      </w:r>
    </w:p>
    <w:p>
      <w:pPr>
        <w:pStyle w:val="nzDefpara"/>
      </w:pPr>
      <w:r>
        <w:tab/>
        <w:t>(c)</w:t>
      </w:r>
      <w:r>
        <w:tab/>
        <w:t xml:space="preserve">a caveat recorded under the </w:t>
      </w:r>
      <w:r>
        <w:rPr>
          <w:i/>
        </w:rPr>
        <w:t>Transfer of Land Act 1893</w:t>
      </w:r>
      <w:r>
        <w:t>; or</w:t>
      </w:r>
    </w:p>
    <w:p>
      <w:pPr>
        <w:pStyle w:val="nzDefpara"/>
      </w:pPr>
      <w:r>
        <w:tab/>
        <w:t>(d)</w:t>
      </w:r>
      <w:r>
        <w:tab/>
        <w:t xml:space="preserve">the interest of a judgment creditor named in a property seizure and sale order registered under the </w:t>
      </w:r>
      <w:r>
        <w:rPr>
          <w:i/>
        </w:rPr>
        <w:t>Transfer of Land Act 1893</w:t>
      </w:r>
      <w:r>
        <w:t xml:space="preserve"> section 133; or</w:t>
      </w:r>
    </w:p>
    <w:p>
      <w:pPr>
        <w:pStyle w:val="nz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nzDefpara"/>
      </w:pPr>
      <w:r>
        <w:tab/>
        <w:t>(f)</w:t>
      </w:r>
      <w:r>
        <w:tab/>
        <w:t xml:space="preserve">a plantation interest registered under the </w:t>
      </w:r>
      <w:r>
        <w:rPr>
          <w:i/>
        </w:rPr>
        <w:t>Transfer of Land Act 1893</w:t>
      </w:r>
      <w:r>
        <w:t>; or</w:t>
      </w:r>
    </w:p>
    <w:p>
      <w:pPr>
        <w:pStyle w:val="nzDefpara"/>
      </w:pPr>
      <w:r>
        <w:tab/>
        <w:t>(g)</w:t>
      </w:r>
      <w:r>
        <w:tab/>
        <w:t xml:space="preserve">a carbon covenant registered under the </w:t>
      </w:r>
      <w:r>
        <w:rPr>
          <w:i/>
        </w:rPr>
        <w:t>Transfer of Land Act 1893</w:t>
      </w:r>
      <w:r>
        <w:t>;</w:t>
      </w:r>
    </w:p>
    <w:p>
      <w:pPr>
        <w:pStyle w:val="nzDefstart"/>
      </w:pPr>
      <w:r>
        <w:rPr>
          <w:b/>
          <w:i/>
        </w:rPr>
        <w:tab/>
      </w:r>
      <w:r>
        <w:rPr>
          <w:rStyle w:val="CharDefText"/>
        </w:rPr>
        <w:t>development</w:t>
      </w:r>
      <w:r>
        <w:t xml:space="preserve"> has the meaning given in the </w:t>
      </w:r>
      <w:r>
        <w:rPr>
          <w:i/>
        </w:rPr>
        <w:t>Planning and Development Act 2005</w:t>
      </w:r>
      <w:r>
        <w:t xml:space="preserve"> section 4(1);</w:t>
      </w:r>
    </w:p>
    <w:p>
      <w:pPr>
        <w:pStyle w:val="nzDefstart"/>
      </w:pPr>
      <w:r>
        <w:tab/>
      </w:r>
      <w:r>
        <w:rPr>
          <w:rStyle w:val="CharDefText"/>
        </w:rPr>
        <w:t>disability</w:t>
      </w:r>
      <w:r>
        <w:t xml:space="preserve"> has the meaning given in the </w:t>
      </w:r>
      <w:r>
        <w:rPr>
          <w:i/>
        </w:rPr>
        <w:t>Disability Discrimination Act 1992</w:t>
      </w:r>
      <w:r>
        <w:t xml:space="preserve"> (Commonwealth) section 4(1);</w:t>
      </w:r>
    </w:p>
    <w:p>
      <w:pPr>
        <w:pStyle w:val="nzDefstart"/>
      </w:pPr>
      <w:r>
        <w:tab/>
      </w:r>
      <w:r>
        <w:rPr>
          <w:rStyle w:val="CharDefText"/>
        </w:rPr>
        <w:t>disposition statement</w:t>
      </w:r>
      <w:r>
        <w:t> — see section 222;</w:t>
      </w:r>
    </w:p>
    <w:p>
      <w:pPr>
        <w:pStyle w:val="nzDefstart"/>
      </w:pPr>
      <w:r>
        <w:tab/>
      </w:r>
      <w:r>
        <w:rPr>
          <w:rStyle w:val="CharDefText"/>
        </w:rPr>
        <w:t>electronic address</w:t>
      </w:r>
      <w:r>
        <w:t xml:space="preserve"> means —</w:t>
      </w:r>
    </w:p>
    <w:p>
      <w:pPr>
        <w:pStyle w:val="nzDefpara"/>
      </w:pPr>
      <w:r>
        <w:tab/>
        <w:t>(a)</w:t>
      </w:r>
      <w:r>
        <w:tab/>
        <w:t>an email address; or</w:t>
      </w:r>
    </w:p>
    <w:p>
      <w:pPr>
        <w:pStyle w:val="nzDefpara"/>
      </w:pPr>
      <w:r>
        <w:tab/>
        <w:t>(b)</w:t>
      </w:r>
      <w:r>
        <w:tab/>
        <w:t>anything included in this definition by the regulations;</w:t>
      </w:r>
    </w:p>
    <w:p>
      <w:pPr>
        <w:pStyle w:val="nzDefstart"/>
      </w:pPr>
      <w:r>
        <w:tab/>
      </w:r>
      <w:r>
        <w:rPr>
          <w:rStyle w:val="CharDefText"/>
        </w:rPr>
        <w:t>encumbrance</w:t>
      </w:r>
      <w:r>
        <w:t xml:space="preserve"> has the meaning given in the </w:t>
      </w:r>
      <w:r>
        <w:rPr>
          <w:i/>
        </w:rPr>
        <w:t>Transfer of Land Act 1893</w:t>
      </w:r>
      <w:r>
        <w:t xml:space="preserve"> section 4(1);</w:t>
      </w:r>
    </w:p>
    <w:p>
      <w:pPr>
        <w:pStyle w:val="nzDefstart"/>
      </w:pPr>
      <w:r>
        <w:tab/>
      </w:r>
      <w:r>
        <w:rPr>
          <w:rStyle w:val="CharDefText"/>
        </w:rPr>
        <w:t>exclusive use by</w:t>
      </w:r>
      <w:r>
        <w:rPr>
          <w:rStyle w:val="CharDefText"/>
        </w:rPr>
        <w:noBreakHyphen/>
        <w:t>laws </w:t>
      </w:r>
      <w:r>
        <w:t>— see section 43(1);</w:t>
      </w:r>
    </w:p>
    <w:p>
      <w:pPr>
        <w:pStyle w:val="nzDefstart"/>
      </w:pPr>
      <w:r>
        <w:rPr>
          <w:rStyle w:val="CharDefText"/>
        </w:rPr>
        <w:tab/>
        <w:t>expiry day for a leasehold scheme</w:t>
      </w:r>
      <w:r>
        <w:t> — see section 8(3)(c);</w:t>
      </w:r>
    </w:p>
    <w:p>
      <w:pPr>
        <w:pStyle w:val="nzDefstart"/>
      </w:pPr>
      <w:r>
        <w:tab/>
      </w:r>
      <w:r>
        <w:rPr>
          <w:rStyle w:val="CharDefText"/>
        </w:rPr>
        <w:t>financial year for a strata company</w:t>
      </w:r>
      <w:r>
        <w:t xml:space="preserve"> means —</w:t>
      </w:r>
    </w:p>
    <w:p>
      <w:pPr>
        <w:pStyle w:val="nzDefpara"/>
      </w:pPr>
      <w:r>
        <w:tab/>
        <w:t>(a)</w:t>
      </w:r>
      <w:r>
        <w:tab/>
        <w:t>if the scheme by</w:t>
      </w:r>
      <w:r>
        <w:noBreakHyphen/>
        <w:t>laws are silent on the matter, the period of 12 months ending on 30 June; or</w:t>
      </w:r>
    </w:p>
    <w:p>
      <w:pPr>
        <w:pStyle w:val="nzDefpara"/>
      </w:pPr>
      <w:r>
        <w:tab/>
        <w:t>(b)</w:t>
      </w:r>
      <w:r>
        <w:tab/>
        <w:t>if the scheme by</w:t>
      </w:r>
      <w:r>
        <w:noBreakHyphen/>
        <w:t>laws specify a period of 12 months ending on a different date as the financial year for the scheme, the period specified in the by</w:t>
      </w:r>
      <w:r>
        <w:noBreakHyphen/>
        <w:t>laws;</w:t>
      </w:r>
    </w:p>
    <w:p>
      <w:pPr>
        <w:pStyle w:val="nzDefstart"/>
      </w:pPr>
      <w:r>
        <w:tab/>
      </w:r>
      <w:r>
        <w:rPr>
          <w:rStyle w:val="CharDefText"/>
        </w:rPr>
        <w:t xml:space="preserve">first mortgagee </w:t>
      </w:r>
      <w:r>
        <w:t>of a lot in a strata titles scheme means a registered mortgagee who is first entitled in priority and who has given written notice of the mortgage to the strata company for the scheme;</w:t>
      </w:r>
    </w:p>
    <w:p>
      <w:pPr>
        <w:pStyle w:val="nzDefstart"/>
      </w:pPr>
      <w:r>
        <w:tab/>
      </w:r>
      <w:r>
        <w:rPr>
          <w:rStyle w:val="CharDefText"/>
        </w:rPr>
        <w:t>freehold scheme —</w:t>
      </w:r>
      <w:r>
        <w:t xml:space="preserve"> see section 8(2);</w:t>
      </w:r>
    </w:p>
    <w:p>
      <w:pPr>
        <w:pStyle w:val="nzPermNoteHeading"/>
      </w:pPr>
      <w:r>
        <w:tab/>
        <w:t>Note for this definition</w:t>
      </w:r>
      <w:r>
        <w:rPr>
          <w:b/>
        </w:rPr>
        <w:t>:</w:t>
      </w:r>
    </w:p>
    <w:p>
      <w:pPr>
        <w:pStyle w:val="nzPermNoteText"/>
      </w:pPr>
      <w:r>
        <w:tab/>
      </w:r>
      <w:r>
        <w:tab/>
        <w:t>A freehold scheme may be a strata scheme or a survey</w:t>
      </w:r>
      <w:r>
        <w:noBreakHyphen/>
        <w:t>strata scheme depending on how the lots are defined: see section 9.</w:t>
      </w:r>
    </w:p>
    <w:p>
      <w:pPr>
        <w:pStyle w:val="nzDefstart"/>
      </w:pPr>
      <w:r>
        <w:tab/>
      </w:r>
      <w:r>
        <w:rPr>
          <w:rStyle w:val="CharDefText"/>
        </w:rPr>
        <w:t>fundamental covenant or condition</w:t>
      </w:r>
      <w:r>
        <w:t> — see section 52(1)(b);</w:t>
      </w:r>
    </w:p>
    <w:p>
      <w:pPr>
        <w:pStyle w:val="nzDefstart"/>
      </w:pPr>
      <w:r>
        <w:tab/>
      </w:r>
      <w:r>
        <w:rPr>
          <w:rStyle w:val="CharDefText"/>
        </w:rPr>
        <w:t>governance by</w:t>
      </w:r>
      <w:r>
        <w:rPr>
          <w:rStyle w:val="CharDefText"/>
        </w:rPr>
        <w:noBreakHyphen/>
        <w:t>laws</w:t>
      </w:r>
      <w:r>
        <w:t xml:space="preserve"> for a strata titles scheme —</w:t>
      </w:r>
    </w:p>
    <w:p>
      <w:pPr>
        <w:pStyle w:val="nzDefpara"/>
      </w:pPr>
      <w:r>
        <w:tab/>
        <w:t>(a)</w:t>
      </w:r>
      <w:r>
        <w:tab/>
        <w:t>means scheme by</w:t>
      </w:r>
      <w:r>
        <w:noBreakHyphen/>
        <w:t>laws dealing with —</w:t>
      </w:r>
    </w:p>
    <w:p>
      <w:pPr>
        <w:pStyle w:val="nzDefsubpara"/>
      </w:pPr>
      <w:r>
        <w:tab/>
        <w:t>(i)</w:t>
      </w:r>
      <w:r>
        <w:tab/>
        <w:t>the governance of the scheme; or</w:t>
      </w:r>
    </w:p>
    <w:p>
      <w:pPr>
        <w:pStyle w:val="nzDefsubpara"/>
      </w:pPr>
      <w:r>
        <w:tab/>
        <w:t>(ii)</w:t>
      </w:r>
      <w:r>
        <w:tab/>
        <w:t>the subdivision or development of the land subdivided by the scheme (other than a matter of landscaping); or</w:t>
      </w:r>
    </w:p>
    <w:p>
      <w:pPr>
        <w:pStyle w:val="nzDefsubpara"/>
      </w:pPr>
      <w:r>
        <w:tab/>
        <w:t>(iii)</w:t>
      </w:r>
      <w:r>
        <w:tab/>
        <w:t>exclusive use of common property in the scheme;</w:t>
      </w:r>
    </w:p>
    <w:p>
      <w:pPr>
        <w:pStyle w:val="nzDefpara"/>
      </w:pPr>
      <w:r>
        <w:tab/>
      </w:r>
      <w:r>
        <w:tab/>
        <w:t>and</w:t>
      </w:r>
    </w:p>
    <w:p>
      <w:pPr>
        <w:pStyle w:val="nzDefpara"/>
      </w:pPr>
      <w:r>
        <w:tab/>
        <w:t>(b)</w:t>
      </w:r>
      <w:r>
        <w:tab/>
        <w:t>includes the following —</w:t>
      </w:r>
    </w:p>
    <w:p>
      <w:pPr>
        <w:pStyle w:val="nzDefsubpara"/>
      </w:pPr>
      <w:r>
        <w:tab/>
        <w:t>(i)</w:t>
      </w:r>
      <w:r>
        <w:tab/>
        <w:t>scheme by</w:t>
      </w:r>
      <w:r>
        <w:noBreakHyphen/>
        <w:t>laws set out in Schedule 1;</w:t>
      </w:r>
    </w:p>
    <w:p>
      <w:pPr>
        <w:pStyle w:val="nzDefsubpara"/>
      </w:pPr>
      <w:r>
        <w:tab/>
        <w:t>(ii)</w:t>
      </w:r>
      <w:r>
        <w:tab/>
        <w:t>leasehold by</w:t>
      </w:r>
      <w:r>
        <w:noBreakHyphen/>
        <w:t>laws;</w:t>
      </w:r>
    </w:p>
    <w:p>
      <w:pPr>
        <w:pStyle w:val="nzDefsubpara"/>
      </w:pPr>
      <w:r>
        <w:tab/>
        <w:t>(iii)</w:t>
      </w:r>
      <w:r>
        <w:tab/>
        <w:t>staged subdivision by</w:t>
      </w:r>
      <w:r>
        <w:noBreakHyphen/>
        <w:t>laws;</w:t>
      </w:r>
    </w:p>
    <w:p>
      <w:pPr>
        <w:pStyle w:val="nzDefsubpara"/>
      </w:pPr>
      <w:r>
        <w:tab/>
        <w:t>(iv)</w:t>
      </w:r>
      <w:r>
        <w:tab/>
        <w:t>exclusive use by</w:t>
      </w:r>
      <w:r>
        <w:noBreakHyphen/>
        <w:t>laws;</w:t>
      </w:r>
    </w:p>
    <w:p>
      <w:pPr>
        <w:pStyle w:val="nzDefsubpara"/>
      </w:pPr>
      <w:r>
        <w:tab/>
        <w:t>(v)</w:t>
      </w:r>
      <w:r>
        <w:tab/>
        <w:t>scheme by</w:t>
      </w:r>
      <w:r>
        <w:noBreakHyphen/>
        <w:t>laws made under a planning (scheme by</w:t>
      </w:r>
      <w:r>
        <w:noBreakHyphen/>
        <w:t>laws) condition;</w:t>
      </w:r>
    </w:p>
    <w:p>
      <w:pPr>
        <w:pStyle w:val="nzDefsubpara"/>
      </w:pPr>
      <w:r>
        <w:tab/>
        <w:t>(vi)</w:t>
      </w:r>
      <w:r>
        <w:tab/>
        <w:t>scheme by</w:t>
      </w:r>
      <w:r>
        <w:noBreakHyphen/>
        <w:t>laws setting out architectural requirements designed to control or preserve the essence or theme of development;</w:t>
      </w:r>
    </w:p>
    <w:p>
      <w:pPr>
        <w:pStyle w:val="nzDefsubpara"/>
      </w:pPr>
      <w:r>
        <w:tab/>
        <w:t>(vii)</w:t>
      </w:r>
      <w:r>
        <w:tab/>
        <w:t>scheme by</w:t>
      </w:r>
      <w:r>
        <w:noBreakHyphen/>
        <w:t>laws that specify plot ratio restrictions or open space requirements;</w:t>
      </w:r>
    </w:p>
    <w:p>
      <w:pPr>
        <w:pStyle w:val="nzDefsubpara"/>
      </w:pPr>
      <w:r>
        <w:tab/>
        <w:t>(viii)</w:t>
      </w:r>
      <w:r>
        <w:tab/>
        <w:t>scheme by</w:t>
      </w:r>
      <w:r>
        <w:noBreakHyphen/>
        <w:t>laws affecting the provision of, or payment for —</w:t>
      </w:r>
    </w:p>
    <w:p>
      <w:pPr>
        <w:pStyle w:val="nzDefitem"/>
      </w:pPr>
      <w:r>
        <w:tab/>
        <w:t>(I)</w:t>
      </w:r>
      <w:r>
        <w:tab/>
        <w:t>internal fencing on the parcel; or</w:t>
      </w:r>
    </w:p>
    <w:p>
      <w:pPr>
        <w:pStyle w:val="nzDefitem"/>
      </w:pPr>
      <w:r>
        <w:tab/>
        <w:t>(II)</w:t>
      </w:r>
      <w:r>
        <w:tab/>
        <w:t xml:space="preserve">fencing to which the </w:t>
      </w:r>
      <w:r>
        <w:rPr>
          <w:i/>
        </w:rPr>
        <w:t>Dividing Fences Act 1961</w:t>
      </w:r>
      <w:r>
        <w:t xml:space="preserve"> applies;</w:t>
      </w:r>
    </w:p>
    <w:p>
      <w:pPr>
        <w:pStyle w:val="nzDefsubpara"/>
      </w:pPr>
      <w:r>
        <w:tab/>
        <w:t>(ix)</w:t>
      </w:r>
      <w:r>
        <w:tab/>
        <w:t>scheme by</w:t>
      </w:r>
      <w:r>
        <w:noBreakHyphen/>
        <w:t>laws for a 3, 4 or 5</w:t>
      </w:r>
      <w:r>
        <w:noBreakHyphen/>
        <w:t>lot scheme that exempt the strata company from a designated function under section 140;</w:t>
      </w:r>
    </w:p>
    <w:p>
      <w:pPr>
        <w:pStyle w:val="nzDefsubpara"/>
      </w:pPr>
      <w:r>
        <w:tab/>
        <w:t>(x)</w:t>
      </w:r>
      <w:r>
        <w:tab/>
        <w:t>scheme by</w:t>
      </w:r>
      <w:r>
        <w:noBreakHyphen/>
        <w:t>laws that deal with —</w:t>
      </w:r>
    </w:p>
    <w:p>
      <w:pPr>
        <w:pStyle w:val="nzDefitem"/>
      </w:pPr>
      <w:r>
        <w:tab/>
        <w:t>(I)</w:t>
      </w:r>
      <w:r>
        <w:tab/>
        <w:t>the constitution or procedures of the council of the strata company; or</w:t>
      </w:r>
    </w:p>
    <w:p>
      <w:pPr>
        <w:pStyle w:val="nzDefitem"/>
      </w:pPr>
      <w:r>
        <w:tab/>
        <w:t>(II)</w:t>
      </w:r>
      <w:r>
        <w:tab/>
        <w:t>the officers of the strata company; or</w:t>
      </w:r>
    </w:p>
    <w:p>
      <w:pPr>
        <w:pStyle w:val="nzDefitem"/>
      </w:pPr>
      <w:r>
        <w:tab/>
        <w:t>(III)</w:t>
      </w:r>
      <w:r>
        <w:tab/>
        <w:t>the procedures of a general meeting of the strata company; or</w:t>
      </w:r>
    </w:p>
    <w:p>
      <w:pPr>
        <w:pStyle w:val="nzDefitem"/>
      </w:pPr>
      <w:r>
        <w:tab/>
        <w:t>(IV)</w:t>
      </w:r>
      <w:r>
        <w:tab/>
        <w:t>the organisation of the affairs of the strata company; or</w:t>
      </w:r>
    </w:p>
    <w:p>
      <w:pPr>
        <w:pStyle w:val="nzDefitem"/>
      </w:pPr>
      <w:r>
        <w:tab/>
        <w:t>(V)</w:t>
      </w:r>
      <w:r>
        <w:tab/>
        <w:t>contributions, levies or money payable by the owner of a lot in the scheme to the strata company; or</w:t>
      </w:r>
    </w:p>
    <w:p>
      <w:pPr>
        <w:pStyle w:val="nzDefitem"/>
      </w:pPr>
      <w:r>
        <w:tab/>
        <w:t>(VI)</w:t>
      </w:r>
      <w:r>
        <w:tab/>
        <w:t>the carrying on of a business or trading activity by the strata company or the method of distributing and sharing any profit or loss;</w:t>
      </w:r>
    </w:p>
    <w:p>
      <w:pPr>
        <w:pStyle w:val="nzDefsubpara"/>
      </w:pPr>
      <w:r>
        <w:tab/>
        <w:t>(xi)</w:t>
      </w:r>
      <w:r>
        <w:tab/>
        <w:t>scheme by</w:t>
      </w:r>
      <w:r>
        <w:noBreakHyphen/>
        <w:t>laws classified by the regulations as governance by</w:t>
      </w:r>
      <w:r>
        <w:noBreakHyphen/>
        <w:t>laws;</w:t>
      </w:r>
    </w:p>
    <w:p>
      <w:pPr>
        <w:pStyle w:val="nz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nzDefstart"/>
      </w:pPr>
      <w:r>
        <w:tab/>
      </w:r>
      <w:r>
        <w:rPr>
          <w:rStyle w:val="CharDefText"/>
        </w:rPr>
        <w:t>infrastructure contract</w:t>
      </w:r>
      <w:r>
        <w:t> — see section 64(1)(a);</w:t>
      </w:r>
    </w:p>
    <w:p>
      <w:pPr>
        <w:pStyle w:val="nzDefstart"/>
      </w:pPr>
      <w:r>
        <w:tab/>
      </w:r>
      <w:r>
        <w:rPr>
          <w:rStyle w:val="CharDefText"/>
        </w:rPr>
        <w:t>infrastructure owner</w:t>
      </w:r>
      <w:r>
        <w:t> — see section 64(3);</w:t>
      </w:r>
    </w:p>
    <w:p>
      <w:pPr>
        <w:pStyle w:val="nzDefstart"/>
      </w:pPr>
      <w:r>
        <w:tab/>
      </w:r>
      <w:r>
        <w:rPr>
          <w:rStyle w:val="CharDefText"/>
        </w:rPr>
        <w:t>insurable asset of a strata titles scheme </w:t>
      </w:r>
      <w:r>
        <w:t>—</w:t>
      </w:r>
    </w:p>
    <w:p>
      <w:pPr>
        <w:pStyle w:val="nzDefpara"/>
      </w:pPr>
      <w:r>
        <w:tab/>
        <w:t>(a)</w:t>
      </w:r>
      <w:r>
        <w:tab/>
        <w:t>means —</w:t>
      </w:r>
    </w:p>
    <w:p>
      <w:pPr>
        <w:pStyle w:val="nzDefsubpara"/>
      </w:pPr>
      <w:r>
        <w:tab/>
        <w:t>(i)</w:t>
      </w:r>
      <w:r>
        <w:tab/>
        <w:t>the common property of the scheme (including the fixtures and improvements on the common property); or</w:t>
      </w:r>
    </w:p>
    <w:p>
      <w:pPr>
        <w:pStyle w:val="nzDefsubpara"/>
      </w:pPr>
      <w:r>
        <w:tab/>
        <w:t>(ii)</w:t>
      </w:r>
      <w:r>
        <w:tab/>
        <w:t>the parts of scheme buildings that comprise lots in the scheme (including the paint and wallpaper); or</w:t>
      </w:r>
    </w:p>
    <w:p>
      <w:pPr>
        <w:pStyle w:val="nzDefsubpara"/>
      </w:pPr>
      <w:r>
        <w:tab/>
        <w:t>(iii)</w:t>
      </w:r>
      <w:r>
        <w:tab/>
        <w:t>anything included in this definition by the regulations;</w:t>
      </w:r>
    </w:p>
    <w:p>
      <w:pPr>
        <w:pStyle w:val="nzDefpara"/>
      </w:pPr>
      <w:r>
        <w:tab/>
      </w:r>
      <w:r>
        <w:tab/>
        <w:t>but</w:t>
      </w:r>
    </w:p>
    <w:p>
      <w:pPr>
        <w:pStyle w:val="nzDefpara"/>
      </w:pPr>
      <w:r>
        <w:tab/>
        <w:t>(b)</w:t>
      </w:r>
      <w:r>
        <w:tab/>
        <w:t>does not include —</w:t>
      </w:r>
    </w:p>
    <w:p>
      <w:pPr>
        <w:pStyle w:val="nzDefsubpara"/>
      </w:pPr>
      <w:r>
        <w:tab/>
        <w:t>(i)</w:t>
      </w:r>
      <w:r>
        <w:tab/>
        <w:t>fixtures or improvements on the common property that are not themselves common property; or</w:t>
      </w:r>
    </w:p>
    <w:p>
      <w:pPr>
        <w:pStyle w:val="nzDefsubpara"/>
      </w:pPr>
      <w:r>
        <w:tab/>
        <w:t>(ii)</w:t>
      </w:r>
      <w:r>
        <w:tab/>
        <w:t>carpet and temporary wall, floor and ceiling coverings in a scheme building; or</w:t>
      </w:r>
    </w:p>
    <w:p>
      <w:pPr>
        <w:pStyle w:val="nzDefsubpara"/>
      </w:pPr>
      <w:r>
        <w:tab/>
        <w:t>(iii)</w:t>
      </w:r>
      <w:r>
        <w:tab/>
        <w:t>fixtures removable by a lessee at the expiration of a tenancy; or</w:t>
      </w:r>
    </w:p>
    <w:p>
      <w:pPr>
        <w:pStyle w:val="nzDefsubpara"/>
      </w:pPr>
      <w:r>
        <w:tab/>
        <w:t>(iv)</w:t>
      </w:r>
      <w:r>
        <w:tab/>
        <w:t>anything excluded from this definition by the regulations;</w:t>
      </w:r>
    </w:p>
    <w:p>
      <w:pPr>
        <w:pStyle w:val="nzDefstart"/>
      </w:pPr>
      <w:r>
        <w:tab/>
      </w:r>
      <w:r>
        <w:rPr>
          <w:rStyle w:val="CharDefText"/>
        </w:rPr>
        <w:t>interim development order</w:t>
      </w:r>
      <w:r>
        <w:t xml:space="preserve"> has the meaning given in the </w:t>
      </w:r>
      <w:r>
        <w:rPr>
          <w:i/>
        </w:rPr>
        <w:t>Planning and Development Act 2005</w:t>
      </w:r>
      <w:r>
        <w:t xml:space="preserve"> section 4(1);</w:t>
      </w:r>
    </w:p>
    <w:p>
      <w:pPr>
        <w:pStyle w:val="nzDefstart"/>
      </w:pPr>
      <w:r>
        <w:tab/>
      </w:r>
      <w:r>
        <w:rPr>
          <w:rStyle w:val="CharDefText"/>
        </w:rPr>
        <w:t>item registered or recorded</w:t>
      </w:r>
      <w:r>
        <w:t xml:space="preserve"> for a strata titles scheme — see section 58(5);</w:t>
      </w:r>
    </w:p>
    <w:p>
      <w:pPr>
        <w:pStyle w:val="nzPermNoteHeading"/>
      </w:pPr>
      <w:r>
        <w:tab/>
        <w:t>Note for this definition:</w:t>
      </w:r>
    </w:p>
    <w:p>
      <w:pPr>
        <w:pStyle w:val="nzPermNoteText"/>
      </w:pPr>
      <w:r>
        <w:tab/>
      </w:r>
      <w:r>
        <w:tab/>
        <w:t>For example, an item may comprise an estate, interest, right, encumbrance, notification, memorial or caveat.</w:t>
      </w:r>
    </w:p>
    <w:p>
      <w:pPr>
        <w:pStyle w:val="nzDefstart"/>
      </w:pPr>
      <w:r>
        <w:tab/>
      </w:r>
      <w:r>
        <w:rPr>
          <w:rStyle w:val="CharDefText"/>
        </w:rPr>
        <w:t>judicial member</w:t>
      </w:r>
      <w:r>
        <w:t xml:space="preserve"> has the meaning given in the </w:t>
      </w:r>
      <w:r>
        <w:rPr>
          <w:i/>
        </w:rPr>
        <w:t>State Administrative Tribunal Act 2004</w:t>
      </w:r>
      <w:r>
        <w:t xml:space="preserve"> section 3(1);</w:t>
      </w:r>
    </w:p>
    <w:p>
      <w:pPr>
        <w:pStyle w:val="nzDefstart"/>
      </w:pPr>
      <w:r>
        <w:tab/>
      </w:r>
      <w:r>
        <w:rPr>
          <w:rStyle w:val="CharDefText"/>
        </w:rPr>
        <w:t>key document</w:t>
      </w:r>
      <w:r>
        <w:t xml:space="preserve"> in relation to </w:t>
      </w:r>
      <w:r>
        <w:rPr>
          <w:rStyle w:val="CharDefText"/>
        </w:rPr>
        <w:t>a subdivision of land: a strata titles scheme</w:t>
      </w:r>
      <w:r>
        <w:t xml:space="preserve"> (including a stage of subdivision) means each of the following —</w:t>
      </w:r>
    </w:p>
    <w:p>
      <w:pPr>
        <w:pStyle w:val="nzDefpara"/>
      </w:pPr>
      <w:r>
        <w:tab/>
        <w:t>(a)</w:t>
      </w:r>
      <w:r>
        <w:tab/>
        <w:t>the application for registration of the scheme or amendment of the scheme to give effect to the subdivision and everything that accompanies the application;</w:t>
      </w:r>
    </w:p>
    <w:p>
      <w:pPr>
        <w:pStyle w:val="nzDefpara"/>
      </w:pPr>
      <w:r>
        <w:tab/>
        <w:t>(b)</w:t>
      </w:r>
      <w:r>
        <w:tab/>
        <w:t>the scheme documents, or amendments of the scheme documents, as registered for the subdivision;</w:t>
      </w:r>
    </w:p>
    <w:p>
      <w:pPr>
        <w:pStyle w:val="nzDefpara"/>
      </w:pPr>
      <w:r>
        <w:tab/>
        <w:t>(c)</w:t>
      </w:r>
      <w:r>
        <w:tab/>
        <w:t>planning approvals for the subdivision and development associated with the scheme;</w:t>
      </w:r>
    </w:p>
    <w:p>
      <w:pPr>
        <w:pStyle w:val="nzDefpara"/>
      </w:pPr>
      <w:r>
        <w:tab/>
        <w:t>(d)</w:t>
      </w:r>
      <w:r>
        <w:tab/>
        <w:t xml:space="preserve">occupancy permits and building approval certificates under the </w:t>
      </w:r>
      <w:r>
        <w:rPr>
          <w:i/>
        </w:rPr>
        <w:t>Building Act 2011</w:t>
      </w:r>
      <w:r>
        <w:t xml:space="preserve"> relating to development associated with the subdivision;</w:t>
      </w:r>
    </w:p>
    <w:p>
      <w:pPr>
        <w:pStyle w:val="nzDefpara"/>
      </w:pPr>
      <w:r>
        <w:tab/>
        <w:t>(e)</w:t>
      </w:r>
      <w:r>
        <w:tab/>
        <w:t>official notices relating to the subdivision or development associated with the subdivision;</w:t>
      </w:r>
    </w:p>
    <w:p>
      <w:pPr>
        <w:pStyle w:val="nz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nzDefpara"/>
      </w:pPr>
      <w:r>
        <w:tab/>
        <w:t>(g)</w:t>
      </w:r>
      <w:r>
        <w:tab/>
        <w:t>warranty documents and operational and servicing manuals for infrastructure that ought reasonably to be given to the strata company;</w:t>
      </w:r>
    </w:p>
    <w:p>
      <w:pPr>
        <w:pStyle w:val="nzDefpara"/>
      </w:pPr>
      <w:r>
        <w:tab/>
        <w:t>(h)</w:t>
      </w:r>
      <w:r>
        <w:tab/>
        <w:t>certificates and schedules relating to the insurance required for, or relating to, the scheme taken out or arranged by the scheme developer of the subdivision;</w:t>
      </w:r>
    </w:p>
    <w:p>
      <w:pPr>
        <w:pStyle w:val="nzDefpara"/>
      </w:pPr>
      <w:r>
        <w:tab/>
        <w:t>(i)</w:t>
      </w:r>
      <w:r>
        <w:tab/>
        <w:t>any contracts for the provision of services or amenities to the strata company or to members of the strata company entered into or arranged by the scheme developer for the subdivision or by the strata company;</w:t>
      </w:r>
    </w:p>
    <w:p>
      <w:pPr>
        <w:pStyle w:val="nzDefpara"/>
      </w:pPr>
      <w:r>
        <w:tab/>
        <w:t>(j)</w:t>
      </w:r>
      <w:r>
        <w:tab/>
        <w:t>any leases or licences over the common property of the scheme;</w:t>
      </w:r>
    </w:p>
    <w:p>
      <w:pPr>
        <w:pStyle w:val="nzDefpara"/>
      </w:pPr>
      <w:r>
        <w:tab/>
        <w:t>(k)</w:t>
      </w:r>
      <w:r>
        <w:tab/>
        <w:t>accounting records and other documents that ought reasonably to be given to the strata company;</w:t>
      </w:r>
    </w:p>
    <w:p>
      <w:pPr>
        <w:pStyle w:val="nzDefpara"/>
      </w:pPr>
      <w:r>
        <w:tab/>
        <w:t>(l)</w:t>
      </w:r>
      <w:r>
        <w:tab/>
        <w:t>anything included in this definition by the regulations;</w:t>
      </w:r>
    </w:p>
    <w:p>
      <w:pPr>
        <w:pStyle w:val="nzDefstart"/>
      </w:pPr>
      <w:r>
        <w:tab/>
      </w:r>
      <w:r>
        <w:rPr>
          <w:rStyle w:val="CharDefText"/>
        </w:rPr>
        <w:t xml:space="preserve">lease </w:t>
      </w:r>
      <w:r>
        <w:t>of a lot includes a sublease of the lot, but does not, in a leasehold scheme, include the strata lease for the lot;</w:t>
      </w:r>
    </w:p>
    <w:p>
      <w:pPr>
        <w:pStyle w:val="nzDefstart"/>
      </w:pPr>
      <w:r>
        <w:tab/>
      </w:r>
      <w:r>
        <w:rPr>
          <w:rStyle w:val="CharDefText"/>
        </w:rPr>
        <w:t>leasehold by</w:t>
      </w:r>
      <w:r>
        <w:rPr>
          <w:rStyle w:val="CharDefText"/>
        </w:rPr>
        <w:noBreakHyphen/>
        <w:t>laws</w:t>
      </w:r>
      <w:r>
        <w:t> — see section 40;</w:t>
      </w:r>
    </w:p>
    <w:p>
      <w:pPr>
        <w:pStyle w:val="nzDefstart"/>
      </w:pPr>
      <w:r>
        <w:tab/>
      </w:r>
      <w:r>
        <w:rPr>
          <w:rStyle w:val="CharDefText"/>
        </w:rPr>
        <w:t>leasehold scheme</w:t>
      </w:r>
      <w:r>
        <w:t> — see section 8(3);</w:t>
      </w:r>
    </w:p>
    <w:p>
      <w:pPr>
        <w:pStyle w:val="nzPermNoteHeading"/>
      </w:pPr>
      <w:r>
        <w:tab/>
        <w:t>Note for this definition</w:t>
      </w:r>
      <w:r>
        <w:rPr>
          <w:b/>
        </w:rPr>
        <w:t>:</w:t>
      </w:r>
    </w:p>
    <w:p>
      <w:pPr>
        <w:pStyle w:val="nzPermNoteText"/>
      </w:pPr>
      <w:r>
        <w:tab/>
      </w:r>
      <w:r>
        <w:tab/>
        <w:t>A leasehold scheme may be a strata scheme or a survey</w:t>
      </w:r>
      <w:r>
        <w:noBreakHyphen/>
        <w:t>strata scheme depending on how the lots are defined: see section 9.</w:t>
      </w:r>
    </w:p>
    <w:p>
      <w:pPr>
        <w:pStyle w:val="nzDefstart"/>
      </w:pPr>
      <w:r>
        <w:tab/>
      </w:r>
      <w:r>
        <w:rPr>
          <w:rStyle w:val="CharDefText"/>
        </w:rPr>
        <w:t>legally qualified member</w:t>
      </w:r>
      <w:r>
        <w:t xml:space="preserve"> has the meaning given in the </w:t>
      </w:r>
      <w:r>
        <w:rPr>
          <w:i/>
        </w:rPr>
        <w:t>State Administrative Tribunal Act 2004</w:t>
      </w:r>
      <w:r>
        <w:t xml:space="preserve"> section 3(1);</w:t>
      </w:r>
    </w:p>
    <w:p>
      <w:pPr>
        <w:pStyle w:val="nzDefstart"/>
      </w:pPr>
      <w:r>
        <w:rPr>
          <w:b/>
        </w:rPr>
        <w:tab/>
      </w:r>
      <w:r>
        <w:rPr>
          <w:rStyle w:val="CharDefText"/>
        </w:rPr>
        <w:t>licensed surveyor</w:t>
      </w:r>
      <w:r>
        <w:t xml:space="preserve"> has the meaning given in the </w:t>
      </w:r>
      <w:r>
        <w:rPr>
          <w:i/>
        </w:rPr>
        <w:t>Licensed Surveyors Act 1909</w:t>
      </w:r>
      <w:r>
        <w:t xml:space="preserve"> section 3;</w:t>
      </w:r>
    </w:p>
    <w:p>
      <w:pPr>
        <w:pStyle w:val="nzDefstart"/>
      </w:pPr>
      <w:r>
        <w:rPr>
          <w:b/>
        </w:rPr>
        <w:tab/>
      </w:r>
      <w:r>
        <w:rPr>
          <w:rStyle w:val="CharDefText"/>
        </w:rPr>
        <w:t>licensed valuer</w:t>
      </w:r>
      <w:r>
        <w:t xml:space="preserve"> has the meaning given in the </w:t>
      </w:r>
      <w:r>
        <w:rPr>
          <w:i/>
        </w:rPr>
        <w:t>Land Valuers Licensing Act 1978</w:t>
      </w:r>
      <w:r>
        <w:t xml:space="preserve"> section 4;</w:t>
      </w:r>
    </w:p>
    <w:p>
      <w:pPr>
        <w:pStyle w:val="nzDefstart"/>
      </w:pPr>
      <w:r>
        <w:tab/>
      </w:r>
      <w:r>
        <w:rPr>
          <w:rStyle w:val="CharDefText"/>
        </w:rPr>
        <w:t>local government</w:t>
      </w:r>
      <w:r>
        <w:rPr>
          <w:b/>
        </w:rPr>
        <w:t xml:space="preserve"> </w:t>
      </w:r>
      <w:r>
        <w:t>means a local government, regional local government or regional subsidiary;</w:t>
      </w:r>
    </w:p>
    <w:p>
      <w:pPr>
        <w:pStyle w:val="nzDefstart"/>
      </w:pPr>
      <w:r>
        <w:tab/>
      </w:r>
      <w:r>
        <w:rPr>
          <w:rStyle w:val="CharDefText"/>
        </w:rPr>
        <w:t>local planning scheme</w:t>
      </w:r>
      <w:r>
        <w:t xml:space="preserve"> has the meaning given in the </w:t>
      </w:r>
      <w:r>
        <w:rPr>
          <w:i/>
        </w:rPr>
        <w:t>Planning and Development Act 2005</w:t>
      </w:r>
      <w:r>
        <w:t xml:space="preserve"> section 4(1);</w:t>
      </w:r>
    </w:p>
    <w:p>
      <w:pPr>
        <w:pStyle w:val="nzDefstart"/>
      </w:pPr>
      <w:r>
        <w:tab/>
      </w:r>
      <w:r>
        <w:rPr>
          <w:rStyle w:val="CharDefText"/>
        </w:rPr>
        <w:t>member of a strata company</w:t>
      </w:r>
      <w:r>
        <w:t> — see section 14(8);</w:t>
      </w:r>
    </w:p>
    <w:p>
      <w:pPr>
        <w:pStyle w:val="nzDefstart"/>
      </w:pPr>
      <w:r>
        <w:tab/>
      </w:r>
      <w:r>
        <w:rPr>
          <w:rStyle w:val="CharDefText"/>
        </w:rPr>
        <w:t xml:space="preserve">member </w:t>
      </w:r>
      <w:r>
        <w:t>of the council of a strata company includes a person appointed under scheme by</w:t>
      </w:r>
      <w:r>
        <w:noBreakHyphen/>
        <w:t>laws to act as a member of the council;</w:t>
      </w:r>
    </w:p>
    <w:p>
      <w:pPr>
        <w:pStyle w:val="nz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nzDefstart"/>
      </w:pPr>
      <w:r>
        <w:rPr>
          <w:rStyle w:val="CharDefText"/>
        </w:rPr>
        <w:tab/>
        <w:t xml:space="preserve">mortgagee </w:t>
      </w:r>
      <w:r>
        <w:t>of a lot in a leasehold scheme includes a mortgagee or chargee of the strata leasehold estate in the lot;</w:t>
      </w:r>
    </w:p>
    <w:p>
      <w:pPr>
        <w:pStyle w:val="nzDefstart"/>
      </w:pPr>
      <w:r>
        <w:tab/>
      </w:r>
      <w:r>
        <w:rPr>
          <w:rStyle w:val="CharDefText"/>
        </w:rPr>
        <w:t>notifiable variation</w:t>
      </w:r>
      <w:r>
        <w:t xml:space="preserve"> means —</w:t>
      </w:r>
    </w:p>
    <w:p>
      <w:pPr>
        <w:pStyle w:val="nzDefpara"/>
      </w:pPr>
      <w:r>
        <w:tab/>
        <w:t>(a)</w:t>
      </w:r>
      <w:r>
        <w:tab/>
        <w:t>a type 1 notifiable variation; or</w:t>
      </w:r>
    </w:p>
    <w:p>
      <w:pPr>
        <w:pStyle w:val="nzDefpara"/>
      </w:pPr>
      <w:r>
        <w:tab/>
        <w:t>(b)</w:t>
      </w:r>
      <w:r>
        <w:tab/>
        <w:t>a type 2 notifiable variation;</w:t>
      </w:r>
    </w:p>
    <w:p>
      <w:pPr>
        <w:pStyle w:val="nzDefstart"/>
      </w:pPr>
      <w:r>
        <w:tab/>
      </w:r>
      <w:r>
        <w:rPr>
          <w:rStyle w:val="CharDefText"/>
        </w:rPr>
        <w:t xml:space="preserve">occupier </w:t>
      </w:r>
      <w:r>
        <w:t>of a lot means a person who occupies the lot on a temporary or permanent basis (either solely or jointly with other persons) and includes a person who is unlawfully in occupation of a lot;</w:t>
      </w:r>
    </w:p>
    <w:p>
      <w:pPr>
        <w:pStyle w:val="nzDefstart"/>
      </w:pPr>
      <w:r>
        <w:tab/>
      </w:r>
      <w:r>
        <w:rPr>
          <w:rStyle w:val="CharDefText"/>
        </w:rPr>
        <w:t xml:space="preserve">officer </w:t>
      </w:r>
      <w:r>
        <w:t>of a strata company means —</w:t>
      </w:r>
    </w:p>
    <w:p>
      <w:pPr>
        <w:pStyle w:val="nzDefpara"/>
      </w:pPr>
      <w:r>
        <w:tab/>
        <w:t>(a)</w:t>
      </w:r>
      <w:r>
        <w:tab/>
        <w:t>the chairperson of the strata company; or</w:t>
      </w:r>
    </w:p>
    <w:p>
      <w:pPr>
        <w:pStyle w:val="nzDefpara"/>
      </w:pPr>
      <w:r>
        <w:tab/>
        <w:t>(b)</w:t>
      </w:r>
      <w:r>
        <w:tab/>
        <w:t>if, under the scheme by</w:t>
      </w:r>
      <w:r>
        <w:noBreakHyphen/>
        <w:t>laws, the strata company has a secretary, the secretary of the strata company; or</w:t>
      </w:r>
    </w:p>
    <w:p>
      <w:pPr>
        <w:pStyle w:val="nzDefpara"/>
      </w:pPr>
      <w:r>
        <w:tab/>
        <w:t>(c)</w:t>
      </w:r>
      <w:r>
        <w:tab/>
        <w:t>if, under the scheme by</w:t>
      </w:r>
      <w:r>
        <w:noBreakHyphen/>
        <w:t>laws, the strata company has a treasurer, the treasurer of the strata company;</w:t>
      </w:r>
    </w:p>
    <w:p>
      <w:pPr>
        <w:pStyle w:val="nzDefstart"/>
      </w:pPr>
      <w:r>
        <w:tab/>
      </w:r>
      <w:r>
        <w:rPr>
          <w:rStyle w:val="CharDefText"/>
        </w:rPr>
        <w:t xml:space="preserve">on common property </w:t>
      </w:r>
      <w:r>
        <w:t>in relation to infrastructure means situated in or on common property;</w:t>
      </w:r>
    </w:p>
    <w:p>
      <w:pPr>
        <w:pStyle w:val="nzDefstart"/>
      </w:pPr>
      <w:r>
        <w:tab/>
      </w:r>
      <w:r>
        <w:rPr>
          <w:rStyle w:val="CharDefText"/>
        </w:rPr>
        <w:t>open space</w:t>
      </w:r>
      <w:r>
        <w:t xml:space="preserve"> means the area of a lot that is not occupied by a building, calculated in accordance with the regulations;</w:t>
      </w:r>
    </w:p>
    <w:p>
      <w:pPr>
        <w:pStyle w:val="nzDefstart"/>
      </w:pPr>
      <w:r>
        <w:rPr>
          <w:rStyle w:val="CharDefText"/>
        </w:rPr>
        <w:tab/>
        <w:t>order to act</w:t>
      </w:r>
      <w:r>
        <w:t xml:space="preserve"> means an order of the Tribunal that —</w:t>
      </w:r>
    </w:p>
    <w:p>
      <w:pPr>
        <w:pStyle w:val="nzDefpara"/>
      </w:pPr>
      <w:r>
        <w:tab/>
        <w:t>(a)</w:t>
      </w:r>
      <w:r>
        <w:tab/>
        <w:t>is not a monetary order; and</w:t>
      </w:r>
    </w:p>
    <w:p>
      <w:pPr>
        <w:pStyle w:val="nzDefpara"/>
      </w:pPr>
      <w:r>
        <w:tab/>
        <w:t>(b)</w:t>
      </w:r>
      <w:r>
        <w:tab/>
        <w:t>requires a person to take specified action or to refrain from taking specified action;</w:t>
      </w:r>
    </w:p>
    <w:p>
      <w:pPr>
        <w:pStyle w:val="nzDefstart"/>
      </w:pPr>
      <w:r>
        <w:tab/>
      </w:r>
      <w:r>
        <w:rPr>
          <w:rStyle w:val="CharDefText"/>
        </w:rPr>
        <w:t>ordinary resolution of a strata company</w:t>
      </w:r>
      <w:r>
        <w:t> — see section 123;</w:t>
      </w:r>
    </w:p>
    <w:p>
      <w:pPr>
        <w:pStyle w:val="nzDefstart"/>
      </w:pPr>
      <w:r>
        <w:rPr>
          <w:rStyle w:val="CharDefText"/>
        </w:rPr>
        <w:tab/>
        <w:t xml:space="preserve">original proprietor </w:t>
      </w:r>
      <w:r>
        <w:t xml:space="preserve">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nzDefstart"/>
      </w:pPr>
      <w:r>
        <w:tab/>
      </w:r>
      <w:r>
        <w:rPr>
          <w:rStyle w:val="CharDefText"/>
        </w:rPr>
        <w:t xml:space="preserve">owner </w:t>
      </w:r>
      <w:r>
        <w:t>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nzDefstart"/>
      </w:pPr>
      <w:r>
        <w:tab/>
      </w:r>
      <w:r>
        <w:rPr>
          <w:rStyle w:val="CharDefText"/>
        </w:rPr>
        <w:t xml:space="preserve">owner </w:t>
      </w:r>
      <w:r>
        <w:t>of a lot means —</w:t>
      </w:r>
    </w:p>
    <w:p>
      <w:pPr>
        <w:pStyle w:val="nzDefpara"/>
      </w:pPr>
      <w:r>
        <w:tab/>
        <w:t>(a)</w:t>
      </w:r>
      <w:r>
        <w:tab/>
        <w:t>for a lot in a freehold scheme —</w:t>
      </w:r>
    </w:p>
    <w:p>
      <w:pPr>
        <w:pStyle w:val="nzDefsubpara"/>
      </w:pPr>
      <w:r>
        <w:tab/>
        <w:t>(i)</w:t>
      </w:r>
      <w:r>
        <w:tab/>
        <w:t xml:space="preserve">a person who is registered under the </w:t>
      </w:r>
      <w:r>
        <w:rPr>
          <w:i/>
        </w:rPr>
        <w:t>Transfer of Land Act 1893</w:t>
      </w:r>
      <w:r>
        <w:t xml:space="preserve"> as the proprietor of an estate in fee simple in the lot; or</w:t>
      </w:r>
    </w:p>
    <w:p>
      <w:pPr>
        <w:pStyle w:val="nz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nzDefsubpara"/>
      </w:pPr>
      <w:r>
        <w:tab/>
        <w:t>(iii)</w:t>
      </w:r>
      <w:r>
        <w:tab/>
        <w:t>if a mortgagee is in possession of the lot — the mortgagee to the exclusion of the persons referred to in the preceding paragraphs;</w:t>
      </w:r>
    </w:p>
    <w:p>
      <w:pPr>
        <w:pStyle w:val="nzDefpara"/>
      </w:pPr>
      <w:r>
        <w:tab/>
      </w:r>
      <w:r>
        <w:tab/>
        <w:t>or</w:t>
      </w:r>
    </w:p>
    <w:p>
      <w:pPr>
        <w:pStyle w:val="nzDefpara"/>
      </w:pPr>
      <w:r>
        <w:tab/>
        <w:t>(b)</w:t>
      </w:r>
      <w:r>
        <w:tab/>
        <w:t>for a lot in a leasehold scheme —</w:t>
      </w:r>
    </w:p>
    <w:p>
      <w:pPr>
        <w:pStyle w:val="nzDefsubpara"/>
      </w:pPr>
      <w:r>
        <w:tab/>
        <w:t>(i)</w:t>
      </w:r>
      <w:r>
        <w:tab/>
        <w:t xml:space="preserve">a person who is registered under the </w:t>
      </w:r>
      <w:r>
        <w:rPr>
          <w:i/>
        </w:rPr>
        <w:t>Transfer of Land Act 1893</w:t>
      </w:r>
      <w:r>
        <w:t xml:space="preserve"> as the proprietor of a strata leasehold estate in the lot; or</w:t>
      </w:r>
    </w:p>
    <w:p>
      <w:pPr>
        <w:pStyle w:val="nzDefsubpara"/>
      </w:pPr>
      <w:r>
        <w:tab/>
        <w:t>(ii)</w:t>
      </w:r>
      <w:r>
        <w:tab/>
        <w:t>if a mortgagee is in possession of the lot — the mortgagee to the exclusion of a person referred to in the preceding paragraph;</w:t>
      </w:r>
    </w:p>
    <w:p>
      <w:pPr>
        <w:pStyle w:val="nzDefstart"/>
      </w:pPr>
      <w:r>
        <w:rPr>
          <w:b/>
        </w:rPr>
        <w:tab/>
      </w:r>
      <w:r>
        <w:rPr>
          <w:rStyle w:val="CharDefText"/>
        </w:rPr>
        <w:t>parcel</w:t>
      </w:r>
      <w:r>
        <w:t xml:space="preserve"> means the land subdivided by a strata titles scheme;</w:t>
      </w:r>
    </w:p>
    <w:p>
      <w:pPr>
        <w:pStyle w:val="nz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nz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nz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nzDefstart"/>
      </w:pPr>
      <w:r>
        <w:tab/>
      </w:r>
      <w:r>
        <w:rPr>
          <w:rStyle w:val="CharDefText"/>
        </w:rPr>
        <w:t xml:space="preserve">present at a meeting of a strata company — </w:t>
      </w:r>
      <w:r>
        <w:t>see section 131;</w:t>
      </w:r>
    </w:p>
    <w:p>
      <w:pPr>
        <w:pStyle w:val="nzDefstart"/>
      </w:pPr>
      <w:r>
        <w:rPr>
          <w:rStyle w:val="CharDefText"/>
        </w:rPr>
        <w:tab/>
        <w:t>President</w:t>
      </w:r>
      <w:r>
        <w:rPr>
          <w:i/>
        </w:rPr>
        <w:t xml:space="preserve"> </w:t>
      </w:r>
      <w:r>
        <w:t xml:space="preserve">has the meaning given in the </w:t>
      </w:r>
      <w:r>
        <w:rPr>
          <w:i/>
        </w:rPr>
        <w:t>State Administrative Tribunal Act 2004</w:t>
      </w:r>
      <w:r>
        <w:t xml:space="preserve"> section 3(1);</w:t>
      </w:r>
    </w:p>
    <w:p>
      <w:pPr>
        <w:pStyle w:val="nzDefstart"/>
      </w:pPr>
      <w:r>
        <w:rPr>
          <w:rStyle w:val="CharDefText"/>
        </w:rPr>
        <w:tab/>
        <w:t>proponent of a termination proposal</w:t>
      </w:r>
      <w:r>
        <w:t> — see section 173;</w:t>
      </w:r>
    </w:p>
    <w:p>
      <w:pPr>
        <w:pStyle w:val="nzDefstart"/>
      </w:pPr>
      <w:r>
        <w:rPr>
          <w:b/>
        </w:rPr>
        <w:tab/>
      </w:r>
      <w:r>
        <w:rPr>
          <w:rStyle w:val="CharDefText"/>
        </w:rPr>
        <w:t>Register</w:t>
      </w:r>
      <w:r>
        <w:t xml:space="preserve"> has the meaning given in the </w:t>
      </w:r>
      <w:r>
        <w:rPr>
          <w:i/>
        </w:rPr>
        <w:t>Transfer of Land Act 1893</w:t>
      </w:r>
      <w:r>
        <w:t xml:space="preserve"> section 4(1);</w:t>
      </w:r>
    </w:p>
    <w:p>
      <w:pPr>
        <w:pStyle w:val="nzDefstart"/>
      </w:pPr>
      <w:r>
        <w:tab/>
      </w:r>
      <w:r>
        <w:rPr>
          <w:rStyle w:val="CharDefText"/>
        </w:rPr>
        <w:t>registered lease</w:t>
      </w:r>
      <w:r>
        <w:t xml:space="preserve"> means a lease registered under the </w:t>
      </w:r>
      <w:r>
        <w:rPr>
          <w:i/>
        </w:rPr>
        <w:t>Transfer of Land Act 1893</w:t>
      </w:r>
      <w:r>
        <w:t>;</w:t>
      </w:r>
    </w:p>
    <w:p>
      <w:pPr>
        <w:pStyle w:val="nzDefstart"/>
      </w:pPr>
      <w:r>
        <w:tab/>
      </w:r>
      <w:r>
        <w:rPr>
          <w:rStyle w:val="CharDefText"/>
        </w:rPr>
        <w:t>registered mortgage</w:t>
      </w:r>
      <w:r>
        <w:t xml:space="preserve"> means a mortgage or charge (including a statutory charge) registered under the </w:t>
      </w:r>
      <w:r>
        <w:rPr>
          <w:i/>
        </w:rPr>
        <w:t>Transfer of Land Act 1893</w:t>
      </w:r>
      <w:r>
        <w:t>;</w:t>
      </w:r>
    </w:p>
    <w:p>
      <w:pPr>
        <w:pStyle w:val="nz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nzDefstart"/>
      </w:pPr>
      <w:r>
        <w:tab/>
      </w:r>
      <w:r>
        <w:rPr>
          <w:rStyle w:val="CharDefText"/>
        </w:rPr>
        <w:t>replacement value of an insurable asset</w:t>
      </w:r>
      <w:r>
        <w:t xml:space="preserve"> means —</w:t>
      </w:r>
    </w:p>
    <w:p>
      <w:pPr>
        <w:pStyle w:val="nzDefpara"/>
      </w:pPr>
      <w:r>
        <w:tab/>
        <w:t>(a)</w:t>
      </w:r>
      <w:r>
        <w:tab/>
        <w:t>the amount required to rebuild, replace, repair or restore the asset so that, on completion of the work, the asset is no less extensive and in no worse condition than when the asset was new; and</w:t>
      </w:r>
    </w:p>
    <w:p>
      <w:pPr>
        <w:pStyle w:val="nz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nzDefstart"/>
      </w:pPr>
      <w:r>
        <w:tab/>
      </w:r>
      <w:r>
        <w:rPr>
          <w:rStyle w:val="CharDefText"/>
        </w:rPr>
        <w:t>reserve fund</w:t>
      </w:r>
      <w:r>
        <w:t> — see section 100(2)(a);</w:t>
      </w:r>
    </w:p>
    <w:p>
      <w:pPr>
        <w:pStyle w:val="nzDefstart"/>
      </w:pPr>
      <w:r>
        <w:rPr>
          <w:b/>
        </w:rPr>
        <w:tab/>
      </w:r>
      <w:r>
        <w:rPr>
          <w:rStyle w:val="CharDefText"/>
        </w:rPr>
        <w:t>resolution without dissent</w:t>
      </w:r>
      <w:r>
        <w:t xml:space="preserve"> of a strata company — see section 123;</w:t>
      </w:r>
    </w:p>
    <w:p>
      <w:pPr>
        <w:pStyle w:val="nzDefstart"/>
      </w:pPr>
      <w:r>
        <w:rPr>
          <w:rStyle w:val="CharDefText"/>
        </w:rPr>
        <w:tab/>
        <w:t>restricted use condition</w:t>
      </w:r>
      <w:r>
        <w:t> — see section 32(2)(a);</w:t>
      </w:r>
    </w:p>
    <w:p>
      <w:pPr>
        <w:pStyle w:val="nzPermNoteHeading"/>
      </w:pPr>
      <w:r>
        <w:tab/>
        <w:t>Note for this definition:</w:t>
      </w:r>
    </w:p>
    <w:p>
      <w:pPr>
        <w:pStyle w:val="nzPermNoteText"/>
      </w:pPr>
      <w:r>
        <w:tab/>
      </w:r>
      <w:r>
        <w:tab/>
        <w:t>An example of a restricted use is use of a strata titles scheme as a retirement village.</w:t>
      </w:r>
    </w:p>
    <w:p>
      <w:pPr>
        <w:pStyle w:val="nz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nzDefstart"/>
      </w:pPr>
      <w:r>
        <w:tab/>
      </w:r>
      <w:r>
        <w:rPr>
          <w:rStyle w:val="CharDefText"/>
        </w:rPr>
        <w:t>scheme building</w:t>
      </w:r>
      <w:r>
        <w:t xml:space="preserve"> means a building shown on a strata plan and by reference to which the boundaries of lots are defined;</w:t>
      </w:r>
    </w:p>
    <w:p>
      <w:pPr>
        <w:pStyle w:val="nzDefstar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nzPermNoteHeading"/>
      </w:pPr>
      <w:r>
        <w:tab/>
        <w:t>Note for this definition:</w:t>
      </w:r>
    </w:p>
    <w:p>
      <w:pPr>
        <w:pStyle w:val="nzPermNoteText"/>
      </w:pPr>
      <w:r>
        <w:tab/>
      </w:r>
      <w:r>
        <w:tab/>
        <w:t>Scheme by</w:t>
      </w:r>
      <w:r>
        <w:noBreakHyphen/>
        <w:t>laws may be governance by</w:t>
      </w:r>
      <w:r>
        <w:noBreakHyphen/>
        <w:t>laws or conduct by</w:t>
      </w:r>
      <w:r>
        <w:noBreakHyphen/>
        <w:t>laws.</w:t>
      </w:r>
    </w:p>
    <w:p>
      <w:pPr>
        <w:pStyle w:val="nzDefstart"/>
      </w:pPr>
      <w:r>
        <w:tab/>
      </w:r>
      <w:r>
        <w:rPr>
          <w:rStyle w:val="CharDefText"/>
        </w:rPr>
        <w:t>scheme developer</w:t>
      </w:r>
      <w:r>
        <w:t> —</w:t>
      </w:r>
    </w:p>
    <w:p>
      <w:pPr>
        <w:pStyle w:val="nzDefpara"/>
      </w:pPr>
      <w:r>
        <w:tab/>
        <w:t>(a)</w:t>
      </w:r>
      <w:r>
        <w:tab/>
        <w:t>for the initial subdivision of a parcel by registration of a strata titles scheme, the original proprietor of the scheme is the scheme developer; and</w:t>
      </w:r>
    </w:p>
    <w:p>
      <w:pPr>
        <w:pStyle w:val="nz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nzDefstart"/>
      </w:pPr>
      <w:r>
        <w:tab/>
      </w:r>
      <w:r>
        <w:rPr>
          <w:rStyle w:val="CharDefText"/>
        </w:rPr>
        <w:t>scheme dispute</w:t>
      </w:r>
      <w:r>
        <w:t> — see section 197;</w:t>
      </w:r>
    </w:p>
    <w:p>
      <w:pPr>
        <w:pStyle w:val="nzDefstart"/>
      </w:pPr>
      <w:r>
        <w:tab/>
      </w:r>
      <w:r>
        <w:rPr>
          <w:rStyle w:val="CharDefText"/>
        </w:rPr>
        <w:t>scheme document</w:t>
      </w:r>
      <w:r>
        <w:t> — see section 12;</w:t>
      </w:r>
    </w:p>
    <w:p>
      <w:pPr>
        <w:pStyle w:val="nzDefstart"/>
      </w:pPr>
      <w:r>
        <w:tab/>
      </w:r>
      <w:r>
        <w:rPr>
          <w:rStyle w:val="CharDefText"/>
        </w:rPr>
        <w:t>scheme function</w:t>
      </w:r>
      <w:r>
        <w:t xml:space="preserve"> for a strata titles scheme means —</w:t>
      </w:r>
    </w:p>
    <w:p>
      <w:pPr>
        <w:pStyle w:val="nzDefpara"/>
      </w:pPr>
      <w:r>
        <w:tab/>
        <w:t>(a)</w:t>
      </w:r>
      <w:r>
        <w:tab/>
        <w:t>a function of the strata company; or</w:t>
      </w:r>
    </w:p>
    <w:p>
      <w:pPr>
        <w:pStyle w:val="nzDefpara"/>
      </w:pPr>
      <w:r>
        <w:tab/>
        <w:t>(b)</w:t>
      </w:r>
      <w:r>
        <w:tab/>
        <w:t>a function of the council of the strata company; or</w:t>
      </w:r>
    </w:p>
    <w:p>
      <w:pPr>
        <w:pStyle w:val="nzDefpara"/>
      </w:pPr>
      <w:r>
        <w:tab/>
        <w:t>(c)</w:t>
      </w:r>
      <w:r>
        <w:tab/>
        <w:t>a function of an officer of the strata company;</w:t>
      </w:r>
    </w:p>
    <w:p>
      <w:pPr>
        <w:pStyle w:val="nzDefstart"/>
      </w:pPr>
      <w:r>
        <w:rPr>
          <w:rStyle w:val="CharDefText"/>
        </w:rPr>
        <w:tab/>
        <w:t>scheme notice</w:t>
      </w:r>
      <w:r>
        <w:t xml:space="preserve"> for a strata titles scheme means the scheme notice registered, or proposed to be registered, for the scheme as a scheme document;</w:t>
      </w:r>
    </w:p>
    <w:p>
      <w:pPr>
        <w:pStyle w:val="nzDefstart"/>
      </w:pPr>
      <w:r>
        <w:rPr>
          <w:b/>
        </w:rPr>
        <w:tab/>
      </w:r>
      <w:r>
        <w:rPr>
          <w:rStyle w:val="CharDefText"/>
        </w:rPr>
        <w:t>scheme participant</w:t>
      </w:r>
      <w:r>
        <w:t> — see section 197(2);</w:t>
      </w:r>
    </w:p>
    <w:p>
      <w:pPr>
        <w:pStyle w:val="nz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nzDefstart"/>
      </w:pPr>
      <w:r>
        <w:rPr>
          <w:i/>
        </w:rPr>
        <w:tab/>
      </w:r>
      <w:r>
        <w:rPr>
          <w:rStyle w:val="CharDefText"/>
        </w:rPr>
        <w:t>settlement date for a contract for the purchase and sale of a lot</w:t>
      </w:r>
      <w:r>
        <w:t xml:space="preserve"> means —</w:t>
      </w:r>
    </w:p>
    <w:p>
      <w:pPr>
        <w:pStyle w:val="nzDefpara"/>
      </w:pPr>
      <w:r>
        <w:tab/>
        <w:t>(a)</w:t>
      </w:r>
      <w:r>
        <w:tab/>
        <w:t>the date on which the purchase price, or the balance of the purchase price, for the lot is paid in exchange for documents that enable the buyer to be registered as the owner of the lot; or</w:t>
      </w:r>
    </w:p>
    <w:p>
      <w:pPr>
        <w:pStyle w:val="nz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nzDefstart"/>
      </w:pPr>
      <w:r>
        <w:tab/>
      </w:r>
      <w:r>
        <w:rPr>
          <w:rStyle w:val="CharDefText"/>
        </w:rPr>
        <w:t>short form easement or restrictive covenant</w:t>
      </w:r>
      <w:r>
        <w:t> — see section 33(1);</w:t>
      </w:r>
    </w:p>
    <w:p>
      <w:pPr>
        <w:pStyle w:val="nzDefstart"/>
      </w:pPr>
      <w:r>
        <w:tab/>
      </w:r>
      <w:r>
        <w:rPr>
          <w:rStyle w:val="CharDefText"/>
        </w:rPr>
        <w:t>site value</w:t>
      </w:r>
      <w:r>
        <w:t xml:space="preserve"> has the meaning given in the </w:t>
      </w:r>
      <w:r>
        <w:rPr>
          <w:i/>
        </w:rPr>
        <w:t>Valuation of Land Act 1978</w:t>
      </w:r>
      <w:r>
        <w:t xml:space="preserve"> section 4(1);</w:t>
      </w:r>
    </w:p>
    <w:p>
      <w:pPr>
        <w:pStyle w:val="nzDefstart"/>
      </w:pPr>
      <w:r>
        <w:tab/>
      </w:r>
      <w:r>
        <w:rPr>
          <w:rStyle w:val="CharDefText"/>
        </w:rPr>
        <w:t>special common property</w:t>
      </w:r>
      <w:r>
        <w:t> — see section 43(1);</w:t>
      </w:r>
    </w:p>
    <w:p>
      <w:pPr>
        <w:pStyle w:val="nzDefstart"/>
      </w:pPr>
      <w:r>
        <w:tab/>
      </w:r>
      <w:r>
        <w:rPr>
          <w:rStyle w:val="CharDefText"/>
        </w:rPr>
        <w:t>special lot</w:t>
      </w:r>
      <w:r>
        <w:t> — see section 43(1);</w:t>
      </w:r>
    </w:p>
    <w:p>
      <w:pPr>
        <w:pStyle w:val="nzDefstart"/>
      </w:pPr>
      <w:r>
        <w:rPr>
          <w:b/>
        </w:rPr>
        <w:tab/>
      </w:r>
      <w:r>
        <w:rPr>
          <w:rStyle w:val="CharDefText"/>
        </w:rPr>
        <w:t>special resolution</w:t>
      </w:r>
      <w:r>
        <w:rPr>
          <w:i/>
        </w:rPr>
        <w:t xml:space="preserve"> </w:t>
      </w:r>
      <w:r>
        <w:t>of a strata company — see section 123;</w:t>
      </w:r>
    </w:p>
    <w:p>
      <w:pPr>
        <w:pStyle w:val="nzDefstart"/>
      </w:pPr>
      <w:r>
        <w:rPr>
          <w:rStyle w:val="CharDefText"/>
        </w:rPr>
        <w:tab/>
        <w:t>staged subdivision by</w:t>
      </w:r>
      <w:r>
        <w:rPr>
          <w:rStyle w:val="CharDefText"/>
        </w:rPr>
        <w:noBreakHyphen/>
        <w:t>laws</w:t>
      </w:r>
      <w:r>
        <w:t> — see section 42;</w:t>
      </w:r>
    </w:p>
    <w:p>
      <w:pPr>
        <w:pStyle w:val="nzDefstart"/>
      </w:pPr>
      <w:r>
        <w:rPr>
          <w:b/>
        </w:rPr>
        <w:tab/>
      </w:r>
      <w:r>
        <w:rPr>
          <w:rStyle w:val="CharDefText"/>
        </w:rPr>
        <w:t>statutory easement</w:t>
      </w:r>
      <w:r>
        <w:t xml:space="preserve"> means an easement under Part 5 Division 3;</w:t>
      </w:r>
    </w:p>
    <w:p>
      <w:pPr>
        <w:pStyle w:val="nzDefstart"/>
      </w:pPr>
      <w:r>
        <w:tab/>
      </w:r>
      <w:r>
        <w:rPr>
          <w:rStyle w:val="CharDefText"/>
        </w:rPr>
        <w:t>strata company</w:t>
      </w:r>
      <w:r>
        <w:t xml:space="preserve"> means a body corporate established under section 14 on registration of a strata titles scheme;</w:t>
      </w:r>
    </w:p>
    <w:p>
      <w:pPr>
        <w:pStyle w:val="nzDefstart"/>
      </w:pPr>
      <w:r>
        <w:tab/>
      </w:r>
      <w:r>
        <w:rPr>
          <w:rStyle w:val="CharDefText"/>
        </w:rPr>
        <w:t>strata lease</w:t>
      </w:r>
      <w:r>
        <w:t xml:space="preserve"> for a lot in a leasehold scheme means the lease registered, or proposed to be registered, for the lot as a scheme document;</w:t>
      </w:r>
    </w:p>
    <w:p>
      <w:pPr>
        <w:pStyle w:val="nzDefstart"/>
      </w:pPr>
      <w:r>
        <w:tab/>
      </w:r>
      <w:r>
        <w:rPr>
          <w:rStyle w:val="CharDefText"/>
        </w:rPr>
        <w:t>strata leasehold estate</w:t>
      </w:r>
      <w:r>
        <w:t xml:space="preserve"> means a leasehold estate held under a strata lease;</w:t>
      </w:r>
    </w:p>
    <w:p>
      <w:pPr>
        <w:pStyle w:val="nzDefstart"/>
      </w:pPr>
      <w:r>
        <w:tab/>
      </w:r>
      <w:r>
        <w:rPr>
          <w:rStyle w:val="CharDefText"/>
        </w:rPr>
        <w:t>strata management contract</w:t>
      </w:r>
      <w:r>
        <w:t> — see section 144(1)(a);</w:t>
      </w:r>
    </w:p>
    <w:p>
      <w:pPr>
        <w:pStyle w:val="nzDefstart"/>
      </w:pPr>
      <w:r>
        <w:tab/>
      </w:r>
      <w:r>
        <w:rPr>
          <w:rStyle w:val="CharDefText"/>
        </w:rPr>
        <w:t>strata manager</w:t>
      </w:r>
      <w:r>
        <w:t> — see section 143(1);</w:t>
      </w:r>
    </w:p>
    <w:p>
      <w:pPr>
        <w:pStyle w:val="nzDefstart"/>
      </w:pPr>
      <w:r>
        <w:tab/>
      </w:r>
      <w:r>
        <w:rPr>
          <w:rStyle w:val="CharDefText"/>
        </w:rPr>
        <w:t>strata plan</w:t>
      </w:r>
      <w:r>
        <w:t xml:space="preserve"> means a scheme plan for a strata scheme;</w:t>
      </w:r>
    </w:p>
    <w:p>
      <w:pPr>
        <w:pStyle w:val="nzDefstart"/>
      </w:pPr>
      <w:r>
        <w:tab/>
      </w:r>
      <w:r>
        <w:rPr>
          <w:rStyle w:val="CharDefText"/>
        </w:rPr>
        <w:t>strata scheme</w:t>
      </w:r>
      <w:r>
        <w:t> — see section 9;</w:t>
      </w:r>
    </w:p>
    <w:p>
      <w:pPr>
        <w:pStyle w:val="nzDefstart"/>
      </w:pPr>
      <w:r>
        <w:tab/>
      </w:r>
      <w:r>
        <w:rPr>
          <w:rStyle w:val="CharDefText"/>
        </w:rPr>
        <w:t>strata title</w:t>
      </w:r>
      <w:r>
        <w:t> — see section 13;</w:t>
      </w:r>
    </w:p>
    <w:p>
      <w:pPr>
        <w:pStyle w:val="nzDefstart"/>
      </w:pPr>
      <w:r>
        <w:tab/>
      </w:r>
      <w:r>
        <w:rPr>
          <w:rStyle w:val="CharDefText"/>
        </w:rPr>
        <w:t>strata titles scheme</w:t>
      </w:r>
      <w:r>
        <w:t xml:space="preserve"> means —</w:t>
      </w:r>
    </w:p>
    <w:p>
      <w:pPr>
        <w:pStyle w:val="nzDefpara"/>
      </w:pPr>
      <w:r>
        <w:tab/>
        <w:t>(a)</w:t>
      </w:r>
      <w:r>
        <w:tab/>
        <w:t>a strata scheme; or</w:t>
      </w:r>
    </w:p>
    <w:p>
      <w:pPr>
        <w:pStyle w:val="nzDefpara"/>
      </w:pPr>
      <w:r>
        <w:tab/>
        <w:t>(b)</w:t>
      </w:r>
      <w:r>
        <w:tab/>
        <w:t>a survey</w:t>
      </w:r>
      <w:r>
        <w:noBreakHyphen/>
        <w:t>strata scheme;</w:t>
      </w:r>
    </w:p>
    <w:p>
      <w:pPr>
        <w:pStyle w:val="nzPermNoteHeading"/>
      </w:pPr>
      <w:r>
        <w:tab/>
        <w:t>Note for this definition:</w:t>
      </w:r>
    </w:p>
    <w:p>
      <w:pPr>
        <w:pStyle w:val="nz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nzDefstart"/>
      </w:pPr>
      <w:r>
        <w:tab/>
      </w:r>
      <w:r>
        <w:rPr>
          <w:rStyle w:val="CharDefText"/>
        </w:rPr>
        <w:t>structural cubic space</w:t>
      </w:r>
      <w:r>
        <w:t xml:space="preserve"> means —</w:t>
      </w:r>
    </w:p>
    <w:p>
      <w:pPr>
        <w:pStyle w:val="nzDefpara"/>
      </w:pPr>
      <w:r>
        <w:tab/>
        <w:t>(a)</w:t>
      </w:r>
      <w:r>
        <w:tab/>
        <w:t>cubic space occupied by a vertical structural member, not being a wall, of a building; or</w:t>
      </w:r>
    </w:p>
    <w:p>
      <w:pPr>
        <w:pStyle w:val="nzDefpara"/>
      </w:pPr>
      <w:r>
        <w:tab/>
        <w:t>(b)</w:t>
      </w:r>
      <w:r>
        <w:tab/>
        <w:t>utility conduits in a building; or</w:t>
      </w:r>
    </w:p>
    <w:p>
      <w:pPr>
        <w:pStyle w:val="nzDefpara"/>
      </w:pPr>
      <w:r>
        <w:tab/>
        <w:t>(c)</w:t>
      </w:r>
      <w:r>
        <w:tab/>
        <w:t>cubic space enclosed by a structure enclosing utility conduits,</w:t>
      </w:r>
    </w:p>
    <w:p>
      <w:pPr>
        <w:pStyle w:val="nzDefstart"/>
      </w:pPr>
      <w:r>
        <w:tab/>
        <w:t>but does not include utility conduits that are for the exclusive use or enjoyment of 1 lot;</w:t>
      </w:r>
    </w:p>
    <w:p>
      <w:pPr>
        <w:pStyle w:val="nzPermNoteHeading"/>
      </w:pPr>
      <w:r>
        <w:tab/>
        <w:t>Note for this definition:</w:t>
      </w:r>
    </w:p>
    <w:p>
      <w:pPr>
        <w:pStyle w:val="nzPermNoteText"/>
      </w:pPr>
      <w:r>
        <w:tab/>
      </w:r>
      <w:r>
        <w:tab/>
        <w:t>Schedule 2A provides for a special rule about the definition of structural cubic space for single tier strata schemes.</w:t>
      </w:r>
    </w:p>
    <w:p>
      <w:pPr>
        <w:pStyle w:val="nzDefstart"/>
      </w:pPr>
      <w:r>
        <w:rPr>
          <w:b/>
        </w:rPr>
        <w:tab/>
      </w:r>
      <w:r>
        <w:rPr>
          <w:rStyle w:val="CharDefText"/>
        </w:rPr>
        <w:t>subdivision of land: a strata titles scheme</w:t>
      </w:r>
      <w:r>
        <w:t> — see section 11;</w:t>
      </w:r>
    </w:p>
    <w:p>
      <w:pPr>
        <w:pStyle w:val="nzDefstart"/>
      </w:pPr>
      <w:r>
        <w:tab/>
      </w:r>
      <w:r>
        <w:rPr>
          <w:rStyle w:val="CharDefText"/>
        </w:rPr>
        <w:t>survey</w:t>
      </w:r>
      <w:r>
        <w:rPr>
          <w:rStyle w:val="CharDefText"/>
        </w:rPr>
        <w:noBreakHyphen/>
        <w:t>strata plan</w:t>
      </w:r>
      <w:r>
        <w:t xml:space="preserve"> means a scheme plan for a survey</w:t>
      </w:r>
      <w:r>
        <w:noBreakHyphen/>
        <w:t>strata scheme;</w:t>
      </w:r>
    </w:p>
    <w:p>
      <w:pPr>
        <w:pStyle w:val="nzDefstart"/>
      </w:pPr>
      <w:r>
        <w:tab/>
      </w:r>
      <w:r>
        <w:rPr>
          <w:rStyle w:val="CharDefText"/>
        </w:rPr>
        <w:t>survey</w:t>
      </w:r>
      <w:r>
        <w:rPr>
          <w:rStyle w:val="CharDefText"/>
        </w:rPr>
        <w:noBreakHyphen/>
        <w:t>strata scheme</w:t>
      </w:r>
      <w:r>
        <w:t> — see section 9;</w:t>
      </w:r>
    </w:p>
    <w:p>
      <w:pPr>
        <w:pStyle w:val="nzDefstart"/>
      </w:pPr>
      <w:r>
        <w:tab/>
      </w:r>
      <w:r>
        <w:rPr>
          <w:rStyle w:val="CharDefText"/>
        </w:rPr>
        <w:t>sustainability infrastructure</w:t>
      </w:r>
      <w:r>
        <w:t xml:space="preserve"> means infrastructure that is designed or is likely to avoid, remedy or mitigate adverse effects on the environment;</w:t>
      </w:r>
    </w:p>
    <w:p>
      <w:pPr>
        <w:pStyle w:val="nzPermNoteHeading"/>
      </w:pPr>
      <w:r>
        <w:tab/>
        <w:t>Examples for this definition:</w:t>
      </w:r>
    </w:p>
    <w:p>
      <w:pPr>
        <w:pStyle w:val="nzPermNoteText"/>
      </w:pPr>
      <w:r>
        <w:tab/>
      </w:r>
      <w:r>
        <w:tab/>
        <w:t>Sustainability infrastructure includes solar panels, clothes lines and rainwater tanks.</w:t>
      </w:r>
    </w:p>
    <w:p>
      <w:pPr>
        <w:pStyle w:val="nz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nzDefstart"/>
      </w:pPr>
      <w:r>
        <w:rPr>
          <w:rStyle w:val="CharDefText"/>
        </w:rPr>
        <w:tab/>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nzDefstart"/>
      </w:pPr>
      <w:r>
        <w:rPr>
          <w:rStyle w:val="CharDefText"/>
        </w:rPr>
        <w:tab/>
        <w:t>termination infrastructure report</w:t>
      </w:r>
      <w:r>
        <w:t> — see section 179(2);</w:t>
      </w:r>
    </w:p>
    <w:p>
      <w:pPr>
        <w:pStyle w:val="nzDefstart"/>
      </w:pPr>
      <w:r>
        <w:rPr>
          <w:rStyle w:val="CharDefText"/>
        </w:rPr>
        <w:tab/>
        <w:t>termination proposal</w:t>
      </w:r>
      <w:r>
        <w:t> — see section 174(1);</w:t>
      </w:r>
    </w:p>
    <w:p>
      <w:pPr>
        <w:pStyle w:val="nzDefstart"/>
      </w:pPr>
      <w:r>
        <w:rPr>
          <w:rStyle w:val="CharDefText"/>
        </w:rPr>
        <w:tab/>
        <w:t>termination resolution</w:t>
      </w:r>
      <w:r>
        <w:t> — see section 182;</w:t>
      </w:r>
    </w:p>
    <w:p>
      <w:pPr>
        <w:pStyle w:val="nzDefstart"/>
      </w:pPr>
      <w:r>
        <w:rPr>
          <w:rStyle w:val="CharDefText"/>
        </w:rPr>
        <w:tab/>
        <w:t>termination valuation report</w:t>
      </w:r>
      <w:r>
        <w:t> — see section 179(3);</w:t>
      </w:r>
    </w:p>
    <w:p>
      <w:pPr>
        <w:pStyle w:val="nz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nzDefstart"/>
      </w:pPr>
      <w:r>
        <w:tab/>
      </w:r>
      <w:r>
        <w:rPr>
          <w:rStyle w:val="CharDefText"/>
        </w:rPr>
        <w:t>Tribunal</w:t>
      </w:r>
      <w:r>
        <w:t xml:space="preserve"> means the State Administrative Tribunal;</w:t>
      </w:r>
    </w:p>
    <w:p>
      <w:pPr>
        <w:pStyle w:val="nz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nzDefpara"/>
      </w:pPr>
      <w:r>
        <w:tab/>
        <w:t>(a)</w:t>
      </w:r>
      <w:r>
        <w:tab/>
        <w:t>the area or size of the lot or proposed lot is reduced by 5% or more from the area or size notified to the buyer before the buyer entered into the contract;</w:t>
      </w:r>
    </w:p>
    <w:p>
      <w:pPr>
        <w:pStyle w:val="nz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nzDefpara"/>
      </w:pPr>
      <w:r>
        <w:tab/>
        <w:t>(c)</w:t>
      </w:r>
      <w:r>
        <w:tab/>
        <w:t>anything relating to a proposal for the termination of the strata titles scheme is served on the seller by the strata company;</w:t>
      </w:r>
    </w:p>
    <w:p>
      <w:pPr>
        <w:pStyle w:val="nzDefpara"/>
      </w:pPr>
      <w:r>
        <w:tab/>
        <w:t>(d)</w:t>
      </w:r>
      <w:r>
        <w:tab/>
        <w:t>any other event classified by the regulations as a type 1 notifiable variation;</w:t>
      </w:r>
    </w:p>
    <w:p>
      <w:pPr>
        <w:pStyle w:val="nz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nzDefpara"/>
      </w:pPr>
      <w:r>
        <w:tab/>
        <w:t>(a)</w:t>
      </w:r>
      <w:r>
        <w:tab/>
        <w:t>the scheme plan, or proposed scheme plan or amendment of the scheme plan, for the strata titles scheme is modified in a way that affects the lot or the common property;</w:t>
      </w:r>
    </w:p>
    <w:p>
      <w:pPr>
        <w:pStyle w:val="nzDefpara"/>
      </w:pPr>
      <w:r>
        <w:tab/>
        <w:t>(b)</w:t>
      </w:r>
      <w:r>
        <w:tab/>
        <w:t>the schedule of unit entitlements, or proposed schedule of unit entitlements or amendment of the schedule of unit entitlements, for the strata titles scheme is modified in a way that affects the lot;</w:t>
      </w:r>
    </w:p>
    <w:p>
      <w:pPr>
        <w:pStyle w:val="nzDefpara"/>
      </w:pPr>
      <w:r>
        <w:tab/>
        <w:t>(c)</w:t>
      </w:r>
      <w:r>
        <w:tab/>
        <w:t>the scheme by</w:t>
      </w:r>
      <w:r>
        <w:noBreakHyphen/>
        <w:t>laws, or proposed scheme by</w:t>
      </w:r>
      <w:r>
        <w:noBreakHyphen/>
        <w:t>laws, are modified;</w:t>
      </w:r>
    </w:p>
    <w:p>
      <w:pPr>
        <w:pStyle w:val="nzDefpara"/>
      </w:pPr>
      <w:r>
        <w:tab/>
        <w:t>(d)</w:t>
      </w:r>
      <w:r>
        <w:tab/>
        <w:t>the strata company or a scheme developer —</w:t>
      </w:r>
    </w:p>
    <w:p>
      <w:pPr>
        <w:pStyle w:val="nzDefsubpara"/>
      </w:pPr>
      <w:r>
        <w:tab/>
        <w:t>(i)</w:t>
      </w:r>
      <w:r>
        <w:tab/>
        <w:t>enters into a contract for the provision of services or amenities to the strata company or to members of the strata company or a contract that is otherwise likely to affect the rights of the buyer; or</w:t>
      </w:r>
    </w:p>
    <w:p>
      <w:pPr>
        <w:pStyle w:val="nzDefsubpara"/>
      </w:pPr>
      <w:r>
        <w:tab/>
        <w:t>(ii)</w:t>
      </w:r>
      <w:r>
        <w:tab/>
        <w:t>varies an existing contract of that kind in a way that is likely to affect the rights of the buyer;</w:t>
      </w:r>
    </w:p>
    <w:p>
      <w:pPr>
        <w:pStyle w:val="nzDefpara"/>
      </w:pPr>
      <w:r>
        <w:tab/>
        <w:t>(e)</w:t>
      </w:r>
      <w:r>
        <w:tab/>
        <w:t>a lease, licence, right or privilege over the common property in the strata titles scheme is granted or varied;</w:t>
      </w:r>
    </w:p>
    <w:p>
      <w:pPr>
        <w:pStyle w:val="nzDefpara"/>
      </w:pPr>
      <w:r>
        <w:tab/>
        <w:t>(f)</w:t>
      </w:r>
      <w:r>
        <w:tab/>
        <w:t>any other event classified by the regulations as a type 2 notifiable variation;</w:t>
      </w:r>
    </w:p>
    <w:p>
      <w:pPr>
        <w:pStyle w:val="nzPermNoteHeading"/>
      </w:pPr>
      <w:r>
        <w:tab/>
        <w:t>Note for this definition:</w:t>
      </w:r>
    </w:p>
    <w:p>
      <w:pPr>
        <w:pStyle w:val="nzPermNoteText"/>
      </w:pPr>
      <w:r>
        <w:tab/>
      </w:r>
      <w:r>
        <w:tab/>
        <w:t>For when an amendment of a strata titles scheme affects a lot or common property see subsection (7).</w:t>
      </w:r>
    </w:p>
    <w:p>
      <w:pPr>
        <w:pStyle w:val="nzDefstart"/>
      </w:pPr>
      <w:r>
        <w:tab/>
      </w:r>
      <w:r>
        <w:rPr>
          <w:rStyle w:val="CharDefText"/>
        </w:rPr>
        <w:t>type 1 subdivision</w:t>
      </w:r>
      <w:r>
        <w:t xml:space="preserve"> means —</w:t>
      </w:r>
    </w:p>
    <w:p>
      <w:pPr>
        <w:pStyle w:val="nzDefpara"/>
      </w:pPr>
      <w:r>
        <w:tab/>
        <w:t>(a)</w:t>
      </w:r>
      <w:r>
        <w:tab/>
        <w:t>the addition of land from outside the parcel of a strata titles scheme to common property in the scheme (but not including temporary common property); or</w:t>
      </w:r>
    </w:p>
    <w:p>
      <w:pPr>
        <w:pStyle w:val="nzDefpara"/>
      </w:pPr>
      <w:r>
        <w:tab/>
        <w:t>(b)</w:t>
      </w:r>
      <w:r>
        <w:tab/>
        <w:t>the conversion of a lot in a strata titles scheme to common property in the scheme;</w:t>
      </w:r>
    </w:p>
    <w:p>
      <w:pPr>
        <w:pStyle w:val="nzDefstart"/>
      </w:pPr>
      <w:r>
        <w:tab/>
      </w:r>
      <w:r>
        <w:rPr>
          <w:rStyle w:val="CharDefText"/>
        </w:rPr>
        <w:t>type 2 subdivision</w:t>
      </w:r>
      <w:r>
        <w:t xml:space="preserve"> means the removal from the parcel of a strata titles scheme of land comprised of common property;</w:t>
      </w:r>
    </w:p>
    <w:p>
      <w:pPr>
        <w:pStyle w:val="nzDefstart"/>
      </w:pPr>
      <w:r>
        <w:tab/>
      </w:r>
      <w:r>
        <w:rPr>
          <w:rStyle w:val="CharDefText"/>
        </w:rPr>
        <w:t>type 3 subdivision</w:t>
      </w:r>
      <w:r>
        <w:t xml:space="preserve"> means a consolidation of 2 or more lots in a strata titles scheme into 1 lot in the scheme (not affecting common property in the scheme);</w:t>
      </w:r>
    </w:p>
    <w:p>
      <w:pPr>
        <w:pStyle w:val="nzDefstart"/>
      </w:pPr>
      <w:r>
        <w:tab/>
      </w:r>
      <w:r>
        <w:rPr>
          <w:rStyle w:val="CharDefText"/>
        </w:rPr>
        <w:t>type 4 subdivision</w:t>
      </w:r>
      <w:r>
        <w:t xml:space="preserve"> means a subdivision that does not involve the alteration of the boundaries of the parcel and is not a type 1, type 2 or type 3 subdivision;</w:t>
      </w:r>
    </w:p>
    <w:p>
      <w:pPr>
        <w:pStyle w:val="nzPermNoteHeading"/>
      </w:pPr>
      <w:r>
        <w:tab/>
        <w:t>Note for the definitions of types of subdivision:</w:t>
      </w:r>
    </w:p>
    <w:p>
      <w:pPr>
        <w:pStyle w:val="nzPermNoteText"/>
      </w:pPr>
      <w:r>
        <w:tab/>
        <w:t>1.</w:t>
      </w:r>
      <w:r>
        <w:tab/>
        <w:t>There are 4 types of amendment of a strata titles scheme that give effect to a subdivision, with varying requirements for resolutions and consents:</w:t>
      </w:r>
    </w:p>
    <w:p>
      <w:pPr>
        <w:pStyle w:val="nzPermNotePara"/>
      </w:pPr>
      <w:r>
        <w:t>A type 1 subdivision covers adding land from outside the parcel to the common property (other than as temporary common property) and what was formerly referred to as conversion of lots into common property.</w:t>
      </w:r>
    </w:p>
    <w:p>
      <w:pPr>
        <w:pStyle w:val="nzPermNotePara"/>
      </w:pPr>
      <w:r>
        <w:t>A type 2 subdivision covers the removal of common property from the parcel of a strata titles scheme.</w:t>
      </w:r>
    </w:p>
    <w:p>
      <w:pPr>
        <w:pStyle w:val="nzPermNotePara"/>
      </w:pPr>
      <w:r>
        <w:t>A type 3 subdivision covers what was formerly referred to as consolidation of lots.</w:t>
      </w:r>
    </w:p>
    <w:p>
      <w:pPr>
        <w:pStyle w:val="nzPermNotePara"/>
      </w:pPr>
      <w:r>
        <w:t>A type 4 subdivision covers what was formerly referred to as re</w:t>
      </w:r>
      <w:r>
        <w:noBreakHyphen/>
        <w:t>subdivision.</w:t>
      </w:r>
    </w:p>
    <w:p>
      <w:pPr>
        <w:pStyle w:val="n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nzPermNotePara"/>
      </w:pPr>
      <w:r>
        <w:t>1 or more lots so as to create only 2 or more different lots; or</w:t>
      </w:r>
    </w:p>
    <w:p>
      <w:pPr>
        <w:pStyle w:val="nzPermNotePara"/>
      </w:pPr>
      <w:r>
        <w:t>1 or more lots so as to create 1 or more different lots and common property; or</w:t>
      </w:r>
    </w:p>
    <w:p>
      <w:pPr>
        <w:pStyle w:val="nzPermNotePara"/>
      </w:pPr>
      <w:r>
        <w:t>1 or more lots and common property so as to create 1 or more different lots or 1 or more different lots and common property; or</w:t>
      </w:r>
    </w:p>
    <w:p>
      <w:pPr>
        <w:pStyle w:val="nzPermNotePara"/>
      </w:pPr>
      <w:r>
        <w:t>common property so as to create 1 or more lots or 1 or more lots and common property.</w:t>
      </w:r>
    </w:p>
    <w:p>
      <w:pPr>
        <w:pStyle w:val="nzDefstart"/>
      </w:pPr>
      <w:r>
        <w:tab/>
      </w:r>
      <w:r>
        <w:rPr>
          <w:rStyle w:val="CharDefText"/>
        </w:rPr>
        <w:t>unanimous resolution of a strata company</w:t>
      </w:r>
      <w:r>
        <w:t> — see section 123;</w:t>
      </w:r>
    </w:p>
    <w:p>
      <w:pPr>
        <w:pStyle w:val="nzDefstart"/>
      </w:pPr>
      <w:r>
        <w:rPr>
          <w:b/>
        </w:rPr>
        <w:tab/>
      </w:r>
      <w:r>
        <w:rPr>
          <w:rStyle w:val="CharDefText"/>
        </w:rPr>
        <w:t>unit entitlement of a lot</w:t>
      </w:r>
      <w:r>
        <w:t> — see section 37(1)(a);</w:t>
      </w:r>
    </w:p>
    <w:p>
      <w:pPr>
        <w:pStyle w:val="nzDefstart"/>
      </w:pPr>
      <w:r>
        <w:tab/>
      </w:r>
      <w:r>
        <w:rPr>
          <w:rStyle w:val="CharDefText"/>
        </w:rPr>
        <w:t>utility conduit</w:t>
      </w:r>
      <w:r>
        <w:t xml:space="preserve"> means a conduit for the provision of a utility service (including pipes, wires, cables and ducts);</w:t>
      </w:r>
    </w:p>
    <w:p>
      <w:pPr>
        <w:pStyle w:val="nzDefstart"/>
      </w:pPr>
      <w:r>
        <w:tab/>
      </w:r>
      <w:r>
        <w:rPr>
          <w:rStyle w:val="CharDefText"/>
        </w:rPr>
        <w:t>utility infrastructure</w:t>
      </w:r>
      <w:r>
        <w:t xml:space="preserve"> means infrastructure and equipment necessary for, or related to, the provision of a utility service;</w:t>
      </w:r>
    </w:p>
    <w:p>
      <w:pPr>
        <w:pStyle w:val="nzDefstart"/>
      </w:pPr>
      <w:r>
        <w:tab/>
      </w:r>
      <w:r>
        <w:rPr>
          <w:rStyle w:val="CharDefText"/>
        </w:rPr>
        <w:t>utility service</w:t>
      </w:r>
      <w:r>
        <w:t xml:space="preserve"> means —</w:t>
      </w:r>
    </w:p>
    <w:p>
      <w:pPr>
        <w:pStyle w:val="nzDefpara"/>
      </w:pPr>
      <w:r>
        <w:tab/>
        <w:t>(a)</w:t>
      </w:r>
      <w:r>
        <w:tab/>
        <w:t>the collection and passage of stormwater; or</w:t>
      </w:r>
    </w:p>
    <w:p>
      <w:pPr>
        <w:pStyle w:val="nzDefpara"/>
      </w:pPr>
      <w:r>
        <w:tab/>
        <w:t>(b)</w:t>
      </w:r>
      <w:r>
        <w:tab/>
        <w:t>the supply of water for drinking or any other use; or</w:t>
      </w:r>
    </w:p>
    <w:p>
      <w:pPr>
        <w:pStyle w:val="nzDefpara"/>
      </w:pPr>
      <w:r>
        <w:tab/>
        <w:t>(c)</w:t>
      </w:r>
      <w:r>
        <w:tab/>
        <w:t>a sewerage and drainage service; or</w:t>
      </w:r>
    </w:p>
    <w:p>
      <w:pPr>
        <w:pStyle w:val="nzDefpara"/>
      </w:pPr>
      <w:r>
        <w:tab/>
        <w:t>(d)</w:t>
      </w:r>
      <w:r>
        <w:tab/>
        <w:t>a garbage collection service; or</w:t>
      </w:r>
    </w:p>
    <w:p>
      <w:pPr>
        <w:pStyle w:val="nzDefpara"/>
      </w:pPr>
      <w:r>
        <w:tab/>
        <w:t>(e)</w:t>
      </w:r>
      <w:r>
        <w:tab/>
        <w:t>a gas, electricity or air service, including air conditioning and heating; or</w:t>
      </w:r>
    </w:p>
    <w:p>
      <w:pPr>
        <w:pStyle w:val="nzDefpara"/>
      </w:pPr>
      <w:r>
        <w:tab/>
        <w:t>(f)</w:t>
      </w:r>
      <w:r>
        <w:tab/>
        <w:t>a communication or data service, including telephone, radio, television and internet; or</w:t>
      </w:r>
    </w:p>
    <w:p>
      <w:pPr>
        <w:pStyle w:val="nzDefpara"/>
      </w:pPr>
      <w:r>
        <w:tab/>
        <w:t>(g)</w:t>
      </w:r>
      <w:r>
        <w:tab/>
        <w:t>a service classified by the regulations as a utility service; or</w:t>
      </w:r>
    </w:p>
    <w:p>
      <w:pPr>
        <w:pStyle w:val="nzDefpara"/>
      </w:pPr>
      <w:r>
        <w:tab/>
        <w:t>(h)</w:t>
      </w:r>
      <w:r>
        <w:tab/>
        <w:t>another like service;</w:t>
      </w:r>
    </w:p>
    <w:p>
      <w:pPr>
        <w:pStyle w:val="nzDefstart"/>
      </w:pPr>
      <w:r>
        <w:rPr>
          <w:b/>
        </w:rPr>
        <w:tab/>
      </w:r>
      <w:r>
        <w:rPr>
          <w:rStyle w:val="CharDefText"/>
        </w:rPr>
        <w:t>utility service easement</w:t>
      </w:r>
      <w:r>
        <w:t xml:space="preserve"> means an easement under section 63;</w:t>
      </w:r>
    </w:p>
    <w:p>
      <w:pPr>
        <w:pStyle w:val="nz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nzDefstart"/>
      </w:pPr>
      <w:r>
        <w:rPr>
          <w:rStyle w:val="CharDefText"/>
        </w:rPr>
        <w:tab/>
        <w:t>volunteer strata manager</w:t>
      </w:r>
      <w:r>
        <w:t xml:space="preserve"> means a strata manager of a strata company who —</w:t>
      </w:r>
    </w:p>
    <w:p>
      <w:pPr>
        <w:pStyle w:val="nzDefpara"/>
      </w:pPr>
      <w:r>
        <w:tab/>
        <w:t>(a)</w:t>
      </w:r>
      <w:r>
        <w:tab/>
        <w:t>is the owner of a lot in the strata titles scheme; and</w:t>
      </w:r>
    </w:p>
    <w:p>
      <w:pPr>
        <w:pStyle w:val="nzDefpara"/>
      </w:pPr>
      <w:r>
        <w:tab/>
        <w:t>(b)</w:t>
      </w:r>
      <w:r>
        <w:tab/>
        <w:t>does not receive any fee, reward or benefit for work performed as a strata manager other than an honorary fee or reward not exceeding, if an amount is fixed by the regulations, that amount; and</w:t>
      </w:r>
    </w:p>
    <w:p>
      <w:pPr>
        <w:pStyle w:val="nzDefpara"/>
      </w:pPr>
      <w:r>
        <w:tab/>
        <w:t>(c)</w:t>
      </w:r>
      <w:r>
        <w:tab/>
        <w:t>personally performs the work of the strata manager;</w:t>
      </w:r>
    </w:p>
    <w:p>
      <w:pPr>
        <w:pStyle w:val="nzDefstart"/>
      </w:pPr>
      <w:r>
        <w:rPr>
          <w:b/>
        </w:rPr>
        <w:tab/>
      </w:r>
      <w:r>
        <w:rPr>
          <w:rStyle w:val="CharDefText"/>
        </w:rPr>
        <w:t xml:space="preserve">working day </w:t>
      </w:r>
      <w:r>
        <w:t>means a day other than a Saturday, a Sunday or a public holiday throughout the State.</w:t>
      </w:r>
    </w:p>
    <w:p>
      <w:pPr>
        <w:pStyle w:val="BlankClose"/>
      </w:pPr>
    </w:p>
    <w:p>
      <w:pPr>
        <w:pStyle w:val="nzSubsection"/>
      </w:pPr>
      <w:r>
        <w:tab/>
        <w:t>(3)</w:t>
      </w:r>
      <w:r>
        <w:tab/>
        <w:t xml:space="preserve">In section 3(1) in the definition of </w:t>
      </w:r>
      <w:r>
        <w:rPr>
          <w:b/>
          <w:i/>
        </w:rPr>
        <w:t>floor area</w:t>
      </w:r>
      <w:r>
        <w:t xml:space="preserve"> delete “</w:t>
      </w:r>
      <w:r>
        <w:rPr>
          <w:b/>
          <w:i/>
        </w:rPr>
        <w:t>area</w:t>
      </w:r>
      <w:r>
        <w:t xml:space="preserve"> in relation to a cubic space,” and insert:</w:t>
      </w:r>
    </w:p>
    <w:p>
      <w:pPr>
        <w:pStyle w:val="BlankOpen"/>
      </w:pPr>
    </w:p>
    <w:p>
      <w:pPr>
        <w:pStyle w:val="nzSubsection"/>
      </w:pPr>
      <w:r>
        <w:tab/>
      </w:r>
      <w:r>
        <w:tab/>
      </w:r>
      <w:r>
        <w:rPr>
          <w:b/>
          <w:i/>
        </w:rPr>
        <w:t>area of a cubic space</w:t>
      </w:r>
    </w:p>
    <w:p>
      <w:pPr>
        <w:pStyle w:val="BlankClose"/>
      </w:pPr>
    </w:p>
    <w:p>
      <w:pPr>
        <w:pStyle w:val="nzSubsection"/>
      </w:pPr>
      <w:r>
        <w:tab/>
        <w:t>(4)</w:t>
      </w:r>
      <w:r>
        <w:tab/>
        <w:t xml:space="preserve">In section 3(1) in the definition of </w:t>
      </w:r>
      <w:r>
        <w:rPr>
          <w:b/>
          <w:i/>
        </w:rPr>
        <w:t>floor plan</w:t>
      </w:r>
      <w:r>
        <w:t>:</w:t>
      </w:r>
    </w:p>
    <w:p>
      <w:pPr>
        <w:pStyle w:val="nzIndenta"/>
      </w:pPr>
      <w:r>
        <w:tab/>
        <w:t>(a)</w:t>
      </w:r>
      <w:r>
        <w:tab/>
        <w:t>after “a plan” insert:</w:t>
      </w:r>
    </w:p>
    <w:p>
      <w:pPr>
        <w:pStyle w:val="BlankOpen"/>
      </w:pPr>
    </w:p>
    <w:p>
      <w:pPr>
        <w:pStyle w:val="nzIndenta"/>
      </w:pPr>
      <w:r>
        <w:tab/>
      </w:r>
      <w:r>
        <w:tab/>
        <w:t>for a strata scheme</w:t>
      </w:r>
    </w:p>
    <w:p>
      <w:pPr>
        <w:pStyle w:val="BlankClose"/>
      </w:pPr>
    </w:p>
    <w:p>
      <w:pPr>
        <w:pStyle w:val="nzIndenta"/>
      </w:pPr>
      <w:r>
        <w:tab/>
        <w:t>(b)</w:t>
      </w:r>
      <w:r>
        <w:tab/>
        <w:t>delete “one” and insert”</w:t>
      </w:r>
    </w:p>
    <w:p>
      <w:pPr>
        <w:pStyle w:val="BlankOpen"/>
      </w:pPr>
    </w:p>
    <w:p>
      <w:pPr>
        <w:pStyle w:val="nzIndenta"/>
      </w:pPr>
      <w:r>
        <w:tab/>
      </w:r>
      <w:r>
        <w:tab/>
        <w:t>1</w:t>
      </w:r>
    </w:p>
    <w:p>
      <w:pPr>
        <w:pStyle w:val="BlankClose"/>
      </w:pPr>
    </w:p>
    <w:p>
      <w:pPr>
        <w:pStyle w:val="nzIndenta"/>
      </w:pPr>
      <w:r>
        <w:tab/>
        <w:t>(c)</w:t>
      </w:r>
      <w:r>
        <w:tab/>
        <w:t>in paragraph (a) delete “proposed” (each occurrence);</w:t>
      </w:r>
    </w:p>
    <w:p>
      <w:pPr>
        <w:pStyle w:val="nzIndenta"/>
      </w:pPr>
      <w:r>
        <w:tab/>
        <w:t>(d)</w:t>
      </w:r>
      <w:r>
        <w:tab/>
        <w:t>in paragraph (b)(ii) delete “where” and insert:</w:t>
      </w:r>
    </w:p>
    <w:p>
      <w:pPr>
        <w:pStyle w:val="BlankOpen"/>
      </w:pPr>
    </w:p>
    <w:p>
      <w:pPr>
        <w:pStyle w:val="nzIndenta"/>
      </w:pPr>
      <w:r>
        <w:tab/>
      </w:r>
      <w:r>
        <w:tab/>
        <w:t>if</w:t>
      </w:r>
    </w:p>
    <w:p>
      <w:pPr>
        <w:pStyle w:val="BlankClose"/>
      </w:pPr>
    </w:p>
    <w:p>
      <w:pPr>
        <w:pStyle w:val="nzIndenta"/>
      </w:pPr>
      <w:r>
        <w:tab/>
        <w:t>(e)</w:t>
      </w:r>
      <w:r>
        <w:tab/>
        <w:t>in paragraph (b)(ii) delete “proposed” (each occurrence);</w:t>
      </w:r>
    </w:p>
    <w:p>
      <w:pPr>
        <w:pStyle w:val="nzIndenta"/>
      </w:pPr>
      <w:r>
        <w:tab/>
        <w:t>(f)</w:t>
      </w:r>
      <w:r>
        <w:tab/>
        <w:t>in paragraph (c) delete “where proposed lots or parts thereo</w:t>
      </w:r>
      <w:r>
        <w:rPr>
          <w:spacing w:val="40"/>
        </w:rPr>
        <w:t>f</w:t>
      </w:r>
      <w:r>
        <w:t>” and insert:</w:t>
      </w:r>
    </w:p>
    <w:p>
      <w:pPr>
        <w:pStyle w:val="BlankOpen"/>
      </w:pPr>
    </w:p>
    <w:p>
      <w:pPr>
        <w:pStyle w:val="nzIndenta"/>
      </w:pPr>
      <w:r>
        <w:tab/>
      </w:r>
      <w:r>
        <w:tab/>
        <w:t>if lots or parts of lots</w:t>
      </w:r>
    </w:p>
    <w:p>
      <w:pPr>
        <w:pStyle w:val="BlankClose"/>
      </w:pPr>
    </w:p>
    <w:p>
      <w:pPr>
        <w:pStyle w:val="nzIndenta"/>
      </w:pPr>
      <w:r>
        <w:tab/>
        <w:t>(g)</w:t>
      </w:r>
      <w:r>
        <w:tab/>
        <w:t>in paragraph (c) delete “proposed lots or parts thereo</w:t>
      </w:r>
      <w:r>
        <w:rPr>
          <w:spacing w:val="40"/>
        </w:rPr>
        <w:t>f</w:t>
      </w:r>
      <w:r>
        <w:t>” (each occurrence) and insert:</w:t>
      </w:r>
    </w:p>
    <w:p>
      <w:pPr>
        <w:pStyle w:val="BlankOpen"/>
      </w:pPr>
    </w:p>
    <w:p>
      <w:pPr>
        <w:pStyle w:val="nzIndenta"/>
      </w:pPr>
      <w:r>
        <w:tab/>
      </w:r>
      <w:r>
        <w:tab/>
        <w:t>lots or parts of lots</w:t>
      </w:r>
    </w:p>
    <w:p>
      <w:pPr>
        <w:pStyle w:val="BlankClose"/>
      </w:pPr>
    </w:p>
    <w:p>
      <w:pPr>
        <w:pStyle w:val="nzIndenta"/>
      </w:pPr>
      <w:r>
        <w:tab/>
        <w:t>(h)</w:t>
      </w:r>
      <w:r>
        <w:tab/>
        <w:t>in paragraph (c)(i) delete “upon” and insert:</w:t>
      </w:r>
    </w:p>
    <w:p>
      <w:pPr>
        <w:pStyle w:val="BlankOpen"/>
      </w:pPr>
    </w:p>
    <w:p>
      <w:pPr>
        <w:pStyle w:val="nzIndenta"/>
      </w:pPr>
      <w:r>
        <w:tab/>
      </w:r>
      <w:r>
        <w:tab/>
        <w:t>on</w:t>
      </w:r>
    </w:p>
    <w:p>
      <w:pPr>
        <w:pStyle w:val="BlankClose"/>
      </w:pPr>
    </w:p>
    <w:p>
      <w:pPr>
        <w:pStyle w:val="nzSectAltNote"/>
      </w:pPr>
      <w:r>
        <w:tab/>
        <w:t>Note:</w:t>
      </w:r>
      <w:r>
        <w:tab/>
        <w:t xml:space="preserve">At the end of the definition of </w:t>
      </w:r>
      <w:r>
        <w:rPr>
          <w:b/>
          <w:i/>
        </w:rPr>
        <w:t>floor plan</w:t>
      </w:r>
      <w:r>
        <w:t xml:space="preserve"> the following note is to be inserted:</w:t>
      </w:r>
    </w:p>
    <w:p>
      <w:pPr>
        <w:pStyle w:val="BlankOpen"/>
      </w:pPr>
    </w:p>
    <w:p>
      <w:pPr>
        <w:pStyle w:val="nzPermNoteHeading"/>
      </w:pPr>
      <w:r>
        <w:tab/>
        <w:t>Note for this definition:</w:t>
      </w:r>
    </w:p>
    <w:p>
      <w:pPr>
        <w:pStyle w:val="nzPermNoteText"/>
      </w:pPr>
      <w:r>
        <w:tab/>
      </w:r>
      <w:r>
        <w:tab/>
        <w:t>Also see subsections (2) to (4).</w:t>
      </w:r>
    </w:p>
    <w:p>
      <w:pPr>
        <w:pStyle w:val="BlankClose"/>
      </w:pPr>
    </w:p>
    <w:p>
      <w:pPr>
        <w:pStyle w:val="nzSubsection"/>
      </w:pPr>
      <w:r>
        <w:tab/>
        <w:t>(5)</w:t>
      </w:r>
      <w:r>
        <w:tab/>
        <w:t xml:space="preserve">In section 3(1) in the definition of </w:t>
      </w:r>
      <w:r>
        <w:rPr>
          <w:b/>
          <w:i/>
        </w:rPr>
        <w:t>location plan</w:t>
      </w:r>
      <w:r>
        <w:t>:</w:t>
      </w:r>
    </w:p>
    <w:p>
      <w:pPr>
        <w:pStyle w:val="nzIndenta"/>
      </w:pPr>
      <w:r>
        <w:tab/>
        <w:t>(a)</w:t>
      </w:r>
      <w:r>
        <w:tab/>
        <w:t>delete “</w:t>
      </w:r>
      <w:r>
        <w:rPr>
          <w:b/>
          <w:i/>
        </w:rPr>
        <w:t>plan</w:t>
      </w:r>
      <w:r>
        <w:t>, in relation to a strata plan,” and insert:</w:t>
      </w:r>
    </w:p>
    <w:p>
      <w:pPr>
        <w:pStyle w:val="BlankOpen"/>
      </w:pPr>
    </w:p>
    <w:p>
      <w:pPr>
        <w:pStyle w:val="nzIndenta"/>
      </w:pPr>
      <w:r>
        <w:tab/>
      </w:r>
      <w:r>
        <w:tab/>
      </w:r>
      <w:r>
        <w:rPr>
          <w:b/>
          <w:i/>
        </w:rPr>
        <w:t>plan for a strata scheme</w:t>
      </w:r>
    </w:p>
    <w:p>
      <w:pPr>
        <w:pStyle w:val="BlankClose"/>
      </w:pPr>
    </w:p>
    <w:p>
      <w:pPr>
        <w:pStyle w:val="nzIndenta"/>
      </w:pPr>
      <w:r>
        <w:tab/>
        <w:t>(b)</w:t>
      </w:r>
      <w:r>
        <w:tab/>
        <w:t>delete “one” and insert:</w:t>
      </w:r>
    </w:p>
    <w:p>
      <w:pPr>
        <w:pStyle w:val="BlankOpen"/>
      </w:pPr>
    </w:p>
    <w:p>
      <w:pPr>
        <w:pStyle w:val="nzIndenta"/>
      </w:pPr>
      <w:r>
        <w:tab/>
      </w:r>
      <w:r>
        <w:tab/>
        <w:t>1</w:t>
      </w:r>
    </w:p>
    <w:p>
      <w:pPr>
        <w:pStyle w:val="BlankClose"/>
      </w:pPr>
    </w:p>
    <w:p>
      <w:pPr>
        <w:pStyle w:val="nzIndenta"/>
      </w:pPr>
      <w:r>
        <w:tab/>
        <w:t>(c)</w:t>
      </w:r>
      <w:r>
        <w:tab/>
        <w:t>delete “proposed” (each occurrence).</w:t>
      </w:r>
    </w:p>
    <w:p>
      <w:pPr>
        <w:pStyle w:val="nzSubsection"/>
      </w:pPr>
      <w:r>
        <w:tab/>
        <w:t>(6)</w:t>
      </w:r>
      <w:r>
        <w:tab/>
        <w:t xml:space="preserve">In section 3(1) in the definition of </w:t>
      </w:r>
      <w:r>
        <w:rPr>
          <w:b/>
          <w:i/>
        </w:rPr>
        <w:t>lot</w:t>
      </w:r>
      <w:r>
        <w:t xml:space="preserve"> (1</w:t>
      </w:r>
      <w:r>
        <w:rPr>
          <w:vertAlign w:val="superscript"/>
        </w:rPr>
        <w:t>st</w:t>
      </w:r>
      <w:r>
        <w:t xml:space="preserve"> occurrence):</w:t>
      </w:r>
    </w:p>
    <w:p>
      <w:pPr>
        <w:pStyle w:val="nzIndenta"/>
      </w:pPr>
      <w:r>
        <w:tab/>
        <w:t>(a)</w:t>
      </w:r>
      <w:r>
        <w:tab/>
        <w:t>delete “</w:t>
      </w:r>
      <w:r>
        <w:rPr>
          <w:b/>
          <w:i/>
        </w:rPr>
        <w:t>lot</w:t>
      </w:r>
      <w:r>
        <w:t>, in relation to a strata scheme,” and insert:</w:t>
      </w:r>
    </w:p>
    <w:p>
      <w:pPr>
        <w:pStyle w:val="BlankOpen"/>
        <w:rPr>
          <w:rStyle w:val="CharDefText"/>
        </w:rPr>
      </w:pPr>
    </w:p>
    <w:p>
      <w:pPr>
        <w:pStyle w:val="nzIndenta"/>
      </w:pPr>
      <w:r>
        <w:rPr>
          <w:rStyle w:val="CharDefText"/>
        </w:rPr>
        <w:tab/>
      </w:r>
      <w:r>
        <w:rPr>
          <w:rStyle w:val="CharDefText"/>
        </w:rPr>
        <w:tab/>
        <w:t xml:space="preserve">lot </w:t>
      </w:r>
      <w:r>
        <w:rPr>
          <w:b/>
          <w:i/>
        </w:rPr>
        <w:t>in a strata scheme</w:t>
      </w:r>
    </w:p>
    <w:p>
      <w:pPr>
        <w:pStyle w:val="BlankClose"/>
      </w:pPr>
    </w:p>
    <w:p>
      <w:pPr>
        <w:pStyle w:val="nzIndenta"/>
      </w:pPr>
      <w:r>
        <w:tab/>
        <w:t>(b)</w:t>
      </w:r>
      <w:r>
        <w:tab/>
        <w:t>delete “one” (each occurrence) and insert:</w:t>
      </w:r>
    </w:p>
    <w:p>
      <w:pPr>
        <w:pStyle w:val="BlankOpen"/>
      </w:pPr>
    </w:p>
    <w:p>
      <w:pPr>
        <w:pStyle w:val="nzIndenta"/>
      </w:pPr>
      <w:r>
        <w:tab/>
      </w:r>
      <w:r>
        <w:tab/>
        <w:t>1</w:t>
      </w:r>
    </w:p>
    <w:p>
      <w:pPr>
        <w:pStyle w:val="BlankClose"/>
      </w:pPr>
    </w:p>
    <w:p>
      <w:pPr>
        <w:pStyle w:val="nzIndenta"/>
      </w:pPr>
      <w:r>
        <w:tab/>
        <w:t>(c)</w:t>
      </w:r>
      <w:r>
        <w:tab/>
        <w:t>delete “to which a strata scheme relates,” and insert:</w:t>
      </w:r>
    </w:p>
    <w:p>
      <w:pPr>
        <w:pStyle w:val="BlankOpen"/>
      </w:pPr>
    </w:p>
    <w:p>
      <w:pPr>
        <w:pStyle w:val="nzIndenta"/>
      </w:pPr>
      <w:r>
        <w:tab/>
      </w:r>
      <w:r>
        <w:tab/>
        <w:t>subdivided by the strata scheme,</w:t>
      </w:r>
    </w:p>
    <w:p>
      <w:pPr>
        <w:pStyle w:val="BlankClose"/>
      </w:pPr>
    </w:p>
    <w:p>
      <w:pPr>
        <w:pStyle w:val="nzIndenta"/>
      </w:pPr>
      <w:r>
        <w:tab/>
        <w:t>(d)</w:t>
      </w:r>
      <w:r>
        <w:tab/>
        <w:t>delete “plan, plan of re</w:t>
      </w:r>
      <w:r>
        <w:noBreakHyphen/>
        <w:t>subdivision or plan of consolidation to which that strata scheme relates, being in each case, but subject to section 3AB,” and insert:</w:t>
      </w:r>
    </w:p>
    <w:p>
      <w:pPr>
        <w:pStyle w:val="BlankOpen"/>
      </w:pPr>
    </w:p>
    <w:p>
      <w:pPr>
        <w:pStyle w:val="nzIndenta"/>
      </w:pPr>
      <w:r>
        <w:tab/>
      </w:r>
      <w:r>
        <w:tab/>
        <w:t>plan or an amendment of the strata plan being, in each case,</w:t>
      </w:r>
    </w:p>
    <w:p>
      <w:pPr>
        <w:pStyle w:val="BlankClose"/>
      </w:pPr>
    </w:p>
    <w:p>
      <w:pPr>
        <w:pStyle w:val="nzIndenta"/>
      </w:pPr>
      <w:r>
        <w:tab/>
        <w:t>(e)</w:t>
      </w:r>
      <w:r>
        <w:tab/>
        <w:t>delete “where —” and insert:</w:t>
      </w:r>
    </w:p>
    <w:p>
      <w:pPr>
        <w:pStyle w:val="BlankOpen"/>
      </w:pPr>
    </w:p>
    <w:p>
      <w:pPr>
        <w:pStyle w:val="nzIndenta"/>
      </w:pPr>
      <w:r>
        <w:tab/>
      </w:r>
      <w:r>
        <w:tab/>
        <w:t>if that structural cubic space —</w:t>
      </w:r>
    </w:p>
    <w:p>
      <w:pPr>
        <w:pStyle w:val="BlankClose"/>
      </w:pPr>
    </w:p>
    <w:p>
      <w:pPr>
        <w:pStyle w:val="nzIndenta"/>
      </w:pPr>
      <w:r>
        <w:tab/>
        <w:t>(f)</w:t>
      </w:r>
      <w:r>
        <w:tab/>
        <w:t>delete paragraphs (a) and (b) and insert:</w:t>
      </w:r>
    </w:p>
    <w:p>
      <w:pPr>
        <w:pStyle w:val="BlankOpen"/>
      </w:pPr>
    </w:p>
    <w:p>
      <w:pPr>
        <w:pStyle w:val="nzDefpara"/>
      </w:pPr>
      <w:r>
        <w:tab/>
        <w:t>(a)</w:t>
      </w:r>
      <w:r>
        <w:tab/>
        <w:t>has boundaries described in accordance with the regulations; and</w:t>
      </w:r>
    </w:p>
    <w:p>
      <w:pPr>
        <w:pStyle w:val="nzDefpara"/>
      </w:pPr>
      <w:r>
        <w:tab/>
        <w:t>(b)</w:t>
      </w:r>
      <w:r>
        <w:tab/>
        <w:t>is shown in that floor plan as part of a lot;</w:t>
      </w:r>
    </w:p>
    <w:p>
      <w:pPr>
        <w:pStyle w:val="BlankClose"/>
      </w:pPr>
    </w:p>
    <w:p>
      <w:pPr>
        <w:pStyle w:val="nzSectAltNote"/>
      </w:pPr>
      <w:r>
        <w:tab/>
        <w:t>Note:</w:t>
      </w:r>
      <w:r>
        <w:tab/>
        <w:t xml:space="preserve">At the end of the definition of </w:t>
      </w:r>
      <w:r>
        <w:rPr>
          <w:b/>
          <w:i/>
        </w:rPr>
        <w:t>lot</w:t>
      </w:r>
      <w:r>
        <w:t xml:space="preserve"> the following note is to be inserted:</w:t>
      </w:r>
    </w:p>
    <w:p>
      <w:pPr>
        <w:pStyle w:val="BlankOpen"/>
      </w:pPr>
    </w:p>
    <w:p>
      <w:pPr>
        <w:pStyle w:val="nzPermNoteHeading"/>
      </w:pPr>
      <w:r>
        <w:tab/>
        <w:t>Note for this definition:</w:t>
      </w:r>
    </w:p>
    <w:p>
      <w:pPr>
        <w:pStyle w:val="nzPermNoteText"/>
      </w:pPr>
      <w:r>
        <w:tab/>
      </w:r>
      <w:r>
        <w:tab/>
        <w:t>Schedule 2A provides for a special rule about the definition of lot in a single tier strata scheme.</w:t>
      </w:r>
    </w:p>
    <w:p>
      <w:pPr>
        <w:pStyle w:val="BlankClose"/>
      </w:pPr>
    </w:p>
    <w:p>
      <w:pPr>
        <w:pStyle w:val="nzSubsection"/>
      </w:pPr>
      <w:r>
        <w:tab/>
        <w:t>(7)</w:t>
      </w:r>
      <w:r>
        <w:tab/>
        <w:t xml:space="preserve">In section 3(1) in the definition of </w:t>
      </w:r>
      <w:r>
        <w:rPr>
          <w:b/>
          <w:i/>
        </w:rPr>
        <w:t>lot</w:t>
      </w:r>
      <w:r>
        <w:t xml:space="preserve"> (2</w:t>
      </w:r>
      <w:r>
        <w:rPr>
          <w:vertAlign w:val="superscript"/>
        </w:rPr>
        <w:t>nd</w:t>
      </w:r>
      <w:r>
        <w:t xml:space="preserve"> occurrence):</w:t>
      </w:r>
    </w:p>
    <w:p>
      <w:pPr>
        <w:pStyle w:val="nzIndenta"/>
      </w:pPr>
      <w:r>
        <w:tab/>
        <w:t>(a)</w:t>
      </w:r>
      <w:r>
        <w:tab/>
        <w:t>delete “</w:t>
      </w:r>
      <w:r>
        <w:rPr>
          <w:b/>
          <w:i/>
        </w:rPr>
        <w:t>lot</w:t>
      </w:r>
      <w:r>
        <w:t>, in relation to a survey</w:t>
      </w:r>
      <w:r>
        <w:noBreakHyphen/>
        <w:t>strata scheme,” and insert:</w:t>
      </w:r>
    </w:p>
    <w:p>
      <w:pPr>
        <w:pStyle w:val="BlankOpen"/>
      </w:pPr>
    </w:p>
    <w:p>
      <w:pPr>
        <w:pStyle w:val="nzIndenta"/>
      </w:pPr>
      <w:r>
        <w:tab/>
      </w:r>
      <w:r>
        <w:tab/>
      </w:r>
      <w:r>
        <w:rPr>
          <w:b/>
          <w:i/>
        </w:rPr>
        <w:t>lot in a survey</w:t>
      </w:r>
      <w:r>
        <w:rPr>
          <w:b/>
          <w:i/>
        </w:rPr>
        <w:noBreakHyphen/>
        <w:t>strata scheme</w:t>
      </w:r>
    </w:p>
    <w:p>
      <w:pPr>
        <w:pStyle w:val="BlankClose"/>
      </w:pPr>
    </w:p>
    <w:p>
      <w:pPr>
        <w:pStyle w:val="nzIndenta"/>
      </w:pPr>
      <w:r>
        <w:tab/>
        <w:t>(b)</w:t>
      </w:r>
      <w:r>
        <w:tab/>
        <w:t>delete “one” and insert:</w:t>
      </w:r>
    </w:p>
    <w:p>
      <w:pPr>
        <w:pStyle w:val="BlankOpen"/>
      </w:pPr>
    </w:p>
    <w:p>
      <w:pPr>
        <w:pStyle w:val="nzIndenta"/>
      </w:pPr>
      <w:r>
        <w:tab/>
      </w:r>
      <w:r>
        <w:tab/>
        <w:t>1</w:t>
      </w:r>
    </w:p>
    <w:p>
      <w:pPr>
        <w:pStyle w:val="BlankClose"/>
      </w:pPr>
    </w:p>
    <w:p>
      <w:pPr>
        <w:pStyle w:val="nzIndenta"/>
      </w:pPr>
      <w:r>
        <w:tab/>
        <w:t>(c)</w:t>
      </w:r>
      <w:r>
        <w:tab/>
        <w:t>delete “scheme, but does not include —” and insert:</w:t>
      </w:r>
    </w:p>
    <w:p>
      <w:pPr>
        <w:pStyle w:val="BlankOpen"/>
      </w:pPr>
    </w:p>
    <w:p>
      <w:pPr>
        <w:pStyle w:val="nzIndenta"/>
      </w:pPr>
      <w:r>
        <w:tab/>
      </w:r>
      <w:r>
        <w:tab/>
        <w:t>scheme;</w:t>
      </w:r>
    </w:p>
    <w:p>
      <w:pPr>
        <w:pStyle w:val="BlankClose"/>
      </w:pPr>
    </w:p>
    <w:p>
      <w:pPr>
        <w:pStyle w:val="nzIndenta"/>
      </w:pPr>
      <w:r>
        <w:tab/>
        <w:t>(d)</w:t>
      </w:r>
      <w:r>
        <w:tab/>
        <w:t>delete paragraphs (a) and (b).</w:t>
      </w:r>
    </w:p>
    <w:p>
      <w:pPr>
        <w:pStyle w:val="nzSubsection"/>
      </w:pPr>
      <w:r>
        <w:tab/>
        <w:t>(8)</w:t>
      </w:r>
      <w:r>
        <w:tab/>
        <w:t xml:space="preserve">In section 3(1) in the definition of </w:t>
      </w:r>
      <w:r>
        <w:rPr>
          <w:b/>
          <w:i/>
        </w:rPr>
        <w:t>wall</w:t>
      </w:r>
      <w:r>
        <w:t>:</w:t>
      </w:r>
    </w:p>
    <w:p>
      <w:pPr>
        <w:pStyle w:val="nzIndenta"/>
      </w:pPr>
      <w:r>
        <w:tab/>
        <w:t>(a)</w:t>
      </w:r>
      <w:r>
        <w:tab/>
        <w:t>after “a lot” insert:</w:t>
      </w:r>
    </w:p>
    <w:p>
      <w:pPr>
        <w:pStyle w:val="BlankOpen"/>
      </w:pPr>
    </w:p>
    <w:p>
      <w:pPr>
        <w:pStyle w:val="nzIndenta"/>
      </w:pPr>
      <w:r>
        <w:tab/>
      </w:r>
      <w:r>
        <w:tab/>
        <w:t>in a strata titles scheme</w:t>
      </w:r>
    </w:p>
    <w:p>
      <w:pPr>
        <w:pStyle w:val="BlankClose"/>
      </w:pPr>
    </w:p>
    <w:p>
      <w:pPr>
        <w:pStyle w:val="nzIndenta"/>
      </w:pPr>
      <w:r>
        <w:tab/>
        <w:t>(b)</w:t>
      </w:r>
      <w:r>
        <w:tab/>
        <w:t>delete “another lot.” and insert:</w:t>
      </w:r>
    </w:p>
    <w:p>
      <w:pPr>
        <w:pStyle w:val="BlankOpen"/>
      </w:pPr>
    </w:p>
    <w:p>
      <w:pPr>
        <w:pStyle w:val="nzIndenta"/>
      </w:pPr>
      <w:r>
        <w:tab/>
      </w:r>
      <w:r>
        <w:tab/>
        <w:t>another lot in the scheme;</w:t>
      </w:r>
    </w:p>
    <w:p>
      <w:pPr>
        <w:pStyle w:val="BlankClose"/>
      </w:pPr>
    </w:p>
    <w:p>
      <w:pPr>
        <w:pStyle w:val="nzSubsection"/>
      </w:pPr>
      <w:r>
        <w:tab/>
        <w:t>(9)</w:t>
      </w:r>
      <w:r>
        <w:tab/>
        <w:t>In section 3(2):</w:t>
      </w:r>
    </w:p>
    <w:p>
      <w:pPr>
        <w:pStyle w:val="nzIndenta"/>
      </w:pPr>
      <w:r>
        <w:tab/>
        <w:t>(a)</w:t>
      </w:r>
      <w:r>
        <w:tab/>
        <w:t>delete “Except where section 3AB applies, the boundaries</w:t>
      </w:r>
      <w:r>
        <w:rPr>
          <w:snapToGrid w:val="0"/>
        </w:rPr>
        <w:t xml:space="preserve"> of any</w:t>
      </w:r>
      <w:r>
        <w:t>” and insert:</w:t>
      </w:r>
    </w:p>
    <w:p>
      <w:pPr>
        <w:pStyle w:val="BlankOpen"/>
      </w:pPr>
    </w:p>
    <w:p>
      <w:pPr>
        <w:pStyle w:val="nzIndenta"/>
      </w:pPr>
      <w:r>
        <w:tab/>
      </w:r>
      <w:r>
        <w:tab/>
        <w:t>The boundaries</w:t>
      </w:r>
      <w:r>
        <w:rPr>
          <w:snapToGrid w:val="0"/>
        </w:rPr>
        <w:t xml:space="preserve"> of a</w:t>
      </w:r>
    </w:p>
    <w:p>
      <w:pPr>
        <w:pStyle w:val="BlankClose"/>
      </w:pPr>
    </w:p>
    <w:p>
      <w:pPr>
        <w:pStyle w:val="nzIndenta"/>
      </w:pPr>
      <w:r>
        <w:tab/>
        <w:t>(b)</w:t>
      </w:r>
      <w:r>
        <w:tab/>
        <w:t>in paragraph (a)(i) delete “where the base of any” and insert:</w:t>
      </w:r>
    </w:p>
    <w:p>
      <w:pPr>
        <w:pStyle w:val="BlankOpen"/>
      </w:pPr>
    </w:p>
    <w:p>
      <w:pPr>
        <w:pStyle w:val="nzIndenta"/>
      </w:pPr>
      <w:r>
        <w:tab/>
      </w:r>
      <w:r>
        <w:tab/>
        <w:t>if the base of a</w:t>
      </w:r>
    </w:p>
    <w:p>
      <w:pPr>
        <w:pStyle w:val="BlankClose"/>
      </w:pPr>
    </w:p>
    <w:p>
      <w:pPr>
        <w:pStyle w:val="nzIndenta"/>
      </w:pPr>
      <w:r>
        <w:tab/>
        <w:t>(c)</w:t>
      </w:r>
      <w:r>
        <w:tab/>
        <w:t>in paragraph (a)(i) delete “any” and insert:</w:t>
      </w:r>
    </w:p>
    <w:p>
      <w:pPr>
        <w:pStyle w:val="BlankOpen"/>
      </w:pPr>
    </w:p>
    <w:p>
      <w:pPr>
        <w:pStyle w:val="nzIndenta"/>
      </w:pPr>
      <w:r>
        <w:tab/>
      </w:r>
      <w:r>
        <w:tab/>
        <w:t>a</w:t>
      </w:r>
    </w:p>
    <w:p>
      <w:pPr>
        <w:pStyle w:val="BlankClose"/>
      </w:pPr>
    </w:p>
    <w:p>
      <w:pPr>
        <w:pStyle w:val="nzIndenta"/>
      </w:pPr>
      <w:r>
        <w:tab/>
        <w:t>(d)</w:t>
      </w:r>
      <w:r>
        <w:tab/>
        <w:t>in paragraph (a)(ii) delete “where any” and insert:</w:t>
      </w:r>
    </w:p>
    <w:p>
      <w:pPr>
        <w:pStyle w:val="BlankOpen"/>
      </w:pPr>
    </w:p>
    <w:p>
      <w:pPr>
        <w:pStyle w:val="nzIndenta"/>
      </w:pPr>
      <w:r>
        <w:tab/>
      </w:r>
      <w:r>
        <w:tab/>
        <w:t>if a</w:t>
      </w:r>
    </w:p>
    <w:p>
      <w:pPr>
        <w:pStyle w:val="BlankClose"/>
      </w:pPr>
    </w:p>
    <w:p>
      <w:pPr>
        <w:pStyle w:val="nzIndenta"/>
      </w:pPr>
      <w:r>
        <w:tab/>
        <w:t>(e)</w:t>
      </w:r>
      <w:r>
        <w:tab/>
        <w:t>in paragraph (b) delete “prescribed manner” and insert:</w:t>
      </w:r>
    </w:p>
    <w:p>
      <w:pPr>
        <w:pStyle w:val="BlankOpen"/>
      </w:pPr>
    </w:p>
    <w:p>
      <w:pPr>
        <w:pStyle w:val="nzIndenta"/>
      </w:pPr>
      <w:r>
        <w:tab/>
      </w:r>
      <w:r>
        <w:tab/>
        <w:t>manner required by the regulations</w:t>
      </w:r>
    </w:p>
    <w:p>
      <w:pPr>
        <w:pStyle w:val="BlankClose"/>
      </w:pPr>
    </w:p>
    <w:p>
      <w:pPr>
        <w:pStyle w:val="nzSectAltNote"/>
      </w:pPr>
      <w:r>
        <w:tab/>
        <w:t>Note:</w:t>
      </w:r>
      <w:r>
        <w:tab/>
        <w:t>At the end of subsection (2) the following note is to be inserted:</w:t>
      </w:r>
    </w:p>
    <w:p>
      <w:pPr>
        <w:pStyle w:val="BlankOpen"/>
      </w:pPr>
    </w:p>
    <w:p>
      <w:pPr>
        <w:pStyle w:val="nzPermNoteHeading"/>
      </w:pPr>
      <w:r>
        <w:tab/>
        <w:t>Note for this subsection:</w:t>
      </w:r>
    </w:p>
    <w:p>
      <w:pPr>
        <w:pStyle w:val="nzPermNoteText"/>
      </w:pPr>
      <w:r>
        <w:tab/>
      </w:r>
      <w:r>
        <w:tab/>
        <w:t>Schedule 2A provides for a special rule about lot boundaries for single tier strata schemes.</w:t>
      </w:r>
    </w:p>
    <w:p>
      <w:pPr>
        <w:pStyle w:val="BlankClose"/>
      </w:pPr>
    </w:p>
    <w:p>
      <w:pPr>
        <w:pStyle w:val="nzSubsection"/>
      </w:pPr>
      <w:r>
        <w:tab/>
        <w:t>(10)</w:t>
      </w:r>
      <w:r>
        <w:tab/>
        <w:t>In section 3(2a):</w:t>
      </w:r>
    </w:p>
    <w:p>
      <w:pPr>
        <w:pStyle w:val="nzIndenta"/>
      </w:pPr>
      <w:r>
        <w:tab/>
        <w:t>(a)</w:t>
      </w:r>
      <w:r>
        <w:tab/>
        <w:t>delete “(2a)</w:t>
      </w:r>
      <w:r>
        <w:tab/>
        <w:t>Notwithstanding subsection (2), where —” and insert:</w:t>
      </w:r>
    </w:p>
    <w:p>
      <w:pPr>
        <w:pStyle w:val="BlankOpen"/>
      </w:pPr>
    </w:p>
    <w:p>
      <w:pPr>
        <w:pStyle w:val="nzIndenta"/>
      </w:pPr>
      <w:r>
        <w:tab/>
      </w:r>
      <w:r>
        <w:tab/>
        <w:t>(2A)</w:t>
      </w:r>
      <w:r>
        <w:tab/>
        <w:t>Despite subsection (2), if —</w:t>
      </w:r>
    </w:p>
    <w:p>
      <w:pPr>
        <w:pStyle w:val="BlankClose"/>
      </w:pPr>
    </w:p>
    <w:p>
      <w:pPr>
        <w:pStyle w:val="nzIndenta"/>
      </w:pPr>
      <w:r>
        <w:tab/>
        <w:t>(b)</w:t>
      </w:r>
      <w:r>
        <w:tab/>
        <w:t>delete “prescribed circumstances” and insert:</w:t>
      </w:r>
    </w:p>
    <w:p>
      <w:pPr>
        <w:pStyle w:val="BlankOpen"/>
      </w:pPr>
    </w:p>
    <w:p>
      <w:pPr>
        <w:pStyle w:val="nzIndenta"/>
      </w:pPr>
      <w:r>
        <w:tab/>
      </w:r>
      <w:r>
        <w:tab/>
        <w:t>circumstances specified in the regulations</w:t>
      </w:r>
    </w:p>
    <w:p>
      <w:pPr>
        <w:pStyle w:val="BlankClose"/>
      </w:pPr>
    </w:p>
    <w:p>
      <w:pPr>
        <w:pStyle w:val="nzIndenta"/>
      </w:pPr>
      <w:r>
        <w:tab/>
        <w:t>(c)</w:t>
      </w:r>
      <w:r>
        <w:tab/>
        <w:t>delete “prescribed manner,” and insert:</w:t>
      </w:r>
    </w:p>
    <w:p>
      <w:pPr>
        <w:pStyle w:val="BlankOpen"/>
      </w:pPr>
    </w:p>
    <w:p>
      <w:pPr>
        <w:pStyle w:val="nzIndenta"/>
      </w:pPr>
      <w:r>
        <w:tab/>
      </w:r>
      <w:r>
        <w:tab/>
        <w:t>manner required by the regulations,</w:t>
      </w:r>
    </w:p>
    <w:p>
      <w:pPr>
        <w:pStyle w:val="BlankClose"/>
      </w:pPr>
    </w:p>
    <w:p>
      <w:pPr>
        <w:pStyle w:val="nzSubsection"/>
      </w:pPr>
      <w:r>
        <w:tab/>
        <w:t>(11)</w:t>
      </w:r>
      <w:r>
        <w:tab/>
        <w:t>Delete section 3(5).</w:t>
      </w:r>
    </w:p>
    <w:p>
      <w:pPr>
        <w:pStyle w:val="nzSubsection"/>
      </w:pPr>
      <w:r>
        <w:tab/>
        <w:t>(12)</w:t>
      </w:r>
      <w:r>
        <w:tab/>
        <w:t>After section 3(6) insert:</w:t>
      </w:r>
    </w:p>
    <w:p>
      <w:pPr>
        <w:pStyle w:val="BlankOpen"/>
      </w:pPr>
    </w:p>
    <w:p>
      <w:pPr>
        <w:pStyle w:val="nzSubsection"/>
      </w:pPr>
      <w:r>
        <w:tab/>
        <w:t>(7)</w:t>
      </w:r>
      <w:r>
        <w:tab/>
        <w:t>An amendment of a strata titles scheme affects the common property or a lot in the scheme as follows —</w:t>
      </w:r>
    </w:p>
    <w:p>
      <w:pPr>
        <w:pStyle w:val="nzIndenta"/>
      </w:pPr>
      <w:r>
        <w:tab/>
        <w:t>(a)</w:t>
      </w:r>
      <w:r>
        <w:tab/>
        <w:t>an amendment affects the common property to the extent that it involves an amendment of the scheme plan that —</w:t>
      </w:r>
    </w:p>
    <w:p>
      <w:pPr>
        <w:pStyle w:val="nzIndenti"/>
      </w:pPr>
      <w:r>
        <w:tab/>
        <w:t>(i)</w:t>
      </w:r>
      <w:r>
        <w:tab/>
        <w:t>modifies the common property; or</w:t>
      </w:r>
    </w:p>
    <w:p>
      <w:pPr>
        <w:pStyle w:val="nzIndenti"/>
      </w:pPr>
      <w:r>
        <w:tab/>
        <w:t>(ii)</w:t>
      </w:r>
      <w:r>
        <w:tab/>
        <w:t>creates or discharges an easement or restrictive covenant that benefits or burdens the common property;</w:t>
      </w:r>
    </w:p>
    <w:p>
      <w:pPr>
        <w:pStyle w:val="nzIndenta"/>
      </w:pPr>
      <w:r>
        <w:tab/>
        <w:t>(b)</w:t>
      </w:r>
      <w:r>
        <w:tab/>
        <w:t>an amendment affects a lot to the extent that it involves an amendment of the scheme plan that —</w:t>
      </w:r>
    </w:p>
    <w:p>
      <w:pPr>
        <w:pStyle w:val="nzIndenti"/>
      </w:pPr>
      <w:r>
        <w:tab/>
        <w:t>(i)</w:t>
      </w:r>
      <w:r>
        <w:tab/>
        <w:t>modifies the definition of boundaries of the lot; or</w:t>
      </w:r>
    </w:p>
    <w:p>
      <w:pPr>
        <w:pStyle w:val="nzIndenti"/>
      </w:pPr>
      <w:r>
        <w:tab/>
        <w:t>(ii)</w:t>
      </w:r>
      <w:r>
        <w:tab/>
        <w:t>creates or discharges an easement or restrictive covenant that benefits or burdens the lot;</w:t>
      </w:r>
    </w:p>
    <w:p>
      <w:pPr>
        <w:pStyle w:val="nzIndenta"/>
      </w:pPr>
      <w:r>
        <w:tab/>
        <w:t>(c)</w:t>
      </w:r>
      <w:r>
        <w:tab/>
        <w:t>an amendment affects a lot to the extent that it involves an amendment of the schedule of unit entitlements for the scheme that modifies the unit entitlement of the lot.</w:t>
      </w:r>
    </w:p>
    <w:p>
      <w:pPr>
        <w:pStyle w:val="nzHeading5"/>
      </w:pPr>
      <w:bookmarkStart w:id="487" w:name="_Toc530474268"/>
      <w:bookmarkStart w:id="488" w:name="_Toc530474863"/>
      <w:r>
        <w:rPr>
          <w:rStyle w:val="CharSectno"/>
        </w:rPr>
        <w:t>8</w:t>
      </w:r>
      <w:r>
        <w:t>.</w:t>
      </w:r>
      <w:r>
        <w:tab/>
        <w:t>Section 3A amended</w:t>
      </w:r>
      <w:bookmarkEnd w:id="487"/>
      <w:bookmarkEnd w:id="488"/>
    </w:p>
    <w:p>
      <w:pPr>
        <w:pStyle w:val="nzSubsection"/>
      </w:pPr>
      <w:r>
        <w:tab/>
        <w:t>(1)</w:t>
      </w:r>
      <w:r>
        <w:tab/>
        <w:t>In section 3A(1):</w:t>
      </w:r>
    </w:p>
    <w:p>
      <w:pPr>
        <w:pStyle w:val="nzIndenta"/>
      </w:pPr>
      <w:r>
        <w:tab/>
        <w:t>(a)</w:t>
      </w:r>
      <w:r>
        <w:tab/>
        <w:t>delete “Section” and insert:</w:t>
      </w:r>
    </w:p>
    <w:p>
      <w:pPr>
        <w:pStyle w:val="BlankOpen"/>
      </w:pPr>
    </w:p>
    <w:p>
      <w:pPr>
        <w:pStyle w:val="nzIndenta"/>
      </w:pPr>
      <w:r>
        <w:tab/>
      </w:r>
      <w:r>
        <w:tab/>
        <w:t>Clause</w:t>
      </w:r>
    </w:p>
    <w:p>
      <w:pPr>
        <w:pStyle w:val="BlankClose"/>
      </w:pPr>
    </w:p>
    <w:p>
      <w:pPr>
        <w:pStyle w:val="nzIndenta"/>
      </w:pPr>
      <w:r>
        <w:tab/>
        <w:t>(b)</w:t>
      </w:r>
      <w:r>
        <w:tab/>
        <w:t>delete paragraphs (a) and (b) and insert:</w:t>
      </w:r>
    </w:p>
    <w:p>
      <w:pPr>
        <w:pStyle w:val="BlankOpen"/>
      </w:pPr>
    </w:p>
    <w:p>
      <w:pPr>
        <w:pStyle w:val="nz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nzIndenti"/>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nzIndenti"/>
        <w:rPr>
          <w:snapToGrid w:val="0"/>
        </w:rPr>
      </w:pPr>
      <w:r>
        <w:rPr>
          <w:snapToGrid w:val="0"/>
        </w:rPr>
        <w:tab/>
        <w:t>(ii)</w:t>
      </w:r>
      <w:r>
        <w:rPr>
          <w:snapToGrid w:val="0"/>
        </w:rPr>
        <w:tab/>
      </w:r>
      <w:r>
        <w:t>before</w:t>
      </w:r>
      <w:r>
        <w:rPr>
          <w:snapToGrid w:val="0"/>
        </w:rPr>
        <w:t xml:space="preserve"> 1 January 1998;</w:t>
      </w:r>
    </w:p>
    <w:p>
      <w:pPr>
        <w:pStyle w:val="nz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BlankClose"/>
      </w:pPr>
    </w:p>
    <w:p>
      <w:pPr>
        <w:pStyle w:val="nzIndenta"/>
      </w:pPr>
      <w:r>
        <w:tab/>
        <w:t>(c)</w:t>
      </w:r>
      <w:r>
        <w:tab/>
        <w:t>in paragraph (c) delete “where” and insert:</w:t>
      </w:r>
    </w:p>
    <w:p>
      <w:pPr>
        <w:pStyle w:val="BlankOpen"/>
      </w:pPr>
    </w:p>
    <w:p>
      <w:pPr>
        <w:pStyle w:val="nzIndenta"/>
      </w:pPr>
      <w:r>
        <w:tab/>
      </w:r>
      <w:r>
        <w:tab/>
        <w:t>if</w:t>
      </w:r>
    </w:p>
    <w:p>
      <w:pPr>
        <w:pStyle w:val="BlankClose"/>
      </w:pPr>
    </w:p>
    <w:p>
      <w:pPr>
        <w:pStyle w:val="nzSubsection"/>
      </w:pPr>
      <w:r>
        <w:tab/>
        <w:t>(2)</w:t>
      </w:r>
      <w:r>
        <w:tab/>
        <w:t>Delete section 3A(2) and insert:</w:t>
      </w:r>
    </w:p>
    <w:p>
      <w:pPr>
        <w:pStyle w:val="BlankOpen"/>
      </w:pPr>
    </w:p>
    <w:p>
      <w:pPr>
        <w:pStyle w:val="nz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BlankClose"/>
        <w:keepNext/>
      </w:pPr>
    </w:p>
    <w:p>
      <w:pPr>
        <w:pStyle w:val="nzSectAltNote"/>
      </w:pPr>
      <w:r>
        <w:tab/>
        <w:t>Note:</w:t>
      </w:r>
      <w:r>
        <w:tab/>
        <w:t>The heading to amended section 3A is to read:</w:t>
      </w:r>
    </w:p>
    <w:p>
      <w:pPr>
        <w:pStyle w:val="nzSectAltHeading"/>
      </w:pPr>
      <w:r>
        <w:rPr>
          <w:b w:val="0"/>
        </w:rPr>
        <w:tab/>
      </w:r>
      <w:r>
        <w:rPr>
          <w:b w:val="0"/>
        </w:rPr>
        <w:tab/>
      </w:r>
      <w:r>
        <w:t>Single tier strata schemes to which clause 3AB applies</w:t>
      </w:r>
    </w:p>
    <w:p>
      <w:pPr>
        <w:pStyle w:val="nzPermNoteHeading"/>
      </w:pPr>
      <w:r>
        <w:tab/>
        <w:t>Note:</w:t>
      </w:r>
    </w:p>
    <w:p>
      <w:pPr>
        <w:pStyle w:val="nzPermNoteText"/>
      </w:pPr>
      <w:r>
        <w:tab/>
      </w:r>
      <w:r>
        <w:tab/>
        <w:t>Section 3A (as amended) is redesignated as clause 3A and relocated to Schedule 2A.</w:t>
      </w:r>
    </w:p>
    <w:p>
      <w:pPr>
        <w:pStyle w:val="nzHeading5"/>
      </w:pPr>
      <w:bookmarkStart w:id="489" w:name="_Toc530474269"/>
      <w:bookmarkStart w:id="490" w:name="_Toc530474864"/>
      <w:r>
        <w:rPr>
          <w:rStyle w:val="CharSectno"/>
        </w:rPr>
        <w:t>9</w:t>
      </w:r>
      <w:r>
        <w:t>.</w:t>
      </w:r>
      <w:r>
        <w:tab/>
        <w:t>Section 3AB amended</w:t>
      </w:r>
      <w:bookmarkEnd w:id="489"/>
      <w:bookmarkEnd w:id="490"/>
    </w:p>
    <w:p>
      <w:pPr>
        <w:pStyle w:val="nzSubsection"/>
      </w:pPr>
      <w:r>
        <w:tab/>
        <w:t>(1)</w:t>
      </w:r>
      <w:r>
        <w:tab/>
        <w:t>In section 3AB(1):</w:t>
      </w:r>
    </w:p>
    <w:p>
      <w:pPr>
        <w:pStyle w:val="nzIndenta"/>
      </w:pPr>
      <w:r>
        <w:tab/>
        <w:t>(a)</w:t>
      </w:r>
      <w:r>
        <w:tab/>
        <w:t>delete “Where this section applies the boundaries of any” and insert:</w:t>
      </w:r>
    </w:p>
    <w:p>
      <w:pPr>
        <w:pStyle w:val="BlankOpen"/>
      </w:pPr>
    </w:p>
    <w:p>
      <w:pPr>
        <w:pStyle w:val="nzIndenta"/>
      </w:pPr>
      <w:r>
        <w:tab/>
      </w:r>
      <w:r>
        <w:tab/>
        <w:t>If this clause applies, the boundaries of a</w:t>
      </w:r>
    </w:p>
    <w:p>
      <w:pPr>
        <w:pStyle w:val="BlankClose"/>
      </w:pPr>
    </w:p>
    <w:p>
      <w:pPr>
        <w:pStyle w:val="nzIndenta"/>
      </w:pPr>
      <w:r>
        <w:tab/>
        <w:t>(b)</w:t>
      </w:r>
      <w:r>
        <w:tab/>
        <w:t>In paragraph (b) delete “where” and insert:</w:t>
      </w:r>
    </w:p>
    <w:p>
      <w:pPr>
        <w:pStyle w:val="BlankOpen"/>
      </w:pPr>
    </w:p>
    <w:p>
      <w:pPr>
        <w:pStyle w:val="nzIndenta"/>
      </w:pPr>
      <w:r>
        <w:tab/>
      </w:r>
      <w:r>
        <w:tab/>
        <w:t>if</w:t>
      </w:r>
    </w:p>
    <w:p>
      <w:pPr>
        <w:pStyle w:val="BlankClose"/>
      </w:pPr>
    </w:p>
    <w:p>
      <w:pPr>
        <w:pStyle w:val="nzSubsection"/>
      </w:pPr>
      <w:r>
        <w:tab/>
        <w:t>(2)</w:t>
      </w:r>
      <w:r>
        <w:tab/>
        <w:t>In section 3AB(2):</w:t>
      </w:r>
    </w:p>
    <w:p>
      <w:pPr>
        <w:pStyle w:val="nzIndenta"/>
      </w:pPr>
      <w:r>
        <w:tab/>
        <w:t>(a)</w:t>
      </w:r>
      <w:r>
        <w:tab/>
        <w:t>delete “subsection (1) —” and insert:</w:t>
      </w:r>
    </w:p>
    <w:p>
      <w:pPr>
        <w:pStyle w:val="BlankOpen"/>
      </w:pPr>
    </w:p>
    <w:p>
      <w:pPr>
        <w:pStyle w:val="nzIndenta"/>
      </w:pPr>
      <w:r>
        <w:tab/>
      </w:r>
      <w:r>
        <w:tab/>
        <w:t>subclause (1) —</w:t>
      </w:r>
    </w:p>
    <w:p>
      <w:pPr>
        <w:pStyle w:val="BlankClose"/>
      </w:pPr>
    </w:p>
    <w:p>
      <w:pPr>
        <w:pStyle w:val="nzIndenta"/>
      </w:pPr>
      <w:r>
        <w:tab/>
        <w:t>(b)</w:t>
      </w:r>
      <w:r>
        <w:tab/>
        <w:t>delete paragraph (b) and insert:</w:t>
      </w:r>
    </w:p>
    <w:p>
      <w:pPr>
        <w:pStyle w:val="BlankOpen"/>
      </w:pPr>
    </w:p>
    <w:p>
      <w:pPr>
        <w:pStyle w:val="nz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BlankClose"/>
      </w:pPr>
    </w:p>
    <w:p>
      <w:pPr>
        <w:pStyle w:val="nzSubsection"/>
      </w:pPr>
      <w:r>
        <w:tab/>
        <w:t>(3)</w:t>
      </w:r>
      <w:r>
        <w:tab/>
        <w:t>In section 3AB(3) delete “section” and insert:</w:t>
      </w:r>
    </w:p>
    <w:p>
      <w:pPr>
        <w:pStyle w:val="BlankOpen"/>
      </w:pPr>
    </w:p>
    <w:p>
      <w:pPr>
        <w:pStyle w:val="nzSubsection"/>
      </w:pPr>
      <w:r>
        <w:tab/>
      </w:r>
      <w:r>
        <w:tab/>
        <w:t>clause</w:t>
      </w:r>
    </w:p>
    <w:p>
      <w:pPr>
        <w:pStyle w:val="BlankClose"/>
      </w:pPr>
    </w:p>
    <w:p>
      <w:pPr>
        <w:pStyle w:val="nzSubsection"/>
      </w:pPr>
      <w:r>
        <w:tab/>
        <w:t>(4)</w:t>
      </w:r>
      <w:r>
        <w:tab/>
        <w:t>In section 3AB(4):</w:t>
      </w:r>
    </w:p>
    <w:p>
      <w:pPr>
        <w:pStyle w:val="nzIndenta"/>
      </w:pPr>
      <w:r>
        <w:tab/>
        <w:t>(a)</w:t>
      </w:r>
      <w:r>
        <w:tab/>
        <w:t>delete “Where this section” and insert:</w:t>
      </w:r>
    </w:p>
    <w:p>
      <w:pPr>
        <w:pStyle w:val="BlankOpen"/>
      </w:pPr>
    </w:p>
    <w:p>
      <w:pPr>
        <w:pStyle w:val="nzIndenta"/>
      </w:pPr>
      <w:r>
        <w:tab/>
      </w:r>
      <w:r>
        <w:tab/>
        <w:t>If this clause</w:t>
      </w:r>
    </w:p>
    <w:p>
      <w:pPr>
        <w:pStyle w:val="BlankClose"/>
        <w:keepNext/>
      </w:pPr>
    </w:p>
    <w:p>
      <w:pPr>
        <w:pStyle w:val="nzIndenta"/>
      </w:pPr>
      <w:r>
        <w:tab/>
        <w:t>(b)</w:t>
      </w:r>
      <w:r>
        <w:tab/>
        <w:t>in paragraph (b) delete “subsection (2)(b) of that section.” and insert:</w:t>
      </w:r>
    </w:p>
    <w:p>
      <w:pPr>
        <w:pStyle w:val="BlankOpen"/>
      </w:pPr>
    </w:p>
    <w:p>
      <w:pPr>
        <w:pStyle w:val="nzIndenta"/>
      </w:pPr>
      <w:r>
        <w:tab/>
      </w:r>
      <w:r>
        <w:tab/>
        <w:t>section 3(2)(b).</w:t>
      </w:r>
    </w:p>
    <w:p>
      <w:pPr>
        <w:pStyle w:val="BlankClose"/>
      </w:pPr>
    </w:p>
    <w:p>
      <w:pPr>
        <w:pStyle w:val="nzPermNoteHeading"/>
      </w:pPr>
      <w:r>
        <w:tab/>
        <w:t>Note:</w:t>
      </w:r>
    </w:p>
    <w:p>
      <w:pPr>
        <w:pStyle w:val="nzPermNoteText"/>
      </w:pPr>
      <w:r>
        <w:tab/>
      </w:r>
      <w:r>
        <w:tab/>
        <w:t>Section 3AB (as amended) is redesignated as clause 3AB and relocated to Schedule 2A.</w:t>
      </w:r>
    </w:p>
    <w:p>
      <w:pPr>
        <w:pStyle w:val="nzHeading5"/>
      </w:pPr>
      <w:bookmarkStart w:id="491" w:name="_Toc530474270"/>
      <w:bookmarkStart w:id="492" w:name="_Toc530474865"/>
      <w:r>
        <w:rPr>
          <w:rStyle w:val="CharSectno"/>
        </w:rPr>
        <w:t>10</w:t>
      </w:r>
      <w:r>
        <w:t>.</w:t>
      </w:r>
      <w:r>
        <w:tab/>
        <w:t>Section 7 amended</w:t>
      </w:r>
      <w:bookmarkEnd w:id="491"/>
      <w:bookmarkEnd w:id="492"/>
    </w:p>
    <w:p>
      <w:pPr>
        <w:pStyle w:val="nzSubsection"/>
      </w:pPr>
      <w:r>
        <w:tab/>
        <w:t>(1)</w:t>
      </w:r>
      <w:r>
        <w:tab/>
        <w:t>Delete section 7(1), (2) and (3) and insert:</w:t>
      </w:r>
    </w:p>
    <w:p>
      <w:pPr>
        <w:pStyle w:val="BlankOpen"/>
      </w:pPr>
    </w:p>
    <w:p>
      <w:pPr>
        <w:pStyle w:val="nzSubsection"/>
      </w:pPr>
      <w:r>
        <w:tab/>
        <w:t>(1)</w:t>
      </w:r>
      <w:r>
        <w:tab/>
        <w:t>The owner of a lot in a 2</w:t>
      </w:r>
      <w:r>
        <w:noBreakHyphen/>
        <w:t>lot scheme that is a strata scheme must not cause or permit the structural alteration of the lot except with the prior written approval of —</w:t>
      </w:r>
    </w:p>
    <w:p>
      <w:pPr>
        <w:pStyle w:val="nzIndenta"/>
      </w:pPr>
      <w:r>
        <w:tab/>
        <w:t>(a)</w:t>
      </w:r>
      <w:r>
        <w:tab/>
        <w:t>the owner of the other lot; and</w:t>
      </w:r>
    </w:p>
    <w:p>
      <w:pPr>
        <w:pStyle w:val="nzIndenta"/>
      </w:pPr>
      <w:r>
        <w:tab/>
        <w:t>(b)</w:t>
      </w:r>
      <w:r>
        <w:tab/>
        <w:t>for a leasehold scheme, the owner of the leasehold scheme.</w:t>
      </w:r>
    </w:p>
    <w:p>
      <w:pPr>
        <w:pStyle w:val="nzSubsection"/>
      </w:pPr>
      <w:r>
        <w:tab/>
        <w:t>(2)</w:t>
      </w:r>
      <w:r>
        <w:tab/>
        <w:t>The owner of a lot in a strata scheme, other than a 2</w:t>
      </w:r>
      <w:r>
        <w:noBreakHyphen/>
        <w:t>lot scheme, must not cause or permit the structural alteration of the lot except —</w:t>
      </w:r>
    </w:p>
    <w:p>
      <w:pPr>
        <w:pStyle w:val="nzIndenta"/>
      </w:pPr>
      <w:r>
        <w:tab/>
        <w:t>(a)</w:t>
      </w:r>
      <w:r>
        <w:tab/>
        <w:t>with the prior approval, expressed by resolution without dissent, of the strata company and, for a leasehold scheme, the prior written approval of the owner of the leasehold scheme; or</w:t>
      </w:r>
    </w:p>
    <w:p>
      <w:pPr>
        <w:pStyle w:val="nzIndenta"/>
      </w:pPr>
      <w:r>
        <w:tab/>
        <w:t>(b)</w:t>
      </w:r>
      <w:r>
        <w:tab/>
        <w:t>if —</w:t>
      </w:r>
    </w:p>
    <w:p>
      <w:pPr>
        <w:pStyle w:val="nzIndenti"/>
      </w:pPr>
      <w:r>
        <w:tab/>
        <w:t>(i)</w:t>
      </w:r>
      <w:r>
        <w:tab/>
        <w:t>the prior written approval to the structural alteration has been given by the owner of each lot in the scheme, and, for a leasehold scheme, the owner of the leasehold scheme; and</w:t>
      </w:r>
    </w:p>
    <w:p>
      <w:pPr>
        <w:pStyle w:val="nzIndenti"/>
      </w:pPr>
      <w:r>
        <w:tab/>
        <w:t>(ii)</w:t>
      </w:r>
      <w:r>
        <w:tab/>
        <w:t>all approvals are either unconditional or are subject to the same conditions; and</w:t>
      </w:r>
    </w:p>
    <w:p>
      <w:pPr>
        <w:pStyle w:val="nzIndenti"/>
      </w:pPr>
      <w:r>
        <w:tab/>
        <w:t>(iii)</w:t>
      </w:r>
      <w:r>
        <w:tab/>
        <w:t>a copy of each approval is served on the strata company.</w:t>
      </w:r>
    </w:p>
    <w:p>
      <w:pPr>
        <w:pStyle w:val="nz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BlankClose"/>
      </w:pPr>
    </w:p>
    <w:p>
      <w:pPr>
        <w:pStyle w:val="nzSubsection"/>
      </w:pPr>
      <w:r>
        <w:tab/>
        <w:t>(2)</w:t>
      </w:r>
      <w:r>
        <w:tab/>
        <w:t>In section 7(4):</w:t>
      </w:r>
    </w:p>
    <w:p>
      <w:pPr>
        <w:pStyle w:val="nzIndenta"/>
      </w:pPr>
      <w:r>
        <w:tab/>
        <w:t>(a)</w:t>
      </w:r>
      <w:r>
        <w:tab/>
        <w:t>delete “Where an application is made to a strata company in accordance with section 7B —” and insert:</w:t>
      </w:r>
    </w:p>
    <w:p>
      <w:pPr>
        <w:pStyle w:val="BlankOpen"/>
      </w:pPr>
    </w:p>
    <w:p>
      <w:pPr>
        <w:pStyle w:val="nzIndenta"/>
      </w:pPr>
      <w:r>
        <w:tab/>
      </w:r>
      <w:r>
        <w:tab/>
        <w:t>If an application is made to a strata company under this section —</w:t>
      </w:r>
    </w:p>
    <w:p>
      <w:pPr>
        <w:pStyle w:val="BlankClose"/>
      </w:pPr>
    </w:p>
    <w:p>
      <w:pPr>
        <w:pStyle w:val="nzIndenta"/>
      </w:pPr>
      <w:r>
        <w:tab/>
        <w:t>(b)</w:t>
      </w:r>
      <w:r>
        <w:tab/>
        <w:t>delete paragraphs (a) and (b) and insert:</w:t>
      </w:r>
    </w:p>
    <w:p>
      <w:pPr>
        <w:pStyle w:val="BlankOpen"/>
      </w:pPr>
    </w:p>
    <w:p>
      <w:pPr>
        <w:pStyle w:val="nzIndenta"/>
      </w:pPr>
      <w:r>
        <w:tab/>
        <w:t>(a)</w:t>
      </w:r>
      <w:r>
        <w:tab/>
        <w:t>notice of the proposed resolution on the application must contain or be accompanied by a statement, in the approved form, of the effect of paragraphs (c) and (d); and</w:t>
      </w:r>
    </w:p>
    <w:p>
      <w:pPr>
        <w:pStyle w:val="nzIndenta"/>
      </w:pPr>
      <w:r>
        <w:tab/>
        <w:t>(b)</w:t>
      </w:r>
      <w:r>
        <w:tab/>
        <w:t>if a vote on the resolution is taken at a general meeting, the chairperson must, before the vote is taken, read out the statement referred to in paragraph (a); and</w:t>
      </w:r>
    </w:p>
    <w:p>
      <w:pPr>
        <w:pStyle w:val="BlankClose"/>
      </w:pPr>
    </w:p>
    <w:p>
      <w:pPr>
        <w:pStyle w:val="nzIndenta"/>
      </w:pPr>
      <w:r>
        <w:tab/>
        <w:t>(c)</w:t>
      </w:r>
      <w:r>
        <w:tab/>
        <w:t>in paragraph (c) delete “a proprietor may vote —” and insert:</w:t>
      </w:r>
    </w:p>
    <w:p>
      <w:pPr>
        <w:pStyle w:val="BlankOpen"/>
      </w:pPr>
    </w:p>
    <w:p>
      <w:pPr>
        <w:pStyle w:val="nzIndenta"/>
      </w:pPr>
      <w:r>
        <w:tab/>
      </w:r>
      <w:r>
        <w:tab/>
        <w:t>the vote for a lot may be cast —</w:t>
      </w:r>
    </w:p>
    <w:p>
      <w:pPr>
        <w:pStyle w:val="BlankClose"/>
      </w:pPr>
    </w:p>
    <w:p>
      <w:pPr>
        <w:pStyle w:val="nzIndenta"/>
      </w:pPr>
      <w:r>
        <w:tab/>
        <w:t>(d)</w:t>
      </w:r>
      <w:r>
        <w:tab/>
        <w:t>in paragraph (c) delete “any ground that is” and insert:</w:t>
      </w:r>
    </w:p>
    <w:p>
      <w:pPr>
        <w:pStyle w:val="BlankOpen"/>
      </w:pPr>
    </w:p>
    <w:p>
      <w:pPr>
        <w:pStyle w:val="nzIndenta"/>
      </w:pPr>
      <w:r>
        <w:tab/>
      </w:r>
      <w:r>
        <w:tab/>
        <w:t>a ground</w:t>
      </w:r>
    </w:p>
    <w:p>
      <w:pPr>
        <w:pStyle w:val="BlankClose"/>
      </w:pPr>
    </w:p>
    <w:p>
      <w:pPr>
        <w:pStyle w:val="nzIndenta"/>
      </w:pPr>
      <w:r>
        <w:tab/>
        <w:t>(e)</w:t>
      </w:r>
      <w:r>
        <w:tab/>
        <w:t>in paragraph (d) delete “his vote one” and insert:</w:t>
      </w:r>
    </w:p>
    <w:p>
      <w:pPr>
        <w:pStyle w:val="BlankOpen"/>
      </w:pPr>
    </w:p>
    <w:p>
      <w:pPr>
        <w:pStyle w:val="nzIndenta"/>
      </w:pPr>
      <w:r>
        <w:tab/>
      </w:r>
      <w:r>
        <w:tab/>
        <w:t>the person’s vote 1</w:t>
      </w:r>
    </w:p>
    <w:p>
      <w:pPr>
        <w:pStyle w:val="BlankClose"/>
      </w:pPr>
    </w:p>
    <w:p>
      <w:pPr>
        <w:pStyle w:val="nzSubsection"/>
      </w:pPr>
      <w:r>
        <w:tab/>
        <w:t>(3)</w:t>
      </w:r>
      <w:r>
        <w:tab/>
        <w:t>In section 7(5):</w:t>
      </w:r>
    </w:p>
    <w:p>
      <w:pPr>
        <w:pStyle w:val="nzIndenta"/>
      </w:pPr>
      <w:r>
        <w:tab/>
        <w:t>(a)</w:t>
      </w:r>
      <w:r>
        <w:tab/>
        <w:t>in paragraph (a) delete “lot ascertained in accordance with section 7A(3); or” and insert:</w:t>
      </w:r>
    </w:p>
    <w:p>
      <w:pPr>
        <w:pStyle w:val="BlankOpen"/>
      </w:pPr>
    </w:p>
    <w:p>
      <w:pPr>
        <w:pStyle w:val="nzIndenta"/>
      </w:pPr>
      <w:r>
        <w:tab/>
      </w:r>
      <w:r>
        <w:tab/>
        <w:t>lot; or</w:t>
      </w:r>
    </w:p>
    <w:p>
      <w:pPr>
        <w:pStyle w:val="BlankClose"/>
      </w:pPr>
    </w:p>
    <w:p>
      <w:pPr>
        <w:pStyle w:val="nzIndenta"/>
      </w:pPr>
      <w:r>
        <w:tab/>
        <w:t>(b)</w:t>
      </w:r>
      <w:r>
        <w:tab/>
        <w:t>in paragraph (b)(iii) delete “any easement created by section 11 or 12;” and insert:</w:t>
      </w:r>
    </w:p>
    <w:p>
      <w:pPr>
        <w:pStyle w:val="BlankOpen"/>
      </w:pPr>
    </w:p>
    <w:p>
      <w:pPr>
        <w:pStyle w:val="nzIndenta"/>
      </w:pPr>
      <w:r>
        <w:tab/>
      </w:r>
      <w:r>
        <w:tab/>
        <w:t>a statutory easement;</w:t>
      </w:r>
    </w:p>
    <w:p>
      <w:pPr>
        <w:pStyle w:val="BlankClose"/>
      </w:pPr>
    </w:p>
    <w:p>
      <w:pPr>
        <w:pStyle w:val="nzIndenta"/>
      </w:pPr>
      <w:r>
        <w:tab/>
        <w:t>(c)</w:t>
      </w:r>
      <w:r>
        <w:tab/>
        <w:t>in paragraph (c) delete “that is prescribed.” and insert:</w:t>
      </w:r>
    </w:p>
    <w:p>
      <w:pPr>
        <w:pStyle w:val="BlankOpen"/>
      </w:pPr>
    </w:p>
    <w:p>
      <w:pPr>
        <w:pStyle w:val="nzIndenta"/>
      </w:pPr>
      <w:r>
        <w:tab/>
      </w:r>
      <w:r>
        <w:tab/>
        <w:t>specified in the regulations.</w:t>
      </w:r>
    </w:p>
    <w:p>
      <w:pPr>
        <w:pStyle w:val="BlankClose"/>
      </w:pPr>
    </w:p>
    <w:p>
      <w:pPr>
        <w:pStyle w:val="nzSubsection"/>
      </w:pPr>
      <w:r>
        <w:tab/>
        <w:t>(4)</w:t>
      </w:r>
      <w:r>
        <w:tab/>
        <w:t>Delete section 7(6).</w:t>
      </w:r>
    </w:p>
    <w:p>
      <w:pPr>
        <w:pStyle w:val="nzSectAltNote"/>
      </w:pPr>
      <w:r>
        <w:tab/>
        <w:t>Note:</w:t>
      </w:r>
      <w:r>
        <w:tab/>
        <w:t>The heading to amended section 7 is to read:</w:t>
      </w:r>
    </w:p>
    <w:p>
      <w:pPr>
        <w:pStyle w:val="nzSectAltHeading"/>
      </w:pPr>
      <w:r>
        <w:rPr>
          <w:b w:val="0"/>
        </w:rPr>
        <w:tab/>
      </w:r>
      <w:r>
        <w:rPr>
          <w:b w:val="0"/>
        </w:rPr>
        <w:tab/>
      </w:r>
      <w:r>
        <w:t>Structural alteration of lot in strata scheme</w:t>
      </w:r>
    </w:p>
    <w:p>
      <w:pPr>
        <w:pStyle w:val="nzPermNoteHeading"/>
      </w:pPr>
      <w:r>
        <w:tab/>
        <w:t>Note:</w:t>
      </w:r>
    </w:p>
    <w:p>
      <w:pPr>
        <w:pStyle w:val="nzPermNoteText"/>
      </w:pPr>
      <w:r>
        <w:tab/>
      </w:r>
      <w:r>
        <w:tab/>
        <w:t>Section 7 (as amended) is renumbered as section 87 and relocated to Part 7 Division 2.</w:t>
      </w:r>
    </w:p>
    <w:p>
      <w:pPr>
        <w:pStyle w:val="nzHeading5"/>
      </w:pPr>
      <w:bookmarkStart w:id="493" w:name="_Toc530474271"/>
      <w:bookmarkStart w:id="494" w:name="_Toc530474866"/>
      <w:r>
        <w:rPr>
          <w:rStyle w:val="CharSectno"/>
        </w:rPr>
        <w:t>11</w:t>
      </w:r>
      <w:r>
        <w:t>.</w:t>
      </w:r>
      <w:r>
        <w:tab/>
        <w:t>Section 7B amended</w:t>
      </w:r>
      <w:bookmarkEnd w:id="493"/>
      <w:bookmarkEnd w:id="494"/>
    </w:p>
    <w:p>
      <w:pPr>
        <w:pStyle w:val="nzSubsection"/>
      </w:pPr>
      <w:r>
        <w:tab/>
        <w:t>(1)</w:t>
      </w:r>
      <w:r>
        <w:tab/>
        <w:t>Delete section 7B(1), (2) and (3) and insert:</w:t>
      </w:r>
    </w:p>
    <w:p>
      <w:pPr>
        <w:pStyle w:val="BlankOpen"/>
      </w:pPr>
    </w:p>
    <w:p>
      <w:pPr>
        <w:pStyle w:val="nzSubsection"/>
      </w:pPr>
      <w:r>
        <w:tab/>
        <w:t>(1)</w:t>
      </w:r>
      <w:r>
        <w:tab/>
        <w:t>An application for the approval of the structural alteration of a lot must set out details of the proposal and such other information as may be prescribed.</w:t>
      </w:r>
    </w:p>
    <w:p>
      <w:pPr>
        <w:pStyle w:val="nz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nz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BlankClose"/>
      </w:pPr>
    </w:p>
    <w:p>
      <w:pPr>
        <w:pStyle w:val="nzSubsection"/>
      </w:pPr>
      <w:r>
        <w:tab/>
        <w:t>(2)</w:t>
      </w:r>
      <w:r>
        <w:tab/>
        <w:t>Delete section 7B(5), (6) and (7) and insert:</w:t>
      </w:r>
    </w:p>
    <w:p>
      <w:pPr>
        <w:pStyle w:val="BlankOpen"/>
      </w:pPr>
    </w:p>
    <w:p>
      <w:pPr>
        <w:pStyle w:val="nz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nz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nzIndenta"/>
        <w:rPr>
          <w:snapToGrid w:val="0"/>
        </w:rPr>
      </w:pPr>
      <w:r>
        <w:rPr>
          <w:snapToGrid w:val="0"/>
        </w:rPr>
        <w:tab/>
        <w:t>(b)</w:t>
      </w:r>
      <w:r>
        <w:rPr>
          <w:snapToGrid w:val="0"/>
        </w:rPr>
        <w:tab/>
        <w:t>the owner has not, at the end of 42 days after being given the application, made a written objection to the alteration; or</w:t>
      </w:r>
    </w:p>
    <w:p>
      <w:pPr>
        <w:pStyle w:val="nz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nz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nz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nzIndenta"/>
        <w:rPr>
          <w:snapToGrid w:val="0"/>
        </w:rPr>
      </w:pPr>
      <w:r>
        <w:rPr>
          <w:snapToGrid w:val="0"/>
        </w:rPr>
        <w:tab/>
        <w:t>(b)</w:t>
      </w:r>
      <w:r>
        <w:rPr>
          <w:snapToGrid w:val="0"/>
        </w:rPr>
        <w:tab/>
        <w:t>despite section 87(2) —</w:t>
      </w:r>
    </w:p>
    <w:p>
      <w:pPr>
        <w:pStyle w:val="nz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nzIndenti"/>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BlankClose"/>
      </w:pPr>
    </w:p>
    <w:p>
      <w:pPr>
        <w:pStyle w:val="nzSectAltNote"/>
      </w:pPr>
      <w:r>
        <w:tab/>
        <w:t>Note:</w:t>
      </w:r>
      <w:r>
        <w:tab/>
        <w:t>The heading to amended section 7B is to read:</w:t>
      </w:r>
    </w:p>
    <w:p>
      <w:pPr>
        <w:pStyle w:val="nzSectAltHeading"/>
      </w:pPr>
      <w:r>
        <w:rPr>
          <w:b w:val="0"/>
        </w:rPr>
        <w:tab/>
      </w:r>
      <w:r>
        <w:rPr>
          <w:b w:val="0"/>
        </w:rPr>
        <w:tab/>
      </w:r>
      <w:r>
        <w:t>Approvals and objections to structural alterations</w:t>
      </w:r>
    </w:p>
    <w:p>
      <w:pPr>
        <w:pStyle w:val="nzPermNoteHeading"/>
      </w:pPr>
      <w:r>
        <w:tab/>
        <w:t>Note:</w:t>
      </w:r>
    </w:p>
    <w:p>
      <w:pPr>
        <w:pStyle w:val="nzPermNoteText"/>
      </w:pPr>
      <w:r>
        <w:rPr>
          <w:b/>
        </w:rPr>
        <w:tab/>
      </w:r>
      <w:r>
        <w:rPr>
          <w:b/>
        </w:rPr>
        <w:tab/>
      </w:r>
      <w:r>
        <w:t>Section 7B (as amended) is renumbered as section 89 and relocated to Part 7 Division 2.</w:t>
      </w:r>
    </w:p>
    <w:p>
      <w:pPr>
        <w:pStyle w:val="nzHeading5"/>
      </w:pPr>
      <w:bookmarkStart w:id="495" w:name="_Toc530474272"/>
      <w:bookmarkStart w:id="496" w:name="_Toc530474867"/>
      <w:r>
        <w:rPr>
          <w:rStyle w:val="CharSectno"/>
        </w:rPr>
        <w:t>12</w:t>
      </w:r>
      <w:r>
        <w:t>.</w:t>
      </w:r>
      <w:r>
        <w:tab/>
        <w:t>Section 12A amended</w:t>
      </w:r>
      <w:bookmarkEnd w:id="495"/>
      <w:bookmarkEnd w:id="496"/>
    </w:p>
    <w:p>
      <w:pPr>
        <w:pStyle w:val="nzSubsection"/>
      </w:pPr>
      <w:r>
        <w:tab/>
        <w:t>(1)</w:t>
      </w:r>
      <w:r>
        <w:tab/>
        <w:t>Delete section 12A(1) and insert:</w:t>
      </w:r>
    </w:p>
    <w:p>
      <w:pPr>
        <w:pStyle w:val="BlankOpen"/>
      </w:pPr>
    </w:p>
    <w:p>
      <w:pPr>
        <w:pStyle w:val="nz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nzIndenta"/>
        <w:rPr>
          <w:snapToGrid w:val="0"/>
        </w:rPr>
      </w:pPr>
      <w:r>
        <w:rPr>
          <w:snapToGrid w:val="0"/>
        </w:rPr>
        <w:tab/>
        <w:t>(a)</w:t>
      </w:r>
      <w:r>
        <w:rPr>
          <w:snapToGrid w:val="0"/>
        </w:rPr>
        <w:tab/>
        <w:t>inspect, maintain, repair, renew or replace the part; and</w:t>
      </w:r>
    </w:p>
    <w:p>
      <w:pPr>
        <w:pStyle w:val="nzIndenta"/>
        <w:rPr>
          <w:snapToGrid w:val="0"/>
        </w:rPr>
      </w:pPr>
      <w:r>
        <w:rPr>
          <w:snapToGrid w:val="0"/>
        </w:rPr>
        <w:tab/>
        <w:t>(b)</w:t>
      </w:r>
      <w:r>
        <w:rPr>
          <w:snapToGrid w:val="0"/>
        </w:rPr>
        <w:tab/>
        <w:t>enter on the other lot, if necessary with vehicles, equipment, materials and other items, for the purpose of doing so.</w:t>
      </w:r>
    </w:p>
    <w:p>
      <w:pPr>
        <w:pStyle w:val="BlankClose"/>
      </w:pPr>
    </w:p>
    <w:p>
      <w:pPr>
        <w:pStyle w:val="nzSubsection"/>
      </w:pPr>
      <w:r>
        <w:tab/>
        <w:t>(2)</w:t>
      </w:r>
      <w:r>
        <w:tab/>
        <w:t>In section 12A(2) delete “subsection (1)” and insert:</w:t>
      </w:r>
    </w:p>
    <w:p>
      <w:pPr>
        <w:pStyle w:val="BlankOpen"/>
      </w:pPr>
    </w:p>
    <w:p>
      <w:pPr>
        <w:pStyle w:val="nzSubsection"/>
      </w:pPr>
      <w:r>
        <w:tab/>
      </w:r>
      <w:r>
        <w:tab/>
        <w:t>subclause (1)</w:t>
      </w:r>
    </w:p>
    <w:p>
      <w:pPr>
        <w:pStyle w:val="BlankClose"/>
      </w:pPr>
    </w:p>
    <w:p>
      <w:pPr>
        <w:pStyle w:val="nzSubsection"/>
      </w:pPr>
      <w:r>
        <w:tab/>
        <w:t>(3)</w:t>
      </w:r>
      <w:r>
        <w:tab/>
        <w:t>In section 12A(2) delete “to which the other lot is subject.” and insert:</w:t>
      </w:r>
    </w:p>
    <w:p>
      <w:pPr>
        <w:pStyle w:val="BlankOpen"/>
      </w:pPr>
    </w:p>
    <w:p>
      <w:pPr>
        <w:pStyle w:val="nzSubsection"/>
      </w:pPr>
      <w:r>
        <w:tab/>
      </w:r>
      <w:r>
        <w:tab/>
        <w:t>burdening the other lot.</w:t>
      </w:r>
    </w:p>
    <w:p>
      <w:pPr>
        <w:pStyle w:val="BlankClose"/>
      </w:pPr>
    </w:p>
    <w:p>
      <w:pPr>
        <w:pStyle w:val="nzSectAltNote"/>
      </w:pPr>
      <w:r>
        <w:tab/>
        <w:t>Note:</w:t>
      </w:r>
      <w:r>
        <w:tab/>
        <w:t>The heading to amended 12A is to read:</w:t>
      </w:r>
    </w:p>
    <w:p>
      <w:pPr>
        <w:pStyle w:val="nzSectAltHeading"/>
      </w:pPr>
      <w:r>
        <w:rPr>
          <w:b w:val="0"/>
        </w:rPr>
        <w:tab/>
      </w:r>
      <w:r>
        <w:rPr>
          <w:b w:val="0"/>
        </w:rPr>
        <w:tab/>
      </w:r>
      <w:r>
        <w:t>Easement for access for certain work</w:t>
      </w:r>
    </w:p>
    <w:p>
      <w:pPr>
        <w:pStyle w:val="nzPermNoteHeading"/>
      </w:pPr>
      <w:r>
        <w:tab/>
        <w:t>Note:</w:t>
      </w:r>
    </w:p>
    <w:p>
      <w:pPr>
        <w:pStyle w:val="nzPermNoteText"/>
      </w:pPr>
      <w:r>
        <w:tab/>
      </w:r>
      <w:r>
        <w:tab/>
        <w:t>Section 12A (as amended) is redesignated as clause 12A and relocated to Schedule 2A.</w:t>
      </w:r>
    </w:p>
    <w:p>
      <w:pPr>
        <w:pStyle w:val="nzHeading5"/>
      </w:pPr>
      <w:bookmarkStart w:id="497" w:name="_Toc530474273"/>
      <w:bookmarkStart w:id="498" w:name="_Toc530474868"/>
      <w:r>
        <w:rPr>
          <w:rStyle w:val="CharSectno"/>
        </w:rPr>
        <w:t>13</w:t>
      </w:r>
      <w:r>
        <w:t>.</w:t>
      </w:r>
      <w:r>
        <w:tab/>
        <w:t>Section 21A amended</w:t>
      </w:r>
      <w:bookmarkEnd w:id="497"/>
      <w:bookmarkEnd w:id="498"/>
    </w:p>
    <w:p>
      <w:pPr>
        <w:pStyle w:val="nzSubsection"/>
      </w:pPr>
      <w:r>
        <w:tab/>
      </w:r>
      <w:r>
        <w:tab/>
        <w:t xml:space="preserve">In section 21A delete the definition of </w:t>
      </w:r>
      <w:r>
        <w:rPr>
          <w:b/>
          <w:i/>
        </w:rPr>
        <w:t>existing small strata scheme</w:t>
      </w:r>
      <w:r>
        <w:t xml:space="preserve"> and insert:</w:t>
      </w:r>
    </w:p>
    <w:p>
      <w:pPr>
        <w:pStyle w:val="BlankOpen"/>
      </w:pPr>
    </w:p>
    <w:p>
      <w:pPr>
        <w:pStyle w:val="nz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BlankClose"/>
      </w:pPr>
    </w:p>
    <w:p>
      <w:pPr>
        <w:pStyle w:val="nzPermNoteHeading"/>
      </w:pPr>
      <w:r>
        <w:tab/>
        <w:t>Note:</w:t>
      </w:r>
    </w:p>
    <w:p>
      <w:pPr>
        <w:pStyle w:val="nzPermNoteText"/>
      </w:pPr>
      <w:r>
        <w:tab/>
      </w:r>
      <w:r>
        <w:tab/>
        <w:t>Section 21A (as amended) is redesignated as clause 21A and relocated to Schedule 2A.</w:t>
      </w:r>
    </w:p>
    <w:p>
      <w:pPr>
        <w:pStyle w:val="nzHeading5"/>
      </w:pPr>
      <w:bookmarkStart w:id="499" w:name="_Toc530474274"/>
      <w:bookmarkStart w:id="500" w:name="_Toc530474869"/>
      <w:r>
        <w:rPr>
          <w:rStyle w:val="CharSectno"/>
        </w:rPr>
        <w:t>14</w:t>
      </w:r>
      <w:r>
        <w:t>.</w:t>
      </w:r>
      <w:r>
        <w:tab/>
        <w:t>Section 21C amended</w:t>
      </w:r>
      <w:bookmarkEnd w:id="499"/>
      <w:bookmarkEnd w:id="500"/>
    </w:p>
    <w:p>
      <w:pPr>
        <w:pStyle w:val="nzSubsection"/>
      </w:pPr>
      <w:r>
        <w:tab/>
      </w:r>
      <w:r>
        <w:tab/>
        <w:t>In section 21C delete “section” (each occurrence) and insert:</w:t>
      </w:r>
    </w:p>
    <w:p>
      <w:pPr>
        <w:pStyle w:val="BlankOpen"/>
      </w:pPr>
    </w:p>
    <w:p>
      <w:pPr>
        <w:pStyle w:val="nzSubsection"/>
      </w:pPr>
      <w:r>
        <w:tab/>
      </w:r>
      <w:r>
        <w:tab/>
        <w:t>clause</w:t>
      </w:r>
    </w:p>
    <w:p>
      <w:pPr>
        <w:pStyle w:val="BlankClose"/>
      </w:pPr>
    </w:p>
    <w:p>
      <w:pPr>
        <w:pStyle w:val="nzPermNoteHeading"/>
      </w:pPr>
      <w:r>
        <w:tab/>
        <w:t>Note:</w:t>
      </w:r>
    </w:p>
    <w:p>
      <w:pPr>
        <w:pStyle w:val="nzPermNoteText"/>
      </w:pPr>
      <w:r>
        <w:tab/>
      </w:r>
      <w:r>
        <w:tab/>
        <w:t>Section 21C (as amended) is redesignated as clause 21C and relocated to Schedule 2A.</w:t>
      </w:r>
    </w:p>
    <w:p>
      <w:pPr>
        <w:pStyle w:val="nzHeading5"/>
      </w:pPr>
      <w:bookmarkStart w:id="501" w:name="_Toc530474275"/>
      <w:bookmarkStart w:id="502" w:name="_Toc530474870"/>
      <w:r>
        <w:rPr>
          <w:rStyle w:val="CharSectno"/>
        </w:rPr>
        <w:t>15</w:t>
      </w:r>
      <w:r>
        <w:t>.</w:t>
      </w:r>
      <w:r>
        <w:tab/>
        <w:t>Section 21D amended</w:t>
      </w:r>
      <w:bookmarkEnd w:id="501"/>
      <w:bookmarkEnd w:id="502"/>
    </w:p>
    <w:p>
      <w:pPr>
        <w:pStyle w:val="nzSubsection"/>
      </w:pPr>
      <w:r>
        <w:tab/>
        <w:t>(1)</w:t>
      </w:r>
      <w:r>
        <w:tab/>
        <w:t>In section 21D:</w:t>
      </w:r>
    </w:p>
    <w:p>
      <w:pPr>
        <w:pStyle w:val="nzIndenta"/>
      </w:pPr>
      <w:r>
        <w:tab/>
        <w:t>(a)</w:t>
      </w:r>
      <w:r>
        <w:tab/>
        <w:t>delete “re</w:t>
      </w:r>
      <w:r>
        <w:noBreakHyphen/>
        <w:t>subdivision” and insert:</w:t>
      </w:r>
    </w:p>
    <w:p>
      <w:pPr>
        <w:pStyle w:val="BlankOpen"/>
      </w:pPr>
    </w:p>
    <w:p>
      <w:pPr>
        <w:pStyle w:val="nzIndenta"/>
      </w:pPr>
      <w:r>
        <w:tab/>
      </w:r>
      <w:r>
        <w:tab/>
        <w:t>subdivision</w:t>
      </w:r>
    </w:p>
    <w:p>
      <w:pPr>
        <w:pStyle w:val="BlankClose"/>
      </w:pPr>
    </w:p>
    <w:p>
      <w:pPr>
        <w:pStyle w:val="nzIndenta"/>
      </w:pPr>
      <w:r>
        <w:tab/>
        <w:t>(b)</w:t>
      </w:r>
      <w:r>
        <w:tab/>
        <w:t>delete “a plan of re</w:t>
      </w:r>
      <w:r>
        <w:noBreakHyphen/>
        <w:t>subdivision under section 8.” and insert:</w:t>
      </w:r>
    </w:p>
    <w:p>
      <w:pPr>
        <w:pStyle w:val="BlankOpen"/>
      </w:pPr>
    </w:p>
    <w:p>
      <w:pPr>
        <w:pStyle w:val="nzIndenta"/>
      </w:pPr>
      <w:r>
        <w:tab/>
      </w:r>
      <w:r>
        <w:tab/>
        <w:t>an amendment of the strata scheme.</w:t>
      </w:r>
    </w:p>
    <w:p>
      <w:pPr>
        <w:pStyle w:val="BlankClose"/>
        <w:keepNext/>
      </w:pPr>
    </w:p>
    <w:p>
      <w:pPr>
        <w:pStyle w:val="nzPermNoteHeading"/>
      </w:pPr>
      <w:r>
        <w:tab/>
        <w:t>Note:</w:t>
      </w:r>
    </w:p>
    <w:p>
      <w:pPr>
        <w:pStyle w:val="nzPermNoteText"/>
      </w:pPr>
      <w:r>
        <w:tab/>
      </w:r>
      <w:r>
        <w:tab/>
        <w:t>Section 21D (as amended) is redesignated as clause 21D and relocated to Schedule 2A.</w:t>
      </w:r>
    </w:p>
    <w:p>
      <w:pPr>
        <w:pStyle w:val="nzHeading5"/>
      </w:pPr>
      <w:bookmarkStart w:id="503" w:name="_Toc530474276"/>
      <w:bookmarkStart w:id="504" w:name="_Toc530474871"/>
      <w:r>
        <w:rPr>
          <w:rStyle w:val="CharSectno"/>
        </w:rPr>
        <w:t>16</w:t>
      </w:r>
      <w:r>
        <w:t>.</w:t>
      </w:r>
      <w:r>
        <w:tab/>
        <w:t>Section 21F amended</w:t>
      </w:r>
      <w:bookmarkEnd w:id="503"/>
      <w:bookmarkEnd w:id="504"/>
    </w:p>
    <w:p>
      <w:pPr>
        <w:pStyle w:val="nzSubsection"/>
      </w:pPr>
      <w:r>
        <w:tab/>
        <w:t>(1)</w:t>
      </w:r>
      <w:r>
        <w:tab/>
        <w:t>In section 21F(1):</w:t>
      </w:r>
    </w:p>
    <w:p>
      <w:pPr>
        <w:pStyle w:val="nzIndenta"/>
      </w:pPr>
      <w:r>
        <w:tab/>
        <w:t>(a)</w:t>
      </w:r>
      <w:r>
        <w:tab/>
        <w:t>delete “in the prescribed form,” and insert:</w:t>
      </w:r>
    </w:p>
    <w:p>
      <w:pPr>
        <w:pStyle w:val="BlankOpen"/>
      </w:pPr>
    </w:p>
    <w:p>
      <w:pPr>
        <w:pStyle w:val="nzIndenta"/>
      </w:pPr>
      <w:r>
        <w:tab/>
      </w:r>
      <w:r>
        <w:tab/>
        <w:t>by resolution in the approved form,</w:t>
      </w:r>
    </w:p>
    <w:p>
      <w:pPr>
        <w:pStyle w:val="BlankClose"/>
      </w:pPr>
    </w:p>
    <w:p>
      <w:pPr>
        <w:pStyle w:val="nzIndenta"/>
      </w:pPr>
      <w:r>
        <w:tab/>
        <w:t>(b)</w:t>
      </w:r>
      <w:r>
        <w:tab/>
        <w:t>delete “section” and insert:</w:t>
      </w:r>
    </w:p>
    <w:p>
      <w:pPr>
        <w:pStyle w:val="BlankOpen"/>
      </w:pPr>
    </w:p>
    <w:p>
      <w:pPr>
        <w:pStyle w:val="nzIndenta"/>
      </w:pPr>
      <w:r>
        <w:tab/>
      </w:r>
      <w:r>
        <w:tab/>
        <w:t>clause</w:t>
      </w:r>
    </w:p>
    <w:p>
      <w:pPr>
        <w:pStyle w:val="BlankClose"/>
      </w:pPr>
    </w:p>
    <w:p>
      <w:pPr>
        <w:pStyle w:val="nzSubsection"/>
      </w:pPr>
      <w:r>
        <w:tab/>
        <w:t>(2)</w:t>
      </w:r>
      <w:r>
        <w:tab/>
        <w:t>Delete section 21F(2) and insert:</w:t>
      </w:r>
    </w:p>
    <w:p>
      <w:pPr>
        <w:pStyle w:val="BlankOpen"/>
      </w:pPr>
    </w:p>
    <w:p>
      <w:pPr>
        <w:pStyle w:val="nzSubsection"/>
        <w:rPr>
          <w:snapToGrid w:val="0"/>
        </w:rPr>
      </w:pPr>
      <w:r>
        <w:rPr>
          <w:snapToGrid w:val="0"/>
        </w:rPr>
        <w:tab/>
        <w:t>(2)</w:t>
      </w:r>
      <w:r>
        <w:rPr>
          <w:snapToGrid w:val="0"/>
        </w:rPr>
        <w:tab/>
        <w:t>A resolution is effective for the purposes of subclause (1) only if it is a resolution without dissent.</w:t>
      </w:r>
    </w:p>
    <w:p>
      <w:pPr>
        <w:pStyle w:val="BlankClose"/>
      </w:pPr>
    </w:p>
    <w:p>
      <w:pPr>
        <w:pStyle w:val="nzPermNoteHeading"/>
      </w:pPr>
      <w:r>
        <w:tab/>
        <w:t>Note:</w:t>
      </w:r>
    </w:p>
    <w:p>
      <w:pPr>
        <w:pStyle w:val="nzPermNoteText"/>
      </w:pPr>
      <w:r>
        <w:tab/>
      </w:r>
      <w:r>
        <w:tab/>
        <w:t>Section 21F (as amended) is redesignated as clause 21F and relocated to Schedule 2A.</w:t>
      </w:r>
    </w:p>
    <w:p>
      <w:pPr>
        <w:pStyle w:val="nzHeading5"/>
      </w:pPr>
      <w:bookmarkStart w:id="505" w:name="_Toc530474277"/>
      <w:bookmarkStart w:id="506" w:name="_Toc530474872"/>
      <w:r>
        <w:rPr>
          <w:rStyle w:val="CharSectno"/>
        </w:rPr>
        <w:t>17</w:t>
      </w:r>
      <w:r>
        <w:t>.</w:t>
      </w:r>
      <w:r>
        <w:tab/>
        <w:t>Section 21G amended</w:t>
      </w:r>
      <w:bookmarkEnd w:id="505"/>
      <w:bookmarkEnd w:id="506"/>
    </w:p>
    <w:p>
      <w:pPr>
        <w:pStyle w:val="nzSubsection"/>
      </w:pPr>
      <w:r>
        <w:tab/>
        <w:t>(1)</w:t>
      </w:r>
      <w:r>
        <w:tab/>
        <w:t>Delete section 21G(1) and insert:</w:t>
      </w:r>
    </w:p>
    <w:p>
      <w:pPr>
        <w:pStyle w:val="BlankOpen"/>
      </w:pPr>
    </w:p>
    <w:p>
      <w:pPr>
        <w:pStyle w:val="nz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nzSubsection"/>
      </w:pPr>
      <w:r>
        <w:tab/>
        <w:t>(1A)</w:t>
      </w:r>
      <w:r>
        <w:tab/>
        <w:t>The notice of resolution cannot be lodged before the end of the period of 60 days after the day on which the resolution was passed.</w:t>
      </w:r>
    </w:p>
    <w:p>
      <w:pPr>
        <w:pStyle w:val="BlankClose"/>
      </w:pPr>
    </w:p>
    <w:p>
      <w:pPr>
        <w:pStyle w:val="nzSubsection"/>
      </w:pPr>
      <w:r>
        <w:tab/>
        <w:t>(2)</w:t>
      </w:r>
      <w:r>
        <w:tab/>
        <w:t>In section 21G(2) delete the passage that begins with “</w:t>
      </w:r>
      <w:r>
        <w:rPr>
          <w:snapToGrid w:val="0"/>
        </w:rPr>
        <w:t xml:space="preserve">company or alternatively —“ and ends with “one proprietor.” </w:t>
      </w:r>
      <w:r>
        <w:t>and insert:</w:t>
      </w:r>
    </w:p>
    <w:p>
      <w:pPr>
        <w:pStyle w:val="BlankOpen"/>
      </w:pPr>
    </w:p>
    <w:p>
      <w:pPr>
        <w:pStyle w:val="nzSubsection"/>
      </w:pPr>
      <w:r>
        <w:tab/>
      </w:r>
      <w:r>
        <w:tab/>
      </w:r>
      <w:r>
        <w:rPr>
          <w:snapToGrid w:val="0"/>
        </w:rPr>
        <w:t>company or</w:t>
      </w:r>
      <w:r>
        <w:t>, in the case of an existing small strata scheme, by all of the owners of lots in the scheme.</w:t>
      </w:r>
    </w:p>
    <w:p>
      <w:pPr>
        <w:pStyle w:val="BlankClose"/>
      </w:pPr>
    </w:p>
    <w:p>
      <w:pPr>
        <w:pStyle w:val="nzSubsection"/>
      </w:pPr>
      <w:r>
        <w:tab/>
        <w:t>(3)</w:t>
      </w:r>
      <w:r>
        <w:tab/>
        <w:t>Delete section 21G(3).</w:t>
      </w:r>
    </w:p>
    <w:p>
      <w:pPr>
        <w:pStyle w:val="nzSectAltNote"/>
      </w:pPr>
      <w:r>
        <w:tab/>
        <w:t>Note:</w:t>
      </w:r>
      <w:r>
        <w:tab/>
        <w:t>The heading to amended 21G is to read:</w:t>
      </w:r>
    </w:p>
    <w:p>
      <w:pPr>
        <w:pStyle w:val="nzSectAltHeading"/>
      </w:pPr>
      <w:r>
        <w:rPr>
          <w:b w:val="0"/>
        </w:rPr>
        <w:tab/>
      </w:r>
      <w:r>
        <w:rPr>
          <w:b w:val="0"/>
        </w:rPr>
        <w:tab/>
      </w:r>
      <w:r>
        <w:rPr>
          <w:snapToGrid w:val="0"/>
        </w:rPr>
        <w:t>Notice of resolution may be lodged for registration</w:t>
      </w:r>
    </w:p>
    <w:p>
      <w:pPr>
        <w:pStyle w:val="nzPermNoteHeading"/>
      </w:pPr>
      <w:r>
        <w:tab/>
        <w:t>Note:</w:t>
      </w:r>
    </w:p>
    <w:p>
      <w:pPr>
        <w:pStyle w:val="nzPermNoteText"/>
      </w:pPr>
      <w:r>
        <w:tab/>
      </w:r>
      <w:r>
        <w:tab/>
        <w:t>Section 21G (as amended) is redesignated as clause 21G and relocated to Schedule 2A.</w:t>
      </w:r>
    </w:p>
    <w:p>
      <w:pPr>
        <w:pStyle w:val="nzHeading5"/>
      </w:pPr>
      <w:bookmarkStart w:id="507" w:name="_Toc530474278"/>
      <w:bookmarkStart w:id="508" w:name="_Toc530474873"/>
      <w:r>
        <w:rPr>
          <w:rStyle w:val="CharSectno"/>
        </w:rPr>
        <w:t>18</w:t>
      </w:r>
      <w:r>
        <w:t>.</w:t>
      </w:r>
      <w:r>
        <w:tab/>
        <w:t>Section 21I amended</w:t>
      </w:r>
      <w:bookmarkEnd w:id="507"/>
      <w:bookmarkEnd w:id="508"/>
    </w:p>
    <w:p>
      <w:pPr>
        <w:pStyle w:val="nzSubsection"/>
      </w:pPr>
      <w:r>
        <w:tab/>
        <w:t>(1)</w:t>
      </w:r>
      <w:r>
        <w:tab/>
        <w:t>In section 21I(1)(a) delete “section” and insert:</w:t>
      </w:r>
    </w:p>
    <w:p>
      <w:pPr>
        <w:pStyle w:val="BlankOpen"/>
      </w:pPr>
    </w:p>
    <w:p>
      <w:pPr>
        <w:pStyle w:val="nzSubsection"/>
      </w:pPr>
      <w:r>
        <w:tab/>
      </w:r>
      <w:r>
        <w:tab/>
        <w:t>clause</w:t>
      </w:r>
    </w:p>
    <w:p>
      <w:pPr>
        <w:pStyle w:val="BlankClose"/>
      </w:pPr>
    </w:p>
    <w:p>
      <w:pPr>
        <w:pStyle w:val="nzSubsection"/>
      </w:pPr>
      <w:r>
        <w:tab/>
        <w:t>(2)</w:t>
      </w:r>
      <w:r>
        <w:tab/>
        <w:t xml:space="preserve">In section 21I(2)  — </w:t>
      </w:r>
    </w:p>
    <w:p>
      <w:pPr>
        <w:pStyle w:val="nzIndenta"/>
      </w:pPr>
      <w:r>
        <w:tab/>
        <w:t>(a)</w:t>
      </w:r>
      <w:r>
        <w:tab/>
        <w:t>delete “subsection (1) is to be” and insert:</w:t>
      </w:r>
    </w:p>
    <w:p>
      <w:pPr>
        <w:pStyle w:val="BlankOpen"/>
      </w:pPr>
    </w:p>
    <w:p>
      <w:pPr>
        <w:pStyle w:val="nzIndenta"/>
      </w:pPr>
      <w:r>
        <w:tab/>
      </w:r>
      <w:r>
        <w:tab/>
        <w:t>subclause (1) is</w:t>
      </w:r>
    </w:p>
    <w:p>
      <w:pPr>
        <w:pStyle w:val="BlankClose"/>
      </w:pPr>
    </w:p>
    <w:p>
      <w:pPr>
        <w:pStyle w:val="nzIndenta"/>
      </w:pPr>
      <w:r>
        <w:tab/>
        <w:t>(b)</w:t>
      </w:r>
      <w:r>
        <w:tab/>
        <w:t>delete “that subsection.” and insert:</w:t>
      </w:r>
    </w:p>
    <w:p>
      <w:pPr>
        <w:pStyle w:val="BlankOpen"/>
      </w:pPr>
    </w:p>
    <w:p>
      <w:pPr>
        <w:pStyle w:val="nzIndenta"/>
      </w:pPr>
      <w:r>
        <w:tab/>
      </w:r>
      <w:r>
        <w:tab/>
        <w:t>that subclause.</w:t>
      </w:r>
    </w:p>
    <w:p>
      <w:pPr>
        <w:pStyle w:val="BlankClose"/>
      </w:pPr>
    </w:p>
    <w:p>
      <w:pPr>
        <w:pStyle w:val="nzPermNoteHeading"/>
      </w:pPr>
      <w:r>
        <w:tab/>
        <w:t>Note:</w:t>
      </w:r>
    </w:p>
    <w:p>
      <w:pPr>
        <w:pStyle w:val="nzPermNoteText"/>
      </w:pPr>
      <w:r>
        <w:tab/>
      </w:r>
      <w:r>
        <w:tab/>
        <w:t>Section 21I (as amended) is redesignated as clause 21I and relocated to Schedule 2A.</w:t>
      </w:r>
    </w:p>
    <w:p>
      <w:pPr>
        <w:pStyle w:val="nzHeading5"/>
      </w:pPr>
      <w:bookmarkStart w:id="509" w:name="_Toc530474279"/>
      <w:bookmarkStart w:id="510" w:name="_Toc530474874"/>
      <w:r>
        <w:rPr>
          <w:rStyle w:val="CharSectno"/>
        </w:rPr>
        <w:t>19</w:t>
      </w:r>
      <w:r>
        <w:t>.</w:t>
      </w:r>
      <w:r>
        <w:tab/>
        <w:t>Section 21J amended</w:t>
      </w:r>
      <w:bookmarkEnd w:id="509"/>
      <w:bookmarkEnd w:id="510"/>
    </w:p>
    <w:p>
      <w:pPr>
        <w:pStyle w:val="nzSubsection"/>
      </w:pPr>
      <w:r>
        <w:tab/>
      </w:r>
      <w:r>
        <w:tab/>
        <w:t>In section 21J delete “</w:t>
      </w:r>
      <w:r>
        <w:rPr>
          <w:snapToGrid w:val="0"/>
        </w:rPr>
        <w:t>prescribed manner to give effect to section 21I.</w:t>
      </w:r>
      <w:r>
        <w:t>” and insert:</w:t>
      </w:r>
    </w:p>
    <w:p>
      <w:pPr>
        <w:pStyle w:val="BlankOpen"/>
      </w:pPr>
    </w:p>
    <w:p>
      <w:pPr>
        <w:pStyle w:val="nzSubsection"/>
      </w:pPr>
      <w:r>
        <w:tab/>
      </w:r>
      <w:r>
        <w:tab/>
      </w:r>
      <w:r>
        <w:rPr>
          <w:snapToGrid w:val="0"/>
        </w:rPr>
        <w:t>manner specified in the regulations to give effect to clause 21I.</w:t>
      </w:r>
    </w:p>
    <w:p>
      <w:pPr>
        <w:pStyle w:val="BlankClose"/>
      </w:pPr>
    </w:p>
    <w:p>
      <w:pPr>
        <w:pStyle w:val="nzPermNoteHeading"/>
      </w:pPr>
      <w:r>
        <w:tab/>
        <w:t>Note:</w:t>
      </w:r>
    </w:p>
    <w:p>
      <w:pPr>
        <w:pStyle w:val="nzPermNoteText"/>
      </w:pPr>
      <w:r>
        <w:tab/>
      </w:r>
      <w:r>
        <w:tab/>
        <w:t>Section 21J (as amended) is redesignated as clause 21J and relocated to Schedule 2A.</w:t>
      </w:r>
    </w:p>
    <w:p>
      <w:pPr>
        <w:pStyle w:val="nzHeading5"/>
      </w:pPr>
      <w:bookmarkStart w:id="511" w:name="_Toc530474280"/>
      <w:bookmarkStart w:id="512" w:name="_Toc530474875"/>
      <w:r>
        <w:rPr>
          <w:rStyle w:val="CharSectno"/>
        </w:rPr>
        <w:t>20</w:t>
      </w:r>
      <w:r>
        <w:t>.</w:t>
      </w:r>
      <w:r>
        <w:tab/>
        <w:t>Section 21Q amended</w:t>
      </w:r>
      <w:bookmarkEnd w:id="511"/>
      <w:bookmarkEnd w:id="512"/>
    </w:p>
    <w:p>
      <w:pPr>
        <w:pStyle w:val="nzSubsection"/>
        <w:rPr>
          <w:snapToGrid w:val="0"/>
        </w:rPr>
      </w:pPr>
      <w:r>
        <w:tab/>
        <w:t>(1)</w:t>
      </w:r>
      <w:r>
        <w:tab/>
        <w:t>In section 21Q(1) delete “</w:t>
      </w:r>
      <w:r>
        <w:rPr>
          <w:snapToGrid w:val="0"/>
        </w:rPr>
        <w:t xml:space="preserve">prescribed </w:t>
      </w:r>
      <w:r>
        <w:t>form</w:t>
      </w:r>
      <w:r>
        <w:rPr>
          <w:snapToGrid w:val="0"/>
        </w:rPr>
        <w:t>, resolve that the strata plan be amended in one” and insert:</w:t>
      </w:r>
    </w:p>
    <w:p>
      <w:pPr>
        <w:pStyle w:val="BlankOpen"/>
      </w:pPr>
    </w:p>
    <w:p>
      <w:pPr>
        <w:pStyle w:val="nzSubsection"/>
      </w:pPr>
      <w:r>
        <w:tab/>
      </w:r>
      <w:r>
        <w:tab/>
      </w:r>
      <w:r>
        <w:rPr>
          <w:snapToGrid w:val="0"/>
        </w:rPr>
        <w:t xml:space="preserve">approved </w:t>
      </w:r>
      <w:r>
        <w:t>form</w:t>
      </w:r>
      <w:r>
        <w:rPr>
          <w:snapToGrid w:val="0"/>
        </w:rPr>
        <w:t>, resolve that the strata plan be amended in 1</w:t>
      </w:r>
    </w:p>
    <w:p>
      <w:pPr>
        <w:pStyle w:val="BlankClose"/>
      </w:pPr>
    </w:p>
    <w:p>
      <w:pPr>
        <w:pStyle w:val="nzSubsection"/>
      </w:pPr>
      <w:r>
        <w:tab/>
        <w:t>(2)</w:t>
      </w:r>
      <w:r>
        <w:tab/>
        <w:t>Delete section 21Q(2) and insert:</w:t>
      </w:r>
    </w:p>
    <w:p>
      <w:pPr>
        <w:pStyle w:val="BlankOpen"/>
      </w:pPr>
    </w:p>
    <w:p>
      <w:pPr>
        <w:pStyle w:val="nzSubsection"/>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BlankClose"/>
      </w:pPr>
    </w:p>
    <w:p>
      <w:pPr>
        <w:pStyle w:val="nzSubsection"/>
      </w:pPr>
      <w:r>
        <w:tab/>
        <w:t>(3)</w:t>
      </w:r>
      <w:r>
        <w:tab/>
        <w:t>In section 21Q(3) delete “subsection” and insert:</w:t>
      </w:r>
    </w:p>
    <w:p>
      <w:pPr>
        <w:pStyle w:val="BlankOpen"/>
      </w:pPr>
    </w:p>
    <w:p>
      <w:pPr>
        <w:pStyle w:val="nzSubsection"/>
      </w:pPr>
      <w:r>
        <w:tab/>
      </w:r>
      <w:r>
        <w:tab/>
      </w:r>
      <w:r>
        <w:rPr>
          <w:snapToGrid w:val="0"/>
        </w:rPr>
        <w:t>subclause</w:t>
      </w:r>
    </w:p>
    <w:p>
      <w:pPr>
        <w:pStyle w:val="BlankClose"/>
      </w:pPr>
    </w:p>
    <w:p>
      <w:pPr>
        <w:pStyle w:val="nzSubsection"/>
      </w:pPr>
      <w:r>
        <w:tab/>
        <w:t>(4)</w:t>
      </w:r>
      <w:r>
        <w:tab/>
        <w:t>In section 21Q(3) delete “section” and insert:</w:t>
      </w:r>
    </w:p>
    <w:p>
      <w:pPr>
        <w:pStyle w:val="BlankOpen"/>
      </w:pPr>
    </w:p>
    <w:p>
      <w:pPr>
        <w:pStyle w:val="nzSubsection"/>
      </w:pPr>
      <w:r>
        <w:tab/>
      </w:r>
      <w:r>
        <w:tab/>
      </w:r>
      <w:r>
        <w:rPr>
          <w:snapToGrid w:val="0"/>
        </w:rPr>
        <w:t>clause</w:t>
      </w:r>
    </w:p>
    <w:p>
      <w:pPr>
        <w:pStyle w:val="BlankClose"/>
      </w:pPr>
    </w:p>
    <w:p>
      <w:pPr>
        <w:pStyle w:val="nzSubsection"/>
      </w:pPr>
      <w:r>
        <w:tab/>
        <w:t>(5)</w:t>
      </w:r>
      <w:r>
        <w:tab/>
        <w:t>In section 21Q(4) delete “subsection” and insert:</w:t>
      </w:r>
    </w:p>
    <w:p>
      <w:pPr>
        <w:pStyle w:val="BlankOpen"/>
      </w:pPr>
    </w:p>
    <w:p>
      <w:pPr>
        <w:pStyle w:val="nzSubsection"/>
      </w:pPr>
      <w:r>
        <w:tab/>
      </w:r>
      <w:r>
        <w:tab/>
      </w:r>
      <w:r>
        <w:rPr>
          <w:snapToGrid w:val="0"/>
        </w:rPr>
        <w:t>subclause</w:t>
      </w:r>
    </w:p>
    <w:p>
      <w:pPr>
        <w:pStyle w:val="BlankClose"/>
      </w:pPr>
    </w:p>
    <w:p>
      <w:pPr>
        <w:pStyle w:val="nzPermNoteHeading"/>
      </w:pPr>
      <w:r>
        <w:tab/>
        <w:t>Note:</w:t>
      </w:r>
    </w:p>
    <w:p>
      <w:pPr>
        <w:pStyle w:val="nzPermNoteText"/>
      </w:pPr>
      <w:r>
        <w:tab/>
      </w:r>
      <w:r>
        <w:tab/>
        <w:t>Section 21Q (as amended) is redesignated as clause 21Q and relocated to Schedule 2A.</w:t>
      </w:r>
    </w:p>
    <w:p>
      <w:pPr>
        <w:pStyle w:val="nzHeading5"/>
      </w:pPr>
      <w:bookmarkStart w:id="513" w:name="_Toc530474281"/>
      <w:bookmarkStart w:id="514" w:name="_Toc530474876"/>
      <w:r>
        <w:rPr>
          <w:rStyle w:val="CharSectno"/>
        </w:rPr>
        <w:t>21</w:t>
      </w:r>
      <w:r>
        <w:t>.</w:t>
      </w:r>
      <w:r>
        <w:tab/>
        <w:t>Section 21R amended</w:t>
      </w:r>
      <w:bookmarkEnd w:id="513"/>
      <w:bookmarkEnd w:id="514"/>
    </w:p>
    <w:p>
      <w:pPr>
        <w:pStyle w:val="nzSubsection"/>
      </w:pPr>
      <w:r>
        <w:tab/>
        <w:t>(1)</w:t>
      </w:r>
      <w:r>
        <w:tab/>
        <w:t>In section 21R(1):</w:t>
      </w:r>
    </w:p>
    <w:p>
      <w:pPr>
        <w:pStyle w:val="nzIndenta"/>
      </w:pPr>
      <w:r>
        <w:tab/>
        <w:t>(a)</w:t>
      </w:r>
      <w:r>
        <w:tab/>
        <w:t>delete “section 21Q(1)(a) or (b)” and insert:</w:t>
      </w:r>
    </w:p>
    <w:p>
      <w:pPr>
        <w:pStyle w:val="BlankOpen"/>
      </w:pPr>
    </w:p>
    <w:p>
      <w:pPr>
        <w:pStyle w:val="nzIndenta"/>
      </w:pPr>
      <w:r>
        <w:tab/>
      </w:r>
      <w:r>
        <w:tab/>
      </w:r>
      <w:r>
        <w:rPr>
          <w:snapToGrid w:val="0"/>
        </w:rPr>
        <w:t>clause</w:t>
      </w:r>
      <w:r>
        <w:t> 21Q(1)(a) or (b)</w:t>
      </w:r>
    </w:p>
    <w:p>
      <w:pPr>
        <w:pStyle w:val="BlankClose"/>
      </w:pPr>
    </w:p>
    <w:p>
      <w:pPr>
        <w:pStyle w:val="nzIndenta"/>
      </w:pPr>
      <w:r>
        <w:tab/>
        <w:t>(b)</w:t>
      </w:r>
      <w:r>
        <w:tab/>
        <w:t>in paragraph (b) delete “proprietors of lots in the scheme.” and insert:</w:t>
      </w:r>
    </w:p>
    <w:p>
      <w:pPr>
        <w:pStyle w:val="BlankOpen"/>
      </w:pPr>
    </w:p>
    <w:p>
      <w:pPr>
        <w:pStyle w:val="nzIndenta"/>
      </w:pPr>
      <w:r>
        <w:tab/>
      </w:r>
      <w:r>
        <w:tab/>
      </w:r>
      <w:r>
        <w:rPr>
          <w:snapToGrid w:val="0"/>
        </w:rPr>
        <w:t>owners of lots in the strata scheme.</w:t>
      </w:r>
    </w:p>
    <w:p>
      <w:pPr>
        <w:pStyle w:val="BlankClose"/>
      </w:pPr>
    </w:p>
    <w:p>
      <w:pPr>
        <w:pStyle w:val="nzSubsection"/>
      </w:pPr>
      <w:r>
        <w:tab/>
        <w:t>(2)</w:t>
      </w:r>
      <w:r>
        <w:tab/>
        <w:t>In section 21R(2) delete “section” (each occurrence) and insert:</w:t>
      </w:r>
    </w:p>
    <w:p>
      <w:pPr>
        <w:pStyle w:val="BlankOpen"/>
      </w:pPr>
    </w:p>
    <w:p>
      <w:pPr>
        <w:pStyle w:val="nzSubsection"/>
      </w:pPr>
      <w:r>
        <w:tab/>
      </w:r>
      <w:r>
        <w:tab/>
      </w:r>
      <w:r>
        <w:rPr>
          <w:snapToGrid w:val="0"/>
        </w:rPr>
        <w:t>clause</w:t>
      </w:r>
    </w:p>
    <w:p>
      <w:pPr>
        <w:pStyle w:val="BlankClose"/>
      </w:pPr>
    </w:p>
    <w:p>
      <w:pPr>
        <w:pStyle w:val="nzPermNoteHeading"/>
      </w:pPr>
      <w:r>
        <w:tab/>
        <w:t>Note:</w:t>
      </w:r>
    </w:p>
    <w:p>
      <w:pPr>
        <w:pStyle w:val="nzPermNoteText"/>
      </w:pPr>
      <w:r>
        <w:tab/>
      </w:r>
      <w:r>
        <w:tab/>
        <w:t>Section 21R (as amended) is redesignated as clause 21R and relocated to Schedule 2A.</w:t>
      </w:r>
    </w:p>
    <w:p>
      <w:pPr>
        <w:pStyle w:val="nzHeading5"/>
      </w:pPr>
      <w:bookmarkStart w:id="515" w:name="_Toc530474282"/>
      <w:bookmarkStart w:id="516" w:name="_Toc530474877"/>
      <w:r>
        <w:rPr>
          <w:rStyle w:val="CharSectno"/>
        </w:rPr>
        <w:t>22</w:t>
      </w:r>
      <w:r>
        <w:t>.</w:t>
      </w:r>
      <w:r>
        <w:tab/>
        <w:t>Section 21S amended</w:t>
      </w:r>
      <w:bookmarkEnd w:id="515"/>
      <w:bookmarkEnd w:id="516"/>
    </w:p>
    <w:p>
      <w:pPr>
        <w:pStyle w:val="nzSubsection"/>
      </w:pPr>
      <w:r>
        <w:tab/>
        <w:t>(1)</w:t>
      </w:r>
      <w:r>
        <w:tab/>
        <w:t>Delete section 21S(1) and insert:</w:t>
      </w:r>
    </w:p>
    <w:p>
      <w:pPr>
        <w:pStyle w:val="BlankOpen"/>
      </w:pPr>
    </w:p>
    <w:p>
      <w:pPr>
        <w:pStyle w:val="nz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nzSubsection"/>
      </w:pPr>
      <w:r>
        <w:tab/>
        <w:t>(1A)</w:t>
      </w:r>
      <w:r>
        <w:tab/>
        <w:t>The notice of resolution cannot be lodged before the end of the period of 60 days after the day on which the resolution was passed.</w:t>
      </w:r>
    </w:p>
    <w:p>
      <w:pPr>
        <w:pStyle w:val="BlankClose"/>
      </w:pPr>
    </w:p>
    <w:p>
      <w:pPr>
        <w:pStyle w:val="nzSubsection"/>
      </w:pPr>
      <w:r>
        <w:tab/>
        <w:t>(2)</w:t>
      </w:r>
      <w:r>
        <w:tab/>
        <w:t>In section 21S(2) delete the passage that begins with “</w:t>
      </w:r>
      <w:r>
        <w:rPr>
          <w:snapToGrid w:val="0"/>
        </w:rPr>
        <w:t xml:space="preserve">company or alternatively —” and ends with “one proprietor.” </w:t>
      </w:r>
      <w:r>
        <w:t>and insert:</w:t>
      </w:r>
    </w:p>
    <w:p>
      <w:pPr>
        <w:pStyle w:val="BlankOpen"/>
      </w:pPr>
    </w:p>
    <w:p>
      <w:pPr>
        <w:pStyle w:val="nzSubsection"/>
      </w:pPr>
      <w:r>
        <w:tab/>
      </w:r>
      <w:r>
        <w:tab/>
      </w:r>
      <w:r>
        <w:rPr>
          <w:snapToGrid w:val="0"/>
        </w:rPr>
        <w:t>company or</w:t>
      </w:r>
      <w:r>
        <w:t>, in the case of an existing small strata scheme, by all of the owners of lots in the scheme.</w:t>
      </w:r>
    </w:p>
    <w:p>
      <w:pPr>
        <w:pStyle w:val="BlankClose"/>
      </w:pPr>
    </w:p>
    <w:p>
      <w:pPr>
        <w:pStyle w:val="nzSubsection"/>
      </w:pPr>
      <w:r>
        <w:tab/>
        <w:t>(3)</w:t>
      </w:r>
      <w:r>
        <w:tab/>
        <w:t>Delete section 21S(3).</w:t>
      </w:r>
    </w:p>
    <w:p>
      <w:pPr>
        <w:pStyle w:val="nzPermNoteHeading"/>
      </w:pPr>
      <w:r>
        <w:tab/>
        <w:t>Note:</w:t>
      </w:r>
    </w:p>
    <w:p>
      <w:pPr>
        <w:pStyle w:val="nzPermNoteText"/>
      </w:pPr>
      <w:r>
        <w:tab/>
      </w:r>
      <w:r>
        <w:tab/>
        <w:t>Section 21S (as amended) is redesignated as clause 21S and relocated to Schedule 2A.</w:t>
      </w:r>
    </w:p>
    <w:p>
      <w:pPr>
        <w:pStyle w:val="nzHeading5"/>
      </w:pPr>
      <w:bookmarkStart w:id="517" w:name="_Toc530474283"/>
      <w:bookmarkStart w:id="518" w:name="_Toc530474878"/>
      <w:r>
        <w:rPr>
          <w:rStyle w:val="CharSectno"/>
        </w:rPr>
        <w:t>23</w:t>
      </w:r>
      <w:r>
        <w:t>.</w:t>
      </w:r>
      <w:r>
        <w:tab/>
        <w:t>Section 21T amended</w:t>
      </w:r>
      <w:bookmarkEnd w:id="517"/>
      <w:bookmarkEnd w:id="518"/>
    </w:p>
    <w:p>
      <w:pPr>
        <w:pStyle w:val="nzSubsection"/>
      </w:pPr>
      <w:r>
        <w:tab/>
        <w:t>(1)</w:t>
      </w:r>
      <w:r>
        <w:tab/>
        <w:t>In section 21T(1):</w:t>
      </w:r>
    </w:p>
    <w:p>
      <w:pPr>
        <w:pStyle w:val="nzIndenta"/>
      </w:pPr>
      <w:r>
        <w:tab/>
        <w:t>(a)</w:t>
      </w:r>
      <w:r>
        <w:tab/>
        <w:t>delete paragraph (a).</w:t>
      </w:r>
    </w:p>
    <w:p>
      <w:pPr>
        <w:pStyle w:val="nzIndenta"/>
      </w:pPr>
      <w:r>
        <w:tab/>
        <w:t>(b)</w:t>
      </w:r>
      <w:r>
        <w:tab/>
        <w:t>in paragraph (b) delete “</w:t>
      </w:r>
      <w:r>
        <w:rPr>
          <w:snapToGrid w:val="0"/>
        </w:rPr>
        <w:t>subsection (2) applies, a sketch plan (</w:t>
      </w:r>
      <w:r>
        <w:t xml:space="preserve">the </w:t>
      </w:r>
      <w:r>
        <w:rPr>
          <w:b/>
          <w:i/>
        </w:rPr>
        <w:t>sketch plan</w:t>
      </w:r>
      <w:r>
        <w:rPr>
          <w:snapToGrid w:val="0"/>
        </w:rPr>
        <w:t>) showing in the prescribed manner” and insert:</w:t>
      </w:r>
    </w:p>
    <w:p>
      <w:pPr>
        <w:pStyle w:val="BlankOpen"/>
      </w:pPr>
    </w:p>
    <w:p>
      <w:pPr>
        <w:pStyle w:val="nzIndenta"/>
      </w:pPr>
      <w:r>
        <w:rPr>
          <w:snapToGrid w:val="0"/>
        </w:rPr>
        <w:tab/>
      </w:r>
      <w:r>
        <w:rPr>
          <w:snapToGrid w:val="0"/>
        </w:rPr>
        <w:tab/>
        <w:t>subclause (2) applies, a plan (</w:t>
      </w:r>
      <w:r>
        <w:t xml:space="preserve">the </w:t>
      </w:r>
      <w:r>
        <w:rPr>
          <w:rStyle w:val="CharDefText"/>
        </w:rPr>
        <w:t>sketch plan</w:t>
      </w:r>
      <w:r>
        <w:rPr>
          <w:snapToGrid w:val="0"/>
        </w:rPr>
        <w:t>) showing in the manner specified in the regulations</w:t>
      </w:r>
    </w:p>
    <w:p>
      <w:pPr>
        <w:pStyle w:val="BlankClose"/>
      </w:pPr>
    </w:p>
    <w:p>
      <w:pPr>
        <w:pStyle w:val="nzIndenta"/>
      </w:pPr>
      <w:r>
        <w:tab/>
        <w:t>(c)</w:t>
      </w:r>
      <w:r>
        <w:tab/>
        <w:t>in paragraph (b)(iv) delete “section” and insert:</w:t>
      </w:r>
    </w:p>
    <w:p>
      <w:pPr>
        <w:pStyle w:val="BlankOpen"/>
      </w:pPr>
    </w:p>
    <w:p>
      <w:pPr>
        <w:pStyle w:val="nzIndenta"/>
      </w:pPr>
      <w:r>
        <w:rPr>
          <w:snapToGrid w:val="0"/>
        </w:rPr>
        <w:tab/>
      </w:r>
      <w:r>
        <w:rPr>
          <w:snapToGrid w:val="0"/>
        </w:rPr>
        <w:tab/>
        <w:t>clause</w:t>
      </w:r>
    </w:p>
    <w:p>
      <w:pPr>
        <w:pStyle w:val="BlankClose"/>
      </w:pPr>
    </w:p>
    <w:p>
      <w:pPr>
        <w:pStyle w:val="nzIndenta"/>
      </w:pPr>
      <w:r>
        <w:tab/>
        <w:t>(d)</w:t>
      </w:r>
      <w:r>
        <w:tab/>
        <w:t>delete paragraphs (c) and (d) and insert:</w:t>
      </w:r>
    </w:p>
    <w:p>
      <w:pPr>
        <w:pStyle w:val="BlankOpen"/>
      </w:pPr>
    </w:p>
    <w:p>
      <w:pPr>
        <w:pStyle w:val="nzIndenta"/>
        <w:rPr>
          <w:snapToGrid w:val="0"/>
        </w:rPr>
      </w:pPr>
      <w:r>
        <w:rPr>
          <w:snapToGrid w:val="0"/>
        </w:rPr>
        <w:tab/>
      </w:r>
      <w:r>
        <w:rPr>
          <w:snapToGrid w:val="0"/>
        </w:rPr>
        <w:tab/>
        <w:t>and</w:t>
      </w:r>
    </w:p>
    <w:p>
      <w:pPr>
        <w:pStyle w:val="nzIndenta"/>
        <w:rPr>
          <w:snapToGrid w:val="0"/>
        </w:rPr>
      </w:pPr>
      <w:r>
        <w:tab/>
        <w:t>(c)</w:t>
      </w:r>
      <w:r>
        <w:tab/>
      </w:r>
      <w:r>
        <w:rPr>
          <w:snapToGrid w:val="0"/>
        </w:rPr>
        <w:t>unless subclause (2) applies, a certificate given by a licensed surveyor in accordance with clause 21U; and</w:t>
      </w:r>
    </w:p>
    <w:p>
      <w:pPr>
        <w:pStyle w:val="nzIndenta"/>
        <w:rPr>
          <w:snapToGrid w:val="0"/>
        </w:rPr>
      </w:pPr>
      <w:r>
        <w:rPr>
          <w:snapToGrid w:val="0"/>
        </w:rPr>
        <w:tab/>
        <w:t>(d)</w:t>
      </w:r>
      <w:r>
        <w:rPr>
          <w:snapToGrid w:val="0"/>
        </w:rPr>
        <w:tab/>
        <w:t>if any unit entitlement is to be changed, an amended schedule of unit entitlements; and</w:t>
      </w:r>
    </w:p>
    <w:p>
      <w:pPr>
        <w:pStyle w:val="BlankClose"/>
      </w:pPr>
    </w:p>
    <w:p>
      <w:pPr>
        <w:pStyle w:val="nzIndenta"/>
      </w:pPr>
      <w:r>
        <w:tab/>
        <w:t>(e)</w:t>
      </w:r>
      <w:r>
        <w:tab/>
        <w:t>in paragraph (e) delete “</w:t>
      </w:r>
      <w:r>
        <w:rPr>
          <w:i/>
        </w:rPr>
        <w:t>pro rata</w:t>
      </w:r>
      <w:r>
        <w:t>”.</w:t>
      </w:r>
    </w:p>
    <w:p>
      <w:pPr>
        <w:pStyle w:val="nzIndenta"/>
      </w:pPr>
      <w:r>
        <w:tab/>
        <w:t>(f)</w:t>
      </w:r>
      <w:r>
        <w:tab/>
        <w:t>in paragraph (e) delete “his” and insert:</w:t>
      </w:r>
    </w:p>
    <w:p>
      <w:pPr>
        <w:pStyle w:val="BlankOpen"/>
      </w:pPr>
    </w:p>
    <w:p>
      <w:pPr>
        <w:pStyle w:val="nzIndenta"/>
      </w:pPr>
      <w:r>
        <w:rPr>
          <w:snapToGrid w:val="0"/>
        </w:rPr>
        <w:tab/>
      </w:r>
      <w:r>
        <w:rPr>
          <w:snapToGrid w:val="0"/>
        </w:rPr>
        <w:tab/>
        <w:t>the person’s</w:t>
      </w:r>
    </w:p>
    <w:p>
      <w:pPr>
        <w:pStyle w:val="BlankClose"/>
      </w:pPr>
    </w:p>
    <w:p>
      <w:pPr>
        <w:pStyle w:val="nzSubsection"/>
      </w:pPr>
      <w:r>
        <w:tab/>
        <w:t>(2)</w:t>
      </w:r>
      <w:r>
        <w:tab/>
        <w:t>In section 21T(2) delete “he” and insert:</w:t>
      </w:r>
    </w:p>
    <w:p>
      <w:pPr>
        <w:pStyle w:val="BlankOpen"/>
      </w:pPr>
    </w:p>
    <w:p>
      <w:pPr>
        <w:pStyle w:val="nzSubsection"/>
      </w:pPr>
      <w:r>
        <w:rPr>
          <w:snapToGrid w:val="0"/>
        </w:rPr>
        <w:tab/>
      </w:r>
      <w:r>
        <w:rPr>
          <w:snapToGrid w:val="0"/>
        </w:rPr>
        <w:tab/>
        <w:t>the Registrar</w:t>
      </w:r>
    </w:p>
    <w:p>
      <w:pPr>
        <w:pStyle w:val="BlankClose"/>
      </w:pPr>
    </w:p>
    <w:p>
      <w:pPr>
        <w:pStyle w:val="nzPermNoteHeading"/>
      </w:pPr>
      <w:r>
        <w:tab/>
        <w:t>Note:</w:t>
      </w:r>
    </w:p>
    <w:p>
      <w:pPr>
        <w:pStyle w:val="nzPermNoteText"/>
      </w:pPr>
      <w:r>
        <w:tab/>
      </w:r>
      <w:r>
        <w:tab/>
        <w:t>Section 21T (as amended) is redesignated as clause 21T and relocated to Schedule 2A.</w:t>
      </w:r>
    </w:p>
    <w:p>
      <w:pPr>
        <w:pStyle w:val="nzHeading5"/>
      </w:pPr>
      <w:bookmarkStart w:id="519" w:name="_Toc530474284"/>
      <w:bookmarkStart w:id="520" w:name="_Toc530474879"/>
      <w:r>
        <w:rPr>
          <w:rStyle w:val="CharSectno"/>
        </w:rPr>
        <w:t>24</w:t>
      </w:r>
      <w:r>
        <w:t>.</w:t>
      </w:r>
      <w:r>
        <w:tab/>
        <w:t>Section 21U amended</w:t>
      </w:r>
      <w:bookmarkEnd w:id="519"/>
      <w:bookmarkEnd w:id="520"/>
    </w:p>
    <w:p>
      <w:pPr>
        <w:pStyle w:val="nzSubsection"/>
      </w:pPr>
      <w:r>
        <w:tab/>
        <w:t>(1)</w:t>
      </w:r>
      <w:r>
        <w:tab/>
        <w:t>Delete section 21U(1) and insert:</w:t>
      </w:r>
    </w:p>
    <w:p>
      <w:pPr>
        <w:pStyle w:val="BlankOpen"/>
      </w:pPr>
    </w:p>
    <w:p>
      <w:pPr>
        <w:pStyle w:val="nzSubsection"/>
        <w:rPr>
          <w:snapToGrid w:val="0"/>
        </w:rPr>
      </w:pPr>
      <w:r>
        <w:rPr>
          <w:snapToGrid w:val="0"/>
        </w:rPr>
        <w:tab/>
        <w:t>(1)</w:t>
      </w:r>
      <w:r>
        <w:rPr>
          <w:snapToGrid w:val="0"/>
        </w:rPr>
        <w:tab/>
        <w:t>The certificate of a licensed surveyor referred to in clause 21T(1)(c) is to comply with —</w:t>
      </w:r>
    </w:p>
    <w:p>
      <w:pPr>
        <w:pStyle w:val="nzIndenta"/>
        <w:rPr>
          <w:snapToGrid w:val="0"/>
        </w:rPr>
      </w:pPr>
      <w:r>
        <w:rPr>
          <w:snapToGrid w:val="0"/>
        </w:rPr>
        <w:tab/>
        <w:t>(a)</w:t>
      </w:r>
      <w:r>
        <w:rPr>
          <w:snapToGrid w:val="0"/>
        </w:rPr>
        <w:tab/>
        <w:t>this clause; and</w:t>
      </w:r>
    </w:p>
    <w:p>
      <w:pPr>
        <w:pStyle w:val="nzIndenta"/>
      </w:pPr>
      <w:r>
        <w:rPr>
          <w:snapToGrid w:val="0"/>
        </w:rPr>
        <w:tab/>
        <w:t>(b)</w:t>
      </w:r>
      <w:r>
        <w:rPr>
          <w:snapToGrid w:val="0"/>
        </w:rPr>
        <w:tab/>
      </w:r>
      <w:r>
        <w:t>the regulations and Transfer of Land Act requirements for certification of amendments of scheme plans.</w:t>
      </w:r>
    </w:p>
    <w:p>
      <w:pPr>
        <w:pStyle w:val="BlankClose"/>
      </w:pPr>
    </w:p>
    <w:p>
      <w:pPr>
        <w:pStyle w:val="nzSubsection"/>
      </w:pPr>
      <w:r>
        <w:tab/>
        <w:t>(2)</w:t>
      </w:r>
      <w:r>
        <w:tab/>
        <w:t>In section 21U(2):</w:t>
      </w:r>
    </w:p>
    <w:p>
      <w:pPr>
        <w:pStyle w:val="nzIndenta"/>
      </w:pPr>
      <w:r>
        <w:tab/>
        <w:t>(a)</w:t>
      </w:r>
      <w:r>
        <w:tab/>
        <w:t>in paragraph (b)(ii) delete “proprietors of lots in the” and insert:</w:t>
      </w:r>
    </w:p>
    <w:p>
      <w:pPr>
        <w:pStyle w:val="BlankOpen"/>
      </w:pPr>
    </w:p>
    <w:p>
      <w:pPr>
        <w:pStyle w:val="nzIndenta"/>
      </w:pPr>
      <w:r>
        <w:rPr>
          <w:snapToGrid w:val="0"/>
        </w:rPr>
        <w:tab/>
      </w:r>
      <w:r>
        <w:rPr>
          <w:snapToGrid w:val="0"/>
        </w:rPr>
        <w:tab/>
        <w:t>owners of lots in the strata</w:t>
      </w:r>
    </w:p>
    <w:p>
      <w:pPr>
        <w:pStyle w:val="BlankClose"/>
      </w:pPr>
    </w:p>
    <w:p>
      <w:pPr>
        <w:pStyle w:val="nzIndenta"/>
      </w:pPr>
      <w:r>
        <w:tab/>
        <w:t>(b)</w:t>
      </w:r>
      <w:r>
        <w:tab/>
        <w:t>delete paragraph (d)(ii) and insert:</w:t>
      </w:r>
    </w:p>
    <w:p>
      <w:pPr>
        <w:pStyle w:val="BlankOpen"/>
      </w:pPr>
    </w:p>
    <w:p>
      <w:pPr>
        <w:pStyle w:val="nzIndenti"/>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BlankClose"/>
      </w:pPr>
    </w:p>
    <w:p>
      <w:pPr>
        <w:pStyle w:val="nzSubsection"/>
      </w:pPr>
      <w:r>
        <w:tab/>
        <w:t>(3)</w:t>
      </w:r>
      <w:r>
        <w:tab/>
        <w:t>In section 21U(3):</w:t>
      </w:r>
    </w:p>
    <w:p>
      <w:pPr>
        <w:pStyle w:val="nzIndenta"/>
      </w:pPr>
      <w:r>
        <w:tab/>
        <w:t>(a)</w:t>
      </w:r>
      <w:r>
        <w:tab/>
        <w:t>delete “subsection” and insert:</w:t>
      </w:r>
    </w:p>
    <w:p>
      <w:pPr>
        <w:pStyle w:val="BlankOpen"/>
      </w:pPr>
    </w:p>
    <w:p>
      <w:pPr>
        <w:pStyle w:val="nzIndenta"/>
      </w:pPr>
      <w:r>
        <w:rPr>
          <w:snapToGrid w:val="0"/>
        </w:rPr>
        <w:tab/>
      </w:r>
      <w:r>
        <w:rPr>
          <w:snapToGrid w:val="0"/>
        </w:rPr>
        <w:tab/>
        <w:t>subclause</w:t>
      </w:r>
    </w:p>
    <w:p>
      <w:pPr>
        <w:pStyle w:val="BlankClose"/>
      </w:pPr>
    </w:p>
    <w:p>
      <w:pPr>
        <w:pStyle w:val="nzIndenta"/>
      </w:pPr>
      <w:r>
        <w:tab/>
        <w:t>(b)</w:t>
      </w:r>
      <w:r>
        <w:tab/>
        <w:t>in paragraph (b) delete “section” and insert:</w:t>
      </w:r>
    </w:p>
    <w:p>
      <w:pPr>
        <w:pStyle w:val="BlankOpen"/>
      </w:pPr>
    </w:p>
    <w:p>
      <w:pPr>
        <w:pStyle w:val="nzIndenta"/>
      </w:pPr>
      <w:r>
        <w:rPr>
          <w:snapToGrid w:val="0"/>
        </w:rPr>
        <w:tab/>
      </w:r>
      <w:r>
        <w:rPr>
          <w:snapToGrid w:val="0"/>
        </w:rPr>
        <w:tab/>
        <w:t>clause</w:t>
      </w:r>
    </w:p>
    <w:p>
      <w:pPr>
        <w:pStyle w:val="BlankClose"/>
      </w:pPr>
    </w:p>
    <w:p>
      <w:pPr>
        <w:pStyle w:val="nzSubsection"/>
      </w:pPr>
      <w:r>
        <w:tab/>
        <w:t>(4)</w:t>
      </w:r>
      <w:r>
        <w:tab/>
        <w:t>In section 21U(4)(a) delete “subsection” and insert:</w:t>
      </w:r>
    </w:p>
    <w:p>
      <w:pPr>
        <w:pStyle w:val="BlankOpen"/>
      </w:pPr>
    </w:p>
    <w:p>
      <w:pPr>
        <w:pStyle w:val="nzSubsection"/>
      </w:pPr>
      <w:r>
        <w:rPr>
          <w:snapToGrid w:val="0"/>
        </w:rPr>
        <w:tab/>
      </w:r>
      <w:r>
        <w:rPr>
          <w:snapToGrid w:val="0"/>
        </w:rPr>
        <w:tab/>
        <w:t>subclause</w:t>
      </w:r>
    </w:p>
    <w:p>
      <w:pPr>
        <w:pStyle w:val="BlankClose"/>
      </w:pPr>
    </w:p>
    <w:p>
      <w:pPr>
        <w:pStyle w:val="nzSubsection"/>
      </w:pPr>
      <w:r>
        <w:tab/>
        <w:t>(5)</w:t>
      </w:r>
      <w:r>
        <w:tab/>
        <w:t>In section 21U(5) delete “</w:t>
      </w:r>
      <w:r>
        <w:rPr>
          <w:snapToGrid w:val="0"/>
        </w:rPr>
        <w:t>subsection (3) is to relate to matters prescribed for the purposes of subsection</w:t>
      </w:r>
      <w:r>
        <w:t>” and insert:</w:t>
      </w:r>
    </w:p>
    <w:p>
      <w:pPr>
        <w:pStyle w:val="BlankOpen"/>
      </w:pPr>
    </w:p>
    <w:p>
      <w:pPr>
        <w:pStyle w:val="nzSubsection"/>
      </w:pPr>
      <w:r>
        <w:rPr>
          <w:snapToGrid w:val="0"/>
        </w:rPr>
        <w:tab/>
      </w:r>
      <w:r>
        <w:rPr>
          <w:snapToGrid w:val="0"/>
        </w:rPr>
        <w:tab/>
        <w:t>subclause (3) is to relate to matters prescribed under subclause</w:t>
      </w:r>
    </w:p>
    <w:p>
      <w:pPr>
        <w:pStyle w:val="BlankClose"/>
      </w:pPr>
    </w:p>
    <w:p>
      <w:pPr>
        <w:pStyle w:val="nzPermNoteHeading"/>
      </w:pPr>
      <w:r>
        <w:tab/>
        <w:t>Note:</w:t>
      </w:r>
    </w:p>
    <w:p>
      <w:pPr>
        <w:pStyle w:val="nzPermNoteText"/>
      </w:pPr>
      <w:r>
        <w:tab/>
      </w:r>
      <w:r>
        <w:tab/>
        <w:t>Section 21U (as amended) is redesignated as clause 21U and relocated to Schedule 2A.</w:t>
      </w:r>
    </w:p>
    <w:p>
      <w:pPr>
        <w:pStyle w:val="nzHeading5"/>
      </w:pPr>
      <w:bookmarkStart w:id="521" w:name="_Toc530474285"/>
      <w:bookmarkStart w:id="522" w:name="_Toc530474880"/>
      <w:r>
        <w:rPr>
          <w:rStyle w:val="CharSectno"/>
        </w:rPr>
        <w:t>25</w:t>
      </w:r>
      <w:r>
        <w:t>.</w:t>
      </w:r>
      <w:r>
        <w:tab/>
        <w:t>Section 21V amended</w:t>
      </w:r>
      <w:bookmarkEnd w:id="521"/>
      <w:bookmarkEnd w:id="522"/>
    </w:p>
    <w:p>
      <w:pPr>
        <w:pStyle w:val="nzSubsection"/>
      </w:pPr>
      <w:r>
        <w:tab/>
        <w:t>(1)</w:t>
      </w:r>
      <w:r>
        <w:tab/>
        <w:t>In section 21V(1) delete “subsection (2),” and insert:</w:t>
      </w:r>
    </w:p>
    <w:p>
      <w:pPr>
        <w:pStyle w:val="BlankOpen"/>
      </w:pPr>
    </w:p>
    <w:p>
      <w:pPr>
        <w:pStyle w:val="nzSubsection"/>
      </w:pPr>
      <w:r>
        <w:rPr>
          <w:snapToGrid w:val="0"/>
        </w:rPr>
        <w:tab/>
      </w:r>
      <w:r>
        <w:rPr>
          <w:snapToGrid w:val="0"/>
        </w:rPr>
        <w:tab/>
        <w:t>subclause (2A),</w:t>
      </w:r>
    </w:p>
    <w:p>
      <w:pPr>
        <w:pStyle w:val="BlankClose"/>
      </w:pPr>
    </w:p>
    <w:p>
      <w:pPr>
        <w:pStyle w:val="nzSubsection"/>
      </w:pPr>
      <w:r>
        <w:tab/>
        <w:t>(2)</w:t>
      </w:r>
      <w:r>
        <w:tab/>
        <w:t>Delete section 21V(2)(c) and the words following that paragraph and insert:</w:t>
      </w:r>
    </w:p>
    <w:p>
      <w:pPr>
        <w:pStyle w:val="BlankOpen"/>
      </w:pPr>
    </w:p>
    <w:p>
      <w:pPr>
        <w:pStyle w:val="nzIndenta"/>
        <w:rPr>
          <w:snapToGrid w:val="0"/>
        </w:rPr>
      </w:pPr>
      <w:r>
        <w:rPr>
          <w:snapToGrid w:val="0"/>
        </w:rPr>
        <w:tab/>
        <w:t>(c)</w:t>
      </w:r>
      <w:r>
        <w:rPr>
          <w:snapToGrid w:val="0"/>
        </w:rPr>
        <w:tab/>
        <w:t>in which any certificate required by clause 21T(1)(e) is set out.</w:t>
      </w:r>
    </w:p>
    <w:p>
      <w:pPr>
        <w:pStyle w:val="BlankClose"/>
      </w:pPr>
    </w:p>
    <w:p>
      <w:pPr>
        <w:pStyle w:val="nzSubsection"/>
      </w:pPr>
      <w:r>
        <w:tab/>
        <w:t>(3)</w:t>
      </w:r>
      <w:r>
        <w:tab/>
        <w:t>After section 21V(2) insert:</w:t>
      </w:r>
    </w:p>
    <w:p>
      <w:pPr>
        <w:pStyle w:val="BlankOpen"/>
      </w:pPr>
    </w:p>
    <w:p>
      <w:pPr>
        <w:pStyle w:val="nz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BlankClose"/>
      </w:pPr>
    </w:p>
    <w:p>
      <w:pPr>
        <w:pStyle w:val="nzPermNoteHeading"/>
      </w:pPr>
      <w:r>
        <w:tab/>
        <w:t>Note:</w:t>
      </w:r>
    </w:p>
    <w:p>
      <w:pPr>
        <w:pStyle w:val="nzPermNoteText"/>
      </w:pPr>
      <w:r>
        <w:tab/>
      </w:r>
      <w:r>
        <w:tab/>
        <w:t>Section 21V (as amended) is redesignated as clause 21V and relocated to Schedule 2A.</w:t>
      </w:r>
    </w:p>
    <w:p>
      <w:pPr>
        <w:pStyle w:val="nzHeading5"/>
      </w:pPr>
      <w:bookmarkStart w:id="523" w:name="_Toc530474286"/>
      <w:bookmarkStart w:id="524" w:name="_Toc530474881"/>
      <w:r>
        <w:rPr>
          <w:rStyle w:val="CharSectno"/>
        </w:rPr>
        <w:t>26</w:t>
      </w:r>
      <w:r>
        <w:t>.</w:t>
      </w:r>
      <w:r>
        <w:tab/>
        <w:t>Section 21W amended</w:t>
      </w:r>
      <w:bookmarkEnd w:id="523"/>
      <w:bookmarkEnd w:id="524"/>
    </w:p>
    <w:p>
      <w:pPr>
        <w:pStyle w:val="nzSubsection"/>
      </w:pPr>
      <w:r>
        <w:tab/>
        <w:t>(1)</w:t>
      </w:r>
      <w:r>
        <w:tab/>
        <w:t>In section 21W(1):</w:t>
      </w:r>
    </w:p>
    <w:p>
      <w:pPr>
        <w:pStyle w:val="nzIndenta"/>
      </w:pPr>
      <w:r>
        <w:tab/>
        <w:t>(a)</w:t>
      </w:r>
      <w:r>
        <w:tab/>
        <w:t>delete “section </w:t>
      </w:r>
      <w:r>
        <w:rPr>
          <w:snapToGrid w:val="0"/>
        </w:rPr>
        <w:t>21T(1)(b)</w:t>
      </w:r>
      <w:r>
        <w:t>” and insert:</w:t>
      </w:r>
    </w:p>
    <w:p>
      <w:pPr>
        <w:pStyle w:val="BlankOpen"/>
      </w:pPr>
    </w:p>
    <w:p>
      <w:pPr>
        <w:pStyle w:val="nzIndenta"/>
      </w:pPr>
      <w:r>
        <w:rPr>
          <w:snapToGrid w:val="0"/>
        </w:rPr>
        <w:tab/>
      </w:r>
      <w:r>
        <w:rPr>
          <w:snapToGrid w:val="0"/>
        </w:rPr>
        <w:tab/>
        <w:t>clause 21T(1)(b)</w:t>
      </w:r>
    </w:p>
    <w:p>
      <w:pPr>
        <w:pStyle w:val="BlankClose"/>
      </w:pPr>
    </w:p>
    <w:p>
      <w:pPr>
        <w:pStyle w:val="nzIndenta"/>
      </w:pPr>
      <w:r>
        <w:tab/>
        <w:t>(b)</w:t>
      </w:r>
      <w:r>
        <w:tab/>
        <w:t>delete “under section 5D” and insert:</w:t>
      </w:r>
    </w:p>
    <w:p>
      <w:pPr>
        <w:pStyle w:val="BlankOpen"/>
      </w:pPr>
    </w:p>
    <w:p>
      <w:pPr>
        <w:pStyle w:val="nzIndenta"/>
      </w:pPr>
      <w:r>
        <w:rPr>
          <w:snapToGrid w:val="0"/>
        </w:rPr>
        <w:tab/>
      </w:r>
      <w:r>
        <w:rPr>
          <w:snapToGrid w:val="0"/>
        </w:rPr>
        <w:tab/>
        <w:t>as a short form easement or restrictive covenant</w:t>
      </w:r>
    </w:p>
    <w:p>
      <w:pPr>
        <w:pStyle w:val="BlankClose"/>
      </w:pPr>
    </w:p>
    <w:p>
      <w:pPr>
        <w:pStyle w:val="nzSubsection"/>
      </w:pPr>
      <w:r>
        <w:tab/>
        <w:t>(2)</w:t>
      </w:r>
      <w:r>
        <w:tab/>
        <w:t>Delete section 21W(2) and (3) and insert:</w:t>
      </w:r>
    </w:p>
    <w:p>
      <w:pPr>
        <w:pStyle w:val="BlankOpen"/>
      </w:pPr>
    </w:p>
    <w:p>
      <w:pPr>
        <w:pStyle w:val="nzSubsection"/>
        <w:rPr>
          <w:snapToGrid w:val="0"/>
        </w:rPr>
      </w:pPr>
      <w:r>
        <w:rPr>
          <w:snapToGrid w:val="0"/>
        </w:rPr>
        <w:tab/>
        <w:t>(2)</w:t>
      </w:r>
      <w:r>
        <w:rPr>
          <w:snapToGrid w:val="0"/>
        </w:rPr>
        <w:tab/>
        <w:t>Section 33 also applies to the discharge of an easement that is created under subclause (1).</w:t>
      </w:r>
    </w:p>
    <w:p>
      <w:pPr>
        <w:pStyle w:val="nzSubsection"/>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nzIndenta"/>
        <w:rPr>
          <w:snapToGrid w:val="0"/>
        </w:rPr>
      </w:pPr>
      <w:r>
        <w:rPr>
          <w:snapToGrid w:val="0"/>
        </w:rPr>
        <w:tab/>
        <w:t>(a)</w:t>
      </w:r>
      <w:r>
        <w:rPr>
          <w:snapToGrid w:val="0"/>
        </w:rPr>
        <w:tab/>
        <w:t>any easement provided for is created on the registration of the notice of resolution; and</w:t>
      </w:r>
    </w:p>
    <w:p>
      <w:pPr>
        <w:pStyle w:val="nz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BlankClose"/>
      </w:pPr>
    </w:p>
    <w:p>
      <w:pPr>
        <w:pStyle w:val="nzPermNoteHeading"/>
      </w:pPr>
      <w:r>
        <w:tab/>
        <w:t>Note:</w:t>
      </w:r>
    </w:p>
    <w:p>
      <w:pPr>
        <w:pStyle w:val="nzPermNoteText"/>
      </w:pPr>
      <w:r>
        <w:tab/>
      </w:r>
      <w:r>
        <w:tab/>
        <w:t>Section 21W (as amended) is redesignated as clause 21W and relocated to Schedule 2A.</w:t>
      </w:r>
    </w:p>
    <w:p>
      <w:pPr>
        <w:pStyle w:val="nzHeading5"/>
      </w:pPr>
      <w:bookmarkStart w:id="525" w:name="_Toc530474287"/>
      <w:bookmarkStart w:id="526" w:name="_Toc530474882"/>
      <w:r>
        <w:rPr>
          <w:rStyle w:val="CharSectno"/>
        </w:rPr>
        <w:t>27</w:t>
      </w:r>
      <w:r>
        <w:t>.</w:t>
      </w:r>
      <w:r>
        <w:tab/>
        <w:t>Section 21Y amended</w:t>
      </w:r>
      <w:bookmarkEnd w:id="525"/>
      <w:bookmarkEnd w:id="526"/>
    </w:p>
    <w:p>
      <w:pPr>
        <w:pStyle w:val="nzSubsection"/>
      </w:pPr>
      <w:r>
        <w:tab/>
        <w:t>(1)</w:t>
      </w:r>
      <w:r>
        <w:tab/>
        <w:t>In section 21Y(1):</w:t>
      </w:r>
    </w:p>
    <w:p>
      <w:pPr>
        <w:pStyle w:val="nzIndenta"/>
      </w:pPr>
      <w:r>
        <w:tab/>
        <w:t>(a)</w:t>
      </w:r>
      <w:r>
        <w:tab/>
        <w:t>delete paragraphs (a) and (b) and insert:</w:t>
      </w:r>
    </w:p>
    <w:p>
      <w:pPr>
        <w:pStyle w:val="BlankOpen"/>
      </w:pPr>
    </w:p>
    <w:p>
      <w:pPr>
        <w:pStyle w:val="nz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nzIndenta"/>
        <w:rPr>
          <w:snapToGrid w:val="0"/>
        </w:rPr>
      </w:pPr>
      <w:r>
        <w:rPr>
          <w:snapToGrid w:val="0"/>
        </w:rPr>
        <w:tab/>
        <w:t>(b)</w:t>
      </w:r>
      <w:r>
        <w:rPr>
          <w:snapToGrid w:val="0"/>
        </w:rPr>
        <w:tab/>
        <w:t>the creation of a short form easement or restrictive covenant under section 33 as read with clause 21W,</w:t>
      </w:r>
    </w:p>
    <w:p>
      <w:pPr>
        <w:pStyle w:val="BlankClose"/>
      </w:pPr>
    </w:p>
    <w:p>
      <w:pPr>
        <w:pStyle w:val="nzIndenta"/>
      </w:pPr>
      <w:r>
        <w:tab/>
        <w:t>(b)</w:t>
      </w:r>
      <w:r>
        <w:tab/>
        <w:t>delete “subsections” and insert:</w:t>
      </w:r>
    </w:p>
    <w:p>
      <w:pPr>
        <w:pStyle w:val="BlankOpen"/>
      </w:pPr>
    </w:p>
    <w:p>
      <w:pPr>
        <w:pStyle w:val="nzIndenta"/>
      </w:pPr>
      <w:r>
        <w:rPr>
          <w:snapToGrid w:val="0"/>
        </w:rPr>
        <w:tab/>
      </w:r>
      <w:r>
        <w:rPr>
          <w:snapToGrid w:val="0"/>
        </w:rPr>
        <w:tab/>
        <w:t>subclauses</w:t>
      </w:r>
    </w:p>
    <w:p>
      <w:pPr>
        <w:pStyle w:val="BlankClose"/>
      </w:pPr>
    </w:p>
    <w:p>
      <w:pPr>
        <w:pStyle w:val="nzSubsection"/>
      </w:pPr>
      <w:r>
        <w:tab/>
        <w:t>(2)</w:t>
      </w:r>
      <w:r>
        <w:tab/>
        <w:t>Delete section 21Y(2)(b) and insert:</w:t>
      </w:r>
    </w:p>
    <w:p>
      <w:pPr>
        <w:pStyle w:val="BlankOpen"/>
      </w:pPr>
    </w:p>
    <w:p>
      <w:pPr>
        <w:pStyle w:val="nzIndenta"/>
      </w:pPr>
      <w:r>
        <w:rPr>
          <w:snapToGrid w:val="0"/>
        </w:rPr>
        <w:tab/>
        <w:t>(b)</w:t>
      </w:r>
      <w:r>
        <w:rPr>
          <w:snapToGrid w:val="0"/>
        </w:rPr>
        <w:tab/>
        <w:t>exclusive use by</w:t>
      </w:r>
      <w:r>
        <w:rPr>
          <w:snapToGrid w:val="0"/>
        </w:rPr>
        <w:noBreakHyphen/>
        <w:t>laws,</w:t>
      </w:r>
    </w:p>
    <w:p>
      <w:pPr>
        <w:pStyle w:val="BlankClose"/>
      </w:pPr>
    </w:p>
    <w:p>
      <w:pPr>
        <w:pStyle w:val="nzSubsection"/>
      </w:pPr>
      <w:r>
        <w:tab/>
        <w:t>(3)</w:t>
      </w:r>
      <w:r>
        <w:tab/>
        <w:t>In section 21Y(4) delete “proprietors” and insert:</w:t>
      </w:r>
    </w:p>
    <w:p>
      <w:pPr>
        <w:pStyle w:val="BlankOpen"/>
      </w:pPr>
    </w:p>
    <w:p>
      <w:pPr>
        <w:pStyle w:val="nzSubsection"/>
      </w:pPr>
      <w:r>
        <w:rPr>
          <w:snapToGrid w:val="0"/>
        </w:rPr>
        <w:tab/>
      </w:r>
      <w:r>
        <w:rPr>
          <w:snapToGrid w:val="0"/>
        </w:rPr>
        <w:tab/>
        <w:t>owners of the lots</w:t>
      </w:r>
    </w:p>
    <w:p>
      <w:pPr>
        <w:pStyle w:val="BlankClose"/>
      </w:pPr>
    </w:p>
    <w:p>
      <w:pPr>
        <w:pStyle w:val="nzSubsection"/>
      </w:pPr>
      <w:r>
        <w:tab/>
        <w:t>(4)</w:t>
      </w:r>
      <w:r>
        <w:tab/>
        <w:t>In section 21Y(5) delete “a proprietor” and insert:</w:t>
      </w:r>
    </w:p>
    <w:p>
      <w:pPr>
        <w:pStyle w:val="BlankOpen"/>
      </w:pPr>
    </w:p>
    <w:p>
      <w:pPr>
        <w:pStyle w:val="nzSubsection"/>
      </w:pPr>
      <w:r>
        <w:rPr>
          <w:snapToGrid w:val="0"/>
        </w:rPr>
        <w:tab/>
      </w:r>
      <w:r>
        <w:rPr>
          <w:snapToGrid w:val="0"/>
        </w:rPr>
        <w:tab/>
        <w:t>the owner of a lot</w:t>
      </w:r>
    </w:p>
    <w:p>
      <w:pPr>
        <w:pStyle w:val="BlankClose"/>
      </w:pPr>
    </w:p>
    <w:p>
      <w:pPr>
        <w:pStyle w:val="nzSubsection"/>
      </w:pPr>
      <w:r>
        <w:tab/>
        <w:t>(5)</w:t>
      </w:r>
      <w:r>
        <w:tab/>
        <w:t>In section 21Y(5) delete “his” and insert:</w:t>
      </w:r>
    </w:p>
    <w:p>
      <w:pPr>
        <w:pStyle w:val="BlankOpen"/>
      </w:pPr>
    </w:p>
    <w:p>
      <w:pPr>
        <w:pStyle w:val="nzSubsection"/>
      </w:pPr>
      <w:r>
        <w:rPr>
          <w:snapToGrid w:val="0"/>
        </w:rPr>
        <w:tab/>
      </w:r>
      <w:r>
        <w:rPr>
          <w:snapToGrid w:val="0"/>
        </w:rPr>
        <w:tab/>
        <w:t>the</w:t>
      </w:r>
    </w:p>
    <w:p>
      <w:pPr>
        <w:pStyle w:val="BlankClose"/>
      </w:pPr>
    </w:p>
    <w:p>
      <w:pPr>
        <w:pStyle w:val="nzSubsection"/>
      </w:pPr>
      <w:r>
        <w:tab/>
        <w:t>(6)</w:t>
      </w:r>
      <w:r>
        <w:tab/>
        <w:t>Delete section 21Y(6) and insert:</w:t>
      </w:r>
    </w:p>
    <w:p>
      <w:pPr>
        <w:pStyle w:val="BlankOpen"/>
      </w:pPr>
    </w:p>
    <w:p>
      <w:pPr>
        <w:pStyle w:val="nz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BlankClose"/>
      </w:pPr>
    </w:p>
    <w:p>
      <w:pPr>
        <w:pStyle w:val="nzPermNoteHeading"/>
      </w:pPr>
      <w:r>
        <w:tab/>
        <w:t>Note:</w:t>
      </w:r>
    </w:p>
    <w:p>
      <w:pPr>
        <w:pStyle w:val="nzPermNoteText"/>
      </w:pPr>
      <w:r>
        <w:tab/>
      </w:r>
      <w:r>
        <w:tab/>
        <w:t>Section 21Y (as amended) is redesignated as clause 21Y and relocated to Schedule 2A.</w:t>
      </w:r>
    </w:p>
    <w:p>
      <w:pPr>
        <w:pStyle w:val="nzHeading5"/>
      </w:pPr>
      <w:bookmarkStart w:id="527" w:name="_Toc530474288"/>
      <w:bookmarkStart w:id="528" w:name="_Toc530474883"/>
      <w:r>
        <w:rPr>
          <w:rStyle w:val="CharSectno"/>
        </w:rPr>
        <w:t>28</w:t>
      </w:r>
      <w:r>
        <w:t>.</w:t>
      </w:r>
      <w:r>
        <w:tab/>
        <w:t>Section 21Z amended</w:t>
      </w:r>
      <w:bookmarkEnd w:id="527"/>
      <w:bookmarkEnd w:id="528"/>
    </w:p>
    <w:p>
      <w:pPr>
        <w:pStyle w:val="nzSubsection"/>
      </w:pPr>
      <w:r>
        <w:tab/>
        <w:t>(1)</w:t>
      </w:r>
      <w:r>
        <w:tab/>
        <w:t>Delete section 21Z(1)(a) and insert:</w:t>
      </w:r>
    </w:p>
    <w:p>
      <w:pPr>
        <w:pStyle w:val="BlankOpen"/>
      </w:pPr>
    </w:p>
    <w:p>
      <w:pPr>
        <w:pStyle w:val="nzIndenta"/>
        <w:rPr>
          <w:snapToGrid w:val="0"/>
        </w:rPr>
      </w:pPr>
      <w:r>
        <w:rPr>
          <w:snapToGrid w:val="0"/>
        </w:rPr>
        <w:tab/>
        <w:t>(a)</w:t>
      </w:r>
      <w:r>
        <w:rPr>
          <w:snapToGrid w:val="0"/>
        </w:rPr>
        <w:tab/>
        <w:t>the strata plan in the manner specified in the regulations to give effect to clauses 21V, 21W and 21Y; and</w:t>
      </w:r>
    </w:p>
    <w:p>
      <w:pPr>
        <w:pStyle w:val="BlankClose"/>
      </w:pPr>
    </w:p>
    <w:p>
      <w:pPr>
        <w:pStyle w:val="nzSubsection"/>
      </w:pPr>
      <w:r>
        <w:tab/>
        <w:t>(2)</w:t>
      </w:r>
      <w:r>
        <w:tab/>
        <w:t>In section 21Z(2) delete “subsection” and insert:</w:t>
      </w:r>
    </w:p>
    <w:p>
      <w:pPr>
        <w:pStyle w:val="BlankOpen"/>
      </w:pPr>
    </w:p>
    <w:p>
      <w:pPr>
        <w:pStyle w:val="nzSubsection"/>
      </w:pPr>
      <w:r>
        <w:rPr>
          <w:snapToGrid w:val="0"/>
        </w:rPr>
        <w:tab/>
      </w:r>
      <w:r>
        <w:rPr>
          <w:snapToGrid w:val="0"/>
        </w:rPr>
        <w:tab/>
        <w:t>subclause</w:t>
      </w:r>
    </w:p>
    <w:p>
      <w:pPr>
        <w:pStyle w:val="BlankClose"/>
      </w:pPr>
    </w:p>
    <w:p>
      <w:pPr>
        <w:pStyle w:val="nzPermNoteHeading"/>
      </w:pPr>
      <w:r>
        <w:tab/>
        <w:t>Note:</w:t>
      </w:r>
    </w:p>
    <w:p>
      <w:pPr>
        <w:pStyle w:val="nzPermNoteText"/>
      </w:pPr>
      <w:r>
        <w:tab/>
      </w:r>
      <w:r>
        <w:tab/>
        <w:t>Section 21Z (as amended) is redesignated as clause 21Z and relocated to Schedule 2A.</w:t>
      </w:r>
    </w:p>
    <w:p>
      <w:pPr>
        <w:pStyle w:val="nzHeading5"/>
      </w:pPr>
      <w:bookmarkStart w:id="529" w:name="_Toc530474289"/>
      <w:bookmarkStart w:id="530" w:name="_Toc530474884"/>
      <w:r>
        <w:rPr>
          <w:rStyle w:val="CharSectno"/>
        </w:rPr>
        <w:t>29</w:t>
      </w:r>
      <w:r>
        <w:t>.</w:t>
      </w:r>
      <w:r>
        <w:tab/>
        <w:t>Section 24 amended</w:t>
      </w:r>
      <w:bookmarkEnd w:id="529"/>
      <w:bookmarkEnd w:id="530"/>
    </w:p>
    <w:p>
      <w:pPr>
        <w:pStyle w:val="nzSubsection"/>
      </w:pPr>
      <w:r>
        <w:tab/>
        <w:t>(1)</w:t>
      </w:r>
      <w:r>
        <w:tab/>
        <w:t>In section 24(2):</w:t>
      </w:r>
    </w:p>
    <w:p>
      <w:pPr>
        <w:pStyle w:val="nzIndenta"/>
      </w:pPr>
      <w:r>
        <w:tab/>
        <w:t>(a)</w:t>
      </w:r>
      <w:r>
        <w:tab/>
        <w:t xml:space="preserve">delete “Upon </w:t>
      </w:r>
      <w:r>
        <w:rPr>
          <w:snapToGrid w:val="0"/>
        </w:rPr>
        <w:t>or at any time after</w:t>
      </w:r>
      <w:r>
        <w:t>” and insert:</w:t>
      </w:r>
    </w:p>
    <w:p>
      <w:pPr>
        <w:pStyle w:val="BlankOpen"/>
      </w:pPr>
    </w:p>
    <w:p>
      <w:pPr>
        <w:pStyle w:val="nzIndenta"/>
        <w:rPr>
          <w:snapToGrid w:val="0"/>
        </w:rPr>
      </w:pPr>
      <w:r>
        <w:tab/>
      </w:r>
      <w:r>
        <w:tab/>
        <w:t xml:space="preserve">On, </w:t>
      </w:r>
      <w:r>
        <w:rPr>
          <w:snapToGrid w:val="0"/>
        </w:rPr>
        <w:t>or at any time after,</w:t>
      </w:r>
    </w:p>
    <w:p>
      <w:pPr>
        <w:pStyle w:val="BlankClose"/>
      </w:pPr>
    </w:p>
    <w:p>
      <w:pPr>
        <w:pStyle w:val="nzIndenta"/>
      </w:pPr>
      <w:r>
        <w:tab/>
        <w:t>(b)</w:t>
      </w:r>
      <w:r>
        <w:tab/>
        <w:t>in paragraph (a) delete “in force” and insert:</w:t>
      </w:r>
    </w:p>
    <w:p>
      <w:pPr>
        <w:pStyle w:val="BlankOpen"/>
      </w:pPr>
    </w:p>
    <w:p>
      <w:pPr>
        <w:pStyle w:val="nzIndenta"/>
      </w:pPr>
      <w:r>
        <w:tab/>
      </w:r>
      <w:r>
        <w:tab/>
        <w:t>or interim development order</w:t>
      </w:r>
    </w:p>
    <w:p>
      <w:pPr>
        <w:pStyle w:val="BlankClose"/>
      </w:pPr>
    </w:p>
    <w:p>
      <w:pPr>
        <w:pStyle w:val="nzIndenta"/>
      </w:pPr>
      <w:r>
        <w:tab/>
        <w:t>(c)</w:t>
      </w:r>
      <w:r>
        <w:tab/>
        <w:t>in paragraph (b) delete “under the provisions of the last</w:t>
      </w:r>
      <w:r>
        <w:noBreakHyphen/>
        <w:t>mentioned Act relating to any”</w:t>
      </w:r>
    </w:p>
    <w:p>
      <w:pPr>
        <w:pStyle w:val="BlankClose"/>
      </w:pPr>
    </w:p>
    <w:p>
      <w:pPr>
        <w:pStyle w:val="nzSubsection"/>
      </w:pPr>
      <w:r>
        <w:tab/>
        <w:t>(2)</w:t>
      </w:r>
      <w:r>
        <w:tab/>
        <w:t>Delete section 24(2a) and insert:</w:t>
      </w:r>
    </w:p>
    <w:p>
      <w:pPr>
        <w:pStyle w:val="BlankOpen"/>
      </w:pPr>
    </w:p>
    <w:p>
      <w:pPr>
        <w:pStyle w:val="nzSubsection"/>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BlankClose"/>
      </w:pPr>
    </w:p>
    <w:p>
      <w:pPr>
        <w:pStyle w:val="nzSubsection"/>
      </w:pPr>
      <w:r>
        <w:tab/>
        <w:t>(3)</w:t>
      </w:r>
      <w:r>
        <w:tab/>
        <w:t>In section 24(4) and (5) delete “shall” and insert:</w:t>
      </w:r>
    </w:p>
    <w:p>
      <w:pPr>
        <w:pStyle w:val="BlankOpen"/>
      </w:pPr>
    </w:p>
    <w:p>
      <w:pPr>
        <w:pStyle w:val="nzSubsection"/>
      </w:pPr>
      <w:r>
        <w:tab/>
      </w:r>
      <w:r>
        <w:tab/>
        <w:t>must</w:t>
      </w:r>
    </w:p>
    <w:p>
      <w:pPr>
        <w:pStyle w:val="BlankClose"/>
      </w:pPr>
    </w:p>
    <w:p>
      <w:pPr>
        <w:pStyle w:val="nzSubsection"/>
      </w:pPr>
      <w:r>
        <w:tab/>
        <w:t>(4)</w:t>
      </w:r>
      <w:r>
        <w:tab/>
        <w:t>In section 24(6) delete “shall be” (each occurrence) and insert:</w:t>
      </w:r>
    </w:p>
    <w:p>
      <w:pPr>
        <w:pStyle w:val="BlankOpen"/>
      </w:pPr>
    </w:p>
    <w:p>
      <w:pPr>
        <w:pStyle w:val="nzSubsection"/>
      </w:pPr>
      <w:r>
        <w:tab/>
      </w:r>
      <w:r>
        <w:tab/>
        <w:t>is</w:t>
      </w:r>
    </w:p>
    <w:p>
      <w:pPr>
        <w:pStyle w:val="BlankClose"/>
      </w:pPr>
    </w:p>
    <w:p>
      <w:pPr>
        <w:pStyle w:val="nzPermNoteHeading"/>
      </w:pPr>
      <w:r>
        <w:tab/>
        <w:t>Note:</w:t>
      </w:r>
    </w:p>
    <w:p>
      <w:pPr>
        <w:pStyle w:val="nzPermNoteText"/>
      </w:pPr>
      <w:r>
        <w:tab/>
      </w:r>
      <w:r>
        <w:tab/>
        <w:t>Section 24 (as amended) is relocated to Part 3 Division 2.</w:t>
      </w:r>
    </w:p>
    <w:p>
      <w:pPr>
        <w:pStyle w:val="nzHeading5"/>
      </w:pPr>
      <w:bookmarkStart w:id="531" w:name="_Toc530474290"/>
      <w:bookmarkStart w:id="532" w:name="_Toc530474885"/>
      <w:r>
        <w:rPr>
          <w:rStyle w:val="CharSectno"/>
        </w:rPr>
        <w:t>30</w:t>
      </w:r>
      <w:r>
        <w:t>.</w:t>
      </w:r>
      <w:r>
        <w:tab/>
        <w:t>Section 26 amended</w:t>
      </w:r>
      <w:bookmarkEnd w:id="531"/>
      <w:bookmarkEnd w:id="532"/>
    </w:p>
    <w:p>
      <w:pPr>
        <w:pStyle w:val="nzSubsection"/>
      </w:pPr>
      <w:r>
        <w:tab/>
        <w:t>(1)</w:t>
      </w:r>
      <w:r>
        <w:tab/>
        <w:t>Delete section 26(1) and (2) and insert:</w:t>
      </w:r>
    </w:p>
    <w:p>
      <w:pPr>
        <w:pStyle w:val="BlankOpen"/>
      </w:pPr>
    </w:p>
    <w:p>
      <w:pPr>
        <w:pStyle w:val="nz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BlankClose"/>
      </w:pPr>
    </w:p>
    <w:p>
      <w:pPr>
        <w:pStyle w:val="nzSubsection"/>
      </w:pPr>
      <w:r>
        <w:tab/>
        <w:t>(2)</w:t>
      </w:r>
      <w:r>
        <w:tab/>
        <w:t>In section 26(3) delete “shall —” and insert:</w:t>
      </w:r>
    </w:p>
    <w:p>
      <w:pPr>
        <w:pStyle w:val="BlankOpen"/>
      </w:pPr>
    </w:p>
    <w:p>
      <w:pPr>
        <w:pStyle w:val="nzSubsection"/>
      </w:pPr>
      <w:r>
        <w:tab/>
      </w:r>
      <w:r>
        <w:tab/>
        <w:t>made to it under this Part must —</w:t>
      </w:r>
    </w:p>
    <w:p>
      <w:pPr>
        <w:pStyle w:val="BlankClose"/>
      </w:pPr>
    </w:p>
    <w:p>
      <w:pPr>
        <w:pStyle w:val="nzSubsection"/>
      </w:pPr>
      <w:r>
        <w:tab/>
        <w:t>(3)</w:t>
      </w:r>
      <w:r>
        <w:tab/>
        <w:t>Delete section 26(4) and (5) and insert:</w:t>
      </w:r>
    </w:p>
    <w:p>
      <w:pPr>
        <w:pStyle w:val="BlankOpen"/>
      </w:pPr>
    </w:p>
    <w:p>
      <w:pPr>
        <w:pStyle w:val="nz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nz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nzIndenta"/>
        <w:rPr>
          <w:snapToGrid w:val="0"/>
        </w:rPr>
      </w:pPr>
      <w:r>
        <w:rPr>
          <w:snapToGrid w:val="0"/>
        </w:rPr>
        <w:tab/>
        <w:t>(b)</w:t>
      </w:r>
      <w:r>
        <w:rPr>
          <w:snapToGrid w:val="0"/>
        </w:rPr>
        <w:tab/>
        <w:t>a refusal by a local government to approve an application under section 23 or 24; or</w:t>
      </w:r>
    </w:p>
    <w:p>
      <w:pPr>
        <w:pStyle w:val="nzIndenta"/>
        <w:rPr>
          <w:snapToGrid w:val="0"/>
        </w:rPr>
      </w:pPr>
      <w:r>
        <w:rPr>
          <w:snapToGrid w:val="0"/>
        </w:rPr>
        <w:tab/>
        <w:t>(c)</w:t>
      </w:r>
      <w:r>
        <w:rPr>
          <w:snapToGrid w:val="0"/>
        </w:rPr>
        <w:tab/>
        <w:t>the attachment of a condition to the approval of an application under section 23 or 24; or</w:t>
      </w:r>
    </w:p>
    <w:p>
      <w:pPr>
        <w:pStyle w:val="nzIndenta"/>
        <w:rPr>
          <w:snapToGrid w:val="0"/>
        </w:rPr>
      </w:pPr>
      <w:r>
        <w:rPr>
          <w:snapToGrid w:val="0"/>
        </w:rPr>
        <w:tab/>
        <w:t>(d)</w:t>
      </w:r>
      <w:r>
        <w:rPr>
          <w:snapToGrid w:val="0"/>
        </w:rPr>
        <w:tab/>
        <w:t>to refuse to approve acceptance of a lease under section 25; or</w:t>
      </w:r>
    </w:p>
    <w:p>
      <w:pPr>
        <w:pStyle w:val="nzIndenta"/>
        <w:rPr>
          <w:snapToGrid w:val="0"/>
        </w:rPr>
      </w:pPr>
      <w:r>
        <w:rPr>
          <w:snapToGrid w:val="0"/>
        </w:rPr>
        <w:tab/>
        <w:t>(e)</w:t>
      </w:r>
      <w:r>
        <w:rPr>
          <w:snapToGrid w:val="0"/>
        </w:rPr>
        <w:tab/>
        <w:t>a decision to refuse to approve a lease or licence under section 26.</w:t>
      </w:r>
    </w:p>
    <w:p>
      <w:pPr>
        <w:pStyle w:val="nzSubsection"/>
      </w:pPr>
      <w:r>
        <w:tab/>
        <w:t>(5)</w:t>
      </w:r>
      <w:r>
        <w:tab/>
        <w:t xml:space="preserve">Part 13 does not apply to a proceeding under this section (which is a </w:t>
      </w:r>
      <w:r>
        <w:rPr>
          <w:snapToGrid w:val="0"/>
        </w:rPr>
        <w:t>proceeding</w:t>
      </w:r>
      <w:r>
        <w:t xml:space="preserve"> within the Tribunal’s review jurisdiction).</w:t>
      </w:r>
    </w:p>
    <w:p>
      <w:pPr>
        <w:pStyle w:val="BlankClose"/>
      </w:pPr>
    </w:p>
    <w:p>
      <w:pPr>
        <w:pStyle w:val="nzSubsection"/>
      </w:pPr>
      <w:r>
        <w:tab/>
        <w:t>(4)</w:t>
      </w:r>
      <w:r>
        <w:tab/>
        <w:t>In section 26(6):</w:t>
      </w:r>
    </w:p>
    <w:p>
      <w:pPr>
        <w:pStyle w:val="nzIndenta"/>
      </w:pPr>
      <w:r>
        <w:tab/>
        <w:t>(a)</w:t>
      </w:r>
      <w:r>
        <w:tab/>
        <w:t>delete “subsections (4) and (5),” and insert:</w:t>
      </w:r>
    </w:p>
    <w:p>
      <w:pPr>
        <w:pStyle w:val="BlankOpen"/>
      </w:pPr>
    </w:p>
    <w:p>
      <w:pPr>
        <w:pStyle w:val="nzIndenta"/>
      </w:pPr>
      <w:r>
        <w:tab/>
      </w:r>
      <w:r>
        <w:tab/>
        <w:t>subsection (4),</w:t>
      </w:r>
    </w:p>
    <w:p>
      <w:pPr>
        <w:pStyle w:val="BlankClose"/>
      </w:pPr>
    </w:p>
    <w:p>
      <w:pPr>
        <w:pStyle w:val="nzIndenta"/>
      </w:pPr>
      <w:r>
        <w:tab/>
        <w:t>(b)</w:t>
      </w:r>
      <w:r>
        <w:tab/>
        <w:t>after “application” (1</w:t>
      </w:r>
      <w:r>
        <w:rPr>
          <w:vertAlign w:val="superscript"/>
        </w:rPr>
        <w:t>st</w:t>
      </w:r>
      <w:r>
        <w:t xml:space="preserve"> occurrence) insert:</w:t>
      </w:r>
    </w:p>
    <w:p>
      <w:pPr>
        <w:pStyle w:val="BlankOpen"/>
      </w:pPr>
    </w:p>
    <w:p>
      <w:pPr>
        <w:pStyle w:val="nzIndenta"/>
      </w:pPr>
      <w:r>
        <w:tab/>
      </w:r>
      <w:r>
        <w:tab/>
        <w:t>under this Part</w:t>
      </w:r>
    </w:p>
    <w:p>
      <w:pPr>
        <w:pStyle w:val="BlankClose"/>
      </w:pPr>
    </w:p>
    <w:p>
      <w:pPr>
        <w:pStyle w:val="nzIndenta"/>
      </w:pPr>
      <w:r>
        <w:tab/>
        <w:t>(c)</w:t>
      </w:r>
      <w:r>
        <w:tab/>
        <w:t>delete “40 days of receiving” and insert:</w:t>
      </w:r>
    </w:p>
    <w:p>
      <w:pPr>
        <w:pStyle w:val="BlankOpen"/>
      </w:pPr>
    </w:p>
    <w:p>
      <w:pPr>
        <w:pStyle w:val="nzIndenta"/>
      </w:pPr>
      <w:r>
        <w:tab/>
      </w:r>
      <w:r>
        <w:tab/>
        <w:t>the prescribed period after being given</w:t>
      </w:r>
    </w:p>
    <w:p>
      <w:pPr>
        <w:pStyle w:val="BlankClose"/>
      </w:pPr>
    </w:p>
    <w:p>
      <w:pPr>
        <w:pStyle w:val="nzSubsection"/>
      </w:pPr>
      <w:r>
        <w:tab/>
        <w:t>(5)</w:t>
      </w:r>
      <w:r>
        <w:tab/>
        <w:t>In section 26(7):</w:t>
      </w:r>
    </w:p>
    <w:p>
      <w:pPr>
        <w:pStyle w:val="nzIndenta"/>
      </w:pPr>
      <w:r>
        <w:tab/>
        <w:t>(a)</w:t>
      </w:r>
      <w:r>
        <w:tab/>
        <w:t>delete “of the day on which the applicant received” and insert:</w:t>
      </w:r>
    </w:p>
    <w:p>
      <w:pPr>
        <w:pStyle w:val="BlankOpen"/>
      </w:pPr>
    </w:p>
    <w:p>
      <w:pPr>
        <w:pStyle w:val="nzIndenta"/>
      </w:pPr>
      <w:r>
        <w:tab/>
      </w:r>
      <w:r>
        <w:tab/>
        <w:t>after the day on which the applicant is given</w:t>
      </w:r>
    </w:p>
    <w:p>
      <w:pPr>
        <w:pStyle w:val="BlankClose"/>
      </w:pPr>
    </w:p>
    <w:p>
      <w:pPr>
        <w:pStyle w:val="nzIndenta"/>
        <w:rPr>
          <w:snapToGrid w:val="0"/>
        </w:rPr>
      </w:pPr>
      <w:r>
        <w:tab/>
        <w:t>(b)</w:t>
      </w:r>
      <w:r>
        <w:tab/>
        <w:t xml:space="preserve">delete “of </w:t>
      </w:r>
      <w:r>
        <w:rPr>
          <w:snapToGrid w:val="0"/>
        </w:rPr>
        <w:t>the expiration of the period of 40 days” and insert:</w:t>
      </w:r>
    </w:p>
    <w:p>
      <w:pPr>
        <w:pStyle w:val="BlankOpen"/>
      </w:pPr>
    </w:p>
    <w:p>
      <w:pPr>
        <w:pStyle w:val="nzIndenta"/>
      </w:pPr>
      <w:r>
        <w:tab/>
      </w:r>
      <w:r>
        <w:tab/>
        <w:t>after</w:t>
      </w:r>
      <w:r>
        <w:rPr>
          <w:snapToGrid w:val="0"/>
        </w:rPr>
        <w:t xml:space="preserve"> the expiration of the </w:t>
      </w:r>
      <w:r>
        <w:t xml:space="preserve">prescribed </w:t>
      </w:r>
      <w:r>
        <w:rPr>
          <w:snapToGrid w:val="0"/>
        </w:rPr>
        <w:t>period</w:t>
      </w:r>
    </w:p>
    <w:p>
      <w:pPr>
        <w:pStyle w:val="BlankClose"/>
      </w:pPr>
    </w:p>
    <w:p>
      <w:pPr>
        <w:pStyle w:val="nzSubsection"/>
      </w:pPr>
      <w:r>
        <w:tab/>
        <w:t>(6)</w:t>
      </w:r>
      <w:r>
        <w:tab/>
        <w:t>After section 26(7) insert:</w:t>
      </w:r>
    </w:p>
    <w:p>
      <w:pPr>
        <w:pStyle w:val="BlankOpen"/>
      </w:pPr>
    </w:p>
    <w:p>
      <w:pPr>
        <w:pStyle w:val="nzSubsection"/>
      </w:pPr>
      <w:r>
        <w:tab/>
        <w:t>(8)</w:t>
      </w:r>
      <w:r>
        <w:tab/>
        <w:t>In this section —</w:t>
      </w:r>
    </w:p>
    <w:p>
      <w:pPr>
        <w:pStyle w:val="nzSubsection"/>
      </w:pPr>
      <w:r>
        <w:tab/>
      </w:r>
      <w:r>
        <w:tab/>
      </w:r>
      <w:r>
        <w:rPr>
          <w:rStyle w:val="CharDefText"/>
        </w:rPr>
        <w:t>prescribed period</w:t>
      </w:r>
      <w:r>
        <w:t xml:space="preserve"> means 40 days or, if some other period is specified in the regulations, that period.</w:t>
      </w:r>
    </w:p>
    <w:p>
      <w:pPr>
        <w:pStyle w:val="BlankClose"/>
      </w:pPr>
    </w:p>
    <w:p>
      <w:pPr>
        <w:pStyle w:val="nzPermNoteHeading"/>
      </w:pPr>
      <w:r>
        <w:tab/>
        <w:t>Note:</w:t>
      </w:r>
    </w:p>
    <w:p>
      <w:pPr>
        <w:pStyle w:val="nzPermNoteText"/>
      </w:pPr>
      <w:r>
        <w:tab/>
      </w:r>
      <w:r>
        <w:tab/>
        <w:t>Section 26 (as amended) is renumbered as section 28 and relocated to Part 3 Division 4.</w:t>
      </w:r>
    </w:p>
    <w:p>
      <w:pPr>
        <w:pStyle w:val="nzHeading5"/>
      </w:pPr>
      <w:bookmarkStart w:id="533" w:name="_Toc530474291"/>
      <w:bookmarkStart w:id="534" w:name="_Toc530474886"/>
      <w:r>
        <w:rPr>
          <w:rStyle w:val="CharSectno"/>
        </w:rPr>
        <w:t>31</w:t>
      </w:r>
      <w:r>
        <w:t>.</w:t>
      </w:r>
      <w:r>
        <w:tab/>
        <w:t>Section 28 amended</w:t>
      </w:r>
      <w:bookmarkEnd w:id="533"/>
      <w:bookmarkEnd w:id="534"/>
    </w:p>
    <w:p>
      <w:pPr>
        <w:pStyle w:val="nzSubsection"/>
      </w:pPr>
      <w:r>
        <w:tab/>
        <w:t>(1)</w:t>
      </w:r>
      <w:r>
        <w:tab/>
        <w:t>Delete section 28(1) and insert:</w:t>
      </w:r>
    </w:p>
    <w:p>
      <w:pPr>
        <w:pStyle w:val="BlankOpen"/>
      </w:pPr>
    </w:p>
    <w:p>
      <w:pPr>
        <w:pStyle w:val="nzSubsection"/>
      </w:pPr>
      <w:r>
        <w:tab/>
        <w:t>(1A)</w:t>
      </w:r>
      <w:r>
        <w:tab/>
        <w:t>An application for an order under this section for a strata scheme can be made by —</w:t>
      </w:r>
    </w:p>
    <w:p>
      <w:pPr>
        <w:pStyle w:val="nzIndenta"/>
      </w:pPr>
      <w:r>
        <w:tab/>
        <w:t>(a)</w:t>
      </w:r>
      <w:r>
        <w:tab/>
        <w:t>the strata company; or</w:t>
      </w:r>
    </w:p>
    <w:p>
      <w:pPr>
        <w:pStyle w:val="nzIndenta"/>
      </w:pPr>
      <w:r>
        <w:tab/>
        <w:t>(b)</w:t>
      </w:r>
      <w:r>
        <w:tab/>
        <w:t>the owner of a lot in the scheme; or</w:t>
      </w:r>
    </w:p>
    <w:p>
      <w:pPr>
        <w:pStyle w:val="nzIndenta"/>
      </w:pPr>
      <w:r>
        <w:tab/>
        <w:t>(c)</w:t>
      </w:r>
      <w:r>
        <w:tab/>
        <w:t>a registered mortgagee of a lot in the scheme; or</w:t>
      </w:r>
    </w:p>
    <w:p>
      <w:pPr>
        <w:pStyle w:val="nzIndenta"/>
      </w:pPr>
      <w:r>
        <w:tab/>
        <w:t>(d)</w:t>
      </w:r>
      <w:r>
        <w:tab/>
        <w:t>for a leasehold scheme, the owner of the leasehold scheme.</w:t>
      </w:r>
    </w:p>
    <w:p>
      <w:pPr>
        <w:pStyle w:val="nz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BlankClose"/>
      </w:pPr>
    </w:p>
    <w:p>
      <w:pPr>
        <w:pStyle w:val="nzSubsection"/>
      </w:pPr>
      <w:r>
        <w:tab/>
        <w:t>(2)</w:t>
      </w:r>
      <w:r>
        <w:tab/>
        <w:t>In section 28(2):</w:t>
      </w:r>
    </w:p>
    <w:p>
      <w:pPr>
        <w:pStyle w:val="nzIndenta"/>
      </w:pPr>
      <w:r>
        <w:tab/>
        <w:t>(a)</w:t>
      </w:r>
      <w:r>
        <w:tab/>
        <w:t>after “on the” insert:</w:t>
      </w:r>
    </w:p>
    <w:p>
      <w:pPr>
        <w:pStyle w:val="BlankOpen"/>
        <w:keepNext w:val="0"/>
      </w:pPr>
    </w:p>
    <w:p>
      <w:pPr>
        <w:pStyle w:val="nzIndenta"/>
      </w:pPr>
      <w:r>
        <w:tab/>
      </w:r>
      <w:r>
        <w:tab/>
        <w:t>scheme</w:t>
      </w:r>
    </w:p>
    <w:p>
      <w:pPr>
        <w:pStyle w:val="BlankClose"/>
      </w:pPr>
    </w:p>
    <w:p>
      <w:pPr>
        <w:pStyle w:val="nzIndenta"/>
      </w:pPr>
      <w:r>
        <w:tab/>
        <w:t>(b)</w:t>
      </w:r>
      <w:r>
        <w:tab/>
        <w:t>delete “District Court” and insert:</w:t>
      </w:r>
    </w:p>
    <w:p>
      <w:pPr>
        <w:pStyle w:val="BlankOpen"/>
      </w:pPr>
    </w:p>
    <w:p>
      <w:pPr>
        <w:pStyle w:val="nzIndenta"/>
      </w:pPr>
      <w:r>
        <w:tab/>
      </w:r>
      <w:r>
        <w:tab/>
        <w:t>Tribunal</w:t>
      </w:r>
    </w:p>
    <w:p>
      <w:pPr>
        <w:pStyle w:val="BlankClose"/>
      </w:pPr>
    </w:p>
    <w:p>
      <w:pPr>
        <w:pStyle w:val="nzSubsection"/>
      </w:pPr>
      <w:r>
        <w:tab/>
        <w:t>(3)</w:t>
      </w:r>
      <w:r>
        <w:tab/>
        <w:t>In section 28(3):</w:t>
      </w:r>
    </w:p>
    <w:p>
      <w:pPr>
        <w:pStyle w:val="nzIndenta"/>
      </w:pPr>
      <w:r>
        <w:tab/>
        <w:t>(a)</w:t>
      </w:r>
      <w:r>
        <w:tab/>
        <w:t>delete “the generality o</w:t>
      </w:r>
      <w:r>
        <w:rPr>
          <w:spacing w:val="40"/>
        </w:rPr>
        <w:t>f</w:t>
      </w:r>
      <w:r>
        <w:t>”;</w:t>
      </w:r>
    </w:p>
    <w:p>
      <w:pPr>
        <w:pStyle w:val="nzIndenta"/>
      </w:pPr>
      <w:r>
        <w:tab/>
        <w:t>(b)</w:t>
      </w:r>
      <w:r>
        <w:tab/>
        <w:t>delete “such directions for or with respect to any one” and insert:</w:t>
      </w:r>
    </w:p>
    <w:p>
      <w:pPr>
        <w:pStyle w:val="BlankOpen"/>
        <w:rPr>
          <w:snapToGrid w:val="0"/>
        </w:rPr>
      </w:pPr>
    </w:p>
    <w:p>
      <w:pPr>
        <w:pStyle w:val="nzIndenta"/>
        <w:rPr>
          <w:snapToGrid w:val="0"/>
        </w:rPr>
      </w:pPr>
      <w:r>
        <w:rPr>
          <w:snapToGrid w:val="0"/>
        </w:rPr>
        <w:tab/>
      </w:r>
      <w:r>
        <w:rPr>
          <w:snapToGrid w:val="0"/>
        </w:rPr>
        <w:tab/>
        <w:t>directions for any 1</w:t>
      </w:r>
    </w:p>
    <w:p>
      <w:pPr>
        <w:pStyle w:val="BlankClose"/>
      </w:pPr>
    </w:p>
    <w:p>
      <w:pPr>
        <w:pStyle w:val="nzIndenta"/>
      </w:pPr>
      <w:r>
        <w:tab/>
        <w:t>(c)</w:t>
      </w:r>
      <w:r>
        <w:tab/>
        <w:t>delete “matters as the District Court considers necessary or expedient —” and insert:</w:t>
      </w:r>
    </w:p>
    <w:p>
      <w:pPr>
        <w:pStyle w:val="BlankOpen"/>
      </w:pPr>
    </w:p>
    <w:p>
      <w:pPr>
        <w:pStyle w:val="nzIndenta"/>
      </w:pPr>
      <w:r>
        <w:tab/>
      </w:r>
      <w:r>
        <w:tab/>
        <w:t>matters —</w:t>
      </w:r>
    </w:p>
    <w:p>
      <w:pPr>
        <w:pStyle w:val="BlankClose"/>
      </w:pPr>
    </w:p>
    <w:p>
      <w:pPr>
        <w:pStyle w:val="nzIndenta"/>
      </w:pPr>
      <w:r>
        <w:tab/>
        <w:t>(d)</w:t>
      </w:r>
      <w:r>
        <w:tab/>
        <w:t>in paragraph (b) delete “proprietors” (1</w:t>
      </w:r>
      <w:r>
        <w:rPr>
          <w:vertAlign w:val="superscript"/>
        </w:rPr>
        <w:t>st</w:t>
      </w:r>
      <w:r>
        <w:t xml:space="preserve"> occurrence) and insert:</w:t>
      </w:r>
    </w:p>
    <w:p>
      <w:pPr>
        <w:pStyle w:val="BlankOpen"/>
      </w:pPr>
    </w:p>
    <w:p>
      <w:pPr>
        <w:pStyle w:val="nzIndenta"/>
      </w:pPr>
      <w:r>
        <w:tab/>
      </w:r>
      <w:r>
        <w:tab/>
        <w:t>owners</w:t>
      </w:r>
    </w:p>
    <w:p>
      <w:pPr>
        <w:pStyle w:val="BlankClose"/>
      </w:pPr>
    </w:p>
    <w:p>
      <w:pPr>
        <w:pStyle w:val="nzIndenta"/>
      </w:pPr>
      <w:r>
        <w:tab/>
        <w:t>(e)</w:t>
      </w:r>
      <w:r>
        <w:tab/>
        <w:t>in paragraph (b) delete “proprietors” (2</w:t>
      </w:r>
      <w:r>
        <w:rPr>
          <w:vertAlign w:val="superscript"/>
        </w:rPr>
        <w:t>nd</w:t>
      </w:r>
      <w:r>
        <w:t xml:space="preserve"> occurrence) and insert:</w:t>
      </w:r>
    </w:p>
    <w:p>
      <w:pPr>
        <w:pStyle w:val="BlankOpen"/>
      </w:pPr>
    </w:p>
    <w:p>
      <w:pPr>
        <w:pStyle w:val="nzIndenta"/>
      </w:pPr>
      <w:r>
        <w:tab/>
      </w:r>
      <w:r>
        <w:tab/>
        <w:t>owners of lots</w:t>
      </w:r>
    </w:p>
    <w:p>
      <w:pPr>
        <w:pStyle w:val="BlankClose"/>
      </w:pPr>
    </w:p>
    <w:p>
      <w:pPr>
        <w:pStyle w:val="nzIndenta"/>
      </w:pPr>
      <w:r>
        <w:tab/>
        <w:t>(f)</w:t>
      </w:r>
      <w:r>
        <w:tab/>
        <w:t>in paragraph (c) delete “entitlement o</w:t>
      </w:r>
      <w:r>
        <w:rPr>
          <w:spacing w:val="40"/>
        </w:rPr>
        <w:t>f</w:t>
      </w:r>
      <w:r>
        <w:t>” and insert:</w:t>
      </w:r>
    </w:p>
    <w:p>
      <w:pPr>
        <w:pStyle w:val="BlankOpen"/>
      </w:pPr>
    </w:p>
    <w:p>
      <w:pPr>
        <w:pStyle w:val="nzIndenta"/>
      </w:pPr>
      <w:r>
        <w:tab/>
      </w:r>
      <w:r>
        <w:tab/>
        <w:t>entitlements of</w:t>
      </w:r>
    </w:p>
    <w:p>
      <w:pPr>
        <w:pStyle w:val="BlankClose"/>
      </w:pPr>
    </w:p>
    <w:p>
      <w:pPr>
        <w:pStyle w:val="nzIndenta"/>
      </w:pPr>
      <w:r>
        <w:tab/>
        <w:t>(g)</w:t>
      </w:r>
      <w:r>
        <w:tab/>
        <w:t>in paragraph (c) delete “entitlement;” and insert:</w:t>
      </w:r>
    </w:p>
    <w:p>
      <w:pPr>
        <w:pStyle w:val="BlankOpen"/>
      </w:pPr>
    </w:p>
    <w:p>
      <w:pPr>
        <w:pStyle w:val="nzIndenta"/>
      </w:pPr>
      <w:r>
        <w:tab/>
      </w:r>
      <w:r>
        <w:tab/>
        <w:t>entitlements;</w:t>
      </w:r>
    </w:p>
    <w:p>
      <w:pPr>
        <w:pStyle w:val="BlankClose"/>
      </w:pPr>
    </w:p>
    <w:p>
      <w:pPr>
        <w:pStyle w:val="nzIndenta"/>
      </w:pPr>
      <w:r>
        <w:tab/>
        <w:t>(h)</w:t>
      </w:r>
      <w:r>
        <w:tab/>
        <w:t xml:space="preserve">in paragraph (d) delete “moneys” and insert </w:t>
      </w:r>
    </w:p>
    <w:p>
      <w:pPr>
        <w:pStyle w:val="BlankOpen"/>
      </w:pPr>
    </w:p>
    <w:p>
      <w:pPr>
        <w:pStyle w:val="nzIndenta"/>
      </w:pPr>
      <w:r>
        <w:tab/>
      </w:r>
      <w:r>
        <w:tab/>
        <w:t>money</w:t>
      </w:r>
    </w:p>
    <w:p>
      <w:pPr>
        <w:pStyle w:val="BlankClose"/>
      </w:pPr>
    </w:p>
    <w:p>
      <w:pPr>
        <w:pStyle w:val="nzIndenta"/>
      </w:pPr>
      <w:r>
        <w:tab/>
        <w:t>(i)</w:t>
      </w:r>
      <w:r>
        <w:tab/>
        <w:t>in paragraph (d) after “destruction of the” insert:</w:t>
      </w:r>
    </w:p>
    <w:p>
      <w:pPr>
        <w:pStyle w:val="BlankOpen"/>
      </w:pPr>
    </w:p>
    <w:p>
      <w:pPr>
        <w:pStyle w:val="nzIndenta"/>
      </w:pPr>
      <w:r>
        <w:tab/>
      </w:r>
      <w:r>
        <w:tab/>
        <w:t>scheme</w:t>
      </w:r>
    </w:p>
    <w:p>
      <w:pPr>
        <w:pStyle w:val="BlankClose"/>
      </w:pPr>
    </w:p>
    <w:p>
      <w:pPr>
        <w:pStyle w:val="nzIndenta"/>
      </w:pPr>
      <w:r>
        <w:tab/>
        <w:t>(j)</w:t>
      </w:r>
      <w:r>
        <w:tab/>
        <w:t>delete paragraph (e) and insert:</w:t>
      </w:r>
    </w:p>
    <w:p>
      <w:pPr>
        <w:pStyle w:val="BlankOpen"/>
      </w:pPr>
    </w:p>
    <w:p>
      <w:pPr>
        <w:pStyle w:val="nzIndenta"/>
      </w:pPr>
      <w:r>
        <w:tab/>
        <w:t>(e)</w:t>
      </w:r>
      <w:r>
        <w:tab/>
        <w:t>the payment of money to or by the strata company, the owner of a lot or, for a leasehold scheme, the owner of the leasehold scheme;</w:t>
      </w:r>
    </w:p>
    <w:p>
      <w:pPr>
        <w:pStyle w:val="BlankClose"/>
      </w:pPr>
    </w:p>
    <w:p>
      <w:pPr>
        <w:pStyle w:val="nzIndenta"/>
      </w:pPr>
      <w:r>
        <w:tab/>
        <w:t>(k)</w:t>
      </w:r>
      <w:r>
        <w:tab/>
        <w:t>in paragraph (f) delete “registered”;</w:t>
      </w:r>
    </w:p>
    <w:p>
      <w:pPr>
        <w:pStyle w:val="nzIndenta"/>
      </w:pPr>
      <w:r>
        <w:tab/>
        <w:t>(l)</w:t>
      </w:r>
      <w:r>
        <w:tab/>
        <w:t>in paragraph (f) delete “District Court” and insert:</w:t>
      </w:r>
    </w:p>
    <w:p>
      <w:pPr>
        <w:pStyle w:val="BlankOpen"/>
      </w:pPr>
    </w:p>
    <w:p>
      <w:pPr>
        <w:pStyle w:val="nzIndenta"/>
      </w:pPr>
      <w:r>
        <w:tab/>
      </w:r>
      <w:r>
        <w:tab/>
        <w:t>Tribunal</w:t>
      </w:r>
    </w:p>
    <w:p>
      <w:pPr>
        <w:pStyle w:val="BlankClose"/>
      </w:pPr>
    </w:p>
    <w:p>
      <w:pPr>
        <w:pStyle w:val="nzIndenta"/>
      </w:pPr>
      <w:r>
        <w:tab/>
        <w:t>(m)</w:t>
      </w:r>
      <w:r>
        <w:tab/>
        <w:t>in paragraph (g) after “insurer of the” insert:</w:t>
      </w:r>
    </w:p>
    <w:p>
      <w:pPr>
        <w:pStyle w:val="BlankOpen"/>
      </w:pPr>
    </w:p>
    <w:p>
      <w:pPr>
        <w:pStyle w:val="nzIndenta"/>
      </w:pPr>
      <w:r>
        <w:tab/>
      </w:r>
      <w:r>
        <w:tab/>
        <w:t>scheme</w:t>
      </w:r>
    </w:p>
    <w:p>
      <w:pPr>
        <w:pStyle w:val="BlankClose"/>
      </w:pPr>
    </w:p>
    <w:p>
      <w:pPr>
        <w:pStyle w:val="nzIndenta"/>
      </w:pPr>
      <w:r>
        <w:tab/>
        <w:t>(n)</w:t>
      </w:r>
      <w:r>
        <w:tab/>
        <w:t>in paragraph (h) delete “District Court,” and insert:</w:t>
      </w:r>
    </w:p>
    <w:p>
      <w:pPr>
        <w:pStyle w:val="BlankOpen"/>
      </w:pPr>
    </w:p>
    <w:p>
      <w:pPr>
        <w:pStyle w:val="nzIndenta"/>
      </w:pPr>
      <w:r>
        <w:tab/>
      </w:r>
      <w:r>
        <w:tab/>
        <w:t>Tribunal,</w:t>
      </w:r>
    </w:p>
    <w:p>
      <w:pPr>
        <w:pStyle w:val="BlankClose"/>
      </w:pPr>
    </w:p>
    <w:p>
      <w:pPr>
        <w:pStyle w:val="nzIndenta"/>
      </w:pPr>
      <w:r>
        <w:tab/>
        <w:t>(o)</w:t>
      </w:r>
      <w:r>
        <w:tab/>
        <w:t>in paragraph (i) delete “District Court” and insert:</w:t>
      </w:r>
    </w:p>
    <w:p>
      <w:pPr>
        <w:pStyle w:val="BlankOpen"/>
      </w:pPr>
    </w:p>
    <w:p>
      <w:pPr>
        <w:pStyle w:val="nzIndenta"/>
      </w:pPr>
      <w:r>
        <w:tab/>
      </w:r>
      <w:r>
        <w:tab/>
        <w:t>Tribunal</w:t>
      </w:r>
    </w:p>
    <w:p>
      <w:pPr>
        <w:pStyle w:val="BlankClose"/>
      </w:pPr>
    </w:p>
    <w:p>
      <w:pPr>
        <w:pStyle w:val="nzSubsection"/>
      </w:pPr>
      <w:r>
        <w:tab/>
        <w:t>(4)</w:t>
      </w:r>
      <w:r>
        <w:tab/>
        <w:t>In section 28(4) delete “District Court may from time to time amend any” and insert:</w:t>
      </w:r>
    </w:p>
    <w:p>
      <w:pPr>
        <w:pStyle w:val="BlankOpen"/>
      </w:pPr>
    </w:p>
    <w:p>
      <w:pPr>
        <w:pStyle w:val="nzSubsection"/>
      </w:pPr>
      <w:r>
        <w:tab/>
      </w:r>
      <w:r>
        <w:tab/>
        <w:t>Tribunal may amend an</w:t>
      </w:r>
    </w:p>
    <w:p>
      <w:pPr>
        <w:pStyle w:val="BlankClose"/>
      </w:pPr>
    </w:p>
    <w:p>
      <w:pPr>
        <w:pStyle w:val="nzSubsection"/>
      </w:pPr>
      <w:r>
        <w:tab/>
        <w:t>(5)</w:t>
      </w:r>
      <w:r>
        <w:tab/>
        <w:t>In section 28(5):</w:t>
      </w:r>
    </w:p>
    <w:p>
      <w:pPr>
        <w:pStyle w:val="nzIndenta"/>
      </w:pPr>
      <w:r>
        <w:tab/>
        <w:t>(a)</w:t>
      </w:r>
      <w:r>
        <w:tab/>
        <w:t>delete “shall take effect —” and insert:</w:t>
      </w:r>
    </w:p>
    <w:p>
      <w:pPr>
        <w:pStyle w:val="BlankOpen"/>
      </w:pPr>
    </w:p>
    <w:p>
      <w:pPr>
        <w:pStyle w:val="nzIndenta"/>
      </w:pPr>
      <w:r>
        <w:tab/>
      </w:r>
      <w:r>
        <w:tab/>
        <w:t xml:space="preserve">takes </w:t>
      </w:r>
      <w:r>
        <w:rPr>
          <w:snapToGrid w:val="0"/>
        </w:rPr>
        <w:t>effect as follows —</w:t>
      </w:r>
    </w:p>
    <w:p>
      <w:pPr>
        <w:pStyle w:val="BlankClose"/>
      </w:pPr>
    </w:p>
    <w:p>
      <w:pPr>
        <w:pStyle w:val="nzIndenta"/>
      </w:pPr>
      <w:r>
        <w:tab/>
        <w:t>(b)</w:t>
      </w:r>
      <w:r>
        <w:tab/>
        <w:t>in paragraph (b) delete “section 29,” and insert:</w:t>
      </w:r>
    </w:p>
    <w:p>
      <w:pPr>
        <w:pStyle w:val="BlankOpen"/>
      </w:pPr>
    </w:p>
    <w:p>
      <w:pPr>
        <w:pStyle w:val="nzIndenta"/>
      </w:pPr>
      <w:r>
        <w:tab/>
      </w:r>
      <w:r>
        <w:tab/>
        <w:t>section 167,</w:t>
      </w:r>
    </w:p>
    <w:p>
      <w:pPr>
        <w:pStyle w:val="BlankClose"/>
      </w:pPr>
    </w:p>
    <w:p>
      <w:pPr>
        <w:pStyle w:val="nzSubsection"/>
      </w:pPr>
      <w:r>
        <w:tab/>
        <w:t>(6)</w:t>
      </w:r>
      <w:r>
        <w:tab/>
        <w:t>Delete section 28(6) and (7).</w:t>
      </w:r>
    </w:p>
    <w:p>
      <w:pPr>
        <w:pStyle w:val="nzSectAltNote"/>
      </w:pPr>
      <w:r>
        <w:tab/>
        <w:t>Note:</w:t>
      </w:r>
      <w:r>
        <w:tab/>
        <w:t>The heading to amended section 28 is to read:</w:t>
      </w:r>
    </w:p>
    <w:p>
      <w:pPr>
        <w:pStyle w:val="nzSectAltHeading"/>
      </w:pPr>
      <w:r>
        <w:rPr>
          <w:b w:val="0"/>
        </w:rPr>
        <w:tab/>
      </w:r>
      <w:r>
        <w:rPr>
          <w:b w:val="0"/>
        </w:rPr>
        <w:tab/>
      </w:r>
      <w:r>
        <w:t>Variation of strata scheme on damage or destruction of building</w:t>
      </w:r>
    </w:p>
    <w:p>
      <w:pPr>
        <w:pStyle w:val="nzPermNoteHeading"/>
      </w:pPr>
      <w:r>
        <w:tab/>
        <w:t>Note:</w:t>
      </w:r>
    </w:p>
    <w:p>
      <w:pPr>
        <w:pStyle w:val="nzPermNoteText"/>
      </w:pPr>
      <w:r>
        <w:tab/>
      </w:r>
      <w:r>
        <w:tab/>
        <w:t>Section 28 (as amended) is renumbered as section 166 and relocated to Part 11 Division 1.</w:t>
      </w:r>
    </w:p>
    <w:p>
      <w:pPr>
        <w:pStyle w:val="nzHeading5"/>
      </w:pPr>
      <w:bookmarkStart w:id="535" w:name="_Toc530474292"/>
      <w:bookmarkStart w:id="536" w:name="_Toc530474887"/>
      <w:r>
        <w:rPr>
          <w:rStyle w:val="CharSectno"/>
        </w:rPr>
        <w:t>32</w:t>
      </w:r>
      <w:r>
        <w:t>.</w:t>
      </w:r>
      <w:r>
        <w:tab/>
        <w:t>Section 29 amended</w:t>
      </w:r>
      <w:bookmarkEnd w:id="535"/>
      <w:bookmarkEnd w:id="536"/>
    </w:p>
    <w:p>
      <w:pPr>
        <w:pStyle w:val="nzSubsection"/>
      </w:pPr>
      <w:r>
        <w:tab/>
      </w:r>
      <w:r>
        <w:tab/>
        <w:t>In section 29:</w:t>
      </w:r>
    </w:p>
    <w:p>
      <w:pPr>
        <w:pStyle w:val="nzIndenta"/>
      </w:pPr>
      <w:r>
        <w:tab/>
        <w:t>(a)</w:t>
      </w:r>
      <w:r>
        <w:tab/>
        <w:t>delete “28 shall apply and the District Court shall have” and insert:</w:t>
      </w:r>
    </w:p>
    <w:p>
      <w:pPr>
        <w:pStyle w:val="BlankOpen"/>
      </w:pPr>
    </w:p>
    <w:p>
      <w:pPr>
        <w:pStyle w:val="nzIndenta"/>
      </w:pPr>
      <w:r>
        <w:tab/>
      </w:r>
      <w:r>
        <w:tab/>
        <w:t>166 applies and the Tribunal has</w:t>
      </w:r>
    </w:p>
    <w:p>
      <w:pPr>
        <w:pStyle w:val="BlankClose"/>
      </w:pPr>
    </w:p>
    <w:p>
      <w:pPr>
        <w:pStyle w:val="nzIndenta"/>
      </w:pPr>
      <w:r>
        <w:tab/>
        <w:t>(b)</w:t>
      </w:r>
      <w:r>
        <w:tab/>
        <w:t>delete “that section applies and the District Court” and insert:</w:t>
      </w:r>
    </w:p>
    <w:p>
      <w:pPr>
        <w:pStyle w:val="BlankOpen"/>
      </w:pPr>
    </w:p>
    <w:p>
      <w:pPr>
        <w:pStyle w:val="nzIndenta"/>
      </w:pPr>
      <w:r>
        <w:tab/>
      </w:r>
      <w:r>
        <w:tab/>
        <w:t>section 166 applies and the Tribunal</w:t>
      </w:r>
    </w:p>
    <w:p>
      <w:pPr>
        <w:pStyle w:val="BlankClose"/>
      </w:pPr>
    </w:p>
    <w:p>
      <w:pPr>
        <w:pStyle w:val="nzIndenta"/>
      </w:pPr>
      <w:r>
        <w:tab/>
        <w:t>(c)</w:t>
      </w:r>
      <w:r>
        <w:tab/>
        <w:t>after “destruction of a” insert:</w:t>
      </w:r>
    </w:p>
    <w:p>
      <w:pPr>
        <w:pStyle w:val="BlankOpen"/>
      </w:pPr>
    </w:p>
    <w:p>
      <w:pPr>
        <w:pStyle w:val="nzIndenta"/>
      </w:pPr>
      <w:r>
        <w:tab/>
      </w:r>
      <w:r>
        <w:tab/>
        <w:t>scheme</w:t>
      </w:r>
    </w:p>
    <w:p>
      <w:pPr>
        <w:pStyle w:val="BlankClose"/>
      </w:pPr>
    </w:p>
    <w:p>
      <w:pPr>
        <w:pStyle w:val="nzSectAltNote"/>
      </w:pPr>
      <w:r>
        <w:tab/>
        <w:t>Note:</w:t>
      </w:r>
      <w:r>
        <w:tab/>
        <w:t>The heading to amended section 29 is to read:</w:t>
      </w:r>
    </w:p>
    <w:p>
      <w:pPr>
        <w:pStyle w:val="nzSectAltHeading"/>
      </w:pPr>
      <w:r>
        <w:rPr>
          <w:b w:val="0"/>
        </w:rPr>
        <w:tab/>
      </w:r>
      <w:r>
        <w:rPr>
          <w:b w:val="0"/>
        </w:rPr>
        <w:tab/>
      </w:r>
      <w:r>
        <w:t>Variation of strata scheme on taking</w:t>
      </w:r>
    </w:p>
    <w:p>
      <w:pPr>
        <w:pStyle w:val="nzPermNoteHeading"/>
      </w:pPr>
      <w:r>
        <w:tab/>
        <w:t>Note:</w:t>
      </w:r>
    </w:p>
    <w:p>
      <w:pPr>
        <w:pStyle w:val="nzPermNoteText"/>
      </w:pPr>
      <w:r>
        <w:tab/>
      </w:r>
      <w:r>
        <w:tab/>
        <w:t>Section 29 (as amended) is renumbered as section 167 and relocated to Part 11 Division 2.</w:t>
      </w:r>
    </w:p>
    <w:p>
      <w:pPr>
        <w:pStyle w:val="nzHeading5"/>
      </w:pPr>
      <w:bookmarkStart w:id="537" w:name="_Toc530474293"/>
      <w:bookmarkStart w:id="538" w:name="_Toc530474888"/>
      <w:r>
        <w:rPr>
          <w:rStyle w:val="CharSectno"/>
        </w:rPr>
        <w:t>33</w:t>
      </w:r>
      <w:r>
        <w:t>.</w:t>
      </w:r>
      <w:r>
        <w:tab/>
        <w:t>Section 29A amended</w:t>
      </w:r>
      <w:bookmarkEnd w:id="537"/>
      <w:bookmarkEnd w:id="538"/>
    </w:p>
    <w:p>
      <w:pPr>
        <w:pStyle w:val="nzSubsection"/>
      </w:pPr>
      <w:r>
        <w:tab/>
        <w:t>(1)</w:t>
      </w:r>
      <w:r>
        <w:tab/>
        <w:t>Before section 29A(1) insert:</w:t>
      </w:r>
    </w:p>
    <w:p>
      <w:pPr>
        <w:pStyle w:val="BlankOpen"/>
      </w:pPr>
    </w:p>
    <w:p>
      <w:pPr>
        <w:pStyle w:val="nzSubsection"/>
      </w:pPr>
      <w:r>
        <w:tab/>
        <w:t>(1A)</w:t>
      </w:r>
      <w:r>
        <w:tab/>
        <w:t>An application for an order under this section for a survey</w:t>
      </w:r>
      <w:r>
        <w:noBreakHyphen/>
        <w:t>strata scheme can be made by any of the following —</w:t>
      </w:r>
    </w:p>
    <w:p>
      <w:pPr>
        <w:pStyle w:val="nzIndenta"/>
      </w:pPr>
      <w:r>
        <w:tab/>
        <w:t>(a)</w:t>
      </w:r>
      <w:r>
        <w:tab/>
        <w:t>the strata company;</w:t>
      </w:r>
    </w:p>
    <w:p>
      <w:pPr>
        <w:pStyle w:val="nzIndenta"/>
      </w:pPr>
      <w:r>
        <w:tab/>
        <w:t>(b)</w:t>
      </w:r>
      <w:r>
        <w:tab/>
        <w:t>the owner of a lot in the scheme;</w:t>
      </w:r>
    </w:p>
    <w:p>
      <w:pPr>
        <w:pStyle w:val="nzIndenta"/>
      </w:pPr>
      <w:r>
        <w:tab/>
        <w:t>(c)</w:t>
      </w:r>
      <w:r>
        <w:tab/>
        <w:t>a registered mortgagee of a lot in the scheme;</w:t>
      </w:r>
    </w:p>
    <w:p>
      <w:pPr>
        <w:pStyle w:val="nzIndenta"/>
      </w:pPr>
      <w:r>
        <w:tab/>
        <w:t>(d)</w:t>
      </w:r>
      <w:r>
        <w:tab/>
        <w:t>for a leasehold scheme, the owner of the leasehold scheme.</w:t>
      </w:r>
    </w:p>
    <w:p>
      <w:pPr>
        <w:pStyle w:val="BlankClose"/>
      </w:pPr>
    </w:p>
    <w:p>
      <w:pPr>
        <w:pStyle w:val="nzSubsection"/>
      </w:pPr>
      <w:r>
        <w:tab/>
        <w:t>(2)</w:t>
      </w:r>
      <w:r>
        <w:tab/>
        <w:t>In section 29A(1) delete “Where part of the land in a parcel in a survey</w:t>
      </w:r>
      <w:r>
        <w:noBreakHyphen/>
        <w:t xml:space="preserve">strata scheme is taken, the District Court may, on an </w:t>
      </w:r>
      <w:r>
        <w:rPr>
          <w:snapToGrid w:val="0"/>
        </w:rPr>
        <w:t>application by the strata company or by a proprietor or a registered mortgagee of a lot within the scheme,</w:t>
      </w:r>
      <w:r>
        <w:t>” and insert:</w:t>
      </w:r>
    </w:p>
    <w:p>
      <w:pPr>
        <w:pStyle w:val="BlankOpen"/>
      </w:pPr>
    </w:p>
    <w:p>
      <w:pPr>
        <w:pStyle w:val="nzSubsection"/>
      </w:pPr>
      <w:r>
        <w:tab/>
      </w:r>
      <w:r>
        <w:tab/>
        <w:t>If part of a parcel subdivided by a survey</w:t>
      </w:r>
      <w:r>
        <w:noBreakHyphen/>
        <w:t>strata scheme is taken, the Tribunal may</w:t>
      </w:r>
    </w:p>
    <w:p>
      <w:pPr>
        <w:pStyle w:val="BlankClose"/>
      </w:pPr>
    </w:p>
    <w:p>
      <w:pPr>
        <w:pStyle w:val="nzSubsection"/>
      </w:pPr>
      <w:r>
        <w:tab/>
        <w:t>(3)</w:t>
      </w:r>
      <w:r>
        <w:tab/>
        <w:t>In section 29A(2):</w:t>
      </w:r>
    </w:p>
    <w:p>
      <w:pPr>
        <w:pStyle w:val="nzIndenta"/>
      </w:pPr>
      <w:r>
        <w:tab/>
        <w:t>(a)</w:t>
      </w:r>
      <w:r>
        <w:tab/>
        <w:t>delete “the generality o</w:t>
      </w:r>
      <w:r>
        <w:rPr>
          <w:spacing w:val="40"/>
        </w:rPr>
        <w:t>f</w:t>
      </w:r>
      <w:r>
        <w:t>”;</w:t>
      </w:r>
    </w:p>
    <w:p>
      <w:pPr>
        <w:pStyle w:val="nzIndenta"/>
      </w:pPr>
      <w:r>
        <w:tab/>
        <w:t>(b)</w:t>
      </w:r>
      <w:r>
        <w:tab/>
        <w:t>delete “such directions for or with respect to any one” and insert:</w:t>
      </w:r>
    </w:p>
    <w:p>
      <w:pPr>
        <w:pStyle w:val="BlankOpen"/>
        <w:rPr>
          <w:snapToGrid w:val="0"/>
        </w:rPr>
      </w:pPr>
    </w:p>
    <w:p>
      <w:pPr>
        <w:pStyle w:val="nzIndenta"/>
        <w:rPr>
          <w:snapToGrid w:val="0"/>
        </w:rPr>
      </w:pPr>
      <w:r>
        <w:rPr>
          <w:snapToGrid w:val="0"/>
        </w:rPr>
        <w:tab/>
      </w:r>
      <w:r>
        <w:rPr>
          <w:snapToGrid w:val="0"/>
        </w:rPr>
        <w:tab/>
        <w:t>directions for any 1</w:t>
      </w:r>
    </w:p>
    <w:p>
      <w:pPr>
        <w:pStyle w:val="BlankClose"/>
      </w:pPr>
    </w:p>
    <w:p>
      <w:pPr>
        <w:pStyle w:val="nzIndenta"/>
      </w:pPr>
      <w:r>
        <w:tab/>
        <w:t>(c)</w:t>
      </w:r>
      <w:r>
        <w:tab/>
        <w:t>delete “matters as the District Court considers necessary or expedient —” and insert:</w:t>
      </w:r>
    </w:p>
    <w:p>
      <w:pPr>
        <w:pStyle w:val="BlankOpen"/>
      </w:pPr>
    </w:p>
    <w:p>
      <w:pPr>
        <w:pStyle w:val="nzIndenta"/>
      </w:pPr>
      <w:r>
        <w:tab/>
      </w:r>
      <w:r>
        <w:tab/>
        <w:t>matters —</w:t>
      </w:r>
    </w:p>
    <w:p>
      <w:pPr>
        <w:pStyle w:val="BlankClose"/>
      </w:pPr>
    </w:p>
    <w:p>
      <w:pPr>
        <w:pStyle w:val="nzIndenta"/>
      </w:pPr>
      <w:r>
        <w:tab/>
        <w:t>(d)</w:t>
      </w:r>
      <w:r>
        <w:tab/>
        <w:t>in paragraph (a) delete “entitlement o</w:t>
      </w:r>
      <w:r>
        <w:rPr>
          <w:spacing w:val="40"/>
        </w:rPr>
        <w:t>f</w:t>
      </w:r>
      <w:r>
        <w:t>” and insert:</w:t>
      </w:r>
    </w:p>
    <w:p>
      <w:pPr>
        <w:pStyle w:val="BlankOpen"/>
      </w:pPr>
    </w:p>
    <w:p>
      <w:pPr>
        <w:pStyle w:val="nzIndenta"/>
      </w:pPr>
      <w:r>
        <w:tab/>
      </w:r>
      <w:r>
        <w:tab/>
        <w:t>entitlements of</w:t>
      </w:r>
    </w:p>
    <w:p>
      <w:pPr>
        <w:pStyle w:val="BlankClose"/>
      </w:pPr>
    </w:p>
    <w:p>
      <w:pPr>
        <w:pStyle w:val="nzIndenta"/>
      </w:pPr>
      <w:r>
        <w:tab/>
        <w:t>(e)</w:t>
      </w:r>
      <w:r>
        <w:tab/>
        <w:t>in paragraph (a) delete “entitlement; and” and insert:</w:t>
      </w:r>
    </w:p>
    <w:p>
      <w:pPr>
        <w:pStyle w:val="BlankOpen"/>
      </w:pPr>
    </w:p>
    <w:p>
      <w:pPr>
        <w:pStyle w:val="nzIndenta"/>
      </w:pPr>
      <w:r>
        <w:tab/>
      </w:r>
      <w:r>
        <w:tab/>
        <w:t>entitlements; and</w:t>
      </w:r>
    </w:p>
    <w:p>
      <w:pPr>
        <w:pStyle w:val="BlankClose"/>
      </w:pPr>
    </w:p>
    <w:p>
      <w:pPr>
        <w:pStyle w:val="nzIndenta"/>
      </w:pPr>
      <w:r>
        <w:tab/>
        <w:t>(f)</w:t>
      </w:r>
      <w:r>
        <w:tab/>
        <w:t xml:space="preserve">in paragraph (b) delete “moneys” and insert </w:t>
      </w:r>
    </w:p>
    <w:p>
      <w:pPr>
        <w:pStyle w:val="BlankOpen"/>
      </w:pPr>
    </w:p>
    <w:p>
      <w:pPr>
        <w:pStyle w:val="nzIndenta"/>
      </w:pPr>
      <w:r>
        <w:tab/>
      </w:r>
      <w:r>
        <w:tab/>
        <w:t>money</w:t>
      </w:r>
    </w:p>
    <w:p>
      <w:pPr>
        <w:pStyle w:val="BlankClose"/>
      </w:pPr>
    </w:p>
    <w:p>
      <w:pPr>
        <w:pStyle w:val="nzIndenta"/>
      </w:pPr>
      <w:r>
        <w:tab/>
        <w:t>(g)</w:t>
      </w:r>
      <w:r>
        <w:tab/>
        <w:t>in paragraph (b) delete “</w:t>
      </w:r>
      <w:r>
        <w:rPr>
          <w:snapToGrid w:val="0"/>
        </w:rPr>
        <w:t>any one or more of the proprietors; and</w:t>
      </w:r>
      <w:r>
        <w:t>” and insert:</w:t>
      </w:r>
    </w:p>
    <w:p>
      <w:pPr>
        <w:pStyle w:val="BlankOpen"/>
      </w:pPr>
    </w:p>
    <w:p>
      <w:pPr>
        <w:pStyle w:val="nzIndenta"/>
      </w:pPr>
      <w:r>
        <w:tab/>
      </w:r>
      <w:r>
        <w:tab/>
        <w:t>the owner of a lot or, in the case of a leasehold scheme, the owner of the leasehold scheme; and</w:t>
      </w:r>
    </w:p>
    <w:p>
      <w:pPr>
        <w:pStyle w:val="BlankClose"/>
      </w:pPr>
    </w:p>
    <w:p>
      <w:pPr>
        <w:pStyle w:val="nzIndenta"/>
      </w:pPr>
      <w:r>
        <w:tab/>
        <w:t>(h)</w:t>
      </w:r>
      <w:r>
        <w:tab/>
        <w:t>in paragraph (c) delete “registered”;</w:t>
      </w:r>
    </w:p>
    <w:p>
      <w:pPr>
        <w:pStyle w:val="nzIndenta"/>
      </w:pPr>
      <w:r>
        <w:tab/>
        <w:t>(i)</w:t>
      </w:r>
      <w:r>
        <w:tab/>
        <w:t>in paragraphs (c), (d) and (e) delete “District Court” (each occurrence) and insert:</w:t>
      </w:r>
    </w:p>
    <w:p>
      <w:pPr>
        <w:pStyle w:val="BlankOpen"/>
      </w:pPr>
    </w:p>
    <w:p>
      <w:pPr>
        <w:pStyle w:val="nzIndenta"/>
      </w:pPr>
      <w:r>
        <w:tab/>
      </w:r>
      <w:r>
        <w:tab/>
        <w:t>Tribunal</w:t>
      </w:r>
    </w:p>
    <w:p>
      <w:pPr>
        <w:pStyle w:val="BlankClose"/>
      </w:pPr>
    </w:p>
    <w:p>
      <w:pPr>
        <w:pStyle w:val="nzSubsection"/>
        <w:rPr>
          <w:snapToGrid w:val="0"/>
        </w:rPr>
      </w:pPr>
      <w:r>
        <w:tab/>
        <w:t>(4)</w:t>
      </w:r>
      <w:r>
        <w:tab/>
        <w:t>In section 29A(3) delete “</w:t>
      </w:r>
      <w:r>
        <w:rPr>
          <w:snapToGrid w:val="0"/>
        </w:rPr>
        <w:t>District Court may from time to time amend any” and insert:</w:t>
      </w:r>
    </w:p>
    <w:p>
      <w:pPr>
        <w:pStyle w:val="BlankOpen"/>
      </w:pPr>
    </w:p>
    <w:p>
      <w:pPr>
        <w:pStyle w:val="nzSubsection"/>
      </w:pPr>
      <w:r>
        <w:tab/>
      </w:r>
      <w:r>
        <w:tab/>
        <w:t xml:space="preserve">Tribunal </w:t>
      </w:r>
      <w:r>
        <w:rPr>
          <w:snapToGrid w:val="0"/>
        </w:rPr>
        <w:t>may amend an</w:t>
      </w:r>
    </w:p>
    <w:p>
      <w:pPr>
        <w:pStyle w:val="BlankClose"/>
      </w:pPr>
    </w:p>
    <w:p>
      <w:pPr>
        <w:pStyle w:val="nzSubsection"/>
      </w:pPr>
      <w:r>
        <w:tab/>
        <w:t>(5)</w:t>
      </w:r>
      <w:r>
        <w:tab/>
        <w:t>Delete section 29A(4) and (5).</w:t>
      </w:r>
    </w:p>
    <w:p>
      <w:pPr>
        <w:pStyle w:val="nzSectAltNote"/>
      </w:pPr>
      <w:r>
        <w:tab/>
        <w:t>Note:</w:t>
      </w:r>
      <w:r>
        <w:tab/>
        <w:t>The heading to amended 29A is to read:</w:t>
      </w:r>
    </w:p>
    <w:p>
      <w:pPr>
        <w:pStyle w:val="nzSectAltHeading"/>
      </w:pPr>
      <w:r>
        <w:rPr>
          <w:b w:val="0"/>
        </w:rPr>
        <w:tab/>
      </w:r>
      <w:r>
        <w:rPr>
          <w:b w:val="0"/>
        </w:rPr>
        <w:tab/>
      </w:r>
      <w:r>
        <w:t>Variation of survey</w:t>
      </w:r>
      <w:r>
        <w:noBreakHyphen/>
        <w:t>strata scheme on taking</w:t>
      </w:r>
    </w:p>
    <w:p>
      <w:pPr>
        <w:pStyle w:val="nzPermNoteHeading"/>
      </w:pPr>
      <w:r>
        <w:tab/>
        <w:t>Note:</w:t>
      </w:r>
    </w:p>
    <w:p>
      <w:pPr>
        <w:pStyle w:val="nzPermNoteText"/>
      </w:pPr>
      <w:r>
        <w:tab/>
      </w:r>
      <w:r>
        <w:tab/>
        <w:t>Section 29A (as amended) is renumbered as section 168 and relocated to Part 11 Division 2.</w:t>
      </w:r>
    </w:p>
    <w:p>
      <w:pPr>
        <w:pStyle w:val="nzHeading5"/>
      </w:pPr>
      <w:bookmarkStart w:id="539" w:name="_Toc530474294"/>
      <w:bookmarkStart w:id="540" w:name="_Toc530474889"/>
      <w:r>
        <w:rPr>
          <w:rStyle w:val="CharSectno"/>
        </w:rPr>
        <w:t>34</w:t>
      </w:r>
      <w:r>
        <w:t>.</w:t>
      </w:r>
      <w:r>
        <w:tab/>
        <w:t>Section 29B amended</w:t>
      </w:r>
      <w:bookmarkEnd w:id="539"/>
      <w:bookmarkEnd w:id="540"/>
    </w:p>
    <w:p>
      <w:pPr>
        <w:pStyle w:val="nzSubsection"/>
      </w:pPr>
      <w:r>
        <w:tab/>
        <w:t>(1)</w:t>
      </w:r>
      <w:r>
        <w:tab/>
        <w:t>In section 29B(1):</w:t>
      </w:r>
    </w:p>
    <w:p>
      <w:pPr>
        <w:pStyle w:val="nzIndenta"/>
        <w:rPr>
          <w:snapToGrid w:val="0"/>
        </w:rPr>
      </w:pPr>
      <w:r>
        <w:tab/>
        <w:t>(a)</w:t>
      </w:r>
      <w:r>
        <w:tab/>
        <w:t xml:space="preserve"> delete “</w:t>
      </w:r>
      <w:r>
        <w:rPr>
          <w:snapToGrid w:val="0"/>
        </w:rPr>
        <w:t>Where part of the land in a strata plan is taken and the taking includes part but not the whole of any lot in the scheme,” and insert:</w:t>
      </w:r>
    </w:p>
    <w:p>
      <w:pPr>
        <w:pStyle w:val="BlankOpen"/>
      </w:pPr>
    </w:p>
    <w:p>
      <w:pPr>
        <w:pStyle w:val="nzIndenta"/>
      </w:pPr>
      <w:r>
        <w:tab/>
      </w:r>
      <w:r>
        <w:tab/>
        <w:t xml:space="preserve">If </w:t>
      </w:r>
      <w:r>
        <w:rPr>
          <w:snapToGrid w:val="0"/>
          <w:spacing w:val="-4"/>
        </w:rPr>
        <w:t xml:space="preserve">part of </w:t>
      </w:r>
      <w:r>
        <w:t>a parcel subdivided by a strata titles scheme is taken,</w:t>
      </w:r>
    </w:p>
    <w:p>
      <w:pPr>
        <w:pStyle w:val="BlankClose"/>
      </w:pPr>
    </w:p>
    <w:p>
      <w:pPr>
        <w:pStyle w:val="nzIndenta"/>
      </w:pPr>
      <w:r>
        <w:tab/>
        <w:t>(b)</w:t>
      </w:r>
      <w:r>
        <w:tab/>
        <w:t xml:space="preserve">delete “shall,” and insert: </w:t>
      </w:r>
    </w:p>
    <w:p>
      <w:pPr>
        <w:pStyle w:val="BlankOpen"/>
      </w:pPr>
    </w:p>
    <w:p>
      <w:pPr>
        <w:pStyle w:val="nzIndenta"/>
      </w:pPr>
      <w:r>
        <w:tab/>
      </w:r>
      <w:r>
        <w:tab/>
        <w:t>must,</w:t>
      </w:r>
    </w:p>
    <w:p>
      <w:pPr>
        <w:pStyle w:val="BlankClose"/>
      </w:pPr>
    </w:p>
    <w:p>
      <w:pPr>
        <w:pStyle w:val="nzIndenta"/>
      </w:pPr>
      <w:r>
        <w:tab/>
        <w:t>(c)</w:t>
      </w:r>
      <w:r>
        <w:tab/>
        <w:t>delete “subsection (2).” and insert:</w:t>
      </w:r>
    </w:p>
    <w:p>
      <w:pPr>
        <w:pStyle w:val="BlankOpen"/>
      </w:pPr>
    </w:p>
    <w:p>
      <w:pPr>
        <w:pStyle w:val="nzIndenta"/>
        <w:rPr>
          <w:rStyle w:val="CharDefText"/>
          <w:b w:val="0"/>
          <w:i w:val="0"/>
        </w:rPr>
      </w:pPr>
      <w:r>
        <w:tab/>
      </w:r>
      <w:r>
        <w:tab/>
        <w:t xml:space="preserve">requirements specified in the regulations (the </w:t>
      </w:r>
      <w:r>
        <w:rPr>
          <w:rStyle w:val="CharDefText"/>
        </w:rPr>
        <w:t>redefining plan</w:t>
      </w:r>
      <w:r>
        <w:t>).</w:t>
      </w:r>
    </w:p>
    <w:p>
      <w:pPr>
        <w:pStyle w:val="BlankClose"/>
        <w:rPr>
          <w:rStyle w:val="CharDefText"/>
          <w:b w:val="0"/>
          <w:i w:val="0"/>
        </w:rPr>
      </w:pPr>
    </w:p>
    <w:p>
      <w:pPr>
        <w:pStyle w:val="nzSubsection"/>
      </w:pPr>
      <w:r>
        <w:tab/>
        <w:t>(2)</w:t>
      </w:r>
      <w:r>
        <w:tab/>
        <w:t>Delete section 29B(2) and (3) and insert:</w:t>
      </w:r>
    </w:p>
    <w:p>
      <w:pPr>
        <w:pStyle w:val="BlankOpen"/>
      </w:pPr>
    </w:p>
    <w:p>
      <w:pPr>
        <w:pStyle w:val="nzSubsection"/>
      </w:pPr>
      <w:r>
        <w:tab/>
        <w:t>(2)</w:t>
      </w:r>
      <w:r>
        <w:tab/>
        <w:t>On registration of the redefining plan —</w:t>
      </w:r>
    </w:p>
    <w:p>
      <w:pPr>
        <w:pStyle w:val="nzIndenta"/>
      </w:pPr>
      <w:r>
        <w:tab/>
        <w:t>(a)</w:t>
      </w:r>
      <w:r>
        <w:tab/>
        <w:t>the redefining plan is taken to be part of the scheme plan as previously registered; and</w:t>
      </w:r>
    </w:p>
    <w:p>
      <w:pPr>
        <w:pStyle w:val="nzIndenta"/>
      </w:pPr>
      <w:r>
        <w:tab/>
        <w:t>(b)</w:t>
      </w:r>
      <w:r>
        <w:tab/>
        <w:t>the Registrar of Titles must amend the registered scheme plan in the manner specified in the regulations.</w:t>
      </w:r>
    </w:p>
    <w:p>
      <w:pPr>
        <w:pStyle w:val="BlankClose"/>
      </w:pPr>
    </w:p>
    <w:p>
      <w:pPr>
        <w:pStyle w:val="nzSubsection"/>
      </w:pPr>
      <w:r>
        <w:tab/>
        <w:t>(3)</w:t>
      </w:r>
      <w:r>
        <w:tab/>
        <w:t xml:space="preserve">In section 29B(4) in the definition of </w:t>
      </w:r>
      <w:r>
        <w:rPr>
          <w:b/>
          <w:i/>
        </w:rPr>
        <w:t>acquiring authority</w:t>
      </w:r>
      <w:r>
        <w:t xml:space="preserve"> paragraph (b) delete “where” and insert:</w:t>
      </w:r>
    </w:p>
    <w:p>
      <w:pPr>
        <w:pStyle w:val="BlankOpen"/>
      </w:pPr>
    </w:p>
    <w:p>
      <w:pPr>
        <w:pStyle w:val="nzSubsection"/>
      </w:pPr>
      <w:r>
        <w:tab/>
      </w:r>
      <w:r>
        <w:tab/>
        <w:t>if</w:t>
      </w:r>
    </w:p>
    <w:p>
      <w:pPr>
        <w:pStyle w:val="BlankClose"/>
        <w:keepNext/>
      </w:pPr>
    </w:p>
    <w:p>
      <w:pPr>
        <w:pStyle w:val="nzSectAltNote"/>
      </w:pPr>
      <w:r>
        <w:tab/>
        <w:t>Note:</w:t>
      </w:r>
      <w:r>
        <w:tab/>
        <w:t>The heading to amended 29B is to read:</w:t>
      </w:r>
    </w:p>
    <w:p>
      <w:pPr>
        <w:pStyle w:val="nzSectAltHeading"/>
      </w:pPr>
      <w:r>
        <w:rPr>
          <w:b w:val="0"/>
        </w:rPr>
        <w:tab/>
      </w:r>
      <w:r>
        <w:rPr>
          <w:b w:val="0"/>
        </w:rPr>
        <w:tab/>
      </w:r>
      <w:r>
        <w:t>Acquiring authority to lodge redefining plan after partial taking</w:t>
      </w:r>
    </w:p>
    <w:p>
      <w:pPr>
        <w:pStyle w:val="nzPermNoteHeading"/>
      </w:pPr>
      <w:r>
        <w:tab/>
        <w:t>Note:</w:t>
      </w:r>
    </w:p>
    <w:p>
      <w:pPr>
        <w:pStyle w:val="nzPermNoteText"/>
      </w:pPr>
      <w:r>
        <w:tab/>
      </w:r>
      <w:r>
        <w:tab/>
        <w:t>Section 29B (as amended) is renumbered as section 169 and relocated to Part 11 Division 2.</w:t>
      </w:r>
    </w:p>
    <w:p>
      <w:pPr>
        <w:pStyle w:val="nzHeading5"/>
      </w:pPr>
      <w:bookmarkStart w:id="541" w:name="_Toc530474295"/>
      <w:bookmarkStart w:id="542" w:name="_Toc530474890"/>
      <w:r>
        <w:rPr>
          <w:rStyle w:val="CharSectno"/>
        </w:rPr>
        <w:t>35</w:t>
      </w:r>
      <w:r>
        <w:t>.</w:t>
      </w:r>
      <w:r>
        <w:tab/>
        <w:t>Section 29C amended</w:t>
      </w:r>
      <w:bookmarkEnd w:id="541"/>
      <w:bookmarkEnd w:id="542"/>
    </w:p>
    <w:p>
      <w:pPr>
        <w:pStyle w:val="nzSubsection"/>
      </w:pPr>
      <w:r>
        <w:tab/>
        <w:t>(1)</w:t>
      </w:r>
      <w:r>
        <w:tab/>
        <w:t>In section 29C(1) after “that a” insert:</w:t>
      </w:r>
    </w:p>
    <w:p>
      <w:pPr>
        <w:pStyle w:val="BlankOpen"/>
      </w:pPr>
    </w:p>
    <w:p>
      <w:pPr>
        <w:pStyle w:val="nzSubsection"/>
      </w:pPr>
      <w:r>
        <w:tab/>
      </w:r>
      <w:r>
        <w:tab/>
        <w:t>strata titles</w:t>
      </w:r>
    </w:p>
    <w:p>
      <w:pPr>
        <w:pStyle w:val="BlankClose"/>
      </w:pPr>
    </w:p>
    <w:p>
      <w:pPr>
        <w:pStyle w:val="nzSubsection"/>
      </w:pPr>
      <w:r>
        <w:tab/>
        <w:t>(2)</w:t>
      </w:r>
      <w:r>
        <w:tab/>
        <w:t>In section 29C(2):</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“shall” and insert:</w:t>
      </w:r>
    </w:p>
    <w:p>
      <w:pPr>
        <w:pStyle w:val="BlankOpen"/>
      </w:pPr>
    </w:p>
    <w:p>
      <w:pPr>
        <w:pStyle w:val="nzIndenta"/>
      </w:pPr>
      <w:r>
        <w:tab/>
      </w:r>
      <w:r>
        <w:tab/>
        <w:t>must</w:t>
      </w:r>
    </w:p>
    <w:p>
      <w:pPr>
        <w:pStyle w:val="BlankClose"/>
      </w:pPr>
    </w:p>
    <w:p>
      <w:pPr>
        <w:pStyle w:val="nzSectAltNote"/>
      </w:pPr>
      <w:r>
        <w:tab/>
        <w:t>Note:</w:t>
      </w:r>
      <w:r>
        <w:tab/>
        <w:t>The heading to amended section 29C is to read:</w:t>
      </w:r>
    </w:p>
    <w:p>
      <w:pPr>
        <w:pStyle w:val="nzSectAltHeading"/>
      </w:pPr>
      <w:r>
        <w:rPr>
          <w:b w:val="0"/>
        </w:rPr>
        <w:tab/>
      </w:r>
      <w:r>
        <w:rPr>
          <w:b w:val="0"/>
        </w:rPr>
        <w:tab/>
      </w:r>
      <w:r>
        <w:t>Termination on compulsory acquisition</w:t>
      </w:r>
    </w:p>
    <w:p>
      <w:pPr>
        <w:pStyle w:val="nzPermNoteHeading"/>
      </w:pPr>
      <w:r>
        <w:tab/>
        <w:t>Note:</w:t>
      </w:r>
    </w:p>
    <w:p>
      <w:pPr>
        <w:pStyle w:val="nzPermNoteText"/>
      </w:pPr>
      <w:r>
        <w:tab/>
      </w:r>
      <w:r>
        <w:tab/>
        <w:t>Section 29C (as amended) is renumbered as section 196 and relocated to Part 12 Division 7.</w:t>
      </w:r>
    </w:p>
    <w:p>
      <w:pPr>
        <w:pStyle w:val="nzHeading5"/>
      </w:pPr>
      <w:bookmarkStart w:id="543" w:name="_Toc530474296"/>
      <w:bookmarkStart w:id="544" w:name="_Toc530474891"/>
      <w:r>
        <w:rPr>
          <w:rStyle w:val="CharSectno"/>
        </w:rPr>
        <w:t>36</w:t>
      </w:r>
      <w:r>
        <w:t>.</w:t>
      </w:r>
      <w:r>
        <w:tab/>
        <w:t>Section 31B amended</w:t>
      </w:r>
      <w:bookmarkEnd w:id="543"/>
      <w:bookmarkEnd w:id="544"/>
    </w:p>
    <w:p>
      <w:pPr>
        <w:pStyle w:val="nzSubsection"/>
      </w:pPr>
      <w:r>
        <w:tab/>
      </w:r>
      <w:r>
        <w:tab/>
        <w:t>In section 31B delete “</w:t>
      </w:r>
      <w:r>
        <w:rPr>
          <w:snapToGrid w:val="0"/>
        </w:rPr>
        <w:t>in respect of any land under Division 2 and the subsequent registration of a survey</w:t>
      </w:r>
      <w:r>
        <w:rPr>
          <w:snapToGrid w:val="0"/>
        </w:rPr>
        <w:noBreakHyphen/>
        <w:t>strata plan relating to the land under Part II.</w:t>
      </w:r>
      <w:r>
        <w:t>” and insert:</w:t>
      </w:r>
    </w:p>
    <w:p>
      <w:pPr>
        <w:pStyle w:val="BlankOpen"/>
      </w:pPr>
    </w:p>
    <w:p>
      <w:pPr>
        <w:pStyle w:val="nzSubsection"/>
      </w:pPr>
      <w:r>
        <w:tab/>
      </w:r>
      <w:r>
        <w:tab/>
      </w:r>
      <w:r>
        <w:rPr>
          <w:snapToGrid w:val="0"/>
        </w:rPr>
        <w:t>and the subsequent subdivision of the land by a strata titles scheme.</w:t>
      </w:r>
    </w:p>
    <w:p>
      <w:pPr>
        <w:pStyle w:val="BlankClose"/>
      </w:pPr>
    </w:p>
    <w:p>
      <w:pPr>
        <w:pStyle w:val="nzPermNoteHeading"/>
      </w:pPr>
      <w:r>
        <w:tab/>
        <w:t>Note:</w:t>
      </w:r>
    </w:p>
    <w:p>
      <w:pPr>
        <w:pStyle w:val="nzPermNoteText"/>
      </w:pPr>
      <w:r>
        <w:tab/>
      </w:r>
      <w:r>
        <w:tab/>
        <w:t>Section 31B (as amended) is redesignated as clause 31B and relocated to Schedule 2A.</w:t>
      </w:r>
    </w:p>
    <w:p>
      <w:pPr>
        <w:pStyle w:val="nzHeading5"/>
      </w:pPr>
      <w:bookmarkStart w:id="545" w:name="_Toc530474297"/>
      <w:bookmarkStart w:id="546" w:name="_Toc530474892"/>
      <w:r>
        <w:rPr>
          <w:rStyle w:val="CharSectno"/>
        </w:rPr>
        <w:t>37</w:t>
      </w:r>
      <w:r>
        <w:t>.</w:t>
      </w:r>
      <w:r>
        <w:tab/>
        <w:t>Section 31C amended</w:t>
      </w:r>
      <w:bookmarkEnd w:id="545"/>
      <w:bookmarkEnd w:id="546"/>
    </w:p>
    <w:p>
      <w:pPr>
        <w:pStyle w:val="nzSubsection"/>
      </w:pPr>
      <w:r>
        <w:tab/>
        <w:t>(1)</w:t>
      </w:r>
      <w:r>
        <w:tab/>
        <w:t>In section 31C(1) delete “prescribed form” and insert:</w:t>
      </w:r>
    </w:p>
    <w:p>
      <w:pPr>
        <w:pStyle w:val="BlankOpen"/>
      </w:pPr>
    </w:p>
    <w:p>
      <w:pPr>
        <w:pStyle w:val="nzSubsection"/>
      </w:pPr>
      <w:r>
        <w:tab/>
      </w:r>
      <w:r>
        <w:tab/>
      </w:r>
      <w:r>
        <w:rPr>
          <w:snapToGrid w:val="0"/>
        </w:rPr>
        <w:t>approved form</w:t>
      </w:r>
    </w:p>
    <w:p>
      <w:pPr>
        <w:pStyle w:val="BlankClose"/>
      </w:pPr>
    </w:p>
    <w:p>
      <w:pPr>
        <w:pStyle w:val="nzSubsection"/>
      </w:pPr>
      <w:r>
        <w:tab/>
        <w:t>(2)</w:t>
      </w:r>
      <w:r>
        <w:tab/>
        <w:t>In section 31C(2) delete “section” and insert:</w:t>
      </w:r>
    </w:p>
    <w:p>
      <w:pPr>
        <w:pStyle w:val="BlankOpen"/>
      </w:pPr>
    </w:p>
    <w:p>
      <w:pPr>
        <w:pStyle w:val="nzSubsection"/>
      </w:pPr>
      <w:r>
        <w:tab/>
      </w:r>
      <w:r>
        <w:tab/>
      </w:r>
      <w:r>
        <w:rPr>
          <w:snapToGrid w:val="0"/>
        </w:rPr>
        <w:t>clause</w:t>
      </w:r>
    </w:p>
    <w:p>
      <w:pPr>
        <w:pStyle w:val="BlankClose"/>
      </w:pPr>
    </w:p>
    <w:p>
      <w:pPr>
        <w:pStyle w:val="nzSubsection"/>
      </w:pPr>
      <w:r>
        <w:tab/>
        <w:t>(3)</w:t>
      </w:r>
      <w:r>
        <w:tab/>
        <w:t>In section 31C(3):</w:t>
      </w:r>
    </w:p>
    <w:p>
      <w:pPr>
        <w:pStyle w:val="nzIndenta"/>
      </w:pPr>
      <w:r>
        <w:tab/>
        <w:t>(a)</w:t>
      </w:r>
      <w:r>
        <w:tab/>
        <w:t>delete “subsection” and insert:</w:t>
      </w:r>
    </w:p>
    <w:p>
      <w:pPr>
        <w:pStyle w:val="BlankOpen"/>
      </w:pPr>
    </w:p>
    <w:p>
      <w:pPr>
        <w:pStyle w:val="nzIndenta"/>
      </w:pPr>
      <w:r>
        <w:tab/>
      </w:r>
      <w:r>
        <w:tab/>
        <w:t>sub</w:t>
      </w:r>
      <w:r>
        <w:rPr>
          <w:snapToGrid w:val="0"/>
        </w:rPr>
        <w:t>clause</w:t>
      </w:r>
    </w:p>
    <w:p>
      <w:pPr>
        <w:pStyle w:val="BlankClose"/>
      </w:pPr>
    </w:p>
    <w:p>
      <w:pPr>
        <w:pStyle w:val="nzIndenta"/>
      </w:pPr>
      <w:r>
        <w:tab/>
        <w:t>(b)</w:t>
      </w:r>
      <w:r>
        <w:tab/>
        <w:t>delete “section” and insert:</w:t>
      </w:r>
    </w:p>
    <w:p>
      <w:pPr>
        <w:pStyle w:val="BlankOpen"/>
      </w:pPr>
    </w:p>
    <w:p>
      <w:pPr>
        <w:pStyle w:val="nzIndenta"/>
      </w:pPr>
      <w:r>
        <w:tab/>
      </w:r>
      <w:r>
        <w:tab/>
      </w:r>
      <w:r>
        <w:rPr>
          <w:snapToGrid w:val="0"/>
        </w:rPr>
        <w:t>clause</w:t>
      </w:r>
    </w:p>
    <w:p>
      <w:pPr>
        <w:pStyle w:val="BlankClose"/>
      </w:pPr>
    </w:p>
    <w:p>
      <w:pPr>
        <w:pStyle w:val="nzSubsection"/>
      </w:pPr>
      <w:r>
        <w:tab/>
        <w:t>(4)</w:t>
      </w:r>
      <w:r>
        <w:tab/>
        <w:t>Delete section 31C(4).</w:t>
      </w:r>
    </w:p>
    <w:p>
      <w:pPr>
        <w:pStyle w:val="nzPermNoteHeading"/>
      </w:pPr>
      <w:r>
        <w:tab/>
        <w:t>Note:</w:t>
      </w:r>
    </w:p>
    <w:p>
      <w:pPr>
        <w:pStyle w:val="nzPermNoteText"/>
      </w:pPr>
      <w:r>
        <w:tab/>
      </w:r>
      <w:r>
        <w:tab/>
        <w:t>Section 31C (as amended) is redesignated as clause 31C and relocated to Schedule 2A.</w:t>
      </w:r>
    </w:p>
    <w:p>
      <w:pPr>
        <w:pStyle w:val="nzHeading5"/>
      </w:pPr>
      <w:bookmarkStart w:id="547" w:name="_Toc530474298"/>
      <w:bookmarkStart w:id="548" w:name="_Toc530474893"/>
      <w:r>
        <w:rPr>
          <w:rStyle w:val="CharSectno"/>
        </w:rPr>
        <w:t>38</w:t>
      </w:r>
      <w:r>
        <w:t>.</w:t>
      </w:r>
      <w:r>
        <w:tab/>
        <w:t>Section 31D amended</w:t>
      </w:r>
      <w:bookmarkEnd w:id="547"/>
      <w:bookmarkEnd w:id="548"/>
    </w:p>
    <w:p>
      <w:pPr>
        <w:pStyle w:val="nzSubsection"/>
      </w:pPr>
      <w:r>
        <w:tab/>
        <w:t>(1)</w:t>
      </w:r>
      <w:r>
        <w:tab/>
        <w:t>Delete section 31D(1) and insert:</w:t>
      </w:r>
    </w:p>
    <w:p>
      <w:pPr>
        <w:pStyle w:val="BlankOpen"/>
      </w:pPr>
    </w:p>
    <w:p>
      <w:pPr>
        <w:pStyle w:val="nz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BlankClose"/>
      </w:pPr>
    </w:p>
    <w:p>
      <w:pPr>
        <w:pStyle w:val="nzSubsection"/>
      </w:pPr>
      <w:r>
        <w:tab/>
        <w:t>(2)</w:t>
      </w:r>
      <w:r>
        <w:tab/>
        <w:t>In section 31D(2) delete “proprietors” and insert:</w:t>
      </w:r>
    </w:p>
    <w:p>
      <w:pPr>
        <w:pStyle w:val="BlankOpen"/>
      </w:pPr>
    </w:p>
    <w:p>
      <w:pPr>
        <w:pStyle w:val="nzSubsection"/>
      </w:pPr>
      <w:r>
        <w:tab/>
      </w:r>
      <w:r>
        <w:tab/>
        <w:t>owners</w:t>
      </w:r>
    </w:p>
    <w:p>
      <w:pPr>
        <w:pStyle w:val="BlankClose"/>
      </w:pPr>
    </w:p>
    <w:p>
      <w:pPr>
        <w:pStyle w:val="nzSubsection"/>
      </w:pPr>
      <w:r>
        <w:tab/>
        <w:t>(3)</w:t>
      </w:r>
      <w:r>
        <w:tab/>
        <w:t>Delete section 31D(3) and insert:</w:t>
      </w:r>
    </w:p>
    <w:p>
      <w:pPr>
        <w:pStyle w:val="BlankOpen"/>
      </w:pPr>
    </w:p>
    <w:p>
      <w:pPr>
        <w:pStyle w:val="nzSubsection"/>
        <w:rPr>
          <w:snapToGrid w:val="0"/>
        </w:rPr>
      </w:pPr>
      <w:r>
        <w:rPr>
          <w:snapToGrid w:val="0"/>
        </w:rPr>
        <w:tab/>
        <w:t>(3)</w:t>
      </w:r>
      <w:r>
        <w:rPr>
          <w:snapToGrid w:val="0"/>
        </w:rPr>
        <w:tab/>
        <w:t>The notice of resolution —</w:t>
      </w:r>
    </w:p>
    <w:p>
      <w:pPr>
        <w:pStyle w:val="nzIndenta"/>
        <w:rPr>
          <w:snapToGrid w:val="0"/>
        </w:rPr>
      </w:pPr>
      <w:r>
        <w:rPr>
          <w:snapToGrid w:val="0"/>
        </w:rPr>
        <w:tab/>
        <w:t>(a)</w:t>
      </w:r>
      <w:r>
        <w:rPr>
          <w:snapToGrid w:val="0"/>
        </w:rPr>
        <w:tab/>
        <w:t>if it is lodged by the strata company, is to be executed by the strata company; or</w:t>
      </w:r>
    </w:p>
    <w:p>
      <w:pPr>
        <w:pStyle w:val="nzIndenta"/>
        <w:rPr>
          <w:snapToGrid w:val="0"/>
        </w:rPr>
      </w:pPr>
      <w:r>
        <w:rPr>
          <w:snapToGrid w:val="0"/>
        </w:rPr>
        <w:tab/>
        <w:t>(b)</w:t>
      </w:r>
      <w:r>
        <w:rPr>
          <w:snapToGrid w:val="0"/>
        </w:rPr>
        <w:tab/>
        <w:t>if it is lodged by the owners of lots, is to be signed by each owner.</w:t>
      </w:r>
    </w:p>
    <w:p>
      <w:pPr>
        <w:pStyle w:val="BlankClose"/>
      </w:pPr>
    </w:p>
    <w:p>
      <w:pPr>
        <w:pStyle w:val="nzPermNoteHeading"/>
      </w:pPr>
      <w:r>
        <w:tab/>
        <w:t>Note:</w:t>
      </w:r>
    </w:p>
    <w:p>
      <w:pPr>
        <w:pStyle w:val="nzPermNoteText"/>
      </w:pPr>
      <w:r>
        <w:tab/>
      </w:r>
      <w:r>
        <w:tab/>
        <w:t>Section 31D (as amended) is redesignated as clause 31D and relocated to Schedule 2A.</w:t>
      </w:r>
    </w:p>
    <w:p>
      <w:pPr>
        <w:pStyle w:val="nzHeading5"/>
      </w:pPr>
      <w:bookmarkStart w:id="549" w:name="_Toc530474299"/>
      <w:bookmarkStart w:id="550" w:name="_Toc530474894"/>
      <w:r>
        <w:rPr>
          <w:rStyle w:val="CharSectno"/>
        </w:rPr>
        <w:t>39</w:t>
      </w:r>
      <w:r>
        <w:t>.</w:t>
      </w:r>
      <w:r>
        <w:tab/>
        <w:t>Section 31E amended</w:t>
      </w:r>
      <w:bookmarkEnd w:id="549"/>
      <w:bookmarkEnd w:id="550"/>
    </w:p>
    <w:p>
      <w:pPr>
        <w:pStyle w:val="nzSubsection"/>
      </w:pPr>
      <w:r>
        <w:tab/>
        <w:t>(1)</w:t>
      </w:r>
      <w:r>
        <w:tab/>
        <w:t>In section 31E(1):</w:t>
      </w:r>
    </w:p>
    <w:p>
      <w:pPr>
        <w:pStyle w:val="nzIndenta"/>
      </w:pPr>
      <w:r>
        <w:tab/>
        <w:t>(a)</w:t>
      </w:r>
      <w:r>
        <w:tab/>
        <w:t>in paragraph (a)(i) delete “prescribed manner —” and insert:</w:t>
      </w:r>
    </w:p>
    <w:p>
      <w:pPr>
        <w:pStyle w:val="BlankOpen"/>
      </w:pPr>
    </w:p>
    <w:p>
      <w:pPr>
        <w:pStyle w:val="nzIndenta"/>
      </w:pPr>
      <w:r>
        <w:tab/>
      </w:r>
      <w:r>
        <w:tab/>
      </w:r>
      <w:r>
        <w:rPr>
          <w:snapToGrid w:val="0"/>
        </w:rPr>
        <w:t xml:space="preserve">manner specified in the regulations — </w:t>
      </w:r>
    </w:p>
    <w:p>
      <w:pPr>
        <w:pStyle w:val="BlankClose"/>
      </w:pPr>
    </w:p>
    <w:p>
      <w:pPr>
        <w:pStyle w:val="nzIndenta"/>
      </w:pPr>
      <w:r>
        <w:tab/>
        <w:t>(b)</w:t>
      </w:r>
      <w:r>
        <w:tab/>
        <w:t>delete paragraph (a)(i)(II) and insert:</w:t>
      </w:r>
    </w:p>
    <w:p>
      <w:pPr>
        <w:pStyle w:val="BlankOpen"/>
      </w:pPr>
    </w:p>
    <w:p>
      <w:pPr>
        <w:pStyle w:val="nzIndentI0"/>
        <w:rPr>
          <w:snapToGrid w:val="0"/>
        </w:rPr>
      </w:pPr>
      <w:r>
        <w:rPr>
          <w:snapToGrid w:val="0"/>
        </w:rPr>
        <w:tab/>
        <w:t>(II)</w:t>
      </w:r>
      <w:r>
        <w:rPr>
          <w:snapToGrid w:val="0"/>
        </w:rPr>
        <w:tab/>
        <w:t>the location of a short form easement or restrictive covenant that is to be created under section 33 as read with clause 31G,</w:t>
      </w:r>
    </w:p>
    <w:p>
      <w:pPr>
        <w:pStyle w:val="BlankClose"/>
      </w:pPr>
    </w:p>
    <w:p>
      <w:pPr>
        <w:pStyle w:val="nzIndenta"/>
      </w:pPr>
      <w:r>
        <w:tab/>
        <w:t>(c)</w:t>
      </w:r>
      <w:r>
        <w:tab/>
        <w:t>delete paragraph (a)(v) and insert:</w:t>
      </w:r>
    </w:p>
    <w:p>
      <w:pPr>
        <w:pStyle w:val="BlankOpen"/>
      </w:pPr>
    </w:p>
    <w:p>
      <w:pPr>
        <w:pStyle w:val="nzIndenti"/>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BlankClose"/>
      </w:pPr>
    </w:p>
    <w:p>
      <w:pPr>
        <w:pStyle w:val="nzIndenta"/>
      </w:pPr>
      <w:r>
        <w:tab/>
        <w:t>(d)</w:t>
      </w:r>
      <w:r>
        <w:tab/>
        <w:t>in paragraph (b) delete “section” and insert:</w:t>
      </w:r>
    </w:p>
    <w:p>
      <w:pPr>
        <w:pStyle w:val="BlankOpen"/>
      </w:pPr>
    </w:p>
    <w:p>
      <w:pPr>
        <w:pStyle w:val="nzIndenta"/>
      </w:pPr>
      <w:r>
        <w:tab/>
      </w:r>
      <w:r>
        <w:tab/>
      </w:r>
      <w:r>
        <w:rPr>
          <w:snapToGrid w:val="0"/>
        </w:rPr>
        <w:t>clause</w:t>
      </w:r>
    </w:p>
    <w:p>
      <w:pPr>
        <w:pStyle w:val="BlankClose"/>
      </w:pPr>
    </w:p>
    <w:p>
      <w:pPr>
        <w:pStyle w:val="nzIndenta"/>
      </w:pPr>
      <w:r>
        <w:tab/>
        <w:t>(e)</w:t>
      </w:r>
      <w:r>
        <w:tab/>
        <w:t>delete paragraph (c)(ii) and insert:</w:t>
      </w:r>
    </w:p>
    <w:p>
      <w:pPr>
        <w:pStyle w:val="BlankOpen"/>
      </w:pPr>
    </w:p>
    <w:p>
      <w:pPr>
        <w:pStyle w:val="nzIndenti"/>
        <w:rPr>
          <w:snapToGrid w:val="0"/>
        </w:rPr>
      </w:pPr>
      <w:r>
        <w:rPr>
          <w:snapToGrid w:val="0"/>
        </w:rPr>
        <w:tab/>
        <w:t>(ii)</w:t>
      </w:r>
      <w:r>
        <w:rPr>
          <w:snapToGrid w:val="0"/>
        </w:rPr>
        <w:tab/>
        <w:t>the sum of the unit entitlements of all the lots in the strata titles scheme;</w:t>
      </w:r>
    </w:p>
    <w:p>
      <w:pPr>
        <w:pStyle w:val="BlankClose"/>
      </w:pPr>
    </w:p>
    <w:p>
      <w:pPr>
        <w:pStyle w:val="nzIndenta"/>
      </w:pPr>
      <w:r>
        <w:tab/>
        <w:t>(f)</w:t>
      </w:r>
      <w:r>
        <w:tab/>
        <w:t>delete paragraph (d) and insert:</w:t>
      </w:r>
    </w:p>
    <w:p>
      <w:pPr>
        <w:pStyle w:val="BlankOpen"/>
      </w:pPr>
    </w:p>
    <w:p>
      <w:pPr>
        <w:pStyle w:val="nzIndenta"/>
      </w:pPr>
      <w:r>
        <w:rPr>
          <w:snapToGrid w:val="0"/>
        </w:rPr>
        <w:tab/>
        <w:t>(d)</w:t>
      </w:r>
      <w:r>
        <w:rPr>
          <w:snapToGrid w:val="0"/>
        </w:rPr>
        <w:tab/>
        <w:t>a certificate of a licensed valuer as required for a schedule of unit entitlements; and</w:t>
      </w:r>
    </w:p>
    <w:p>
      <w:pPr>
        <w:pStyle w:val="BlankClose"/>
      </w:pPr>
    </w:p>
    <w:p>
      <w:pPr>
        <w:pStyle w:val="nzIndenta"/>
      </w:pPr>
      <w:r>
        <w:tab/>
        <w:t>(g)</w:t>
      </w:r>
      <w:r>
        <w:tab/>
        <w:t>in paragraph (e) delete “a proprietor,” and insert:</w:t>
      </w:r>
    </w:p>
    <w:p>
      <w:pPr>
        <w:pStyle w:val="BlankOpen"/>
      </w:pPr>
    </w:p>
    <w:p>
      <w:pPr>
        <w:pStyle w:val="nzIndenta"/>
      </w:pPr>
      <w:r>
        <w:tab/>
      </w:r>
      <w:r>
        <w:tab/>
      </w:r>
      <w:r>
        <w:rPr>
          <w:snapToGrid w:val="0"/>
        </w:rPr>
        <w:t>the owner of a lot,</w:t>
      </w:r>
    </w:p>
    <w:p>
      <w:pPr>
        <w:pStyle w:val="BlankClose"/>
      </w:pPr>
    </w:p>
    <w:p>
      <w:pPr>
        <w:pStyle w:val="nzIndenta"/>
      </w:pPr>
      <w:r>
        <w:tab/>
        <w:t>(h)</w:t>
      </w:r>
      <w:r>
        <w:tab/>
        <w:t>in paragraph (e) delete “his consent to the proposed schedule of unit entitlement.” and insert:</w:t>
      </w:r>
    </w:p>
    <w:p>
      <w:pPr>
        <w:pStyle w:val="BlankOpen"/>
      </w:pPr>
    </w:p>
    <w:p>
      <w:pPr>
        <w:pStyle w:val="nzIndenta"/>
      </w:pPr>
      <w:r>
        <w:tab/>
      </w:r>
      <w:r>
        <w:tab/>
      </w:r>
      <w:r>
        <w:rPr>
          <w:snapToGrid w:val="0"/>
        </w:rPr>
        <w:t>the person’s consent to the proposed schedule of unit entitlements.</w:t>
      </w:r>
    </w:p>
    <w:p>
      <w:pPr>
        <w:pStyle w:val="BlankClose"/>
      </w:pPr>
    </w:p>
    <w:p>
      <w:pPr>
        <w:pStyle w:val="nzSubsection"/>
      </w:pPr>
      <w:r>
        <w:tab/>
        <w:t>(2)</w:t>
      </w:r>
      <w:r>
        <w:tab/>
        <w:t>In section 31E(2):</w:t>
      </w:r>
    </w:p>
    <w:p>
      <w:pPr>
        <w:pStyle w:val="nzIndenta"/>
      </w:pPr>
      <w:r>
        <w:tab/>
        <w:t>(a)</w:t>
      </w:r>
      <w:r>
        <w:tab/>
        <w:t>delete “section” and insert:</w:t>
      </w:r>
    </w:p>
    <w:p>
      <w:pPr>
        <w:pStyle w:val="BlankOpen"/>
      </w:pPr>
    </w:p>
    <w:p>
      <w:pPr>
        <w:pStyle w:val="nzIndenta"/>
      </w:pPr>
      <w:r>
        <w:tab/>
      </w:r>
      <w:r>
        <w:tab/>
      </w:r>
      <w:r>
        <w:rPr>
          <w:snapToGrid w:val="0"/>
        </w:rPr>
        <w:t>clause</w:t>
      </w:r>
    </w:p>
    <w:p>
      <w:pPr>
        <w:pStyle w:val="BlankClose"/>
      </w:pPr>
    </w:p>
    <w:p>
      <w:pPr>
        <w:pStyle w:val="nzIndenta"/>
      </w:pPr>
      <w:r>
        <w:tab/>
        <w:t>(b)</w:t>
      </w:r>
      <w:r>
        <w:tab/>
        <w:t>delete “subsection” and insert:</w:t>
      </w:r>
    </w:p>
    <w:p>
      <w:pPr>
        <w:pStyle w:val="BlankOpen"/>
      </w:pPr>
    </w:p>
    <w:p>
      <w:pPr>
        <w:pStyle w:val="nzIndenta"/>
      </w:pPr>
      <w:r>
        <w:tab/>
      </w:r>
      <w:r>
        <w:tab/>
        <w:t>sub</w:t>
      </w:r>
      <w:r>
        <w:rPr>
          <w:snapToGrid w:val="0"/>
        </w:rPr>
        <w:t>clause</w:t>
      </w:r>
    </w:p>
    <w:p>
      <w:pPr>
        <w:pStyle w:val="BlankClose"/>
      </w:pPr>
    </w:p>
    <w:p>
      <w:pPr>
        <w:pStyle w:val="nzPermNoteHeading"/>
      </w:pPr>
      <w:r>
        <w:tab/>
        <w:t>Note:</w:t>
      </w:r>
    </w:p>
    <w:p>
      <w:pPr>
        <w:pStyle w:val="nzPermNoteText"/>
      </w:pPr>
      <w:r>
        <w:tab/>
      </w:r>
      <w:r>
        <w:tab/>
        <w:t>Section 31E (as amended) is redesignated as clause 31E and relocated to Schedule 2A.</w:t>
      </w:r>
    </w:p>
    <w:p>
      <w:pPr>
        <w:pStyle w:val="nzHeading5"/>
      </w:pPr>
      <w:bookmarkStart w:id="551" w:name="_Toc530474300"/>
      <w:bookmarkStart w:id="552" w:name="_Toc530474895"/>
      <w:r>
        <w:rPr>
          <w:rStyle w:val="CharSectno"/>
        </w:rPr>
        <w:t>40</w:t>
      </w:r>
      <w:r>
        <w:t>.</w:t>
      </w:r>
      <w:r>
        <w:tab/>
        <w:t>Section 31F amended</w:t>
      </w:r>
      <w:bookmarkEnd w:id="551"/>
      <w:bookmarkEnd w:id="552"/>
    </w:p>
    <w:p>
      <w:pPr>
        <w:pStyle w:val="nzSubsection"/>
      </w:pPr>
      <w:r>
        <w:tab/>
        <w:t>(1)</w:t>
      </w:r>
      <w:r>
        <w:tab/>
        <w:t>In section 31F(1) delete “section 31E(1)(b)” and insert:</w:t>
      </w:r>
    </w:p>
    <w:p>
      <w:pPr>
        <w:pStyle w:val="BlankOpen"/>
      </w:pPr>
    </w:p>
    <w:p>
      <w:pPr>
        <w:pStyle w:val="nzSubsection"/>
      </w:pPr>
      <w:r>
        <w:tab/>
      </w:r>
      <w:r>
        <w:tab/>
      </w:r>
      <w:r>
        <w:rPr>
          <w:snapToGrid w:val="0"/>
        </w:rPr>
        <w:t>clause</w:t>
      </w:r>
      <w:r>
        <w:t> 31E(1)(b)</w:t>
      </w:r>
    </w:p>
    <w:p>
      <w:pPr>
        <w:pStyle w:val="BlankClose"/>
      </w:pPr>
    </w:p>
    <w:p>
      <w:pPr>
        <w:pStyle w:val="nzSubsection"/>
      </w:pPr>
      <w:r>
        <w:tab/>
        <w:t>(2)</w:t>
      </w:r>
      <w:r>
        <w:tab/>
        <w:t>In section 31F(1)(a) delete “section;” and insert:</w:t>
      </w:r>
    </w:p>
    <w:p>
      <w:pPr>
        <w:pStyle w:val="BlankOpen"/>
      </w:pPr>
    </w:p>
    <w:p>
      <w:pPr>
        <w:pStyle w:val="nzSubsection"/>
      </w:pPr>
      <w:r>
        <w:tab/>
      </w:r>
      <w:r>
        <w:tab/>
      </w:r>
      <w:r>
        <w:rPr>
          <w:snapToGrid w:val="0"/>
        </w:rPr>
        <w:t>clause;</w:t>
      </w:r>
    </w:p>
    <w:p>
      <w:pPr>
        <w:pStyle w:val="BlankClose"/>
      </w:pPr>
    </w:p>
    <w:p>
      <w:pPr>
        <w:pStyle w:val="nzSubsection"/>
      </w:pPr>
      <w:r>
        <w:tab/>
        <w:t>(3)</w:t>
      </w:r>
      <w:r>
        <w:tab/>
        <w:t>In section 31F(1)(b) delete “section.” and insert:</w:t>
      </w:r>
    </w:p>
    <w:p>
      <w:pPr>
        <w:pStyle w:val="BlankOpen"/>
      </w:pPr>
    </w:p>
    <w:p>
      <w:pPr>
        <w:pStyle w:val="nzSubsection"/>
      </w:pPr>
      <w:r>
        <w:tab/>
      </w:r>
      <w:r>
        <w:tab/>
      </w:r>
      <w:r>
        <w:rPr>
          <w:snapToGrid w:val="0"/>
        </w:rPr>
        <w:t>clause.</w:t>
      </w:r>
    </w:p>
    <w:p>
      <w:pPr>
        <w:pStyle w:val="BlankClose"/>
      </w:pPr>
    </w:p>
    <w:p>
      <w:pPr>
        <w:pStyle w:val="nzSubsection"/>
      </w:pPr>
      <w:r>
        <w:tab/>
        <w:t>(4)</w:t>
      </w:r>
      <w:r>
        <w:tab/>
        <w:t>In section 31F(2):</w:t>
      </w:r>
    </w:p>
    <w:p>
      <w:pPr>
        <w:pStyle w:val="nzIndenta"/>
      </w:pPr>
      <w:r>
        <w:tab/>
        <w:t>(a)</w:t>
      </w:r>
      <w:r>
        <w:tab/>
        <w:t>delete paragraphs (a) and (b) and insert:</w:t>
      </w:r>
    </w:p>
    <w:p>
      <w:pPr>
        <w:pStyle w:val="BlankOpen"/>
      </w:pPr>
    </w:p>
    <w:p>
      <w:pPr>
        <w:pStyle w:val="nz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nz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BlankClose"/>
      </w:pPr>
    </w:p>
    <w:p>
      <w:pPr>
        <w:pStyle w:val="nzIndenta"/>
      </w:pPr>
      <w:r>
        <w:tab/>
        <w:t>(b)</w:t>
      </w:r>
      <w:r>
        <w:tab/>
        <w:t>in paragraph (d) delete “where” and insert:</w:t>
      </w:r>
    </w:p>
    <w:p>
      <w:pPr>
        <w:pStyle w:val="BlankOpen"/>
      </w:pPr>
    </w:p>
    <w:p>
      <w:pPr>
        <w:pStyle w:val="nzIndenta"/>
      </w:pPr>
      <w:r>
        <w:tab/>
      </w:r>
      <w:r>
        <w:tab/>
      </w:r>
      <w:r>
        <w:rPr>
          <w:snapToGrid w:val="0"/>
        </w:rPr>
        <w:t>if</w:t>
      </w:r>
    </w:p>
    <w:p>
      <w:pPr>
        <w:pStyle w:val="BlankClose"/>
      </w:pPr>
    </w:p>
    <w:p>
      <w:pPr>
        <w:pStyle w:val="nzIndenta"/>
      </w:pPr>
      <w:r>
        <w:tab/>
        <w:t>(c)</w:t>
      </w:r>
      <w:r>
        <w:tab/>
        <w:t>in paragraph (e) delete “subsection” and insert:</w:t>
      </w:r>
    </w:p>
    <w:p>
      <w:pPr>
        <w:pStyle w:val="BlankOpen"/>
      </w:pPr>
    </w:p>
    <w:p>
      <w:pPr>
        <w:pStyle w:val="nzIndenta"/>
      </w:pPr>
      <w:r>
        <w:tab/>
      </w:r>
      <w:r>
        <w:tab/>
      </w:r>
      <w:r>
        <w:rPr>
          <w:snapToGrid w:val="0"/>
        </w:rPr>
        <w:t>subclause</w:t>
      </w:r>
    </w:p>
    <w:p>
      <w:pPr>
        <w:pStyle w:val="BlankClose"/>
      </w:pPr>
    </w:p>
    <w:p>
      <w:pPr>
        <w:pStyle w:val="nzIndenta"/>
      </w:pPr>
      <w:r>
        <w:tab/>
        <w:t>(d)</w:t>
      </w:r>
      <w:r>
        <w:tab/>
        <w:t>in paragraph (e)(ii) delete “section” and insert:</w:t>
      </w:r>
    </w:p>
    <w:p>
      <w:pPr>
        <w:pStyle w:val="BlankOpen"/>
      </w:pPr>
    </w:p>
    <w:p>
      <w:pPr>
        <w:pStyle w:val="nzIndenta"/>
      </w:pPr>
      <w:r>
        <w:tab/>
      </w:r>
      <w:r>
        <w:tab/>
      </w:r>
      <w:r>
        <w:rPr>
          <w:snapToGrid w:val="0"/>
        </w:rPr>
        <w:t>clause</w:t>
      </w:r>
    </w:p>
    <w:p>
      <w:pPr>
        <w:pStyle w:val="BlankClose"/>
      </w:pPr>
    </w:p>
    <w:p>
      <w:pPr>
        <w:pStyle w:val="nzSubsection"/>
      </w:pPr>
      <w:r>
        <w:tab/>
        <w:t>(5)</w:t>
      </w:r>
      <w:r>
        <w:tab/>
        <w:t>In section 31F(3)(a) delete “subsection” and insert:</w:t>
      </w:r>
    </w:p>
    <w:p>
      <w:pPr>
        <w:pStyle w:val="BlankOpen"/>
      </w:pPr>
    </w:p>
    <w:p>
      <w:pPr>
        <w:pStyle w:val="nzSubsection"/>
      </w:pPr>
      <w:r>
        <w:tab/>
      </w:r>
      <w:r>
        <w:tab/>
      </w:r>
      <w:r>
        <w:rPr>
          <w:snapToGrid w:val="0"/>
        </w:rPr>
        <w:t>subclause</w:t>
      </w:r>
    </w:p>
    <w:p>
      <w:pPr>
        <w:pStyle w:val="BlankClose"/>
      </w:pPr>
    </w:p>
    <w:p>
      <w:pPr>
        <w:pStyle w:val="nzSubsection"/>
      </w:pPr>
      <w:r>
        <w:tab/>
        <w:t>(6)</w:t>
      </w:r>
      <w:r>
        <w:tab/>
        <w:t>In section 31F(4) delete “subsection” (each occurrence) and insert:</w:t>
      </w:r>
    </w:p>
    <w:p>
      <w:pPr>
        <w:pStyle w:val="BlankOpen"/>
      </w:pPr>
    </w:p>
    <w:p>
      <w:pPr>
        <w:pStyle w:val="nzSubsection"/>
      </w:pPr>
      <w:r>
        <w:tab/>
      </w:r>
      <w:r>
        <w:tab/>
      </w:r>
      <w:r>
        <w:rPr>
          <w:snapToGrid w:val="0"/>
        </w:rPr>
        <w:t>subclause</w:t>
      </w:r>
    </w:p>
    <w:p>
      <w:pPr>
        <w:pStyle w:val="BlankClose"/>
      </w:pPr>
    </w:p>
    <w:p>
      <w:pPr>
        <w:pStyle w:val="nzPermNoteHeading"/>
      </w:pPr>
      <w:r>
        <w:tab/>
        <w:t>Note:</w:t>
      </w:r>
    </w:p>
    <w:p>
      <w:pPr>
        <w:pStyle w:val="nzPermNoteText"/>
      </w:pPr>
      <w:r>
        <w:tab/>
      </w:r>
      <w:r>
        <w:tab/>
        <w:t>Section 31F (as amended) is redesignated as clause 31F and relocated to Schedule 2A.</w:t>
      </w:r>
    </w:p>
    <w:p>
      <w:pPr>
        <w:pStyle w:val="nzHeading5"/>
      </w:pPr>
      <w:bookmarkStart w:id="553" w:name="_Toc530474301"/>
      <w:bookmarkStart w:id="554" w:name="_Toc530474896"/>
      <w:r>
        <w:rPr>
          <w:rStyle w:val="CharSectno"/>
        </w:rPr>
        <w:t>41</w:t>
      </w:r>
      <w:r>
        <w:t>.</w:t>
      </w:r>
      <w:r>
        <w:tab/>
        <w:t>Section 31G amended</w:t>
      </w:r>
      <w:bookmarkEnd w:id="553"/>
      <w:bookmarkEnd w:id="554"/>
    </w:p>
    <w:p>
      <w:pPr>
        <w:pStyle w:val="nzSubsection"/>
      </w:pPr>
      <w:r>
        <w:tab/>
        <w:t>(1)</w:t>
      </w:r>
      <w:r>
        <w:tab/>
        <w:t>In section 31G(1) delete “</w:t>
      </w:r>
      <w:r>
        <w:rPr>
          <w:snapToGrid w:val="0"/>
        </w:rPr>
        <w:t>section 31E(1)(a) may provide for easements to be created under section 5D,</w:t>
      </w:r>
      <w:r>
        <w:t>” and insert:</w:t>
      </w:r>
    </w:p>
    <w:p>
      <w:pPr>
        <w:pStyle w:val="BlankOpen"/>
      </w:pPr>
    </w:p>
    <w:p>
      <w:pPr>
        <w:pStyle w:val="nzSubsection"/>
      </w:pPr>
      <w:r>
        <w:tab/>
      </w:r>
      <w:r>
        <w:tab/>
      </w:r>
      <w:r>
        <w:rPr>
          <w:snapToGrid w:val="0"/>
        </w:rPr>
        <w:t>clause 31E(1)(a) may provide for a short form easement or restrictive covenant to be created under section 33,</w:t>
      </w:r>
    </w:p>
    <w:p>
      <w:pPr>
        <w:pStyle w:val="BlankClose"/>
      </w:pPr>
    </w:p>
    <w:p>
      <w:pPr>
        <w:pStyle w:val="nzSubsection"/>
      </w:pPr>
      <w:r>
        <w:tab/>
        <w:t>(2)</w:t>
      </w:r>
      <w:r>
        <w:tab/>
        <w:t>Delete section 31G(2) and insert:</w:t>
      </w:r>
    </w:p>
    <w:p>
      <w:pPr>
        <w:pStyle w:val="BlankOpen"/>
      </w:pPr>
    </w:p>
    <w:p>
      <w:pPr>
        <w:pStyle w:val="nzSubsection"/>
        <w:rPr>
          <w:snapToGrid w:val="0"/>
        </w:rPr>
      </w:pPr>
      <w:r>
        <w:tab/>
      </w:r>
      <w:r>
        <w:rPr>
          <w:snapToGrid w:val="0"/>
        </w:rPr>
        <w:t>(2)</w:t>
      </w:r>
      <w:r>
        <w:rPr>
          <w:snapToGrid w:val="0"/>
        </w:rPr>
        <w:tab/>
        <w:t>Section 33 also applies to the discharge of an easement that is created under subclause (1).</w:t>
      </w:r>
    </w:p>
    <w:p>
      <w:pPr>
        <w:pStyle w:val="BlankClose"/>
      </w:pPr>
    </w:p>
    <w:p>
      <w:pPr>
        <w:pStyle w:val="nzPermNoteHeading"/>
      </w:pPr>
      <w:r>
        <w:tab/>
        <w:t>Note:</w:t>
      </w:r>
    </w:p>
    <w:p>
      <w:pPr>
        <w:pStyle w:val="nzPermNoteText"/>
      </w:pPr>
      <w:r>
        <w:tab/>
      </w:r>
      <w:r>
        <w:tab/>
        <w:t>Section 31G (as amended) is redesignated as clause 31G and relocated to Schedule 2A.</w:t>
      </w:r>
    </w:p>
    <w:p>
      <w:pPr>
        <w:pStyle w:val="nzHeading5"/>
      </w:pPr>
      <w:bookmarkStart w:id="555" w:name="_Toc530474302"/>
      <w:bookmarkStart w:id="556" w:name="_Toc530474897"/>
      <w:r>
        <w:rPr>
          <w:rStyle w:val="CharSectno"/>
        </w:rPr>
        <w:t>42</w:t>
      </w:r>
      <w:r>
        <w:t>.</w:t>
      </w:r>
      <w:r>
        <w:tab/>
        <w:t>Section 31H amended</w:t>
      </w:r>
      <w:bookmarkEnd w:id="555"/>
      <w:bookmarkEnd w:id="556"/>
    </w:p>
    <w:p>
      <w:pPr>
        <w:pStyle w:val="nzSubsection"/>
      </w:pPr>
      <w:r>
        <w:tab/>
        <w:t>(1)</w:t>
      </w:r>
      <w:r>
        <w:tab/>
        <w:t>In section 31H(1) delete “subsection (2),” and insert:</w:t>
      </w:r>
    </w:p>
    <w:p>
      <w:pPr>
        <w:pStyle w:val="BlankOpen"/>
      </w:pPr>
    </w:p>
    <w:p>
      <w:pPr>
        <w:pStyle w:val="nzSubsection"/>
      </w:pPr>
      <w:r>
        <w:tab/>
      </w:r>
      <w:r>
        <w:tab/>
      </w:r>
      <w:r>
        <w:rPr>
          <w:snapToGrid w:val="0"/>
        </w:rPr>
        <w:t>subclause (2A),</w:t>
      </w:r>
    </w:p>
    <w:p>
      <w:pPr>
        <w:pStyle w:val="BlankClose"/>
      </w:pPr>
    </w:p>
    <w:p>
      <w:pPr>
        <w:pStyle w:val="nzSubsection"/>
      </w:pPr>
      <w:r>
        <w:tab/>
        <w:t>(2)</w:t>
      </w:r>
      <w:r>
        <w:tab/>
        <w:t>Delete section 31H(2)(c) and all the words after that paragraph and insert:</w:t>
      </w:r>
    </w:p>
    <w:p>
      <w:pPr>
        <w:pStyle w:val="BlankOpen"/>
      </w:pPr>
    </w:p>
    <w:p>
      <w:pPr>
        <w:pStyle w:val="nzIndenta"/>
        <w:rPr>
          <w:snapToGrid w:val="0"/>
        </w:rPr>
      </w:pPr>
      <w:r>
        <w:rPr>
          <w:snapToGrid w:val="0"/>
        </w:rPr>
        <w:tab/>
        <w:t>(c)</w:t>
      </w:r>
      <w:r>
        <w:rPr>
          <w:snapToGrid w:val="0"/>
        </w:rPr>
        <w:tab/>
        <w:t>in which any certificate required by clause 31E(1)(e) is set out.</w:t>
      </w:r>
    </w:p>
    <w:p>
      <w:pPr>
        <w:pStyle w:val="BlankClose"/>
      </w:pPr>
    </w:p>
    <w:p>
      <w:pPr>
        <w:pStyle w:val="nzSubsection"/>
      </w:pPr>
      <w:r>
        <w:tab/>
        <w:t>(3)</w:t>
      </w:r>
      <w:r>
        <w:tab/>
        <w:t>After section 31H(2) insert:</w:t>
      </w:r>
    </w:p>
    <w:p>
      <w:pPr>
        <w:pStyle w:val="BlankOpen"/>
      </w:pPr>
    </w:p>
    <w:p>
      <w:pPr>
        <w:pStyle w:val="nzSubsection"/>
        <w:rPr>
          <w:snapToGrid w:val="0"/>
        </w:rPr>
      </w:pPr>
      <w:r>
        <w:rPr>
          <w:snapToGrid w:val="0"/>
        </w:rPr>
        <w:tab/>
        <w:t>(2A)</w:t>
      </w:r>
      <w:r>
        <w:rPr>
          <w:snapToGrid w:val="0"/>
        </w:rPr>
        <w:tab/>
        <w:t>Subclause (1) does not apply if a disposition statement is lodged for registration with the notice of resolution.</w:t>
      </w:r>
    </w:p>
    <w:p>
      <w:pPr>
        <w:pStyle w:val="BlankClose"/>
        <w:keepNext/>
      </w:pPr>
    </w:p>
    <w:p>
      <w:pPr>
        <w:pStyle w:val="nzPermNoteHeading"/>
      </w:pPr>
      <w:r>
        <w:tab/>
        <w:t>Note:</w:t>
      </w:r>
    </w:p>
    <w:p>
      <w:pPr>
        <w:pStyle w:val="nzPermNoteText"/>
      </w:pPr>
      <w:r>
        <w:tab/>
      </w:r>
      <w:r>
        <w:tab/>
        <w:t>Section 31H (as amended) is redesignated as clause 31H and relocated to Schedule 2A.</w:t>
      </w:r>
    </w:p>
    <w:p>
      <w:pPr>
        <w:pStyle w:val="nzHeading5"/>
      </w:pPr>
      <w:bookmarkStart w:id="557" w:name="_Toc530474303"/>
      <w:bookmarkStart w:id="558" w:name="_Toc530474898"/>
      <w:r>
        <w:rPr>
          <w:rStyle w:val="CharSectno"/>
        </w:rPr>
        <w:t>43</w:t>
      </w:r>
      <w:r>
        <w:t>.</w:t>
      </w:r>
      <w:r>
        <w:tab/>
        <w:t>Section 31J amended</w:t>
      </w:r>
      <w:bookmarkEnd w:id="557"/>
      <w:bookmarkEnd w:id="558"/>
    </w:p>
    <w:p>
      <w:pPr>
        <w:pStyle w:val="nzSubsection"/>
      </w:pPr>
      <w:r>
        <w:tab/>
        <w:t>(1)</w:t>
      </w:r>
      <w:r>
        <w:tab/>
        <w:t>Delete section 31J(2) and insert:</w:t>
      </w:r>
    </w:p>
    <w:p>
      <w:pPr>
        <w:pStyle w:val="BlankOpen"/>
      </w:pPr>
    </w:p>
    <w:p>
      <w:pPr>
        <w:pStyle w:val="nzSubsection"/>
        <w:rPr>
          <w:snapToGrid w:val="0"/>
        </w:rPr>
      </w:pPr>
      <w:r>
        <w:rPr>
          <w:snapToGrid w:val="0"/>
        </w:rPr>
        <w:tab/>
        <w:t>(2)</w:t>
      </w:r>
      <w:r>
        <w:rPr>
          <w:snapToGrid w:val="0"/>
        </w:rPr>
        <w:tab/>
        <w:t>In addition to —</w:t>
      </w:r>
    </w:p>
    <w:p>
      <w:pPr>
        <w:pStyle w:val="nzIndenta"/>
        <w:rPr>
          <w:snapToGrid w:val="0"/>
        </w:rPr>
      </w:pPr>
      <w:r>
        <w:rPr>
          <w:snapToGrid w:val="0"/>
        </w:rPr>
        <w:tab/>
        <w:t>(a)</w:t>
      </w:r>
      <w:r>
        <w:rPr>
          <w:snapToGrid w:val="0"/>
        </w:rPr>
        <w:tab/>
        <w:t>the operation of any transfer, document or disposition statement referred to in clause 31H; and</w:t>
      </w:r>
    </w:p>
    <w:p>
      <w:pPr>
        <w:pStyle w:val="nzIndenta"/>
        <w:rPr>
          <w:snapToGrid w:val="0"/>
        </w:rPr>
      </w:pPr>
      <w:r>
        <w:rPr>
          <w:snapToGrid w:val="0"/>
        </w:rPr>
        <w:tab/>
        <w:t>(b)</w:t>
      </w:r>
      <w:r>
        <w:rPr>
          <w:snapToGrid w:val="0"/>
        </w:rPr>
        <w:tab/>
        <w:t>the creation of a short form easement or restrictive covenant under section 33 as read with clause 31G,</w:t>
      </w:r>
    </w:p>
    <w:p>
      <w:pPr>
        <w:pStyle w:val="nzSubsection"/>
        <w:rPr>
          <w:snapToGrid w:val="0"/>
        </w:rPr>
      </w:pPr>
      <w:r>
        <w:rPr>
          <w:snapToGrid w:val="0"/>
        </w:rPr>
        <w:tab/>
      </w:r>
      <w:r>
        <w:rPr>
          <w:snapToGrid w:val="0"/>
        </w:rPr>
        <w:tab/>
        <w:t>the registration of a notice of resolution also has the effects described in subclauses (3), (4), (5), (6) and (7).</w:t>
      </w:r>
    </w:p>
    <w:p>
      <w:pPr>
        <w:pStyle w:val="BlankClose"/>
      </w:pPr>
    </w:p>
    <w:p>
      <w:pPr>
        <w:pStyle w:val="nzSubsection"/>
      </w:pPr>
      <w:r>
        <w:tab/>
        <w:t>(2)</w:t>
      </w:r>
      <w:r>
        <w:tab/>
        <w:t>In section 31J(3):</w:t>
      </w:r>
    </w:p>
    <w:p>
      <w:pPr>
        <w:pStyle w:val="nzIndenta"/>
      </w:pPr>
      <w:r>
        <w:tab/>
        <w:t>(a)</w:t>
      </w:r>
      <w:r>
        <w:tab/>
        <w:t>delete “Where” and insert:</w:t>
      </w:r>
    </w:p>
    <w:p>
      <w:pPr>
        <w:pStyle w:val="BlankOpen"/>
      </w:pPr>
    </w:p>
    <w:p>
      <w:pPr>
        <w:pStyle w:val="nzIndenta"/>
      </w:pPr>
      <w:r>
        <w:tab/>
      </w:r>
      <w:r>
        <w:tab/>
      </w:r>
      <w:r>
        <w:rPr>
          <w:snapToGrid w:val="0"/>
        </w:rPr>
        <w:t>If</w:t>
      </w:r>
    </w:p>
    <w:p>
      <w:pPr>
        <w:pStyle w:val="BlankClose"/>
      </w:pPr>
    </w:p>
    <w:p>
      <w:pPr>
        <w:pStyle w:val="nzIndenta"/>
      </w:pPr>
      <w:r>
        <w:tab/>
        <w:t>(b)</w:t>
      </w:r>
      <w:r>
        <w:tab/>
        <w:t>delete paragraph (b)(ii) and insert:</w:t>
      </w:r>
    </w:p>
    <w:p>
      <w:pPr>
        <w:pStyle w:val="BlankOpen"/>
      </w:pPr>
    </w:p>
    <w:p>
      <w:pPr>
        <w:pStyle w:val="nzIndenti"/>
      </w:pPr>
      <w:r>
        <w:rPr>
          <w:snapToGrid w:val="0"/>
        </w:rPr>
        <w:tab/>
        <w:t>(ii)</w:t>
      </w:r>
      <w:r>
        <w:rPr>
          <w:snapToGrid w:val="0"/>
        </w:rPr>
        <w:tab/>
        <w:t>exclusive use by</w:t>
      </w:r>
      <w:r>
        <w:rPr>
          <w:snapToGrid w:val="0"/>
        </w:rPr>
        <w:noBreakHyphen/>
        <w:t>laws,</w:t>
      </w:r>
    </w:p>
    <w:p>
      <w:pPr>
        <w:pStyle w:val="BlankClose"/>
      </w:pPr>
    </w:p>
    <w:p>
      <w:pPr>
        <w:pStyle w:val="nzSubsection"/>
      </w:pPr>
      <w:r>
        <w:tab/>
        <w:t>(3)</w:t>
      </w:r>
      <w:r>
        <w:tab/>
        <w:t>In section 31J(5) delete “proprietors” and insert:</w:t>
      </w:r>
    </w:p>
    <w:p>
      <w:pPr>
        <w:pStyle w:val="BlankOpen"/>
      </w:pPr>
    </w:p>
    <w:p>
      <w:pPr>
        <w:pStyle w:val="nzSubsection"/>
      </w:pPr>
      <w:r>
        <w:tab/>
      </w:r>
      <w:r>
        <w:tab/>
      </w:r>
      <w:r>
        <w:rPr>
          <w:snapToGrid w:val="0"/>
        </w:rPr>
        <w:t>owners of the lots</w:t>
      </w:r>
    </w:p>
    <w:p>
      <w:pPr>
        <w:pStyle w:val="BlankClose"/>
      </w:pPr>
    </w:p>
    <w:p>
      <w:pPr>
        <w:pStyle w:val="nzSubsection"/>
      </w:pPr>
      <w:r>
        <w:tab/>
        <w:t>(4)</w:t>
      </w:r>
      <w:r>
        <w:tab/>
        <w:t>In section 31J(6):</w:t>
      </w:r>
    </w:p>
    <w:p>
      <w:pPr>
        <w:pStyle w:val="nzIndenta"/>
      </w:pPr>
      <w:r>
        <w:tab/>
        <w:t>(a)</w:t>
      </w:r>
      <w:r>
        <w:tab/>
        <w:t>delete “a proprietor” and insert:</w:t>
      </w:r>
    </w:p>
    <w:p>
      <w:pPr>
        <w:pStyle w:val="BlankOpen"/>
      </w:pPr>
    </w:p>
    <w:p>
      <w:pPr>
        <w:pStyle w:val="nzIndenta"/>
      </w:pPr>
      <w:r>
        <w:tab/>
      </w:r>
      <w:r>
        <w:tab/>
        <w:t xml:space="preserve">the </w:t>
      </w:r>
      <w:r>
        <w:rPr>
          <w:snapToGrid w:val="0"/>
        </w:rPr>
        <w:t>owner of a lot</w:t>
      </w:r>
    </w:p>
    <w:p>
      <w:pPr>
        <w:pStyle w:val="BlankClose"/>
      </w:pPr>
    </w:p>
    <w:p>
      <w:pPr>
        <w:pStyle w:val="nzIndenta"/>
      </w:pPr>
      <w:r>
        <w:tab/>
        <w:t>(b)</w:t>
      </w:r>
      <w:r>
        <w:tab/>
        <w:t>delete “his” and insert:</w:t>
      </w:r>
    </w:p>
    <w:p>
      <w:pPr>
        <w:pStyle w:val="BlankOpen"/>
      </w:pPr>
    </w:p>
    <w:p>
      <w:pPr>
        <w:pStyle w:val="nzIndenta"/>
      </w:pPr>
      <w:r>
        <w:tab/>
      </w:r>
      <w:r>
        <w:tab/>
        <w:t>the</w:t>
      </w:r>
    </w:p>
    <w:p>
      <w:pPr>
        <w:pStyle w:val="BlankClose"/>
      </w:pPr>
    </w:p>
    <w:p>
      <w:pPr>
        <w:pStyle w:val="nzSubsection"/>
      </w:pPr>
      <w:r>
        <w:tab/>
        <w:t>(5)</w:t>
      </w:r>
      <w:r>
        <w:tab/>
        <w:t>In section 31J(7):</w:t>
      </w:r>
    </w:p>
    <w:p>
      <w:pPr>
        <w:pStyle w:val="nzIndenta"/>
      </w:pPr>
      <w:r>
        <w:tab/>
        <w:t>(a)</w:t>
      </w:r>
      <w:r>
        <w:tab/>
        <w:t>delete “this section is to be” and insert:</w:t>
      </w:r>
    </w:p>
    <w:p>
      <w:pPr>
        <w:pStyle w:val="BlankOpen"/>
      </w:pPr>
    </w:p>
    <w:p>
      <w:pPr>
        <w:pStyle w:val="nzIndenta"/>
      </w:pPr>
      <w:r>
        <w:tab/>
      </w:r>
      <w:r>
        <w:tab/>
        <w:t>this clause is</w:t>
      </w:r>
    </w:p>
    <w:p>
      <w:pPr>
        <w:pStyle w:val="BlankClose"/>
      </w:pPr>
    </w:p>
    <w:p>
      <w:pPr>
        <w:pStyle w:val="nzIndenta"/>
      </w:pPr>
      <w:r>
        <w:tab/>
        <w:t>(b)</w:t>
      </w:r>
      <w:r>
        <w:tab/>
        <w:t>delete “that section.” and insert:</w:t>
      </w:r>
    </w:p>
    <w:p>
      <w:pPr>
        <w:pStyle w:val="BlankOpen"/>
      </w:pPr>
    </w:p>
    <w:p>
      <w:pPr>
        <w:pStyle w:val="nzIndenta"/>
      </w:pPr>
      <w:r>
        <w:tab/>
      </w:r>
      <w:r>
        <w:tab/>
        <w:t>that clause.</w:t>
      </w:r>
    </w:p>
    <w:p>
      <w:pPr>
        <w:pStyle w:val="BlankClose"/>
      </w:pPr>
    </w:p>
    <w:p>
      <w:pPr>
        <w:pStyle w:val="nzPermNoteHeading"/>
      </w:pPr>
      <w:r>
        <w:tab/>
        <w:t>Note:</w:t>
      </w:r>
    </w:p>
    <w:p>
      <w:pPr>
        <w:pStyle w:val="nzPermNoteText"/>
      </w:pPr>
      <w:r>
        <w:tab/>
      </w:r>
      <w:r>
        <w:tab/>
        <w:t>Section 31J (as amended) is redesignated as clause 31J and relocated to Schedule 2A.</w:t>
      </w:r>
    </w:p>
    <w:p>
      <w:pPr>
        <w:pStyle w:val="nzHeading5"/>
      </w:pPr>
      <w:bookmarkStart w:id="559" w:name="_Toc530474304"/>
      <w:bookmarkStart w:id="560" w:name="_Toc530474899"/>
      <w:r>
        <w:rPr>
          <w:rStyle w:val="CharSectno"/>
        </w:rPr>
        <w:t>44</w:t>
      </w:r>
      <w:r>
        <w:t>.</w:t>
      </w:r>
      <w:r>
        <w:tab/>
        <w:t>Section 31K amended</w:t>
      </w:r>
      <w:bookmarkEnd w:id="559"/>
      <w:bookmarkEnd w:id="560"/>
    </w:p>
    <w:p>
      <w:pPr>
        <w:pStyle w:val="nzSubsection"/>
      </w:pPr>
      <w:r>
        <w:tab/>
      </w:r>
      <w:r>
        <w:tab/>
        <w:t>Delete section 31K(1)(a) and insert:</w:t>
      </w:r>
    </w:p>
    <w:p>
      <w:pPr>
        <w:pStyle w:val="BlankOpen"/>
      </w:pPr>
    </w:p>
    <w:p>
      <w:pPr>
        <w:pStyle w:val="nzIndenta"/>
        <w:rPr>
          <w:snapToGrid w:val="0"/>
        </w:rPr>
      </w:pPr>
      <w:r>
        <w:rPr>
          <w:snapToGrid w:val="0"/>
        </w:rPr>
        <w:tab/>
        <w:t>(a)</w:t>
      </w:r>
      <w:r>
        <w:rPr>
          <w:snapToGrid w:val="0"/>
        </w:rPr>
        <w:tab/>
        <w:t>the strata plan in the manner specified in the regulations to give effect to clauses 31G, 31H and 31J; and</w:t>
      </w:r>
    </w:p>
    <w:p>
      <w:pPr>
        <w:pStyle w:val="BlankClose"/>
        <w:keepNext/>
      </w:pPr>
    </w:p>
    <w:p>
      <w:pPr>
        <w:pStyle w:val="nzPermNoteHeading"/>
      </w:pPr>
      <w:r>
        <w:tab/>
        <w:t>Note:</w:t>
      </w:r>
    </w:p>
    <w:p>
      <w:pPr>
        <w:pStyle w:val="nzPermNoteText"/>
      </w:pPr>
      <w:r>
        <w:tab/>
      </w:r>
      <w:r>
        <w:tab/>
        <w:t>Section 31K (as amended) is redesignated as clause 31K and relocated to Schedule 2A.</w:t>
      </w:r>
    </w:p>
    <w:p>
      <w:pPr>
        <w:pStyle w:val="nzHeading5"/>
      </w:pPr>
      <w:bookmarkStart w:id="561" w:name="_Toc530474305"/>
      <w:bookmarkStart w:id="562" w:name="_Toc530474900"/>
      <w:r>
        <w:rPr>
          <w:rStyle w:val="CharSectno"/>
        </w:rPr>
        <w:t>45</w:t>
      </w:r>
      <w:r>
        <w:t>.</w:t>
      </w:r>
      <w:r>
        <w:tab/>
        <w:t>Section 33 amended</w:t>
      </w:r>
      <w:bookmarkEnd w:id="561"/>
      <w:bookmarkEnd w:id="562"/>
    </w:p>
    <w:p>
      <w:pPr>
        <w:pStyle w:val="nzSubsection"/>
      </w:pPr>
      <w:r>
        <w:tab/>
        <w:t>(1)</w:t>
      </w:r>
      <w:r>
        <w:tab/>
        <w:t>In section 33(1):</w:t>
      </w:r>
    </w:p>
    <w:p>
      <w:pPr>
        <w:pStyle w:val="nzIndenta"/>
        <w:rPr>
          <w:snapToGrid w:val="0"/>
        </w:rPr>
      </w:pPr>
      <w:r>
        <w:tab/>
        <w:t>(a)</w:t>
      </w:r>
      <w:r>
        <w:tab/>
        <w:t>delete “</w:t>
      </w:r>
      <w:r>
        <w:rPr>
          <w:snapToGrid w:val="0"/>
        </w:rPr>
        <w:t>Where the proprietors of the lots the subject o</w:t>
      </w:r>
      <w:r>
        <w:rPr>
          <w:snapToGrid w:val="0"/>
          <w:spacing w:val="40"/>
        </w:rPr>
        <w:t>f a”</w:t>
      </w:r>
      <w:r>
        <w:rPr>
          <w:snapToGrid w:val="0"/>
        </w:rPr>
        <w:t xml:space="preserve"> and insert:</w:t>
      </w:r>
    </w:p>
    <w:p>
      <w:pPr>
        <w:pStyle w:val="BlankOpen"/>
      </w:pPr>
    </w:p>
    <w:p>
      <w:pPr>
        <w:pStyle w:val="nzIndenta"/>
      </w:pPr>
      <w:r>
        <w:tab/>
      </w:r>
      <w:r>
        <w:tab/>
        <w:t>If the owners of the lots in a strata titles</w:t>
      </w:r>
    </w:p>
    <w:p>
      <w:pPr>
        <w:pStyle w:val="BlankClose"/>
      </w:pPr>
    </w:p>
    <w:p>
      <w:pPr>
        <w:pStyle w:val="nzIndenta"/>
      </w:pPr>
      <w:r>
        <w:tab/>
        <w:t>(b)</w:t>
      </w:r>
      <w:r>
        <w:tab/>
        <w:t>delete “any” (1</w:t>
      </w:r>
      <w:r>
        <w:rPr>
          <w:vertAlign w:val="superscript"/>
        </w:rPr>
        <w:t>st</w:t>
      </w:r>
      <w:r>
        <w:t xml:space="preserve"> occurrence) and insert:</w:t>
      </w:r>
    </w:p>
    <w:p>
      <w:pPr>
        <w:pStyle w:val="BlankOpen"/>
      </w:pPr>
    </w:p>
    <w:p>
      <w:pPr>
        <w:pStyle w:val="nzIndenta"/>
      </w:pPr>
      <w:r>
        <w:tab/>
      </w:r>
      <w:r>
        <w:tab/>
        <w:t>a</w:t>
      </w:r>
    </w:p>
    <w:p>
      <w:pPr>
        <w:pStyle w:val="BlankClose"/>
      </w:pPr>
    </w:p>
    <w:p>
      <w:pPr>
        <w:pStyle w:val="nzIndenta"/>
      </w:pPr>
      <w:r>
        <w:tab/>
        <w:t>(c)</w:t>
      </w:r>
      <w:r>
        <w:tab/>
        <w:t>delete “</w:t>
      </w:r>
      <w:r>
        <w:rPr>
          <w:snapToGrid w:val="0"/>
        </w:rPr>
        <w:t xml:space="preserve">taken against them jointly </w:t>
      </w:r>
      <w:r>
        <w:t>(any such proceedings being proceedings for or with respect to common property),” and insert:</w:t>
      </w:r>
    </w:p>
    <w:p>
      <w:pPr>
        <w:pStyle w:val="BlankOpen"/>
      </w:pPr>
    </w:p>
    <w:p>
      <w:pPr>
        <w:pStyle w:val="nzIndenta"/>
      </w:pPr>
      <w:r>
        <w:tab/>
      </w:r>
      <w:r>
        <w:tab/>
        <w:t xml:space="preserve">relating to common property </w:t>
      </w:r>
      <w:r>
        <w:rPr>
          <w:snapToGrid w:val="0"/>
        </w:rPr>
        <w:t>taken against them jointly,</w:t>
      </w:r>
    </w:p>
    <w:p>
      <w:pPr>
        <w:pStyle w:val="BlankClose"/>
      </w:pPr>
    </w:p>
    <w:p>
      <w:pPr>
        <w:pStyle w:val="nzIndenta"/>
      </w:pPr>
      <w:r>
        <w:tab/>
        <w:t>(d)</w:t>
      </w:r>
      <w:r>
        <w:tab/>
        <w:t>delete “any such proceedings shall have” and insert:</w:t>
      </w:r>
    </w:p>
    <w:p>
      <w:pPr>
        <w:pStyle w:val="BlankOpen"/>
      </w:pPr>
    </w:p>
    <w:p>
      <w:pPr>
        <w:pStyle w:val="nzIndenta"/>
      </w:pPr>
      <w:r>
        <w:tab/>
      </w:r>
      <w:r>
        <w:tab/>
        <w:t>the proceedings has</w:t>
      </w:r>
    </w:p>
    <w:p>
      <w:pPr>
        <w:pStyle w:val="BlankClose"/>
      </w:pPr>
    </w:p>
    <w:p>
      <w:pPr>
        <w:pStyle w:val="nzIndenta"/>
      </w:pPr>
      <w:r>
        <w:tab/>
        <w:t>(e)</w:t>
      </w:r>
      <w:r>
        <w:tab/>
        <w:t>delete “proprietors.” and insert:</w:t>
      </w:r>
    </w:p>
    <w:p>
      <w:pPr>
        <w:pStyle w:val="BlankOpen"/>
      </w:pPr>
    </w:p>
    <w:p>
      <w:pPr>
        <w:pStyle w:val="nzIndenta"/>
      </w:pPr>
      <w:r>
        <w:tab/>
      </w:r>
      <w:r>
        <w:tab/>
        <w:t>owners.</w:t>
      </w:r>
    </w:p>
    <w:p>
      <w:pPr>
        <w:pStyle w:val="BlankClose"/>
      </w:pPr>
    </w:p>
    <w:p>
      <w:pPr>
        <w:pStyle w:val="nzSubsection"/>
      </w:pPr>
      <w:r>
        <w:tab/>
        <w:t>(2)</w:t>
      </w:r>
      <w:r>
        <w:tab/>
        <w:t>In section 33(2):</w:t>
      </w:r>
    </w:p>
    <w:p>
      <w:pPr>
        <w:pStyle w:val="nzIndenta"/>
        <w:rPr>
          <w:snapToGrid w:val="0"/>
        </w:rPr>
      </w:pPr>
      <w:r>
        <w:tab/>
        <w:t>(a)</w:t>
      </w:r>
      <w:r>
        <w:tab/>
        <w:t>delete “</w:t>
      </w:r>
      <w:r>
        <w:rPr>
          <w:snapToGrid w:val="0"/>
        </w:rPr>
        <w:t>Where a proprietor” and insert:</w:t>
      </w:r>
    </w:p>
    <w:p>
      <w:pPr>
        <w:pStyle w:val="BlankOpen"/>
      </w:pPr>
    </w:p>
    <w:p>
      <w:pPr>
        <w:pStyle w:val="nzIndenta"/>
      </w:pPr>
      <w:r>
        <w:tab/>
      </w:r>
      <w:r>
        <w:tab/>
        <w:t>If an owner of a lot</w:t>
      </w:r>
    </w:p>
    <w:p>
      <w:pPr>
        <w:pStyle w:val="BlankClose"/>
      </w:pPr>
    </w:p>
    <w:p>
      <w:pPr>
        <w:pStyle w:val="nzIndenta"/>
      </w:pPr>
      <w:r>
        <w:tab/>
        <w:t>(b)</w:t>
      </w:r>
      <w:r>
        <w:tab/>
        <w:t>delete “proprietor in respect o</w:t>
      </w:r>
      <w:r>
        <w:rPr>
          <w:snapToGrid w:val="0"/>
          <w:spacing w:val="40"/>
        </w:rPr>
        <w:t>f</w:t>
      </w:r>
      <w:r>
        <w:t>” and insert:</w:t>
      </w:r>
    </w:p>
    <w:p>
      <w:pPr>
        <w:pStyle w:val="BlankOpen"/>
      </w:pPr>
    </w:p>
    <w:p>
      <w:pPr>
        <w:pStyle w:val="nzIndenta"/>
      </w:pPr>
      <w:r>
        <w:tab/>
      </w:r>
      <w:r>
        <w:tab/>
        <w:t>owner for</w:t>
      </w:r>
    </w:p>
    <w:p>
      <w:pPr>
        <w:pStyle w:val="BlankClose"/>
      </w:pPr>
    </w:p>
    <w:p>
      <w:pPr>
        <w:pStyle w:val="nzIndenta"/>
      </w:pPr>
      <w:r>
        <w:tab/>
        <w:t>(c)</w:t>
      </w:r>
      <w:r>
        <w:tab/>
        <w:t>delete “shall” and insert:</w:t>
      </w:r>
    </w:p>
    <w:p>
      <w:pPr>
        <w:pStyle w:val="BlankOpen"/>
      </w:pPr>
    </w:p>
    <w:p>
      <w:pPr>
        <w:pStyle w:val="nzIndenta"/>
      </w:pPr>
      <w:r>
        <w:tab/>
      </w:r>
      <w:r>
        <w:tab/>
        <w:t>must</w:t>
      </w:r>
    </w:p>
    <w:p>
      <w:pPr>
        <w:pStyle w:val="BlankClose"/>
      </w:pPr>
    </w:p>
    <w:p>
      <w:pPr>
        <w:pStyle w:val="nzIndenta"/>
      </w:pPr>
      <w:r>
        <w:tab/>
        <w:t>(d)</w:t>
      </w:r>
      <w:r>
        <w:tab/>
        <w:t>delete “</w:t>
      </w:r>
      <w:r>
        <w:rPr>
          <w:snapToGrid w:val="0"/>
        </w:rPr>
        <w:t xml:space="preserve">proprietor bears to the aggregate unit </w:t>
      </w:r>
      <w:r>
        <w:t>entitlement.” and insert:</w:t>
      </w:r>
    </w:p>
    <w:p>
      <w:pPr>
        <w:pStyle w:val="BlankOpen"/>
      </w:pPr>
    </w:p>
    <w:p>
      <w:pPr>
        <w:pStyle w:val="nzIndenta"/>
      </w:pPr>
      <w:r>
        <w:tab/>
      </w:r>
      <w:r>
        <w:tab/>
        <w:t xml:space="preserve">owner </w:t>
      </w:r>
      <w:r>
        <w:rPr>
          <w:snapToGrid w:val="0"/>
        </w:rPr>
        <w:t xml:space="preserve">bears to the sum of the unit </w:t>
      </w:r>
      <w:r>
        <w:t>entitlements of all the lots.</w:t>
      </w:r>
    </w:p>
    <w:p>
      <w:pPr>
        <w:pStyle w:val="BlankClose"/>
        <w:keepNext/>
      </w:pPr>
    </w:p>
    <w:p>
      <w:pPr>
        <w:pStyle w:val="nzSectAltNote"/>
      </w:pPr>
      <w:r>
        <w:tab/>
        <w:t>Note:</w:t>
      </w:r>
      <w:r>
        <w:tab/>
        <w:t>The heading to amended section 33 is to read:</w:t>
      </w:r>
    </w:p>
    <w:p>
      <w:pPr>
        <w:pStyle w:val="nzSectAltHeading"/>
      </w:pPr>
      <w:r>
        <w:rPr>
          <w:b w:val="0"/>
        </w:rPr>
        <w:tab/>
      </w:r>
      <w:r>
        <w:rPr>
          <w:b w:val="0"/>
        </w:rPr>
        <w:tab/>
      </w:r>
      <w:r>
        <w:t>Strata company is representative of owners in proceedings</w:t>
      </w:r>
    </w:p>
    <w:p>
      <w:pPr>
        <w:pStyle w:val="nzPermNoteHeading"/>
      </w:pPr>
      <w:r>
        <w:tab/>
        <w:t>Note:</w:t>
      </w:r>
    </w:p>
    <w:p>
      <w:pPr>
        <w:pStyle w:val="nzPermNoteText"/>
      </w:pPr>
      <w:r>
        <w:tab/>
      </w:r>
      <w:r>
        <w:tab/>
        <w:t>Section 33 (as amended) is renumbered as section 103 and relocated to Part 8 Division 1 Subdivision 4.</w:t>
      </w:r>
    </w:p>
    <w:p>
      <w:pPr>
        <w:pStyle w:val="nzHeading5"/>
      </w:pPr>
      <w:bookmarkStart w:id="563" w:name="_Toc530474306"/>
      <w:bookmarkStart w:id="564" w:name="_Toc530474901"/>
      <w:r>
        <w:rPr>
          <w:rStyle w:val="CharSectno"/>
        </w:rPr>
        <w:t>46</w:t>
      </w:r>
      <w:r>
        <w:t>.</w:t>
      </w:r>
      <w:r>
        <w:tab/>
        <w:t>Section 34 amended</w:t>
      </w:r>
      <w:bookmarkEnd w:id="563"/>
      <w:bookmarkEnd w:id="564"/>
    </w:p>
    <w:p>
      <w:pPr>
        <w:pStyle w:val="nzSubsection"/>
      </w:pPr>
      <w:r>
        <w:tab/>
        <w:t>(1)</w:t>
      </w:r>
      <w:r>
        <w:tab/>
        <w:t>In section 34(1):</w:t>
      </w:r>
    </w:p>
    <w:p>
      <w:pPr>
        <w:pStyle w:val="nzIndenta"/>
        <w:rPr>
          <w:snapToGrid w:val="0"/>
        </w:rPr>
      </w:pPr>
      <w:r>
        <w:tab/>
        <w:t>(a)</w:t>
      </w:r>
      <w:r>
        <w:tab/>
        <w:t xml:space="preserve">delete “varying </w:t>
      </w:r>
      <w:r>
        <w:rPr>
          <w:snapToGrid w:val="0"/>
        </w:rPr>
        <w:t>or discharging” and insert:</w:t>
      </w:r>
    </w:p>
    <w:p>
      <w:pPr>
        <w:pStyle w:val="BlankOpen"/>
      </w:pPr>
    </w:p>
    <w:p>
      <w:pPr>
        <w:pStyle w:val="nzIndenta"/>
      </w:pPr>
      <w:r>
        <w:tab/>
      </w:r>
      <w:r>
        <w:tab/>
        <w:t xml:space="preserve">varying, extending, </w:t>
      </w:r>
      <w:r>
        <w:rPr>
          <w:snapToGrid w:val="0"/>
        </w:rPr>
        <w:t>discharging</w:t>
      </w:r>
      <w:r>
        <w:t xml:space="preserve"> or terminating</w:t>
      </w:r>
    </w:p>
    <w:p>
      <w:pPr>
        <w:pStyle w:val="BlankClose"/>
      </w:pPr>
    </w:p>
    <w:p>
      <w:pPr>
        <w:pStyle w:val="nzIndenta"/>
        <w:rPr>
          <w:snapToGrid w:val="0"/>
        </w:rPr>
      </w:pPr>
      <w:r>
        <w:tab/>
        <w:t>(b)</w:t>
      </w:r>
      <w:r>
        <w:tab/>
        <w:t xml:space="preserve">delete “vary </w:t>
      </w:r>
      <w:r>
        <w:rPr>
          <w:snapToGrid w:val="0"/>
        </w:rPr>
        <w:t>or discharge” and insert:</w:t>
      </w:r>
    </w:p>
    <w:p>
      <w:pPr>
        <w:pStyle w:val="BlankOpen"/>
      </w:pPr>
    </w:p>
    <w:p>
      <w:pPr>
        <w:pStyle w:val="nzIndenta"/>
      </w:pPr>
      <w:r>
        <w:tab/>
      </w:r>
      <w:r>
        <w:tab/>
        <w:t xml:space="preserve">vary, extend, </w:t>
      </w:r>
      <w:r>
        <w:rPr>
          <w:snapToGrid w:val="0"/>
        </w:rPr>
        <w:t>discharge</w:t>
      </w:r>
      <w:r>
        <w:t xml:space="preserve"> or terminate</w:t>
      </w:r>
    </w:p>
    <w:p>
      <w:pPr>
        <w:pStyle w:val="BlankClose"/>
      </w:pPr>
    </w:p>
    <w:p>
      <w:pPr>
        <w:pStyle w:val="nzIndenta"/>
        <w:rPr>
          <w:snapToGrid w:val="0"/>
        </w:rPr>
      </w:pPr>
      <w:r>
        <w:tab/>
        <w:t>(c)</w:t>
      </w:r>
      <w:r>
        <w:tab/>
        <w:t xml:space="preserve">delete “varied </w:t>
      </w:r>
      <w:r>
        <w:rPr>
          <w:snapToGrid w:val="0"/>
        </w:rPr>
        <w:t>or discharged” and insert:</w:t>
      </w:r>
    </w:p>
    <w:p>
      <w:pPr>
        <w:pStyle w:val="BlankOpen"/>
      </w:pPr>
    </w:p>
    <w:p>
      <w:pPr>
        <w:pStyle w:val="nzIndenta"/>
      </w:pPr>
      <w:r>
        <w:tab/>
      </w:r>
      <w:r>
        <w:tab/>
        <w:t xml:space="preserve">varied, extended, </w:t>
      </w:r>
      <w:r>
        <w:rPr>
          <w:snapToGrid w:val="0"/>
        </w:rPr>
        <w:t>discharged</w:t>
      </w:r>
      <w:r>
        <w:t xml:space="preserve"> or terminated</w:t>
      </w:r>
    </w:p>
    <w:p>
      <w:pPr>
        <w:pStyle w:val="BlankClose"/>
      </w:pPr>
    </w:p>
    <w:p>
      <w:pPr>
        <w:pStyle w:val="nzSubsection"/>
      </w:pPr>
      <w:r>
        <w:tab/>
        <w:t>(2)</w:t>
      </w:r>
      <w:r>
        <w:tab/>
        <w:t xml:space="preserve">In section 34(2) delete “variation </w:t>
      </w:r>
      <w:r>
        <w:rPr>
          <w:snapToGrid w:val="0"/>
        </w:rPr>
        <w:t>or discharge” and insert:</w:t>
      </w:r>
    </w:p>
    <w:p>
      <w:pPr>
        <w:pStyle w:val="BlankOpen"/>
      </w:pPr>
    </w:p>
    <w:p>
      <w:pPr>
        <w:pStyle w:val="nzSubsection"/>
      </w:pPr>
      <w:r>
        <w:tab/>
      </w:r>
      <w:r>
        <w:tab/>
        <w:t xml:space="preserve">variation, extension, </w:t>
      </w:r>
      <w:r>
        <w:rPr>
          <w:snapToGrid w:val="0"/>
        </w:rPr>
        <w:t xml:space="preserve">discharge or </w:t>
      </w:r>
      <w:r>
        <w:t>termination</w:t>
      </w:r>
    </w:p>
    <w:p>
      <w:pPr>
        <w:pStyle w:val="BlankClose"/>
      </w:pPr>
    </w:p>
    <w:p>
      <w:pPr>
        <w:pStyle w:val="nzSubsection"/>
      </w:pPr>
      <w:r>
        <w:tab/>
        <w:t>(3)</w:t>
      </w:r>
      <w:r>
        <w:tab/>
        <w:t>Delete section 34(3) and insert:</w:t>
      </w:r>
    </w:p>
    <w:p>
      <w:pPr>
        <w:pStyle w:val="BlankOpen"/>
      </w:pPr>
    </w:p>
    <w:p>
      <w:pPr>
        <w:pStyle w:val="nzSubsection"/>
      </w:pPr>
      <w:r>
        <w:tab/>
        <w:t>(3)</w:t>
      </w:r>
      <w:r>
        <w:tab/>
        <w:t>This section does not affect —</w:t>
      </w:r>
    </w:p>
    <w:p>
      <w:pPr>
        <w:pStyle w:val="nzIndenta"/>
      </w:pPr>
      <w:r>
        <w:tab/>
        <w:t>(a)</w:t>
      </w:r>
      <w:r>
        <w:tab/>
        <w:t>section 115; or</w:t>
      </w:r>
    </w:p>
    <w:p>
      <w:pPr>
        <w:pStyle w:val="nzIndenta"/>
      </w:pPr>
      <w:r>
        <w:tab/>
        <w:t>(b)</w:t>
      </w:r>
      <w:r>
        <w:tab/>
        <w:t>section 151; or</w:t>
      </w:r>
    </w:p>
    <w:p>
      <w:pPr>
        <w:pStyle w:val="nzIndenta"/>
      </w:pPr>
      <w:r>
        <w:tab/>
        <w:t>(c)</w:t>
      </w:r>
      <w:r>
        <w:tab/>
        <w:t>the operation of a law that requires some consent or sanction to be obtained, or some procedure to be complied with, in relation to the making, variation, extension, discharge or termination of a contract.</w:t>
      </w:r>
    </w:p>
    <w:p>
      <w:pPr>
        <w:pStyle w:val="BlankClose"/>
      </w:pPr>
    </w:p>
    <w:p>
      <w:pPr>
        <w:pStyle w:val="nzPermNoteHeading"/>
      </w:pPr>
      <w:r>
        <w:tab/>
        <w:t>Note:</w:t>
      </w:r>
    </w:p>
    <w:p>
      <w:pPr>
        <w:pStyle w:val="nzPermNoteText"/>
      </w:pPr>
      <w:r>
        <w:tab/>
      </w:r>
      <w:r>
        <w:tab/>
        <w:t>Section 34 (as amended) is renumbered as section 139 and relocated to Part 8 Division 5.</w:t>
      </w:r>
    </w:p>
    <w:p>
      <w:pPr>
        <w:pStyle w:val="nzHeading5"/>
      </w:pPr>
      <w:bookmarkStart w:id="565" w:name="_Toc530474307"/>
      <w:bookmarkStart w:id="566" w:name="_Toc530474902"/>
      <w:r>
        <w:rPr>
          <w:rStyle w:val="CharSectno"/>
        </w:rPr>
        <w:t>47</w:t>
      </w:r>
      <w:r>
        <w:t>.</w:t>
      </w:r>
      <w:r>
        <w:tab/>
        <w:t>Section 35 amended</w:t>
      </w:r>
      <w:bookmarkEnd w:id="565"/>
      <w:bookmarkEnd w:id="566"/>
    </w:p>
    <w:p>
      <w:pPr>
        <w:pStyle w:val="nzSubsection"/>
      </w:pPr>
      <w:r>
        <w:tab/>
        <w:t>(1)</w:t>
      </w:r>
      <w:r>
        <w:tab/>
        <w:t>In section 35(1):</w:t>
      </w:r>
    </w:p>
    <w:p>
      <w:pPr>
        <w:pStyle w:val="nzIndenta"/>
      </w:pPr>
      <w:r>
        <w:tab/>
        <w:t>(a)</w:t>
      </w:r>
      <w:r>
        <w:tab/>
        <w:t>delete “shall —” and insert:</w:t>
      </w:r>
    </w:p>
    <w:p>
      <w:pPr>
        <w:pStyle w:val="BlankOpen"/>
      </w:pPr>
    </w:p>
    <w:p>
      <w:pPr>
        <w:pStyle w:val="nzIndenta"/>
      </w:pPr>
      <w:r>
        <w:tab/>
      </w:r>
      <w:r>
        <w:tab/>
        <w:t>must —</w:t>
      </w:r>
    </w:p>
    <w:p>
      <w:pPr>
        <w:pStyle w:val="BlankClose"/>
      </w:pPr>
    </w:p>
    <w:p>
      <w:pPr>
        <w:pStyle w:val="nzIndenta"/>
      </w:pPr>
      <w:r>
        <w:tab/>
        <w:t>(b)</w:t>
      </w:r>
      <w:r>
        <w:tab/>
        <w:t>delete paragraph (a);</w:t>
      </w:r>
    </w:p>
    <w:p>
      <w:pPr>
        <w:pStyle w:val="nzIndenta"/>
      </w:pPr>
      <w:r>
        <w:tab/>
        <w:t>(c)</w:t>
      </w:r>
      <w:r>
        <w:tab/>
        <w:t>in paragraph (b) delete “proprietors; and” and insert:</w:t>
      </w:r>
    </w:p>
    <w:p>
      <w:pPr>
        <w:pStyle w:val="BlankOpen"/>
      </w:pPr>
    </w:p>
    <w:p>
      <w:pPr>
        <w:pStyle w:val="nzIndenta"/>
      </w:pPr>
      <w:r>
        <w:tab/>
      </w:r>
      <w:r>
        <w:tab/>
        <w:t>owners of lots; and</w:t>
      </w:r>
    </w:p>
    <w:p>
      <w:pPr>
        <w:pStyle w:val="BlankClose"/>
      </w:pPr>
    </w:p>
    <w:p>
      <w:pPr>
        <w:pStyle w:val="nzIndenta"/>
      </w:pPr>
      <w:r>
        <w:tab/>
        <w:t>(d)</w:t>
      </w:r>
      <w:r>
        <w:tab/>
        <w:t>in paragraph (c) delete “where” and insert:</w:t>
      </w:r>
    </w:p>
    <w:p>
      <w:pPr>
        <w:pStyle w:val="BlankOpen"/>
      </w:pPr>
    </w:p>
    <w:p>
      <w:pPr>
        <w:pStyle w:val="nzIndenta"/>
      </w:pPr>
      <w:r>
        <w:tab/>
      </w:r>
      <w:r>
        <w:tab/>
        <w:t>if</w:t>
      </w:r>
    </w:p>
    <w:p>
      <w:pPr>
        <w:pStyle w:val="BlankClose"/>
      </w:pPr>
    </w:p>
    <w:p>
      <w:pPr>
        <w:pStyle w:val="nzIndenta"/>
      </w:pPr>
      <w:r>
        <w:tab/>
        <w:t>(e)</w:t>
      </w:r>
      <w:r>
        <w:tab/>
        <w:t>in paragraph (c)(ii) delete “vested in” and insert:</w:t>
      </w:r>
    </w:p>
    <w:p>
      <w:pPr>
        <w:pStyle w:val="BlankOpen"/>
      </w:pPr>
    </w:p>
    <w:p>
      <w:pPr>
        <w:pStyle w:val="nzIndenta"/>
      </w:pPr>
      <w:r>
        <w:tab/>
      </w:r>
      <w:r>
        <w:tab/>
        <w:t>owned by</w:t>
      </w:r>
    </w:p>
    <w:p>
      <w:pPr>
        <w:pStyle w:val="BlankClose"/>
      </w:pPr>
    </w:p>
    <w:p>
      <w:pPr>
        <w:pStyle w:val="nzIndenta"/>
      </w:pPr>
      <w:r>
        <w:tab/>
        <w:t>(f)</w:t>
      </w:r>
      <w:r>
        <w:tab/>
        <w:t>in paragraph (c) delete “cause; and” and insert:</w:t>
      </w:r>
    </w:p>
    <w:p>
      <w:pPr>
        <w:pStyle w:val="BlankOpen"/>
      </w:pPr>
    </w:p>
    <w:p>
      <w:pPr>
        <w:pStyle w:val="nzIndenta"/>
      </w:pPr>
      <w:r>
        <w:tab/>
      </w:r>
      <w:r>
        <w:tab/>
        <w:t>cause.</w:t>
      </w:r>
    </w:p>
    <w:p>
      <w:pPr>
        <w:pStyle w:val="BlankClose"/>
      </w:pPr>
    </w:p>
    <w:p>
      <w:pPr>
        <w:pStyle w:val="nzIndenta"/>
      </w:pPr>
      <w:r>
        <w:tab/>
        <w:t>(g)</w:t>
      </w:r>
      <w:r>
        <w:tab/>
        <w:t>delete paragraphs (e) to (k).</w:t>
      </w:r>
    </w:p>
    <w:p>
      <w:pPr>
        <w:pStyle w:val="nzSubsection"/>
      </w:pPr>
      <w:r>
        <w:tab/>
        <w:t>(2)</w:t>
      </w:r>
      <w:r>
        <w:tab/>
        <w:t>Delete section 35(2) and insert:</w:t>
      </w:r>
    </w:p>
    <w:p>
      <w:pPr>
        <w:pStyle w:val="BlankOpen"/>
      </w:pPr>
    </w:p>
    <w:p>
      <w:pPr>
        <w:pStyle w:val="nzSubsection"/>
      </w:pPr>
      <w:r>
        <w:tab/>
        <w:t>(2)</w:t>
      </w:r>
      <w:r>
        <w:tab/>
        <w:t>A strata company may improve or alter the common property in a manner that goes beyond what is required under subsection (1).</w:t>
      </w:r>
    </w:p>
    <w:p>
      <w:pPr>
        <w:pStyle w:val="nzPermNoteHeading"/>
      </w:pPr>
      <w:r>
        <w:tab/>
        <w:t>Note for this subsection:</w:t>
      </w:r>
    </w:p>
    <w:p>
      <w:pPr>
        <w:pStyle w:val="nz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nzSubsection"/>
      </w:pPr>
      <w:r>
        <w:tab/>
        <w:t>(3)</w:t>
      </w:r>
      <w:r>
        <w:tab/>
        <w:t>A strata company may sue and be sued for rights and liabilities related to the common property in the strata titles scheme as if it were the owner and occupier of the common property.</w:t>
      </w:r>
    </w:p>
    <w:p>
      <w:pPr>
        <w:pStyle w:val="BlankClose"/>
      </w:pPr>
    </w:p>
    <w:p>
      <w:pPr>
        <w:pStyle w:val="nzSectAltNote"/>
      </w:pPr>
      <w:r>
        <w:tab/>
        <w:t>Note:</w:t>
      </w:r>
      <w:r>
        <w:tab/>
        <w:t>The heading to amended section 35 is to read:</w:t>
      </w:r>
    </w:p>
    <w:p>
      <w:pPr>
        <w:pStyle w:val="nzSectAltHeading"/>
      </w:pPr>
      <w:r>
        <w:rPr>
          <w:b w:val="0"/>
        </w:rPr>
        <w:tab/>
      </w:r>
      <w:r>
        <w:rPr>
          <w:b w:val="0"/>
        </w:rPr>
        <w:tab/>
      </w:r>
      <w:r>
        <w:t>General duty</w:t>
      </w:r>
    </w:p>
    <w:p>
      <w:pPr>
        <w:pStyle w:val="nzPermNoteHeading"/>
      </w:pPr>
      <w:r>
        <w:tab/>
        <w:t>Note:</w:t>
      </w:r>
    </w:p>
    <w:p>
      <w:pPr>
        <w:pStyle w:val="nzPermNoteText"/>
      </w:pPr>
      <w:r>
        <w:tab/>
      </w:r>
      <w:r>
        <w:tab/>
        <w:t>Section 35 (as amended) is renumbered as section 91 and relocated to Part 8 Division 1 Subdivision 1.</w:t>
      </w:r>
    </w:p>
    <w:p>
      <w:pPr>
        <w:pStyle w:val="nzHeading5"/>
      </w:pPr>
      <w:bookmarkStart w:id="567" w:name="_Toc530474308"/>
      <w:bookmarkStart w:id="568" w:name="_Toc530474903"/>
      <w:r>
        <w:rPr>
          <w:rStyle w:val="CharSectno"/>
        </w:rPr>
        <w:t>48</w:t>
      </w:r>
      <w:r>
        <w:t>.</w:t>
      </w:r>
      <w:r>
        <w:tab/>
        <w:t>Section 35A amended</w:t>
      </w:r>
      <w:bookmarkEnd w:id="567"/>
      <w:bookmarkEnd w:id="568"/>
    </w:p>
    <w:p>
      <w:pPr>
        <w:pStyle w:val="nzSubsection"/>
      </w:pPr>
      <w:r>
        <w:tab/>
        <w:t>(1)</w:t>
      </w:r>
      <w:r>
        <w:tab/>
        <w:t>In section 35A(1) delete “shall” and insert:</w:t>
      </w:r>
    </w:p>
    <w:p>
      <w:pPr>
        <w:pStyle w:val="BlankOpen"/>
      </w:pPr>
    </w:p>
    <w:p>
      <w:pPr>
        <w:pStyle w:val="nzSubsection"/>
      </w:pPr>
      <w:r>
        <w:tab/>
      </w:r>
      <w:r>
        <w:tab/>
        <w:t>must</w:t>
      </w:r>
    </w:p>
    <w:p>
      <w:pPr>
        <w:pStyle w:val="BlankClose"/>
      </w:pPr>
    </w:p>
    <w:p>
      <w:pPr>
        <w:pStyle w:val="nzSubsection"/>
      </w:pPr>
      <w:r>
        <w:tab/>
        <w:t>(2)</w:t>
      </w:r>
      <w:r>
        <w:tab/>
        <w:t>In section 35A(1) delete the Penalty and insert:</w:t>
      </w:r>
    </w:p>
    <w:p>
      <w:pPr>
        <w:pStyle w:val="BlankOpen"/>
      </w:pPr>
    </w:p>
    <w:p>
      <w:pPr>
        <w:pStyle w:val="nzPenstart"/>
      </w:pPr>
      <w:r>
        <w:tab/>
        <w:t>Penalty for this subsection: a fine of $3 000.</w:t>
      </w:r>
    </w:p>
    <w:p>
      <w:pPr>
        <w:pStyle w:val="BlankClose"/>
      </w:pPr>
    </w:p>
    <w:p>
      <w:pPr>
        <w:pStyle w:val="nzSubsection"/>
      </w:pPr>
      <w:r>
        <w:tab/>
        <w:t>(3)</w:t>
      </w:r>
      <w:r>
        <w:tab/>
        <w:t>In section 35A(3)(b) delete “a proprietor” and insert:</w:t>
      </w:r>
    </w:p>
    <w:p>
      <w:pPr>
        <w:pStyle w:val="BlankOpen"/>
      </w:pPr>
    </w:p>
    <w:p>
      <w:pPr>
        <w:pStyle w:val="nzSubsection"/>
      </w:pPr>
      <w:r>
        <w:tab/>
      </w:r>
      <w:r>
        <w:tab/>
        <w:t>an owner</w:t>
      </w:r>
    </w:p>
    <w:p>
      <w:pPr>
        <w:pStyle w:val="BlankClose"/>
      </w:pPr>
    </w:p>
    <w:p>
      <w:pPr>
        <w:pStyle w:val="nzSubsection"/>
      </w:pPr>
      <w:r>
        <w:tab/>
        <w:t>(4)</w:t>
      </w:r>
      <w:r>
        <w:tab/>
        <w:t>Delete section 35A(4) and insert:</w:t>
      </w:r>
    </w:p>
    <w:p>
      <w:pPr>
        <w:pStyle w:val="BlankOpen"/>
      </w:pPr>
    </w:p>
    <w:p>
      <w:pPr>
        <w:pStyle w:val="nzSubsection"/>
      </w:pPr>
      <w:r>
        <w:tab/>
        <w:t>(4)</w:t>
      </w:r>
      <w:r>
        <w:tab/>
        <w:t>The particulars to be entered in the roll are —</w:t>
      </w:r>
    </w:p>
    <w:p>
      <w:pPr>
        <w:pStyle w:val="nzIndenta"/>
      </w:pPr>
      <w:r>
        <w:tab/>
        <w:t>(a)</w:t>
      </w:r>
      <w:r>
        <w:tab/>
        <w:t>the name of the strata company; and</w:t>
      </w:r>
    </w:p>
    <w:p>
      <w:pPr>
        <w:pStyle w:val="nzIndenta"/>
      </w:pPr>
      <w:r>
        <w:tab/>
        <w:t>(b)</w:t>
      </w:r>
      <w:r>
        <w:tab/>
        <w:t>the name and address for service of each member of the council, or officer, of the strata company; and</w:t>
      </w:r>
    </w:p>
    <w:p>
      <w:pPr>
        <w:pStyle w:val="nzIndenta"/>
      </w:pPr>
      <w:r>
        <w:tab/>
        <w:t>(c)</w:t>
      </w:r>
      <w:r>
        <w:tab/>
        <w:t>the name and address for service of the owner of each lot; and</w:t>
      </w:r>
    </w:p>
    <w:p>
      <w:pPr>
        <w:pStyle w:val="nzIndenta"/>
      </w:pPr>
      <w:r>
        <w:tab/>
        <w:t>(d)</w:t>
      </w:r>
      <w:r>
        <w:tab/>
        <w:t>the name and address for service of each strata manager of the strata company; and</w:t>
      </w:r>
    </w:p>
    <w:p>
      <w:pPr>
        <w:pStyle w:val="nzIndenta"/>
      </w:pPr>
      <w:r>
        <w:tab/>
        <w:t>(e)</w:t>
      </w:r>
      <w:r>
        <w:tab/>
        <w:t>the name and address for service of any lessee or tenant of a lot notified to the strata company; and</w:t>
      </w:r>
    </w:p>
    <w:p>
      <w:pPr>
        <w:pStyle w:val="nzIndenta"/>
      </w:pPr>
      <w:r>
        <w:tab/>
        <w:t>(f)</w:t>
      </w:r>
      <w:r>
        <w:tab/>
        <w:t>the name and address for service of any mortgagee of a lot notified to the strata company.</w:t>
      </w:r>
    </w:p>
    <w:p>
      <w:pPr>
        <w:pStyle w:val="BlankClose"/>
      </w:pPr>
    </w:p>
    <w:p>
      <w:pPr>
        <w:pStyle w:val="nzSubsection"/>
      </w:pPr>
      <w:r>
        <w:tab/>
        <w:t>(5)</w:t>
      </w:r>
      <w:r>
        <w:tab/>
        <w:t>In section 35A(5) delete “shall” and insert:</w:t>
      </w:r>
    </w:p>
    <w:p>
      <w:pPr>
        <w:pStyle w:val="BlankOpen"/>
      </w:pPr>
    </w:p>
    <w:p>
      <w:pPr>
        <w:pStyle w:val="nzSubsection"/>
      </w:pPr>
      <w:r>
        <w:tab/>
      </w:r>
      <w:r>
        <w:tab/>
        <w:t>must</w:t>
      </w:r>
    </w:p>
    <w:p>
      <w:pPr>
        <w:pStyle w:val="BlankClose"/>
      </w:pPr>
    </w:p>
    <w:p>
      <w:pPr>
        <w:pStyle w:val="nzPermNoteHeading"/>
      </w:pPr>
      <w:r>
        <w:tab/>
        <w:t>Note:</w:t>
      </w:r>
    </w:p>
    <w:p>
      <w:pPr>
        <w:pStyle w:val="nzPermNoteText"/>
      </w:pPr>
      <w:r>
        <w:tab/>
      </w:r>
      <w:r>
        <w:tab/>
        <w:t>Section 35A (as amended) is renumbered as section 105 and relocated to Part 8 Division 1 Subdivision 5.</w:t>
      </w:r>
    </w:p>
    <w:p>
      <w:pPr>
        <w:pStyle w:val="nzHeading5"/>
      </w:pPr>
      <w:bookmarkStart w:id="569" w:name="_Toc530474309"/>
      <w:bookmarkStart w:id="570" w:name="_Toc530474904"/>
      <w:r>
        <w:rPr>
          <w:rStyle w:val="CharSectno"/>
        </w:rPr>
        <w:t>49</w:t>
      </w:r>
      <w:r>
        <w:t>.</w:t>
      </w:r>
      <w:r>
        <w:tab/>
        <w:t>Section 36 amended</w:t>
      </w:r>
      <w:bookmarkEnd w:id="569"/>
      <w:bookmarkEnd w:id="570"/>
    </w:p>
    <w:p>
      <w:pPr>
        <w:pStyle w:val="nzSubsection"/>
      </w:pPr>
      <w:r>
        <w:tab/>
        <w:t>(1)</w:t>
      </w:r>
      <w:r>
        <w:tab/>
        <w:t>Delete section 36(1), (1a) and (2) and insert:</w:t>
      </w:r>
    </w:p>
    <w:p>
      <w:pPr>
        <w:pStyle w:val="BlankOpen"/>
      </w:pPr>
    </w:p>
    <w:p>
      <w:pPr>
        <w:pStyle w:val="nzSubsection"/>
      </w:pPr>
      <w:r>
        <w:tab/>
        <w:t>(1)</w:t>
      </w:r>
      <w:r>
        <w:tab/>
        <w:t>A strata company must —</w:t>
      </w:r>
    </w:p>
    <w:p>
      <w:pPr>
        <w:pStyle w:val="nz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nzIndenta"/>
      </w:pPr>
      <w:r>
        <w:tab/>
        <w:t>(b)</w:t>
      </w:r>
      <w:r>
        <w:tab/>
        <w:t>determine the amounts to be raised for payment into the administrative fund; and</w:t>
      </w:r>
    </w:p>
    <w:p>
      <w:pPr>
        <w:pStyle w:val="nzIndenta"/>
      </w:pPr>
      <w:r>
        <w:tab/>
        <w:t>(c)</w:t>
      </w:r>
      <w:r>
        <w:tab/>
        <w:t>raise amounts so determined by levying contributions on owners of lots —</w:t>
      </w:r>
    </w:p>
    <w:p>
      <w:pPr>
        <w:pStyle w:val="nzIndenti"/>
      </w:pPr>
      <w:r>
        <w:tab/>
        <w:t>(i)</w:t>
      </w:r>
      <w:r>
        <w:tab/>
        <w:t>in proportion to the unit entitlements of their respective lots; or</w:t>
      </w:r>
    </w:p>
    <w:p>
      <w:pPr>
        <w:pStyle w:val="nzIndenti"/>
      </w:pPr>
      <w:r>
        <w:tab/>
        <w:t>(ii)</w:t>
      </w:r>
      <w:r>
        <w:tab/>
        <w:t>if the scheme by</w:t>
      </w:r>
      <w:r>
        <w:noBreakHyphen/>
        <w:t>laws provide for a different basis for levying contributions, in accordance with that basis;</w:t>
      </w:r>
    </w:p>
    <w:p>
      <w:pPr>
        <w:pStyle w:val="nzIndenti"/>
      </w:pPr>
      <w:r>
        <w:tab/>
        <w:t>and</w:t>
      </w:r>
    </w:p>
    <w:p>
      <w:pPr>
        <w:pStyle w:val="nz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nzSubsection"/>
      </w:pPr>
      <w:r>
        <w:tab/>
        <w:t>(2)</w:t>
      </w:r>
      <w:r>
        <w:tab/>
        <w:t>A strata company must, if it is a designated strata company, and may, in any other case —</w:t>
      </w:r>
    </w:p>
    <w:p>
      <w:pPr>
        <w:pStyle w:val="nz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nzIndenta"/>
      </w:pPr>
      <w:r>
        <w:tab/>
        <w:t>(b)</w:t>
      </w:r>
      <w:r>
        <w:tab/>
        <w:t>determine the amounts to be raised for payment into the reserve fund; and</w:t>
      </w:r>
    </w:p>
    <w:p>
      <w:pPr>
        <w:pStyle w:val="nzIndenta"/>
      </w:pPr>
      <w:r>
        <w:tab/>
        <w:t>(c)</w:t>
      </w:r>
      <w:r>
        <w:tab/>
        <w:t>may raise amounts so determined by levying contributions on the owners in proportion to the unit entitlements of their respective lots.</w:t>
      </w:r>
    </w:p>
    <w:p>
      <w:pPr>
        <w:pStyle w:val="nzSubsection"/>
      </w:pPr>
      <w:r>
        <w:tab/>
        <w:t>(2A)</w:t>
      </w:r>
      <w:r>
        <w:tab/>
        <w:t>A designated strata company must ensure —</w:t>
      </w:r>
    </w:p>
    <w:p>
      <w:pPr>
        <w:pStyle w:val="nzIndenta"/>
      </w:pPr>
      <w:r>
        <w:tab/>
        <w:t>(a)</w:t>
      </w:r>
      <w:r>
        <w:tab/>
        <w:t>that there is a 10 year plan that sets out —</w:t>
      </w:r>
    </w:p>
    <w:p>
      <w:pPr>
        <w:pStyle w:val="nzIndenti"/>
      </w:pPr>
      <w:r>
        <w:tab/>
        <w:t>(i)</w:t>
      </w:r>
      <w:r>
        <w:tab/>
        <w:t>the common property and the personal property of the strata company that is anticipated to require maintenance, repair, renewal or replacement (other than of a routine nature) in the period covered by the plan; and</w:t>
      </w:r>
    </w:p>
    <w:p>
      <w:pPr>
        <w:pStyle w:val="nzIndenti"/>
      </w:pPr>
      <w:r>
        <w:tab/>
        <w:t>(ii)</w:t>
      </w:r>
      <w:r>
        <w:tab/>
        <w:t>the estimated costs for the maintenance, repairs, renewal or replacement; and</w:t>
      </w:r>
    </w:p>
    <w:p>
      <w:pPr>
        <w:pStyle w:val="nzIndenti"/>
      </w:pPr>
      <w:r>
        <w:tab/>
        <w:t>(iii)</w:t>
      </w:r>
      <w:r>
        <w:tab/>
        <w:t>other information required to be included by the regulations;</w:t>
      </w:r>
    </w:p>
    <w:p>
      <w:pPr>
        <w:pStyle w:val="nzIndenta"/>
      </w:pPr>
      <w:r>
        <w:tab/>
      </w:r>
      <w:r>
        <w:tab/>
        <w:t>and</w:t>
      </w:r>
    </w:p>
    <w:p>
      <w:pPr>
        <w:pStyle w:val="nzIndenta"/>
      </w:pPr>
      <w:r>
        <w:tab/>
        <w:t>(b)</w:t>
      </w:r>
      <w:r>
        <w:tab/>
        <w:t>that the 10 year plan is revised at least once in each 5 years and that, when revised, the plan is extended to cover the 10 years following the revision.</w:t>
      </w:r>
    </w:p>
    <w:p>
      <w:pPr>
        <w:pStyle w:val="BlankClose"/>
      </w:pPr>
    </w:p>
    <w:p>
      <w:pPr>
        <w:pStyle w:val="nzSubsection"/>
      </w:pPr>
      <w:r>
        <w:tab/>
        <w:t>(2)</w:t>
      </w:r>
      <w:r>
        <w:tab/>
        <w:t>In section 36(3):</w:t>
      </w:r>
    </w:p>
    <w:p>
      <w:pPr>
        <w:pStyle w:val="nzIndenta"/>
      </w:pPr>
      <w:r>
        <w:tab/>
        <w:t>(a)</w:t>
      </w:r>
      <w:r>
        <w:tab/>
        <w:t>delete “by</w:t>
      </w:r>
      <w:r>
        <w:noBreakHyphen/>
        <w:t>laws of a strata company” and insert:</w:t>
      </w:r>
    </w:p>
    <w:p>
      <w:pPr>
        <w:pStyle w:val="BlankOpen"/>
      </w:pPr>
    </w:p>
    <w:p>
      <w:pPr>
        <w:pStyle w:val="nzIndenta"/>
      </w:pPr>
      <w:r>
        <w:tab/>
      </w:r>
      <w:r>
        <w:tab/>
        <w:t>scheme by</w:t>
      </w:r>
      <w:r>
        <w:noBreakHyphen/>
        <w:t>laws</w:t>
      </w:r>
    </w:p>
    <w:p>
      <w:pPr>
        <w:pStyle w:val="BlankClose"/>
      </w:pPr>
    </w:p>
    <w:p>
      <w:pPr>
        <w:pStyle w:val="nzIndenta"/>
      </w:pPr>
      <w:r>
        <w:tab/>
        <w:t>(b)</w:t>
      </w:r>
      <w:r>
        <w:tab/>
        <w:t>delete “shall” and insert;</w:t>
      </w:r>
    </w:p>
    <w:p>
      <w:pPr>
        <w:pStyle w:val="BlankOpen"/>
      </w:pPr>
    </w:p>
    <w:p>
      <w:pPr>
        <w:pStyle w:val="nzIndenta"/>
      </w:pPr>
      <w:r>
        <w:tab/>
      </w:r>
      <w:r>
        <w:tab/>
        <w:t>must</w:t>
      </w:r>
    </w:p>
    <w:p>
      <w:pPr>
        <w:pStyle w:val="BlankClose"/>
      </w:pPr>
    </w:p>
    <w:p>
      <w:pPr>
        <w:pStyle w:val="nzIndenta"/>
        <w:rPr>
          <w:snapToGrid w:val="0"/>
        </w:rPr>
      </w:pPr>
      <w:r>
        <w:tab/>
        <w:t>(c)</w:t>
      </w:r>
      <w:r>
        <w:tab/>
        <w:t>delete “</w:t>
      </w:r>
      <w:r>
        <w:rPr>
          <w:snapToGrid w:val="0"/>
          <w:spacing w:val="-4"/>
        </w:rPr>
        <w:t>of proprietors passed at a general meeting o</w:t>
      </w:r>
      <w:r>
        <w:rPr>
          <w:snapToGrid w:val="0"/>
          <w:spacing w:val="40"/>
        </w:rPr>
        <w:t>f</w:t>
      </w:r>
      <w:r>
        <w:rPr>
          <w:snapToGrid w:val="0"/>
          <w:spacing w:val="-4"/>
        </w:rPr>
        <w:t>” and insert:</w:t>
      </w:r>
    </w:p>
    <w:p>
      <w:pPr>
        <w:pStyle w:val="BlankOpen"/>
      </w:pPr>
    </w:p>
    <w:p>
      <w:pPr>
        <w:pStyle w:val="nzIndenta"/>
      </w:pPr>
      <w:r>
        <w:tab/>
      </w:r>
      <w:r>
        <w:tab/>
        <w:t>passed by</w:t>
      </w:r>
    </w:p>
    <w:p>
      <w:pPr>
        <w:pStyle w:val="BlankClose"/>
      </w:pPr>
    </w:p>
    <w:p>
      <w:pPr>
        <w:pStyle w:val="nzSubsection"/>
      </w:pPr>
      <w:r>
        <w:tab/>
        <w:t>(3)</w:t>
      </w:r>
      <w:r>
        <w:tab/>
        <w:t>In section 36(4):</w:t>
      </w:r>
    </w:p>
    <w:p>
      <w:pPr>
        <w:pStyle w:val="nzIndenta"/>
      </w:pPr>
      <w:r>
        <w:tab/>
        <w:t>(a)</w:t>
      </w:r>
      <w:r>
        <w:tab/>
        <w:t>in paragraph (b) delete “prescribed,” and insert:</w:t>
      </w:r>
    </w:p>
    <w:p>
      <w:pPr>
        <w:pStyle w:val="BlankOpen"/>
      </w:pPr>
    </w:p>
    <w:p>
      <w:pPr>
        <w:pStyle w:val="nzIndenta"/>
      </w:pPr>
      <w:r>
        <w:tab/>
      </w:r>
      <w:r>
        <w:tab/>
        <w:t>specified in the regulations,</w:t>
      </w:r>
    </w:p>
    <w:p>
      <w:pPr>
        <w:pStyle w:val="BlankClose"/>
      </w:pPr>
    </w:p>
    <w:p>
      <w:pPr>
        <w:pStyle w:val="nzIndenta"/>
      </w:pPr>
      <w:r>
        <w:tab/>
        <w:t>(b)</w:t>
      </w:r>
      <w:r>
        <w:tab/>
        <w:t>in paragraph (b) delete “shall bear” and insert:</w:t>
      </w:r>
    </w:p>
    <w:p>
      <w:pPr>
        <w:pStyle w:val="BlankOpen"/>
      </w:pPr>
    </w:p>
    <w:p>
      <w:pPr>
        <w:pStyle w:val="nzIndenta"/>
      </w:pPr>
      <w:r>
        <w:tab/>
      </w:r>
      <w:r>
        <w:tab/>
        <w:t>bears</w:t>
      </w:r>
    </w:p>
    <w:p>
      <w:pPr>
        <w:pStyle w:val="BlankClose"/>
      </w:pPr>
    </w:p>
    <w:p>
      <w:pPr>
        <w:pStyle w:val="nzSubsection"/>
      </w:pPr>
      <w:r>
        <w:tab/>
        <w:t>(4)</w:t>
      </w:r>
      <w:r>
        <w:tab/>
        <w:t>In section 36(5) delete “shall form” and insert:</w:t>
      </w:r>
    </w:p>
    <w:p>
      <w:pPr>
        <w:pStyle w:val="BlankOpen"/>
      </w:pPr>
    </w:p>
    <w:p>
      <w:pPr>
        <w:pStyle w:val="nzSubsection"/>
      </w:pPr>
      <w:r>
        <w:tab/>
      </w:r>
      <w:r>
        <w:tab/>
        <w:t>forms</w:t>
      </w:r>
    </w:p>
    <w:p>
      <w:pPr>
        <w:pStyle w:val="BlankClose"/>
      </w:pPr>
    </w:p>
    <w:p>
      <w:pPr>
        <w:pStyle w:val="nzSubsection"/>
      </w:pPr>
      <w:r>
        <w:tab/>
        <w:t>(5)</w:t>
      </w:r>
      <w:r>
        <w:tab/>
        <w:t>In section 36(6):</w:t>
      </w:r>
    </w:p>
    <w:p>
      <w:pPr>
        <w:pStyle w:val="nzIndenta"/>
      </w:pPr>
      <w:r>
        <w:tab/>
        <w:t>(a)</w:t>
      </w:r>
      <w:r>
        <w:tab/>
        <w:t>delete “Subject to section 43(4), a proprietor” and insert:</w:t>
      </w:r>
    </w:p>
    <w:p>
      <w:pPr>
        <w:pStyle w:val="BlankOpen"/>
      </w:pPr>
    </w:p>
    <w:p>
      <w:pPr>
        <w:pStyle w:val="nzIndenta"/>
      </w:pPr>
      <w:r>
        <w:tab/>
      </w:r>
      <w:r>
        <w:tab/>
        <w:t>The owner</w:t>
      </w:r>
    </w:p>
    <w:p>
      <w:pPr>
        <w:pStyle w:val="BlankClose"/>
      </w:pPr>
    </w:p>
    <w:p>
      <w:pPr>
        <w:pStyle w:val="nzIndenta"/>
      </w:pPr>
      <w:r>
        <w:tab/>
        <w:t>(b)</w:t>
      </w:r>
      <w:r>
        <w:tab/>
        <w:t>delete “thereon,” and insert:</w:t>
      </w:r>
    </w:p>
    <w:p>
      <w:pPr>
        <w:pStyle w:val="BlankOpen"/>
      </w:pPr>
    </w:p>
    <w:p>
      <w:pPr>
        <w:pStyle w:val="nzIndenta"/>
      </w:pPr>
      <w:r>
        <w:tab/>
      </w:r>
      <w:r>
        <w:tab/>
        <w:t>on the contribution,</w:t>
      </w:r>
    </w:p>
    <w:p>
      <w:pPr>
        <w:pStyle w:val="BlankClose"/>
      </w:pPr>
    </w:p>
    <w:p>
      <w:pPr>
        <w:pStyle w:val="nzIndenta"/>
      </w:pPr>
      <w:r>
        <w:tab/>
        <w:t>(c)</w:t>
      </w:r>
      <w:r>
        <w:tab/>
        <w:t>delete “proprietor” (each occurrence) and insert:</w:t>
      </w:r>
    </w:p>
    <w:p>
      <w:pPr>
        <w:pStyle w:val="BlankOpen"/>
      </w:pPr>
    </w:p>
    <w:p>
      <w:pPr>
        <w:pStyle w:val="nzIndenta"/>
      </w:pPr>
      <w:r>
        <w:tab/>
      </w:r>
      <w:r>
        <w:tab/>
        <w:t>owner</w:t>
      </w:r>
    </w:p>
    <w:p>
      <w:pPr>
        <w:pStyle w:val="BlankClose"/>
      </w:pPr>
    </w:p>
    <w:p>
      <w:pPr>
        <w:pStyle w:val="nzIndenta"/>
      </w:pPr>
      <w:r>
        <w:tab/>
        <w:t>(d)</w:t>
      </w:r>
      <w:r>
        <w:tab/>
        <w:t>delete “he” and insert:</w:t>
      </w:r>
    </w:p>
    <w:p>
      <w:pPr>
        <w:pStyle w:val="BlankOpen"/>
      </w:pPr>
    </w:p>
    <w:p>
      <w:pPr>
        <w:pStyle w:val="nzIndenta"/>
      </w:pPr>
      <w:r>
        <w:tab/>
      </w:r>
      <w:r>
        <w:tab/>
        <w:t>the owner</w:t>
      </w:r>
    </w:p>
    <w:p>
      <w:pPr>
        <w:pStyle w:val="BlankClose"/>
      </w:pPr>
    </w:p>
    <w:p>
      <w:pPr>
        <w:pStyle w:val="nzSubsection"/>
      </w:pPr>
      <w:r>
        <w:tab/>
        <w:t>(6)</w:t>
      </w:r>
      <w:r>
        <w:tab/>
        <w:t>After section 36(6) insert:</w:t>
      </w:r>
    </w:p>
    <w:p>
      <w:pPr>
        <w:pStyle w:val="BlankOpen"/>
      </w:pPr>
    </w:p>
    <w:p>
      <w:pPr>
        <w:pStyle w:val="nzSubsection"/>
      </w:pPr>
      <w:r>
        <w:tab/>
        <w:t>(7)</w:t>
      </w:r>
      <w:r>
        <w:tab/>
        <w:t>In this section —</w:t>
      </w:r>
    </w:p>
    <w:p>
      <w:pPr>
        <w:pStyle w:val="nzDefstart"/>
      </w:pPr>
      <w:r>
        <w:tab/>
      </w:r>
      <w:r>
        <w:rPr>
          <w:rStyle w:val="CharDefText"/>
        </w:rPr>
        <w:t>designated strata company</w:t>
      </w:r>
      <w:r>
        <w:t xml:space="preserve"> means —</w:t>
      </w:r>
    </w:p>
    <w:p>
      <w:pPr>
        <w:pStyle w:val="nzDefpara"/>
      </w:pPr>
      <w:r>
        <w:tab/>
        <w:t>(a)</w:t>
      </w:r>
      <w:r>
        <w:tab/>
        <w:t>a strata company for a scheme with 10 or more lots; or</w:t>
      </w:r>
    </w:p>
    <w:p>
      <w:pPr>
        <w:pStyle w:val="nzDefpara"/>
      </w:pPr>
      <w:r>
        <w:tab/>
        <w:t>(b)</w:t>
      </w:r>
      <w:r>
        <w:tab/>
        <w:t>a strata company included in this definition by the regulations.</w:t>
      </w:r>
    </w:p>
    <w:p>
      <w:pPr>
        <w:pStyle w:val="BlankClose"/>
      </w:pPr>
    </w:p>
    <w:p>
      <w:pPr>
        <w:pStyle w:val="nzSectAltNote"/>
      </w:pPr>
      <w:r>
        <w:tab/>
        <w:t>Note:</w:t>
      </w:r>
      <w:r>
        <w:tab/>
        <w:t>The heading to amended section 36 is to read:</w:t>
      </w:r>
    </w:p>
    <w:p>
      <w:pPr>
        <w:pStyle w:val="nzSectAltHeading"/>
      </w:pPr>
      <w:r>
        <w:rPr>
          <w:b w:val="0"/>
        </w:rPr>
        <w:tab/>
      </w:r>
      <w:r>
        <w:rPr>
          <w:b w:val="0"/>
        </w:rPr>
        <w:tab/>
      </w:r>
      <w:r>
        <w:t>Administrative and reserve funds and contributions</w:t>
      </w:r>
    </w:p>
    <w:p>
      <w:pPr>
        <w:pStyle w:val="nzPermNoteHeading"/>
      </w:pPr>
      <w:r>
        <w:tab/>
        <w:t>Note:</w:t>
      </w:r>
    </w:p>
    <w:p>
      <w:pPr>
        <w:pStyle w:val="nzPermNoteText"/>
      </w:pPr>
      <w:r>
        <w:tab/>
      </w:r>
      <w:r>
        <w:tab/>
        <w:t>Section 36 (as amended) is renumbered as section 100 and relocated to Part 8 Division 1 Subdivision 3.</w:t>
      </w:r>
    </w:p>
    <w:p>
      <w:pPr>
        <w:pStyle w:val="nzHeading5"/>
      </w:pPr>
      <w:bookmarkStart w:id="571" w:name="_Toc530474310"/>
      <w:bookmarkStart w:id="572" w:name="_Toc530474905"/>
      <w:r>
        <w:rPr>
          <w:rStyle w:val="CharSectno"/>
        </w:rPr>
        <w:t>50</w:t>
      </w:r>
      <w:r>
        <w:t>.</w:t>
      </w:r>
      <w:r>
        <w:tab/>
        <w:t>Section 37 amended</w:t>
      </w:r>
      <w:bookmarkEnd w:id="571"/>
      <w:bookmarkEnd w:id="572"/>
    </w:p>
    <w:p>
      <w:pPr>
        <w:pStyle w:val="nzSubsection"/>
      </w:pPr>
      <w:r>
        <w:tab/>
        <w:t>(1)</w:t>
      </w:r>
      <w:r>
        <w:tab/>
        <w:t>In section 37(1):</w:t>
      </w:r>
    </w:p>
    <w:p>
      <w:pPr>
        <w:pStyle w:val="nzIndenta"/>
      </w:pPr>
      <w:r>
        <w:tab/>
        <w:t>(a)</w:t>
      </w:r>
      <w:r>
        <w:tab/>
        <w:t>delete “A” and insert:</w:t>
      </w:r>
    </w:p>
    <w:p>
      <w:pPr>
        <w:pStyle w:val="BlankOpen"/>
      </w:pPr>
    </w:p>
    <w:p>
      <w:pPr>
        <w:pStyle w:val="nzIndenta"/>
      </w:pPr>
      <w:r>
        <w:tab/>
      </w:r>
      <w:r>
        <w:tab/>
        <w:t>Without limiting the powers of a strata company to perform its functions, a</w:t>
      </w:r>
    </w:p>
    <w:p>
      <w:pPr>
        <w:pStyle w:val="BlankClose"/>
      </w:pPr>
    </w:p>
    <w:p>
      <w:pPr>
        <w:pStyle w:val="nzIndenta"/>
      </w:pPr>
      <w:r>
        <w:tab/>
        <w:t>(b)</w:t>
      </w:r>
      <w:r>
        <w:tab/>
        <w:t>in paragraph (a) delete “proprietors” and insert:</w:t>
      </w:r>
    </w:p>
    <w:p>
      <w:pPr>
        <w:pStyle w:val="BlankOpen"/>
      </w:pPr>
    </w:p>
    <w:p>
      <w:pPr>
        <w:pStyle w:val="nzIndenta"/>
      </w:pPr>
      <w:r>
        <w:tab/>
      </w:r>
      <w:r>
        <w:tab/>
        <w:t>owners of lots</w:t>
      </w:r>
    </w:p>
    <w:p>
      <w:pPr>
        <w:pStyle w:val="BlankClose"/>
        <w:keepNext/>
      </w:pPr>
    </w:p>
    <w:p>
      <w:pPr>
        <w:pStyle w:val="nzIndenta"/>
      </w:pPr>
      <w:r>
        <w:tab/>
        <w:t>(c)</w:t>
      </w:r>
      <w:r>
        <w:tab/>
        <w:t>in paragraph (c) delete “moneys” and insert:</w:t>
      </w:r>
    </w:p>
    <w:p>
      <w:pPr>
        <w:pStyle w:val="BlankOpen"/>
      </w:pPr>
    </w:p>
    <w:p>
      <w:pPr>
        <w:pStyle w:val="nzIndenta"/>
      </w:pPr>
      <w:r>
        <w:tab/>
      </w:r>
      <w:r>
        <w:tab/>
        <w:t>money</w:t>
      </w:r>
    </w:p>
    <w:p>
      <w:pPr>
        <w:pStyle w:val="BlankClose"/>
      </w:pPr>
    </w:p>
    <w:p>
      <w:pPr>
        <w:pStyle w:val="nzIndenta"/>
      </w:pPr>
      <w:r>
        <w:tab/>
        <w:t>(d)</w:t>
      </w:r>
      <w:r>
        <w:tab/>
        <w:t>in paragraph (d) delete “moneys” and insert:</w:t>
      </w:r>
    </w:p>
    <w:p>
      <w:pPr>
        <w:pStyle w:val="BlankOpen"/>
      </w:pPr>
    </w:p>
    <w:p>
      <w:pPr>
        <w:pStyle w:val="nzIndenta"/>
      </w:pPr>
      <w:r>
        <w:tab/>
      </w:r>
      <w:r>
        <w:tab/>
        <w:t>money</w:t>
      </w:r>
    </w:p>
    <w:p>
      <w:pPr>
        <w:pStyle w:val="BlankClose"/>
      </w:pPr>
    </w:p>
    <w:p>
      <w:pPr>
        <w:pStyle w:val="nzIndenta"/>
      </w:pPr>
      <w:r>
        <w:tab/>
        <w:t>(e)</w:t>
      </w:r>
      <w:r>
        <w:tab/>
        <w:t>in paragraph (d) delete “thereon,” and insert:</w:t>
      </w:r>
    </w:p>
    <w:p>
      <w:pPr>
        <w:pStyle w:val="BlankOpen"/>
      </w:pPr>
    </w:p>
    <w:p>
      <w:pPr>
        <w:pStyle w:val="nzIndenta"/>
      </w:pPr>
      <w:r>
        <w:tab/>
      </w:r>
      <w:r>
        <w:tab/>
        <w:t>on that money,</w:t>
      </w:r>
    </w:p>
    <w:p>
      <w:pPr>
        <w:pStyle w:val="BlankClose"/>
      </w:pPr>
    </w:p>
    <w:p>
      <w:pPr>
        <w:pStyle w:val="nzIndenta"/>
      </w:pPr>
      <w:r>
        <w:tab/>
        <w:t>(f)</w:t>
      </w:r>
      <w:r>
        <w:tab/>
        <w:t>in paragraph (d) delete “vested in” and insert:</w:t>
      </w:r>
    </w:p>
    <w:p>
      <w:pPr>
        <w:pStyle w:val="BlankOpen"/>
      </w:pPr>
    </w:p>
    <w:p>
      <w:pPr>
        <w:pStyle w:val="nzIndenta"/>
      </w:pPr>
      <w:r>
        <w:tab/>
      </w:r>
      <w:r>
        <w:tab/>
        <w:t>owned by</w:t>
      </w:r>
    </w:p>
    <w:p>
      <w:pPr>
        <w:pStyle w:val="BlankClose"/>
      </w:pPr>
    </w:p>
    <w:p>
      <w:pPr>
        <w:pStyle w:val="nzIndenta"/>
      </w:pPr>
      <w:r>
        <w:tab/>
        <w:t>(g)</w:t>
      </w:r>
      <w:r>
        <w:tab/>
        <w:t>in paragraph (e) delete “any moneys” and insert:</w:t>
      </w:r>
    </w:p>
    <w:p>
      <w:pPr>
        <w:pStyle w:val="BlankOpen"/>
      </w:pPr>
    </w:p>
    <w:p>
      <w:pPr>
        <w:pStyle w:val="nzIndenta"/>
      </w:pPr>
      <w:r>
        <w:tab/>
      </w:r>
      <w:r>
        <w:tab/>
        <w:t>money</w:t>
      </w:r>
    </w:p>
    <w:p>
      <w:pPr>
        <w:pStyle w:val="BlankClose"/>
      </w:pPr>
    </w:p>
    <w:p>
      <w:pPr>
        <w:pStyle w:val="nzIndenta"/>
      </w:pPr>
      <w:r>
        <w:tab/>
        <w:t>(h)</w:t>
      </w:r>
      <w:r>
        <w:tab/>
        <w:t>in paragraph (e) delete “any” (1</w:t>
      </w:r>
      <w:r>
        <w:rPr>
          <w:vertAlign w:val="superscript"/>
        </w:rPr>
        <w:t>st</w:t>
      </w:r>
      <w:r>
        <w:t xml:space="preserve"> occurrence) and insert:</w:t>
      </w:r>
    </w:p>
    <w:p>
      <w:pPr>
        <w:pStyle w:val="BlankOpen"/>
      </w:pPr>
    </w:p>
    <w:p>
      <w:pPr>
        <w:pStyle w:val="nzIndenta"/>
      </w:pPr>
      <w:r>
        <w:tab/>
      </w:r>
      <w:r>
        <w:tab/>
        <w:t>the</w:t>
      </w:r>
    </w:p>
    <w:p>
      <w:pPr>
        <w:pStyle w:val="BlankClose"/>
      </w:pPr>
    </w:p>
    <w:p>
      <w:pPr>
        <w:pStyle w:val="nzIndenta"/>
      </w:pPr>
      <w:r>
        <w:tab/>
        <w:t>(i)</w:t>
      </w:r>
      <w:r>
        <w:tab/>
        <w:t>in paragraph (e) delete “in any investment prescribed; and” and insert:</w:t>
      </w:r>
    </w:p>
    <w:p>
      <w:pPr>
        <w:pStyle w:val="BlankOpen"/>
      </w:pPr>
    </w:p>
    <w:p>
      <w:pPr>
        <w:pStyle w:val="nzIndenta"/>
      </w:pPr>
      <w:r>
        <w:tab/>
      </w:r>
      <w:r>
        <w:tab/>
        <w:t>by the regulations; and</w:t>
      </w:r>
    </w:p>
    <w:p>
      <w:pPr>
        <w:pStyle w:val="BlankClose"/>
      </w:pPr>
    </w:p>
    <w:p>
      <w:pPr>
        <w:pStyle w:val="nzIndenta"/>
      </w:pPr>
      <w:r>
        <w:tab/>
        <w:t>(j)</w:t>
      </w:r>
      <w:r>
        <w:tab/>
        <w:t>in paragraph (f) delete “where” and insert:</w:t>
      </w:r>
    </w:p>
    <w:p>
      <w:pPr>
        <w:pStyle w:val="BlankOpen"/>
      </w:pPr>
    </w:p>
    <w:p>
      <w:pPr>
        <w:pStyle w:val="nzIndenta"/>
      </w:pPr>
      <w:r>
        <w:tab/>
      </w:r>
      <w:r>
        <w:tab/>
        <w:t>if</w:t>
      </w:r>
    </w:p>
    <w:p>
      <w:pPr>
        <w:pStyle w:val="BlankClose"/>
      </w:pPr>
    </w:p>
    <w:p>
      <w:pPr>
        <w:pStyle w:val="nzIndenta"/>
      </w:pPr>
      <w:r>
        <w:tab/>
        <w:t>(k)</w:t>
      </w:r>
      <w:r>
        <w:tab/>
        <w:t>in paragraph (f) delete “any” and insert:</w:t>
      </w:r>
    </w:p>
    <w:p>
      <w:pPr>
        <w:pStyle w:val="BlankOpen"/>
      </w:pPr>
    </w:p>
    <w:p>
      <w:pPr>
        <w:pStyle w:val="nzIndenta"/>
      </w:pPr>
      <w:r>
        <w:tab/>
      </w:r>
      <w:r>
        <w:tab/>
        <w:t>an</w:t>
      </w:r>
    </w:p>
    <w:p>
      <w:pPr>
        <w:pStyle w:val="BlankClose"/>
      </w:pPr>
    </w:p>
    <w:p>
      <w:pPr>
        <w:pStyle w:val="nzIndenta"/>
        <w:rPr>
          <w:snapToGrid w:val="0"/>
        </w:rPr>
      </w:pPr>
      <w:r>
        <w:tab/>
        <w:t>(l)</w:t>
      </w:r>
      <w:r>
        <w:tab/>
        <w:t>in paragraph (g) delete “</w:t>
      </w:r>
      <w:r>
        <w:rPr>
          <w:snapToGrid w:val="0"/>
        </w:rPr>
        <w:t>make an agreement with any proprietor” and insert:</w:t>
      </w:r>
    </w:p>
    <w:p>
      <w:pPr>
        <w:pStyle w:val="BlankOpen"/>
      </w:pPr>
    </w:p>
    <w:p>
      <w:pPr>
        <w:pStyle w:val="nzIndenta"/>
      </w:pPr>
      <w:r>
        <w:tab/>
      </w:r>
      <w:r>
        <w:tab/>
      </w:r>
      <w:r>
        <w:rPr>
          <w:snapToGrid w:val="0"/>
        </w:rPr>
        <w:t>make</w:t>
      </w:r>
      <w:r>
        <w:t xml:space="preserve"> a contract </w:t>
      </w:r>
      <w:r>
        <w:rPr>
          <w:snapToGrid w:val="0"/>
        </w:rPr>
        <w:t>with the owner</w:t>
      </w:r>
    </w:p>
    <w:p>
      <w:pPr>
        <w:pStyle w:val="BlankClose"/>
      </w:pPr>
    </w:p>
    <w:p>
      <w:pPr>
        <w:pStyle w:val="nzIndenta"/>
      </w:pPr>
      <w:r>
        <w:tab/>
        <w:t>(m)</w:t>
      </w:r>
      <w:r>
        <w:tab/>
        <w:t>in paragraph (g) delete “</w:t>
      </w:r>
      <w:r>
        <w:rPr>
          <w:snapToGrid w:val="0"/>
        </w:rPr>
        <w:t>that lot or to the proprietor or occupier of that lot; and” and insert:</w:t>
      </w:r>
    </w:p>
    <w:p>
      <w:pPr>
        <w:pStyle w:val="BlankOpen"/>
      </w:pPr>
    </w:p>
    <w:p>
      <w:pPr>
        <w:pStyle w:val="nzIndenta"/>
      </w:pPr>
      <w:r>
        <w:tab/>
      </w:r>
      <w:r>
        <w:tab/>
        <w:t>the lot or to the owner or occupier; and</w:t>
      </w:r>
    </w:p>
    <w:p>
      <w:pPr>
        <w:pStyle w:val="BlankClose"/>
      </w:pPr>
    </w:p>
    <w:p>
      <w:pPr>
        <w:pStyle w:val="nzIndenta"/>
      </w:pPr>
      <w:r>
        <w:tab/>
        <w:t>(n)</w:t>
      </w:r>
      <w:r>
        <w:tab/>
        <w:t>in paragraph (h) delete “vessels.” and insert:</w:t>
      </w:r>
    </w:p>
    <w:p>
      <w:pPr>
        <w:pStyle w:val="BlankOpen"/>
      </w:pPr>
    </w:p>
    <w:p>
      <w:pPr>
        <w:pStyle w:val="nzIndenta"/>
      </w:pPr>
      <w:r>
        <w:tab/>
      </w:r>
      <w:r>
        <w:tab/>
        <w:t>vessels; and</w:t>
      </w:r>
    </w:p>
    <w:p>
      <w:pPr>
        <w:pStyle w:val="BlankClose"/>
      </w:pPr>
    </w:p>
    <w:p>
      <w:pPr>
        <w:pStyle w:val="nzIndenta"/>
      </w:pPr>
      <w:r>
        <w:tab/>
        <w:t>(o)</w:t>
      </w:r>
      <w:r>
        <w:tab/>
        <w:t>after paragraph (h) insert:</w:t>
      </w:r>
    </w:p>
    <w:p>
      <w:pPr>
        <w:pStyle w:val="BlankOpen"/>
      </w:pPr>
    </w:p>
    <w:p>
      <w:pPr>
        <w:pStyle w:val="nzIndenta"/>
      </w:pPr>
      <w:r>
        <w:tab/>
        <w:t>(i)</w:t>
      </w:r>
      <w:r>
        <w:tab/>
        <w:t>grant a lease, licence or other rights over common property for the purpose of utility infrastructure or sustainability infrastructure; and</w:t>
      </w:r>
    </w:p>
    <w:p>
      <w:pPr>
        <w:pStyle w:val="nz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nzIndenta"/>
      </w:pPr>
      <w:r>
        <w:tab/>
        <w:t>(k)</w:t>
      </w:r>
      <w:r>
        <w:tab/>
        <w:t>arrange for the auditing of any accounting records.</w:t>
      </w:r>
    </w:p>
    <w:p>
      <w:pPr>
        <w:pStyle w:val="BlankClose"/>
      </w:pPr>
    </w:p>
    <w:p>
      <w:pPr>
        <w:pStyle w:val="nzSubsection"/>
      </w:pPr>
      <w:r>
        <w:tab/>
        <w:t>(2)</w:t>
      </w:r>
      <w:r>
        <w:tab/>
        <w:t>In section 37(2) delete “shall form” and insert:</w:t>
      </w:r>
    </w:p>
    <w:p>
      <w:pPr>
        <w:pStyle w:val="BlankOpen"/>
      </w:pPr>
    </w:p>
    <w:p>
      <w:pPr>
        <w:pStyle w:val="nzSubsection"/>
      </w:pPr>
      <w:r>
        <w:tab/>
      </w:r>
      <w:r>
        <w:tab/>
        <w:t>forms</w:t>
      </w:r>
    </w:p>
    <w:p>
      <w:pPr>
        <w:pStyle w:val="BlankClose"/>
      </w:pPr>
    </w:p>
    <w:p>
      <w:pPr>
        <w:pStyle w:val="nzSectAltNote"/>
      </w:pPr>
      <w:r>
        <w:tab/>
        <w:t>Note:</w:t>
      </w:r>
      <w:r>
        <w:tab/>
        <w:t>The heading to amended section 37 is to read:</w:t>
      </w:r>
    </w:p>
    <w:p>
      <w:pPr>
        <w:pStyle w:val="nzSectAltHeading"/>
      </w:pPr>
      <w:r>
        <w:rPr>
          <w:b w:val="0"/>
        </w:rPr>
        <w:tab/>
      </w:r>
      <w:r>
        <w:rPr>
          <w:b w:val="0"/>
        </w:rPr>
        <w:tab/>
      </w:r>
      <w:r>
        <w:t>Powers of strata company generally</w:t>
      </w:r>
    </w:p>
    <w:p>
      <w:pPr>
        <w:pStyle w:val="nzPermNoteHeading"/>
      </w:pPr>
      <w:r>
        <w:tab/>
        <w:t>Note:</w:t>
      </w:r>
    </w:p>
    <w:p>
      <w:pPr>
        <w:pStyle w:val="nzPermNoteText"/>
      </w:pPr>
      <w:r>
        <w:tab/>
      </w:r>
      <w:r>
        <w:tab/>
        <w:t>Section 37 (as amended) is renumbered as section 116 and relocated to Part 8 Division 1 Subdivision 7.</w:t>
      </w:r>
    </w:p>
    <w:p>
      <w:pPr>
        <w:pStyle w:val="nzHeading5"/>
      </w:pPr>
      <w:bookmarkStart w:id="573" w:name="_Toc530474311"/>
      <w:bookmarkStart w:id="574" w:name="_Toc530474906"/>
      <w:r>
        <w:rPr>
          <w:rStyle w:val="CharSectno"/>
        </w:rPr>
        <w:t>51</w:t>
      </w:r>
      <w:r>
        <w:t>.</w:t>
      </w:r>
      <w:r>
        <w:tab/>
        <w:t>Section 38 amended</w:t>
      </w:r>
      <w:bookmarkEnd w:id="573"/>
      <w:bookmarkEnd w:id="574"/>
    </w:p>
    <w:p>
      <w:pPr>
        <w:pStyle w:val="nzSubsection"/>
      </w:pPr>
      <w:r>
        <w:tab/>
        <w:t>(1)</w:t>
      </w:r>
      <w:r>
        <w:tab/>
        <w:t>Delete section 38(1) and (2) and insert:</w:t>
      </w:r>
    </w:p>
    <w:p>
      <w:pPr>
        <w:pStyle w:val="BlankOpen"/>
      </w:pPr>
    </w:p>
    <w:p>
      <w:pPr>
        <w:pStyle w:val="nz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nzSubsection"/>
      </w:pPr>
      <w:r>
        <w:tab/>
        <w:t>(2)</w:t>
      </w:r>
      <w:r>
        <w:tab/>
        <w:t>A strata company may carry out work that an owner or occupier of a lot fails or neglects to carry out if the work is —</w:t>
      </w:r>
    </w:p>
    <w:p>
      <w:pPr>
        <w:pStyle w:val="nzIndenta"/>
      </w:pPr>
      <w:r>
        <w:tab/>
        <w:t>(a)</w:t>
      </w:r>
      <w:r>
        <w:tab/>
        <w:t>required to be carried out by that person under a term or condition of exclusive use by</w:t>
      </w:r>
      <w:r>
        <w:noBreakHyphen/>
        <w:t>laws; or</w:t>
      </w:r>
    </w:p>
    <w:p>
      <w:pPr>
        <w:pStyle w:val="nzIndenta"/>
      </w:pPr>
      <w:r>
        <w:tab/>
        <w:t>(b)</w:t>
      </w:r>
      <w:r>
        <w:tab/>
        <w:t>necessary to remedy a contravention of a duty that the person has under a statutory easement.</w:t>
      </w:r>
    </w:p>
    <w:p>
      <w:pPr>
        <w:pStyle w:val="BlankClose"/>
      </w:pPr>
    </w:p>
    <w:p>
      <w:pPr>
        <w:pStyle w:val="nzSubsection"/>
      </w:pPr>
      <w:r>
        <w:tab/>
        <w:t>(2)</w:t>
      </w:r>
      <w:r>
        <w:tab/>
        <w:t>In section 38(3):</w:t>
      </w:r>
    </w:p>
    <w:p>
      <w:pPr>
        <w:pStyle w:val="nzIndenta"/>
      </w:pPr>
      <w:r>
        <w:tab/>
        <w:t>(a)</w:t>
      </w:r>
      <w:r>
        <w:tab/>
        <w:t>delete “Where a proprietor, mortgagee in possession,” and insert:</w:t>
      </w:r>
    </w:p>
    <w:p>
      <w:pPr>
        <w:pStyle w:val="BlankOpen"/>
      </w:pPr>
    </w:p>
    <w:p>
      <w:pPr>
        <w:pStyle w:val="nzIndenta"/>
      </w:pPr>
      <w:r>
        <w:tab/>
      </w:r>
      <w:r>
        <w:tab/>
        <w:t>If an owner</w:t>
      </w:r>
    </w:p>
    <w:p>
      <w:pPr>
        <w:pStyle w:val="BlankClose"/>
      </w:pPr>
    </w:p>
    <w:p>
      <w:pPr>
        <w:pStyle w:val="nzIndenta"/>
      </w:pPr>
      <w:r>
        <w:tab/>
        <w:t>(b)</w:t>
      </w:r>
      <w:r>
        <w:tab/>
        <w:t>delete “ any”.</w:t>
      </w:r>
    </w:p>
    <w:p>
      <w:pPr>
        <w:pStyle w:val="nzSubsection"/>
      </w:pPr>
      <w:r>
        <w:tab/>
        <w:t>(3)</w:t>
      </w:r>
      <w:r>
        <w:tab/>
        <w:t>Delete section 38(4) and insert:</w:t>
      </w:r>
    </w:p>
    <w:p>
      <w:pPr>
        <w:pStyle w:val="BlankOpen"/>
      </w:pPr>
    </w:p>
    <w:p>
      <w:pPr>
        <w:pStyle w:val="nz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nzIndenta"/>
      </w:pPr>
      <w:r>
        <w:tab/>
        <w:t>(a)</w:t>
      </w:r>
      <w:r>
        <w:tab/>
        <w:t>from the owner or occupier referred to in subsection (1) or (2); or</w:t>
      </w:r>
    </w:p>
    <w:p>
      <w:pPr>
        <w:pStyle w:val="nzIndenta"/>
      </w:pPr>
      <w:r>
        <w:tab/>
        <w:t>(b)</w:t>
      </w:r>
      <w:r>
        <w:tab/>
        <w:t>if the work is carried out under —</w:t>
      </w:r>
    </w:p>
    <w:p>
      <w:pPr>
        <w:pStyle w:val="nzIndenti"/>
      </w:pPr>
      <w:r>
        <w:tab/>
        <w:t>(i)</w:t>
      </w:r>
      <w:r>
        <w:tab/>
        <w:t>subsection (1), from a person who, after the work is carried out, becomes the owner of the lot on or in relation to which the work was carried out; or</w:t>
      </w:r>
    </w:p>
    <w:p>
      <w:pPr>
        <w:pStyle w:val="nzIndenti"/>
      </w:pPr>
      <w:r>
        <w:tab/>
        <w:t>(ii)</w:t>
      </w:r>
      <w:r>
        <w:tab/>
        <w:t>subsection (2), from a person who, after the work is carried out, becomes the owner of the lot referred to in subsection (2).</w:t>
      </w:r>
    </w:p>
    <w:p>
      <w:pPr>
        <w:pStyle w:val="BlankClose"/>
      </w:pPr>
    </w:p>
    <w:p>
      <w:pPr>
        <w:pStyle w:val="nzSubsection"/>
      </w:pPr>
      <w:r>
        <w:tab/>
        <w:t>(4)</w:t>
      </w:r>
      <w:r>
        <w:tab/>
        <w:t>In section 38(5) delete “Where” and insert:</w:t>
      </w:r>
    </w:p>
    <w:p>
      <w:pPr>
        <w:pStyle w:val="BlankOpen"/>
      </w:pPr>
    </w:p>
    <w:p>
      <w:pPr>
        <w:pStyle w:val="nzSubsection"/>
      </w:pPr>
      <w:r>
        <w:tab/>
      </w:r>
      <w:r>
        <w:tab/>
        <w:t>If</w:t>
      </w:r>
    </w:p>
    <w:p>
      <w:pPr>
        <w:pStyle w:val="BlankClose"/>
      </w:pPr>
    </w:p>
    <w:p>
      <w:pPr>
        <w:pStyle w:val="nzSubsection"/>
      </w:pPr>
      <w:r>
        <w:tab/>
        <w:t>(5)</w:t>
      </w:r>
      <w:r>
        <w:tab/>
        <w:t>Delete section 38(6) and insert:</w:t>
      </w:r>
    </w:p>
    <w:p>
      <w:pPr>
        <w:pStyle w:val="BlankOpen"/>
      </w:pPr>
    </w:p>
    <w:p>
      <w:pPr>
        <w:pStyle w:val="nz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BlankClose"/>
      </w:pPr>
    </w:p>
    <w:p>
      <w:pPr>
        <w:pStyle w:val="nzPermNoteHeading"/>
      </w:pPr>
      <w:r>
        <w:tab/>
        <w:t>Note:</w:t>
      </w:r>
    </w:p>
    <w:p>
      <w:pPr>
        <w:pStyle w:val="nzPermNoteText"/>
      </w:pPr>
      <w:r>
        <w:tab/>
      </w:r>
      <w:r>
        <w:tab/>
        <w:t>Section 38 (as amended) is renumbered as section 94 and relocated to Part 8 Division 1 Subdivision 1.</w:t>
      </w:r>
    </w:p>
    <w:p>
      <w:pPr>
        <w:pStyle w:val="nzHeading5"/>
      </w:pPr>
      <w:bookmarkStart w:id="575" w:name="_Toc530474312"/>
      <w:bookmarkStart w:id="576" w:name="_Toc530474907"/>
      <w:r>
        <w:rPr>
          <w:rStyle w:val="CharSectno"/>
        </w:rPr>
        <w:t>52</w:t>
      </w:r>
      <w:r>
        <w:t>.</w:t>
      </w:r>
      <w:r>
        <w:tab/>
        <w:t>Section 39A amended</w:t>
      </w:r>
      <w:bookmarkEnd w:id="575"/>
      <w:bookmarkEnd w:id="576"/>
    </w:p>
    <w:p>
      <w:pPr>
        <w:pStyle w:val="nzSubsection"/>
      </w:pPr>
      <w:r>
        <w:tab/>
        <w:t>(1)</w:t>
      </w:r>
      <w:r>
        <w:tab/>
        <w:t>In section 39A(1):</w:t>
      </w:r>
    </w:p>
    <w:p>
      <w:pPr>
        <w:pStyle w:val="nzIndenta"/>
      </w:pPr>
      <w:r>
        <w:tab/>
        <w:t>(a)</w:t>
      </w:r>
      <w:r>
        <w:tab/>
        <w:t>delete “agreement” (1</w:t>
      </w:r>
      <w:r>
        <w:rPr>
          <w:vertAlign w:val="superscript"/>
        </w:rPr>
        <w:t>st</w:t>
      </w:r>
      <w:r>
        <w:t xml:space="preserve"> occurrence) and insert:</w:t>
      </w:r>
    </w:p>
    <w:p>
      <w:pPr>
        <w:pStyle w:val="BlankOpen"/>
      </w:pPr>
    </w:p>
    <w:p>
      <w:pPr>
        <w:pStyle w:val="nzIndenta"/>
      </w:pPr>
      <w:r>
        <w:tab/>
      </w:r>
      <w:r>
        <w:tab/>
        <w:t>contract</w:t>
      </w:r>
    </w:p>
    <w:p>
      <w:pPr>
        <w:pStyle w:val="BlankClose"/>
      </w:pPr>
    </w:p>
    <w:p>
      <w:pPr>
        <w:pStyle w:val="nzIndenta"/>
      </w:pPr>
      <w:r>
        <w:tab/>
        <w:t>(b)</w:t>
      </w:r>
      <w:r>
        <w:tab/>
        <w:t>delete “</w:t>
      </w:r>
      <w:r>
        <w:rPr>
          <w:snapToGrid w:val="0"/>
        </w:rPr>
        <w:t>agreement, by notice in writing to every other party to the agreement,” and insert:</w:t>
      </w:r>
    </w:p>
    <w:p>
      <w:pPr>
        <w:pStyle w:val="BlankOpen"/>
      </w:pPr>
    </w:p>
    <w:p>
      <w:pPr>
        <w:pStyle w:val="nzIndenta"/>
        <w:rPr>
          <w:snapToGrid w:val="0"/>
        </w:rPr>
      </w:pPr>
      <w:r>
        <w:tab/>
      </w:r>
      <w:r>
        <w:tab/>
        <w:t xml:space="preserve">contract, by written notice </w:t>
      </w:r>
      <w:r>
        <w:rPr>
          <w:snapToGrid w:val="0"/>
        </w:rPr>
        <w:t>to every other party to the contract,</w:t>
      </w:r>
    </w:p>
    <w:p>
      <w:pPr>
        <w:pStyle w:val="BlankClose"/>
      </w:pPr>
    </w:p>
    <w:p>
      <w:pPr>
        <w:pStyle w:val="nzIndenta"/>
      </w:pPr>
      <w:r>
        <w:tab/>
        <w:t>(c)</w:t>
      </w:r>
      <w:r>
        <w:tab/>
        <w:t>delete “agreement was entered into.” and insert:</w:t>
      </w:r>
    </w:p>
    <w:p>
      <w:pPr>
        <w:pStyle w:val="BlankOpen"/>
      </w:pPr>
    </w:p>
    <w:p>
      <w:pPr>
        <w:pStyle w:val="nzIndenta"/>
      </w:pPr>
      <w:r>
        <w:tab/>
      </w:r>
      <w:r>
        <w:tab/>
        <w:t>contract was made.</w:t>
      </w:r>
    </w:p>
    <w:p>
      <w:pPr>
        <w:pStyle w:val="BlankClose"/>
      </w:pPr>
    </w:p>
    <w:p>
      <w:pPr>
        <w:pStyle w:val="nzSubsection"/>
      </w:pPr>
      <w:r>
        <w:tab/>
        <w:t>(2)</w:t>
      </w:r>
      <w:r>
        <w:tab/>
        <w:t>In section 39A(3) delete “An agreement shall” and insert:</w:t>
      </w:r>
    </w:p>
    <w:p>
      <w:pPr>
        <w:pStyle w:val="BlankOpen"/>
      </w:pPr>
    </w:p>
    <w:p>
      <w:pPr>
        <w:pStyle w:val="nzSubsection"/>
      </w:pPr>
      <w:r>
        <w:tab/>
      </w:r>
      <w:r>
        <w:tab/>
        <w:t>A contract or any other agreement or arrangement must</w:t>
      </w:r>
    </w:p>
    <w:p>
      <w:pPr>
        <w:pStyle w:val="BlankClose"/>
      </w:pPr>
    </w:p>
    <w:p>
      <w:pPr>
        <w:pStyle w:val="nzSubsection"/>
      </w:pPr>
      <w:r>
        <w:tab/>
        <w:t>(3)</w:t>
      </w:r>
      <w:r>
        <w:tab/>
        <w:t>In section 39A(4):</w:t>
      </w:r>
    </w:p>
    <w:p>
      <w:pPr>
        <w:pStyle w:val="nzIndenta"/>
      </w:pPr>
      <w:r>
        <w:tab/>
        <w:t>(a)</w:t>
      </w:r>
      <w:r>
        <w:tab/>
        <w:t>delete “an agreement if —” and insert:</w:t>
      </w:r>
    </w:p>
    <w:p>
      <w:pPr>
        <w:pStyle w:val="BlankOpen"/>
      </w:pPr>
    </w:p>
    <w:p>
      <w:pPr>
        <w:pStyle w:val="nzIndenta"/>
      </w:pPr>
      <w:r>
        <w:tab/>
      </w:r>
      <w:r>
        <w:tab/>
        <w:t>a contract if —</w:t>
      </w:r>
    </w:p>
    <w:p>
      <w:pPr>
        <w:pStyle w:val="nzIndenta"/>
      </w:pPr>
      <w:r>
        <w:tab/>
        <w:t>(b)</w:t>
      </w:r>
      <w:r>
        <w:tab/>
        <w:t>delete paragraph (a) and insert:</w:t>
      </w:r>
    </w:p>
    <w:p>
      <w:pPr>
        <w:pStyle w:val="BlankOpen"/>
      </w:pPr>
    </w:p>
    <w:p>
      <w:pPr>
        <w:pStyle w:val="nzIndenta"/>
      </w:pPr>
      <w:r>
        <w:tab/>
        <w:t>(a)</w:t>
      </w:r>
      <w:r>
        <w:tab/>
        <w:t>it relates to the provision of amenities or services to the strata company or the owners of lots; and</w:t>
      </w:r>
    </w:p>
    <w:p>
      <w:pPr>
        <w:pStyle w:val="BlankClose"/>
      </w:pPr>
    </w:p>
    <w:p>
      <w:pPr>
        <w:pStyle w:val="nzIndenta"/>
      </w:pPr>
      <w:r>
        <w:tab/>
        <w:t>(c)</w:t>
      </w:r>
      <w:r>
        <w:tab/>
        <w:t>delete paragraph (c) and insert:</w:t>
      </w:r>
    </w:p>
    <w:p>
      <w:pPr>
        <w:pStyle w:val="BlankOpen"/>
      </w:pPr>
    </w:p>
    <w:p>
      <w:pPr>
        <w:pStyle w:val="nzIndenta"/>
      </w:pPr>
      <w:r>
        <w:tab/>
        <w:t>(c)</w:t>
      </w:r>
      <w:r>
        <w:tab/>
        <w:t>it was made before registration of the strata titles scheme or when any owner held 50% or more of the unit entitlement of the lots.</w:t>
      </w:r>
    </w:p>
    <w:p>
      <w:pPr>
        <w:pStyle w:val="BlankClose"/>
      </w:pPr>
    </w:p>
    <w:p>
      <w:pPr>
        <w:pStyle w:val="nzSubsection"/>
      </w:pPr>
      <w:r>
        <w:tab/>
        <w:t>(4)</w:t>
      </w:r>
      <w:r>
        <w:tab/>
        <w:t>Delete section 39A(5) and insert:</w:t>
      </w:r>
    </w:p>
    <w:p>
      <w:pPr>
        <w:pStyle w:val="BlankOpen"/>
      </w:pPr>
    </w:p>
    <w:p>
      <w:pPr>
        <w:pStyle w:val="nz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nzIndenta"/>
      </w:pPr>
      <w:r>
        <w:tab/>
        <w:t>(a)</w:t>
      </w:r>
      <w:r>
        <w:tab/>
        <w:t>is fair to all owners of lots in the strata titles scheme; and</w:t>
      </w:r>
    </w:p>
    <w:p>
      <w:pPr>
        <w:pStyle w:val="nzIndenta"/>
      </w:pPr>
      <w:r>
        <w:tab/>
        <w:t>(b)</w:t>
      </w:r>
      <w:r>
        <w:tab/>
        <w:t>will remain fair to all those owners during the extended period.</w:t>
      </w:r>
    </w:p>
    <w:p>
      <w:pPr>
        <w:pStyle w:val="BlankClose"/>
      </w:pPr>
    </w:p>
    <w:p>
      <w:pPr>
        <w:pStyle w:val="nzSubsection"/>
      </w:pPr>
      <w:r>
        <w:tab/>
        <w:t>(5)</w:t>
      </w:r>
      <w:r>
        <w:tab/>
        <w:t>In section 39A(6):</w:t>
      </w:r>
    </w:p>
    <w:p>
      <w:pPr>
        <w:pStyle w:val="nzIndenta"/>
      </w:pPr>
      <w:r>
        <w:tab/>
        <w:t>(a)</w:t>
      </w:r>
      <w:r>
        <w:tab/>
        <w:t>delete “agreement” (1</w:t>
      </w:r>
      <w:r>
        <w:rPr>
          <w:vertAlign w:val="superscript"/>
        </w:rPr>
        <w:t>st</w:t>
      </w:r>
      <w:r>
        <w:t xml:space="preserve"> occurrence) and insert:</w:t>
      </w:r>
    </w:p>
    <w:p>
      <w:pPr>
        <w:pStyle w:val="BlankOpen"/>
      </w:pPr>
    </w:p>
    <w:p>
      <w:pPr>
        <w:pStyle w:val="nzIndenta"/>
      </w:pPr>
      <w:r>
        <w:tab/>
      </w:r>
      <w:r>
        <w:tab/>
        <w:t>contract</w:t>
      </w:r>
    </w:p>
    <w:p>
      <w:pPr>
        <w:pStyle w:val="BlankClose"/>
      </w:pPr>
    </w:p>
    <w:p>
      <w:pPr>
        <w:pStyle w:val="nzIndenta"/>
      </w:pPr>
      <w:r>
        <w:tab/>
        <w:t>(b)</w:t>
      </w:r>
      <w:r>
        <w:tab/>
        <w:t>delete “agreement was entered into,” and insert:</w:t>
      </w:r>
    </w:p>
    <w:p>
      <w:pPr>
        <w:pStyle w:val="BlankOpen"/>
      </w:pPr>
    </w:p>
    <w:p>
      <w:pPr>
        <w:pStyle w:val="nzIndenta"/>
      </w:pPr>
      <w:r>
        <w:tab/>
      </w:r>
      <w:r>
        <w:tab/>
        <w:t>contract was made,</w:t>
      </w:r>
    </w:p>
    <w:p>
      <w:pPr>
        <w:pStyle w:val="BlankClose"/>
      </w:pPr>
    </w:p>
    <w:p>
      <w:pPr>
        <w:pStyle w:val="nzSubsection"/>
      </w:pPr>
      <w:r>
        <w:tab/>
        <w:t>(6)</w:t>
      </w:r>
      <w:r>
        <w:tab/>
        <w:t>Delete section 39A(7).</w:t>
      </w:r>
    </w:p>
    <w:p>
      <w:pPr>
        <w:pStyle w:val="nzSectAltNote"/>
      </w:pPr>
      <w:r>
        <w:tab/>
        <w:t>Note:</w:t>
      </w:r>
      <w:r>
        <w:tab/>
        <w:t>The heading to amended 39A is to read:</w:t>
      </w:r>
    </w:p>
    <w:p>
      <w:pPr>
        <w:pStyle w:val="nzSectAltHeading"/>
      </w:pPr>
      <w:r>
        <w:rPr>
          <w:b w:val="0"/>
        </w:rPr>
        <w:tab/>
      </w:r>
      <w:r>
        <w:rPr>
          <w:b w:val="0"/>
        </w:rPr>
        <w:tab/>
      </w:r>
      <w:r>
        <w:t>Power to terminate certain contracts for amenities or services</w:t>
      </w:r>
    </w:p>
    <w:p>
      <w:pPr>
        <w:pStyle w:val="nzPermNoteHeading"/>
      </w:pPr>
      <w:r>
        <w:tab/>
        <w:t>Note:</w:t>
      </w:r>
    </w:p>
    <w:p>
      <w:pPr>
        <w:pStyle w:val="nzPermNoteText"/>
      </w:pPr>
      <w:r>
        <w:tab/>
      </w:r>
      <w:r>
        <w:tab/>
        <w:t>Section 39A (as amended) is renumbered as section 115 and relocated to Part 8 Division 1 Subdivision 7.</w:t>
      </w:r>
    </w:p>
    <w:p>
      <w:pPr>
        <w:pStyle w:val="nzHeading5"/>
      </w:pPr>
      <w:bookmarkStart w:id="577" w:name="_Toc530474313"/>
      <w:bookmarkStart w:id="578" w:name="_Toc530474908"/>
      <w:r>
        <w:rPr>
          <w:rStyle w:val="CharSectno"/>
        </w:rPr>
        <w:t>53</w:t>
      </w:r>
      <w:r>
        <w:t>.</w:t>
      </w:r>
      <w:r>
        <w:tab/>
        <w:t>Section 44 amended</w:t>
      </w:r>
      <w:bookmarkEnd w:id="577"/>
      <w:bookmarkEnd w:id="578"/>
    </w:p>
    <w:p>
      <w:pPr>
        <w:pStyle w:val="nzSubsection"/>
      </w:pPr>
      <w:r>
        <w:tab/>
        <w:t>(1)</w:t>
      </w:r>
      <w:r>
        <w:tab/>
        <w:t>In section 44(1):</w:t>
      </w:r>
    </w:p>
    <w:p>
      <w:pPr>
        <w:pStyle w:val="nzIndenta"/>
      </w:pPr>
      <w:r>
        <w:tab/>
        <w:t>(a)</w:t>
      </w:r>
      <w:r>
        <w:tab/>
        <w:t>delete “ company shall,” and insert:</w:t>
      </w:r>
    </w:p>
    <w:p>
      <w:pPr>
        <w:pStyle w:val="BlankOpen"/>
      </w:pPr>
    </w:p>
    <w:p>
      <w:pPr>
        <w:pStyle w:val="nzIndenta"/>
      </w:pPr>
      <w:r>
        <w:tab/>
      </w:r>
      <w:r>
        <w:tab/>
        <w:t>company,</w:t>
      </w:r>
    </w:p>
    <w:p>
      <w:pPr>
        <w:pStyle w:val="BlankClose"/>
      </w:pPr>
    </w:p>
    <w:p>
      <w:pPr>
        <w:pStyle w:val="nzIndenta"/>
      </w:pPr>
      <w:r>
        <w:tab/>
        <w:t>(b)</w:t>
      </w:r>
      <w:r>
        <w:tab/>
        <w:t>delete “at a general meeting, be” and insert:</w:t>
      </w:r>
    </w:p>
    <w:p>
      <w:pPr>
        <w:pStyle w:val="BlankOpen"/>
      </w:pPr>
    </w:p>
    <w:p>
      <w:pPr>
        <w:pStyle w:val="nzIndenta"/>
      </w:pPr>
      <w:r>
        <w:tab/>
      </w:r>
      <w:r>
        <w:tab/>
        <w:t xml:space="preserve">by ordinary resolution, are to be </w:t>
      </w:r>
    </w:p>
    <w:p>
      <w:pPr>
        <w:pStyle w:val="BlankClose"/>
      </w:pPr>
    </w:p>
    <w:p>
      <w:pPr>
        <w:pStyle w:val="nzSubsection"/>
      </w:pPr>
      <w:r>
        <w:tab/>
        <w:t>(2)</w:t>
      </w:r>
      <w:r>
        <w:tab/>
        <w:t>In section 44(2):</w:t>
      </w:r>
    </w:p>
    <w:p>
      <w:pPr>
        <w:pStyle w:val="nzIndenta"/>
      </w:pPr>
      <w:r>
        <w:tab/>
        <w:t>(a)</w:t>
      </w:r>
      <w:r>
        <w:tab/>
        <w:t>delete “shall” (1</w:t>
      </w:r>
      <w:r>
        <w:rPr>
          <w:vertAlign w:val="superscript"/>
        </w:rPr>
        <w:t>st</w:t>
      </w:r>
      <w:r>
        <w:t xml:space="preserve"> occurrence) and insert:</w:t>
      </w:r>
    </w:p>
    <w:p>
      <w:pPr>
        <w:pStyle w:val="BlankOpen"/>
      </w:pPr>
    </w:p>
    <w:p>
      <w:pPr>
        <w:pStyle w:val="nzIndenta"/>
      </w:pPr>
      <w:r>
        <w:tab/>
      </w:r>
      <w:r>
        <w:tab/>
        <w:t>must</w:t>
      </w:r>
    </w:p>
    <w:p>
      <w:pPr>
        <w:pStyle w:val="BlankClose"/>
      </w:pPr>
    </w:p>
    <w:p>
      <w:pPr>
        <w:pStyle w:val="nzIndenta"/>
      </w:pPr>
      <w:r>
        <w:tab/>
        <w:t>(b)</w:t>
      </w:r>
      <w:r>
        <w:tab/>
        <w:t>delete “shall” (2</w:t>
      </w:r>
      <w:r>
        <w:rPr>
          <w:vertAlign w:val="superscript"/>
        </w:rPr>
        <w:t>nd</w:t>
      </w:r>
      <w:r>
        <w:t xml:space="preserve"> occurrence);</w:t>
      </w:r>
    </w:p>
    <w:p>
      <w:pPr>
        <w:pStyle w:val="nzIndenta"/>
      </w:pPr>
      <w:r>
        <w:tab/>
        <w:t>(c)</w:t>
      </w:r>
      <w:r>
        <w:tab/>
        <w:t>delete “</w:t>
      </w:r>
      <w:r>
        <w:rPr>
          <w:snapToGrid w:val="0"/>
        </w:rPr>
        <w:t>and in the manner provided by the by</w:t>
      </w:r>
      <w:r>
        <w:rPr>
          <w:snapToGrid w:val="0"/>
        </w:rPr>
        <w:noBreakHyphen/>
        <w:t>laws of the strata company.</w:t>
      </w:r>
      <w:r>
        <w:t>” and insert:</w:t>
      </w:r>
    </w:p>
    <w:p>
      <w:pPr>
        <w:pStyle w:val="BlankOpen"/>
      </w:pPr>
    </w:p>
    <w:p>
      <w:pPr>
        <w:pStyle w:val="nzIndenta"/>
      </w:pPr>
      <w:r>
        <w:tab/>
      </w:r>
      <w:r>
        <w:tab/>
        <w:t>this Act and the scheme by</w:t>
      </w:r>
      <w:r>
        <w:noBreakHyphen/>
        <w:t>laws.</w:t>
      </w:r>
    </w:p>
    <w:p>
      <w:pPr>
        <w:pStyle w:val="BlankClose"/>
      </w:pPr>
    </w:p>
    <w:p>
      <w:pPr>
        <w:pStyle w:val="nzSubsection"/>
      </w:pPr>
      <w:r>
        <w:tab/>
        <w:t>(3)</w:t>
      </w:r>
      <w:r>
        <w:tab/>
        <w:t>After section 44(2) insert:</w:t>
      </w:r>
    </w:p>
    <w:p>
      <w:pPr>
        <w:pStyle w:val="BlankOpen"/>
      </w:pPr>
    </w:p>
    <w:p>
      <w:pPr>
        <w:pStyle w:val="nzSubsection"/>
      </w:pPr>
      <w:r>
        <w:tab/>
        <w:t>(3)</w:t>
      </w:r>
      <w:r>
        <w:tab/>
        <w:t>On an election of the council at a general meeting of the strata company —</w:t>
      </w:r>
    </w:p>
    <w:p>
      <w:pPr>
        <w:pStyle w:val="nzIndenta"/>
      </w:pPr>
      <w:r>
        <w:tab/>
        <w:t>(a)</w:t>
      </w:r>
      <w:r>
        <w:tab/>
        <w:t>a person who is entitled to vote in the election and who is present in person or by proxy at the meeting may demand that the votes in the election be counted by unit entitlement of the lots; and</w:t>
      </w:r>
    </w:p>
    <w:p>
      <w:pPr>
        <w:pStyle w:val="nzIndenta"/>
      </w:pPr>
      <w:r>
        <w:tab/>
        <w:t>(b)</w:t>
      </w:r>
      <w:r>
        <w:tab/>
        <w:t>if no such demand is made, the votes in the election are to be counted by number.</w:t>
      </w:r>
    </w:p>
    <w:p>
      <w:pPr>
        <w:pStyle w:val="nzSubsection"/>
      </w:pPr>
      <w:r>
        <w:tab/>
        <w:t>(4)</w:t>
      </w:r>
      <w:r>
        <w:tab/>
        <w:t>1 of the members of the council of a strata company must hold office as the chairperson of the strata company.</w:t>
      </w:r>
    </w:p>
    <w:p>
      <w:pPr>
        <w:pStyle w:val="nzPermNoteHeading"/>
      </w:pPr>
      <w:r>
        <w:tab/>
        <w:t>Note for this section:</w:t>
      </w:r>
    </w:p>
    <w:p>
      <w:pPr>
        <w:pStyle w:val="nzPermNoteText"/>
      </w:pPr>
      <w:r>
        <w:tab/>
      </w:r>
      <w:r>
        <w:tab/>
        <w:t>Section 143 provides that the functions of a strata company or the council or an officer of a strata company may be performed by a strata manager.</w:t>
      </w:r>
    </w:p>
    <w:p>
      <w:pPr>
        <w:pStyle w:val="BlankClose"/>
      </w:pPr>
    </w:p>
    <w:p>
      <w:pPr>
        <w:pStyle w:val="nzSectAltNote"/>
      </w:pPr>
      <w:r>
        <w:tab/>
        <w:t>Note:</w:t>
      </w:r>
      <w:r>
        <w:tab/>
        <w:t>The heading to amended section 44 is to read:</w:t>
      </w:r>
    </w:p>
    <w:p>
      <w:pPr>
        <w:pStyle w:val="nzSectAltHeading"/>
      </w:pPr>
      <w:r>
        <w:rPr>
          <w:b w:val="0"/>
        </w:rPr>
        <w:tab/>
      </w:r>
      <w:r>
        <w:rPr>
          <w:b w:val="0"/>
        </w:rPr>
        <w:tab/>
      </w:r>
      <w:r>
        <w:t>Functions and constitution of councils</w:t>
      </w:r>
    </w:p>
    <w:p>
      <w:pPr>
        <w:pStyle w:val="nzPermNoteHeading"/>
      </w:pPr>
      <w:r>
        <w:tab/>
        <w:t>Note:</w:t>
      </w:r>
    </w:p>
    <w:p>
      <w:pPr>
        <w:pStyle w:val="nzPermNoteText"/>
      </w:pPr>
      <w:r>
        <w:tab/>
      </w:r>
      <w:r>
        <w:tab/>
        <w:t>Section 44 (as amended) is renumbered as section 135 and relocated to Part 8 Division 4.</w:t>
      </w:r>
    </w:p>
    <w:p>
      <w:pPr>
        <w:pStyle w:val="nzHeading5"/>
      </w:pPr>
      <w:bookmarkStart w:id="579" w:name="_Toc530474314"/>
      <w:bookmarkStart w:id="580" w:name="_Toc530474909"/>
      <w:r>
        <w:rPr>
          <w:rStyle w:val="CharSectno"/>
        </w:rPr>
        <w:t>54</w:t>
      </w:r>
      <w:r>
        <w:t>.</w:t>
      </w:r>
      <w:r>
        <w:tab/>
        <w:t>Section 45 amended</w:t>
      </w:r>
      <w:bookmarkEnd w:id="579"/>
      <w:bookmarkEnd w:id="580"/>
    </w:p>
    <w:p>
      <w:pPr>
        <w:pStyle w:val="nzSubsection"/>
      </w:pPr>
      <w:r>
        <w:tab/>
        <w:t>(1)</w:t>
      </w:r>
      <w:r>
        <w:tab/>
        <w:t>Delete section 45(1) and insert:</w:t>
      </w:r>
    </w:p>
    <w:p>
      <w:pPr>
        <w:pStyle w:val="BlankOpen"/>
      </w:pPr>
    </w:p>
    <w:p>
      <w:pPr>
        <w:pStyle w:val="nzSubsection"/>
      </w:pPr>
      <w:r>
        <w:tab/>
        <w:t>(1)</w:t>
      </w:r>
      <w:r>
        <w:tab/>
        <w:t>A corporation is eligible to be an officer of a strata company or a member of the council of a strata company.</w:t>
      </w:r>
    </w:p>
    <w:p>
      <w:pPr>
        <w:pStyle w:val="BlankClose"/>
      </w:pPr>
    </w:p>
    <w:p>
      <w:pPr>
        <w:pStyle w:val="nzSubsection"/>
      </w:pPr>
      <w:r>
        <w:tab/>
        <w:t>(2)</w:t>
      </w:r>
      <w:r>
        <w:tab/>
        <w:t>In section 45(2):</w:t>
      </w:r>
    </w:p>
    <w:p>
      <w:pPr>
        <w:pStyle w:val="nzIndenta"/>
      </w:pPr>
      <w:r>
        <w:tab/>
        <w:t>(a)</w:t>
      </w:r>
      <w:r>
        <w:tab/>
        <w:t>delete “any function conferred by or” and insert:</w:t>
      </w:r>
    </w:p>
    <w:p>
      <w:pPr>
        <w:pStyle w:val="BlankOpen"/>
      </w:pPr>
    </w:p>
    <w:p>
      <w:pPr>
        <w:pStyle w:val="nzIndenta"/>
      </w:pPr>
      <w:r>
        <w:tab/>
      </w:r>
      <w:r>
        <w:tab/>
        <w:t>a function conferred</w:t>
      </w:r>
    </w:p>
    <w:p>
      <w:pPr>
        <w:pStyle w:val="BlankClose"/>
      </w:pPr>
    </w:p>
    <w:p>
      <w:pPr>
        <w:pStyle w:val="nzIndenta"/>
      </w:pPr>
      <w:r>
        <w:tab/>
        <w:t>(b)</w:t>
      </w:r>
      <w:r>
        <w:tab/>
        <w:t>delete “chairman, secretary or treasurer of the strata company or as a member or alternate” and insert:</w:t>
      </w:r>
    </w:p>
    <w:p>
      <w:pPr>
        <w:pStyle w:val="BlankOpen"/>
      </w:pPr>
    </w:p>
    <w:p>
      <w:pPr>
        <w:pStyle w:val="nzIndenta"/>
      </w:pPr>
      <w:r>
        <w:tab/>
      </w:r>
      <w:r>
        <w:tab/>
        <w:t>an officer of the strata company or as a</w:t>
      </w:r>
    </w:p>
    <w:p>
      <w:pPr>
        <w:pStyle w:val="BlankClose"/>
      </w:pPr>
    </w:p>
    <w:p>
      <w:pPr>
        <w:pStyle w:val="nzIndenta"/>
      </w:pPr>
      <w:r>
        <w:tab/>
        <w:t>(c)</w:t>
      </w:r>
      <w:r>
        <w:tab/>
        <w:t>after “revoke” insert:</w:t>
      </w:r>
    </w:p>
    <w:p>
      <w:pPr>
        <w:pStyle w:val="BlankOpen"/>
      </w:pPr>
    </w:p>
    <w:p>
      <w:pPr>
        <w:pStyle w:val="nzIndenta"/>
      </w:pPr>
      <w:r>
        <w:tab/>
      </w:r>
      <w:r>
        <w:tab/>
        <w:t xml:space="preserve">the </w:t>
      </w:r>
    </w:p>
    <w:p>
      <w:pPr>
        <w:pStyle w:val="BlankClose"/>
      </w:pPr>
    </w:p>
    <w:p>
      <w:pPr>
        <w:pStyle w:val="nzSubsection"/>
      </w:pPr>
      <w:r>
        <w:tab/>
        <w:t>(3)</w:t>
      </w:r>
      <w:r>
        <w:tab/>
        <w:t>In section 45(3):</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“shall be deemed” and insert:</w:t>
      </w:r>
    </w:p>
    <w:p>
      <w:pPr>
        <w:pStyle w:val="BlankOpen"/>
      </w:pPr>
    </w:p>
    <w:p>
      <w:pPr>
        <w:pStyle w:val="nzIndenta"/>
      </w:pPr>
      <w:r>
        <w:tab/>
      </w:r>
      <w:r>
        <w:tab/>
        <w:t>is taken</w:t>
      </w:r>
    </w:p>
    <w:p>
      <w:pPr>
        <w:pStyle w:val="BlankClose"/>
        <w:keepNext/>
      </w:pPr>
    </w:p>
    <w:p>
      <w:pPr>
        <w:pStyle w:val="nzSectAltNote"/>
      </w:pPr>
      <w:r>
        <w:tab/>
        <w:t>Note:</w:t>
      </w:r>
      <w:r>
        <w:tab/>
        <w:t>The heading to amended section 45 is to read:</w:t>
      </w:r>
    </w:p>
    <w:p>
      <w:pPr>
        <w:pStyle w:val="nzSectAltHeading"/>
      </w:pPr>
      <w:r>
        <w:rPr>
          <w:b w:val="0"/>
        </w:rPr>
        <w:tab/>
      </w:r>
      <w:r>
        <w:rPr>
          <w:b w:val="0"/>
        </w:rPr>
        <w:tab/>
      </w:r>
      <w:r>
        <w:t>Corporate body may be officer or council member</w:t>
      </w:r>
    </w:p>
    <w:p>
      <w:pPr>
        <w:pStyle w:val="nzPermNoteHeading"/>
      </w:pPr>
      <w:r>
        <w:tab/>
        <w:t>Note:</w:t>
      </w:r>
    </w:p>
    <w:p>
      <w:pPr>
        <w:pStyle w:val="nzPermNoteText"/>
      </w:pPr>
      <w:r>
        <w:tab/>
      </w:r>
      <w:r>
        <w:tab/>
        <w:t>Section 45 (as amended) is renumbered as section 136 and relocated to Part 8 Division 4.</w:t>
      </w:r>
    </w:p>
    <w:p>
      <w:pPr>
        <w:pStyle w:val="nzHeading5"/>
      </w:pPr>
      <w:bookmarkStart w:id="581" w:name="_Toc530474315"/>
      <w:bookmarkStart w:id="582" w:name="_Toc530474910"/>
      <w:r>
        <w:rPr>
          <w:rStyle w:val="CharSectno"/>
        </w:rPr>
        <w:t>55</w:t>
      </w:r>
      <w:r>
        <w:t>.</w:t>
      </w:r>
      <w:r>
        <w:tab/>
        <w:t>Section 53A amended</w:t>
      </w:r>
      <w:bookmarkEnd w:id="581"/>
      <w:bookmarkEnd w:id="582"/>
    </w:p>
    <w:p>
      <w:pPr>
        <w:pStyle w:val="nzSubsection"/>
      </w:pPr>
      <w:r>
        <w:tab/>
      </w:r>
      <w:r>
        <w:tab/>
        <w:t>In section 53A:</w:t>
      </w:r>
    </w:p>
    <w:p>
      <w:pPr>
        <w:pStyle w:val="nzIndenta"/>
      </w:pPr>
      <w:r>
        <w:tab/>
        <w:t>(a)</w:t>
      </w:r>
      <w:r>
        <w:tab/>
        <w:t>delete “Subdivision —” and insert:</w:t>
      </w:r>
    </w:p>
    <w:p>
      <w:pPr>
        <w:pStyle w:val="BlankOpen"/>
      </w:pPr>
    </w:p>
    <w:p>
      <w:pPr>
        <w:pStyle w:val="nzIndenta"/>
      </w:pPr>
      <w:r>
        <w:tab/>
      </w:r>
      <w:r>
        <w:tab/>
        <w:t xml:space="preserve">Part — </w:t>
      </w:r>
    </w:p>
    <w:p>
      <w:pPr>
        <w:pStyle w:val="BlankClose"/>
      </w:pPr>
    </w:p>
    <w:p>
      <w:pPr>
        <w:pStyle w:val="nzIndenta"/>
      </w:pPr>
      <w:r>
        <w:tab/>
        <w:t>(b)</w:t>
      </w:r>
      <w:r>
        <w:tab/>
        <w:t>in paragraph (c) delete “</w:t>
      </w:r>
      <w:r>
        <w:rPr>
          <w:b/>
          <w:i/>
        </w:rPr>
        <w:t xml:space="preserve">proprietor </w:t>
      </w:r>
      <w:r>
        <w:rPr>
          <w:snapToGrid w:val="0"/>
        </w:rPr>
        <w:t>are to a proprietor</w:t>
      </w:r>
      <w:r>
        <w:t>” and insert:</w:t>
      </w:r>
    </w:p>
    <w:p>
      <w:pPr>
        <w:pStyle w:val="BlankOpen"/>
      </w:pPr>
    </w:p>
    <w:p>
      <w:pPr>
        <w:pStyle w:val="nzIndenta"/>
      </w:pPr>
      <w:r>
        <w:tab/>
      </w:r>
      <w:r>
        <w:tab/>
        <w:t xml:space="preserve">an </w:t>
      </w:r>
      <w:r>
        <w:rPr>
          <w:rStyle w:val="CharDefText"/>
        </w:rPr>
        <w:t>owner of a lot</w:t>
      </w:r>
      <w:r>
        <w:t xml:space="preserve"> are to an owner</w:t>
      </w:r>
    </w:p>
    <w:p>
      <w:pPr>
        <w:pStyle w:val="BlankClose"/>
      </w:pPr>
    </w:p>
    <w:p>
      <w:pPr>
        <w:pStyle w:val="nzSectAltNote"/>
      </w:pPr>
      <w:r>
        <w:tab/>
        <w:t>Note:</w:t>
      </w:r>
      <w:r>
        <w:tab/>
        <w:t>The heading to amended section 53A is to read:</w:t>
      </w:r>
    </w:p>
    <w:p>
      <w:pPr>
        <w:pStyle w:val="nzSectAltHeading"/>
      </w:pPr>
      <w:r>
        <w:rPr>
          <w:b w:val="0"/>
        </w:rPr>
        <w:tab/>
      </w:r>
      <w:r>
        <w:rPr>
          <w:b w:val="0"/>
        </w:rPr>
        <w:tab/>
      </w:r>
      <w:r>
        <w:t>References in this Part</w:t>
      </w:r>
    </w:p>
    <w:p>
      <w:pPr>
        <w:pStyle w:val="nzPermNoteHeading"/>
      </w:pPr>
      <w:r>
        <w:tab/>
        <w:t>Note:</w:t>
      </w:r>
    </w:p>
    <w:p>
      <w:pPr>
        <w:pStyle w:val="nzPermNoteText"/>
      </w:pPr>
      <w:r>
        <w:tab/>
      </w:r>
      <w:r>
        <w:tab/>
        <w:t>Section 53A (as amended) is redesignated as clause 53A and relocated to Schedule 2A.</w:t>
      </w:r>
    </w:p>
    <w:p>
      <w:pPr>
        <w:pStyle w:val="nzHeading5"/>
      </w:pPr>
      <w:bookmarkStart w:id="583" w:name="_Toc530474316"/>
      <w:bookmarkStart w:id="584" w:name="_Toc530474911"/>
      <w:r>
        <w:rPr>
          <w:rStyle w:val="CharSectno"/>
        </w:rPr>
        <w:t>56</w:t>
      </w:r>
      <w:r>
        <w:t>.</w:t>
      </w:r>
      <w:r>
        <w:tab/>
        <w:t>Section 53B amended</w:t>
      </w:r>
      <w:bookmarkEnd w:id="583"/>
      <w:bookmarkEnd w:id="584"/>
    </w:p>
    <w:p>
      <w:pPr>
        <w:pStyle w:val="nzSubsection"/>
      </w:pPr>
      <w:r>
        <w:tab/>
        <w:t>(1)</w:t>
      </w:r>
      <w:r>
        <w:tab/>
        <w:t>In section 53B(1):</w:t>
      </w:r>
    </w:p>
    <w:p>
      <w:pPr>
        <w:pStyle w:val="nzIndenta"/>
      </w:pPr>
      <w:r>
        <w:tab/>
        <w:t>(a)</w:t>
      </w:r>
      <w:r>
        <w:tab/>
        <w:t>delete paragraph (a)(i) and (ii) and insert:</w:t>
      </w:r>
    </w:p>
    <w:p>
      <w:pPr>
        <w:pStyle w:val="BlankOpen"/>
      </w:pPr>
    </w:p>
    <w:p>
      <w:pPr>
        <w:pStyle w:val="nzIndenti"/>
        <w:rPr>
          <w:snapToGrid w:val="0"/>
        </w:rPr>
      </w:pPr>
      <w:r>
        <w:rPr>
          <w:snapToGrid w:val="0"/>
        </w:rPr>
        <w:tab/>
        <w:t>(i)</w:t>
      </w:r>
      <w:r>
        <w:rPr>
          <w:snapToGrid w:val="0"/>
        </w:rPr>
        <w:tab/>
        <w:t>insurable assets within a lot in a scheme; or</w:t>
      </w:r>
    </w:p>
    <w:p>
      <w:pPr>
        <w:pStyle w:val="nzIndenti"/>
        <w:rPr>
          <w:snapToGrid w:val="0"/>
        </w:rPr>
      </w:pPr>
      <w:r>
        <w:rPr>
          <w:snapToGrid w:val="0"/>
        </w:rPr>
        <w:tab/>
        <w:t>(ii)</w:t>
      </w:r>
      <w:r>
        <w:rPr>
          <w:snapToGrid w:val="0"/>
        </w:rPr>
        <w:tab/>
        <w:t>damage to property, death, bodily injury or illness for which the owner of a lot in a scheme could become liable in damages;</w:t>
      </w:r>
    </w:p>
    <w:p>
      <w:pPr>
        <w:pStyle w:val="BlankClose"/>
      </w:pPr>
    </w:p>
    <w:p>
      <w:pPr>
        <w:pStyle w:val="nzIndenta"/>
      </w:pPr>
      <w:r>
        <w:tab/>
        <w:t>(b)</w:t>
      </w:r>
      <w:r>
        <w:tab/>
        <w:t>in paragraph (b) delete “</w:t>
      </w:r>
      <w:r>
        <w:rPr>
          <w:snapToGrid w:val="0"/>
        </w:rPr>
        <w:t>proprietor</w:t>
      </w:r>
      <w:r>
        <w:t>” and insert:</w:t>
      </w:r>
    </w:p>
    <w:p>
      <w:pPr>
        <w:pStyle w:val="BlankOpen"/>
      </w:pPr>
    </w:p>
    <w:p>
      <w:pPr>
        <w:pStyle w:val="nzIndenta"/>
      </w:pPr>
      <w:r>
        <w:tab/>
      </w:r>
      <w:r>
        <w:tab/>
        <w:t>owner of the lot</w:t>
      </w:r>
    </w:p>
    <w:p>
      <w:pPr>
        <w:pStyle w:val="BlankClose"/>
      </w:pPr>
    </w:p>
    <w:p>
      <w:pPr>
        <w:pStyle w:val="nzIndenta"/>
      </w:pPr>
      <w:r>
        <w:tab/>
        <w:t>(c)</w:t>
      </w:r>
      <w:r>
        <w:tab/>
        <w:t>in paragraph (c) delete “</w:t>
      </w:r>
      <w:r>
        <w:rPr>
          <w:snapToGrid w:val="0"/>
        </w:rPr>
        <w:t>any</w:t>
      </w:r>
      <w:r>
        <w:t>”;</w:t>
      </w:r>
    </w:p>
    <w:p>
      <w:pPr>
        <w:pStyle w:val="nzIndenta"/>
      </w:pPr>
      <w:r>
        <w:tab/>
        <w:t>(d)</w:t>
      </w:r>
      <w:r>
        <w:tab/>
        <w:t>delete “</w:t>
      </w:r>
      <w:r>
        <w:rPr>
          <w:snapToGrid w:val="0"/>
        </w:rPr>
        <w:t>section, at the discretion of the proprietor”</w:t>
      </w:r>
      <w:r>
        <w:t xml:space="preserve"> and insert:</w:t>
      </w:r>
    </w:p>
    <w:p>
      <w:pPr>
        <w:pStyle w:val="BlankOpen"/>
      </w:pPr>
    </w:p>
    <w:p>
      <w:pPr>
        <w:pStyle w:val="nzIndenta"/>
      </w:pPr>
      <w:r>
        <w:tab/>
      </w:r>
      <w:r>
        <w:tab/>
      </w:r>
      <w:r>
        <w:rPr>
          <w:snapToGrid w:val="0"/>
        </w:rPr>
        <w:t>clause, at the discretion of the owner</w:t>
      </w:r>
    </w:p>
    <w:p>
      <w:pPr>
        <w:pStyle w:val="BlankClose"/>
      </w:pPr>
    </w:p>
    <w:p>
      <w:pPr>
        <w:pStyle w:val="nzSubsection"/>
      </w:pPr>
      <w:r>
        <w:tab/>
        <w:t>(2)</w:t>
      </w:r>
      <w:r>
        <w:tab/>
        <w:t>Delete section 53B(2) and (3) and insert:</w:t>
      </w:r>
    </w:p>
    <w:p>
      <w:pPr>
        <w:pStyle w:val="BlankOpen"/>
      </w:pPr>
    </w:p>
    <w:p>
      <w:pPr>
        <w:pStyle w:val="nz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nzSubsection"/>
        <w:rPr>
          <w:snapToGrid w:val="0"/>
        </w:rPr>
      </w:pPr>
      <w:r>
        <w:rPr>
          <w:snapToGrid w:val="0"/>
        </w:rPr>
        <w:tab/>
        <w:t>(3)</w:t>
      </w:r>
      <w:r>
        <w:rPr>
          <w:snapToGrid w:val="0"/>
        </w:rPr>
        <w:tab/>
        <w:t>While such a resolution is in force, the strata company must comply with clause 53D.</w:t>
      </w:r>
    </w:p>
    <w:p>
      <w:pPr>
        <w:pStyle w:val="nz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BlankClose"/>
      </w:pPr>
    </w:p>
    <w:p>
      <w:pPr>
        <w:pStyle w:val="nzPermNoteHeading"/>
      </w:pPr>
      <w:r>
        <w:tab/>
        <w:t>Note:</w:t>
      </w:r>
    </w:p>
    <w:p>
      <w:pPr>
        <w:pStyle w:val="nzPermNoteText"/>
      </w:pPr>
      <w:r>
        <w:tab/>
      </w:r>
      <w:r>
        <w:tab/>
        <w:t>Section 53B (as amended) is redesignated as clause 53B and relocated to Schedule 2A.</w:t>
      </w:r>
    </w:p>
    <w:p>
      <w:pPr>
        <w:pStyle w:val="nzHeading5"/>
      </w:pPr>
      <w:bookmarkStart w:id="585" w:name="_Toc530474317"/>
      <w:bookmarkStart w:id="586" w:name="_Toc530474912"/>
      <w:r>
        <w:rPr>
          <w:rStyle w:val="CharSectno"/>
        </w:rPr>
        <w:t>57</w:t>
      </w:r>
      <w:r>
        <w:t>.</w:t>
      </w:r>
      <w:r>
        <w:tab/>
        <w:t>Section 53C amended</w:t>
      </w:r>
      <w:bookmarkEnd w:id="585"/>
      <w:bookmarkEnd w:id="586"/>
    </w:p>
    <w:p>
      <w:pPr>
        <w:pStyle w:val="nzSubsection"/>
      </w:pPr>
      <w:r>
        <w:tab/>
        <w:t>(1)</w:t>
      </w:r>
      <w:r>
        <w:tab/>
        <w:t>In section 53C(1):</w:t>
      </w:r>
    </w:p>
    <w:p>
      <w:pPr>
        <w:pStyle w:val="nzIndenta"/>
      </w:pPr>
      <w:r>
        <w:tab/>
        <w:t>(a)</w:t>
      </w:r>
      <w:r>
        <w:tab/>
        <w:t>delete “</w:t>
      </w:r>
      <w:r>
        <w:rPr>
          <w:snapToGrid w:val="0"/>
        </w:rPr>
        <w:t>shall —</w:t>
      </w:r>
      <w:r>
        <w:t>” and insert:</w:t>
      </w:r>
    </w:p>
    <w:p>
      <w:pPr>
        <w:pStyle w:val="BlankOpen"/>
      </w:pPr>
    </w:p>
    <w:p>
      <w:pPr>
        <w:pStyle w:val="nzIndenta"/>
      </w:pPr>
      <w:r>
        <w:tab/>
      </w:r>
      <w:r>
        <w:tab/>
        <w:t>must</w:t>
      </w:r>
      <w:r>
        <w:rPr>
          <w:snapToGrid w:val="0"/>
        </w:rPr>
        <w:t> —</w:t>
      </w:r>
    </w:p>
    <w:p>
      <w:pPr>
        <w:pStyle w:val="BlankClose"/>
      </w:pPr>
    </w:p>
    <w:p>
      <w:pPr>
        <w:pStyle w:val="nzIndenta"/>
      </w:pPr>
      <w:r>
        <w:tab/>
        <w:t>(b)</w:t>
      </w:r>
      <w:r>
        <w:tab/>
        <w:t>in paragraph (a) delete “</w:t>
      </w:r>
      <w:r>
        <w:rPr>
          <w:snapToGrid w:val="0"/>
        </w:rPr>
        <w:t>any building, or part of a building, or improvement on the parcel that is</w:t>
      </w:r>
      <w:r>
        <w:t>” and insert:</w:t>
      </w:r>
    </w:p>
    <w:p>
      <w:pPr>
        <w:pStyle w:val="BlankOpen"/>
      </w:pPr>
    </w:p>
    <w:p>
      <w:pPr>
        <w:pStyle w:val="nzIndenta"/>
      </w:pPr>
      <w:r>
        <w:tab/>
      </w:r>
      <w:r>
        <w:tab/>
      </w:r>
      <w:r>
        <w:rPr>
          <w:snapToGrid w:val="0"/>
        </w:rPr>
        <w:t>insurable assets that are within the</w:t>
      </w:r>
    </w:p>
    <w:p>
      <w:pPr>
        <w:pStyle w:val="BlankClose"/>
      </w:pPr>
    </w:p>
    <w:p>
      <w:pPr>
        <w:pStyle w:val="nzIndenta"/>
      </w:pPr>
      <w:r>
        <w:tab/>
        <w:t>(c)</w:t>
      </w:r>
      <w:r>
        <w:tab/>
        <w:t xml:space="preserve">in paragraph (b) delete “death </w:t>
      </w:r>
      <w:r>
        <w:rPr>
          <w:snapToGrid w:val="0"/>
        </w:rPr>
        <w:t>or bodily injury for which the proprietors</w:t>
      </w:r>
      <w:r>
        <w:t>” and insert:</w:t>
      </w:r>
    </w:p>
    <w:p>
      <w:pPr>
        <w:pStyle w:val="BlankOpen"/>
      </w:pPr>
    </w:p>
    <w:p>
      <w:pPr>
        <w:pStyle w:val="nzIndenta"/>
      </w:pPr>
      <w:r>
        <w:tab/>
      </w:r>
      <w:r>
        <w:tab/>
        <w:t>death, bodily injury or illness for which the owners</w:t>
      </w:r>
    </w:p>
    <w:p>
      <w:pPr>
        <w:pStyle w:val="BlankClose"/>
      </w:pPr>
    </w:p>
    <w:p>
      <w:pPr>
        <w:pStyle w:val="nzSubsection"/>
      </w:pPr>
      <w:r>
        <w:tab/>
        <w:t>(2)</w:t>
      </w:r>
      <w:r>
        <w:tab/>
        <w:t>In section 53C(2):</w:t>
      </w:r>
    </w:p>
    <w:p>
      <w:pPr>
        <w:pStyle w:val="nzIndenta"/>
      </w:pPr>
      <w:r>
        <w:tab/>
        <w:t>(a)</w:t>
      </w:r>
      <w:r>
        <w:tab/>
        <w:t>delete “subsection” and insert:</w:t>
      </w:r>
    </w:p>
    <w:p>
      <w:pPr>
        <w:pStyle w:val="BlankOpen"/>
      </w:pPr>
    </w:p>
    <w:p>
      <w:pPr>
        <w:pStyle w:val="nzIndenta"/>
      </w:pPr>
      <w:r>
        <w:tab/>
      </w:r>
      <w:r>
        <w:tab/>
      </w:r>
      <w:r>
        <w:rPr>
          <w:snapToGrid w:val="0"/>
        </w:rPr>
        <w:t>subclause</w:t>
      </w:r>
    </w:p>
    <w:p>
      <w:pPr>
        <w:pStyle w:val="BlankClose"/>
      </w:pPr>
    </w:p>
    <w:p>
      <w:pPr>
        <w:pStyle w:val="nzIndenta"/>
      </w:pPr>
      <w:r>
        <w:tab/>
        <w:t>(b)</w:t>
      </w:r>
      <w:r>
        <w:tab/>
        <w:t>in paragraph (a)(i) delete “</w:t>
      </w:r>
      <w:r>
        <w:rPr>
          <w:snapToGrid w:val="0"/>
        </w:rPr>
        <w:t>is no building or improvement</w:t>
      </w:r>
      <w:r>
        <w:t>” and insert:</w:t>
      </w:r>
    </w:p>
    <w:p>
      <w:pPr>
        <w:pStyle w:val="BlankOpen"/>
      </w:pPr>
    </w:p>
    <w:p>
      <w:pPr>
        <w:pStyle w:val="nzIndenta"/>
      </w:pPr>
      <w:r>
        <w:tab/>
      </w:r>
      <w:r>
        <w:tab/>
      </w:r>
      <w:r>
        <w:rPr>
          <w:snapToGrid w:val="0"/>
        </w:rPr>
        <w:t>are no insurable assets</w:t>
      </w:r>
    </w:p>
    <w:p>
      <w:pPr>
        <w:pStyle w:val="BlankClose"/>
      </w:pPr>
    </w:p>
    <w:p>
      <w:pPr>
        <w:pStyle w:val="nzIndenta"/>
      </w:pPr>
      <w:r>
        <w:tab/>
        <w:t>(c)</w:t>
      </w:r>
      <w:r>
        <w:tab/>
        <w:t>in paragraph (a)(ii) delete “lot;” and insert:</w:t>
      </w:r>
    </w:p>
    <w:p>
      <w:pPr>
        <w:pStyle w:val="BlankOpen"/>
      </w:pPr>
    </w:p>
    <w:p>
      <w:pPr>
        <w:pStyle w:val="nzIndenta"/>
      </w:pPr>
      <w:r>
        <w:tab/>
      </w:r>
      <w:r>
        <w:tab/>
        <w:t>lot or on the boundary of temporary common property;</w:t>
      </w:r>
    </w:p>
    <w:p>
      <w:pPr>
        <w:pStyle w:val="BlankClose"/>
      </w:pPr>
    </w:p>
    <w:p>
      <w:pPr>
        <w:pStyle w:val="nzIndenta"/>
      </w:pPr>
      <w:r>
        <w:tab/>
        <w:t>(d)</w:t>
      </w:r>
      <w:r>
        <w:tab/>
        <w:t>in paragraph (b) delete “</w:t>
      </w:r>
      <w:r>
        <w:rPr>
          <w:snapToGrid w:val="0"/>
        </w:rPr>
        <w:t>(or unanimous resolution in the case of a two</w:t>
      </w:r>
      <w:r>
        <w:rPr>
          <w:snapToGrid w:val="0"/>
        </w:rPr>
        <w:noBreakHyphen/>
        <w:t>lot scheme) determined that subsection</w:t>
      </w:r>
      <w:r>
        <w:t>” and insert:</w:t>
      </w:r>
    </w:p>
    <w:p>
      <w:pPr>
        <w:pStyle w:val="BlankOpen"/>
      </w:pPr>
    </w:p>
    <w:p>
      <w:pPr>
        <w:pStyle w:val="nzIndenta"/>
      </w:pPr>
      <w:r>
        <w:tab/>
      </w:r>
      <w:r>
        <w:tab/>
      </w:r>
      <w:r>
        <w:rPr>
          <w:snapToGrid w:val="0"/>
        </w:rPr>
        <w:t>determined that subclause</w:t>
      </w:r>
    </w:p>
    <w:p>
      <w:pPr>
        <w:pStyle w:val="BlankClose"/>
      </w:pPr>
    </w:p>
    <w:p>
      <w:pPr>
        <w:pStyle w:val="nzSubsection"/>
      </w:pPr>
      <w:r>
        <w:tab/>
        <w:t>(3)</w:t>
      </w:r>
      <w:r>
        <w:tab/>
        <w:t>Delete section 53C(3) to (5) and insert:</w:t>
      </w:r>
    </w:p>
    <w:p>
      <w:pPr>
        <w:pStyle w:val="BlankOpen"/>
      </w:pPr>
    </w:p>
    <w:p>
      <w:pPr>
        <w:pStyle w:val="nzSubsection"/>
        <w:rPr>
          <w:snapToGrid w:val="0"/>
        </w:rPr>
      </w:pPr>
      <w:r>
        <w:rPr>
          <w:snapToGrid w:val="0"/>
        </w:rPr>
        <w:tab/>
        <w:t>(3)</w:t>
      </w:r>
      <w:r>
        <w:rPr>
          <w:snapToGrid w:val="0"/>
        </w:rPr>
        <w:tab/>
        <w:t>A resolution under subclause (2)(b) remains in force until —</w:t>
      </w:r>
    </w:p>
    <w:p>
      <w:pPr>
        <w:pStyle w:val="nzIndenta"/>
        <w:rPr>
          <w:snapToGrid w:val="0"/>
        </w:rPr>
      </w:pPr>
      <w:r>
        <w:rPr>
          <w:snapToGrid w:val="0"/>
        </w:rPr>
        <w:tab/>
        <w:t>(a)</w:t>
      </w:r>
      <w:r>
        <w:rPr>
          <w:snapToGrid w:val="0"/>
        </w:rPr>
        <w:tab/>
        <w:t>it is revoked; or</w:t>
      </w:r>
    </w:p>
    <w:p>
      <w:pPr>
        <w:pStyle w:val="nzIndenta"/>
        <w:rPr>
          <w:snapToGrid w:val="0"/>
        </w:rPr>
      </w:pPr>
      <w:r>
        <w:rPr>
          <w:snapToGrid w:val="0"/>
        </w:rPr>
        <w:tab/>
        <w:t>(b)</w:t>
      </w:r>
      <w:r>
        <w:rPr>
          <w:snapToGrid w:val="0"/>
        </w:rPr>
        <w:tab/>
        <w:t>it ceases to have effect under subclause (5).</w:t>
      </w:r>
    </w:p>
    <w:p>
      <w:pPr>
        <w:pStyle w:val="nz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nzSubsection"/>
      </w:pPr>
      <w:r>
        <w:tab/>
        <w:t>(5)</w:t>
      </w:r>
      <w:r>
        <w:tab/>
        <w:t>If the owner of a lot serves a notice under subclause (4), the resolution under subclause (2)(b) ceases to have effect at the end of the period of 1 month beginning on the day on which the notice was served.</w:t>
      </w:r>
    </w:p>
    <w:p>
      <w:pPr>
        <w:pStyle w:val="nz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nzIndenta"/>
        <w:rPr>
          <w:snapToGrid w:val="0"/>
        </w:rPr>
      </w:pPr>
      <w:r>
        <w:rPr>
          <w:snapToGrid w:val="0"/>
        </w:rPr>
        <w:tab/>
        <w:t>(a)</w:t>
      </w:r>
      <w:r>
        <w:rPr>
          <w:snapToGrid w:val="0"/>
        </w:rPr>
        <w:tab/>
        <w:t>whether there is insurance in respect of —</w:t>
      </w:r>
    </w:p>
    <w:p>
      <w:pPr>
        <w:pStyle w:val="nzIndenti"/>
        <w:rPr>
          <w:snapToGrid w:val="0"/>
        </w:rPr>
      </w:pPr>
      <w:r>
        <w:rPr>
          <w:snapToGrid w:val="0"/>
        </w:rPr>
        <w:tab/>
        <w:t>(i)</w:t>
      </w:r>
      <w:r>
        <w:rPr>
          <w:snapToGrid w:val="0"/>
        </w:rPr>
        <w:tab/>
        <w:t>the share of the owner of a lot in insurable assets in the scheme that are within the common property; or</w:t>
      </w:r>
    </w:p>
    <w:p>
      <w:pPr>
        <w:pStyle w:val="nzIndenti"/>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nzIndenta"/>
        <w:rPr>
          <w:snapToGrid w:val="0"/>
        </w:rPr>
      </w:pPr>
      <w:r>
        <w:rPr>
          <w:snapToGrid w:val="0"/>
        </w:rPr>
        <w:tab/>
        <w:t>(b)</w:t>
      </w:r>
      <w:r>
        <w:rPr>
          <w:snapToGrid w:val="0"/>
        </w:rPr>
        <w:tab/>
        <w:t>the occurrences to be insured against by the owner of a lot in relation to those matters;</w:t>
      </w:r>
    </w:p>
    <w:p>
      <w:pPr>
        <w:pStyle w:val="nzIndenta"/>
        <w:rPr>
          <w:snapToGrid w:val="0"/>
        </w:rPr>
      </w:pPr>
      <w:r>
        <w:rPr>
          <w:snapToGrid w:val="0"/>
        </w:rPr>
        <w:tab/>
        <w:t>(c)</w:t>
      </w:r>
      <w:r>
        <w:rPr>
          <w:snapToGrid w:val="0"/>
        </w:rPr>
        <w:tab/>
        <w:t>the terms on which insurance is obtained.</w:t>
      </w:r>
    </w:p>
    <w:p>
      <w:pPr>
        <w:pStyle w:val="BlankClose"/>
      </w:pPr>
    </w:p>
    <w:p>
      <w:pPr>
        <w:pStyle w:val="nzPermNoteHeading"/>
      </w:pPr>
      <w:r>
        <w:tab/>
        <w:t>Note:</w:t>
      </w:r>
    </w:p>
    <w:p>
      <w:pPr>
        <w:pStyle w:val="nzPermNoteText"/>
      </w:pPr>
      <w:r>
        <w:tab/>
      </w:r>
      <w:r>
        <w:tab/>
        <w:t>Section 53C (as amended) is redesignated as clause 53C and relocated to Schedule 2A.</w:t>
      </w:r>
    </w:p>
    <w:p>
      <w:pPr>
        <w:pStyle w:val="nzHeading5"/>
      </w:pPr>
      <w:bookmarkStart w:id="587" w:name="_Toc530474318"/>
      <w:bookmarkStart w:id="588" w:name="_Toc530474913"/>
      <w:r>
        <w:rPr>
          <w:rStyle w:val="CharSectno"/>
        </w:rPr>
        <w:t>58</w:t>
      </w:r>
      <w:r>
        <w:t>.</w:t>
      </w:r>
      <w:r>
        <w:tab/>
        <w:t>Section 53D amended</w:t>
      </w:r>
      <w:bookmarkEnd w:id="587"/>
      <w:bookmarkEnd w:id="588"/>
    </w:p>
    <w:p>
      <w:pPr>
        <w:pStyle w:val="nzSubsection"/>
      </w:pPr>
      <w:r>
        <w:tab/>
        <w:t>(1)</w:t>
      </w:r>
      <w:r>
        <w:tab/>
        <w:t>Delete section 53D(1) and (2) and insert:</w:t>
      </w:r>
    </w:p>
    <w:p>
      <w:pPr>
        <w:pStyle w:val="BlankOpen"/>
      </w:pPr>
    </w:p>
    <w:p>
      <w:pPr>
        <w:pStyle w:val="nzSubsection"/>
        <w:rPr>
          <w:snapToGrid w:val="0"/>
        </w:rPr>
      </w:pPr>
      <w:r>
        <w:rPr>
          <w:snapToGrid w:val="0"/>
        </w:rPr>
        <w:tab/>
        <w:t>(1)</w:t>
      </w:r>
      <w:r>
        <w:rPr>
          <w:snapToGrid w:val="0"/>
        </w:rPr>
        <w:tab/>
        <w:t>This clause applies if —</w:t>
      </w:r>
    </w:p>
    <w:p>
      <w:pPr>
        <w:pStyle w:val="nzIndenta"/>
        <w:rPr>
          <w:snapToGrid w:val="0"/>
        </w:rPr>
      </w:pPr>
      <w:r>
        <w:rPr>
          <w:snapToGrid w:val="0"/>
        </w:rPr>
        <w:tab/>
        <w:t>(a)</w:t>
      </w:r>
      <w:r>
        <w:rPr>
          <w:snapToGrid w:val="0"/>
        </w:rPr>
        <w:tab/>
        <w:t>a resolution is in force under clause 53B(2); or</w:t>
      </w:r>
    </w:p>
    <w:p>
      <w:pPr>
        <w:pStyle w:val="nzIndenta"/>
        <w:rPr>
          <w:snapToGrid w:val="0"/>
        </w:rPr>
      </w:pPr>
      <w:r>
        <w:rPr>
          <w:snapToGrid w:val="0"/>
        </w:rPr>
        <w:tab/>
        <w:t>(b)</w:t>
      </w:r>
      <w:r>
        <w:rPr>
          <w:snapToGrid w:val="0"/>
        </w:rPr>
        <w:tab/>
        <w:t>in accordance with clause 53C, a strata company has the obligations described in subclause (1) of that clause.</w:t>
      </w:r>
    </w:p>
    <w:p>
      <w:pPr>
        <w:pStyle w:val="nz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BlankClose"/>
      </w:pPr>
    </w:p>
    <w:p>
      <w:pPr>
        <w:pStyle w:val="nzSubsection"/>
      </w:pPr>
      <w:r>
        <w:tab/>
        <w:t>(2)</w:t>
      </w:r>
      <w:r>
        <w:tab/>
        <w:t>In section 53D(3):</w:t>
      </w:r>
    </w:p>
    <w:p>
      <w:pPr>
        <w:pStyle w:val="nzIndenta"/>
      </w:pPr>
      <w:r>
        <w:tab/>
        <w:t>(a)</w:t>
      </w:r>
      <w:r>
        <w:tab/>
        <w:t>delete “shall —” and insert:</w:t>
      </w:r>
    </w:p>
    <w:p>
      <w:pPr>
        <w:pStyle w:val="BlankOpen"/>
      </w:pPr>
    </w:p>
    <w:p>
      <w:pPr>
        <w:pStyle w:val="nzIndenta"/>
      </w:pPr>
      <w:r>
        <w:tab/>
      </w:r>
      <w:r>
        <w:tab/>
      </w:r>
      <w:r>
        <w:rPr>
          <w:snapToGrid w:val="0"/>
        </w:rPr>
        <w:t>must —</w:t>
      </w:r>
    </w:p>
    <w:p>
      <w:pPr>
        <w:pStyle w:val="BlankClose"/>
      </w:pPr>
    </w:p>
    <w:p>
      <w:pPr>
        <w:pStyle w:val="nzIndenta"/>
      </w:pPr>
      <w:r>
        <w:tab/>
        <w:t>(b)</w:t>
      </w:r>
      <w:r>
        <w:tab/>
        <w:t>delete paragraph (a) and insert:</w:t>
      </w:r>
    </w:p>
    <w:p>
      <w:pPr>
        <w:pStyle w:val="BlankOpen"/>
      </w:pPr>
    </w:p>
    <w:p>
      <w:pPr>
        <w:pStyle w:val="nz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nzIndenti"/>
      </w:pPr>
      <w:r>
        <w:rPr>
          <w:snapToGrid w:val="0"/>
        </w:rPr>
        <w:tab/>
        <w:t>(i)</w:t>
      </w:r>
      <w:r>
        <w:rPr>
          <w:snapToGrid w:val="0"/>
        </w:rPr>
        <w:tab/>
      </w:r>
      <w:r>
        <w:t>to replacement value; or</w:t>
      </w:r>
    </w:p>
    <w:p>
      <w:pPr>
        <w:pStyle w:val="nzIndenti"/>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nzIndenta"/>
        <w:rPr>
          <w:snapToGrid w:val="0"/>
        </w:rPr>
      </w:pPr>
      <w:r>
        <w:rPr>
          <w:snapToGrid w:val="0"/>
        </w:rPr>
        <w:tab/>
      </w:r>
      <w:r>
        <w:rPr>
          <w:snapToGrid w:val="0"/>
        </w:rPr>
        <w:tab/>
        <w:t>and</w:t>
      </w:r>
    </w:p>
    <w:p>
      <w:pPr>
        <w:pStyle w:val="BlankClose"/>
      </w:pPr>
    </w:p>
    <w:p>
      <w:pPr>
        <w:pStyle w:val="nzIndenta"/>
      </w:pPr>
      <w:r>
        <w:tab/>
        <w:t>(c)</w:t>
      </w:r>
      <w:r>
        <w:tab/>
        <w:t>in paragraph (b) delete “</w:t>
      </w:r>
      <w:r>
        <w:rPr>
          <w:snapToGrid w:val="0"/>
        </w:rPr>
        <w:t>or bodily injury for not less than $5 000 000 or such other amount as may be prescribed</w:t>
      </w:r>
      <w:r>
        <w:t>” and insert:</w:t>
      </w:r>
    </w:p>
    <w:p>
      <w:pPr>
        <w:pStyle w:val="BlankOpen"/>
      </w:pPr>
    </w:p>
    <w:p>
      <w:pPr>
        <w:pStyle w:val="nzIndenta"/>
      </w:pPr>
      <w:r>
        <w:tab/>
      </w:r>
      <w:r>
        <w:tab/>
      </w:r>
      <w:r>
        <w:rPr>
          <w:snapToGrid w:val="0"/>
        </w:rPr>
        <w:t>bodily injury or illness for not less than $10 000 000 or such other amount as may be specified in the regulations</w:t>
      </w:r>
    </w:p>
    <w:p>
      <w:pPr>
        <w:pStyle w:val="BlankClose"/>
      </w:pPr>
    </w:p>
    <w:p>
      <w:pPr>
        <w:pStyle w:val="nzSubsection"/>
      </w:pPr>
      <w:r>
        <w:tab/>
        <w:t>(3)</w:t>
      </w:r>
      <w:r>
        <w:tab/>
        <w:t>In section 53D(3) delete the penalty and insert:</w:t>
      </w:r>
    </w:p>
    <w:p>
      <w:pPr>
        <w:pStyle w:val="BlankOpen"/>
      </w:pPr>
    </w:p>
    <w:p>
      <w:pPr>
        <w:pStyle w:val="nzPenstart"/>
        <w:rPr>
          <w:snapToGrid w:val="0"/>
        </w:rPr>
      </w:pPr>
      <w:r>
        <w:rPr>
          <w:snapToGrid w:val="0"/>
        </w:rPr>
        <w:tab/>
        <w:t>Penalty for this subclause: a fine of $3 000.</w:t>
      </w:r>
    </w:p>
    <w:p>
      <w:pPr>
        <w:pStyle w:val="BlankClose"/>
      </w:pPr>
    </w:p>
    <w:p>
      <w:pPr>
        <w:pStyle w:val="nzSubsection"/>
      </w:pPr>
      <w:r>
        <w:tab/>
        <w:t>(4)</w:t>
      </w:r>
      <w:r>
        <w:tab/>
        <w:t>Delete section 53D(4) and insert:</w:t>
      </w:r>
    </w:p>
    <w:p>
      <w:pPr>
        <w:pStyle w:val="BlankOpen"/>
      </w:pPr>
    </w:p>
    <w:p>
      <w:pPr>
        <w:pStyle w:val="nz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BlankClose"/>
      </w:pPr>
    </w:p>
    <w:p>
      <w:pPr>
        <w:pStyle w:val="nzSectAltNote"/>
      </w:pPr>
      <w:r>
        <w:tab/>
        <w:t>Note:</w:t>
      </w:r>
      <w:r>
        <w:tab/>
        <w:t>The heading to amended section 53D is to read:</w:t>
      </w:r>
    </w:p>
    <w:p>
      <w:pPr>
        <w:pStyle w:val="nzSectAltHeading"/>
      </w:pPr>
      <w:r>
        <w:rPr>
          <w:b w:val="0"/>
        </w:rPr>
        <w:tab/>
      </w:r>
      <w:r>
        <w:rPr>
          <w:b w:val="0"/>
        </w:rPr>
        <w:tab/>
      </w:r>
      <w:r>
        <w:t>Strata company’s obligations if it has insurance function in single tier strata scheme</w:t>
      </w:r>
    </w:p>
    <w:p>
      <w:pPr>
        <w:pStyle w:val="nzPermNoteHeading"/>
      </w:pPr>
      <w:r>
        <w:tab/>
        <w:t>Note:</w:t>
      </w:r>
    </w:p>
    <w:p>
      <w:pPr>
        <w:pStyle w:val="nzPermNoteText"/>
      </w:pPr>
      <w:r>
        <w:tab/>
      </w:r>
      <w:r>
        <w:tab/>
        <w:t>Section 53D (as amended) is redesignated as clause 53D and relocated to Schedule 2A.</w:t>
      </w:r>
    </w:p>
    <w:p>
      <w:pPr>
        <w:pStyle w:val="nzHeading5"/>
      </w:pPr>
      <w:bookmarkStart w:id="589" w:name="_Toc530474319"/>
      <w:bookmarkStart w:id="590" w:name="_Toc530474914"/>
      <w:r>
        <w:rPr>
          <w:rStyle w:val="CharSectno"/>
        </w:rPr>
        <w:t>59</w:t>
      </w:r>
      <w:r>
        <w:t>.</w:t>
      </w:r>
      <w:r>
        <w:tab/>
        <w:t>Section 53E amended</w:t>
      </w:r>
      <w:bookmarkEnd w:id="589"/>
      <w:bookmarkEnd w:id="590"/>
    </w:p>
    <w:p>
      <w:pPr>
        <w:pStyle w:val="nzSubsection"/>
      </w:pPr>
      <w:r>
        <w:tab/>
        <w:t>(1)</w:t>
      </w:r>
      <w:r>
        <w:tab/>
        <w:t>Delete section 53E(1) and (2) and insert:</w:t>
      </w:r>
    </w:p>
    <w:p>
      <w:pPr>
        <w:pStyle w:val="BlankOpen"/>
      </w:pPr>
    </w:p>
    <w:p>
      <w:pPr>
        <w:pStyle w:val="nzSubsection"/>
      </w:pPr>
      <w:r>
        <w:tab/>
        <w:t>(1)</w:t>
      </w:r>
      <w:r>
        <w:tab/>
      </w:r>
      <w:r>
        <w:rPr>
          <w:snapToGrid w:val="0"/>
        </w:rPr>
        <w:t>If</w:t>
      </w:r>
      <w:r>
        <w:t> —</w:t>
      </w:r>
    </w:p>
    <w:p>
      <w:pPr>
        <w:pStyle w:val="nzIndenta"/>
        <w:rPr>
          <w:snapToGrid w:val="0"/>
        </w:rPr>
      </w:pPr>
      <w:r>
        <w:rPr>
          <w:snapToGrid w:val="0"/>
        </w:rPr>
        <w:tab/>
        <w:t>(a)</w:t>
      </w:r>
      <w:r>
        <w:rPr>
          <w:snapToGrid w:val="0"/>
        </w:rPr>
        <w:tab/>
        <w:t>in accordance with section 140, an administrative fund is not maintained by a strata company under section 100(1)(a); and</w:t>
      </w:r>
    </w:p>
    <w:p>
      <w:pPr>
        <w:pStyle w:val="nz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nz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nzSubsection"/>
      </w:pPr>
      <w:r>
        <w:tab/>
        <w:t>(2)</w:t>
      </w:r>
      <w:r>
        <w:tab/>
        <w:t>The share payable by the owner of a lot is —</w:t>
      </w:r>
    </w:p>
    <w:p>
      <w:pPr>
        <w:pStyle w:val="nz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nzIndenta"/>
        <w:rPr>
          <w:snapToGrid w:val="0"/>
        </w:rPr>
      </w:pPr>
      <w:r>
        <w:rPr>
          <w:snapToGrid w:val="0"/>
        </w:rPr>
        <w:tab/>
        <w:t>(b)</w:t>
      </w:r>
      <w:r>
        <w:rPr>
          <w:snapToGrid w:val="0"/>
        </w:rPr>
        <w:tab/>
        <w:t>if applicable, a sum fixed under the scheme by</w:t>
      </w:r>
      <w:r>
        <w:rPr>
          <w:snapToGrid w:val="0"/>
        </w:rPr>
        <w:noBreakHyphen/>
        <w:t>laws.</w:t>
      </w:r>
    </w:p>
    <w:p>
      <w:pPr>
        <w:pStyle w:val="BlankClose"/>
      </w:pPr>
    </w:p>
    <w:p>
      <w:pPr>
        <w:pStyle w:val="nzSubsection"/>
      </w:pPr>
      <w:r>
        <w:tab/>
        <w:t>(2)</w:t>
      </w:r>
      <w:r>
        <w:tab/>
        <w:t>In section 53E(3):</w:t>
      </w:r>
    </w:p>
    <w:p>
      <w:pPr>
        <w:pStyle w:val="nzIndenta"/>
      </w:pPr>
      <w:r>
        <w:tab/>
        <w:t>(a)</w:t>
      </w:r>
      <w:r>
        <w:tab/>
        <w:t>delete “Where —” and insert:</w:t>
      </w:r>
    </w:p>
    <w:p>
      <w:pPr>
        <w:pStyle w:val="BlankOpen"/>
      </w:pPr>
    </w:p>
    <w:p>
      <w:pPr>
        <w:pStyle w:val="nzIndenta"/>
        <w:rPr>
          <w:snapToGrid w:val="0"/>
        </w:rPr>
      </w:pPr>
      <w:r>
        <w:tab/>
      </w:r>
      <w:r>
        <w:tab/>
        <w:t>If —</w:t>
      </w:r>
    </w:p>
    <w:p>
      <w:pPr>
        <w:pStyle w:val="BlankClose"/>
      </w:pPr>
    </w:p>
    <w:p>
      <w:pPr>
        <w:pStyle w:val="nzIndenta"/>
      </w:pPr>
      <w:r>
        <w:tab/>
        <w:t>(b)</w:t>
      </w:r>
      <w:r>
        <w:tab/>
        <w:t>delete paragraph (a) and insert:</w:t>
      </w:r>
    </w:p>
    <w:p>
      <w:pPr>
        <w:pStyle w:val="BlankOpen"/>
      </w:pPr>
    </w:p>
    <w:p>
      <w:pPr>
        <w:pStyle w:val="nzIndenta"/>
        <w:rPr>
          <w:snapToGrid w:val="0"/>
        </w:rPr>
      </w:pPr>
      <w:r>
        <w:rPr>
          <w:snapToGrid w:val="0"/>
        </w:rPr>
        <w:tab/>
        <w:t>(a)</w:t>
      </w:r>
      <w:r>
        <w:rPr>
          <w:snapToGrid w:val="0"/>
        </w:rPr>
        <w:tab/>
        <w:t>notice has been given to the owner of a lot under subclause (1); and</w:t>
      </w:r>
    </w:p>
    <w:p>
      <w:pPr>
        <w:pStyle w:val="BlankClose"/>
      </w:pPr>
    </w:p>
    <w:p>
      <w:pPr>
        <w:pStyle w:val="nzIndenta"/>
      </w:pPr>
      <w:r>
        <w:tab/>
        <w:t>(c)</w:t>
      </w:r>
      <w:r>
        <w:tab/>
        <w:t>in paragraph (b) delete “proprietor’s” and insert:</w:t>
      </w:r>
    </w:p>
    <w:p>
      <w:pPr>
        <w:pStyle w:val="BlankOpen"/>
      </w:pPr>
    </w:p>
    <w:p>
      <w:pPr>
        <w:pStyle w:val="nzIndenta"/>
        <w:rPr>
          <w:snapToGrid w:val="0"/>
        </w:rPr>
      </w:pPr>
      <w:r>
        <w:tab/>
      </w:r>
      <w:r>
        <w:tab/>
        <w:t>owner’s</w:t>
      </w:r>
    </w:p>
    <w:p>
      <w:pPr>
        <w:pStyle w:val="BlankClose"/>
      </w:pPr>
    </w:p>
    <w:p>
      <w:pPr>
        <w:pStyle w:val="nzIndenta"/>
      </w:pPr>
      <w:r>
        <w:tab/>
        <w:t>(d)</w:t>
      </w:r>
      <w:r>
        <w:tab/>
        <w:t>delete “proprietor” and insert:</w:t>
      </w:r>
    </w:p>
    <w:p>
      <w:pPr>
        <w:pStyle w:val="BlankOpen"/>
      </w:pPr>
    </w:p>
    <w:p>
      <w:pPr>
        <w:pStyle w:val="nzIndenta"/>
        <w:rPr>
          <w:snapToGrid w:val="0"/>
        </w:rPr>
      </w:pPr>
      <w:r>
        <w:tab/>
      </w:r>
      <w:r>
        <w:tab/>
        <w:t>owner</w:t>
      </w:r>
    </w:p>
    <w:p>
      <w:pPr>
        <w:pStyle w:val="BlankClose"/>
      </w:pPr>
    </w:p>
    <w:p>
      <w:pPr>
        <w:pStyle w:val="nzSubsection"/>
      </w:pPr>
      <w:r>
        <w:tab/>
        <w:t>(3)</w:t>
      </w:r>
      <w:r>
        <w:tab/>
        <w:t>Delete section 53E(4) and insert:</w:t>
      </w:r>
    </w:p>
    <w:p>
      <w:pPr>
        <w:pStyle w:val="BlankOpen"/>
      </w:pPr>
    </w:p>
    <w:p>
      <w:pPr>
        <w:pStyle w:val="nzSubsection"/>
      </w:pPr>
      <w:r>
        <w:tab/>
        <w:t>(4)</w:t>
      </w:r>
      <w:r>
        <w:tab/>
        <w:t xml:space="preserve">If </w:t>
      </w:r>
      <w:r>
        <w:rPr>
          <w:snapToGrid w:val="0"/>
        </w:rPr>
        <w:t>the</w:t>
      </w:r>
      <w:r>
        <w:t xml:space="preserve"> amount of an owner’s share has become due to the strata company but has not been paid, the owner of another lot may —</w:t>
      </w:r>
    </w:p>
    <w:p>
      <w:pPr>
        <w:pStyle w:val="nzIndenta"/>
        <w:rPr>
          <w:snapToGrid w:val="0"/>
        </w:rPr>
      </w:pPr>
      <w:r>
        <w:rPr>
          <w:snapToGrid w:val="0"/>
        </w:rPr>
        <w:tab/>
        <w:t>(a)</w:t>
      </w:r>
      <w:r>
        <w:rPr>
          <w:snapToGrid w:val="0"/>
        </w:rPr>
        <w:tab/>
        <w:t>pay the amount; and</w:t>
      </w:r>
    </w:p>
    <w:p>
      <w:pPr>
        <w:pStyle w:val="nzIndenta"/>
        <w:rPr>
          <w:snapToGrid w:val="0"/>
        </w:rPr>
      </w:pPr>
      <w:r>
        <w:rPr>
          <w:snapToGrid w:val="0"/>
        </w:rPr>
        <w:tab/>
        <w:t>(b)</w:t>
      </w:r>
      <w:r>
        <w:rPr>
          <w:snapToGrid w:val="0"/>
        </w:rPr>
        <w:tab/>
        <w:t>recover the amount as a debt on application to the Tribunal.</w:t>
      </w:r>
    </w:p>
    <w:p>
      <w:pPr>
        <w:pStyle w:val="BlankClose"/>
      </w:pPr>
    </w:p>
    <w:p>
      <w:pPr>
        <w:pStyle w:val="nzSectAltNote"/>
      </w:pPr>
      <w:r>
        <w:tab/>
        <w:t>Note:</w:t>
      </w:r>
      <w:r>
        <w:tab/>
        <w:t>The heading to amended section 53E is to read:</w:t>
      </w:r>
    </w:p>
    <w:p>
      <w:pPr>
        <w:pStyle w:val="nzSectAltHeading"/>
      </w:pPr>
      <w:r>
        <w:rPr>
          <w:b w:val="0"/>
        </w:rPr>
        <w:tab/>
      </w:r>
      <w:r>
        <w:rPr>
          <w:b w:val="0"/>
        </w:rPr>
        <w:tab/>
      </w:r>
      <w:r>
        <w:t>Recovery of premium by strata company or owner if no administrative fund in single tier strata schemes</w:t>
      </w:r>
    </w:p>
    <w:p>
      <w:pPr>
        <w:pStyle w:val="nzPermNoteHeading"/>
      </w:pPr>
      <w:r>
        <w:tab/>
        <w:t>Note:</w:t>
      </w:r>
    </w:p>
    <w:p>
      <w:pPr>
        <w:pStyle w:val="nzPermNoteText"/>
      </w:pPr>
      <w:r>
        <w:tab/>
      </w:r>
      <w:r>
        <w:tab/>
        <w:t>Section 53E (as amended) is redesignated as clause 53E and relocated to Schedule 2A.</w:t>
      </w:r>
    </w:p>
    <w:p>
      <w:pPr>
        <w:pStyle w:val="nzHeading5"/>
      </w:pPr>
      <w:bookmarkStart w:id="591" w:name="_Toc530474320"/>
      <w:bookmarkStart w:id="592" w:name="_Toc530474915"/>
      <w:r>
        <w:rPr>
          <w:rStyle w:val="CharSectno"/>
        </w:rPr>
        <w:t>60</w:t>
      </w:r>
      <w:r>
        <w:t>.</w:t>
      </w:r>
      <w:r>
        <w:tab/>
        <w:t>Section 57 amended</w:t>
      </w:r>
      <w:bookmarkEnd w:id="591"/>
      <w:bookmarkEnd w:id="592"/>
    </w:p>
    <w:p>
      <w:pPr>
        <w:pStyle w:val="nzSubsection"/>
      </w:pPr>
      <w:r>
        <w:tab/>
        <w:t>(1)</w:t>
      </w:r>
      <w:r>
        <w:tab/>
        <w:t>Delete section 57(1) and insert:</w:t>
      </w:r>
    </w:p>
    <w:p>
      <w:pPr>
        <w:pStyle w:val="BlankOpen"/>
      </w:pPr>
    </w:p>
    <w:p>
      <w:pPr>
        <w:pStyle w:val="nz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BlankClose"/>
      </w:pPr>
    </w:p>
    <w:p>
      <w:pPr>
        <w:pStyle w:val="nzSubsection"/>
      </w:pPr>
      <w:r>
        <w:tab/>
        <w:t>(2)</w:t>
      </w:r>
      <w:r>
        <w:tab/>
        <w:t>In section 57(2):</w:t>
      </w:r>
    </w:p>
    <w:p>
      <w:pPr>
        <w:pStyle w:val="nzIndenta"/>
      </w:pPr>
      <w:r>
        <w:tab/>
        <w:t>(a)</w:t>
      </w:r>
      <w:r>
        <w:tab/>
        <w:t>delete “Where any</w:t>
      </w:r>
      <w:r>
        <w:rPr>
          <w:snapToGrid w:val="0"/>
        </w:rPr>
        <w:t xml:space="preserve"> contract of insurance of the kind authorised by subsection (1)</w:t>
      </w:r>
      <w:r>
        <w:t>” and insert:</w:t>
      </w:r>
    </w:p>
    <w:p>
      <w:pPr>
        <w:pStyle w:val="BlankOpen"/>
      </w:pPr>
    </w:p>
    <w:p>
      <w:pPr>
        <w:pStyle w:val="nzIndenta"/>
      </w:pPr>
      <w:r>
        <w:tab/>
      </w:r>
      <w:r>
        <w:tab/>
        <w:t xml:space="preserve">If a </w:t>
      </w:r>
      <w:r>
        <w:rPr>
          <w:snapToGrid w:val="0"/>
        </w:rPr>
        <w:t>contract of mortgage insurance</w:t>
      </w:r>
    </w:p>
    <w:p>
      <w:pPr>
        <w:pStyle w:val="BlankClose"/>
      </w:pPr>
    </w:p>
    <w:p>
      <w:pPr>
        <w:pStyle w:val="nzIndenta"/>
      </w:pPr>
      <w:r>
        <w:tab/>
        <w:t>(b)</w:t>
      </w:r>
      <w:r>
        <w:tab/>
        <w:t>in paragraph (a) delete “shall” and insert:</w:t>
      </w:r>
    </w:p>
    <w:p>
      <w:pPr>
        <w:pStyle w:val="BlankOpen"/>
      </w:pPr>
    </w:p>
    <w:p>
      <w:pPr>
        <w:pStyle w:val="nzIndenta"/>
      </w:pPr>
      <w:r>
        <w:tab/>
      </w:r>
      <w:r>
        <w:tab/>
        <w:t>must</w:t>
      </w:r>
    </w:p>
    <w:p>
      <w:pPr>
        <w:pStyle w:val="BlankClose"/>
      </w:pPr>
    </w:p>
    <w:p>
      <w:pPr>
        <w:pStyle w:val="nzIndenta"/>
      </w:pPr>
      <w:r>
        <w:tab/>
        <w:t>(c)</w:t>
      </w:r>
      <w:r>
        <w:tab/>
        <w:t>in paragraph (a) delete “thereon” and insert:</w:t>
      </w:r>
    </w:p>
    <w:p>
      <w:pPr>
        <w:pStyle w:val="BlankOpen"/>
      </w:pPr>
    </w:p>
    <w:p>
      <w:pPr>
        <w:pStyle w:val="nzIndenta"/>
      </w:pPr>
      <w:r>
        <w:tab/>
      </w:r>
      <w:r>
        <w:tab/>
        <w:t>in the contract</w:t>
      </w:r>
    </w:p>
    <w:p>
      <w:pPr>
        <w:pStyle w:val="BlankClose"/>
      </w:pPr>
    </w:p>
    <w:p>
      <w:pPr>
        <w:pStyle w:val="nzIndenta"/>
      </w:pPr>
      <w:r>
        <w:tab/>
        <w:t>(d)</w:t>
      </w:r>
      <w:r>
        <w:tab/>
        <w:t>in paragraph (b) delete “thereunder —” and insert:</w:t>
      </w:r>
    </w:p>
    <w:p>
      <w:pPr>
        <w:pStyle w:val="BlankOpen"/>
      </w:pPr>
    </w:p>
    <w:p>
      <w:pPr>
        <w:pStyle w:val="nzIndenta"/>
      </w:pPr>
      <w:r>
        <w:tab/>
      </w:r>
      <w:r>
        <w:tab/>
        <w:t>the lesser of the following —</w:t>
      </w:r>
    </w:p>
    <w:p>
      <w:pPr>
        <w:pStyle w:val="BlankClose"/>
      </w:pPr>
    </w:p>
    <w:p>
      <w:pPr>
        <w:pStyle w:val="nzIndenta"/>
      </w:pPr>
      <w:r>
        <w:tab/>
        <w:t>(e)</w:t>
      </w:r>
      <w:r>
        <w:tab/>
        <w:t>in paragraph (b)(iii) delete “charged upon the lot,” and insert:</w:t>
      </w:r>
    </w:p>
    <w:p>
      <w:pPr>
        <w:pStyle w:val="BlankOpen"/>
      </w:pPr>
    </w:p>
    <w:p>
      <w:pPr>
        <w:pStyle w:val="nzIndenta"/>
      </w:pPr>
      <w:r>
        <w:tab/>
      </w:r>
      <w:r>
        <w:tab/>
        <w:t>of the lot;</w:t>
      </w:r>
    </w:p>
    <w:p>
      <w:pPr>
        <w:pStyle w:val="BlankClose"/>
      </w:pPr>
    </w:p>
    <w:p>
      <w:pPr>
        <w:pStyle w:val="nzIndenta"/>
      </w:pPr>
      <w:r>
        <w:tab/>
        <w:t>(f)</w:t>
      </w:r>
      <w:r>
        <w:tab/>
        <w:t>in paragraph (b) delete “whichever is the least amount;”;</w:t>
      </w:r>
    </w:p>
    <w:p>
      <w:pPr>
        <w:pStyle w:val="nzIndenta"/>
      </w:pPr>
      <w:r>
        <w:tab/>
        <w:t>(g)</w:t>
      </w:r>
      <w:r>
        <w:tab/>
        <w:t>in paragraph (c) delete “where” and insert:</w:t>
      </w:r>
    </w:p>
    <w:p>
      <w:pPr>
        <w:pStyle w:val="BlankOpen"/>
      </w:pPr>
    </w:p>
    <w:p>
      <w:pPr>
        <w:pStyle w:val="nzIndenta"/>
      </w:pPr>
      <w:r>
        <w:tab/>
      </w:r>
      <w:r>
        <w:tab/>
        <w:t>if</w:t>
      </w:r>
    </w:p>
    <w:p>
      <w:pPr>
        <w:pStyle w:val="BlankClose"/>
      </w:pPr>
    </w:p>
    <w:p>
      <w:pPr>
        <w:pStyle w:val="nzIndenta"/>
      </w:pPr>
      <w:r>
        <w:tab/>
        <w:t>(h)</w:t>
      </w:r>
      <w:r>
        <w:tab/>
        <w:t xml:space="preserve">in paragraph (c) delete “charged upon” and insert </w:t>
      </w:r>
    </w:p>
    <w:p>
      <w:pPr>
        <w:pStyle w:val="BlankOpen"/>
      </w:pPr>
    </w:p>
    <w:p>
      <w:pPr>
        <w:pStyle w:val="nzIndenta"/>
      </w:pPr>
      <w:r>
        <w:tab/>
      </w:r>
      <w:r>
        <w:tab/>
        <w:t>of</w:t>
      </w:r>
    </w:p>
    <w:p>
      <w:pPr>
        <w:pStyle w:val="BlankClose"/>
      </w:pPr>
    </w:p>
    <w:p>
      <w:pPr>
        <w:pStyle w:val="nzIndenta"/>
      </w:pPr>
      <w:r>
        <w:tab/>
        <w:t>(i)</w:t>
      </w:r>
      <w:r>
        <w:tab/>
        <w:t>in paragraph (d) delete “where” and insert:</w:t>
      </w:r>
    </w:p>
    <w:p>
      <w:pPr>
        <w:pStyle w:val="BlankOpen"/>
      </w:pPr>
    </w:p>
    <w:p>
      <w:pPr>
        <w:pStyle w:val="nzIndenta"/>
      </w:pPr>
      <w:r>
        <w:tab/>
      </w:r>
      <w:r>
        <w:tab/>
        <w:t>if</w:t>
      </w:r>
    </w:p>
    <w:p>
      <w:pPr>
        <w:pStyle w:val="BlankClose"/>
      </w:pPr>
    </w:p>
    <w:p>
      <w:pPr>
        <w:pStyle w:val="nzIndenta"/>
      </w:pPr>
      <w:r>
        <w:tab/>
        <w:t>(j)</w:t>
      </w:r>
      <w:r>
        <w:tab/>
        <w:t>in paragraph (d) delete “shall be” and insert:</w:t>
      </w:r>
    </w:p>
    <w:p>
      <w:pPr>
        <w:pStyle w:val="BlankOpen"/>
      </w:pPr>
    </w:p>
    <w:p>
      <w:pPr>
        <w:pStyle w:val="nzIndenta"/>
      </w:pPr>
      <w:r>
        <w:tab/>
      </w:r>
      <w:r>
        <w:tab/>
        <w:t>is</w:t>
      </w:r>
    </w:p>
    <w:p>
      <w:pPr>
        <w:pStyle w:val="BlankClose"/>
      </w:pPr>
    </w:p>
    <w:p>
      <w:pPr>
        <w:pStyle w:val="nzSubsection"/>
      </w:pPr>
      <w:r>
        <w:tab/>
        <w:t>(3)</w:t>
      </w:r>
      <w:r>
        <w:tab/>
        <w:t>In section 57(2) after each of paragraphs (a), (b) and (c) insert:</w:t>
      </w:r>
    </w:p>
    <w:p>
      <w:pPr>
        <w:pStyle w:val="BlankOpen"/>
      </w:pPr>
    </w:p>
    <w:p>
      <w:pPr>
        <w:pStyle w:val="nzSubsection"/>
      </w:pPr>
      <w:r>
        <w:tab/>
      </w:r>
      <w:r>
        <w:tab/>
        <w:t>and</w:t>
      </w:r>
    </w:p>
    <w:p>
      <w:pPr>
        <w:pStyle w:val="BlankClose"/>
      </w:pPr>
    </w:p>
    <w:p>
      <w:pPr>
        <w:pStyle w:val="nzSubsection"/>
      </w:pPr>
      <w:r>
        <w:tab/>
        <w:t>(4)</w:t>
      </w:r>
      <w:r>
        <w:tab/>
        <w:t>Delete section 57(3), (4) and (5) and insert:</w:t>
      </w:r>
    </w:p>
    <w:p>
      <w:pPr>
        <w:pStyle w:val="BlankOpen"/>
      </w:pPr>
    </w:p>
    <w:p>
      <w:pPr>
        <w:pStyle w:val="nzSubsection"/>
      </w:pPr>
      <w:r>
        <w:tab/>
        <w:t>(3)</w:t>
      </w:r>
      <w:r>
        <w:tab/>
        <w:t>A contract of mortgage insurance is not liable to be brought into contribution with any other such contract of mortgage insurance unless both contracts cover the same lot and relate to the same mortgage debt.</w:t>
      </w:r>
    </w:p>
    <w:p>
      <w:pPr>
        <w:pStyle w:val="nzSubsection"/>
      </w:pPr>
      <w:r>
        <w:tab/>
        <w:t>(4)</w:t>
      </w:r>
      <w:r>
        <w:tab/>
        <w:t>Nothing in this Act limits the right of the owner of a lot to effect insurance for the lot.</w:t>
      </w:r>
    </w:p>
    <w:p>
      <w:pPr>
        <w:pStyle w:val="BlankClose"/>
        <w:keepNext/>
      </w:pPr>
    </w:p>
    <w:p>
      <w:pPr>
        <w:pStyle w:val="nzSectAltNote"/>
      </w:pPr>
      <w:r>
        <w:tab/>
        <w:t>Note:</w:t>
      </w:r>
      <w:r>
        <w:tab/>
        <w:t>The heading to amended section 57 is to read:</w:t>
      </w:r>
    </w:p>
    <w:p>
      <w:pPr>
        <w:pStyle w:val="nzSectAltHeading"/>
      </w:pPr>
      <w:r>
        <w:rPr>
          <w:b w:val="0"/>
        </w:rPr>
        <w:tab/>
      </w:r>
      <w:r>
        <w:rPr>
          <w:b w:val="0"/>
        </w:rPr>
        <w:tab/>
      </w:r>
      <w:r>
        <w:t>Insurance for lot</w:t>
      </w:r>
    </w:p>
    <w:p>
      <w:pPr>
        <w:pStyle w:val="nzPermNoteHeading"/>
      </w:pPr>
      <w:r>
        <w:tab/>
        <w:t>Note:</w:t>
      </w:r>
    </w:p>
    <w:p>
      <w:pPr>
        <w:pStyle w:val="nzPermNoteText"/>
      </w:pPr>
      <w:r>
        <w:tab/>
      </w:r>
      <w:r>
        <w:tab/>
        <w:t>Section 57 (as amended) is renumbered as section 84 and relocated to Part 7 Division 1.</w:t>
      </w:r>
    </w:p>
    <w:p>
      <w:pPr>
        <w:pStyle w:val="nzHeading5"/>
      </w:pPr>
      <w:bookmarkStart w:id="593" w:name="_Toc530474321"/>
      <w:bookmarkStart w:id="594" w:name="_Toc530474916"/>
      <w:r>
        <w:rPr>
          <w:rStyle w:val="CharSectno"/>
        </w:rPr>
        <w:t>61</w:t>
      </w:r>
      <w:r>
        <w:t>.</w:t>
      </w:r>
      <w:r>
        <w:tab/>
        <w:t>Section 60 amended</w:t>
      </w:r>
      <w:bookmarkEnd w:id="593"/>
      <w:bookmarkEnd w:id="594"/>
    </w:p>
    <w:p>
      <w:pPr>
        <w:pStyle w:val="nzSubsection"/>
      </w:pPr>
      <w:r>
        <w:tab/>
        <w:t>(1)</w:t>
      </w:r>
      <w:r>
        <w:tab/>
        <w:t>In section 60(1):</w:t>
      </w:r>
    </w:p>
    <w:p>
      <w:pPr>
        <w:pStyle w:val="nzIndenta"/>
      </w:pPr>
      <w:r>
        <w:tab/>
        <w:t>(a)</w:t>
      </w:r>
      <w:r>
        <w:tab/>
        <w:t>delete “any plan” and insert:</w:t>
      </w:r>
    </w:p>
    <w:p>
      <w:pPr>
        <w:pStyle w:val="BlankOpen"/>
      </w:pPr>
    </w:p>
    <w:p>
      <w:pPr>
        <w:pStyle w:val="nzIndenta"/>
      </w:pPr>
      <w:r>
        <w:tab/>
      </w:r>
      <w:r>
        <w:tab/>
        <w:t>a scheme plan or an amendment of a scheme plan</w:t>
      </w:r>
    </w:p>
    <w:p>
      <w:pPr>
        <w:pStyle w:val="BlankClose"/>
      </w:pPr>
    </w:p>
    <w:p>
      <w:pPr>
        <w:pStyle w:val="nzIndenta"/>
      </w:pPr>
      <w:r>
        <w:tab/>
        <w:t>(b)</w:t>
      </w:r>
      <w:r>
        <w:tab/>
        <w:t>delete “shall” and insert:</w:t>
      </w:r>
    </w:p>
    <w:p>
      <w:pPr>
        <w:pStyle w:val="BlankOpen"/>
      </w:pPr>
    </w:p>
    <w:p>
      <w:pPr>
        <w:pStyle w:val="nzIndenta"/>
      </w:pPr>
      <w:r>
        <w:tab/>
      </w:r>
      <w:r>
        <w:tab/>
        <w:t>must</w:t>
      </w:r>
    </w:p>
    <w:p>
      <w:pPr>
        <w:pStyle w:val="BlankClose"/>
      </w:pPr>
    </w:p>
    <w:p>
      <w:pPr>
        <w:pStyle w:val="nzSubsection"/>
      </w:pPr>
      <w:r>
        <w:tab/>
        <w:t>(2)</w:t>
      </w:r>
      <w:r>
        <w:tab/>
        <w:t>Delete section 60(2).</w:t>
      </w:r>
    </w:p>
    <w:p>
      <w:pPr>
        <w:pStyle w:val="nzSubsection"/>
      </w:pPr>
      <w:r>
        <w:tab/>
        <w:t>(3)</w:t>
      </w:r>
      <w:r>
        <w:tab/>
        <w:t>In section 60(3):</w:t>
      </w:r>
    </w:p>
    <w:p>
      <w:pPr>
        <w:pStyle w:val="nzIndenta"/>
      </w:pPr>
      <w:r>
        <w:tab/>
        <w:t>(a)</w:t>
      </w:r>
      <w:r>
        <w:tab/>
        <w:t>after “plan” insert:</w:t>
      </w:r>
    </w:p>
    <w:p>
      <w:pPr>
        <w:pStyle w:val="BlankOpen"/>
      </w:pPr>
    </w:p>
    <w:p>
      <w:pPr>
        <w:pStyle w:val="nzIndenta"/>
      </w:pPr>
      <w:r>
        <w:tab/>
      </w:r>
      <w:r>
        <w:tab/>
        <w:t>or amended plan</w:t>
      </w:r>
    </w:p>
    <w:p>
      <w:pPr>
        <w:pStyle w:val="BlankClose"/>
      </w:pPr>
    </w:p>
    <w:p>
      <w:pPr>
        <w:pStyle w:val="nzIndenta"/>
      </w:pPr>
      <w:r>
        <w:tab/>
        <w:t>(b)</w:t>
      </w:r>
      <w:r>
        <w:tab/>
        <w:t>delete “shall” and insert:</w:t>
      </w:r>
    </w:p>
    <w:p>
      <w:pPr>
        <w:pStyle w:val="BlankOpen"/>
      </w:pPr>
    </w:p>
    <w:p>
      <w:pPr>
        <w:pStyle w:val="nzIndenta"/>
      </w:pPr>
      <w:r>
        <w:tab/>
      </w:r>
      <w:r>
        <w:tab/>
        <w:t>must</w:t>
      </w:r>
    </w:p>
    <w:p>
      <w:pPr>
        <w:pStyle w:val="BlankClose"/>
      </w:pPr>
    </w:p>
    <w:p>
      <w:pPr>
        <w:pStyle w:val="nzSectAltNote"/>
      </w:pPr>
      <w:r>
        <w:tab/>
        <w:t>Note:</w:t>
      </w:r>
      <w:r>
        <w:tab/>
        <w:t>The heading to amended section 60 is to read:</w:t>
      </w:r>
    </w:p>
    <w:p>
      <w:pPr>
        <w:pStyle w:val="nzSectAltHeading"/>
      </w:pPr>
      <w:r>
        <w:rPr>
          <w:b w:val="0"/>
        </w:rPr>
        <w:tab/>
      </w:r>
      <w:r>
        <w:rPr>
          <w:b w:val="0"/>
        </w:rPr>
        <w:tab/>
      </w:r>
      <w:r>
        <w:t>Registrar of Titles to deliver copies of plans</w:t>
      </w:r>
    </w:p>
    <w:p>
      <w:pPr>
        <w:pStyle w:val="nzPermNoteHeading"/>
      </w:pPr>
      <w:r>
        <w:tab/>
        <w:t>Note:</w:t>
      </w:r>
    </w:p>
    <w:p>
      <w:pPr>
        <w:pStyle w:val="nzPermNoteText"/>
      </w:pPr>
      <w:r>
        <w:tab/>
      </w:r>
      <w:r>
        <w:tab/>
        <w:t>Section 60 (as amended) is renumbered as section 67 and relocated to Part 5 Division 4.</w:t>
      </w:r>
    </w:p>
    <w:p>
      <w:pPr>
        <w:pStyle w:val="nzHeading5"/>
      </w:pPr>
      <w:bookmarkStart w:id="595" w:name="_Toc530474322"/>
      <w:bookmarkStart w:id="596" w:name="_Toc530474917"/>
      <w:r>
        <w:rPr>
          <w:rStyle w:val="CharSectno"/>
        </w:rPr>
        <w:t>62</w:t>
      </w:r>
      <w:r>
        <w:t>.</w:t>
      </w:r>
      <w:r>
        <w:tab/>
        <w:t>Section 61 amended</w:t>
      </w:r>
      <w:bookmarkEnd w:id="595"/>
      <w:bookmarkEnd w:id="596"/>
    </w:p>
    <w:p>
      <w:pPr>
        <w:pStyle w:val="nzSubsection"/>
      </w:pPr>
      <w:r>
        <w:tab/>
      </w:r>
      <w:r>
        <w:tab/>
        <w:t>In section 61:</w:t>
      </w:r>
    </w:p>
    <w:p>
      <w:pPr>
        <w:pStyle w:val="nzIndenta"/>
        <w:rPr>
          <w:snapToGrid w:val="0"/>
        </w:rPr>
      </w:pPr>
      <w:r>
        <w:tab/>
        <w:t>(a)</w:t>
      </w:r>
      <w:r>
        <w:tab/>
        <w:t>delete “</w:t>
      </w:r>
      <w:r>
        <w:rPr>
          <w:snapToGrid w:val="0"/>
        </w:rPr>
        <w:t>all purposes in relation to”;</w:t>
      </w:r>
    </w:p>
    <w:p>
      <w:pPr>
        <w:pStyle w:val="nzIndenta"/>
      </w:pPr>
      <w:r>
        <w:tab/>
        <w:t>(b)</w:t>
      </w:r>
      <w:r>
        <w:tab/>
        <w:t>delete “</w:t>
      </w:r>
      <w:r>
        <w:rPr>
          <w:snapToGrid w:val="0"/>
        </w:rPr>
        <w:t>the parcel or any part of the” and insert:</w:t>
      </w:r>
    </w:p>
    <w:p>
      <w:pPr>
        <w:pStyle w:val="BlankOpen"/>
        <w:rPr>
          <w:snapToGrid w:val="0"/>
        </w:rPr>
      </w:pPr>
    </w:p>
    <w:p>
      <w:pPr>
        <w:pStyle w:val="nzIndenta"/>
        <w:rPr>
          <w:snapToGrid w:val="0"/>
        </w:rPr>
      </w:pPr>
      <w:r>
        <w:rPr>
          <w:snapToGrid w:val="0"/>
        </w:rPr>
        <w:tab/>
      </w:r>
      <w:r>
        <w:rPr>
          <w:snapToGrid w:val="0"/>
        </w:rPr>
        <w:tab/>
        <w:t>a parcel or part of a</w:t>
      </w:r>
    </w:p>
    <w:p>
      <w:pPr>
        <w:pStyle w:val="BlankClose"/>
      </w:pPr>
    </w:p>
    <w:p>
      <w:pPr>
        <w:pStyle w:val="nzIndenta"/>
      </w:pPr>
      <w:r>
        <w:tab/>
        <w:t>(c)</w:t>
      </w:r>
      <w:r>
        <w:tab/>
        <w:t>in paragraph (a) delete “certified copy of the strata/survey</w:t>
      </w:r>
      <w:r>
        <w:noBreakHyphen/>
        <w:t>strata plan, plan of re</w:t>
      </w:r>
      <w:r>
        <w:noBreakHyphen/>
        <w:t>subdivision or consolidation for a scheme or transfer” and insert:</w:t>
      </w:r>
    </w:p>
    <w:p>
      <w:pPr>
        <w:pStyle w:val="BlankOpen"/>
      </w:pPr>
    </w:p>
    <w:p>
      <w:pPr>
        <w:pStyle w:val="nzIndenta"/>
      </w:pPr>
      <w:r>
        <w:tab/>
      </w:r>
      <w:r>
        <w:tab/>
        <w:t>copy of the scheme plan or amended plan</w:t>
      </w:r>
    </w:p>
    <w:p>
      <w:pPr>
        <w:pStyle w:val="BlankClose"/>
      </w:pPr>
    </w:p>
    <w:p>
      <w:pPr>
        <w:pStyle w:val="nzIndenta"/>
      </w:pPr>
      <w:r>
        <w:tab/>
        <w:t>(d)</w:t>
      </w:r>
      <w:r>
        <w:tab/>
        <w:t>in paragraph (a) delete “section 60,” and insert:</w:t>
      </w:r>
    </w:p>
    <w:p>
      <w:pPr>
        <w:pStyle w:val="BlankOpen"/>
      </w:pPr>
    </w:p>
    <w:p>
      <w:pPr>
        <w:pStyle w:val="nzIndenta"/>
      </w:pPr>
      <w:r>
        <w:tab/>
      </w:r>
      <w:r>
        <w:tab/>
        <w:t>section 67,</w:t>
      </w:r>
    </w:p>
    <w:p>
      <w:pPr>
        <w:pStyle w:val="BlankClose"/>
      </w:pPr>
    </w:p>
    <w:p>
      <w:pPr>
        <w:pStyle w:val="nzIndenta"/>
      </w:pPr>
      <w:r>
        <w:tab/>
        <w:t>(e)</w:t>
      </w:r>
      <w:r>
        <w:tab/>
        <w:t>in paragraph (b) delete “certified” (each occurrence);</w:t>
      </w:r>
    </w:p>
    <w:p>
      <w:pPr>
        <w:pStyle w:val="nzIndenta"/>
      </w:pPr>
      <w:r>
        <w:tab/>
        <w:t>(f)</w:t>
      </w:r>
      <w:r>
        <w:tab/>
        <w:t>in paragraph (b) delete “transfer” and insert:</w:t>
      </w:r>
    </w:p>
    <w:p>
      <w:pPr>
        <w:pStyle w:val="BlankOpen"/>
      </w:pPr>
    </w:p>
    <w:p>
      <w:pPr>
        <w:pStyle w:val="nzIndenta"/>
      </w:pPr>
      <w:r>
        <w:tab/>
      </w:r>
      <w:r>
        <w:tab/>
        <w:t>amended plan</w:t>
      </w:r>
    </w:p>
    <w:p>
      <w:pPr>
        <w:pStyle w:val="BlankClose"/>
        <w:keepNext/>
      </w:pPr>
    </w:p>
    <w:p>
      <w:pPr>
        <w:pStyle w:val="nzPermNoteHeading"/>
      </w:pPr>
      <w:r>
        <w:tab/>
        <w:t>Note:</w:t>
      </w:r>
    </w:p>
    <w:p>
      <w:pPr>
        <w:pStyle w:val="nzPermNoteText"/>
      </w:pPr>
      <w:r>
        <w:tab/>
      </w:r>
      <w:r>
        <w:tab/>
        <w:t>Section 61 (as amended) is renumbered as section 68 and relocated to Part 5 Division 4.</w:t>
      </w:r>
    </w:p>
    <w:p>
      <w:pPr>
        <w:pStyle w:val="nzHeading5"/>
      </w:pPr>
      <w:bookmarkStart w:id="597" w:name="_Toc530474323"/>
      <w:bookmarkStart w:id="598" w:name="_Toc530474918"/>
      <w:r>
        <w:rPr>
          <w:rStyle w:val="CharSectno"/>
        </w:rPr>
        <w:t>63</w:t>
      </w:r>
      <w:r>
        <w:t>.</w:t>
      </w:r>
      <w:r>
        <w:tab/>
        <w:t>Section 62 amended</w:t>
      </w:r>
      <w:bookmarkEnd w:id="597"/>
      <w:bookmarkEnd w:id="598"/>
    </w:p>
    <w:p>
      <w:pPr>
        <w:pStyle w:val="nzSubsection"/>
      </w:pPr>
      <w:r>
        <w:tab/>
        <w:t>(1)</w:t>
      </w:r>
      <w:r>
        <w:tab/>
        <w:t>In section 62(1):</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“in a strata plan” and insert:</w:t>
      </w:r>
    </w:p>
    <w:p>
      <w:pPr>
        <w:pStyle w:val="BlankOpen"/>
      </w:pPr>
    </w:p>
    <w:p>
      <w:pPr>
        <w:pStyle w:val="nzIndenta"/>
      </w:pPr>
      <w:r>
        <w:tab/>
      </w:r>
      <w:r>
        <w:tab/>
        <w:t>subdivided by a strata scheme</w:t>
      </w:r>
    </w:p>
    <w:p>
      <w:pPr>
        <w:pStyle w:val="BlankClose"/>
      </w:pPr>
    </w:p>
    <w:p>
      <w:pPr>
        <w:pStyle w:val="nzIndenta"/>
      </w:pPr>
      <w:r>
        <w:tab/>
        <w:t>(c)</w:t>
      </w:r>
      <w:r>
        <w:tab/>
        <w:t>delete “shall, notwithstanding” and insert:</w:t>
      </w:r>
    </w:p>
    <w:p>
      <w:pPr>
        <w:pStyle w:val="BlankOpen"/>
      </w:pPr>
    </w:p>
    <w:p>
      <w:pPr>
        <w:pStyle w:val="nzIndenta"/>
      </w:pPr>
      <w:r>
        <w:tab/>
      </w:r>
      <w:r>
        <w:tab/>
        <w:t>must, despite</w:t>
      </w:r>
    </w:p>
    <w:p>
      <w:pPr>
        <w:pStyle w:val="BlankClose"/>
      </w:pPr>
    </w:p>
    <w:p>
      <w:pPr>
        <w:pStyle w:val="nzSubsection"/>
      </w:pPr>
      <w:r>
        <w:tab/>
        <w:t>(2)</w:t>
      </w:r>
      <w:r>
        <w:tab/>
        <w:t>In section 62(2):</w:t>
      </w:r>
    </w:p>
    <w:p>
      <w:pPr>
        <w:pStyle w:val="nzIndenta"/>
      </w:pPr>
      <w:r>
        <w:tab/>
        <w:t>(a)</w:t>
      </w:r>
      <w:r>
        <w:tab/>
        <w:t>delete “thereto,” and insert:</w:t>
      </w:r>
    </w:p>
    <w:p>
      <w:pPr>
        <w:pStyle w:val="BlankOpen"/>
      </w:pPr>
    </w:p>
    <w:p>
      <w:pPr>
        <w:pStyle w:val="nzIndenta"/>
      </w:pPr>
      <w:r>
        <w:tab/>
      </w:r>
      <w:r>
        <w:tab/>
        <w:t>to the valuation,</w:t>
      </w:r>
    </w:p>
    <w:p>
      <w:pPr>
        <w:pStyle w:val="BlankClose"/>
      </w:pPr>
    </w:p>
    <w:p>
      <w:pPr>
        <w:pStyle w:val="nzIndenta"/>
      </w:pPr>
      <w:r>
        <w:tab/>
        <w:t>(b)</w:t>
      </w:r>
      <w:r>
        <w:tab/>
        <w:t>delete “thereon shall be deemed” and insert:</w:t>
      </w:r>
    </w:p>
    <w:p>
      <w:pPr>
        <w:pStyle w:val="BlankOpen"/>
      </w:pPr>
    </w:p>
    <w:p>
      <w:pPr>
        <w:pStyle w:val="nzIndenta"/>
      </w:pPr>
      <w:r>
        <w:tab/>
      </w:r>
      <w:r>
        <w:tab/>
        <w:t>on the parcel are taken</w:t>
      </w:r>
    </w:p>
    <w:p>
      <w:pPr>
        <w:pStyle w:val="BlankClose"/>
      </w:pPr>
    </w:p>
    <w:p>
      <w:pPr>
        <w:pStyle w:val="nzSubsection"/>
      </w:pPr>
      <w:r>
        <w:tab/>
        <w:t>(3)</w:t>
      </w:r>
      <w:r>
        <w:tab/>
        <w:t>In section 62(3):</w:t>
      </w:r>
    </w:p>
    <w:p>
      <w:pPr>
        <w:pStyle w:val="nzIndenta"/>
      </w:pPr>
      <w:r>
        <w:tab/>
        <w:t>(a)</w:t>
      </w:r>
      <w:r>
        <w:tab/>
        <w:t>delete “strata/survey</w:t>
      </w:r>
      <w:r>
        <w:noBreakHyphen/>
        <w:t>strata plan” and insert:</w:t>
      </w:r>
    </w:p>
    <w:p>
      <w:pPr>
        <w:pStyle w:val="BlankOpen"/>
      </w:pPr>
    </w:p>
    <w:p>
      <w:pPr>
        <w:pStyle w:val="nzIndenta"/>
      </w:pPr>
      <w:r>
        <w:tab/>
      </w:r>
      <w:r>
        <w:tab/>
        <w:t>strata scheme</w:t>
      </w:r>
    </w:p>
    <w:p>
      <w:pPr>
        <w:pStyle w:val="BlankClose"/>
      </w:pPr>
    </w:p>
    <w:p>
      <w:pPr>
        <w:pStyle w:val="nzIndenta"/>
      </w:pPr>
      <w:r>
        <w:tab/>
        <w:t>(b)</w:t>
      </w:r>
      <w:r>
        <w:tab/>
        <w:t>delete “shall for the purposes of this section be deemed” and insert:</w:t>
      </w:r>
    </w:p>
    <w:p>
      <w:pPr>
        <w:pStyle w:val="BlankOpen"/>
      </w:pPr>
    </w:p>
    <w:p>
      <w:pPr>
        <w:pStyle w:val="nzIndenta"/>
      </w:pPr>
      <w:r>
        <w:tab/>
      </w:r>
      <w:r>
        <w:tab/>
        <w:t>is taken, for the purposes of this section,</w:t>
      </w:r>
    </w:p>
    <w:p>
      <w:pPr>
        <w:pStyle w:val="BlankClose"/>
      </w:pPr>
    </w:p>
    <w:p>
      <w:pPr>
        <w:pStyle w:val="nzSubsection"/>
      </w:pPr>
      <w:r>
        <w:tab/>
        <w:t>(4)</w:t>
      </w:r>
      <w:r>
        <w:tab/>
        <w:t>In section 62(4):</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“in this section called”.</w:t>
      </w:r>
    </w:p>
    <w:p>
      <w:pPr>
        <w:pStyle w:val="nzIndenta"/>
      </w:pPr>
      <w:r>
        <w:tab/>
        <w:t>(c)</w:t>
      </w:r>
      <w:r>
        <w:tab/>
        <w:t>in paragraph (a) delete “shall” and insert:</w:t>
      </w:r>
    </w:p>
    <w:p>
      <w:pPr>
        <w:pStyle w:val="BlankOpen"/>
      </w:pPr>
    </w:p>
    <w:p>
      <w:pPr>
        <w:pStyle w:val="nzIndenta"/>
      </w:pPr>
      <w:r>
        <w:tab/>
      </w:r>
      <w:r>
        <w:tab/>
        <w:t>must</w:t>
      </w:r>
    </w:p>
    <w:p>
      <w:pPr>
        <w:pStyle w:val="BlankClose"/>
      </w:pPr>
    </w:p>
    <w:p>
      <w:pPr>
        <w:pStyle w:val="nzIndenta"/>
      </w:pPr>
      <w:r>
        <w:tab/>
        <w:t>(d)</w:t>
      </w:r>
      <w:r>
        <w:tab/>
        <w:t>in paragraph (a) delete “as shown on the registered strata plan;” and insert:</w:t>
      </w:r>
    </w:p>
    <w:p>
      <w:pPr>
        <w:pStyle w:val="BlankOpen"/>
      </w:pPr>
    </w:p>
    <w:p>
      <w:pPr>
        <w:pStyle w:val="nzIndenta"/>
      </w:pPr>
      <w:r>
        <w:tab/>
      </w:r>
      <w:r>
        <w:tab/>
        <w:t xml:space="preserve">in the strata scheme; </w:t>
      </w:r>
    </w:p>
    <w:p>
      <w:pPr>
        <w:pStyle w:val="BlankClose"/>
      </w:pPr>
    </w:p>
    <w:p>
      <w:pPr>
        <w:pStyle w:val="nzIndenta"/>
      </w:pPr>
      <w:r>
        <w:tab/>
        <w:t>(e)</w:t>
      </w:r>
      <w:r>
        <w:tab/>
        <w:t>in paragraph (c) delete “proprietor” and insert:</w:t>
      </w:r>
    </w:p>
    <w:p>
      <w:pPr>
        <w:pStyle w:val="BlankOpen"/>
      </w:pPr>
    </w:p>
    <w:p>
      <w:pPr>
        <w:pStyle w:val="nzIndenta"/>
      </w:pPr>
      <w:r>
        <w:tab/>
      </w:r>
      <w:r>
        <w:tab/>
        <w:t>owner</w:t>
      </w:r>
    </w:p>
    <w:p>
      <w:pPr>
        <w:pStyle w:val="BlankClose"/>
      </w:pPr>
    </w:p>
    <w:p>
      <w:pPr>
        <w:pStyle w:val="nzIndenta"/>
      </w:pPr>
      <w:r>
        <w:tab/>
        <w:t>(f)</w:t>
      </w:r>
      <w:r>
        <w:tab/>
        <w:t>in paragraph (c) delete “deemed” and insert:</w:t>
      </w:r>
    </w:p>
    <w:p>
      <w:pPr>
        <w:pStyle w:val="BlankOpen"/>
      </w:pPr>
    </w:p>
    <w:p>
      <w:pPr>
        <w:pStyle w:val="nzIndenta"/>
      </w:pPr>
      <w:r>
        <w:tab/>
      </w:r>
      <w:r>
        <w:tab/>
        <w:t>taken</w:t>
      </w:r>
    </w:p>
    <w:p>
      <w:pPr>
        <w:pStyle w:val="BlankClose"/>
      </w:pPr>
    </w:p>
    <w:p>
      <w:pPr>
        <w:pStyle w:val="nzSubsection"/>
      </w:pPr>
      <w:r>
        <w:tab/>
        <w:t>(5)</w:t>
      </w:r>
      <w:r>
        <w:tab/>
        <w:t>In section 62(5):</w:t>
      </w:r>
    </w:p>
    <w:p>
      <w:pPr>
        <w:pStyle w:val="nzIndenta"/>
      </w:pPr>
      <w:r>
        <w:tab/>
        <w:t>(a)</w:t>
      </w:r>
      <w:r>
        <w:tab/>
        <w:t xml:space="preserve">delete “Where —” and insert: </w:t>
      </w:r>
    </w:p>
    <w:p>
      <w:pPr>
        <w:pStyle w:val="BlankOpen"/>
      </w:pPr>
    </w:p>
    <w:p>
      <w:pPr>
        <w:pStyle w:val="nzIndenta"/>
      </w:pPr>
      <w:r>
        <w:tab/>
      </w:r>
      <w:r>
        <w:tab/>
        <w:t>If —</w:t>
      </w:r>
    </w:p>
    <w:p>
      <w:pPr>
        <w:pStyle w:val="BlankClose"/>
      </w:pPr>
    </w:p>
    <w:p>
      <w:pPr>
        <w:pStyle w:val="nzIndenta"/>
      </w:pPr>
      <w:r>
        <w:tab/>
        <w:t>(b)</w:t>
      </w:r>
      <w:r>
        <w:tab/>
        <w:t>in paragraph (a) delete “shall” and insert:</w:t>
      </w:r>
    </w:p>
    <w:p>
      <w:pPr>
        <w:pStyle w:val="BlankOpen"/>
      </w:pPr>
    </w:p>
    <w:p>
      <w:pPr>
        <w:pStyle w:val="nzIndenta"/>
      </w:pPr>
      <w:r>
        <w:tab/>
      </w:r>
      <w:r>
        <w:tab/>
        <w:t>must</w:t>
      </w:r>
    </w:p>
    <w:p>
      <w:pPr>
        <w:pStyle w:val="BlankClose"/>
      </w:pPr>
    </w:p>
    <w:p>
      <w:pPr>
        <w:pStyle w:val="nzIndenta"/>
      </w:pPr>
      <w:r>
        <w:tab/>
        <w:t>(c)</w:t>
      </w:r>
      <w:r>
        <w:tab/>
        <w:t>in paragraph (a) delete “upon” and insert:</w:t>
      </w:r>
    </w:p>
    <w:p>
      <w:pPr>
        <w:pStyle w:val="BlankOpen"/>
      </w:pPr>
    </w:p>
    <w:p>
      <w:pPr>
        <w:pStyle w:val="nzIndenta"/>
      </w:pPr>
      <w:r>
        <w:tab/>
      </w:r>
      <w:r>
        <w:tab/>
        <w:t>on</w:t>
      </w:r>
    </w:p>
    <w:p>
      <w:pPr>
        <w:pStyle w:val="BlankClose"/>
      </w:pPr>
    </w:p>
    <w:p>
      <w:pPr>
        <w:pStyle w:val="nzIndenta"/>
      </w:pPr>
      <w:r>
        <w:tab/>
        <w:t>(d)</w:t>
      </w:r>
      <w:r>
        <w:tab/>
        <w:t>in paragraph (b) delete “shall” and insert:</w:t>
      </w:r>
    </w:p>
    <w:p>
      <w:pPr>
        <w:pStyle w:val="BlankOpen"/>
      </w:pPr>
    </w:p>
    <w:p>
      <w:pPr>
        <w:pStyle w:val="nzIndenta"/>
      </w:pPr>
      <w:r>
        <w:tab/>
      </w:r>
      <w:r>
        <w:tab/>
        <w:t>is to</w:t>
      </w:r>
    </w:p>
    <w:p>
      <w:pPr>
        <w:pStyle w:val="BlankClose"/>
      </w:pPr>
    </w:p>
    <w:p>
      <w:pPr>
        <w:pStyle w:val="nzIndenta"/>
      </w:pPr>
      <w:r>
        <w:tab/>
        <w:t>(e)</w:t>
      </w:r>
      <w:r>
        <w:tab/>
        <w:t>in paragraph (b) delete “ therefrom”;</w:t>
      </w:r>
    </w:p>
    <w:p>
      <w:pPr>
        <w:pStyle w:val="nzIndenta"/>
      </w:pPr>
      <w:r>
        <w:tab/>
        <w:t>(f)</w:t>
      </w:r>
      <w:r>
        <w:tab/>
        <w:t>in paragraph (b) delete “such” and insert:</w:t>
      </w:r>
    </w:p>
    <w:p>
      <w:pPr>
        <w:pStyle w:val="BlankOpen"/>
      </w:pPr>
    </w:p>
    <w:p>
      <w:pPr>
        <w:pStyle w:val="nzIndenta"/>
      </w:pPr>
      <w:r>
        <w:tab/>
      </w:r>
      <w:r>
        <w:tab/>
        <w:t>the</w:t>
      </w:r>
    </w:p>
    <w:p>
      <w:pPr>
        <w:pStyle w:val="BlankClose"/>
      </w:pPr>
    </w:p>
    <w:p>
      <w:pPr>
        <w:pStyle w:val="nzSectAltNote"/>
      </w:pPr>
      <w:r>
        <w:tab/>
        <w:t>Note:</w:t>
      </w:r>
      <w:r>
        <w:tab/>
        <w:t>The heading to amended section 62 is to read:</w:t>
      </w:r>
    </w:p>
    <w:p>
      <w:pPr>
        <w:pStyle w:val="nzSectAltHeading"/>
      </w:pPr>
      <w:r>
        <w:rPr>
          <w:b w:val="0"/>
        </w:rPr>
        <w:tab/>
      </w:r>
      <w:r>
        <w:rPr>
          <w:b w:val="0"/>
        </w:rPr>
        <w:tab/>
      </w:r>
      <w:r>
        <w:t>Rating for strata schemes</w:t>
      </w:r>
    </w:p>
    <w:p>
      <w:pPr>
        <w:pStyle w:val="nzPermNoteHeading"/>
      </w:pPr>
      <w:r>
        <w:tab/>
        <w:t>Note:</w:t>
      </w:r>
    </w:p>
    <w:p>
      <w:pPr>
        <w:pStyle w:val="nzPermNoteText"/>
      </w:pPr>
      <w:r>
        <w:tab/>
      </w:r>
      <w:r>
        <w:tab/>
        <w:t>Section 62 (as amended) is renumbered as section 69 and relocated to Part 5 Division 4.</w:t>
      </w:r>
    </w:p>
    <w:p>
      <w:pPr>
        <w:pStyle w:val="nzHeading5"/>
      </w:pPr>
      <w:bookmarkStart w:id="599" w:name="_Toc530474324"/>
      <w:bookmarkStart w:id="600" w:name="_Toc530474919"/>
      <w:r>
        <w:rPr>
          <w:rStyle w:val="CharSectno"/>
        </w:rPr>
        <w:t>64</w:t>
      </w:r>
      <w:r>
        <w:t>.</w:t>
      </w:r>
      <w:r>
        <w:tab/>
        <w:t>Section 62A amended</w:t>
      </w:r>
      <w:bookmarkEnd w:id="599"/>
      <w:bookmarkEnd w:id="600"/>
    </w:p>
    <w:p>
      <w:pPr>
        <w:pStyle w:val="nzSubsection"/>
      </w:pPr>
      <w:r>
        <w:tab/>
        <w:t>(1)</w:t>
      </w:r>
      <w:r>
        <w:tab/>
        <w:t>In section 62A(2):</w:t>
      </w:r>
    </w:p>
    <w:p>
      <w:pPr>
        <w:pStyle w:val="nzIndenta"/>
      </w:pPr>
      <w:r>
        <w:tab/>
        <w:t>(a)</w:t>
      </w:r>
      <w:r>
        <w:tab/>
        <w:t>delete “shall” and insert:</w:t>
      </w:r>
    </w:p>
    <w:p>
      <w:pPr>
        <w:pStyle w:val="BlankOpen"/>
      </w:pPr>
    </w:p>
    <w:p>
      <w:pPr>
        <w:pStyle w:val="nzIndenta"/>
      </w:pPr>
      <w:r>
        <w:tab/>
      </w:r>
      <w:r>
        <w:tab/>
        <w:t>must</w:t>
      </w:r>
    </w:p>
    <w:p>
      <w:pPr>
        <w:pStyle w:val="BlankClose"/>
      </w:pPr>
    </w:p>
    <w:p>
      <w:pPr>
        <w:pStyle w:val="nzIndenta"/>
      </w:pPr>
      <w:r>
        <w:tab/>
        <w:t>(b)</w:t>
      </w:r>
      <w:r>
        <w:tab/>
        <w:t>delete “any” and insert:</w:t>
      </w:r>
    </w:p>
    <w:p>
      <w:pPr>
        <w:pStyle w:val="BlankOpen"/>
      </w:pPr>
    </w:p>
    <w:p>
      <w:pPr>
        <w:pStyle w:val="nzIndenta"/>
      </w:pPr>
      <w:r>
        <w:tab/>
      </w:r>
      <w:r>
        <w:tab/>
        <w:t>a</w:t>
      </w:r>
    </w:p>
    <w:p>
      <w:pPr>
        <w:pStyle w:val="BlankClose"/>
      </w:pPr>
    </w:p>
    <w:p>
      <w:pPr>
        <w:pStyle w:val="nzSubsection"/>
      </w:pPr>
      <w:r>
        <w:tab/>
        <w:t>(2)</w:t>
      </w:r>
      <w:r>
        <w:tab/>
        <w:t>In section 62A(3):</w:t>
      </w:r>
    </w:p>
    <w:p>
      <w:pPr>
        <w:pStyle w:val="nzIndenta"/>
      </w:pPr>
      <w:r>
        <w:tab/>
        <w:t>(a)</w:t>
      </w:r>
      <w:r>
        <w:tab/>
        <w:t>delete “shall” and insert:</w:t>
      </w:r>
    </w:p>
    <w:p>
      <w:pPr>
        <w:pStyle w:val="BlankOpen"/>
      </w:pPr>
    </w:p>
    <w:p>
      <w:pPr>
        <w:pStyle w:val="nzIndenta"/>
      </w:pPr>
      <w:r>
        <w:tab/>
      </w:r>
      <w:r>
        <w:tab/>
        <w:t>must</w:t>
      </w:r>
    </w:p>
    <w:p>
      <w:pPr>
        <w:pStyle w:val="BlankClose"/>
      </w:pPr>
    </w:p>
    <w:p>
      <w:pPr>
        <w:pStyle w:val="nzIndenta"/>
      </w:pPr>
      <w:r>
        <w:tab/>
        <w:t>(b)</w:t>
      </w:r>
      <w:r>
        <w:tab/>
        <w:t>delete “any”.</w:t>
      </w:r>
    </w:p>
    <w:p>
      <w:pPr>
        <w:pStyle w:val="nzSubsection"/>
      </w:pPr>
      <w:r>
        <w:tab/>
        <w:t>(3)</w:t>
      </w:r>
      <w:r>
        <w:tab/>
        <w:t>In section 62A(4):</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“any” and insert:</w:t>
      </w:r>
    </w:p>
    <w:p>
      <w:pPr>
        <w:pStyle w:val="BlankOpen"/>
      </w:pPr>
    </w:p>
    <w:p>
      <w:pPr>
        <w:pStyle w:val="nzIndenta"/>
      </w:pPr>
      <w:r>
        <w:tab/>
      </w:r>
      <w:r>
        <w:tab/>
        <w:t>a</w:t>
      </w:r>
    </w:p>
    <w:p>
      <w:pPr>
        <w:pStyle w:val="BlankClose"/>
      </w:pPr>
    </w:p>
    <w:p>
      <w:pPr>
        <w:pStyle w:val="nzIndenta"/>
      </w:pPr>
      <w:r>
        <w:tab/>
        <w:t>(c)</w:t>
      </w:r>
      <w:r>
        <w:tab/>
        <w:t>delete “shall” and insert:</w:t>
      </w:r>
    </w:p>
    <w:p>
      <w:pPr>
        <w:pStyle w:val="BlankOpen"/>
      </w:pPr>
    </w:p>
    <w:p>
      <w:pPr>
        <w:pStyle w:val="nzIndenta"/>
      </w:pPr>
      <w:r>
        <w:tab/>
      </w:r>
      <w:r>
        <w:tab/>
        <w:t>must</w:t>
      </w:r>
    </w:p>
    <w:p>
      <w:pPr>
        <w:pStyle w:val="BlankClose"/>
      </w:pPr>
    </w:p>
    <w:p>
      <w:pPr>
        <w:pStyle w:val="nzIndenta"/>
      </w:pPr>
      <w:r>
        <w:tab/>
        <w:t>(d)</w:t>
      </w:r>
      <w:r>
        <w:tab/>
        <w:t>delete “upon” and insert:</w:t>
      </w:r>
    </w:p>
    <w:p>
      <w:pPr>
        <w:pStyle w:val="BlankOpen"/>
      </w:pPr>
    </w:p>
    <w:p>
      <w:pPr>
        <w:pStyle w:val="nzIndenta"/>
      </w:pPr>
      <w:r>
        <w:tab/>
      </w:r>
      <w:r>
        <w:tab/>
        <w:t>on</w:t>
      </w:r>
    </w:p>
    <w:p>
      <w:pPr>
        <w:pStyle w:val="BlankClose"/>
      </w:pPr>
    </w:p>
    <w:p>
      <w:pPr>
        <w:pStyle w:val="nzPermNoteHeading"/>
      </w:pPr>
      <w:r>
        <w:tab/>
        <w:t>Note:</w:t>
      </w:r>
    </w:p>
    <w:p>
      <w:pPr>
        <w:pStyle w:val="nzPermNoteText"/>
      </w:pPr>
      <w:r>
        <w:tab/>
      </w:r>
      <w:r>
        <w:tab/>
        <w:t>Section 62A (as amended) is renumbered as section 70 and relocated to Part 5 Division 4.</w:t>
      </w:r>
    </w:p>
    <w:p>
      <w:pPr>
        <w:pStyle w:val="nzHeading5"/>
      </w:pPr>
      <w:bookmarkStart w:id="601" w:name="_Toc530474325"/>
      <w:bookmarkStart w:id="602" w:name="_Toc530474920"/>
      <w:r>
        <w:rPr>
          <w:rStyle w:val="CharSectno"/>
        </w:rPr>
        <w:t>65</w:t>
      </w:r>
      <w:r>
        <w:t>.</w:t>
      </w:r>
      <w:r>
        <w:tab/>
        <w:t>Section 63 amended</w:t>
      </w:r>
      <w:bookmarkEnd w:id="601"/>
      <w:bookmarkEnd w:id="602"/>
    </w:p>
    <w:p>
      <w:pPr>
        <w:pStyle w:val="nzSubsection"/>
      </w:pPr>
      <w:r>
        <w:tab/>
        <w:t>(1)</w:t>
      </w:r>
      <w:r>
        <w:tab/>
        <w:t>In section 63(1):</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“shall, notwithstanding” and insert:</w:t>
      </w:r>
    </w:p>
    <w:p>
      <w:pPr>
        <w:pStyle w:val="BlankOpen"/>
      </w:pPr>
    </w:p>
    <w:p>
      <w:pPr>
        <w:pStyle w:val="nzIndenta"/>
      </w:pPr>
      <w:r>
        <w:tab/>
      </w:r>
      <w:r>
        <w:tab/>
        <w:t>must, despite</w:t>
      </w:r>
    </w:p>
    <w:p>
      <w:pPr>
        <w:pStyle w:val="BlankClose"/>
      </w:pPr>
    </w:p>
    <w:p>
      <w:pPr>
        <w:pStyle w:val="nzSubsection"/>
      </w:pPr>
      <w:r>
        <w:tab/>
        <w:t>(2)</w:t>
      </w:r>
      <w:r>
        <w:tab/>
        <w:t>In section 63(2):</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“in this subsection called”.</w:t>
      </w:r>
    </w:p>
    <w:p>
      <w:pPr>
        <w:pStyle w:val="nzIndenta"/>
      </w:pPr>
      <w:r>
        <w:tab/>
        <w:t>(c)</w:t>
      </w:r>
      <w:r>
        <w:tab/>
        <w:t>in paragraph (a) delete “of the parcel for any” and insert:</w:t>
      </w:r>
    </w:p>
    <w:p>
      <w:pPr>
        <w:pStyle w:val="BlankOpen"/>
      </w:pPr>
    </w:p>
    <w:p>
      <w:pPr>
        <w:pStyle w:val="nzIndenta"/>
      </w:pPr>
      <w:r>
        <w:tab/>
      </w:r>
      <w:r>
        <w:tab/>
        <w:t>for a</w:t>
      </w:r>
    </w:p>
    <w:p>
      <w:pPr>
        <w:pStyle w:val="BlankClose"/>
      </w:pPr>
    </w:p>
    <w:p>
      <w:pPr>
        <w:pStyle w:val="nzIndenta"/>
      </w:pPr>
      <w:r>
        <w:tab/>
        <w:t>(d)</w:t>
      </w:r>
      <w:r>
        <w:tab/>
        <w:t>in paragraph (b) delete “proprietor” and insert:</w:t>
      </w:r>
    </w:p>
    <w:p>
      <w:pPr>
        <w:pStyle w:val="BlankOpen"/>
      </w:pPr>
    </w:p>
    <w:p>
      <w:pPr>
        <w:pStyle w:val="nzIndenta"/>
      </w:pPr>
      <w:r>
        <w:tab/>
      </w:r>
      <w:r>
        <w:tab/>
        <w:t>owner</w:t>
      </w:r>
    </w:p>
    <w:p>
      <w:pPr>
        <w:pStyle w:val="BlankClose"/>
      </w:pPr>
    </w:p>
    <w:p>
      <w:pPr>
        <w:pStyle w:val="nzIndenta"/>
      </w:pPr>
      <w:r>
        <w:tab/>
        <w:t>(e)</w:t>
      </w:r>
      <w:r>
        <w:tab/>
        <w:t>in paragraph (b) delete “any rate” and insert:</w:t>
      </w:r>
    </w:p>
    <w:p>
      <w:pPr>
        <w:pStyle w:val="BlankOpen"/>
      </w:pPr>
    </w:p>
    <w:p>
      <w:pPr>
        <w:pStyle w:val="nzIndenta"/>
      </w:pPr>
      <w:r>
        <w:tab/>
      </w:r>
      <w:r>
        <w:tab/>
        <w:t>a rate</w:t>
      </w:r>
    </w:p>
    <w:p>
      <w:pPr>
        <w:pStyle w:val="BlankClose"/>
      </w:pPr>
    </w:p>
    <w:p>
      <w:pPr>
        <w:pStyle w:val="nzSubsection"/>
      </w:pPr>
      <w:r>
        <w:tab/>
        <w:t>(3)</w:t>
      </w:r>
      <w:r>
        <w:tab/>
        <w:t>In section 63(3):</w:t>
      </w:r>
    </w:p>
    <w:p>
      <w:pPr>
        <w:pStyle w:val="nzIndenta"/>
      </w:pPr>
      <w:r>
        <w:tab/>
        <w:t>(a)</w:t>
      </w:r>
      <w:r>
        <w:tab/>
        <w:t>delete “Where” and insert:</w:t>
      </w:r>
    </w:p>
    <w:p>
      <w:pPr>
        <w:pStyle w:val="BlankOpen"/>
      </w:pPr>
    </w:p>
    <w:p>
      <w:pPr>
        <w:pStyle w:val="nzIndenta"/>
      </w:pPr>
      <w:r>
        <w:tab/>
      </w:r>
      <w:r>
        <w:tab/>
        <w:t>If</w:t>
      </w:r>
    </w:p>
    <w:p>
      <w:pPr>
        <w:pStyle w:val="BlankClose"/>
      </w:pPr>
    </w:p>
    <w:p>
      <w:pPr>
        <w:pStyle w:val="nzIndenta"/>
      </w:pPr>
      <w:r>
        <w:tab/>
        <w:t>(b)</w:t>
      </w:r>
      <w:r>
        <w:tab/>
        <w:t>delete “any” and insert:</w:t>
      </w:r>
    </w:p>
    <w:p>
      <w:pPr>
        <w:pStyle w:val="BlankOpen"/>
      </w:pPr>
    </w:p>
    <w:p>
      <w:pPr>
        <w:pStyle w:val="nzIndenta"/>
      </w:pPr>
      <w:r>
        <w:tab/>
      </w:r>
      <w:r>
        <w:tab/>
        <w:t>a</w:t>
      </w:r>
    </w:p>
    <w:p>
      <w:pPr>
        <w:pStyle w:val="BlankClose"/>
      </w:pPr>
    </w:p>
    <w:p>
      <w:pPr>
        <w:pStyle w:val="nzIndenta"/>
      </w:pPr>
      <w:r>
        <w:tab/>
        <w:t>(c)</w:t>
      </w:r>
      <w:r>
        <w:tab/>
        <w:t>delete “shall” and insert:</w:t>
      </w:r>
    </w:p>
    <w:p>
      <w:pPr>
        <w:pStyle w:val="BlankOpen"/>
      </w:pPr>
    </w:p>
    <w:p>
      <w:pPr>
        <w:pStyle w:val="nzIndenta"/>
      </w:pPr>
      <w:r>
        <w:tab/>
      </w:r>
      <w:r>
        <w:tab/>
        <w:t>must</w:t>
      </w:r>
    </w:p>
    <w:p>
      <w:pPr>
        <w:pStyle w:val="BlankClose"/>
      </w:pPr>
    </w:p>
    <w:p>
      <w:pPr>
        <w:pStyle w:val="nzIndenta"/>
      </w:pPr>
      <w:r>
        <w:tab/>
        <w:t>(d)</w:t>
      </w:r>
      <w:r>
        <w:tab/>
        <w:t>delete “upon” and insert:</w:t>
      </w:r>
    </w:p>
    <w:p>
      <w:pPr>
        <w:pStyle w:val="BlankOpen"/>
      </w:pPr>
    </w:p>
    <w:p>
      <w:pPr>
        <w:pStyle w:val="nzIndenta"/>
      </w:pPr>
      <w:r>
        <w:tab/>
      </w:r>
      <w:r>
        <w:tab/>
        <w:t>on</w:t>
      </w:r>
    </w:p>
    <w:p>
      <w:pPr>
        <w:pStyle w:val="BlankClose"/>
      </w:pPr>
    </w:p>
    <w:p>
      <w:pPr>
        <w:pStyle w:val="nzPermNoteHeading"/>
      </w:pPr>
      <w:r>
        <w:tab/>
        <w:t>Note:</w:t>
      </w:r>
    </w:p>
    <w:p>
      <w:pPr>
        <w:pStyle w:val="nzPermNoteText"/>
      </w:pPr>
      <w:r>
        <w:tab/>
      </w:r>
      <w:r>
        <w:tab/>
        <w:t>Section 63 (as amended) is renumbered as section 71 and relocated to Part 5 Division 4.</w:t>
      </w:r>
    </w:p>
    <w:p>
      <w:pPr>
        <w:pStyle w:val="nzHeading5"/>
      </w:pPr>
      <w:bookmarkStart w:id="603" w:name="_Toc530474326"/>
      <w:bookmarkStart w:id="604" w:name="_Toc530474921"/>
      <w:r>
        <w:rPr>
          <w:rStyle w:val="CharSectno"/>
        </w:rPr>
        <w:t>66</w:t>
      </w:r>
      <w:r>
        <w:t>.</w:t>
      </w:r>
      <w:r>
        <w:tab/>
        <w:t>Section 64 amended</w:t>
      </w:r>
      <w:bookmarkEnd w:id="603"/>
      <w:bookmarkEnd w:id="604"/>
    </w:p>
    <w:p>
      <w:pPr>
        <w:pStyle w:val="nzSubsection"/>
      </w:pPr>
      <w:r>
        <w:tab/>
        <w:t>(1)</w:t>
      </w:r>
      <w:r>
        <w:tab/>
        <w:t>In section 64(1):</w:t>
      </w:r>
    </w:p>
    <w:p>
      <w:pPr>
        <w:pStyle w:val="nzIndenta"/>
      </w:pPr>
      <w:r>
        <w:tab/>
        <w:t>(a)</w:t>
      </w:r>
      <w:r>
        <w:tab/>
        <w:t>delete “Notwithstanding section 62(2)” and insert:</w:t>
      </w:r>
    </w:p>
    <w:p>
      <w:pPr>
        <w:pStyle w:val="BlankOpen"/>
      </w:pPr>
    </w:p>
    <w:p>
      <w:pPr>
        <w:pStyle w:val="nzIndenta"/>
      </w:pPr>
      <w:r>
        <w:tab/>
      </w:r>
      <w:r>
        <w:tab/>
        <w:t>Despite section 69(2)</w:t>
      </w:r>
    </w:p>
    <w:p>
      <w:pPr>
        <w:pStyle w:val="BlankClose"/>
      </w:pPr>
    </w:p>
    <w:p>
      <w:pPr>
        <w:pStyle w:val="nzIndenta"/>
      </w:pPr>
      <w:r>
        <w:tab/>
        <w:t>(b)</w:t>
      </w:r>
      <w:r>
        <w:tab/>
        <w:t>delete “where” and insert:</w:t>
      </w:r>
    </w:p>
    <w:p>
      <w:pPr>
        <w:pStyle w:val="BlankOpen"/>
      </w:pPr>
    </w:p>
    <w:p>
      <w:pPr>
        <w:pStyle w:val="nzIndenta"/>
      </w:pPr>
      <w:r>
        <w:tab/>
      </w:r>
      <w:r>
        <w:tab/>
        <w:t>if</w:t>
      </w:r>
    </w:p>
    <w:p>
      <w:pPr>
        <w:pStyle w:val="BlankClose"/>
      </w:pPr>
    </w:p>
    <w:p>
      <w:pPr>
        <w:pStyle w:val="nzIndenta"/>
      </w:pPr>
      <w:r>
        <w:tab/>
        <w:t>(c)</w:t>
      </w:r>
      <w:r>
        <w:tab/>
        <w:t>delete “proprietor” (each occurrence) and insert:</w:t>
      </w:r>
    </w:p>
    <w:p>
      <w:pPr>
        <w:pStyle w:val="BlankOpen"/>
      </w:pPr>
    </w:p>
    <w:p>
      <w:pPr>
        <w:pStyle w:val="nzIndenta"/>
      </w:pPr>
      <w:r>
        <w:tab/>
      </w:r>
      <w:r>
        <w:tab/>
        <w:t>owner</w:t>
      </w:r>
    </w:p>
    <w:p>
      <w:pPr>
        <w:pStyle w:val="BlankClose"/>
      </w:pPr>
    </w:p>
    <w:p>
      <w:pPr>
        <w:pStyle w:val="nzIndenta"/>
      </w:pPr>
      <w:r>
        <w:tab/>
        <w:t>(d)</w:t>
      </w:r>
      <w:r>
        <w:tab/>
        <w:t>delete “shall be” and insert:</w:t>
      </w:r>
    </w:p>
    <w:p>
      <w:pPr>
        <w:pStyle w:val="BlankOpen"/>
      </w:pPr>
    </w:p>
    <w:p>
      <w:pPr>
        <w:pStyle w:val="nzIndenta"/>
      </w:pPr>
      <w:r>
        <w:tab/>
      </w:r>
      <w:r>
        <w:tab/>
        <w:t>is</w:t>
      </w:r>
    </w:p>
    <w:p>
      <w:pPr>
        <w:pStyle w:val="BlankClose"/>
      </w:pPr>
    </w:p>
    <w:p>
      <w:pPr>
        <w:pStyle w:val="nzSubsection"/>
      </w:pPr>
      <w:r>
        <w:tab/>
        <w:t>(2)</w:t>
      </w:r>
      <w:r>
        <w:tab/>
        <w:t>In section 64(2):</w:t>
      </w:r>
    </w:p>
    <w:p>
      <w:pPr>
        <w:pStyle w:val="nzIndenta"/>
      </w:pPr>
      <w:r>
        <w:tab/>
        <w:t>(a)</w:t>
      </w:r>
      <w:r>
        <w:tab/>
        <w:t>delete “Upon” and insert:</w:t>
      </w:r>
    </w:p>
    <w:p>
      <w:pPr>
        <w:pStyle w:val="BlankOpen"/>
      </w:pPr>
    </w:p>
    <w:p>
      <w:pPr>
        <w:pStyle w:val="nzIndenta"/>
      </w:pPr>
      <w:r>
        <w:tab/>
      </w:r>
      <w:r>
        <w:tab/>
        <w:t>On</w:t>
      </w:r>
    </w:p>
    <w:p>
      <w:pPr>
        <w:pStyle w:val="BlankClose"/>
      </w:pPr>
    </w:p>
    <w:p>
      <w:pPr>
        <w:pStyle w:val="nzIndenta"/>
      </w:pPr>
      <w:r>
        <w:tab/>
        <w:t>(b)</w:t>
      </w:r>
      <w:r>
        <w:tab/>
        <w:t>delete “a proprietor” and insert:</w:t>
      </w:r>
    </w:p>
    <w:p>
      <w:pPr>
        <w:pStyle w:val="BlankOpen"/>
      </w:pPr>
    </w:p>
    <w:p>
      <w:pPr>
        <w:pStyle w:val="nzIndenta"/>
      </w:pPr>
      <w:r>
        <w:tab/>
      </w:r>
      <w:r>
        <w:tab/>
        <w:t>the owner</w:t>
      </w:r>
    </w:p>
    <w:p>
      <w:pPr>
        <w:pStyle w:val="BlankClose"/>
      </w:pPr>
    </w:p>
    <w:p>
      <w:pPr>
        <w:pStyle w:val="nzIndenta"/>
      </w:pPr>
      <w:r>
        <w:tab/>
        <w:t>(c)</w:t>
      </w:r>
      <w:r>
        <w:tab/>
        <w:t>delete “pursuant to” and insert:</w:t>
      </w:r>
    </w:p>
    <w:p>
      <w:pPr>
        <w:pStyle w:val="BlankOpen"/>
      </w:pPr>
    </w:p>
    <w:p>
      <w:pPr>
        <w:pStyle w:val="nzIndenta"/>
      </w:pPr>
      <w:r>
        <w:tab/>
      </w:r>
      <w:r>
        <w:tab/>
        <w:t>under</w:t>
      </w:r>
    </w:p>
    <w:p>
      <w:pPr>
        <w:pStyle w:val="BlankClose"/>
      </w:pPr>
    </w:p>
    <w:p>
      <w:pPr>
        <w:pStyle w:val="nzIndenta"/>
      </w:pPr>
      <w:r>
        <w:tab/>
        <w:t>(d)</w:t>
      </w:r>
      <w:r>
        <w:tab/>
        <w:t>in paragraph (a) delete “shall” and insert:</w:t>
      </w:r>
    </w:p>
    <w:p>
      <w:pPr>
        <w:pStyle w:val="BlankOpen"/>
      </w:pPr>
    </w:p>
    <w:p>
      <w:pPr>
        <w:pStyle w:val="nzIndenta"/>
      </w:pPr>
      <w:r>
        <w:tab/>
      </w:r>
      <w:r>
        <w:tab/>
        <w:t>must</w:t>
      </w:r>
    </w:p>
    <w:p>
      <w:pPr>
        <w:pStyle w:val="BlankClose"/>
      </w:pPr>
    </w:p>
    <w:p>
      <w:pPr>
        <w:pStyle w:val="nzIndenta"/>
      </w:pPr>
      <w:r>
        <w:tab/>
        <w:t>(e)</w:t>
      </w:r>
      <w:r>
        <w:tab/>
        <w:t>in paragraph (a) delete “upon” and insert:</w:t>
      </w:r>
    </w:p>
    <w:p>
      <w:pPr>
        <w:pStyle w:val="BlankOpen"/>
      </w:pPr>
    </w:p>
    <w:p>
      <w:pPr>
        <w:pStyle w:val="nzIndenta"/>
      </w:pPr>
      <w:r>
        <w:tab/>
      </w:r>
      <w:r>
        <w:tab/>
        <w:t>on</w:t>
      </w:r>
    </w:p>
    <w:p>
      <w:pPr>
        <w:pStyle w:val="BlankClose"/>
      </w:pPr>
    </w:p>
    <w:p>
      <w:pPr>
        <w:pStyle w:val="nzIndenta"/>
      </w:pPr>
      <w:r>
        <w:tab/>
        <w:t>(f)</w:t>
      </w:r>
      <w:r>
        <w:tab/>
        <w:t>in paragraph (b) delete “such” and insert:</w:t>
      </w:r>
    </w:p>
    <w:p>
      <w:pPr>
        <w:pStyle w:val="BlankOpen"/>
      </w:pPr>
    </w:p>
    <w:p>
      <w:pPr>
        <w:pStyle w:val="nzIndenta"/>
      </w:pPr>
      <w:r>
        <w:tab/>
      </w:r>
      <w:r>
        <w:tab/>
        <w:t>the</w:t>
      </w:r>
    </w:p>
    <w:p>
      <w:pPr>
        <w:pStyle w:val="BlankClose"/>
      </w:pPr>
    </w:p>
    <w:p>
      <w:pPr>
        <w:pStyle w:val="nzSectAltNote"/>
      </w:pPr>
      <w:r>
        <w:tab/>
        <w:t>Note:</w:t>
      </w:r>
      <w:r>
        <w:tab/>
        <w:t>The heading to amended section 64 is to read:</w:t>
      </w:r>
    </w:p>
    <w:p>
      <w:pPr>
        <w:pStyle w:val="nzSectAltHeading"/>
      </w:pPr>
      <w:r>
        <w:rPr>
          <w:b w:val="0"/>
        </w:rPr>
        <w:tab/>
      </w:r>
      <w:r>
        <w:rPr>
          <w:b w:val="0"/>
        </w:rPr>
        <w:tab/>
      </w:r>
      <w:r>
        <w:t>Owner may seek a review of unimproved value of parcel</w:t>
      </w:r>
    </w:p>
    <w:p>
      <w:pPr>
        <w:pStyle w:val="nzPermNoteHeading"/>
      </w:pPr>
      <w:r>
        <w:tab/>
        <w:t>Note:</w:t>
      </w:r>
    </w:p>
    <w:p>
      <w:pPr>
        <w:pStyle w:val="nzPermNoteText"/>
      </w:pPr>
      <w:r>
        <w:tab/>
      </w:r>
      <w:r>
        <w:tab/>
        <w:t>Section 64 (as amended) is renumbered as section 72 and relocated to Part 5 Division 4.</w:t>
      </w:r>
    </w:p>
    <w:p>
      <w:pPr>
        <w:pStyle w:val="nzHeading5"/>
      </w:pPr>
      <w:bookmarkStart w:id="605" w:name="_Toc530474327"/>
      <w:bookmarkStart w:id="606" w:name="_Toc530474922"/>
      <w:r>
        <w:rPr>
          <w:rStyle w:val="CharSectno"/>
        </w:rPr>
        <w:t>67</w:t>
      </w:r>
      <w:r>
        <w:t>.</w:t>
      </w:r>
      <w:r>
        <w:tab/>
        <w:t>Section 65 amended</w:t>
      </w:r>
      <w:bookmarkEnd w:id="605"/>
      <w:bookmarkEnd w:id="606"/>
    </w:p>
    <w:p>
      <w:pPr>
        <w:pStyle w:val="nzSubsection"/>
      </w:pPr>
      <w:r>
        <w:tab/>
        <w:t>(1)</w:t>
      </w:r>
      <w:r>
        <w:tab/>
        <w:t>In section 65(1):</w:t>
      </w:r>
    </w:p>
    <w:p>
      <w:pPr>
        <w:pStyle w:val="nzIndenta"/>
      </w:pPr>
      <w:r>
        <w:tab/>
        <w:t>(a)</w:t>
      </w:r>
      <w:r>
        <w:tab/>
        <w:t>delete “(1) For all” and insert:</w:t>
      </w:r>
    </w:p>
    <w:p>
      <w:pPr>
        <w:pStyle w:val="BlankOpen"/>
      </w:pPr>
    </w:p>
    <w:p>
      <w:pPr>
        <w:pStyle w:val="nzIndenta"/>
      </w:pPr>
      <w:r>
        <w:tab/>
      </w:r>
      <w:r>
        <w:tab/>
        <w:t>For all</w:t>
      </w:r>
    </w:p>
    <w:p>
      <w:pPr>
        <w:pStyle w:val="BlankClose"/>
      </w:pPr>
    </w:p>
    <w:p>
      <w:pPr>
        <w:pStyle w:val="nzIndenta"/>
      </w:pPr>
      <w:r>
        <w:tab/>
        <w:t>(b)</w:t>
      </w:r>
      <w:r>
        <w:tab/>
        <w:t>delete “the parcel in a strata plan,” and insert:</w:t>
      </w:r>
    </w:p>
    <w:p>
      <w:pPr>
        <w:pStyle w:val="BlankOpen"/>
      </w:pPr>
    </w:p>
    <w:p>
      <w:pPr>
        <w:pStyle w:val="nzIndenta"/>
      </w:pPr>
      <w:r>
        <w:tab/>
      </w:r>
      <w:r>
        <w:tab/>
        <w:t>a parcel subdivided by a strata scheme,</w:t>
      </w:r>
    </w:p>
    <w:p>
      <w:pPr>
        <w:pStyle w:val="BlankClose"/>
      </w:pPr>
    </w:p>
    <w:p>
      <w:pPr>
        <w:pStyle w:val="nzIndenta"/>
      </w:pPr>
      <w:r>
        <w:tab/>
        <w:t>(c)</w:t>
      </w:r>
      <w:r>
        <w:tab/>
        <w:t>in paragraph (a) delete “shall” and insert:</w:t>
      </w:r>
    </w:p>
    <w:p>
      <w:pPr>
        <w:pStyle w:val="BlankOpen"/>
      </w:pPr>
    </w:p>
    <w:p>
      <w:pPr>
        <w:pStyle w:val="nzIndenta"/>
      </w:pPr>
      <w:r>
        <w:tab/>
      </w:r>
      <w:r>
        <w:tab/>
        <w:t>must</w:t>
      </w:r>
    </w:p>
    <w:p>
      <w:pPr>
        <w:pStyle w:val="BlankClose"/>
      </w:pPr>
    </w:p>
    <w:p>
      <w:pPr>
        <w:pStyle w:val="nzIndenta"/>
      </w:pPr>
      <w:r>
        <w:tab/>
        <w:t>(d)</w:t>
      </w:r>
      <w:r>
        <w:tab/>
        <w:t>in paragraph (a) delete “lots as shown on the registered strata plan; and” and insert:</w:t>
      </w:r>
    </w:p>
    <w:p>
      <w:pPr>
        <w:pStyle w:val="BlankOpen"/>
      </w:pPr>
    </w:p>
    <w:p>
      <w:pPr>
        <w:pStyle w:val="nzIndenta"/>
      </w:pPr>
      <w:r>
        <w:tab/>
      </w:r>
      <w:r>
        <w:tab/>
        <w:t>lots;</w:t>
      </w:r>
    </w:p>
    <w:p>
      <w:pPr>
        <w:pStyle w:val="BlankClose"/>
      </w:pPr>
    </w:p>
    <w:p>
      <w:pPr>
        <w:pStyle w:val="nzIndenta"/>
      </w:pPr>
      <w:r>
        <w:tab/>
        <w:t>(e)</w:t>
      </w:r>
      <w:r>
        <w:tab/>
        <w:t>in paragraph (b) delete “improvement tax; and” and insert:</w:t>
      </w:r>
    </w:p>
    <w:p>
      <w:pPr>
        <w:pStyle w:val="BlankOpen"/>
      </w:pPr>
    </w:p>
    <w:p>
      <w:pPr>
        <w:pStyle w:val="nzIndenta"/>
      </w:pPr>
      <w:r>
        <w:tab/>
      </w:r>
      <w:r>
        <w:tab/>
        <w:t>improvement tax;</w:t>
      </w:r>
    </w:p>
    <w:p>
      <w:pPr>
        <w:pStyle w:val="BlankClose"/>
      </w:pPr>
    </w:p>
    <w:p>
      <w:pPr>
        <w:pStyle w:val="nzIndenta"/>
      </w:pPr>
      <w:r>
        <w:tab/>
        <w:t>(f)</w:t>
      </w:r>
      <w:r>
        <w:tab/>
        <w:t>in paragraph (c) delete “shall be deemed” and insert:</w:t>
      </w:r>
    </w:p>
    <w:p>
      <w:pPr>
        <w:pStyle w:val="BlankOpen"/>
      </w:pPr>
    </w:p>
    <w:p>
      <w:pPr>
        <w:pStyle w:val="nzIndenta"/>
      </w:pPr>
      <w:r>
        <w:tab/>
      </w:r>
      <w:r>
        <w:tab/>
        <w:t>is taken</w:t>
      </w:r>
    </w:p>
    <w:p>
      <w:pPr>
        <w:pStyle w:val="BlankClose"/>
      </w:pPr>
    </w:p>
    <w:p>
      <w:pPr>
        <w:pStyle w:val="nzSubsection"/>
      </w:pPr>
      <w:r>
        <w:tab/>
        <w:t>(2)</w:t>
      </w:r>
      <w:r>
        <w:tab/>
        <w:t>Delete section 65(2).</w:t>
      </w:r>
    </w:p>
    <w:p>
      <w:pPr>
        <w:pStyle w:val="nzSectAltNote"/>
      </w:pPr>
      <w:r>
        <w:tab/>
        <w:t>Note:</w:t>
      </w:r>
      <w:r>
        <w:tab/>
        <w:t>The heading to amended section 65 is to read:</w:t>
      </w:r>
    </w:p>
    <w:p>
      <w:pPr>
        <w:pStyle w:val="nzSectAltHeading"/>
      </w:pPr>
      <w:r>
        <w:rPr>
          <w:b w:val="0"/>
        </w:rPr>
        <w:tab/>
      </w:r>
      <w:r>
        <w:rPr>
          <w:b w:val="0"/>
        </w:rPr>
        <w:tab/>
      </w:r>
      <w:r>
        <w:t>Land tax and metropolitan region improvement tax: strata schemes</w:t>
      </w:r>
    </w:p>
    <w:p>
      <w:pPr>
        <w:pStyle w:val="nzPermNoteHeading"/>
      </w:pPr>
      <w:r>
        <w:tab/>
        <w:t>Note:</w:t>
      </w:r>
    </w:p>
    <w:p>
      <w:pPr>
        <w:pStyle w:val="nzPermNoteText"/>
      </w:pPr>
      <w:r>
        <w:tab/>
      </w:r>
      <w:r>
        <w:tab/>
        <w:t>Section 65 (as amended) is renumbered as section 73 and relocated to Part 5 Division 4.</w:t>
      </w:r>
    </w:p>
    <w:p>
      <w:pPr>
        <w:pStyle w:val="nzHeading5"/>
      </w:pPr>
      <w:bookmarkStart w:id="607" w:name="_Toc530474328"/>
      <w:bookmarkStart w:id="608" w:name="_Toc530474923"/>
      <w:r>
        <w:rPr>
          <w:rStyle w:val="CharSectno"/>
        </w:rPr>
        <w:t>68</w:t>
      </w:r>
      <w:r>
        <w:t>.</w:t>
      </w:r>
      <w:r>
        <w:tab/>
        <w:t>Section 65A amended</w:t>
      </w:r>
      <w:bookmarkEnd w:id="607"/>
      <w:bookmarkEnd w:id="608"/>
    </w:p>
    <w:p>
      <w:pPr>
        <w:pStyle w:val="nzSubsection"/>
      </w:pPr>
      <w:r>
        <w:tab/>
      </w:r>
      <w:r>
        <w:tab/>
        <w:t>In section 65A(2):</w:t>
      </w:r>
    </w:p>
    <w:p>
      <w:pPr>
        <w:pStyle w:val="nzIndenta"/>
      </w:pPr>
      <w:r>
        <w:tab/>
        <w:t>(a)</w:t>
      </w:r>
      <w:r>
        <w:tab/>
        <w:t>in paragraph (a) delete “shall” and insert:</w:t>
      </w:r>
    </w:p>
    <w:p>
      <w:pPr>
        <w:pStyle w:val="BlankOpen"/>
      </w:pPr>
    </w:p>
    <w:p>
      <w:pPr>
        <w:pStyle w:val="nzIndenta"/>
      </w:pPr>
      <w:r>
        <w:tab/>
      </w:r>
      <w:r>
        <w:tab/>
        <w:t>must</w:t>
      </w:r>
    </w:p>
    <w:p>
      <w:pPr>
        <w:pStyle w:val="BlankClose"/>
      </w:pPr>
    </w:p>
    <w:p>
      <w:pPr>
        <w:pStyle w:val="nzIndenta"/>
      </w:pPr>
      <w:r>
        <w:tab/>
        <w:t>(b)</w:t>
      </w:r>
      <w:r>
        <w:tab/>
        <w:t>in paragraph (a) delete “section 62A,” and insert:</w:t>
      </w:r>
    </w:p>
    <w:p>
      <w:pPr>
        <w:pStyle w:val="BlankOpen"/>
      </w:pPr>
    </w:p>
    <w:p>
      <w:pPr>
        <w:pStyle w:val="nzIndenta"/>
      </w:pPr>
      <w:r>
        <w:tab/>
      </w:r>
      <w:r>
        <w:tab/>
        <w:t>section 70,</w:t>
      </w:r>
    </w:p>
    <w:p>
      <w:pPr>
        <w:pStyle w:val="BlankClose"/>
      </w:pPr>
    </w:p>
    <w:p>
      <w:pPr>
        <w:pStyle w:val="nzIndenta"/>
      </w:pPr>
      <w:r>
        <w:tab/>
        <w:t>(c)</w:t>
      </w:r>
      <w:r>
        <w:tab/>
        <w:t>in paragraph (b) delete “lot; and” and insert:</w:t>
      </w:r>
    </w:p>
    <w:p>
      <w:pPr>
        <w:pStyle w:val="BlankOpen"/>
      </w:pPr>
    </w:p>
    <w:p>
      <w:pPr>
        <w:pStyle w:val="nzIndenta"/>
      </w:pPr>
      <w:r>
        <w:tab/>
      </w:r>
      <w:r>
        <w:tab/>
        <w:t>lot.</w:t>
      </w:r>
    </w:p>
    <w:p>
      <w:pPr>
        <w:pStyle w:val="BlankClose"/>
      </w:pPr>
    </w:p>
    <w:p>
      <w:pPr>
        <w:pStyle w:val="nzIndenta"/>
      </w:pPr>
      <w:r>
        <w:tab/>
        <w:t>(d)</w:t>
      </w:r>
      <w:r>
        <w:tab/>
        <w:t>delete paragraph (c).</w:t>
      </w:r>
    </w:p>
    <w:p>
      <w:pPr>
        <w:pStyle w:val="nzSectAltNote"/>
      </w:pPr>
      <w:r>
        <w:tab/>
        <w:t>Note:</w:t>
      </w:r>
      <w:r>
        <w:tab/>
        <w:t>The heading to amended section 65A is to read:</w:t>
      </w:r>
    </w:p>
    <w:p>
      <w:pPr>
        <w:pStyle w:val="nzSectAltHeading"/>
      </w:pPr>
      <w:r>
        <w:rPr>
          <w:b w:val="0"/>
        </w:rPr>
        <w:tab/>
      </w:r>
      <w:r>
        <w:rPr>
          <w:b w:val="0"/>
        </w:rPr>
        <w:tab/>
      </w:r>
      <w:r>
        <w:t>Land tax and metropolitan region improvement tax: survey</w:t>
      </w:r>
      <w:r>
        <w:noBreakHyphen/>
        <w:t>strata schemes</w:t>
      </w:r>
    </w:p>
    <w:p>
      <w:pPr>
        <w:pStyle w:val="nzPermNoteHeading"/>
      </w:pPr>
      <w:r>
        <w:tab/>
        <w:t>Note:</w:t>
      </w:r>
    </w:p>
    <w:p>
      <w:pPr>
        <w:pStyle w:val="nzPermNoteText"/>
      </w:pPr>
      <w:r>
        <w:tab/>
      </w:r>
      <w:r>
        <w:tab/>
        <w:t>Section 65A (as amended) is renumbered as section 74 and relocated to Part 5 Division 4.</w:t>
      </w:r>
    </w:p>
    <w:p>
      <w:pPr>
        <w:pStyle w:val="nzHeading5"/>
      </w:pPr>
      <w:bookmarkStart w:id="609" w:name="_Toc530474329"/>
      <w:bookmarkStart w:id="610" w:name="_Toc530474924"/>
      <w:r>
        <w:rPr>
          <w:rStyle w:val="CharSectno"/>
        </w:rPr>
        <w:t>69</w:t>
      </w:r>
      <w:r>
        <w:t>.</w:t>
      </w:r>
      <w:r>
        <w:tab/>
        <w:t>Section 66 amended</w:t>
      </w:r>
      <w:bookmarkEnd w:id="609"/>
      <w:bookmarkEnd w:id="610"/>
    </w:p>
    <w:p>
      <w:pPr>
        <w:pStyle w:val="nzSubsection"/>
      </w:pPr>
      <w:r>
        <w:tab/>
      </w:r>
      <w:r>
        <w:tab/>
        <w:t>In section 66:</w:t>
      </w:r>
    </w:p>
    <w:p>
      <w:pPr>
        <w:pStyle w:val="nzIndenta"/>
      </w:pPr>
      <w:r>
        <w:tab/>
        <w:t>(a)</w:t>
      </w:r>
      <w:r>
        <w:tab/>
        <w:t>delete “Where</w:t>
      </w:r>
      <w:r>
        <w:rPr>
          <w:snapToGrid w:val="0"/>
        </w:rPr>
        <w:t xml:space="preserve"> in relation to a scheme</w:t>
      </w:r>
      <w:r>
        <w:t>” and insert:</w:t>
      </w:r>
    </w:p>
    <w:p>
      <w:pPr>
        <w:pStyle w:val="BlankOpen"/>
      </w:pPr>
    </w:p>
    <w:p>
      <w:pPr>
        <w:pStyle w:val="nzIndenta"/>
      </w:pPr>
      <w:r>
        <w:tab/>
      </w:r>
      <w:r>
        <w:tab/>
        <w:t xml:space="preserve">If, </w:t>
      </w:r>
      <w:r>
        <w:rPr>
          <w:snapToGrid w:val="0"/>
        </w:rPr>
        <w:t>in relation to a strata titles scheme,</w:t>
      </w:r>
    </w:p>
    <w:p>
      <w:pPr>
        <w:pStyle w:val="BlankClose"/>
      </w:pPr>
    </w:p>
    <w:p>
      <w:pPr>
        <w:pStyle w:val="nzIndenta"/>
      </w:pPr>
      <w:r>
        <w:tab/>
        <w:t>(b)</w:t>
      </w:r>
      <w:r>
        <w:tab/>
        <w:t>delete “as defined” and insert:</w:t>
      </w:r>
    </w:p>
    <w:p>
      <w:pPr>
        <w:pStyle w:val="BlankOpen"/>
      </w:pPr>
    </w:p>
    <w:p>
      <w:pPr>
        <w:pStyle w:val="nzIndenta"/>
      </w:pPr>
      <w:r>
        <w:tab/>
      </w:r>
      <w:r>
        <w:tab/>
        <w:t>within the meaning given</w:t>
      </w:r>
    </w:p>
    <w:p>
      <w:pPr>
        <w:pStyle w:val="BlankClose"/>
      </w:pPr>
    </w:p>
    <w:p>
      <w:pPr>
        <w:pStyle w:val="nzIndenta"/>
      </w:pPr>
      <w:r>
        <w:tab/>
        <w:t>(c)</w:t>
      </w:r>
      <w:r>
        <w:tab/>
        <w:t>delete “one” and insert:</w:t>
      </w:r>
    </w:p>
    <w:p>
      <w:pPr>
        <w:pStyle w:val="BlankOpen"/>
      </w:pPr>
    </w:p>
    <w:p>
      <w:pPr>
        <w:pStyle w:val="nzIndenta"/>
      </w:pPr>
      <w:r>
        <w:tab/>
      </w:r>
      <w:r>
        <w:tab/>
        <w:t>1</w:t>
      </w:r>
    </w:p>
    <w:p>
      <w:pPr>
        <w:pStyle w:val="BlankClose"/>
      </w:pPr>
    </w:p>
    <w:p>
      <w:pPr>
        <w:pStyle w:val="nzIndenta"/>
      </w:pPr>
      <w:r>
        <w:tab/>
        <w:t>(d)</w:t>
      </w:r>
      <w:r>
        <w:tab/>
        <w:t>delete “all the proprietors” and insert:</w:t>
      </w:r>
    </w:p>
    <w:p>
      <w:pPr>
        <w:pStyle w:val="BlankOpen"/>
      </w:pPr>
    </w:p>
    <w:p>
      <w:pPr>
        <w:pStyle w:val="nzIndenta"/>
      </w:pPr>
      <w:r>
        <w:tab/>
      </w:r>
      <w:r>
        <w:tab/>
        <w:t>the parcel</w:t>
      </w:r>
    </w:p>
    <w:p>
      <w:pPr>
        <w:pStyle w:val="BlankClose"/>
      </w:pPr>
    </w:p>
    <w:p>
      <w:pPr>
        <w:pStyle w:val="nzIndenta"/>
      </w:pPr>
      <w:r>
        <w:tab/>
        <w:t>(e)</w:t>
      </w:r>
      <w:r>
        <w:tab/>
        <w:t>delete “proprietor” and insert:</w:t>
      </w:r>
    </w:p>
    <w:p>
      <w:pPr>
        <w:pStyle w:val="BlankOpen"/>
      </w:pPr>
    </w:p>
    <w:p>
      <w:pPr>
        <w:pStyle w:val="nzIndenta"/>
      </w:pPr>
      <w:r>
        <w:tab/>
      </w:r>
      <w:r>
        <w:tab/>
        <w:t>lot</w:t>
      </w:r>
    </w:p>
    <w:p>
      <w:pPr>
        <w:pStyle w:val="BlankClose"/>
      </w:pPr>
    </w:p>
    <w:p>
      <w:pPr>
        <w:pStyle w:val="nzIndenta"/>
      </w:pPr>
      <w:r>
        <w:tab/>
        <w:t>(f)</w:t>
      </w:r>
      <w:r>
        <w:tab/>
        <w:t>delete “any” and insert:</w:t>
      </w:r>
    </w:p>
    <w:p>
      <w:pPr>
        <w:pStyle w:val="BlankOpen"/>
      </w:pPr>
    </w:p>
    <w:p>
      <w:pPr>
        <w:pStyle w:val="nzIndenta"/>
      </w:pPr>
      <w:r>
        <w:tab/>
      </w:r>
      <w:r>
        <w:tab/>
        <w:t>the</w:t>
      </w:r>
    </w:p>
    <w:p>
      <w:pPr>
        <w:pStyle w:val="BlankClose"/>
      </w:pPr>
    </w:p>
    <w:p>
      <w:pPr>
        <w:pStyle w:val="nzIndenta"/>
      </w:pPr>
      <w:r>
        <w:tab/>
        <w:t>(g)</w:t>
      </w:r>
      <w:r>
        <w:tab/>
        <w:t>delete “shall be” and insert:</w:t>
      </w:r>
    </w:p>
    <w:p>
      <w:pPr>
        <w:pStyle w:val="BlankOpen"/>
      </w:pPr>
    </w:p>
    <w:p>
      <w:pPr>
        <w:pStyle w:val="nzIndenta"/>
      </w:pPr>
      <w:r>
        <w:tab/>
      </w:r>
      <w:r>
        <w:tab/>
        <w:t>are</w:t>
      </w:r>
    </w:p>
    <w:p>
      <w:pPr>
        <w:pStyle w:val="BlankClose"/>
      </w:pPr>
    </w:p>
    <w:p>
      <w:pPr>
        <w:pStyle w:val="nzPermNoteHeading"/>
      </w:pPr>
      <w:r>
        <w:tab/>
        <w:t>Note:</w:t>
      </w:r>
    </w:p>
    <w:p>
      <w:pPr>
        <w:pStyle w:val="nzPermNoteText"/>
      </w:pPr>
      <w:r>
        <w:tab/>
      </w:r>
      <w:r>
        <w:tab/>
        <w:t>Section 66 (as amended) is renumbered as section 75 and relocated to Part 5 Division 4.</w:t>
      </w:r>
    </w:p>
    <w:p>
      <w:pPr>
        <w:pStyle w:val="nzHeading5"/>
      </w:pPr>
      <w:bookmarkStart w:id="611" w:name="_Toc530474330"/>
      <w:bookmarkStart w:id="612" w:name="_Toc530474925"/>
      <w:r>
        <w:rPr>
          <w:rStyle w:val="CharSectno"/>
        </w:rPr>
        <w:t>70</w:t>
      </w:r>
      <w:r>
        <w:t>.</w:t>
      </w:r>
      <w:r>
        <w:tab/>
        <w:t>Section 67 amended</w:t>
      </w:r>
      <w:bookmarkEnd w:id="611"/>
      <w:bookmarkEnd w:id="612"/>
    </w:p>
    <w:p>
      <w:pPr>
        <w:pStyle w:val="nzSubsection"/>
      </w:pPr>
      <w:r>
        <w:tab/>
      </w:r>
      <w:r>
        <w:tab/>
        <w:t>In section 67:</w:t>
      </w:r>
    </w:p>
    <w:p>
      <w:pPr>
        <w:pStyle w:val="nzIndenta"/>
      </w:pPr>
      <w:r>
        <w:tab/>
        <w:t>(a)</w:t>
      </w:r>
      <w:r>
        <w:tab/>
        <w:t>in paragraph (a) delete “as defined” and insert:</w:t>
      </w:r>
    </w:p>
    <w:p>
      <w:pPr>
        <w:pStyle w:val="BlankOpen"/>
      </w:pPr>
    </w:p>
    <w:p>
      <w:pPr>
        <w:pStyle w:val="nzIndenta"/>
      </w:pPr>
      <w:r>
        <w:tab/>
      </w:r>
      <w:r>
        <w:tab/>
        <w:t>within the meaning given</w:t>
      </w:r>
    </w:p>
    <w:p>
      <w:pPr>
        <w:pStyle w:val="BlankClose"/>
      </w:pPr>
    </w:p>
    <w:p>
      <w:pPr>
        <w:pStyle w:val="nzIndenta"/>
      </w:pPr>
      <w:r>
        <w:tab/>
        <w:t>(b)</w:t>
      </w:r>
      <w:r>
        <w:tab/>
        <w:t>in paragraph (a) and (b) delete “to be taken” and insert:</w:t>
      </w:r>
    </w:p>
    <w:p>
      <w:pPr>
        <w:pStyle w:val="BlankOpen"/>
      </w:pPr>
    </w:p>
    <w:p>
      <w:pPr>
        <w:pStyle w:val="nzIndenta"/>
      </w:pPr>
      <w:r>
        <w:tab/>
      </w:r>
      <w:r>
        <w:tab/>
        <w:t>taken</w:t>
      </w:r>
    </w:p>
    <w:p>
      <w:pPr>
        <w:pStyle w:val="BlankClose"/>
      </w:pPr>
    </w:p>
    <w:p>
      <w:pPr>
        <w:pStyle w:val="nzPermNoteHeading"/>
      </w:pPr>
      <w:r>
        <w:tab/>
        <w:t>Note:</w:t>
      </w:r>
    </w:p>
    <w:p>
      <w:pPr>
        <w:pStyle w:val="nzPermNoteText"/>
      </w:pPr>
      <w:r>
        <w:tab/>
      </w:r>
      <w:r>
        <w:tab/>
        <w:t>Section 67 (as amended) is renumbered as section 76 and relocated to Part 5 Division 4.</w:t>
      </w:r>
    </w:p>
    <w:p>
      <w:pPr>
        <w:pStyle w:val="nzHeading5"/>
      </w:pPr>
      <w:bookmarkStart w:id="613" w:name="_Toc530474331"/>
      <w:bookmarkStart w:id="614" w:name="_Toc530474926"/>
      <w:r>
        <w:rPr>
          <w:rStyle w:val="CharSectno"/>
        </w:rPr>
        <w:t>71</w:t>
      </w:r>
      <w:r>
        <w:t>.</w:t>
      </w:r>
      <w:r>
        <w:tab/>
        <w:t>Section 122 amended</w:t>
      </w:r>
      <w:bookmarkEnd w:id="613"/>
      <w:bookmarkEnd w:id="614"/>
    </w:p>
    <w:p>
      <w:pPr>
        <w:pStyle w:val="nzSubsection"/>
      </w:pPr>
      <w:r>
        <w:tab/>
        <w:t>(1)</w:t>
      </w:r>
      <w:r>
        <w:tab/>
        <w:t>In section 122(1):</w:t>
      </w:r>
    </w:p>
    <w:p>
      <w:pPr>
        <w:pStyle w:val="nzIndenta"/>
      </w:pPr>
      <w:r>
        <w:tab/>
        <w:t>(a)</w:t>
      </w:r>
      <w:r>
        <w:tab/>
        <w:t>delete “</w:t>
      </w:r>
      <w:r>
        <w:rPr>
          <w:snapToGrid w:val="0"/>
        </w:rPr>
        <w:t>any rights or remedies that a strata company, a proprietor</w:t>
      </w:r>
      <w:r>
        <w:t>” and insert:</w:t>
      </w:r>
    </w:p>
    <w:p>
      <w:pPr>
        <w:pStyle w:val="BlankOpen"/>
      </w:pPr>
    </w:p>
    <w:p>
      <w:pPr>
        <w:pStyle w:val="nzIndenta"/>
      </w:pPr>
      <w:r>
        <w:tab/>
      </w:r>
      <w:r>
        <w:tab/>
        <w:t>rights</w:t>
      </w:r>
      <w:r>
        <w:rPr>
          <w:snapToGrid w:val="0"/>
        </w:rPr>
        <w:t xml:space="preserve"> or remedies that a strata company, an owner</w:t>
      </w:r>
    </w:p>
    <w:p>
      <w:pPr>
        <w:pStyle w:val="BlankClose"/>
      </w:pPr>
    </w:p>
    <w:p>
      <w:pPr>
        <w:pStyle w:val="nzIndenta"/>
      </w:pPr>
      <w:r>
        <w:tab/>
        <w:t>(b)</w:t>
      </w:r>
      <w:r>
        <w:tab/>
        <w:t xml:space="preserve">delete “or </w:t>
      </w:r>
      <w:r>
        <w:rPr>
          <w:snapToGrid w:val="0"/>
        </w:rPr>
        <w:t>an occupier may have in relation to any</w:t>
      </w:r>
      <w:r>
        <w:t>” and insert:</w:t>
      </w:r>
    </w:p>
    <w:p>
      <w:pPr>
        <w:pStyle w:val="BlankOpen"/>
      </w:pPr>
    </w:p>
    <w:p>
      <w:pPr>
        <w:pStyle w:val="nzIndenta"/>
      </w:pPr>
      <w:r>
        <w:tab/>
      </w:r>
      <w:r>
        <w:tab/>
        <w:t>or</w:t>
      </w:r>
      <w:r>
        <w:rPr>
          <w:snapToGrid w:val="0"/>
        </w:rPr>
        <w:t>, an owner of a leasehold scheme or an occupier may have in relation to a</w:t>
      </w:r>
    </w:p>
    <w:p>
      <w:pPr>
        <w:pStyle w:val="BlankClose"/>
      </w:pPr>
    </w:p>
    <w:p>
      <w:pPr>
        <w:pStyle w:val="nzSubsection"/>
      </w:pPr>
      <w:r>
        <w:tab/>
        <w:t>(2)</w:t>
      </w:r>
      <w:r>
        <w:tab/>
        <w:t>In section 122(2):</w:t>
      </w:r>
    </w:p>
    <w:p>
      <w:pPr>
        <w:pStyle w:val="nzIndenta"/>
      </w:pPr>
      <w:r>
        <w:tab/>
        <w:t>(a)</w:t>
      </w:r>
      <w:r>
        <w:tab/>
        <w:t>delete “</w:t>
      </w:r>
      <w:r>
        <w:rPr>
          <w:snapToGrid w:val="0"/>
        </w:rPr>
        <w:t>Where a court in which any proceedings to enforce any</w:t>
      </w:r>
      <w:r>
        <w:t>” and insert:</w:t>
      </w:r>
    </w:p>
    <w:p>
      <w:pPr>
        <w:pStyle w:val="BlankOpen"/>
      </w:pPr>
    </w:p>
    <w:p>
      <w:pPr>
        <w:pStyle w:val="nzIndenta"/>
      </w:pPr>
      <w:r>
        <w:tab/>
      </w:r>
      <w:r>
        <w:tab/>
      </w:r>
      <w:r>
        <w:rPr>
          <w:snapToGrid w:val="0"/>
        </w:rPr>
        <w:t>If a court in which proceedings to enforce</w:t>
      </w:r>
    </w:p>
    <w:p>
      <w:pPr>
        <w:pStyle w:val="BlankClose"/>
      </w:pPr>
    </w:p>
    <w:p>
      <w:pPr>
        <w:pStyle w:val="nzIndenta"/>
      </w:pPr>
      <w:r>
        <w:tab/>
        <w:t>(b)</w:t>
      </w:r>
      <w:r>
        <w:tab/>
        <w:t>delete “</w:t>
      </w:r>
      <w:r>
        <w:rPr>
          <w:snapToGrid w:val="0"/>
        </w:rPr>
        <w:t>Part VI makes adequate provision for the enforcement of those rights or remedies, the court shall</w:t>
      </w:r>
      <w:r>
        <w:t>” and insert:</w:t>
      </w:r>
    </w:p>
    <w:p>
      <w:pPr>
        <w:pStyle w:val="BlankOpen"/>
      </w:pPr>
    </w:p>
    <w:p>
      <w:pPr>
        <w:pStyle w:val="nzIndenta"/>
      </w:pPr>
      <w:r>
        <w:tab/>
      </w:r>
      <w:r>
        <w:tab/>
      </w:r>
      <w:r>
        <w:rPr>
          <w:snapToGrid w:val="0"/>
        </w:rPr>
        <w:t>proceedings under this Act make adequate provision for the enforcement of those rights or remedies, the court must</w:t>
      </w:r>
    </w:p>
    <w:p>
      <w:pPr>
        <w:pStyle w:val="BlankClose"/>
      </w:pPr>
    </w:p>
    <w:p>
      <w:pPr>
        <w:pStyle w:val="nzPermNoteHeading"/>
      </w:pPr>
      <w:r>
        <w:tab/>
        <w:t>Note:</w:t>
      </w:r>
    </w:p>
    <w:p>
      <w:pPr>
        <w:pStyle w:val="nzPermNoteText"/>
      </w:pPr>
      <w:r>
        <w:tab/>
      </w:r>
      <w:r>
        <w:tab/>
        <w:t>Section 122 (as amended) is renumbered as section 211 and relocated to Part 14.</w:t>
      </w:r>
    </w:p>
    <w:p>
      <w:pPr>
        <w:pStyle w:val="nzHeading5"/>
      </w:pPr>
      <w:bookmarkStart w:id="615" w:name="_Toc530474332"/>
      <w:bookmarkStart w:id="616" w:name="_Toc530474927"/>
      <w:r>
        <w:rPr>
          <w:rStyle w:val="CharSectno"/>
        </w:rPr>
        <w:t>72</w:t>
      </w:r>
      <w:r>
        <w:t>.</w:t>
      </w:r>
      <w:r>
        <w:tab/>
        <w:t>Section 122A amended</w:t>
      </w:r>
      <w:bookmarkEnd w:id="615"/>
      <w:bookmarkEnd w:id="616"/>
    </w:p>
    <w:p>
      <w:pPr>
        <w:pStyle w:val="nzSubsection"/>
      </w:pPr>
      <w:r>
        <w:tab/>
        <w:t>(1)</w:t>
      </w:r>
      <w:r>
        <w:tab/>
        <w:t>In section 122A(1) delete the passage that begins with “</w:t>
      </w:r>
      <w:r>
        <w:rPr>
          <w:snapToGrid w:val="0"/>
        </w:rPr>
        <w:t>or re</w:t>
      </w:r>
      <w:r>
        <w:rPr>
          <w:snapToGrid w:val="0"/>
        </w:rPr>
        <w:noBreakHyphen/>
        <w:t xml:space="preserve">subdivided under this Act” and continues until the end of the subsection </w:t>
      </w:r>
      <w:r>
        <w:t>and insert:</w:t>
      </w:r>
    </w:p>
    <w:p>
      <w:pPr>
        <w:pStyle w:val="BlankOpen"/>
      </w:pPr>
    </w:p>
    <w:p>
      <w:pPr>
        <w:pStyle w:val="nzSubsection"/>
      </w:pPr>
      <w:r>
        <w:tab/>
      </w:r>
      <w:r>
        <w:tab/>
      </w:r>
      <w:r>
        <w:rPr>
          <w:snapToGrid w:val="0"/>
        </w:rPr>
        <w:t>by a strata titles scheme if that subdivision would result in there being a caravan park on more than 1 lot, a camping ground on more than 1 lot or a caravan park and camping ground on more than 1 lot.</w:t>
      </w:r>
    </w:p>
    <w:p>
      <w:pPr>
        <w:pStyle w:val="BlankClose"/>
      </w:pPr>
    </w:p>
    <w:p>
      <w:pPr>
        <w:pStyle w:val="nzSubsection"/>
      </w:pPr>
      <w:r>
        <w:tab/>
        <w:t>(2)</w:t>
      </w:r>
      <w:r>
        <w:tab/>
        <w:t>In section 122A(2) delete “</w:t>
      </w:r>
      <w:r>
        <w:rPr>
          <w:snapToGrid w:val="0"/>
        </w:rPr>
        <w:t>re</w:t>
      </w:r>
      <w:r>
        <w:rPr>
          <w:snapToGrid w:val="0"/>
        </w:rPr>
        <w:noBreakHyphen/>
        <w:t>subdivided where that re</w:t>
      </w:r>
      <w:r>
        <w:rPr>
          <w:snapToGrid w:val="0"/>
        </w:rPr>
        <w:noBreakHyphen/>
        <w:t>subdivision would not result in the land being re</w:t>
      </w:r>
      <w:r>
        <w:rPr>
          <w:snapToGrid w:val="0"/>
        </w:rPr>
        <w:noBreakHyphen/>
        <w:t>subdivided</w:t>
      </w:r>
      <w:r>
        <w:t>” and insert:</w:t>
      </w:r>
    </w:p>
    <w:p>
      <w:pPr>
        <w:pStyle w:val="BlankOpen"/>
      </w:pPr>
    </w:p>
    <w:p>
      <w:pPr>
        <w:pStyle w:val="nzSubsection"/>
      </w:pPr>
      <w:r>
        <w:tab/>
      </w:r>
      <w:r>
        <w:tab/>
      </w:r>
      <w:r>
        <w:rPr>
          <w:snapToGrid w:val="0"/>
        </w:rPr>
        <w:t>subdivided by registration of a strata titles scheme if that subdivision would not result in the land being subdivided</w:t>
      </w:r>
    </w:p>
    <w:p>
      <w:pPr>
        <w:pStyle w:val="BlankClose"/>
      </w:pPr>
    </w:p>
    <w:p>
      <w:pPr>
        <w:pStyle w:val="nzSubsection"/>
      </w:pPr>
      <w:r>
        <w:tab/>
        <w:t>(3)</w:t>
      </w:r>
      <w:r>
        <w:tab/>
        <w:t>In section 122A(3) delete “</w:t>
      </w:r>
      <w:r>
        <w:rPr>
          <w:snapToGrid w:val="0"/>
        </w:rPr>
        <w:t xml:space="preserve">meaning as they have for the purposes of the </w:t>
      </w:r>
      <w:r>
        <w:rPr>
          <w:i/>
          <w:snapToGrid w:val="0"/>
        </w:rPr>
        <w:t>Caravan Parks and Camping Grounds Act 1995</w:t>
      </w:r>
      <w:r>
        <w:rPr>
          <w:snapToGrid w:val="0"/>
        </w:rPr>
        <w:t>.</w:t>
      </w:r>
      <w:r>
        <w:t>” and insert:</w:t>
      </w:r>
    </w:p>
    <w:p>
      <w:pPr>
        <w:pStyle w:val="BlankOpen"/>
      </w:pPr>
    </w:p>
    <w:p>
      <w:pPr>
        <w:pStyle w:val="nzSubsection"/>
      </w:pPr>
      <w:r>
        <w:tab/>
      </w:r>
      <w:r>
        <w:tab/>
      </w:r>
      <w:r>
        <w:rPr>
          <w:snapToGrid w:val="0"/>
        </w:rPr>
        <w:t xml:space="preserve">meanings as they have in the </w:t>
      </w:r>
      <w:r>
        <w:rPr>
          <w:i/>
          <w:snapToGrid w:val="0"/>
        </w:rPr>
        <w:t>Caravan Parks and Camping Grounds Act 1995</w:t>
      </w:r>
      <w:r>
        <w:rPr>
          <w:snapToGrid w:val="0"/>
        </w:rPr>
        <w:t xml:space="preserve"> section 5.</w:t>
      </w:r>
    </w:p>
    <w:p>
      <w:pPr>
        <w:pStyle w:val="BlankClose"/>
      </w:pPr>
    </w:p>
    <w:p>
      <w:pPr>
        <w:pStyle w:val="nzPermNoteHeading"/>
      </w:pPr>
      <w:r>
        <w:tab/>
        <w:t>Note:</w:t>
      </w:r>
    </w:p>
    <w:p>
      <w:pPr>
        <w:pStyle w:val="nzPermNoteText"/>
      </w:pPr>
      <w:r>
        <w:tab/>
      </w:r>
      <w:r>
        <w:tab/>
        <w:t>Section 122A (as amended) is renumbered as section 212 and relocated to Part 14.</w:t>
      </w:r>
    </w:p>
    <w:p>
      <w:pPr>
        <w:pStyle w:val="nzHeading5"/>
      </w:pPr>
      <w:bookmarkStart w:id="617" w:name="_Toc530474333"/>
      <w:bookmarkStart w:id="618" w:name="_Toc530474928"/>
      <w:r>
        <w:rPr>
          <w:rStyle w:val="CharSectno"/>
        </w:rPr>
        <w:t>73</w:t>
      </w:r>
      <w:r>
        <w:t>.</w:t>
      </w:r>
      <w:r>
        <w:tab/>
        <w:t>Section 123 amended</w:t>
      </w:r>
      <w:bookmarkEnd w:id="617"/>
      <w:bookmarkEnd w:id="618"/>
    </w:p>
    <w:p>
      <w:pPr>
        <w:pStyle w:val="nzSubsection"/>
      </w:pPr>
      <w:r>
        <w:tab/>
        <w:t>(1)</w:t>
      </w:r>
      <w:r>
        <w:tab/>
        <w:t>In section 123(1) after “land in a” insert:</w:t>
      </w:r>
    </w:p>
    <w:p>
      <w:pPr>
        <w:pStyle w:val="BlankOpen"/>
      </w:pPr>
    </w:p>
    <w:p>
      <w:pPr>
        <w:pStyle w:val="nzSubsection"/>
      </w:pPr>
      <w:r>
        <w:tab/>
      </w:r>
      <w:r>
        <w:tab/>
      </w:r>
      <w:r>
        <w:rPr>
          <w:snapToGrid w:val="0"/>
        </w:rPr>
        <w:t>strata titles</w:t>
      </w:r>
    </w:p>
    <w:p>
      <w:pPr>
        <w:pStyle w:val="BlankClose"/>
      </w:pPr>
    </w:p>
    <w:p>
      <w:pPr>
        <w:pStyle w:val="nzSubsection"/>
      </w:pPr>
      <w:r>
        <w:tab/>
        <w:t>(2)</w:t>
      </w:r>
      <w:r>
        <w:tab/>
        <w:t>Delete section 123(2) to (4) and insert:</w:t>
      </w:r>
    </w:p>
    <w:p>
      <w:pPr>
        <w:pStyle w:val="BlankOpen"/>
      </w:pPr>
    </w:p>
    <w:p>
      <w:pPr>
        <w:pStyle w:val="nz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nz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nzIndenta"/>
        <w:rPr>
          <w:snapToGrid w:val="0"/>
        </w:rPr>
      </w:pPr>
      <w:r>
        <w:rPr>
          <w:snapToGrid w:val="0"/>
        </w:rPr>
        <w:tab/>
        <w:t>(a)</w:t>
      </w:r>
      <w:r>
        <w:rPr>
          <w:snapToGrid w:val="0"/>
        </w:rPr>
        <w:tab/>
        <w:t>in the case of a lot, the owner of the lot; and</w:t>
      </w:r>
    </w:p>
    <w:p>
      <w:pPr>
        <w:pStyle w:val="nz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nz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nzSubsection"/>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BlankClose"/>
      </w:pPr>
    </w:p>
    <w:p>
      <w:pPr>
        <w:pStyle w:val="nzPermNoteHeading"/>
      </w:pPr>
      <w:r>
        <w:tab/>
        <w:t>Note:</w:t>
      </w:r>
    </w:p>
    <w:p>
      <w:pPr>
        <w:pStyle w:val="nzPermNoteText"/>
      </w:pPr>
      <w:r>
        <w:tab/>
      </w:r>
      <w:r>
        <w:tab/>
        <w:t>Section 123 (as amended) is renumbered as section 213 and relocated to Part 14.</w:t>
      </w:r>
    </w:p>
    <w:p>
      <w:pPr>
        <w:pStyle w:val="nzHeading5"/>
      </w:pPr>
      <w:bookmarkStart w:id="619" w:name="_Toc530474334"/>
      <w:bookmarkStart w:id="620" w:name="_Toc530474929"/>
      <w:r>
        <w:rPr>
          <w:rStyle w:val="CharSectno"/>
        </w:rPr>
        <w:t>74</w:t>
      </w:r>
      <w:r>
        <w:t>.</w:t>
      </w:r>
      <w:r>
        <w:tab/>
        <w:t>Section 123B amended</w:t>
      </w:r>
      <w:bookmarkEnd w:id="619"/>
      <w:bookmarkEnd w:id="620"/>
    </w:p>
    <w:p>
      <w:pPr>
        <w:pStyle w:val="nzSubsection"/>
      </w:pPr>
      <w:r>
        <w:tab/>
        <w:t>(1)</w:t>
      </w:r>
      <w:r>
        <w:tab/>
        <w:t>In section 123B(1):</w:t>
      </w:r>
    </w:p>
    <w:p>
      <w:pPr>
        <w:pStyle w:val="nzIndenta"/>
      </w:pPr>
      <w:r>
        <w:tab/>
        <w:t>(a)</w:t>
      </w:r>
      <w:r>
        <w:tab/>
        <w:t>delete “and a single tier strata scheme”;</w:t>
      </w:r>
    </w:p>
    <w:p>
      <w:pPr>
        <w:pStyle w:val="nzIndenta"/>
      </w:pPr>
      <w:r>
        <w:tab/>
        <w:t>(b)</w:t>
      </w:r>
      <w:r>
        <w:tab/>
        <w:t>in paragraph (b) delete “a proprietor” and insert:</w:t>
      </w:r>
    </w:p>
    <w:p>
      <w:pPr>
        <w:pStyle w:val="BlankOpen"/>
      </w:pPr>
    </w:p>
    <w:p>
      <w:pPr>
        <w:pStyle w:val="nzIndenta"/>
      </w:pPr>
      <w:r>
        <w:tab/>
      </w:r>
      <w:r>
        <w:tab/>
      </w:r>
      <w:r>
        <w:rPr>
          <w:snapToGrid w:val="0"/>
        </w:rPr>
        <w:t>an owner</w:t>
      </w:r>
    </w:p>
    <w:p>
      <w:pPr>
        <w:pStyle w:val="BlankClose"/>
      </w:pPr>
    </w:p>
    <w:p>
      <w:pPr>
        <w:pStyle w:val="nzSubsection"/>
      </w:pPr>
      <w:r>
        <w:tab/>
        <w:t>(2)</w:t>
      </w:r>
      <w:r>
        <w:tab/>
        <w:t>Delete section 123B(2) and insert:</w:t>
      </w:r>
    </w:p>
    <w:p>
      <w:pPr>
        <w:pStyle w:val="BlankOpen"/>
      </w:pPr>
    </w:p>
    <w:p>
      <w:pPr>
        <w:pStyle w:val="nz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nzSubsection"/>
        <w:rPr>
          <w:snapToGrid w:val="0"/>
        </w:rPr>
      </w:pPr>
      <w:r>
        <w:rPr>
          <w:snapToGrid w:val="0"/>
        </w:rPr>
        <w:tab/>
        <w:t>(3)</w:t>
      </w:r>
      <w:r>
        <w:rPr>
          <w:snapToGrid w:val="0"/>
        </w:rPr>
        <w:tab/>
        <w:t>This section has effect subject to the scheme by</w:t>
      </w:r>
      <w:r>
        <w:rPr>
          <w:snapToGrid w:val="0"/>
        </w:rPr>
        <w:noBreakHyphen/>
        <w:t>laws.</w:t>
      </w:r>
    </w:p>
    <w:p>
      <w:pPr>
        <w:pStyle w:val="BlankClose"/>
      </w:pPr>
    </w:p>
    <w:p>
      <w:pPr>
        <w:pStyle w:val="nzPermNoteHeading"/>
      </w:pPr>
      <w:r>
        <w:tab/>
        <w:t>Note:</w:t>
      </w:r>
    </w:p>
    <w:p>
      <w:pPr>
        <w:pStyle w:val="nzPermNoteText"/>
      </w:pPr>
      <w:r>
        <w:tab/>
      </w:r>
      <w:r>
        <w:tab/>
        <w:t>Section 123B (as amended) is renumbered as section 214 and relocated to Part 14.</w:t>
      </w:r>
    </w:p>
    <w:p>
      <w:pPr>
        <w:pStyle w:val="nzHeading5"/>
      </w:pPr>
      <w:bookmarkStart w:id="621" w:name="_Toc530474335"/>
      <w:bookmarkStart w:id="622" w:name="_Toc530474930"/>
      <w:r>
        <w:rPr>
          <w:rStyle w:val="CharSectno"/>
        </w:rPr>
        <w:t>75</w:t>
      </w:r>
      <w:r>
        <w:t>.</w:t>
      </w:r>
      <w:r>
        <w:tab/>
        <w:t>Section 124 amended</w:t>
      </w:r>
      <w:bookmarkEnd w:id="621"/>
      <w:bookmarkEnd w:id="622"/>
    </w:p>
    <w:p>
      <w:pPr>
        <w:pStyle w:val="nzSubsection"/>
      </w:pPr>
      <w:r>
        <w:tab/>
        <w:t>(1)</w:t>
      </w:r>
      <w:r>
        <w:tab/>
        <w:t>In section 124(1) delete “</w:t>
      </w:r>
      <w:r>
        <w:rPr>
          <w:snapToGrid w:val="0"/>
        </w:rPr>
        <w:t>District Court may, in respect of any proceedings on an application for an order under section 28, 29 or 31,</w:t>
      </w:r>
      <w:r>
        <w:t>” and insert:</w:t>
      </w:r>
    </w:p>
    <w:p>
      <w:pPr>
        <w:pStyle w:val="BlankOpen"/>
      </w:pPr>
    </w:p>
    <w:p>
      <w:pPr>
        <w:pStyle w:val="nzSubsection"/>
      </w:pPr>
      <w:r>
        <w:tab/>
      </w:r>
      <w:r>
        <w:tab/>
      </w:r>
      <w:r>
        <w:rPr>
          <w:snapToGrid w:val="0"/>
        </w:rPr>
        <w:t>Tribunal may, in proceedings on an application for an order under section 166, 167 or 168,</w:t>
      </w:r>
    </w:p>
    <w:p>
      <w:pPr>
        <w:pStyle w:val="BlankClose"/>
      </w:pPr>
    </w:p>
    <w:p>
      <w:pPr>
        <w:pStyle w:val="nzSubsection"/>
      </w:pPr>
      <w:r>
        <w:tab/>
        <w:t>(2)</w:t>
      </w:r>
      <w:r>
        <w:tab/>
        <w:t>In section 124(2):</w:t>
      </w:r>
    </w:p>
    <w:p>
      <w:pPr>
        <w:pStyle w:val="nzIndenta"/>
      </w:pPr>
      <w:r>
        <w:tab/>
        <w:t>(a)</w:t>
      </w:r>
      <w:r>
        <w:tab/>
        <w:t>delete “</w:t>
      </w:r>
      <w:r>
        <w:rPr>
          <w:snapToGrid w:val="0"/>
        </w:rPr>
        <w:t>rules of court, the District Court shall not make an order referred to in subsection (1)(b) in respect of any person unless the District Court</w:t>
      </w:r>
      <w:r>
        <w:t>” and insert:</w:t>
      </w:r>
    </w:p>
    <w:p>
      <w:pPr>
        <w:pStyle w:val="BlankOpen"/>
      </w:pPr>
    </w:p>
    <w:p>
      <w:pPr>
        <w:pStyle w:val="nzIndenta"/>
      </w:pPr>
      <w:r>
        <w:tab/>
      </w:r>
      <w:r>
        <w:tab/>
      </w:r>
      <w:r>
        <w:rPr>
          <w:snapToGrid w:val="0"/>
        </w:rPr>
        <w:t>the rules of the Tribunal, the Tribunal must not make an order referred to in subsection (1)(b) in respect of a person unless the Tribunal</w:t>
      </w:r>
    </w:p>
    <w:p>
      <w:pPr>
        <w:pStyle w:val="BlankClose"/>
      </w:pPr>
    </w:p>
    <w:p>
      <w:pPr>
        <w:pStyle w:val="nzIndenta"/>
      </w:pPr>
      <w:r>
        <w:tab/>
        <w:t>(b)</w:t>
      </w:r>
      <w:r>
        <w:tab/>
        <w:t>in paragraph (c) delete “upon” and insert:</w:t>
      </w:r>
    </w:p>
    <w:p>
      <w:pPr>
        <w:pStyle w:val="BlankOpen"/>
      </w:pPr>
    </w:p>
    <w:p>
      <w:pPr>
        <w:pStyle w:val="nzIndenta"/>
      </w:pPr>
      <w:r>
        <w:tab/>
      </w:r>
      <w:r>
        <w:tab/>
      </w:r>
      <w:r>
        <w:rPr>
          <w:snapToGrid w:val="0"/>
        </w:rPr>
        <w:t>on</w:t>
      </w:r>
    </w:p>
    <w:p>
      <w:pPr>
        <w:pStyle w:val="BlankClose"/>
        <w:keepNext/>
      </w:pPr>
    </w:p>
    <w:p>
      <w:pPr>
        <w:pStyle w:val="nzIndenta"/>
      </w:pPr>
      <w:r>
        <w:tab/>
        <w:t>(c)</w:t>
      </w:r>
      <w:r>
        <w:tab/>
        <w:t>in paragraph (c) delete “his” and insert:</w:t>
      </w:r>
    </w:p>
    <w:p>
      <w:pPr>
        <w:pStyle w:val="BlankOpen"/>
      </w:pPr>
    </w:p>
    <w:p>
      <w:pPr>
        <w:pStyle w:val="nzIndenta"/>
      </w:pPr>
      <w:r>
        <w:tab/>
      </w:r>
      <w:r>
        <w:tab/>
      </w:r>
      <w:r>
        <w:rPr>
          <w:snapToGrid w:val="0"/>
        </w:rPr>
        <w:t>the person’s</w:t>
      </w:r>
    </w:p>
    <w:p>
      <w:pPr>
        <w:pStyle w:val="BlankClose"/>
      </w:pPr>
    </w:p>
    <w:p>
      <w:pPr>
        <w:pStyle w:val="nzSectAltNote"/>
      </w:pPr>
      <w:r>
        <w:tab/>
        <w:t>Note:</w:t>
      </w:r>
      <w:r>
        <w:tab/>
        <w:t>The heading to amended section 124 is to read:</w:t>
      </w:r>
    </w:p>
    <w:p>
      <w:pPr>
        <w:pStyle w:val="nzSectAltHeading"/>
        <w:rPr>
          <w:snapToGrid w:val="0"/>
        </w:rPr>
      </w:pPr>
      <w:r>
        <w:tab/>
      </w:r>
      <w:r>
        <w:tab/>
      </w:r>
      <w:r>
        <w:rPr>
          <w:snapToGrid w:val="0"/>
        </w:rPr>
        <w:t>Notice of application for order under section 166, 167 or 168</w:t>
      </w:r>
    </w:p>
    <w:p>
      <w:pPr>
        <w:pStyle w:val="nzPermNoteHeading"/>
      </w:pPr>
      <w:r>
        <w:tab/>
        <w:t>Note:</w:t>
      </w:r>
    </w:p>
    <w:p>
      <w:pPr>
        <w:pStyle w:val="nzPermNoteText"/>
      </w:pPr>
      <w:r>
        <w:tab/>
      </w:r>
      <w:r>
        <w:tab/>
        <w:t>Section 124 (as amended) is renumbered as section 170 and relocated to Part 11 Division 3.</w:t>
      </w:r>
    </w:p>
    <w:p>
      <w:pPr>
        <w:pStyle w:val="nzHeading5"/>
      </w:pPr>
      <w:bookmarkStart w:id="623" w:name="_Toc530474336"/>
      <w:bookmarkStart w:id="624" w:name="_Toc530474931"/>
      <w:r>
        <w:rPr>
          <w:rStyle w:val="CharSectno"/>
        </w:rPr>
        <w:t>76</w:t>
      </w:r>
      <w:r>
        <w:t>.</w:t>
      </w:r>
      <w:r>
        <w:tab/>
        <w:t>Section 126 amended</w:t>
      </w:r>
      <w:bookmarkEnd w:id="623"/>
      <w:bookmarkEnd w:id="624"/>
    </w:p>
    <w:p>
      <w:pPr>
        <w:pStyle w:val="nzSubsection"/>
      </w:pPr>
      <w:r>
        <w:tab/>
      </w:r>
      <w:r>
        <w:tab/>
        <w:t>In section 126 delete “</w:t>
      </w:r>
      <w:r>
        <w:rPr>
          <w:snapToGrid w:val="0"/>
        </w:rPr>
        <w:t>public authority or local government which is authorised by any Act to enter upon part of a parcel for the purpose of exercising any power conferred on it may enter upon</w:t>
      </w:r>
      <w:r>
        <w:t>” and insert:</w:t>
      </w:r>
    </w:p>
    <w:p>
      <w:pPr>
        <w:pStyle w:val="BlankOpen"/>
      </w:pPr>
    </w:p>
    <w:p>
      <w:pPr>
        <w:pStyle w:val="nzSubsection"/>
      </w:pPr>
      <w:r>
        <w:tab/>
      </w:r>
      <w:r>
        <w:tab/>
      </w:r>
      <w:r>
        <w:rPr>
          <w:snapToGrid w:val="0"/>
        </w:rPr>
        <w:t>person who is authorised under a written law to enter on part of a parcel for the purpose of exercising a power conferred on the person may enter on</w:t>
      </w:r>
    </w:p>
    <w:p>
      <w:pPr>
        <w:pStyle w:val="BlankClose"/>
      </w:pPr>
    </w:p>
    <w:p>
      <w:pPr>
        <w:pStyle w:val="nzSectAltNote"/>
      </w:pPr>
      <w:r>
        <w:tab/>
        <w:t>Note:</w:t>
      </w:r>
      <w:r>
        <w:tab/>
        <w:t>The heading to amended 126 is to read:</w:t>
      </w:r>
    </w:p>
    <w:p>
      <w:pPr>
        <w:pStyle w:val="nzSectAltHeading"/>
      </w:pPr>
      <w:r>
        <w:rPr>
          <w:b w:val="0"/>
        </w:rPr>
        <w:tab/>
      </w:r>
      <w:r>
        <w:rPr>
          <w:b w:val="0"/>
        </w:rPr>
        <w:tab/>
      </w:r>
      <w:r>
        <w:t>Powers of entry under written laws</w:t>
      </w:r>
    </w:p>
    <w:p>
      <w:pPr>
        <w:pStyle w:val="nzPermNoteHeading"/>
      </w:pPr>
      <w:r>
        <w:tab/>
        <w:t>Note:</w:t>
      </w:r>
    </w:p>
    <w:p>
      <w:pPr>
        <w:pStyle w:val="nzPermNoteText"/>
      </w:pPr>
      <w:r>
        <w:tab/>
      </w:r>
      <w:r>
        <w:tab/>
        <w:t>Section 126 (as amended) is renumbered as section 217 and relocated to Part 14.</w:t>
      </w:r>
    </w:p>
    <w:p>
      <w:pPr>
        <w:pStyle w:val="nzHeading5"/>
      </w:pPr>
      <w:bookmarkStart w:id="625" w:name="_Toc530474337"/>
      <w:bookmarkStart w:id="626" w:name="_Toc530474932"/>
      <w:r>
        <w:rPr>
          <w:rStyle w:val="CharSectno"/>
        </w:rPr>
        <w:t>77</w:t>
      </w:r>
      <w:r>
        <w:t>.</w:t>
      </w:r>
      <w:r>
        <w:tab/>
        <w:t>Section 129B amended</w:t>
      </w:r>
      <w:bookmarkEnd w:id="625"/>
      <w:bookmarkEnd w:id="626"/>
    </w:p>
    <w:p>
      <w:pPr>
        <w:pStyle w:val="nzSubsection"/>
      </w:pPr>
      <w:r>
        <w:tab/>
        <w:t>(1)</w:t>
      </w:r>
      <w:r>
        <w:tab/>
        <w:t>In section 129B(1) delete “power that section 129A gives the Commissioner to any other” and insert:</w:t>
      </w:r>
    </w:p>
    <w:p>
      <w:pPr>
        <w:pStyle w:val="BlankOpen"/>
      </w:pPr>
    </w:p>
    <w:p>
      <w:pPr>
        <w:pStyle w:val="nzSubsection"/>
      </w:pPr>
      <w:r>
        <w:tab/>
      </w:r>
      <w:r>
        <w:tab/>
        <w:t>Commissioner’s functions under section 218 to a</w:t>
      </w:r>
    </w:p>
    <w:p>
      <w:pPr>
        <w:pStyle w:val="BlankClose"/>
      </w:pPr>
    </w:p>
    <w:p>
      <w:pPr>
        <w:pStyle w:val="nzSubsection"/>
      </w:pPr>
      <w:r>
        <w:tab/>
        <w:t>(2)</w:t>
      </w:r>
      <w:r>
        <w:tab/>
        <w:t>In section 129B(2) delete “Commissioner.” insert:</w:t>
      </w:r>
    </w:p>
    <w:p>
      <w:pPr>
        <w:pStyle w:val="BlankOpen"/>
      </w:pPr>
    </w:p>
    <w:p>
      <w:pPr>
        <w:pStyle w:val="nzSubsection"/>
      </w:pPr>
      <w:r>
        <w:tab/>
      </w:r>
      <w:r>
        <w:tab/>
        <w:t>Commissioner of Titles.</w:t>
      </w:r>
    </w:p>
    <w:p>
      <w:pPr>
        <w:pStyle w:val="BlankClose"/>
      </w:pPr>
    </w:p>
    <w:p>
      <w:pPr>
        <w:pStyle w:val="nzSubsection"/>
      </w:pPr>
      <w:r>
        <w:tab/>
        <w:t>(3)</w:t>
      </w:r>
      <w:r>
        <w:tab/>
        <w:t>In section 129B(3):</w:t>
      </w:r>
    </w:p>
    <w:p>
      <w:pPr>
        <w:pStyle w:val="nzIndenta"/>
      </w:pPr>
      <w:r>
        <w:tab/>
        <w:t>(a)</w:t>
      </w:r>
      <w:r>
        <w:tab/>
        <w:t>delete “power or duty” and insert:</w:t>
      </w:r>
    </w:p>
    <w:p>
      <w:pPr>
        <w:pStyle w:val="BlankOpen"/>
      </w:pPr>
    </w:p>
    <w:p>
      <w:pPr>
        <w:pStyle w:val="nzIndenta"/>
      </w:pPr>
      <w:r>
        <w:tab/>
      </w:r>
      <w:r>
        <w:tab/>
        <w:t>function</w:t>
      </w:r>
    </w:p>
    <w:p>
      <w:pPr>
        <w:pStyle w:val="BlankClose"/>
      </w:pPr>
    </w:p>
    <w:p>
      <w:pPr>
        <w:pStyle w:val="nzIndenta"/>
      </w:pPr>
      <w:r>
        <w:tab/>
        <w:t>(b)</w:t>
      </w:r>
      <w:r>
        <w:tab/>
        <w:t>delete “power or duty.” and insert:</w:t>
      </w:r>
    </w:p>
    <w:p>
      <w:pPr>
        <w:pStyle w:val="BlankOpen"/>
      </w:pPr>
    </w:p>
    <w:p>
      <w:pPr>
        <w:pStyle w:val="nzIndenta"/>
      </w:pPr>
      <w:r>
        <w:tab/>
      </w:r>
      <w:r>
        <w:tab/>
        <w:t>function.</w:t>
      </w:r>
    </w:p>
    <w:p>
      <w:pPr>
        <w:pStyle w:val="BlankClose"/>
      </w:pPr>
    </w:p>
    <w:p>
      <w:pPr>
        <w:pStyle w:val="nzSubsection"/>
      </w:pPr>
      <w:r>
        <w:tab/>
        <w:t>(4)</w:t>
      </w:r>
      <w:r>
        <w:tab/>
        <w:t>In section 129B(4) delete “exercising or performing a power or duty that has been delegated to the person under this section is to be” and insert:</w:t>
      </w:r>
    </w:p>
    <w:p>
      <w:pPr>
        <w:pStyle w:val="BlankOpen"/>
      </w:pPr>
    </w:p>
    <w:p>
      <w:pPr>
        <w:pStyle w:val="nzSubsection"/>
      </w:pPr>
      <w:r>
        <w:tab/>
      </w:r>
      <w:r>
        <w:tab/>
        <w:t>performing a function that has been delegated to the person under this section is</w:t>
      </w:r>
    </w:p>
    <w:p>
      <w:pPr>
        <w:pStyle w:val="BlankClose"/>
      </w:pPr>
    </w:p>
    <w:p>
      <w:pPr>
        <w:pStyle w:val="nzSubsection"/>
      </w:pPr>
      <w:r>
        <w:tab/>
        <w:t>(5)</w:t>
      </w:r>
      <w:r>
        <w:tab/>
        <w:t>In section 129B(5) after “Commissioner” insert:</w:t>
      </w:r>
    </w:p>
    <w:p>
      <w:pPr>
        <w:pStyle w:val="BlankOpen"/>
      </w:pPr>
    </w:p>
    <w:p>
      <w:pPr>
        <w:pStyle w:val="nzSubsection"/>
      </w:pPr>
      <w:r>
        <w:tab/>
      </w:r>
      <w:r>
        <w:tab/>
        <w:t>of Titles</w:t>
      </w:r>
    </w:p>
    <w:p>
      <w:pPr>
        <w:pStyle w:val="BlankClose"/>
      </w:pPr>
    </w:p>
    <w:p>
      <w:pPr>
        <w:pStyle w:val="nzSubsection"/>
      </w:pPr>
      <w:r>
        <w:tab/>
        <w:t>(6)</w:t>
      </w:r>
      <w:r>
        <w:tab/>
        <w:t>Delete section 129B(6).</w:t>
      </w:r>
    </w:p>
    <w:p>
      <w:pPr>
        <w:pStyle w:val="nzPermNoteHeading"/>
      </w:pPr>
      <w:r>
        <w:tab/>
        <w:t>Note:</w:t>
      </w:r>
    </w:p>
    <w:p>
      <w:pPr>
        <w:pStyle w:val="nzPermNoteText"/>
      </w:pPr>
      <w:r>
        <w:tab/>
      </w:r>
      <w:r>
        <w:tab/>
        <w:t>Section 129B (as amended) is renumbered as section 219 and relocated to Part 14.</w:t>
      </w:r>
    </w:p>
    <w:p>
      <w:pPr>
        <w:pStyle w:val="nzHeading5"/>
      </w:pPr>
      <w:bookmarkStart w:id="627" w:name="_Toc530474338"/>
      <w:bookmarkStart w:id="628" w:name="_Toc530474933"/>
      <w:r>
        <w:rPr>
          <w:rStyle w:val="CharSectno"/>
        </w:rPr>
        <w:t>78</w:t>
      </w:r>
      <w:r>
        <w:t>.</w:t>
      </w:r>
      <w:r>
        <w:tab/>
        <w:t>Section 129C amended</w:t>
      </w:r>
      <w:bookmarkEnd w:id="627"/>
      <w:bookmarkEnd w:id="628"/>
    </w:p>
    <w:p>
      <w:pPr>
        <w:pStyle w:val="nzSubsection"/>
      </w:pPr>
      <w:r>
        <w:tab/>
        <w:t>(1)</w:t>
      </w:r>
      <w:r>
        <w:tab/>
        <w:t>In section 129C(1) delete “any power or duty of the Registrar under another provision o</w:t>
      </w:r>
      <w:r>
        <w:rPr>
          <w:snapToGrid w:val="0"/>
          <w:spacing w:val="40"/>
        </w:rPr>
        <w:t>f</w:t>
      </w:r>
      <w:r>
        <w:t>” and insert:</w:t>
      </w:r>
    </w:p>
    <w:p>
      <w:pPr>
        <w:pStyle w:val="BlankOpen"/>
      </w:pPr>
    </w:p>
    <w:p>
      <w:pPr>
        <w:pStyle w:val="nzSubsection"/>
      </w:pPr>
      <w:r>
        <w:tab/>
      </w:r>
      <w:r>
        <w:tab/>
        <w:t>a function of the Registrar under</w:t>
      </w:r>
    </w:p>
    <w:p>
      <w:pPr>
        <w:pStyle w:val="BlankClose"/>
      </w:pPr>
    </w:p>
    <w:p>
      <w:pPr>
        <w:pStyle w:val="nzSubsection"/>
      </w:pPr>
      <w:r>
        <w:tab/>
        <w:t>(2)</w:t>
      </w:r>
      <w:r>
        <w:tab/>
        <w:t>In section 129C(2) delete “Registrar.” insert:</w:t>
      </w:r>
    </w:p>
    <w:p>
      <w:pPr>
        <w:pStyle w:val="BlankOpen"/>
      </w:pPr>
    </w:p>
    <w:p>
      <w:pPr>
        <w:pStyle w:val="nzSubsection"/>
      </w:pPr>
      <w:r>
        <w:tab/>
      </w:r>
      <w:r>
        <w:tab/>
        <w:t>Registrar of Titles.</w:t>
      </w:r>
    </w:p>
    <w:p>
      <w:pPr>
        <w:pStyle w:val="BlankClose"/>
      </w:pPr>
    </w:p>
    <w:p>
      <w:pPr>
        <w:pStyle w:val="nzSubsection"/>
      </w:pPr>
      <w:r>
        <w:tab/>
        <w:t>(3)</w:t>
      </w:r>
      <w:r>
        <w:tab/>
        <w:t>In section 129C(3):</w:t>
      </w:r>
    </w:p>
    <w:p>
      <w:pPr>
        <w:pStyle w:val="nzIndenta"/>
      </w:pPr>
      <w:r>
        <w:tab/>
        <w:t>(a)</w:t>
      </w:r>
      <w:r>
        <w:tab/>
        <w:t>delete “power or duty” and insert:</w:t>
      </w:r>
    </w:p>
    <w:p>
      <w:pPr>
        <w:pStyle w:val="BlankOpen"/>
      </w:pPr>
    </w:p>
    <w:p>
      <w:pPr>
        <w:pStyle w:val="nzIndenta"/>
      </w:pPr>
      <w:r>
        <w:tab/>
      </w:r>
      <w:r>
        <w:tab/>
        <w:t>function</w:t>
      </w:r>
    </w:p>
    <w:p>
      <w:pPr>
        <w:pStyle w:val="BlankClose"/>
      </w:pPr>
    </w:p>
    <w:p>
      <w:pPr>
        <w:pStyle w:val="nzIndenta"/>
      </w:pPr>
      <w:r>
        <w:tab/>
        <w:t>(b)</w:t>
      </w:r>
      <w:r>
        <w:tab/>
        <w:t>delete “power or duty.” and insert:</w:t>
      </w:r>
    </w:p>
    <w:p>
      <w:pPr>
        <w:pStyle w:val="BlankOpen"/>
      </w:pPr>
    </w:p>
    <w:p>
      <w:pPr>
        <w:pStyle w:val="nzIndenta"/>
      </w:pPr>
      <w:r>
        <w:tab/>
      </w:r>
      <w:r>
        <w:tab/>
        <w:t>function.</w:t>
      </w:r>
    </w:p>
    <w:p>
      <w:pPr>
        <w:pStyle w:val="BlankClose"/>
      </w:pPr>
    </w:p>
    <w:p>
      <w:pPr>
        <w:pStyle w:val="nzSubsection"/>
      </w:pPr>
      <w:r>
        <w:tab/>
        <w:t>(4)</w:t>
      </w:r>
      <w:r>
        <w:tab/>
        <w:t>In section 129C(4) delete “exercising or performing a power or duty that has been delegated to the person under this section is to be” and insert:</w:t>
      </w:r>
    </w:p>
    <w:p>
      <w:pPr>
        <w:pStyle w:val="BlankOpen"/>
      </w:pPr>
    </w:p>
    <w:p>
      <w:pPr>
        <w:pStyle w:val="nzSubsection"/>
      </w:pPr>
      <w:r>
        <w:tab/>
      </w:r>
      <w:r>
        <w:tab/>
        <w:t>performing a function that has been delegated to the person under this section is</w:t>
      </w:r>
    </w:p>
    <w:p>
      <w:pPr>
        <w:pStyle w:val="BlankClose"/>
      </w:pPr>
    </w:p>
    <w:p>
      <w:pPr>
        <w:pStyle w:val="nzSubsection"/>
      </w:pPr>
      <w:r>
        <w:tab/>
        <w:t>(5)</w:t>
      </w:r>
      <w:r>
        <w:tab/>
        <w:t>In section 129C(5) after “Registrar” insert:</w:t>
      </w:r>
    </w:p>
    <w:p>
      <w:pPr>
        <w:pStyle w:val="BlankOpen"/>
      </w:pPr>
    </w:p>
    <w:p>
      <w:pPr>
        <w:pStyle w:val="nzSubsection"/>
      </w:pPr>
      <w:r>
        <w:tab/>
      </w:r>
      <w:r>
        <w:tab/>
        <w:t>of Titles</w:t>
      </w:r>
    </w:p>
    <w:p>
      <w:pPr>
        <w:pStyle w:val="BlankClose"/>
      </w:pPr>
    </w:p>
    <w:p>
      <w:pPr>
        <w:pStyle w:val="nzSubsection"/>
      </w:pPr>
      <w:r>
        <w:tab/>
        <w:t>(6)</w:t>
      </w:r>
      <w:r>
        <w:tab/>
        <w:t>Delete section 129C(6).</w:t>
      </w:r>
    </w:p>
    <w:p>
      <w:pPr>
        <w:pStyle w:val="nzPermNoteHeading"/>
      </w:pPr>
      <w:r>
        <w:tab/>
        <w:t>Note:</w:t>
      </w:r>
    </w:p>
    <w:p>
      <w:pPr>
        <w:pStyle w:val="nzPermNoteText"/>
      </w:pPr>
      <w:r>
        <w:tab/>
      </w:r>
      <w:r>
        <w:tab/>
        <w:t>Section 129C (as amended) is renumbered as section 220 and relocated to Part 14.</w:t>
      </w:r>
    </w:p>
    <w:p>
      <w:pPr>
        <w:pStyle w:val="nzHeading5"/>
      </w:pPr>
      <w:bookmarkStart w:id="629" w:name="_Toc530474339"/>
      <w:bookmarkStart w:id="630" w:name="_Toc530474934"/>
      <w:r>
        <w:rPr>
          <w:rStyle w:val="CharSectno"/>
        </w:rPr>
        <w:t>79</w:t>
      </w:r>
      <w:r>
        <w:t>.</w:t>
      </w:r>
      <w:r>
        <w:tab/>
        <w:t>Section 130 amended</w:t>
      </w:r>
      <w:bookmarkEnd w:id="629"/>
      <w:bookmarkEnd w:id="630"/>
    </w:p>
    <w:p>
      <w:pPr>
        <w:pStyle w:val="nzSubsection"/>
      </w:pPr>
      <w:r>
        <w:tab/>
        <w:t>(1)</w:t>
      </w:r>
      <w:r>
        <w:tab/>
        <w:t>At the beginning of section 130 insert:</w:t>
      </w:r>
    </w:p>
    <w:p>
      <w:pPr>
        <w:pStyle w:val="BlankOpen"/>
      </w:pPr>
    </w:p>
    <w:p>
      <w:pPr>
        <w:pStyle w:val="nzSubsection"/>
        <w:rPr>
          <w:snapToGrid w:val="0"/>
        </w:rPr>
      </w:pPr>
      <w:r>
        <w:rPr>
          <w:snapToGrid w:val="0"/>
        </w:rPr>
        <w:tab/>
        <w:t>(1)</w:t>
      </w:r>
      <w:r>
        <w:rPr>
          <w:snapToGrid w:val="0"/>
        </w:rPr>
        <w:tab/>
        <w:t>The Governor may make regulations prescribing matters —</w:t>
      </w:r>
    </w:p>
    <w:p>
      <w:pPr>
        <w:pStyle w:val="nz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nz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BlankClose"/>
      </w:pPr>
    </w:p>
    <w:p>
      <w:pPr>
        <w:pStyle w:val="nzSubsection"/>
      </w:pPr>
      <w:r>
        <w:tab/>
        <w:t>(2)</w:t>
      </w:r>
      <w:r>
        <w:tab/>
        <w:t>In section 130:</w:t>
      </w:r>
    </w:p>
    <w:p>
      <w:pPr>
        <w:pStyle w:val="nzIndenta"/>
      </w:pPr>
      <w:r>
        <w:tab/>
        <w:t>(a)</w:t>
      </w:r>
      <w:r>
        <w:tab/>
        <w:t>delete the passage that begins with “The Governor” and ends with “to —” and insert:</w:t>
      </w:r>
    </w:p>
    <w:p>
      <w:pPr>
        <w:pStyle w:val="BlankOpen"/>
      </w:pPr>
    </w:p>
    <w:p>
      <w:pPr>
        <w:pStyle w:val="nzSubsection"/>
      </w:pPr>
      <w:r>
        <w:tab/>
        <w:t>(2)</w:t>
      </w:r>
      <w:r>
        <w:tab/>
        <w:t>Without limiting subsection (1), the regulations may provide for —</w:t>
      </w:r>
    </w:p>
    <w:p>
      <w:pPr>
        <w:pStyle w:val="BlankClose"/>
      </w:pPr>
    </w:p>
    <w:p>
      <w:pPr>
        <w:pStyle w:val="nzIndenta"/>
      </w:pPr>
      <w:r>
        <w:tab/>
        <w:t>(b)</w:t>
      </w:r>
      <w:r>
        <w:tab/>
        <w:t>in paragraph (b) delete “to be payable in respect of applications to the State Administrative Tribunal; and” and insert:</w:t>
      </w:r>
    </w:p>
    <w:p>
      <w:pPr>
        <w:pStyle w:val="BlankOpen"/>
      </w:pPr>
    </w:p>
    <w:p>
      <w:pPr>
        <w:pStyle w:val="nzIndenta"/>
      </w:pPr>
      <w:r>
        <w:tab/>
      </w:r>
      <w:r>
        <w:tab/>
        <w:t>for applications to the Tribunal; and</w:t>
      </w:r>
    </w:p>
    <w:p>
      <w:pPr>
        <w:pStyle w:val="BlankClose"/>
      </w:pPr>
    </w:p>
    <w:p>
      <w:pPr>
        <w:pStyle w:val="nzIndenta"/>
      </w:pPr>
      <w:r>
        <w:tab/>
        <w:t>(c)</w:t>
      </w:r>
      <w:r>
        <w:tab/>
        <w:t>in paragraph (c) delete “prescribing forms under this Act and the respective purposes for which those forms are to be used and providing that in such cases as may be prescribed, forms or other documents required by or” and insert:</w:t>
      </w:r>
    </w:p>
    <w:p>
      <w:pPr>
        <w:pStyle w:val="BlankOpen"/>
      </w:pPr>
    </w:p>
    <w:p>
      <w:pPr>
        <w:pStyle w:val="nzIndenta"/>
      </w:pPr>
      <w:r>
        <w:tab/>
      </w:r>
      <w:r>
        <w:tab/>
        <w:t>circumstances in which forms or other documents required</w:t>
      </w:r>
    </w:p>
    <w:p>
      <w:pPr>
        <w:pStyle w:val="BlankClose"/>
      </w:pPr>
    </w:p>
    <w:p>
      <w:pPr>
        <w:pStyle w:val="nzIndenta"/>
      </w:pPr>
      <w:r>
        <w:tab/>
        <w:t>(d)</w:t>
      </w:r>
      <w:r>
        <w:tab/>
        <w:t>in paragraph (c) delete “shall” and insert:</w:t>
      </w:r>
    </w:p>
    <w:p>
      <w:pPr>
        <w:pStyle w:val="BlankOpen"/>
      </w:pPr>
    </w:p>
    <w:p>
      <w:pPr>
        <w:pStyle w:val="nzIndenta"/>
      </w:pPr>
      <w:r>
        <w:tab/>
      </w:r>
      <w:r>
        <w:tab/>
        <w:t>must</w:t>
      </w:r>
    </w:p>
    <w:p>
      <w:pPr>
        <w:pStyle w:val="BlankClose"/>
      </w:pPr>
    </w:p>
    <w:p>
      <w:pPr>
        <w:pStyle w:val="nzIndenta"/>
      </w:pPr>
      <w:r>
        <w:tab/>
        <w:t>(e)</w:t>
      </w:r>
      <w:r>
        <w:tab/>
        <w:t>in paragraph (f) delete “prescribing”;</w:t>
      </w:r>
    </w:p>
    <w:p>
      <w:pPr>
        <w:pStyle w:val="nzIndenta"/>
      </w:pPr>
      <w:r>
        <w:tab/>
        <w:t>(f)</w:t>
      </w:r>
      <w:r>
        <w:tab/>
        <w:t>delete paragraph (i) and insert:</w:t>
      </w:r>
    </w:p>
    <w:p>
      <w:pPr>
        <w:pStyle w:val="BlankOpen"/>
      </w:pPr>
    </w:p>
    <w:p>
      <w:pPr>
        <w:pStyle w:val="nzIndenta"/>
      </w:pPr>
      <w:r>
        <w:tab/>
        <w:t>(g)</w:t>
      </w:r>
      <w:r>
        <w:tab/>
        <w:t>the review by the Tribunal of a decision made under the regulations; and</w:t>
      </w:r>
    </w:p>
    <w:p>
      <w:pPr>
        <w:pStyle w:val="nzIndenta"/>
        <w:rPr>
          <w:snapToGrid w:val="0"/>
        </w:rPr>
      </w:pPr>
      <w:r>
        <w:tab/>
        <w:t>(h)</w:t>
      </w:r>
      <w:r>
        <w:tab/>
        <w:t>additional requirements relating to the first annual general meeting of the strata company.</w:t>
      </w:r>
    </w:p>
    <w:p>
      <w:pPr>
        <w:pStyle w:val="BlankClose"/>
      </w:pPr>
    </w:p>
    <w:p>
      <w:pPr>
        <w:pStyle w:val="nzSubsection"/>
      </w:pPr>
      <w:r>
        <w:tab/>
        <w:t>(3)</w:t>
      </w:r>
      <w:r>
        <w:tab/>
        <w:t>At the end of section 130 insert:</w:t>
      </w:r>
    </w:p>
    <w:p>
      <w:pPr>
        <w:pStyle w:val="BlankOpen"/>
      </w:pPr>
    </w:p>
    <w:p>
      <w:pPr>
        <w:pStyle w:val="nz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nzSubsection"/>
      </w:pPr>
      <w:r>
        <w:tab/>
        <w:t>(4)</w:t>
      </w:r>
      <w:r>
        <w:tab/>
        <w:t>The regulations may provide that contravention of a regulation is an offence and may provide for the offence to be punishable on conviction by a penalty not exceeding a fine of $3 000.</w:t>
      </w:r>
    </w:p>
    <w:p>
      <w:pPr>
        <w:pStyle w:val="nzSubsection"/>
      </w:pPr>
      <w:r>
        <w:tab/>
        <w:t>(5)</w:t>
      </w:r>
      <w:r>
        <w:tab/>
        <w:t>The regulations may contain provisions of a savings or transitional nature consequent on the enactment of an Act (an amending Act) amending this Act.</w:t>
      </w:r>
    </w:p>
    <w:p>
      <w:pPr>
        <w:pStyle w:val="nzSubsection"/>
      </w:pPr>
      <w:r>
        <w:tab/>
        <w:t>(6)</w:t>
      </w:r>
      <w:r>
        <w:tab/>
        <w:t>Any such provision may, if the regulations so provide, take effect from the date of assent to the amending Act or a later date.</w:t>
      </w:r>
    </w:p>
    <w:p>
      <w:pPr>
        <w:pStyle w:val="nzSubsection"/>
      </w:pPr>
      <w:r>
        <w:tab/>
        <w:t>(7)</w:t>
      </w:r>
      <w:r>
        <w:tab/>
        <w:t>To the extent to which any such provision takes effect from a date that is earlier than the date on which it is made, the provision does not operate so as —</w:t>
      </w:r>
    </w:p>
    <w:p>
      <w:pPr>
        <w:pStyle w:val="nzIndenta"/>
      </w:pPr>
      <w:r>
        <w:tab/>
        <w:t>(a)</w:t>
      </w:r>
      <w:r>
        <w:tab/>
        <w:t>to affect, in a manner prejudicial to any person (other than the State), the rights of that person existing before the date of its publication; or</w:t>
      </w:r>
    </w:p>
    <w:p>
      <w:pPr>
        <w:pStyle w:val="nzIndenta"/>
      </w:pPr>
      <w:r>
        <w:tab/>
        <w:t>(b)</w:t>
      </w:r>
      <w:r>
        <w:tab/>
        <w:t>to impose liabilities on any person (other than the State) in respect of anything done or omitted to be done before the date of its publication.</w:t>
      </w:r>
    </w:p>
    <w:p>
      <w:pPr>
        <w:pStyle w:val="BlankClose"/>
      </w:pPr>
    </w:p>
    <w:p>
      <w:pPr>
        <w:pStyle w:val="nzPermNoteHeading"/>
      </w:pPr>
      <w:r>
        <w:tab/>
        <w:t>Note:</w:t>
      </w:r>
    </w:p>
    <w:p>
      <w:pPr>
        <w:pStyle w:val="nzPermNoteText"/>
      </w:pPr>
      <w:r>
        <w:tab/>
      </w:r>
      <w:r>
        <w:tab/>
        <w:t>Section 130 (as amended) is renumbered as section 224 and relocated to Part 14.</w:t>
      </w:r>
    </w:p>
    <w:p>
      <w:pPr>
        <w:pStyle w:val="nzHeading5"/>
      </w:pPr>
      <w:bookmarkStart w:id="631" w:name="_Toc530474340"/>
      <w:bookmarkStart w:id="632" w:name="_Toc530474935"/>
      <w:r>
        <w:rPr>
          <w:rStyle w:val="CharSectno"/>
        </w:rPr>
        <w:t>80</w:t>
      </w:r>
      <w:r>
        <w:t>.</w:t>
      </w:r>
      <w:r>
        <w:tab/>
        <w:t>Section 131A amended</w:t>
      </w:r>
      <w:bookmarkEnd w:id="631"/>
      <w:bookmarkEnd w:id="632"/>
    </w:p>
    <w:p>
      <w:pPr>
        <w:pStyle w:val="nzSubsection"/>
      </w:pPr>
      <w:r>
        <w:tab/>
        <w:t>(1)</w:t>
      </w:r>
      <w:r>
        <w:tab/>
        <w:t>In section 131A(1) delete “section 130” and insert:</w:t>
      </w:r>
    </w:p>
    <w:p>
      <w:pPr>
        <w:pStyle w:val="BlankOpen"/>
      </w:pPr>
    </w:p>
    <w:p>
      <w:pPr>
        <w:pStyle w:val="nzSubsection"/>
      </w:pPr>
      <w:r>
        <w:tab/>
      </w:r>
      <w:r>
        <w:tab/>
        <w:t>section 224</w:t>
      </w:r>
    </w:p>
    <w:p>
      <w:pPr>
        <w:pStyle w:val="BlankClose"/>
      </w:pPr>
    </w:p>
    <w:p>
      <w:pPr>
        <w:pStyle w:val="nzSubsection"/>
      </w:pPr>
      <w:r>
        <w:tab/>
        <w:t>(2)</w:t>
      </w:r>
      <w:r>
        <w:tab/>
        <w:t>Delete section 131A(2).</w:t>
      </w:r>
    </w:p>
    <w:p>
      <w:pPr>
        <w:pStyle w:val="nzPermNoteHeading"/>
      </w:pPr>
      <w:r>
        <w:tab/>
        <w:t>Note:</w:t>
      </w:r>
    </w:p>
    <w:p>
      <w:pPr>
        <w:pStyle w:val="nzPermNoteText"/>
      </w:pPr>
      <w:r>
        <w:tab/>
      </w:r>
      <w:r>
        <w:tab/>
        <w:t>Section 131A (as amended) is renumbered as section 225 and relocated to Part 14.</w:t>
      </w:r>
    </w:p>
    <w:p>
      <w:pPr>
        <w:pStyle w:val="nzHeading5"/>
      </w:pPr>
      <w:bookmarkStart w:id="633" w:name="_Toc530474341"/>
      <w:bookmarkStart w:id="634" w:name="_Toc530474936"/>
      <w:r>
        <w:rPr>
          <w:rStyle w:val="CharSectno"/>
        </w:rPr>
        <w:t>81</w:t>
      </w:r>
      <w:r>
        <w:t>.</w:t>
      </w:r>
      <w:r>
        <w:tab/>
        <w:t>Section 131B amended</w:t>
      </w:r>
      <w:bookmarkEnd w:id="633"/>
      <w:bookmarkEnd w:id="634"/>
    </w:p>
    <w:p>
      <w:pPr>
        <w:pStyle w:val="nzSubsection"/>
      </w:pPr>
      <w:r>
        <w:tab/>
        <w:t>(1)</w:t>
      </w:r>
      <w:r>
        <w:tab/>
        <w:t>In section 131B delete “131A” (each occurrence) and insert:</w:t>
      </w:r>
    </w:p>
    <w:p>
      <w:pPr>
        <w:pStyle w:val="BlankOpen"/>
      </w:pPr>
    </w:p>
    <w:p>
      <w:pPr>
        <w:pStyle w:val="nzSubsection"/>
      </w:pPr>
      <w:r>
        <w:tab/>
      </w:r>
      <w:r>
        <w:tab/>
        <w:t>225</w:t>
      </w:r>
    </w:p>
    <w:p>
      <w:pPr>
        <w:pStyle w:val="BlankClose"/>
      </w:pPr>
    </w:p>
    <w:p>
      <w:pPr>
        <w:pStyle w:val="nzSubsection"/>
      </w:pPr>
      <w:r>
        <w:tab/>
        <w:t>(2)</w:t>
      </w:r>
      <w:r>
        <w:tab/>
        <w:t>In section 131B(6) delete “130” and insert:</w:t>
      </w:r>
    </w:p>
    <w:p>
      <w:pPr>
        <w:pStyle w:val="BlankOpen"/>
      </w:pPr>
    </w:p>
    <w:p>
      <w:pPr>
        <w:pStyle w:val="nzSubsection"/>
      </w:pPr>
      <w:r>
        <w:tab/>
      </w:r>
      <w:r>
        <w:tab/>
        <w:t>224</w:t>
      </w:r>
    </w:p>
    <w:p>
      <w:pPr>
        <w:pStyle w:val="BlankClose"/>
      </w:pPr>
    </w:p>
    <w:p>
      <w:pPr>
        <w:pStyle w:val="nzSectAltNote"/>
      </w:pPr>
      <w:r>
        <w:tab/>
        <w:t>Note:</w:t>
      </w:r>
      <w:r>
        <w:tab/>
        <w:t>The heading to amended 131B is to read:</w:t>
      </w:r>
    </w:p>
    <w:p>
      <w:pPr>
        <w:pStyle w:val="nzSectAltHeading"/>
      </w:pPr>
      <w:r>
        <w:rPr>
          <w:b w:val="0"/>
        </w:rPr>
        <w:tab/>
      </w:r>
      <w:r>
        <w:rPr>
          <w:b w:val="0"/>
        </w:rPr>
        <w:tab/>
      </w:r>
      <w:r>
        <w:t>Expiry of section 225</w:t>
      </w:r>
    </w:p>
    <w:p>
      <w:pPr>
        <w:pStyle w:val="nzPermNoteHeading"/>
      </w:pPr>
      <w:r>
        <w:tab/>
        <w:t>Note:</w:t>
      </w:r>
    </w:p>
    <w:p>
      <w:pPr>
        <w:pStyle w:val="nzPermNoteText"/>
      </w:pPr>
      <w:r>
        <w:tab/>
      </w:r>
      <w:r>
        <w:tab/>
        <w:t>Section 131B (as amended) is renumbered as section 226 and relocated to Part 14.</w:t>
      </w:r>
    </w:p>
    <w:p>
      <w:pPr>
        <w:pStyle w:val="nzHeading3"/>
      </w:pPr>
      <w:bookmarkStart w:id="635" w:name="_Toc517437544"/>
      <w:bookmarkStart w:id="636" w:name="_Toc517438086"/>
      <w:bookmarkStart w:id="637" w:name="_Toc517440423"/>
      <w:bookmarkStart w:id="638" w:name="_Toc517447460"/>
      <w:bookmarkStart w:id="639" w:name="_Toc517449938"/>
      <w:bookmarkStart w:id="640" w:name="_Toc517450480"/>
      <w:bookmarkStart w:id="641" w:name="_Toc517856936"/>
      <w:bookmarkStart w:id="642" w:name="_Toc518293063"/>
      <w:bookmarkStart w:id="643" w:name="_Toc522744291"/>
      <w:bookmarkStart w:id="644" w:name="_Toc522747414"/>
      <w:bookmarkStart w:id="645" w:name="_Toc529183251"/>
      <w:bookmarkStart w:id="646" w:name="_Toc529188014"/>
      <w:bookmarkStart w:id="647" w:name="_Toc529434527"/>
      <w:bookmarkStart w:id="648" w:name="_Toc529524418"/>
      <w:bookmarkStart w:id="649" w:name="_Toc530474342"/>
      <w:bookmarkStart w:id="650" w:name="_Toc530474937"/>
      <w:r>
        <w:rPr>
          <w:rStyle w:val="CharDivNo"/>
        </w:rPr>
        <w:t>Division 3</w:t>
      </w:r>
      <w:r>
        <w:t> — </w:t>
      </w:r>
      <w:r>
        <w:rPr>
          <w:rStyle w:val="CharDivText"/>
        </w:rPr>
        <w:t>Deletion and insertion of provisions in body of Act</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nzHeading5"/>
      </w:pPr>
      <w:bookmarkStart w:id="651" w:name="_Toc530474343"/>
      <w:bookmarkStart w:id="652" w:name="_Toc530474938"/>
      <w:r>
        <w:rPr>
          <w:rStyle w:val="CharSectno"/>
        </w:rPr>
        <w:t>82</w:t>
      </w:r>
      <w:r>
        <w:t>.</w:t>
      </w:r>
      <w:r>
        <w:tab/>
        <w:t>Deletion of headings and provisions</w:t>
      </w:r>
      <w:bookmarkEnd w:id="651"/>
      <w:bookmarkEnd w:id="652"/>
    </w:p>
    <w:p>
      <w:pPr>
        <w:pStyle w:val="nzSubsection"/>
      </w:pPr>
      <w:r>
        <w:tab/>
      </w:r>
      <w:r>
        <w:tab/>
        <w:t>In the body of the Act delete —</w:t>
      </w:r>
    </w:p>
    <w:p>
      <w:pPr>
        <w:pStyle w:val="nzIndenta"/>
      </w:pPr>
      <w:r>
        <w:tab/>
        <w:t>(a)</w:t>
      </w:r>
      <w:r>
        <w:tab/>
        <w:t>all Part, Division and Subdivision headings except the heading to Part 1 (as inserted by section 6 of this Act); and</w:t>
      </w:r>
    </w:p>
    <w:p>
      <w:pPr>
        <w:pStyle w:val="nzIndenta"/>
      </w:pPr>
      <w:r>
        <w:tab/>
        <w:t>(b)</w:t>
      </w:r>
      <w:r>
        <w:tab/>
        <w:t>all provisions except —</w:t>
      </w:r>
    </w:p>
    <w:p>
      <w:pPr>
        <w:pStyle w:val="nzIndenti"/>
      </w:pPr>
      <w:r>
        <w:tab/>
        <w:t>(i)</w:t>
      </w:r>
      <w:r>
        <w:tab/>
        <w:t>the provisions amended by Part 2 Division 2 of this Act; and</w:t>
      </w:r>
    </w:p>
    <w:p>
      <w:pPr>
        <w:pStyle w:val="nzIndenti"/>
      </w:pPr>
      <w:r>
        <w:tab/>
        <w:t>(ii)</w:t>
      </w:r>
      <w:r>
        <w:tab/>
        <w:t>the provisions relocated without amendment to Parts 2 to 14 (as inserted by section 83 of this Act) by Part 2 Division 4 of this Act; and</w:t>
      </w:r>
    </w:p>
    <w:p>
      <w:pPr>
        <w:pStyle w:val="nzIndenti"/>
      </w:pPr>
      <w:r>
        <w:tab/>
        <w:t>(iii)</w:t>
      </w:r>
      <w:r>
        <w:tab/>
        <w:t>the provisions relocated without amendment to Schedule 2A (as replaced by section 114 of this Act) by Part 2 Division 6 of this Act.</w:t>
      </w:r>
    </w:p>
    <w:p>
      <w:pPr>
        <w:pStyle w:val="nzHeading5"/>
      </w:pPr>
      <w:bookmarkStart w:id="653" w:name="_Toc530474344"/>
      <w:bookmarkStart w:id="654" w:name="_Toc530474939"/>
      <w:r>
        <w:rPr>
          <w:rStyle w:val="CharSectno"/>
        </w:rPr>
        <w:t>83</w:t>
      </w:r>
      <w:r>
        <w:t>.</w:t>
      </w:r>
      <w:r>
        <w:tab/>
        <w:t>Insertion of sections 4 and 5 and Parts 2 to 14</w:t>
      </w:r>
      <w:bookmarkEnd w:id="653"/>
      <w:bookmarkEnd w:id="654"/>
    </w:p>
    <w:p>
      <w:pPr>
        <w:pStyle w:val="nzPermNoteHeading"/>
      </w:pPr>
      <w:r>
        <w:tab/>
        <w:t xml:space="preserve">Note for this section: </w:t>
      </w:r>
    </w:p>
    <w:p>
      <w:pPr>
        <w:pStyle w:val="nzPermNoteText"/>
      </w:pPr>
      <w:r>
        <w:tab/>
      </w:r>
      <w:r>
        <w:tab/>
        <w:t>The gaps in the Parts inserted by this section are filled by the relocation of provisions by Division 4.</w:t>
      </w:r>
    </w:p>
    <w:p>
      <w:pPr>
        <w:pStyle w:val="nzSubsection"/>
      </w:pPr>
      <w:r>
        <w:tab/>
      </w:r>
      <w:r>
        <w:tab/>
        <w:t>After section 3 (as amended by section 7 of this Act) insert:</w:t>
      </w:r>
    </w:p>
    <w:p>
      <w:pPr>
        <w:pStyle w:val="BlankOpen"/>
      </w:pPr>
    </w:p>
    <w:p>
      <w:pPr>
        <w:pStyle w:val="nzHeading5"/>
      </w:pPr>
      <w:bookmarkStart w:id="655" w:name="_Toc530474345"/>
      <w:bookmarkStart w:id="656" w:name="_Toc530474940"/>
      <w:r>
        <w:t>4.</w:t>
      </w:r>
      <w:r>
        <w:tab/>
        <w:t>Notes and examples not part of Act</w:t>
      </w:r>
      <w:bookmarkEnd w:id="655"/>
      <w:bookmarkEnd w:id="656"/>
    </w:p>
    <w:p>
      <w:pPr>
        <w:pStyle w:val="nzSubsection"/>
      </w:pPr>
      <w:r>
        <w:tab/>
      </w:r>
      <w:r>
        <w:tab/>
        <w:t>A note or example set out at the foot of a provision of this Act is provided to assist understanding and does not form part of this Act.</w:t>
      </w:r>
    </w:p>
    <w:p>
      <w:pPr>
        <w:pStyle w:val="nzHeading5"/>
      </w:pPr>
      <w:bookmarkStart w:id="657" w:name="_Toc530474346"/>
      <w:bookmarkStart w:id="658" w:name="_Toc530474941"/>
      <w:r>
        <w:t>5.</w:t>
      </w:r>
      <w:r>
        <w:tab/>
        <w:t>Act binds Crown</w:t>
      </w:r>
      <w:bookmarkEnd w:id="657"/>
      <w:bookmarkEnd w:id="658"/>
    </w:p>
    <w:p>
      <w:pPr>
        <w:pStyle w:val="nzSubsection"/>
      </w:pPr>
      <w:r>
        <w:tab/>
      </w:r>
      <w:r>
        <w:tab/>
        <w:t>This Act binds the Crown in right of Western Australia and, so far as the legislative power of the Parliament permits, the Crown in all its other capacities.</w:t>
      </w:r>
    </w:p>
    <w:p>
      <w:pPr>
        <w:pStyle w:val="nzHeading2"/>
      </w:pPr>
      <w:bookmarkStart w:id="659" w:name="_Toc517437549"/>
      <w:bookmarkStart w:id="660" w:name="_Toc517438091"/>
      <w:bookmarkStart w:id="661" w:name="_Toc517440428"/>
      <w:bookmarkStart w:id="662" w:name="_Toc517447465"/>
      <w:bookmarkStart w:id="663" w:name="_Toc517449943"/>
      <w:bookmarkStart w:id="664" w:name="_Toc517450485"/>
      <w:bookmarkStart w:id="665" w:name="_Toc517856941"/>
      <w:bookmarkStart w:id="666" w:name="_Toc518293068"/>
      <w:bookmarkStart w:id="667" w:name="_Toc522744296"/>
      <w:bookmarkStart w:id="668" w:name="_Toc522747419"/>
      <w:bookmarkStart w:id="669" w:name="_Toc529183256"/>
      <w:bookmarkStart w:id="670" w:name="_Toc529188019"/>
      <w:bookmarkStart w:id="671" w:name="_Toc529434532"/>
      <w:bookmarkStart w:id="672" w:name="_Toc529524423"/>
      <w:bookmarkStart w:id="673" w:name="_Toc530474347"/>
      <w:bookmarkStart w:id="674" w:name="_Toc530474942"/>
      <w:r>
        <w:t>Part 2 — Strata titles schemes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zHeading5"/>
      </w:pPr>
      <w:bookmarkStart w:id="675" w:name="_Toc530474348"/>
      <w:bookmarkStart w:id="676" w:name="_Toc530474943"/>
      <w:r>
        <w:t>6.</w:t>
      </w:r>
      <w:r>
        <w:tab/>
        <w:t>Legislative framework</w:t>
      </w:r>
      <w:bookmarkEnd w:id="675"/>
      <w:bookmarkEnd w:id="676"/>
    </w:p>
    <w:p>
      <w:pPr>
        <w:pStyle w:val="nzSubsection"/>
      </w:pPr>
      <w:r>
        <w:tab/>
        <w:t>(1)</w:t>
      </w:r>
      <w:r>
        <w:tab/>
        <w:t>This Act provides for a form of subdivision of land referred to as subdivision by a strata titles scheme, and sets out requirements for that form of subdivision.</w:t>
      </w:r>
    </w:p>
    <w:p>
      <w:pPr>
        <w:pStyle w:val="nzSubsection"/>
      </w:pPr>
      <w:r>
        <w:tab/>
        <w:t>(2)</w:t>
      </w:r>
      <w:r>
        <w:tab/>
        <w:t xml:space="preserve">Relevant planning approvals must be obtained for the subdivision of land by a strata titles scheme under this Act or the </w:t>
      </w:r>
      <w:r>
        <w:rPr>
          <w:i/>
        </w:rPr>
        <w:t>Planning and Development Act 2005</w:t>
      </w:r>
      <w:r>
        <w:t>.</w:t>
      </w:r>
    </w:p>
    <w:p>
      <w:pPr>
        <w:pStyle w:val="nz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nz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nzSubsection"/>
      </w:pPr>
      <w:r>
        <w:tab/>
        <w:t>(5)</w:t>
      </w:r>
      <w:r>
        <w:tab/>
        <w:t>This Act also contains provisions about the governance and operation of strata titles schemes and about strata managers.</w:t>
      </w:r>
    </w:p>
    <w:p>
      <w:pPr>
        <w:pStyle w:val="nzHeading5"/>
      </w:pPr>
      <w:bookmarkStart w:id="677" w:name="_Toc530474349"/>
      <w:bookmarkStart w:id="678" w:name="_Toc530474944"/>
      <w:r>
        <w:t>7.</w:t>
      </w:r>
      <w:r>
        <w:tab/>
        <w:t>Strata titles schemes</w:t>
      </w:r>
      <w:bookmarkEnd w:id="677"/>
      <w:bookmarkEnd w:id="678"/>
    </w:p>
    <w:p>
      <w:pPr>
        <w:pStyle w:val="nzSubsection"/>
      </w:pPr>
      <w:r>
        <w:tab/>
      </w:r>
      <w:r>
        <w:tab/>
        <w:t>A strata titles scheme is a scheme for the creation of strata titles on registration of the scheme so as to —</w:t>
      </w:r>
    </w:p>
    <w:p>
      <w:pPr>
        <w:pStyle w:val="nzIndenta"/>
      </w:pPr>
      <w:r>
        <w:tab/>
        <w:t>(a)</w:t>
      </w:r>
      <w:r>
        <w:tab/>
        <w:t>effect a physical division of a parcel of land into —</w:t>
      </w:r>
    </w:p>
    <w:p>
      <w:pPr>
        <w:pStyle w:val="nzIndenti"/>
      </w:pPr>
      <w:r>
        <w:tab/>
        <w:t>(i)</w:t>
      </w:r>
      <w:r>
        <w:tab/>
        <w:t>2 or more lots; or</w:t>
      </w:r>
    </w:p>
    <w:p>
      <w:pPr>
        <w:pStyle w:val="nzIndenti"/>
      </w:pPr>
      <w:r>
        <w:tab/>
        <w:t>(ii)</w:t>
      </w:r>
      <w:r>
        <w:tab/>
        <w:t>2 or more lots and common property;</w:t>
      </w:r>
    </w:p>
    <w:p>
      <w:pPr>
        <w:pStyle w:val="nzIndenta"/>
      </w:pPr>
      <w:r>
        <w:tab/>
      </w:r>
      <w:r>
        <w:tab/>
        <w:t>and</w:t>
      </w:r>
    </w:p>
    <w:p>
      <w:pPr>
        <w:pStyle w:val="nzIndenta"/>
      </w:pPr>
      <w:r>
        <w:tab/>
        <w:t>(b)</w:t>
      </w:r>
      <w:r>
        <w:tab/>
        <w:t>allow for the lots to be owned and sold or otherwise dealt with separately; and</w:t>
      </w:r>
    </w:p>
    <w:p>
      <w:pPr>
        <w:pStyle w:val="nzIndenta"/>
      </w:pPr>
      <w:r>
        <w:tab/>
        <w:t>(c)</w:t>
      </w:r>
      <w:r>
        <w:tab/>
        <w:t>require the common property to be administered by a strata company that comes into existence under this Act on registration of the strata titles scheme; and</w:t>
      </w:r>
    </w:p>
    <w:p>
      <w:pPr>
        <w:pStyle w:val="nzIndenta"/>
      </w:pPr>
      <w:r>
        <w:tab/>
        <w:t>(d)</w:t>
      </w:r>
      <w:r>
        <w:tab/>
        <w:t>limit how the common property may be dealt with.</w:t>
      </w:r>
    </w:p>
    <w:p>
      <w:pPr>
        <w:pStyle w:val="nzHeading5"/>
      </w:pPr>
      <w:bookmarkStart w:id="679" w:name="_Toc530474350"/>
      <w:bookmarkStart w:id="680" w:name="_Toc530474945"/>
      <w:r>
        <w:t>8.</w:t>
      </w:r>
      <w:r>
        <w:tab/>
        <w:t>Freehold schemes and leasehold schemes</w:t>
      </w:r>
      <w:bookmarkEnd w:id="679"/>
      <w:bookmarkEnd w:id="680"/>
    </w:p>
    <w:p>
      <w:pPr>
        <w:pStyle w:val="nzSubsection"/>
      </w:pPr>
      <w:r>
        <w:tab/>
        <w:t>(1)</w:t>
      </w:r>
      <w:r>
        <w:tab/>
        <w:t>A strata titles scheme may be —</w:t>
      </w:r>
    </w:p>
    <w:p>
      <w:pPr>
        <w:pStyle w:val="nzIndenta"/>
      </w:pPr>
      <w:r>
        <w:tab/>
        <w:t>(a)</w:t>
      </w:r>
      <w:r>
        <w:tab/>
        <w:t>a freehold scheme; or</w:t>
      </w:r>
    </w:p>
    <w:p>
      <w:pPr>
        <w:pStyle w:val="nzIndenta"/>
      </w:pPr>
      <w:r>
        <w:tab/>
        <w:t>(b)</w:t>
      </w:r>
      <w:r>
        <w:tab/>
        <w:t>a leasehold scheme.</w:t>
      </w:r>
    </w:p>
    <w:p>
      <w:pPr>
        <w:pStyle w:val="nzPermNoteHeading"/>
      </w:pPr>
      <w:r>
        <w:tab/>
        <w:t>Note for this section:</w:t>
      </w:r>
    </w:p>
    <w:p>
      <w:pPr>
        <w:pStyle w:val="nzPermNoteText"/>
      </w:pPr>
      <w:r>
        <w:tab/>
      </w:r>
      <w:r>
        <w:tab/>
        <w:t xml:space="preserve">All schemes created under this Act before the commencement of the </w:t>
      </w:r>
      <w:r>
        <w:rPr>
          <w:i/>
        </w:rPr>
        <w:t>Strata Titles Amendment Act 2018</w:t>
      </w:r>
      <w:r>
        <w:t xml:space="preserve"> are freehold schemes.</w:t>
      </w:r>
    </w:p>
    <w:p>
      <w:pPr>
        <w:pStyle w:val="nzSubsection"/>
      </w:pPr>
      <w:r>
        <w:tab/>
        <w:t>(2)</w:t>
      </w:r>
      <w:r>
        <w:tab/>
        <w:t xml:space="preserve">In a </w:t>
      </w:r>
      <w:r>
        <w:rPr>
          <w:rStyle w:val="CharDefText"/>
        </w:rPr>
        <w:t>freehold scheme</w:t>
      </w:r>
      <w:r>
        <w:t> —</w:t>
      </w:r>
    </w:p>
    <w:p>
      <w:pPr>
        <w:pStyle w:val="nzIndenta"/>
      </w:pPr>
      <w:r>
        <w:tab/>
        <w:t>(a)</w:t>
      </w:r>
      <w:r>
        <w:tab/>
        <w:t>there is no separate title for the parcel subdivided by the scheme; and</w:t>
      </w:r>
    </w:p>
    <w:p>
      <w:pPr>
        <w:pStyle w:val="nzIndenta"/>
      </w:pPr>
      <w:r>
        <w:tab/>
        <w:t>(b)</w:t>
      </w:r>
      <w:r>
        <w:tab/>
        <w:t>each lot is a freehold lot; and</w:t>
      </w:r>
    </w:p>
    <w:p>
      <w:pPr>
        <w:pStyle w:val="nzIndenta"/>
      </w:pPr>
      <w:r>
        <w:tab/>
        <w:t>(c)</w:t>
      </w:r>
      <w:r>
        <w:tab/>
        <w:t xml:space="preserve">the parcel cannot be dealt with (including by registration of a mortgage) or disposed of under the </w:t>
      </w:r>
      <w:r>
        <w:rPr>
          <w:i/>
        </w:rPr>
        <w:t>Transfer of Land Act 1893</w:t>
      </w:r>
      <w:r>
        <w:t>.</w:t>
      </w:r>
    </w:p>
    <w:p>
      <w:pPr>
        <w:pStyle w:val="nzSubsection"/>
      </w:pPr>
      <w:r>
        <w:tab/>
        <w:t>(3)</w:t>
      </w:r>
      <w:r>
        <w:tab/>
        <w:t xml:space="preserve">In a </w:t>
      </w:r>
      <w:r>
        <w:rPr>
          <w:rStyle w:val="CharDefText"/>
        </w:rPr>
        <w:t>leasehold scheme</w:t>
      </w:r>
      <w:r>
        <w:t> —</w:t>
      </w:r>
    </w:p>
    <w:p>
      <w:pPr>
        <w:pStyle w:val="nzIndenta"/>
      </w:pPr>
      <w:r>
        <w:tab/>
        <w:t>(a)</w:t>
      </w:r>
      <w:r>
        <w:tab/>
        <w:t>there is a separate title for the parcel subdivided by the scheme; and</w:t>
      </w:r>
    </w:p>
    <w:p>
      <w:pPr>
        <w:pStyle w:val="nzIndenta"/>
      </w:pPr>
      <w:r>
        <w:tab/>
        <w:t>(b)</w:t>
      </w:r>
      <w:r>
        <w:tab/>
        <w:t>each lot in the scheme is a leasehold lot subject to a strata lease; and</w:t>
      </w:r>
    </w:p>
    <w:p>
      <w:pPr>
        <w:pStyle w:val="nzIndenta"/>
      </w:pPr>
      <w:r>
        <w:tab/>
        <w:t>(c)</w:t>
      </w:r>
      <w:r>
        <w:tab/>
        <w:t>the scheme expires on a specified day (the expiry day for the scheme); and</w:t>
      </w:r>
    </w:p>
    <w:p>
      <w:pPr>
        <w:pStyle w:val="nzIndenta"/>
      </w:pPr>
      <w:r>
        <w:tab/>
        <w:t>(d)</w:t>
      </w:r>
      <w:r>
        <w:tab/>
        <w:t>the expiry day must be a day that is —</w:t>
      </w:r>
    </w:p>
    <w:p>
      <w:pPr>
        <w:pStyle w:val="nzIndenti"/>
      </w:pPr>
      <w:r>
        <w:tab/>
        <w:t>(i)</w:t>
      </w:r>
      <w:r>
        <w:tab/>
        <w:t>at least 20 years (or, if some other period is specified in the regulations, that period) after registration of the scheme; and</w:t>
      </w:r>
    </w:p>
    <w:p>
      <w:pPr>
        <w:pStyle w:val="nzIndenti"/>
      </w:pPr>
      <w:r>
        <w:tab/>
        <w:t>(ii)</w:t>
      </w:r>
      <w:r>
        <w:tab/>
        <w:t xml:space="preserve">not more than 99 years after registration of the scheme; </w:t>
      </w:r>
    </w:p>
    <w:p>
      <w:pPr>
        <w:pStyle w:val="nzIndenta"/>
      </w:pPr>
      <w:r>
        <w:tab/>
      </w:r>
      <w:r>
        <w:tab/>
        <w:t>and</w:t>
      </w:r>
    </w:p>
    <w:p>
      <w:pPr>
        <w:pStyle w:val="nzIndenta"/>
      </w:pPr>
      <w:r>
        <w:tab/>
        <w:t>(e)</w:t>
      </w:r>
      <w:r>
        <w:tab/>
        <w:t>the expiry day will be specified in the scheme notice; and</w:t>
      </w:r>
    </w:p>
    <w:p>
      <w:pPr>
        <w:pStyle w:val="nzIndenta"/>
      </w:pPr>
      <w:r>
        <w:tab/>
        <w:t>(f)</w:t>
      </w:r>
      <w:r>
        <w:tab/>
        <w:t>within the parameters set out in paragraph (d)(ii), leasehold by</w:t>
      </w:r>
      <w:r>
        <w:noBreakHyphen/>
        <w:t>laws for the scheme may provide for postponement of the expiry day; and</w:t>
      </w:r>
    </w:p>
    <w:p>
      <w:pPr>
        <w:pStyle w:val="nz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nzIndenta"/>
      </w:pPr>
      <w:r>
        <w:tab/>
        <w:t>(h)</w:t>
      </w:r>
      <w:r>
        <w:tab/>
        <w:t>the expiry day is postponed when an amendment of the scheme notice is registered giving effect to the postponement; and</w:t>
      </w:r>
    </w:p>
    <w:p>
      <w:pPr>
        <w:pStyle w:val="nz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nzIndenta"/>
      </w:pPr>
      <w:r>
        <w:tab/>
        <w:t>(j)</w:t>
      </w:r>
      <w:r>
        <w:tab/>
        <w:t>the existence of the leasehold scheme and its expiry day must be endorsed on the certificate of title for the parcel; and</w:t>
      </w:r>
    </w:p>
    <w:p>
      <w:pPr>
        <w:pStyle w:val="nzIndenta"/>
      </w:pPr>
      <w:r>
        <w:tab/>
        <w:t>(k)</w:t>
      </w:r>
      <w:r>
        <w:tab/>
        <w:t>the owner of the leasehold scheme is the lessor and the owner of a lot in the scheme is the lessee under the strata lease for the lot; and</w:t>
      </w:r>
    </w:p>
    <w:p>
      <w:pPr>
        <w:pStyle w:val="nzIndenta"/>
      </w:pPr>
      <w:r>
        <w:tab/>
        <w:t>(l)</w:t>
      </w:r>
      <w:r>
        <w:tab/>
        <w:t>the owner of the leasehold scheme may be the owner of a lot in the scheme despite any law relating to the merger of leasehold and reversionary estates in land; and</w:t>
      </w:r>
    </w:p>
    <w:p>
      <w:pPr>
        <w:pStyle w:val="nzIndenta"/>
      </w:pPr>
      <w:r>
        <w:tab/>
        <w:t>(m)</w:t>
      </w:r>
      <w:r>
        <w:tab/>
        <w:t>the owner of the leasehold scheme cannot separately deal with or dispose of the reversion in a lot or the common property of the strata titles scheme; and</w:t>
      </w:r>
    </w:p>
    <w:p>
      <w:pPr>
        <w:pStyle w:val="nz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nzPermNoteHeading"/>
      </w:pPr>
      <w:r>
        <w:tab/>
        <w:t>Note for this subsection:</w:t>
      </w:r>
    </w:p>
    <w:p>
      <w:pPr>
        <w:pStyle w:val="nzPermNoteText"/>
      </w:pPr>
      <w:r>
        <w:tab/>
      </w:r>
      <w:r>
        <w:tab/>
        <w:t>For the scheme notice, see section 29. For leasehold by</w:t>
      </w:r>
      <w:r>
        <w:noBreakHyphen/>
        <w:t>laws, see section 40.</w:t>
      </w:r>
    </w:p>
    <w:p>
      <w:pPr>
        <w:pStyle w:val="nzHeading5"/>
      </w:pPr>
      <w:bookmarkStart w:id="681" w:name="_Toc530474351"/>
      <w:bookmarkStart w:id="682" w:name="_Toc530474946"/>
      <w:r>
        <w:t>9.</w:t>
      </w:r>
      <w:r>
        <w:tab/>
        <w:t>Lots — strata schemes and survey</w:t>
      </w:r>
      <w:r>
        <w:noBreakHyphen/>
        <w:t>strata schemes</w:t>
      </w:r>
      <w:bookmarkEnd w:id="681"/>
      <w:bookmarkEnd w:id="682"/>
    </w:p>
    <w:p>
      <w:pPr>
        <w:pStyle w:val="nzSubsection"/>
      </w:pPr>
      <w:r>
        <w:tab/>
        <w:t>(1)</w:t>
      </w:r>
      <w:r>
        <w:tab/>
        <w:t>The boundaries of lots in a strata titles scheme are defined on the scheme plan for the strata titles scheme.</w:t>
      </w:r>
    </w:p>
    <w:p>
      <w:pPr>
        <w:pStyle w:val="nzSubsection"/>
      </w:pPr>
      <w:r>
        <w:tab/>
        <w:t>(2)</w:t>
      </w:r>
      <w:r>
        <w:tab/>
        <w:t>A lot can be comprised of non</w:t>
      </w:r>
      <w:r>
        <w:noBreakHyphen/>
        <w:t>contiguous parts defined on the scheme plan for the strata titles scheme.</w:t>
      </w:r>
    </w:p>
    <w:p>
      <w:pPr>
        <w:pStyle w:val="nzPermNoteHeading"/>
      </w:pPr>
      <w:r>
        <w:tab/>
        <w:t>Example for this subsection:</w:t>
      </w:r>
    </w:p>
    <w:p>
      <w:pPr>
        <w:pStyle w:val="nzPermNoteText"/>
      </w:pPr>
      <w:r>
        <w:tab/>
      </w:r>
      <w:r>
        <w:tab/>
        <w:t>The non</w:t>
      </w:r>
      <w:r>
        <w:noBreakHyphen/>
        <w:t>contiguous parts may be to allow for a separate car parking space or shed to be part of the lot.</w:t>
      </w:r>
    </w:p>
    <w:p>
      <w:pPr>
        <w:pStyle w:val="nz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nzSubsection"/>
      </w:pPr>
      <w:r>
        <w:tab/>
        <w:t>(4)</w:t>
      </w:r>
      <w:r>
        <w:tab/>
        <w:t>The way in which the boundaries of a lot in a strata scheme are defined on the scheme plan must be as set out in the definition of lot in a strata scheme in section 3(1) and in section 3(2) to (4).</w:t>
      </w:r>
    </w:p>
    <w:p>
      <w:pPr>
        <w:pStyle w:val="nzPermNoteHeading"/>
      </w:pPr>
      <w:r>
        <w:tab/>
        <w:t>Note for this subsection:</w:t>
      </w:r>
    </w:p>
    <w:p>
      <w:pPr>
        <w:pStyle w:val="nzPermNoteText"/>
      </w:pPr>
      <w:r>
        <w:tab/>
      </w:r>
      <w:r>
        <w:tab/>
        <w:t>Schedule 2A provides for a special rule for how lots may be defined in a single tier strata scheme.</w:t>
      </w:r>
    </w:p>
    <w:p>
      <w:pPr>
        <w:pStyle w:val="nz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nzSubsection"/>
      </w:pPr>
      <w:r>
        <w:tab/>
        <w:t>(6)</w:t>
      </w:r>
      <w:r>
        <w:tab/>
        <w:t>A change in the definition of the boundaries of a lot does not, even if the lot is assigned a new identifying number, of itself affect —</w:t>
      </w:r>
    </w:p>
    <w:p>
      <w:pPr>
        <w:pStyle w:val="nzIndenta"/>
      </w:pPr>
      <w:r>
        <w:tab/>
        <w:t>(a)</w:t>
      </w:r>
      <w:r>
        <w:tab/>
        <w:t>for a leasehold scheme — the strata lease for the lot; or</w:t>
      </w:r>
    </w:p>
    <w:p>
      <w:pPr>
        <w:pStyle w:val="nzIndenta"/>
      </w:pPr>
      <w:r>
        <w:tab/>
        <w:t>(b)</w:t>
      </w:r>
      <w:r>
        <w:tab/>
        <w:t>for a leasehold or freehold scheme — any other item registered or recorded for the scheme in the Register.</w:t>
      </w:r>
    </w:p>
    <w:p>
      <w:pPr>
        <w:pStyle w:val="nz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nzHeading5"/>
      </w:pPr>
      <w:bookmarkStart w:id="683" w:name="_Toc530474352"/>
      <w:bookmarkStart w:id="684" w:name="_Toc530474947"/>
      <w:r>
        <w:t>10.</w:t>
      </w:r>
      <w:r>
        <w:tab/>
        <w:t>Common property</w:t>
      </w:r>
      <w:bookmarkEnd w:id="683"/>
      <w:bookmarkEnd w:id="684"/>
    </w:p>
    <w:p>
      <w:pPr>
        <w:pStyle w:val="nzSubsection"/>
      </w:pPr>
      <w:r>
        <w:tab/>
        <w:t>(1)</w:t>
      </w:r>
      <w:r>
        <w:tab/>
        <w:t xml:space="preserve">The </w:t>
      </w:r>
      <w:r>
        <w:rPr>
          <w:rStyle w:val="CharDefText"/>
        </w:rPr>
        <w:t>common property</w:t>
      </w:r>
      <w:r>
        <w:t xml:space="preserve"> in a strata titles scheme is —</w:t>
      </w:r>
    </w:p>
    <w:p>
      <w:pPr>
        <w:pStyle w:val="nzIndenta"/>
      </w:pPr>
      <w:r>
        <w:tab/>
        <w:t>(a)</w:t>
      </w:r>
      <w:r>
        <w:tab/>
        <w:t>that part of the parcel of land subdivided by the strata titles scheme that does not form part of a lot in the strata titles scheme; and</w:t>
      </w:r>
    </w:p>
    <w:p>
      <w:pPr>
        <w:pStyle w:val="nzIndenta"/>
      </w:pPr>
      <w:r>
        <w:tab/>
        <w:t>(b)</w:t>
      </w:r>
      <w:r>
        <w:tab/>
        <w:t>temporary common property.</w:t>
      </w:r>
    </w:p>
    <w:p>
      <w:pPr>
        <w:pStyle w:val="nzSubsection"/>
      </w:pPr>
      <w:r>
        <w:tab/>
        <w:t>(2)</w:t>
      </w:r>
      <w:r>
        <w:tab/>
        <w:t xml:space="preserve">The </w:t>
      </w:r>
      <w:r>
        <w:rPr>
          <w:rStyle w:val="CharDefText"/>
        </w:rPr>
        <w:t>common property</w:t>
      </w:r>
      <w:r>
        <w:t xml:space="preserve"> includes, for a strata scheme, those parts of a scheme building that do not form part of a lot.</w:t>
      </w:r>
    </w:p>
    <w:p>
      <w:pPr>
        <w:pStyle w:val="nzSubsection"/>
      </w:pPr>
      <w:r>
        <w:tab/>
        <w:t>(3)</w:t>
      </w:r>
      <w:r>
        <w:tab/>
        <w:t xml:space="preserve">The </w:t>
      </w:r>
      <w:r>
        <w:rPr>
          <w:rStyle w:val="CharDefText"/>
        </w:rPr>
        <w:t>common property</w:t>
      </w:r>
      <w:r>
        <w:t xml:space="preserve"> does not include —</w:t>
      </w:r>
    </w:p>
    <w:p>
      <w:pPr>
        <w:pStyle w:val="nzIndenta"/>
      </w:pPr>
      <w:r>
        <w:tab/>
        <w:t>(a)</w:t>
      </w:r>
      <w:r>
        <w:tab/>
        <w:t xml:space="preserve">any land vested in the Crown under the </w:t>
      </w:r>
      <w:r>
        <w:rPr>
          <w:i/>
        </w:rPr>
        <w:t>Planning and Development Act 2005</w:t>
      </w:r>
      <w:r>
        <w:t xml:space="preserve"> section 152; or</w:t>
      </w:r>
    </w:p>
    <w:p>
      <w:pPr>
        <w:pStyle w:val="nzIndenta"/>
      </w:pPr>
      <w:r>
        <w:tab/>
        <w:t>(b)</w:t>
      </w:r>
      <w:r>
        <w:tab/>
        <w:t>any dedicated road under the</w:t>
      </w:r>
      <w:r>
        <w:rPr>
          <w:i/>
        </w:rPr>
        <w:t xml:space="preserve"> Planning and Development Act 2005</w:t>
      </w:r>
      <w:r>
        <w:t xml:space="preserve"> section 168.</w:t>
      </w:r>
    </w:p>
    <w:p>
      <w:pPr>
        <w:pStyle w:val="nzSubsection"/>
      </w:pPr>
      <w:r>
        <w:tab/>
        <w:t>(4)</w:t>
      </w:r>
      <w:r>
        <w:tab/>
        <w:t>If a strata plan identifies an encroachment outside the parcel that is to be controlled and managed as common property, the encroachment is to be regarded, for this Act, as if it were common property.</w:t>
      </w:r>
    </w:p>
    <w:p>
      <w:pPr>
        <w:pStyle w:val="nzHeading5"/>
      </w:pPr>
      <w:bookmarkStart w:id="685" w:name="_Toc530474353"/>
      <w:bookmarkStart w:id="686" w:name="_Toc530474948"/>
      <w:r>
        <w:t>11.</w:t>
      </w:r>
      <w:r>
        <w:tab/>
        <w:t>Subdivision of land by strata titles scheme</w:t>
      </w:r>
      <w:bookmarkEnd w:id="685"/>
      <w:bookmarkEnd w:id="686"/>
    </w:p>
    <w:p>
      <w:pPr>
        <w:pStyle w:val="nz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nzIndenta"/>
      </w:pPr>
      <w:r>
        <w:tab/>
        <w:t>(a)</w:t>
      </w:r>
      <w:r>
        <w:tab/>
        <w:t>by registration of the scheme; or</w:t>
      </w:r>
    </w:p>
    <w:p>
      <w:pPr>
        <w:pStyle w:val="nzIndenta"/>
      </w:pPr>
      <w:r>
        <w:tab/>
        <w:t>(b)</w:t>
      </w:r>
      <w:r>
        <w:tab/>
        <w:t>by registration of an amendment of the scheme.</w:t>
      </w:r>
    </w:p>
    <w:p>
      <w:pPr>
        <w:pStyle w:val="nzSubsection"/>
      </w:pPr>
      <w:r>
        <w:tab/>
        <w:t>(2)</w:t>
      </w:r>
      <w:r>
        <w:tab/>
        <w:t xml:space="preserve">Registration of an amendment of a strata titles scheme gives effect to a </w:t>
      </w:r>
      <w:r>
        <w:rPr>
          <w:rStyle w:val="CharDefText"/>
        </w:rPr>
        <w:t>subdivision</w:t>
      </w:r>
      <w:r>
        <w:t xml:space="preserve"> if it —</w:t>
      </w:r>
    </w:p>
    <w:p>
      <w:pPr>
        <w:pStyle w:val="nzIndenta"/>
      </w:pPr>
      <w:r>
        <w:tab/>
        <w:t>(a)</w:t>
      </w:r>
      <w:r>
        <w:tab/>
        <w:t>effects a change to the definition of a lot in the scheme; or</w:t>
      </w:r>
    </w:p>
    <w:p>
      <w:pPr>
        <w:pStyle w:val="nzIndenta"/>
      </w:pPr>
      <w:r>
        <w:tab/>
        <w:t>(b)</w:t>
      </w:r>
      <w:r>
        <w:tab/>
        <w:t>effects a change to the boundary of the parcel of land subdivided by the scheme.</w:t>
      </w:r>
    </w:p>
    <w:p>
      <w:pPr>
        <w:pStyle w:val="nzPermNoteHeading"/>
      </w:pPr>
      <w:r>
        <w:tab/>
        <w:t>Note for this section:</w:t>
      </w:r>
    </w:p>
    <w:p>
      <w:pPr>
        <w:pStyle w:val="nzPermNoteText"/>
      </w:pPr>
      <w:r>
        <w:tab/>
        <w:t>1.</w:t>
      </w:r>
      <w:r>
        <w:tab/>
        <w:t>There are 4 types of amendment of a strata titles scheme that give effect to a subdivision, with varying requirements for resolutions and consents:</w:t>
      </w:r>
    </w:p>
    <w:p>
      <w:pPr>
        <w:pStyle w:val="nzPermNoteText"/>
      </w:pPr>
      <w:r>
        <w:tab/>
      </w:r>
      <w:r>
        <w:tab/>
        <w:t>A type 1 subdivision covers adding land from outside the parcel to the common property (other than as temporary common property) and what was formerly referred to as conversion of lots into common property.</w:t>
      </w:r>
    </w:p>
    <w:p>
      <w:pPr>
        <w:pStyle w:val="nzPermNoteText"/>
      </w:pPr>
      <w:r>
        <w:tab/>
      </w:r>
      <w:r>
        <w:tab/>
        <w:t>A type 2 subdivision covers the removal of common property from the parcel of a strata titles scheme.</w:t>
      </w:r>
    </w:p>
    <w:p>
      <w:pPr>
        <w:pStyle w:val="nzPermNoteText"/>
      </w:pPr>
      <w:r>
        <w:tab/>
      </w:r>
      <w:r>
        <w:tab/>
        <w:t>A type 3 subdivision covers what was formerly referred to as consolidation of lots.</w:t>
      </w:r>
    </w:p>
    <w:p>
      <w:pPr>
        <w:pStyle w:val="nzPermNoteText"/>
      </w:pPr>
      <w:r>
        <w:tab/>
      </w:r>
      <w:r>
        <w:tab/>
        <w:t>A type 4 subdivision covers what was formerly referred to as re</w:t>
      </w:r>
      <w:r>
        <w:noBreakHyphen/>
        <w:t>subdivision.</w:t>
      </w:r>
    </w:p>
    <w:p>
      <w:pPr>
        <w:pStyle w:val="n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nzPermNoteText"/>
      </w:pPr>
      <w:r>
        <w:tab/>
      </w:r>
      <w:r>
        <w:tab/>
        <w:t>1 or more lots so as to create only 2 or more different lots; or</w:t>
      </w:r>
    </w:p>
    <w:p>
      <w:pPr>
        <w:pStyle w:val="nzPermNoteText"/>
      </w:pPr>
      <w:r>
        <w:tab/>
      </w:r>
      <w:r>
        <w:tab/>
        <w:t>1 or more lots so as to create 1 or more different lots and common property; or</w:t>
      </w:r>
    </w:p>
    <w:p>
      <w:pPr>
        <w:pStyle w:val="nzPermNoteText"/>
      </w:pPr>
      <w:r>
        <w:tab/>
      </w:r>
      <w:r>
        <w:tab/>
        <w:t>1 or more lots and common property so as to create 1 or more different lots or 1 or more different lots and common property; or</w:t>
      </w:r>
    </w:p>
    <w:p>
      <w:pPr>
        <w:pStyle w:val="nzPermNoteText"/>
      </w:pPr>
      <w:r>
        <w:tab/>
      </w:r>
      <w:r>
        <w:tab/>
        <w:t>common property so as to create 1 or more lots or 1 or more lots and common property.</w:t>
      </w:r>
    </w:p>
    <w:p>
      <w:pPr>
        <w:pStyle w:val="nzPermNoteText"/>
      </w:pPr>
      <w:r>
        <w:tab/>
        <w:t>3.</w:t>
      </w:r>
      <w:r>
        <w:tab/>
        <w:t>Schedule 2A provides special provisions relating to subdivision in a single tier strata scheme.</w:t>
      </w:r>
    </w:p>
    <w:p>
      <w:pPr>
        <w:pStyle w:val="nzHeading5"/>
      </w:pPr>
      <w:bookmarkStart w:id="687" w:name="_Toc530474354"/>
      <w:bookmarkStart w:id="688" w:name="_Toc530474949"/>
      <w:r>
        <w:t>12.</w:t>
      </w:r>
      <w:r>
        <w:tab/>
        <w:t>Registration of strata titles scheme</w:t>
      </w:r>
      <w:bookmarkEnd w:id="687"/>
      <w:bookmarkEnd w:id="688"/>
    </w:p>
    <w:p>
      <w:pPr>
        <w:pStyle w:val="nz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nzIndenta"/>
      </w:pPr>
      <w:r>
        <w:tab/>
        <w:t>(a)</w:t>
      </w:r>
      <w:r>
        <w:tab/>
        <w:t>for a freehold scheme —</w:t>
      </w:r>
    </w:p>
    <w:p>
      <w:pPr>
        <w:pStyle w:val="nzIndenti"/>
      </w:pPr>
      <w:r>
        <w:tab/>
        <w:t>(i)</w:t>
      </w:r>
      <w:r>
        <w:tab/>
        <w:t>a scheme notice;</w:t>
      </w:r>
    </w:p>
    <w:p>
      <w:pPr>
        <w:pStyle w:val="nzIndenti"/>
      </w:pPr>
      <w:r>
        <w:tab/>
        <w:t>(ii)</w:t>
      </w:r>
      <w:r>
        <w:tab/>
        <w:t>a scheme plan;</w:t>
      </w:r>
    </w:p>
    <w:p>
      <w:pPr>
        <w:pStyle w:val="nzIndenti"/>
      </w:pPr>
      <w:r>
        <w:tab/>
        <w:t>(iii)</w:t>
      </w:r>
      <w:r>
        <w:tab/>
        <w:t>a schedule of unit entitlements;</w:t>
      </w:r>
    </w:p>
    <w:p>
      <w:pPr>
        <w:pStyle w:val="nzIndenti"/>
      </w:pPr>
      <w:r>
        <w:tab/>
        <w:t>(iv)</w:t>
      </w:r>
      <w:r>
        <w:tab/>
        <w:t>scheme by</w:t>
      </w:r>
      <w:r>
        <w:noBreakHyphen/>
        <w:t>laws;</w:t>
      </w:r>
    </w:p>
    <w:p>
      <w:pPr>
        <w:pStyle w:val="nzIndenta"/>
      </w:pPr>
      <w:r>
        <w:tab/>
        <w:t>(b)</w:t>
      </w:r>
      <w:r>
        <w:tab/>
        <w:t>for a leasehold scheme —</w:t>
      </w:r>
    </w:p>
    <w:p>
      <w:pPr>
        <w:pStyle w:val="nzIndenti"/>
      </w:pPr>
      <w:r>
        <w:tab/>
        <w:t>(i)</w:t>
      </w:r>
      <w:r>
        <w:tab/>
        <w:t>a scheme notice (which must specify the expiry day for the scheme);</w:t>
      </w:r>
    </w:p>
    <w:p>
      <w:pPr>
        <w:pStyle w:val="nzIndenti"/>
      </w:pPr>
      <w:r>
        <w:tab/>
        <w:t>(ii)</w:t>
      </w:r>
      <w:r>
        <w:tab/>
        <w:t>a scheme plan;</w:t>
      </w:r>
    </w:p>
    <w:p>
      <w:pPr>
        <w:pStyle w:val="nzIndenti"/>
      </w:pPr>
      <w:r>
        <w:tab/>
        <w:t>(iii)</w:t>
      </w:r>
      <w:r>
        <w:tab/>
        <w:t>a schedule of unit entitlements;</w:t>
      </w:r>
    </w:p>
    <w:p>
      <w:pPr>
        <w:pStyle w:val="nzIndenti"/>
      </w:pPr>
      <w:r>
        <w:tab/>
        <w:t>(iv)</w:t>
      </w:r>
      <w:r>
        <w:tab/>
        <w:t>scheme by</w:t>
      </w:r>
      <w:r>
        <w:noBreakHyphen/>
        <w:t>laws;</w:t>
      </w:r>
    </w:p>
    <w:p>
      <w:pPr>
        <w:pStyle w:val="nzIndenti"/>
      </w:pPr>
      <w:r>
        <w:tab/>
        <w:t>(v)</w:t>
      </w:r>
      <w:r>
        <w:tab/>
        <w:t>a strata lease for each lot.</w:t>
      </w:r>
    </w:p>
    <w:p>
      <w:pPr>
        <w:pStyle w:val="nzPermNoteHeading"/>
      </w:pPr>
      <w:r>
        <w:tab/>
        <w:t>Note for this subsection:</w:t>
      </w:r>
    </w:p>
    <w:p>
      <w:pPr>
        <w:pStyle w:val="nz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nzSubsection"/>
      </w:pPr>
      <w:r>
        <w:tab/>
        <w:t>(2)</w:t>
      </w:r>
      <w:r>
        <w:tab/>
        <w:t>A registered strata titles scheme is amended when amendments of the relevant scheme documents, or replacements of the relevant scheme documents, are registered or recorded and incorporated in the Register.</w:t>
      </w:r>
    </w:p>
    <w:p>
      <w:pPr>
        <w:pStyle w:val="nzPermNoteHeading"/>
      </w:pPr>
      <w:r>
        <w:tab/>
        <w:t>Note for this subsection:</w:t>
      </w:r>
    </w:p>
    <w:p>
      <w:pPr>
        <w:pStyle w:val="nzPermNoteText"/>
      </w:pPr>
      <w:r>
        <w:tab/>
      </w:r>
      <w:r>
        <w:tab/>
        <w:t>The amendment may be necessary to give effect to a subdivision of land as referred to in section 11(2) or it may be unrelated to a subdivision of land, comprising, for example —</w:t>
      </w:r>
    </w:p>
    <w:p>
      <w:pPr>
        <w:pStyle w:val="nzPermNoteText"/>
      </w:pPr>
      <w:r>
        <w:tab/>
      </w:r>
      <w:r>
        <w:tab/>
        <w:t>the amendment of the scheme notice so as to amend the name or address for service of the strata company; or</w:t>
      </w:r>
    </w:p>
    <w:p>
      <w:pPr>
        <w:pStyle w:val="nzPermNoteText"/>
      </w:pPr>
      <w:r>
        <w:tab/>
      </w:r>
      <w:r>
        <w:tab/>
        <w:t>the amendment or replacement of the scheme plan for the strata titles scheme for a purpose related to an easement or restrictive covenant or a restricted use condition; or</w:t>
      </w:r>
    </w:p>
    <w:p>
      <w:pPr>
        <w:pStyle w:val="nzPermNoteText"/>
      </w:pPr>
      <w:r>
        <w:tab/>
      </w:r>
      <w:r>
        <w:tab/>
        <w:t>the amendment or replacement of the schedule of unit entitlements for the strata titles scheme because of a new valuation of lots; or</w:t>
      </w:r>
    </w:p>
    <w:p>
      <w:pPr>
        <w:pStyle w:val="nzPermNoteText"/>
      </w:pPr>
      <w:r>
        <w:tab/>
      </w:r>
      <w:r>
        <w:tab/>
        <w:t>the amendment or replacement of scheme by</w:t>
      </w:r>
      <w:r>
        <w:noBreakHyphen/>
        <w:t>laws.</w:t>
      </w:r>
    </w:p>
    <w:p>
      <w:pPr>
        <w:pStyle w:val="nzSubsection"/>
      </w:pPr>
      <w:r>
        <w:tab/>
        <w:t>(3)</w:t>
      </w:r>
      <w:r>
        <w:tab/>
        <w:t>If a registered leasehold scheme is amended to give effect to a subdivision involving the creation of new lots, a strata lease must be registered as a scheme document for each new lot.</w:t>
      </w:r>
    </w:p>
    <w:p>
      <w:pPr>
        <w:pStyle w:val="nzHeading5"/>
      </w:pPr>
      <w:bookmarkStart w:id="689" w:name="_Toc530474355"/>
      <w:bookmarkStart w:id="690" w:name="_Toc530474950"/>
      <w:r>
        <w:t>13.</w:t>
      </w:r>
      <w:r>
        <w:tab/>
        <w:t>Strata titles</w:t>
      </w:r>
      <w:bookmarkEnd w:id="689"/>
      <w:bookmarkEnd w:id="690"/>
    </w:p>
    <w:p>
      <w:pPr>
        <w:pStyle w:val="nzSubsection"/>
      </w:pPr>
      <w:r>
        <w:tab/>
        <w:t>(1)</w:t>
      </w:r>
      <w:r>
        <w:tab/>
        <w:t xml:space="preserve">The title to the land comprised in a lot is referred to as a </w:t>
      </w:r>
      <w:r>
        <w:rPr>
          <w:rStyle w:val="CharDefText"/>
        </w:rPr>
        <w:t>strata title</w:t>
      </w:r>
      <w:r>
        <w:t>.</w:t>
      </w:r>
    </w:p>
    <w:p>
      <w:pPr>
        <w:pStyle w:val="nzSubsection"/>
      </w:pPr>
      <w:r>
        <w:tab/>
        <w:t>(2)</w:t>
      </w:r>
      <w:r>
        <w:tab/>
        <w:t xml:space="preserve">A certificate of title must be created and registered for each strata title under the </w:t>
      </w:r>
      <w:r>
        <w:rPr>
          <w:i/>
        </w:rPr>
        <w:t>Transfer of Land Act 1893</w:t>
      </w:r>
      <w:r>
        <w:t>.</w:t>
      </w:r>
    </w:p>
    <w:p>
      <w:pPr>
        <w:pStyle w:val="nzPermNoteHeading"/>
      </w:pPr>
      <w:r>
        <w:tab/>
        <w:t>Note for this subsection:</w:t>
      </w:r>
    </w:p>
    <w:p>
      <w:pPr>
        <w:pStyle w:val="nzPermNoteText"/>
      </w:pPr>
      <w:r>
        <w:tab/>
      </w:r>
      <w:r>
        <w:tab/>
        <w:t>A separate certificate of title is not created for common property.</w:t>
      </w:r>
    </w:p>
    <w:p>
      <w:pPr>
        <w:pStyle w:val="nzSubsection"/>
      </w:pPr>
      <w:r>
        <w:tab/>
        <w:t>(3)</w:t>
      </w:r>
      <w:r>
        <w:tab/>
        <w:t>For a leasehold scheme, the existence of the scheme and its expiry day must be endorsed on the certificate of title for each strata title for a lot in the scheme.</w:t>
      </w:r>
    </w:p>
    <w:p>
      <w:pPr>
        <w:pStyle w:val="nz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nzIndenta"/>
      </w:pPr>
      <w:r>
        <w:tab/>
        <w:t>(a)</w:t>
      </w:r>
      <w:r>
        <w:tab/>
        <w:t>there is 1 strata title registered for each lot in the scheme or the scheme as amended; and</w:t>
      </w:r>
    </w:p>
    <w:p>
      <w:pPr>
        <w:pStyle w:val="nzIndenta"/>
      </w:pPr>
      <w:r>
        <w:tab/>
        <w:t>(b)</w:t>
      </w:r>
      <w:r>
        <w:tab/>
        <w:t>the strata title for a lot confers the rights on the owner of the lot as set out in this section.</w:t>
      </w:r>
    </w:p>
    <w:p>
      <w:pPr>
        <w:pStyle w:val="nzSubsection"/>
      </w:pPr>
      <w:r>
        <w:tab/>
        <w:t>(5)</w:t>
      </w:r>
      <w:r>
        <w:tab/>
        <w:t>When a new lot is created and a strata title comes into existence, it vests as follows —</w:t>
      </w:r>
    </w:p>
    <w:p>
      <w:pPr>
        <w:pStyle w:val="nz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nzIndenta"/>
      </w:pPr>
      <w:r>
        <w:tab/>
        <w:t>(b)</w:t>
      </w:r>
      <w:r>
        <w:tab/>
        <w:t>in the case of a lot that is being subdivided, in the person who is, immediately before the new lot is created, the owner of that lot;</w:t>
      </w:r>
    </w:p>
    <w:p>
      <w:pPr>
        <w:pStyle w:val="nz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nz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nzSubsection"/>
      </w:pPr>
      <w:r>
        <w:tab/>
        <w:t>(7)</w:t>
      </w:r>
      <w:r>
        <w:tab/>
        <w:t>When a strata title for a lot in a freehold scheme comes into existence it confers on the owner of the lot —</w:t>
      </w:r>
    </w:p>
    <w:p>
      <w:pPr>
        <w:pStyle w:val="nzIndenta"/>
      </w:pPr>
      <w:r>
        <w:tab/>
        <w:t>(a)</w:t>
      </w:r>
      <w:r>
        <w:tab/>
        <w:t xml:space="preserve">rights as the proprietor of a fee simple estate in the lot under the </w:t>
      </w:r>
      <w:r>
        <w:rPr>
          <w:i/>
        </w:rPr>
        <w:t>Transfer of Land Act 1893</w:t>
      </w:r>
      <w:r>
        <w:t>; and</w:t>
      </w:r>
    </w:p>
    <w:p>
      <w:pPr>
        <w:pStyle w:val="nz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nzIndenta"/>
      </w:pPr>
      <w:r>
        <w:tab/>
        <w:t>(c)</w:t>
      </w:r>
      <w:r>
        <w:tab/>
        <w:t>an undivided share of the temporary common property as a tenant in common with the other owners of lots in the scheme, proportional to the unit entitlements of their respective lots.</w:t>
      </w:r>
    </w:p>
    <w:p>
      <w:pPr>
        <w:pStyle w:val="nzSubsection"/>
      </w:pPr>
      <w:r>
        <w:tab/>
        <w:t>(8)</w:t>
      </w:r>
      <w:r>
        <w:tab/>
        <w:t>When a strata title for a lot in a leasehold scheme comes into existence it confers on the owner of the lot, subject to Part 4 Division 5 —</w:t>
      </w:r>
    </w:p>
    <w:p>
      <w:pPr>
        <w:pStyle w:val="nzIndenta"/>
      </w:pPr>
      <w:r>
        <w:tab/>
        <w:t>(a)</w:t>
      </w:r>
      <w:r>
        <w:tab/>
        <w:t xml:space="preserve">rights as the proprietor of a strata leasehold estate in the lot under the </w:t>
      </w:r>
      <w:r>
        <w:rPr>
          <w:i/>
        </w:rPr>
        <w:t>Transfer of Land Act 1893</w:t>
      </w:r>
      <w:r>
        <w:t>; and</w:t>
      </w:r>
    </w:p>
    <w:p>
      <w:pPr>
        <w:pStyle w:val="nzIndenta"/>
      </w:pPr>
      <w:r>
        <w:tab/>
        <w:t>(b)</w:t>
      </w:r>
      <w:r>
        <w:tab/>
        <w:t>an undivided share of the strata leasehold estate in the common property as a tenant in common with the other owners of lots in the scheme, proportional to the unit entitlements of their respective lots; and</w:t>
      </w:r>
    </w:p>
    <w:p>
      <w:pPr>
        <w:pStyle w:val="nzIndenta"/>
      </w:pPr>
      <w:r>
        <w:tab/>
        <w:t>(c)</w:t>
      </w:r>
      <w:r>
        <w:tab/>
        <w:t>an undivided share of the temporary common property as a tenant in common with the other owners of lots in the scheme, proportional to the unit entitlements of their respective lots.</w:t>
      </w:r>
    </w:p>
    <w:p>
      <w:pPr>
        <w:pStyle w:val="nzSubsection"/>
      </w:pPr>
      <w:r>
        <w:tab/>
        <w:t>(9)</w:t>
      </w:r>
      <w:r>
        <w:tab/>
        <w:t>The owner of a lot cannot separately deal with or dispose of the owner’s share in the common property of the strata titles scheme.</w:t>
      </w:r>
    </w:p>
    <w:p>
      <w:pPr>
        <w:pStyle w:val="nz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nz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nzSubsection"/>
      </w:pPr>
      <w:r>
        <w:tab/>
        <w:t>(12)</w:t>
      </w:r>
      <w:r>
        <w:tab/>
        <w:t>The owner of a lot in a leasehold scheme cannot deal with the strata lease separately from the strata title.</w:t>
      </w:r>
    </w:p>
    <w:p>
      <w:pPr>
        <w:pStyle w:val="nzHeading5"/>
        <w:rPr>
          <w:snapToGrid w:val="0"/>
        </w:rPr>
      </w:pPr>
      <w:bookmarkStart w:id="691" w:name="_Toc530474356"/>
      <w:bookmarkStart w:id="692" w:name="_Toc530474951"/>
      <w:r>
        <w:rPr>
          <w:snapToGrid w:val="0"/>
        </w:rPr>
        <w:t>14.</w:t>
      </w:r>
      <w:r>
        <w:rPr>
          <w:snapToGrid w:val="0"/>
        </w:rPr>
        <w:tab/>
        <w:t>Strata company</w:t>
      </w:r>
      <w:bookmarkEnd w:id="691"/>
      <w:bookmarkEnd w:id="692"/>
    </w:p>
    <w:p>
      <w:pPr>
        <w:pStyle w:val="nzSubsection"/>
        <w:rPr>
          <w:snapToGrid w:val="0"/>
        </w:rPr>
      </w:pPr>
      <w:r>
        <w:rPr>
          <w:snapToGrid w:val="0"/>
        </w:rPr>
        <w:tab/>
        <w:t>(1)</w:t>
      </w:r>
      <w:r>
        <w:rPr>
          <w:snapToGrid w:val="0"/>
        </w:rPr>
        <w:tab/>
        <w:t>On registration of a strata titles scheme, a strata company is established for the strata titles scheme.</w:t>
      </w:r>
    </w:p>
    <w:p>
      <w:pPr>
        <w:pStyle w:val="nzSubsection"/>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the Registrar of Titles</w:t>
      </w:r>
      <w:r>
        <w:rPr>
          <w:snapToGrid w:val="0"/>
        </w:rPr>
        <w:t>])”.</w:t>
      </w:r>
    </w:p>
    <w:p>
      <w:pPr>
        <w:pStyle w:val="nzSubsection"/>
        <w:rPr>
          <w:snapToGrid w:val="0"/>
        </w:rPr>
      </w:pPr>
      <w:r>
        <w:rPr>
          <w:snapToGrid w:val="0"/>
        </w:rPr>
        <w:tab/>
        <w:t>(3)</w:t>
      </w:r>
      <w:r>
        <w:rPr>
          <w:snapToGrid w:val="0"/>
        </w:rPr>
        <w:tab/>
        <w:t>The name of the strata titles scheme is the name stated in the scheme notice.</w:t>
      </w:r>
    </w:p>
    <w:p>
      <w:pPr>
        <w:pStyle w:val="nzSubsection"/>
        <w:rPr>
          <w:snapToGrid w:val="0"/>
        </w:rPr>
      </w:pPr>
      <w:r>
        <w:rPr>
          <w:snapToGrid w:val="0"/>
        </w:rPr>
        <w:tab/>
        <w:t>(4)</w:t>
      </w:r>
      <w:r>
        <w:rPr>
          <w:snapToGrid w:val="0"/>
        </w:rPr>
        <w:tab/>
        <w:t>The address for service of the strata company is the address for service stated in the scheme notice.</w:t>
      </w:r>
    </w:p>
    <w:p>
      <w:pPr>
        <w:pStyle w:val="nzSubsection"/>
        <w:rPr>
          <w:snapToGrid w:val="0"/>
        </w:rPr>
      </w:pPr>
      <w:r>
        <w:rPr>
          <w:snapToGrid w:val="0"/>
        </w:rPr>
        <w:tab/>
        <w:t>(5)</w:t>
      </w:r>
      <w:r>
        <w:rPr>
          <w:snapToGrid w:val="0"/>
        </w:rPr>
        <w:tab/>
        <w:t>A strata company —</w:t>
      </w:r>
    </w:p>
    <w:p>
      <w:pPr>
        <w:pStyle w:val="nzIndenta"/>
      </w:pPr>
      <w:r>
        <w:tab/>
        <w:t>(a)</w:t>
      </w:r>
      <w:r>
        <w:tab/>
        <w:t>is a body corporate; and</w:t>
      </w:r>
    </w:p>
    <w:p>
      <w:pPr>
        <w:pStyle w:val="nzIndenta"/>
      </w:pPr>
      <w:r>
        <w:tab/>
        <w:t>(b)</w:t>
      </w:r>
      <w:r>
        <w:tab/>
        <w:t>has perpetual succession; and</w:t>
      </w:r>
    </w:p>
    <w:p>
      <w:pPr>
        <w:pStyle w:val="nzIndenta"/>
      </w:pPr>
      <w:r>
        <w:tab/>
        <w:t>(c)</w:t>
      </w:r>
      <w:r>
        <w:tab/>
        <w:t>is capable of suing and being sued in its own name; and</w:t>
      </w:r>
    </w:p>
    <w:p>
      <w:pPr>
        <w:pStyle w:val="nzIndenta"/>
      </w:pPr>
      <w:r>
        <w:tab/>
        <w:t>(d)</w:t>
      </w:r>
      <w:r>
        <w:tab/>
        <w:t>has, subject to this Act, all the powers of a natural person that are capable of being exercised by a body corporate.</w:t>
      </w:r>
    </w:p>
    <w:p>
      <w:pPr>
        <w:pStyle w:val="nzSubsection"/>
        <w:rPr>
          <w:snapToGrid w:val="0"/>
        </w:rPr>
      </w:pPr>
      <w:r>
        <w:rPr>
          <w:snapToGrid w:val="0"/>
        </w:rPr>
        <w:tab/>
        <w:t>(6)</w:t>
      </w:r>
      <w:r>
        <w:rPr>
          <w:snapToGrid w:val="0"/>
        </w:rPr>
        <w:tab/>
        <w:t>The governing body of a strata company is the council of the strata company.</w:t>
      </w:r>
    </w:p>
    <w:p>
      <w:pPr>
        <w:pStyle w:val="nzSubsection"/>
        <w:rPr>
          <w:snapToGrid w:val="0"/>
        </w:rPr>
      </w:pPr>
      <w:r>
        <w:rPr>
          <w:snapToGrid w:val="0"/>
        </w:rPr>
        <w:tab/>
        <w:t>(7)</w:t>
      </w:r>
      <w:r>
        <w:rPr>
          <w:snapToGrid w:val="0"/>
        </w:rPr>
        <w:tab/>
        <w:t>A strata company may have a common seal, but it does not have to do so.</w:t>
      </w:r>
    </w:p>
    <w:p>
      <w:pPr>
        <w:pStyle w:val="nz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nzHeading2"/>
      </w:pPr>
      <w:bookmarkStart w:id="693" w:name="_Toc517437559"/>
      <w:bookmarkStart w:id="694" w:name="_Toc517438101"/>
      <w:bookmarkStart w:id="695" w:name="_Toc517440438"/>
      <w:bookmarkStart w:id="696" w:name="_Toc517447475"/>
      <w:bookmarkStart w:id="697" w:name="_Toc517449953"/>
      <w:bookmarkStart w:id="698" w:name="_Toc517450495"/>
      <w:bookmarkStart w:id="699" w:name="_Toc517856951"/>
      <w:bookmarkStart w:id="700" w:name="_Toc518293078"/>
      <w:bookmarkStart w:id="701" w:name="_Toc522744306"/>
      <w:bookmarkStart w:id="702" w:name="_Toc522747429"/>
      <w:bookmarkStart w:id="703" w:name="_Toc529183266"/>
      <w:bookmarkStart w:id="704" w:name="_Toc529188029"/>
      <w:bookmarkStart w:id="705" w:name="_Toc529434542"/>
      <w:bookmarkStart w:id="706" w:name="_Toc529524433"/>
      <w:bookmarkStart w:id="707" w:name="_Toc530474357"/>
      <w:bookmarkStart w:id="708" w:name="_Toc530474952"/>
      <w:r>
        <w:t>Part 3</w:t>
      </w:r>
      <w:r>
        <w:rPr>
          <w:b w:val="0"/>
        </w:rPr>
        <w:t> </w:t>
      </w:r>
      <w:r>
        <w:t>—</w:t>
      </w:r>
      <w:r>
        <w:rPr>
          <w:b w:val="0"/>
        </w:rPr>
        <w:t> </w:t>
      </w:r>
      <w:r>
        <w:t>Planning and development</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zHeading3"/>
      </w:pPr>
      <w:bookmarkStart w:id="709" w:name="_Toc517437560"/>
      <w:bookmarkStart w:id="710" w:name="_Toc517438102"/>
      <w:bookmarkStart w:id="711" w:name="_Toc517440439"/>
      <w:bookmarkStart w:id="712" w:name="_Toc517447476"/>
      <w:bookmarkStart w:id="713" w:name="_Toc517449954"/>
      <w:bookmarkStart w:id="714" w:name="_Toc517450496"/>
      <w:bookmarkStart w:id="715" w:name="_Toc517856952"/>
      <w:bookmarkStart w:id="716" w:name="_Toc518293079"/>
      <w:bookmarkStart w:id="717" w:name="_Toc522744307"/>
      <w:bookmarkStart w:id="718" w:name="_Toc522747430"/>
      <w:bookmarkStart w:id="719" w:name="_Toc529183267"/>
      <w:bookmarkStart w:id="720" w:name="_Toc529188030"/>
      <w:bookmarkStart w:id="721" w:name="_Toc529434543"/>
      <w:bookmarkStart w:id="722" w:name="_Toc529524434"/>
      <w:bookmarkStart w:id="723" w:name="_Toc530474358"/>
      <w:bookmarkStart w:id="724" w:name="_Toc530474953"/>
      <w:r>
        <w:t>Division 1 — Planning approvals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zHeading4"/>
      </w:pPr>
      <w:bookmarkStart w:id="725" w:name="_Toc517437561"/>
      <w:bookmarkStart w:id="726" w:name="_Toc517438103"/>
      <w:bookmarkStart w:id="727" w:name="_Toc517440440"/>
      <w:bookmarkStart w:id="728" w:name="_Toc517447477"/>
      <w:bookmarkStart w:id="729" w:name="_Toc517449955"/>
      <w:bookmarkStart w:id="730" w:name="_Toc517450497"/>
      <w:bookmarkStart w:id="731" w:name="_Toc517856953"/>
      <w:bookmarkStart w:id="732" w:name="_Toc518293080"/>
      <w:bookmarkStart w:id="733" w:name="_Toc522744308"/>
      <w:bookmarkStart w:id="734" w:name="_Toc522747431"/>
      <w:bookmarkStart w:id="735" w:name="_Toc529183268"/>
      <w:bookmarkStart w:id="736" w:name="_Toc529188031"/>
      <w:bookmarkStart w:id="737" w:name="_Toc529434544"/>
      <w:bookmarkStart w:id="738" w:name="_Toc529524435"/>
      <w:bookmarkStart w:id="739" w:name="_Toc530474359"/>
      <w:bookmarkStart w:id="740" w:name="_Toc530474954"/>
      <w:r>
        <w:t>Subdivision 1  — Strata schemes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zHeading5"/>
      </w:pPr>
      <w:bookmarkStart w:id="741" w:name="_Toc530474360"/>
      <w:bookmarkStart w:id="742" w:name="_Toc530474955"/>
      <w:r>
        <w:t>15.</w:t>
      </w:r>
      <w:r>
        <w:tab/>
        <w:t>Subdivision approval of strata scheme</w:t>
      </w:r>
      <w:bookmarkEnd w:id="741"/>
      <w:bookmarkEnd w:id="742"/>
    </w:p>
    <w:p>
      <w:pPr>
        <w:pStyle w:val="nz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nz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nz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nz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nzSubsection"/>
        <w:rPr>
          <w:snapToGrid w:val="0"/>
        </w:rPr>
      </w:pPr>
      <w:r>
        <w:rPr>
          <w:snapToGrid w:val="0"/>
        </w:rPr>
        <w:tab/>
        <w:t>(5)</w:t>
      </w:r>
      <w:r>
        <w:rPr>
          <w:snapToGrid w:val="0"/>
        </w:rPr>
        <w:tab/>
        <w:t>An application under this section must —</w:t>
      </w:r>
    </w:p>
    <w:p>
      <w:pPr>
        <w:pStyle w:val="nzIndenta"/>
      </w:pPr>
      <w:r>
        <w:tab/>
        <w:t>(a)</w:t>
      </w:r>
      <w:r>
        <w:tab/>
        <w:t>be in the approved form; and</w:t>
      </w:r>
    </w:p>
    <w:p>
      <w:pPr>
        <w:pStyle w:val="nzIndenta"/>
      </w:pPr>
      <w:r>
        <w:tab/>
        <w:t>(b)</w:t>
      </w:r>
      <w:r>
        <w:tab/>
        <w:t>be accompanied by the fee fixed by the regulations.</w:t>
      </w:r>
    </w:p>
    <w:p>
      <w:pPr>
        <w:pStyle w:val="nz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nzHeading5"/>
        <w:rPr>
          <w:snapToGrid w:val="0"/>
        </w:rPr>
      </w:pPr>
      <w:bookmarkStart w:id="743" w:name="_Toc530474361"/>
      <w:bookmarkStart w:id="744" w:name="_Toc530474956"/>
      <w:r>
        <w:t>16</w:t>
      </w:r>
      <w:r>
        <w:rPr>
          <w:snapToGrid w:val="0"/>
        </w:rPr>
        <w:t>.</w:t>
      </w:r>
      <w:r>
        <w:rPr>
          <w:snapToGrid w:val="0"/>
        </w:rPr>
        <w:tab/>
        <w:t>Application of Planning and Development Act</w:t>
      </w:r>
      <w:bookmarkEnd w:id="743"/>
      <w:bookmarkEnd w:id="744"/>
    </w:p>
    <w:p>
      <w:pPr>
        <w:pStyle w:val="nz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nz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nzHeading4"/>
      </w:pPr>
      <w:bookmarkStart w:id="745" w:name="_Toc517437564"/>
      <w:bookmarkStart w:id="746" w:name="_Toc517438106"/>
      <w:bookmarkStart w:id="747" w:name="_Toc517440443"/>
      <w:bookmarkStart w:id="748" w:name="_Toc517447480"/>
      <w:bookmarkStart w:id="749" w:name="_Toc517449958"/>
      <w:bookmarkStart w:id="750" w:name="_Toc517450500"/>
      <w:bookmarkStart w:id="751" w:name="_Toc517856956"/>
      <w:bookmarkStart w:id="752" w:name="_Toc518293083"/>
      <w:bookmarkStart w:id="753" w:name="_Toc522744311"/>
      <w:bookmarkStart w:id="754" w:name="_Toc522747434"/>
      <w:bookmarkStart w:id="755" w:name="_Toc529183271"/>
      <w:bookmarkStart w:id="756" w:name="_Toc529188034"/>
      <w:bookmarkStart w:id="757" w:name="_Toc529434547"/>
      <w:bookmarkStart w:id="758" w:name="_Toc529524438"/>
      <w:bookmarkStart w:id="759" w:name="_Toc530474362"/>
      <w:bookmarkStart w:id="760" w:name="_Toc530474957"/>
      <w:r>
        <w:t>Subdivision 2 — Survey</w:t>
      </w:r>
      <w:r>
        <w:noBreakHyphen/>
        <w:t>strata schemes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nzHeading5"/>
        <w:rPr>
          <w:snapToGrid w:val="0"/>
        </w:rPr>
      </w:pPr>
      <w:bookmarkStart w:id="761" w:name="_Toc530474363"/>
      <w:bookmarkStart w:id="762" w:name="_Toc530474958"/>
      <w:r>
        <w:t>17</w:t>
      </w:r>
      <w:r>
        <w:rPr>
          <w:snapToGrid w:val="0"/>
        </w:rPr>
        <w:t>.</w:t>
      </w:r>
      <w:r>
        <w:rPr>
          <w:snapToGrid w:val="0"/>
        </w:rPr>
        <w:tab/>
        <w:t>Subdivision approval of survey</w:t>
      </w:r>
      <w:r>
        <w:rPr>
          <w:snapToGrid w:val="0"/>
        </w:rPr>
        <w:noBreakHyphen/>
        <w:t>strata scheme</w:t>
      </w:r>
      <w:bookmarkEnd w:id="761"/>
      <w:bookmarkEnd w:id="762"/>
    </w:p>
    <w:p>
      <w:pPr>
        <w:pStyle w:val="nz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nz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nz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nzHeading4"/>
      </w:pPr>
      <w:bookmarkStart w:id="763" w:name="_Toc517437566"/>
      <w:bookmarkStart w:id="764" w:name="_Toc517438108"/>
      <w:bookmarkStart w:id="765" w:name="_Toc517440445"/>
      <w:bookmarkStart w:id="766" w:name="_Toc517447482"/>
      <w:bookmarkStart w:id="767" w:name="_Toc517449960"/>
      <w:bookmarkStart w:id="768" w:name="_Toc517450502"/>
      <w:bookmarkStart w:id="769" w:name="_Toc517856958"/>
      <w:bookmarkStart w:id="770" w:name="_Toc518293085"/>
      <w:bookmarkStart w:id="771" w:name="_Toc522744313"/>
      <w:bookmarkStart w:id="772" w:name="_Toc522747436"/>
      <w:bookmarkStart w:id="773" w:name="_Toc529183273"/>
      <w:bookmarkStart w:id="774" w:name="_Toc529188036"/>
      <w:bookmarkStart w:id="775" w:name="_Toc529434549"/>
      <w:bookmarkStart w:id="776" w:name="_Toc529524440"/>
      <w:bookmarkStart w:id="777" w:name="_Toc530474364"/>
      <w:bookmarkStart w:id="778" w:name="_Toc530474959"/>
      <w:r>
        <w:t>Subdivision 3 — General provisions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zHeading5"/>
        <w:rPr>
          <w:snapToGrid w:val="0"/>
        </w:rPr>
      </w:pPr>
      <w:bookmarkStart w:id="779" w:name="_Toc530474365"/>
      <w:bookmarkStart w:id="780" w:name="_Toc530474960"/>
      <w:r>
        <w:t>18.</w:t>
      </w:r>
      <w:r>
        <w:tab/>
        <w:t>Planning (scheme by</w:t>
      </w:r>
      <w:r>
        <w:noBreakHyphen/>
        <w:t>laws) condition</w:t>
      </w:r>
      <w:bookmarkEnd w:id="779"/>
      <w:bookmarkEnd w:id="780"/>
    </w:p>
    <w:p>
      <w:pPr>
        <w:pStyle w:val="nzSubsection"/>
      </w:pPr>
      <w:r>
        <w:rPr>
          <w:snapToGrid w:val="0"/>
        </w:rPr>
        <w:tab/>
      </w:r>
      <w:r>
        <w:rPr>
          <w:snapToGrid w:val="0"/>
        </w:rPr>
        <w:tab/>
      </w:r>
      <w:r>
        <w:t>The conditions of a planning approval applying to a strata titles scheme may include a planning (scheme by</w:t>
      </w:r>
      <w:r>
        <w:noBreakHyphen/>
        <w:t>laws) condition.</w:t>
      </w:r>
    </w:p>
    <w:p>
      <w:pPr>
        <w:pStyle w:val="nzHeading5"/>
      </w:pPr>
      <w:bookmarkStart w:id="781" w:name="_Toc530474366"/>
      <w:bookmarkStart w:id="782" w:name="_Toc530474961"/>
      <w:r>
        <w:t>19.</w:t>
      </w:r>
      <w:r>
        <w:tab/>
        <w:t>Planning approval of scheme plan or amendment of scheme plan</w:t>
      </w:r>
      <w:bookmarkEnd w:id="781"/>
      <w:bookmarkEnd w:id="782"/>
    </w:p>
    <w:p>
      <w:pPr>
        <w:pStyle w:val="nz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nzIndenta"/>
      </w:pPr>
      <w:r>
        <w:tab/>
        <w:t>(a)</w:t>
      </w:r>
      <w:r>
        <w:tab/>
        <w:t>the scheme notice or any amendment of the scheme notice proposed to be submitted for registration with the scheme plan or amendment of the scheme plan; and</w:t>
      </w:r>
    </w:p>
    <w:p>
      <w:pPr>
        <w:pStyle w:val="nzIndenta"/>
      </w:pPr>
      <w:r>
        <w:tab/>
        <w:t>(b)</w:t>
      </w:r>
      <w:r>
        <w:tab/>
        <w:t>any existing scheme by</w:t>
      </w:r>
      <w:r>
        <w:noBreakHyphen/>
        <w:t>laws made under a planning (scheme by</w:t>
      </w:r>
      <w:r>
        <w:noBreakHyphen/>
        <w:t>laws) condition; and</w:t>
      </w:r>
    </w:p>
    <w:p>
      <w:pPr>
        <w:pStyle w:val="nzIndenta"/>
      </w:pPr>
      <w:r>
        <w:tab/>
        <w:t>(c)</w:t>
      </w:r>
      <w:r>
        <w:tab/>
        <w:t>for a leasehold scheme, any existing or proposed leasehold by</w:t>
      </w:r>
      <w:r>
        <w:noBreakHyphen/>
        <w:t>laws providing for postponement of the expiry day for the scheme; and</w:t>
      </w:r>
    </w:p>
    <w:p>
      <w:pPr>
        <w:pStyle w:val="nz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nzSubsection"/>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nz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nzIndenta"/>
      </w:pPr>
      <w:r>
        <w:tab/>
        <w:t>(b)</w:t>
      </w:r>
      <w:r>
        <w:tab/>
        <w:t>the subdivision and development has been undertaken consistently with —</w:t>
      </w:r>
    </w:p>
    <w:p>
      <w:pPr>
        <w:pStyle w:val="nzIndenti"/>
      </w:pPr>
      <w:r>
        <w:tab/>
        <w:t>(i)</w:t>
      </w:r>
      <w:r>
        <w:tab/>
        <w:t xml:space="preserve">the approval of the Planning Commission under this Act or the </w:t>
      </w:r>
      <w:r>
        <w:rPr>
          <w:i/>
        </w:rPr>
        <w:t>Planning and Development Act 2005</w:t>
      </w:r>
      <w:r>
        <w:t xml:space="preserve"> (including the conditions of approval); and</w:t>
      </w:r>
    </w:p>
    <w:p>
      <w:pPr>
        <w:pStyle w:val="nzIndenti"/>
      </w:pPr>
      <w:r>
        <w:tab/>
        <w:t>(ii)</w:t>
      </w:r>
      <w:r>
        <w:tab/>
        <w:t xml:space="preserve">any relevant approval of development under the </w:t>
      </w:r>
      <w:r>
        <w:rPr>
          <w:i/>
        </w:rPr>
        <w:t>Planning and Development Act 2005</w:t>
      </w:r>
      <w:r>
        <w:t xml:space="preserve"> (including the conditions of approval);</w:t>
      </w:r>
    </w:p>
    <w:p>
      <w:pPr>
        <w:pStyle w:val="nzIndenta"/>
      </w:pPr>
      <w:r>
        <w:tab/>
      </w:r>
      <w:r>
        <w:tab/>
        <w:t>and</w:t>
      </w:r>
    </w:p>
    <w:p>
      <w:pPr>
        <w:pStyle w:val="nzIndenta"/>
      </w:pPr>
      <w:r>
        <w:tab/>
        <w:t>(c)</w:t>
      </w:r>
      <w:r>
        <w:tab/>
        <w:t xml:space="preserve">the requirements of the </w:t>
      </w:r>
      <w:r>
        <w:rPr>
          <w:i/>
        </w:rPr>
        <w:t>Building Act 2011</w:t>
      </w:r>
      <w:r>
        <w:t xml:space="preserve"> have been complied with for the development; and</w:t>
      </w:r>
    </w:p>
    <w:p>
      <w:pPr>
        <w:pStyle w:val="nzIndenta"/>
      </w:pPr>
      <w:r>
        <w:tab/>
        <w:t>(d)</w:t>
      </w:r>
      <w:r>
        <w:tab/>
        <w:t>any restricted use condition proposed to be imposed by the scheme plan or amendment of the scheme plan is suitable for the scheme; and</w:t>
      </w:r>
    </w:p>
    <w:p>
      <w:pPr>
        <w:pStyle w:val="nzIndenta"/>
      </w:pPr>
      <w:r>
        <w:tab/>
        <w:t>(e)</w:t>
      </w:r>
      <w:r>
        <w:tab/>
        <w:t>scheme by</w:t>
      </w:r>
      <w:r>
        <w:noBreakHyphen/>
        <w:t>laws have been or are proposed to be made in accordance with any planning (scheme by</w:t>
      </w:r>
      <w:r>
        <w:noBreakHyphen/>
        <w:t>laws) condition.</w:t>
      </w:r>
    </w:p>
    <w:p>
      <w:pPr>
        <w:pStyle w:val="nzHeading5"/>
        <w:rPr>
          <w:snapToGrid w:val="0"/>
        </w:rPr>
      </w:pPr>
      <w:bookmarkStart w:id="783" w:name="_Toc530474367"/>
      <w:bookmarkStart w:id="784" w:name="_Toc530474962"/>
      <w:r>
        <w:rPr>
          <w:snapToGrid w:val="0"/>
        </w:rPr>
        <w:t>20.</w:t>
      </w:r>
      <w:r>
        <w:rPr>
          <w:snapToGrid w:val="0"/>
        </w:rPr>
        <w:tab/>
        <w:t>Approval for postponement of expiry day for leasehold scheme</w:t>
      </w:r>
      <w:bookmarkEnd w:id="783"/>
      <w:bookmarkEnd w:id="784"/>
    </w:p>
    <w:p>
      <w:pPr>
        <w:pStyle w:val="nzSubsection"/>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n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n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nzIndenta"/>
        <w:rPr>
          <w:snapToGrid w:val="0"/>
        </w:rPr>
      </w:pPr>
      <w:r>
        <w:rPr>
          <w:snapToGrid w:val="0"/>
          <w:spacing w:val="-4"/>
        </w:rPr>
        <w:tab/>
        <w:t>(a)</w:t>
      </w:r>
      <w:r>
        <w:rPr>
          <w:snapToGrid w:val="0"/>
          <w:spacing w:val="-4"/>
        </w:rPr>
        <w:tab/>
        <w:t>be in the approved form; and</w:t>
      </w:r>
    </w:p>
    <w:p>
      <w:pPr>
        <w:pStyle w:val="nzIndenta"/>
        <w:rPr>
          <w:snapToGrid w:val="0"/>
        </w:rPr>
      </w:pPr>
      <w:r>
        <w:rPr>
          <w:snapToGrid w:val="0"/>
        </w:rPr>
        <w:tab/>
        <w:t>(b)</w:t>
      </w:r>
      <w:r>
        <w:rPr>
          <w:snapToGrid w:val="0"/>
        </w:rPr>
        <w:tab/>
        <w:t>be accompanied by the fee fixed by the regulations.</w:t>
      </w:r>
    </w:p>
    <w:p>
      <w:pPr>
        <w:pStyle w:val="nzPermNoteHeading"/>
      </w:pPr>
      <w:r>
        <w:tab/>
        <w:t>Note for this section:</w:t>
      </w:r>
    </w:p>
    <w:p>
      <w:pPr>
        <w:pStyle w:val="nzPermNoteText"/>
      </w:pPr>
      <w:r>
        <w:tab/>
      </w:r>
      <w:r>
        <w:tab/>
        <w:t>See section 8(3) and sections 40 and 41.</w:t>
      </w:r>
    </w:p>
    <w:p>
      <w:pPr>
        <w:pStyle w:val="nzHeading5"/>
      </w:pPr>
      <w:bookmarkStart w:id="785" w:name="_Toc530474368"/>
      <w:bookmarkStart w:id="786" w:name="_Toc530474963"/>
      <w:r>
        <w:t>21.</w:t>
      </w:r>
      <w:r>
        <w:tab/>
        <w:t>Approval for modification of restricted use condition</w:t>
      </w:r>
      <w:bookmarkEnd w:id="785"/>
      <w:bookmarkEnd w:id="786"/>
    </w:p>
    <w:p>
      <w:pPr>
        <w:pStyle w:val="nz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nzSubsection"/>
        <w:rPr>
          <w:snapToGrid w:val="0"/>
        </w:rPr>
      </w:pPr>
      <w:r>
        <w:rPr>
          <w:snapToGrid w:val="0"/>
        </w:rPr>
        <w:tab/>
        <w:t>(2)</w:t>
      </w:r>
      <w:r>
        <w:rPr>
          <w:snapToGrid w:val="0"/>
        </w:rPr>
        <w:tab/>
        <w:t>The approval may be applied for and given in conjunction with an approval of a plan of subdivision.</w:t>
      </w:r>
    </w:p>
    <w:p>
      <w:pPr>
        <w:pStyle w:val="nzSubsection"/>
        <w:rPr>
          <w:snapToGrid w:val="0"/>
        </w:rPr>
      </w:pPr>
      <w:r>
        <w:rPr>
          <w:snapToGrid w:val="0"/>
        </w:rPr>
        <w:tab/>
        <w:t>(3)</w:t>
      </w:r>
      <w:r>
        <w:rPr>
          <w:snapToGrid w:val="0"/>
        </w:rPr>
        <w:tab/>
        <w:t>If a separate application is made, an application for approval under this section must —</w:t>
      </w:r>
    </w:p>
    <w:p>
      <w:pPr>
        <w:pStyle w:val="nzIndenta"/>
        <w:rPr>
          <w:snapToGrid w:val="0"/>
        </w:rPr>
      </w:pPr>
      <w:r>
        <w:rPr>
          <w:snapToGrid w:val="0"/>
          <w:spacing w:val="-4"/>
        </w:rPr>
        <w:tab/>
        <w:t>(a)</w:t>
      </w:r>
      <w:r>
        <w:rPr>
          <w:snapToGrid w:val="0"/>
          <w:spacing w:val="-4"/>
        </w:rPr>
        <w:tab/>
        <w:t>be in the approved form; and</w:t>
      </w:r>
    </w:p>
    <w:p>
      <w:pPr>
        <w:pStyle w:val="nzIndenta"/>
        <w:rPr>
          <w:snapToGrid w:val="0"/>
        </w:rPr>
      </w:pPr>
      <w:r>
        <w:rPr>
          <w:snapToGrid w:val="0"/>
        </w:rPr>
        <w:tab/>
        <w:t>(b)</w:t>
      </w:r>
      <w:r>
        <w:rPr>
          <w:snapToGrid w:val="0"/>
        </w:rPr>
        <w:tab/>
        <w:t>be accompanied by the fee fixed by the regulations.</w:t>
      </w:r>
    </w:p>
    <w:p>
      <w:pPr>
        <w:pStyle w:val="nzHeading5"/>
      </w:pPr>
      <w:bookmarkStart w:id="787" w:name="_Toc530474369"/>
      <w:bookmarkStart w:id="788" w:name="_Toc530474964"/>
      <w:r>
        <w:t>22.</w:t>
      </w:r>
      <w:r>
        <w:tab/>
        <w:t>Approval under planning (scheme by</w:t>
      </w:r>
      <w:r>
        <w:noBreakHyphen/>
        <w:t>laws) condition</w:t>
      </w:r>
      <w:bookmarkEnd w:id="787"/>
      <w:bookmarkEnd w:id="788"/>
    </w:p>
    <w:p>
      <w:pPr>
        <w:pStyle w:val="nz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nz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n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nzIndenta"/>
        <w:rPr>
          <w:snapToGrid w:val="0"/>
        </w:rPr>
      </w:pPr>
      <w:r>
        <w:rPr>
          <w:snapToGrid w:val="0"/>
          <w:spacing w:val="-4"/>
        </w:rPr>
        <w:tab/>
        <w:t>(a)</w:t>
      </w:r>
      <w:r>
        <w:rPr>
          <w:snapToGrid w:val="0"/>
          <w:spacing w:val="-4"/>
        </w:rPr>
        <w:tab/>
        <w:t>be in the approved form; and</w:t>
      </w:r>
    </w:p>
    <w:p>
      <w:pPr>
        <w:pStyle w:val="nzIndenta"/>
        <w:rPr>
          <w:snapToGrid w:val="0"/>
        </w:rPr>
      </w:pPr>
      <w:r>
        <w:rPr>
          <w:snapToGrid w:val="0"/>
        </w:rPr>
        <w:tab/>
        <w:t>(b)</w:t>
      </w:r>
      <w:r>
        <w:rPr>
          <w:snapToGrid w:val="0"/>
        </w:rPr>
        <w:tab/>
        <w:t>be accompanied by the fee fixed by the regulations.</w:t>
      </w:r>
    </w:p>
    <w:p>
      <w:pPr>
        <w:pStyle w:val="nzHeading5"/>
      </w:pPr>
      <w:bookmarkStart w:id="789" w:name="_Toc530474370"/>
      <w:bookmarkStart w:id="790" w:name="_Toc530474965"/>
      <w:r>
        <w:t>23.</w:t>
      </w:r>
      <w:r>
        <w:tab/>
        <w:t>Requirement for local government approval</w:t>
      </w:r>
      <w:bookmarkEnd w:id="789"/>
      <w:bookmarkEnd w:id="790"/>
    </w:p>
    <w:p>
      <w:pPr>
        <w:pStyle w:val="nzSubsection"/>
      </w:pPr>
      <w:r>
        <w:tab/>
        <w:t>(1)</w:t>
      </w:r>
      <w:r>
        <w:tab/>
        <w:t>In addition to approval of the Planning Commission, a subdivision must be approved by each local government in whose district the parcel is situated if the subdivision involves —</w:t>
      </w:r>
    </w:p>
    <w:p>
      <w:pPr>
        <w:pStyle w:val="nzIndenta"/>
        <w:rPr>
          <w:snapToGrid w:val="0"/>
        </w:rPr>
      </w:pPr>
      <w:r>
        <w:rPr>
          <w:snapToGrid w:val="0"/>
          <w:spacing w:val="-4"/>
        </w:rPr>
        <w:tab/>
        <w:t>(a)</w:t>
      </w:r>
      <w:r>
        <w:rPr>
          <w:snapToGrid w:val="0"/>
          <w:spacing w:val="-4"/>
        </w:rPr>
        <w:tab/>
        <w:t>2 or more lots being consolidated into 1 lot; or</w:t>
      </w:r>
    </w:p>
    <w:p>
      <w:pPr>
        <w:pStyle w:val="nzIndenta"/>
        <w:rPr>
          <w:snapToGrid w:val="0"/>
        </w:rPr>
      </w:pPr>
      <w:r>
        <w:rPr>
          <w:snapToGrid w:val="0"/>
        </w:rPr>
        <w:tab/>
        <w:t>(b)</w:t>
      </w:r>
      <w:r>
        <w:rPr>
          <w:snapToGrid w:val="0"/>
        </w:rPr>
        <w:tab/>
        <w:t>1 or more lots being converted into common property; or</w:t>
      </w:r>
    </w:p>
    <w:p>
      <w:pPr>
        <w:pStyle w:val="nzIndenta"/>
        <w:rPr>
          <w:snapToGrid w:val="0"/>
        </w:rPr>
      </w:pPr>
      <w:r>
        <w:rPr>
          <w:snapToGrid w:val="0"/>
        </w:rPr>
        <w:tab/>
        <w:t>(c)</w:t>
      </w:r>
      <w:r>
        <w:rPr>
          <w:snapToGrid w:val="0"/>
        </w:rPr>
        <w:tab/>
        <w:t>the removal, from the parcel, of land comprised of common property.</w:t>
      </w:r>
    </w:p>
    <w:p>
      <w:pPr>
        <w:pStyle w:val="nzSubsection"/>
      </w:pPr>
      <w:r>
        <w:tab/>
        <w:t>(2)</w:t>
      </w:r>
      <w:r>
        <w:tab/>
        <w:t>If the subdivision is approved, it is subject to any planning (scheme by</w:t>
      </w:r>
      <w:r>
        <w:noBreakHyphen/>
        <w:t>laws) condition attached to the local government approval.</w:t>
      </w:r>
    </w:p>
    <w:p>
      <w:pPr>
        <w:pStyle w:val="nzHeading3"/>
      </w:pPr>
      <w:bookmarkStart w:id="791" w:name="_Toc517437573"/>
      <w:bookmarkStart w:id="792" w:name="_Toc517438115"/>
      <w:bookmarkStart w:id="793" w:name="_Toc517440452"/>
      <w:bookmarkStart w:id="794" w:name="_Toc517447489"/>
      <w:bookmarkStart w:id="795" w:name="_Toc517449967"/>
      <w:bookmarkStart w:id="796" w:name="_Toc517450509"/>
      <w:bookmarkStart w:id="797" w:name="_Toc517856965"/>
      <w:bookmarkStart w:id="798" w:name="_Toc518293092"/>
      <w:bookmarkStart w:id="799" w:name="_Toc522744320"/>
      <w:bookmarkStart w:id="800" w:name="_Toc522747443"/>
      <w:bookmarkStart w:id="801" w:name="_Toc529183280"/>
      <w:bookmarkStart w:id="802" w:name="_Toc529188043"/>
      <w:bookmarkStart w:id="803" w:name="_Toc529434556"/>
      <w:bookmarkStart w:id="804" w:name="_Toc529524447"/>
      <w:bookmarkStart w:id="805" w:name="_Toc530474371"/>
      <w:bookmarkStart w:id="806" w:name="_Toc530474966"/>
      <w:r>
        <w:t>Division 2 — Preliminary determinations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zHeading3"/>
      </w:pPr>
      <w:bookmarkStart w:id="807" w:name="_Toc517437574"/>
      <w:bookmarkStart w:id="808" w:name="_Toc517438116"/>
      <w:bookmarkStart w:id="809" w:name="_Toc517440453"/>
      <w:bookmarkStart w:id="810" w:name="_Toc517447490"/>
      <w:bookmarkStart w:id="811" w:name="_Toc517449968"/>
      <w:bookmarkStart w:id="812" w:name="_Toc517450510"/>
      <w:bookmarkStart w:id="813" w:name="_Toc517856966"/>
      <w:bookmarkStart w:id="814" w:name="_Toc518293093"/>
      <w:bookmarkStart w:id="815" w:name="_Toc522744321"/>
      <w:bookmarkStart w:id="816" w:name="_Toc522747444"/>
      <w:bookmarkStart w:id="817" w:name="_Toc529183281"/>
      <w:bookmarkStart w:id="818" w:name="_Toc529188044"/>
      <w:bookmarkStart w:id="819" w:name="_Toc529434557"/>
      <w:bookmarkStart w:id="820" w:name="_Toc529524448"/>
      <w:bookmarkStart w:id="821" w:name="_Toc530474372"/>
      <w:bookmarkStart w:id="822" w:name="_Toc530474967"/>
      <w:r>
        <w:t>Division 3 — Common property</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zHeading5"/>
      </w:pPr>
      <w:bookmarkStart w:id="823" w:name="_Toc530474373"/>
      <w:bookmarkStart w:id="824" w:name="_Toc530474968"/>
      <w:r>
        <w:t>25.</w:t>
      </w:r>
      <w:r>
        <w:tab/>
        <w:t>Long term lease of temporary common property</w:t>
      </w:r>
      <w:bookmarkEnd w:id="823"/>
      <w:bookmarkEnd w:id="824"/>
    </w:p>
    <w:p>
      <w:pPr>
        <w:pStyle w:val="nz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nzHeading5"/>
        <w:rPr>
          <w:snapToGrid w:val="0"/>
        </w:rPr>
      </w:pPr>
      <w:bookmarkStart w:id="825" w:name="_Toc530474374"/>
      <w:bookmarkStart w:id="826" w:name="_Toc530474969"/>
      <w:r>
        <w:t>26</w:t>
      </w:r>
      <w:r>
        <w:rPr>
          <w:snapToGrid w:val="0"/>
        </w:rPr>
        <w:t>.</w:t>
      </w:r>
      <w:r>
        <w:rPr>
          <w:snapToGrid w:val="0"/>
        </w:rPr>
        <w:tab/>
        <w:t>Long term lease or licence over common property</w:t>
      </w:r>
      <w:bookmarkEnd w:id="825"/>
      <w:bookmarkEnd w:id="826"/>
    </w:p>
    <w:p>
      <w:pPr>
        <w:pStyle w:val="nz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nzHeading3"/>
      </w:pPr>
      <w:bookmarkStart w:id="827" w:name="_Toc517437577"/>
      <w:bookmarkStart w:id="828" w:name="_Toc517438119"/>
      <w:bookmarkStart w:id="829" w:name="_Toc517440456"/>
      <w:bookmarkStart w:id="830" w:name="_Toc517447493"/>
      <w:bookmarkStart w:id="831" w:name="_Toc517449971"/>
      <w:bookmarkStart w:id="832" w:name="_Toc517450513"/>
      <w:bookmarkStart w:id="833" w:name="_Toc517856969"/>
      <w:bookmarkStart w:id="834" w:name="_Toc518293096"/>
      <w:bookmarkStart w:id="835" w:name="_Toc522744324"/>
      <w:bookmarkStart w:id="836" w:name="_Toc522747447"/>
      <w:bookmarkStart w:id="837" w:name="_Toc529183284"/>
      <w:bookmarkStart w:id="838" w:name="_Toc529188047"/>
      <w:bookmarkStart w:id="839" w:name="_Toc529434560"/>
      <w:bookmarkStart w:id="840" w:name="_Toc529524451"/>
      <w:bookmarkStart w:id="841" w:name="_Toc530474375"/>
      <w:bookmarkStart w:id="842" w:name="_Toc530474970"/>
      <w:r>
        <w:t>Division 4 — Review of decisions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zHeading5"/>
        <w:rPr>
          <w:snapToGrid w:val="0"/>
        </w:rPr>
      </w:pPr>
      <w:bookmarkStart w:id="843" w:name="_Toc530474376"/>
      <w:bookmarkStart w:id="844" w:name="_Toc530474971"/>
      <w:r>
        <w:t>27</w:t>
      </w:r>
      <w:r>
        <w:rPr>
          <w:snapToGrid w:val="0"/>
        </w:rPr>
        <w:t>.</w:t>
      </w:r>
      <w:r>
        <w:rPr>
          <w:snapToGrid w:val="0"/>
        </w:rPr>
        <w:tab/>
        <w:t>Review of Planning Commission decision</w:t>
      </w:r>
      <w:bookmarkEnd w:id="843"/>
      <w:bookmarkEnd w:id="844"/>
    </w:p>
    <w:p>
      <w:pPr>
        <w:pStyle w:val="nz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nzSubsection"/>
        <w:rPr>
          <w:snapToGrid w:val="0"/>
        </w:rPr>
      </w:pPr>
      <w:r>
        <w:rPr>
          <w:snapToGrid w:val="0"/>
        </w:rPr>
        <w:tab/>
        <w:t>(2)</w:t>
      </w:r>
      <w:r>
        <w:rPr>
          <w:snapToGrid w:val="0"/>
        </w:rPr>
        <w:tab/>
        <w:t>A person who has made an application under this Part may apply to the Tribunal for a review of a decision of the Planning Commission —</w:t>
      </w:r>
    </w:p>
    <w:p>
      <w:pPr>
        <w:pStyle w:val="nzIndenta"/>
        <w:rPr>
          <w:snapToGrid w:val="0"/>
        </w:rPr>
      </w:pPr>
      <w:r>
        <w:rPr>
          <w:snapToGrid w:val="0"/>
          <w:spacing w:val="-4"/>
        </w:rPr>
        <w:tab/>
        <w:t>(a)</w:t>
      </w:r>
      <w:r>
        <w:rPr>
          <w:snapToGrid w:val="0"/>
          <w:spacing w:val="-4"/>
        </w:rPr>
        <w:tab/>
        <w:t>to refuse to approve an application under section 15; or</w:t>
      </w:r>
    </w:p>
    <w:p>
      <w:pPr>
        <w:pStyle w:val="nzIndenta"/>
        <w:rPr>
          <w:snapToGrid w:val="0"/>
        </w:rPr>
      </w:pPr>
      <w:r>
        <w:rPr>
          <w:snapToGrid w:val="0"/>
        </w:rPr>
        <w:tab/>
        <w:t>(b)</w:t>
      </w:r>
      <w:r>
        <w:rPr>
          <w:snapToGrid w:val="0"/>
        </w:rPr>
        <w:tab/>
        <w:t>to impose a condition of an approval under section 15; or</w:t>
      </w:r>
    </w:p>
    <w:p>
      <w:pPr>
        <w:pStyle w:val="nzIndenta"/>
        <w:rPr>
          <w:snapToGrid w:val="0"/>
        </w:rPr>
      </w:pPr>
      <w:r>
        <w:rPr>
          <w:snapToGrid w:val="0"/>
        </w:rPr>
        <w:tab/>
        <w:t>(c)</w:t>
      </w:r>
      <w:r>
        <w:rPr>
          <w:snapToGrid w:val="0"/>
        </w:rPr>
        <w:tab/>
        <w:t>to refuse to vary or revoke a condition of an approval under section 15; or</w:t>
      </w:r>
    </w:p>
    <w:p>
      <w:pPr>
        <w:pStyle w:val="nz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nzIndenta"/>
        <w:rPr>
          <w:snapToGrid w:val="0"/>
        </w:rPr>
      </w:pPr>
      <w:r>
        <w:rPr>
          <w:snapToGrid w:val="0"/>
        </w:rPr>
        <w:tab/>
        <w:t>(e)</w:t>
      </w:r>
      <w:r>
        <w:rPr>
          <w:snapToGrid w:val="0"/>
        </w:rPr>
        <w:tab/>
        <w:t>to refuse to approve an amendment of a scheme plan under section 21;</w:t>
      </w:r>
    </w:p>
    <w:p>
      <w:pPr>
        <w:pStyle w:val="nz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nzSubsection"/>
      </w:pPr>
      <w:r>
        <w:tab/>
        <w:t>(3)</w:t>
      </w:r>
      <w:r>
        <w:tab/>
        <w:t xml:space="preserve">The Tribunal has jurisdiction to carry out the review in accordance with the </w:t>
      </w:r>
      <w:r>
        <w:rPr>
          <w:i/>
        </w:rPr>
        <w:t>Planning and Development Act 2005</w:t>
      </w:r>
      <w:r>
        <w:t xml:space="preserve"> Part 14.</w:t>
      </w:r>
    </w:p>
    <w:p>
      <w:pPr>
        <w:pStyle w:val="nzSubsection"/>
      </w:pPr>
      <w:r>
        <w:tab/>
        <w:t>(4)</w:t>
      </w:r>
      <w:r>
        <w:tab/>
        <w:t>Part 13 does not apply to a proceeding under this section (which is a proceeding within the Tribunal’s review jurisdiction).</w:t>
      </w:r>
    </w:p>
    <w:p>
      <w:pPr>
        <w:pStyle w:val="nz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nz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nzSubsection"/>
        <w:rPr>
          <w:snapToGrid w:val="0"/>
        </w:rPr>
      </w:pPr>
      <w:r>
        <w:rPr>
          <w:snapToGrid w:val="0"/>
        </w:rPr>
        <w:tab/>
        <w:t>(7)</w:t>
      </w:r>
      <w:r>
        <w:rPr>
          <w:snapToGrid w:val="0"/>
        </w:rPr>
        <w:tab/>
        <w:t>In this section —</w:t>
      </w:r>
    </w:p>
    <w:p>
      <w:pPr>
        <w:pStyle w:val="nzDefstart"/>
      </w:pPr>
      <w:r>
        <w:tab/>
      </w:r>
      <w:r>
        <w:rPr>
          <w:rStyle w:val="CharDefText"/>
        </w:rPr>
        <w:t>prescribed period</w:t>
      </w:r>
      <w:r>
        <w:t xml:space="preserve"> means 40 days or, if some other period is specified in the regulations, that period.</w:t>
      </w:r>
    </w:p>
    <w:p>
      <w:pPr>
        <w:pStyle w:val="nzHeading2"/>
      </w:pPr>
      <w:bookmarkStart w:id="845" w:name="_Toc517437579"/>
      <w:bookmarkStart w:id="846" w:name="_Toc517438121"/>
      <w:bookmarkStart w:id="847" w:name="_Toc517440458"/>
      <w:bookmarkStart w:id="848" w:name="_Toc517447495"/>
      <w:bookmarkStart w:id="849" w:name="_Toc517449973"/>
      <w:bookmarkStart w:id="850" w:name="_Toc517450515"/>
      <w:bookmarkStart w:id="851" w:name="_Toc517856971"/>
      <w:bookmarkStart w:id="852" w:name="_Toc518293098"/>
      <w:bookmarkStart w:id="853" w:name="_Toc522744326"/>
      <w:bookmarkStart w:id="854" w:name="_Toc522747449"/>
      <w:bookmarkStart w:id="855" w:name="_Toc529183286"/>
      <w:bookmarkStart w:id="856" w:name="_Toc529188049"/>
      <w:bookmarkStart w:id="857" w:name="_Toc529434562"/>
      <w:bookmarkStart w:id="858" w:name="_Toc529524453"/>
      <w:bookmarkStart w:id="859" w:name="_Toc530474377"/>
      <w:bookmarkStart w:id="860" w:name="_Toc530474972"/>
      <w:r>
        <w:t>Part 4</w:t>
      </w:r>
      <w:r>
        <w:rPr>
          <w:b w:val="0"/>
        </w:rPr>
        <w:t> </w:t>
      </w:r>
      <w:r>
        <w:t>—</w:t>
      </w:r>
      <w:r>
        <w:rPr>
          <w:b w:val="0"/>
        </w:rPr>
        <w:t> </w:t>
      </w:r>
      <w:r>
        <w:t>Scheme documents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nzHeading3"/>
      </w:pPr>
      <w:bookmarkStart w:id="861" w:name="_Toc517437580"/>
      <w:bookmarkStart w:id="862" w:name="_Toc517438122"/>
      <w:bookmarkStart w:id="863" w:name="_Toc517440459"/>
      <w:bookmarkStart w:id="864" w:name="_Toc517447496"/>
      <w:bookmarkStart w:id="865" w:name="_Toc517449974"/>
      <w:bookmarkStart w:id="866" w:name="_Toc517450516"/>
      <w:bookmarkStart w:id="867" w:name="_Toc517856972"/>
      <w:bookmarkStart w:id="868" w:name="_Toc518293099"/>
      <w:bookmarkStart w:id="869" w:name="_Toc522744327"/>
      <w:bookmarkStart w:id="870" w:name="_Toc522747450"/>
      <w:bookmarkStart w:id="871" w:name="_Toc529183287"/>
      <w:bookmarkStart w:id="872" w:name="_Toc529188050"/>
      <w:bookmarkStart w:id="873" w:name="_Toc529434563"/>
      <w:bookmarkStart w:id="874" w:name="_Toc529524454"/>
      <w:bookmarkStart w:id="875" w:name="_Toc530474378"/>
      <w:bookmarkStart w:id="876" w:name="_Toc530474973"/>
      <w:r>
        <w:t>Division 1 — Scheme notice</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nzHeading5"/>
      </w:pPr>
      <w:bookmarkStart w:id="877" w:name="_Toc530474379"/>
      <w:bookmarkStart w:id="878" w:name="_Toc530474974"/>
      <w:r>
        <w:t>29.</w:t>
      </w:r>
      <w:r>
        <w:tab/>
        <w:t>Scheme notice</w:t>
      </w:r>
      <w:bookmarkEnd w:id="877"/>
      <w:bookmarkEnd w:id="878"/>
    </w:p>
    <w:p>
      <w:pPr>
        <w:pStyle w:val="nzSubsection"/>
      </w:pPr>
      <w:r>
        <w:tab/>
        <w:t>(1)</w:t>
      </w:r>
      <w:r>
        <w:tab/>
        <w:t>A scheme notice for a strata titles scheme must —</w:t>
      </w:r>
    </w:p>
    <w:p>
      <w:pPr>
        <w:pStyle w:val="nzIndenta"/>
        <w:rPr>
          <w:snapToGrid w:val="0"/>
        </w:rPr>
      </w:pPr>
      <w:r>
        <w:rPr>
          <w:snapToGrid w:val="0"/>
          <w:spacing w:val="-4"/>
        </w:rPr>
        <w:tab/>
        <w:t>(a)</w:t>
      </w:r>
      <w:r>
        <w:rPr>
          <w:snapToGrid w:val="0"/>
          <w:spacing w:val="-4"/>
        </w:rPr>
        <w:tab/>
        <w:t>specify the name of the scheme; and</w:t>
      </w:r>
    </w:p>
    <w:p>
      <w:pPr>
        <w:pStyle w:val="nzIndenta"/>
        <w:rPr>
          <w:snapToGrid w:val="0"/>
        </w:rPr>
      </w:pPr>
      <w:r>
        <w:rPr>
          <w:snapToGrid w:val="0"/>
        </w:rPr>
        <w:tab/>
        <w:t>(b)</w:t>
      </w:r>
      <w:r>
        <w:rPr>
          <w:snapToGrid w:val="0"/>
        </w:rPr>
        <w:tab/>
        <w:t>specify the address for service of the strata company; and</w:t>
      </w:r>
    </w:p>
    <w:p>
      <w:pPr>
        <w:pStyle w:val="nzIndenta"/>
        <w:rPr>
          <w:snapToGrid w:val="0"/>
        </w:rPr>
      </w:pPr>
      <w:r>
        <w:rPr>
          <w:snapToGrid w:val="0"/>
        </w:rPr>
        <w:tab/>
        <w:t>(c)</w:t>
      </w:r>
      <w:r>
        <w:rPr>
          <w:snapToGrid w:val="0"/>
        </w:rPr>
        <w:tab/>
        <w:t>if it is a leasehold scheme —</w:t>
      </w:r>
    </w:p>
    <w:p>
      <w:pPr>
        <w:pStyle w:val="nzIndenti"/>
        <w:rPr>
          <w:snapToGrid w:val="0"/>
        </w:rPr>
      </w:pPr>
      <w:r>
        <w:rPr>
          <w:snapToGrid w:val="0"/>
        </w:rPr>
        <w:tab/>
        <w:t>(i)</w:t>
      </w:r>
      <w:r>
        <w:rPr>
          <w:snapToGrid w:val="0"/>
        </w:rPr>
        <w:tab/>
        <w:t>identify the scheme as a leasehold scheme; and</w:t>
      </w:r>
    </w:p>
    <w:p>
      <w:pPr>
        <w:pStyle w:val="nzIndenti"/>
        <w:rPr>
          <w:snapToGrid w:val="0"/>
        </w:rPr>
      </w:pPr>
      <w:r>
        <w:rPr>
          <w:snapToGrid w:val="0"/>
        </w:rPr>
        <w:tab/>
        <w:t>(ii)</w:t>
      </w:r>
      <w:r>
        <w:rPr>
          <w:snapToGrid w:val="0"/>
        </w:rPr>
        <w:tab/>
        <w:t>specify the expiry day for the scheme.</w:t>
      </w:r>
    </w:p>
    <w:p>
      <w:pPr>
        <w:pStyle w:val="nzSubsection"/>
      </w:pPr>
      <w:r>
        <w:tab/>
        <w:t>(2)</w:t>
      </w:r>
      <w:r>
        <w:tab/>
        <w:t>A scheme notice, or an amendment of a scheme notice, for a strata titles scheme must be in the approved form.</w:t>
      </w:r>
    </w:p>
    <w:p>
      <w:pPr>
        <w:pStyle w:val="nzHeading5"/>
      </w:pPr>
      <w:bookmarkStart w:id="879" w:name="_Toc530474380"/>
      <w:bookmarkStart w:id="880" w:name="_Toc530474975"/>
      <w:r>
        <w:t>30.</w:t>
      </w:r>
      <w:r>
        <w:tab/>
        <w:t>Scheme name and address for service of strata company</w:t>
      </w:r>
      <w:bookmarkEnd w:id="879"/>
      <w:bookmarkEnd w:id="880"/>
    </w:p>
    <w:p>
      <w:pPr>
        <w:pStyle w:val="nzSubsection"/>
      </w:pPr>
      <w:r>
        <w:tab/>
        <w:t>(1)</w:t>
      </w:r>
      <w:r>
        <w:tab/>
        <w:t>A scheme notice, or an amendment of a scheme notice to alter the name of the scheme, must not be registered if the Registrar of Titles is satisfied that the name of the scheme is undesirable.</w:t>
      </w:r>
    </w:p>
    <w:p>
      <w:pPr>
        <w:pStyle w:val="nzSubsection"/>
      </w:pPr>
      <w:r>
        <w:tab/>
        <w:t>(2)</w:t>
      </w:r>
      <w:r>
        <w:tab/>
        <w:t>An amendment of a scheme notice to alter the name of the scheme must not be registered unless the amendment is authorised by special resolution of the strata company.</w:t>
      </w:r>
    </w:p>
    <w:p>
      <w:pPr>
        <w:pStyle w:val="nzSubsection"/>
      </w:pPr>
      <w:r>
        <w:tab/>
        <w:t>(3)</w:t>
      </w:r>
      <w:r>
        <w:tab/>
        <w:t>An amendment of a scheme notice to alter the address for service of the strata company must not be registered unless the amendment is authorised by ordinary resolution of the strata company.</w:t>
      </w:r>
    </w:p>
    <w:p>
      <w:pPr>
        <w:pStyle w:val="nzHeading5"/>
      </w:pPr>
      <w:bookmarkStart w:id="881" w:name="_Toc530474381"/>
      <w:bookmarkStart w:id="882" w:name="_Toc530474976"/>
      <w:r>
        <w:t>31.</w:t>
      </w:r>
      <w:r>
        <w:tab/>
        <w:t>Postponement of expiry day for leasehold scheme</w:t>
      </w:r>
      <w:bookmarkEnd w:id="881"/>
      <w:bookmarkEnd w:id="882"/>
    </w:p>
    <w:p>
      <w:pPr>
        <w:pStyle w:val="nz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nzHeading3"/>
      </w:pPr>
      <w:bookmarkStart w:id="883" w:name="_Toc517437584"/>
      <w:bookmarkStart w:id="884" w:name="_Toc517438126"/>
      <w:bookmarkStart w:id="885" w:name="_Toc517440463"/>
      <w:bookmarkStart w:id="886" w:name="_Toc517447500"/>
      <w:bookmarkStart w:id="887" w:name="_Toc517449978"/>
      <w:bookmarkStart w:id="888" w:name="_Toc517450520"/>
      <w:bookmarkStart w:id="889" w:name="_Toc517856976"/>
      <w:bookmarkStart w:id="890" w:name="_Toc518293103"/>
      <w:bookmarkStart w:id="891" w:name="_Toc522744331"/>
      <w:bookmarkStart w:id="892" w:name="_Toc522747454"/>
      <w:bookmarkStart w:id="893" w:name="_Toc529183291"/>
      <w:bookmarkStart w:id="894" w:name="_Toc529188054"/>
      <w:bookmarkStart w:id="895" w:name="_Toc529434567"/>
      <w:bookmarkStart w:id="896" w:name="_Toc529524458"/>
      <w:bookmarkStart w:id="897" w:name="_Toc530474382"/>
      <w:bookmarkStart w:id="898" w:name="_Toc530474977"/>
      <w:r>
        <w:t>Division 2 — Scheme plans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zHeading5"/>
      </w:pPr>
      <w:bookmarkStart w:id="899" w:name="_Toc530474383"/>
      <w:bookmarkStart w:id="900" w:name="_Toc530474978"/>
      <w:r>
        <w:t>32.</w:t>
      </w:r>
      <w:r>
        <w:tab/>
        <w:t>Scheme plan</w:t>
      </w:r>
      <w:bookmarkEnd w:id="899"/>
      <w:bookmarkEnd w:id="900"/>
    </w:p>
    <w:p>
      <w:pPr>
        <w:pStyle w:val="nzSubsection"/>
      </w:pPr>
      <w:r>
        <w:tab/>
        <w:t>(1)</w:t>
      </w:r>
      <w:r>
        <w:tab/>
        <w:t>A scheme plan for a strata titles scheme must —</w:t>
      </w:r>
    </w:p>
    <w:p>
      <w:pPr>
        <w:pStyle w:val="nzIndenta"/>
        <w:rPr>
          <w:snapToGrid w:val="0"/>
        </w:rPr>
      </w:pPr>
      <w:r>
        <w:rPr>
          <w:snapToGrid w:val="0"/>
          <w:spacing w:val="-4"/>
        </w:rPr>
        <w:tab/>
        <w:t>(a)</w:t>
      </w:r>
      <w:r>
        <w:rPr>
          <w:snapToGrid w:val="0"/>
          <w:spacing w:val="-4"/>
        </w:rPr>
        <w:tab/>
        <w:t>specify the address of the land subdivided by the scheme; and</w:t>
      </w:r>
    </w:p>
    <w:p>
      <w:pPr>
        <w:pStyle w:val="nzIndenta"/>
        <w:rPr>
          <w:snapToGrid w:val="0"/>
        </w:rPr>
      </w:pPr>
      <w:r>
        <w:rPr>
          <w:snapToGrid w:val="0"/>
        </w:rPr>
        <w:tab/>
        <w:t>(b)</w:t>
      </w:r>
      <w:r>
        <w:rPr>
          <w:snapToGrid w:val="0"/>
        </w:rPr>
        <w:tab/>
        <w:t>identify the title to the land subdivided by the scheme; and</w:t>
      </w:r>
    </w:p>
    <w:p>
      <w:pPr>
        <w:pStyle w:val="nz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nzIndenta"/>
        <w:rPr>
          <w:snapToGrid w:val="0"/>
        </w:rPr>
      </w:pPr>
      <w:r>
        <w:rPr>
          <w:snapToGrid w:val="0"/>
        </w:rPr>
        <w:tab/>
        <w:t>(d)</w:t>
      </w:r>
      <w:r>
        <w:rPr>
          <w:snapToGrid w:val="0"/>
        </w:rPr>
        <w:tab/>
        <w:t>if it is a strata scheme — consist of a floor plan and a location plan; and</w:t>
      </w:r>
    </w:p>
    <w:p>
      <w:pPr>
        <w:pStyle w:val="nz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nzIndenta"/>
        <w:rPr>
          <w:snapToGrid w:val="0"/>
        </w:rPr>
      </w:pPr>
      <w:r>
        <w:rPr>
          <w:snapToGrid w:val="0"/>
        </w:rPr>
        <w:tab/>
        <w:t>(f)</w:t>
      </w:r>
      <w:r>
        <w:rPr>
          <w:snapToGrid w:val="0"/>
        </w:rPr>
        <w:tab/>
        <w:t>enable each lot in the scheme to be separately identified and located; and</w:t>
      </w:r>
    </w:p>
    <w:p>
      <w:pPr>
        <w:pStyle w:val="nz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nzIndenta"/>
      </w:pPr>
      <w:r>
        <w:tab/>
        <w:t>(h)</w:t>
      </w:r>
      <w:r>
        <w:tab/>
        <w:t xml:space="preserve">if land is or is to be vested in the Crown under the </w:t>
      </w:r>
      <w:r>
        <w:rPr>
          <w:i/>
        </w:rPr>
        <w:t>Planning and Development Act 2005</w:t>
      </w:r>
      <w:r>
        <w:t xml:space="preserve"> section 152, delineate that land; and</w:t>
      </w:r>
    </w:p>
    <w:p>
      <w:pPr>
        <w:pStyle w:val="nzIndenta"/>
      </w:pPr>
      <w:r>
        <w:tab/>
        <w:t>(i)</w:t>
      </w:r>
      <w:r>
        <w:tab/>
        <w:t>delineate areas that are roads, or are to be new roads, for the</w:t>
      </w:r>
      <w:r>
        <w:rPr>
          <w:i/>
        </w:rPr>
        <w:t xml:space="preserve"> Planning and Development Act 2005</w:t>
      </w:r>
      <w:r>
        <w:t xml:space="preserve"> section 168; and</w:t>
      </w:r>
    </w:p>
    <w:p>
      <w:pPr>
        <w:pStyle w:val="nzIndenta"/>
      </w:pPr>
      <w:r>
        <w:tab/>
        <w:t>(j)</w:t>
      </w:r>
      <w:r>
        <w:tab/>
        <w:t>if it is a strata scheme, identify the nature and extent of any part of a wall or building or material attached to a wall or building that encroaches on land outside the parcel and —</w:t>
      </w:r>
    </w:p>
    <w:p>
      <w:pPr>
        <w:pStyle w:val="nzIndenti"/>
        <w:rPr>
          <w:snapToGrid w:val="0"/>
        </w:rPr>
      </w:pPr>
      <w:r>
        <w:rPr>
          <w:snapToGrid w:val="0"/>
        </w:rPr>
        <w:tab/>
        <w:t>(i)</w:t>
      </w:r>
      <w:r>
        <w:rPr>
          <w:snapToGrid w:val="0"/>
        </w:rPr>
        <w:tab/>
        <w:t>if an encroachment is to be controlled and managed as if it were common property, specify that fact; and</w:t>
      </w:r>
    </w:p>
    <w:p>
      <w:pPr>
        <w:pStyle w:val="nzIndenti"/>
        <w:rPr>
          <w:snapToGrid w:val="0"/>
        </w:rPr>
      </w:pPr>
      <w:r>
        <w:rPr>
          <w:snapToGrid w:val="0"/>
        </w:rPr>
        <w:tab/>
        <w:t>(ii)</w:t>
      </w:r>
      <w:r>
        <w:rPr>
          <w:snapToGrid w:val="0"/>
        </w:rPr>
        <w:tab/>
        <w:t>if an encroachment is to be subject to an easement, specify that easement.</w:t>
      </w:r>
    </w:p>
    <w:p>
      <w:pPr>
        <w:pStyle w:val="nzSubsection"/>
      </w:pPr>
      <w:r>
        <w:tab/>
        <w:t>(2)</w:t>
      </w:r>
      <w:r>
        <w:tab/>
        <w:t>A scheme plan, or an amendment of a scheme plan, for a strata titles scheme may also —</w:t>
      </w:r>
    </w:p>
    <w:p>
      <w:pPr>
        <w:pStyle w:val="nzIndenta"/>
      </w:pPr>
      <w:r>
        <w:tab/>
        <w:t>(a)</w:t>
      </w:r>
      <w:r>
        <w:tab/>
        <w:t xml:space="preserve">restrict the purposes for which the whole or a part of the parcel may be used (a </w:t>
      </w:r>
      <w:r>
        <w:rPr>
          <w:rStyle w:val="CharDefText"/>
        </w:rPr>
        <w:t>restricted use condition</w:t>
      </w:r>
      <w:r>
        <w:t>); and</w:t>
      </w:r>
    </w:p>
    <w:p>
      <w:pPr>
        <w:pStyle w:val="nzIndenta"/>
      </w:pPr>
      <w:r>
        <w:tab/>
        <w:t>(b)</w:t>
      </w:r>
      <w:r>
        <w:tab/>
        <w:t>in the case of an amendment —</w:t>
      </w:r>
    </w:p>
    <w:p>
      <w:pPr>
        <w:pStyle w:val="nz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nzIndenti"/>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nzIndenta"/>
      </w:pPr>
      <w:r>
        <w:tab/>
      </w:r>
      <w:r>
        <w:tab/>
        <w:t>and</w:t>
      </w:r>
    </w:p>
    <w:p>
      <w:pPr>
        <w:pStyle w:val="nzIndenta"/>
      </w:pPr>
      <w:r>
        <w:tab/>
        <w:t>(c)</w:t>
      </w:r>
      <w:r>
        <w:tab/>
        <w:t>delineate or record easements (other than statutory easements) and restrictive covenants over the land subdivided by the scheme, including —</w:t>
      </w:r>
    </w:p>
    <w:p>
      <w:pPr>
        <w:pStyle w:val="nzIndenti"/>
      </w:pPr>
      <w:r>
        <w:tab/>
        <w:t>(i)</w:t>
      </w:r>
      <w:r>
        <w:tab/>
        <w:t>short form easements or restrictive covenants; and</w:t>
      </w:r>
    </w:p>
    <w:p>
      <w:pPr>
        <w:pStyle w:val="nzIndenti"/>
      </w:pPr>
      <w:r>
        <w:tab/>
        <w:t>(ii)</w:t>
      </w:r>
      <w:r>
        <w:tab/>
      </w:r>
      <w:r>
        <w:rPr>
          <w:snapToGrid w:val="0"/>
        </w:rPr>
        <w:t>easements</w:t>
      </w:r>
      <w:r>
        <w:t xml:space="preserve"> created under the </w:t>
      </w:r>
      <w:r>
        <w:rPr>
          <w:i/>
        </w:rPr>
        <w:t>Planning and Development Act 2005</w:t>
      </w:r>
      <w:r>
        <w:t xml:space="preserve"> section 167; and</w:t>
      </w:r>
    </w:p>
    <w:p>
      <w:pPr>
        <w:pStyle w:val="nzIndenti"/>
      </w:pPr>
      <w:r>
        <w:tab/>
        <w:t>(iii)</w:t>
      </w:r>
      <w:r>
        <w:tab/>
      </w:r>
      <w:r>
        <w:rPr>
          <w:snapToGrid w:val="0"/>
        </w:rPr>
        <w:t>easements</w:t>
      </w:r>
      <w:r>
        <w:t xml:space="preserve"> and restrictive covenants created under the </w:t>
      </w:r>
      <w:r>
        <w:rPr>
          <w:i/>
        </w:rPr>
        <w:t>Transfer of Land Act 1893</w:t>
      </w:r>
      <w:r>
        <w:t xml:space="preserve"> Part IVA;</w:t>
      </w:r>
    </w:p>
    <w:p>
      <w:pPr>
        <w:pStyle w:val="nzIndenta"/>
      </w:pPr>
      <w:r>
        <w:rPr>
          <w:snapToGrid w:val="0"/>
        </w:rPr>
        <w:tab/>
      </w:r>
      <w:r>
        <w:rPr>
          <w:snapToGrid w:val="0"/>
        </w:rPr>
        <w:tab/>
        <w:t>and</w:t>
      </w:r>
    </w:p>
    <w:p>
      <w:pPr>
        <w:pStyle w:val="nz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nzSubsection"/>
      </w:pPr>
      <w:r>
        <w:tab/>
        <w:t>(3)</w:t>
      </w:r>
      <w:r>
        <w:tab/>
        <w:t>A scheme plan, or an amendment of a scheme plan, for a strata titles scheme —</w:t>
      </w:r>
    </w:p>
    <w:p>
      <w:pPr>
        <w:pStyle w:val="nzIndenta"/>
      </w:pPr>
      <w:r>
        <w:tab/>
        <w:t>(a)</w:t>
      </w:r>
      <w:r>
        <w:tab/>
        <w:t>may consist of multiple plans, drawings and documents containing descriptions or other matters; and</w:t>
      </w:r>
    </w:p>
    <w:p>
      <w:pPr>
        <w:pStyle w:val="nzIndenta"/>
      </w:pPr>
      <w:r>
        <w:tab/>
        <w:t>(b)</w:t>
      </w:r>
      <w:r>
        <w:tab/>
        <w:t>must be in the approved form; and</w:t>
      </w:r>
    </w:p>
    <w:p>
      <w:pPr>
        <w:pStyle w:val="nzIndenta"/>
      </w:pPr>
      <w:r>
        <w:tab/>
        <w:t>(c)</w:t>
      </w:r>
      <w:r>
        <w:tab/>
        <w:t>must be prepared and certified by a licensed surveyor (except for an amendment that relates only to a restricted use condition or temporary common property and does not involve any aspect of survey).</w:t>
      </w:r>
    </w:p>
    <w:p>
      <w:pPr>
        <w:pStyle w:val="nzSubsection"/>
      </w:pPr>
      <w:r>
        <w:tab/>
        <w:t>(4)</w:t>
      </w:r>
      <w:r>
        <w:tab/>
        <w:t>A licensed surveyor must comply with the regulations and Transfer of Land Act requirements in preparing and certifying a scheme plan, or an amendment of a scheme plan, for a strata titles scheme.</w:t>
      </w:r>
    </w:p>
    <w:p>
      <w:pPr>
        <w:pStyle w:val="nzHeading5"/>
      </w:pPr>
      <w:bookmarkStart w:id="901" w:name="_Toc530474384"/>
      <w:bookmarkStart w:id="902" w:name="_Toc530474979"/>
      <w:r>
        <w:t>33.</w:t>
      </w:r>
      <w:r>
        <w:tab/>
        <w:t>Short form easements or restrictive covenants</w:t>
      </w:r>
      <w:bookmarkEnd w:id="901"/>
      <w:bookmarkEnd w:id="902"/>
    </w:p>
    <w:p>
      <w:pPr>
        <w:pStyle w:val="nz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nzIndenta"/>
      </w:pPr>
      <w:r>
        <w:tab/>
        <w:t>(a)</w:t>
      </w:r>
      <w:r>
        <w:tab/>
        <w:t>the type of easement or restrictive covenant must be identified using the description specified in the regulations;</w:t>
      </w:r>
    </w:p>
    <w:p>
      <w:pPr>
        <w:pStyle w:val="nzIndenta"/>
      </w:pPr>
      <w:r>
        <w:tab/>
        <w:t>(b)</w:t>
      </w:r>
      <w:r>
        <w:tab/>
        <w:t>for an easement, its location must be delineated in the manner specified in the regulations;</w:t>
      </w:r>
    </w:p>
    <w:p>
      <w:pPr>
        <w:pStyle w:val="nzIndenta"/>
      </w:pPr>
      <w:r>
        <w:tab/>
        <w:t>(c)</w:t>
      </w:r>
      <w:r>
        <w:tab/>
        <w:t>the lots and common property benefited and burdened by the easement or restrictive covenant must be identified in the manner specified in the regulations;</w:t>
      </w:r>
    </w:p>
    <w:p>
      <w:pPr>
        <w:pStyle w:val="nzIndenta"/>
      </w:pPr>
      <w:r>
        <w:tab/>
        <w:t>(d)</w:t>
      </w:r>
      <w:r>
        <w:tab/>
        <w:t>any other requirements specified in the regulations must be complied with.</w:t>
      </w:r>
    </w:p>
    <w:p>
      <w:pPr>
        <w:pStyle w:val="nzSubsection"/>
      </w:pPr>
      <w:r>
        <w:tab/>
        <w:t>(2)</w:t>
      </w:r>
      <w:r>
        <w:tab/>
        <w:t>The nature of a short form easement or restrictive covenant and the rights and liabilities under the easement or restrictive covenant are as specified in the regulations.</w:t>
      </w:r>
    </w:p>
    <w:p>
      <w:pPr>
        <w:pStyle w:val="nzSubsection"/>
      </w:pPr>
      <w:r>
        <w:tab/>
        <w:t>(3)</w:t>
      </w:r>
      <w:r>
        <w:tab/>
        <w:t>The liabilities specified in the regulations may include positive obligations.</w:t>
      </w:r>
    </w:p>
    <w:p>
      <w:pPr>
        <w:pStyle w:val="nzSubsection"/>
      </w:pPr>
      <w:r>
        <w:tab/>
        <w:t>(4)</w:t>
      </w:r>
      <w:r>
        <w:tab/>
        <w:t>A short form easement or restrictive covenant runs with the land and is binding on the owners, from time to time, of lots in the strata titles scheme.</w:t>
      </w:r>
    </w:p>
    <w:p>
      <w:pPr>
        <w:pStyle w:val="nz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nzSubsection"/>
      </w:pPr>
      <w:r>
        <w:tab/>
        <w:t>(6)</w:t>
      </w:r>
      <w:r>
        <w:tab/>
        <w:t>A short form easement or restrictive covenant is discharged by —</w:t>
      </w:r>
    </w:p>
    <w:p>
      <w:pPr>
        <w:pStyle w:val="nzIndenta"/>
      </w:pPr>
      <w:r>
        <w:tab/>
        <w:t>(a)</w:t>
      </w:r>
      <w:r>
        <w:tab/>
        <w:t>registration of an amendment of the scheme plan to give effect to the discharge; or</w:t>
      </w:r>
    </w:p>
    <w:p>
      <w:pPr>
        <w:pStyle w:val="nzIndenta"/>
      </w:pPr>
      <w:r>
        <w:tab/>
        <w:t>(b)</w:t>
      </w:r>
      <w:r>
        <w:tab/>
        <w:t>termination of the strata titles scheme.</w:t>
      </w:r>
    </w:p>
    <w:p>
      <w:pPr>
        <w:pStyle w:val="nzSubsection"/>
      </w:pPr>
      <w:r>
        <w:tab/>
        <w:t>(7)</w:t>
      </w:r>
      <w:r>
        <w:tab/>
        <w:t>A short form easement or restrictive covenant has effect even if the lot benefited and the lot burdened have the same owner.</w:t>
      </w:r>
    </w:p>
    <w:p>
      <w:pPr>
        <w:pStyle w:val="nzSubsection"/>
      </w:pPr>
      <w:r>
        <w:tab/>
        <w:t>(8)</w:t>
      </w:r>
      <w:r>
        <w:tab/>
        <w:t xml:space="preserve">The </w:t>
      </w:r>
      <w:r>
        <w:rPr>
          <w:i/>
        </w:rPr>
        <w:t>Property Law Act 1969</w:t>
      </w:r>
      <w:r>
        <w:t xml:space="preserve"> section 121 does not apply to a short form easement or restrictive covenant.</w:t>
      </w:r>
    </w:p>
    <w:p>
      <w:pPr>
        <w:pStyle w:val="nzSubsection"/>
      </w:pPr>
      <w:r>
        <w:tab/>
        <w:t>(9)</w:t>
      </w:r>
      <w:r>
        <w:tab/>
        <w:t>This section does not derogate from</w:t>
      </w:r>
      <w:r>
        <w:rPr>
          <w:snapToGrid w:val="0"/>
        </w:rPr>
        <w:t xml:space="preserve"> any other method by which an easement or restrictive covenant may be created over a parcel.</w:t>
      </w:r>
    </w:p>
    <w:p>
      <w:pPr>
        <w:pStyle w:val="nzHeading5"/>
      </w:pPr>
      <w:bookmarkStart w:id="903" w:name="_Toc530474385"/>
      <w:bookmarkStart w:id="904" w:name="_Toc530474980"/>
      <w:r>
        <w:t>34.</w:t>
      </w:r>
      <w:r>
        <w:tab/>
        <w:t>Requirements for registration of scheme plan</w:t>
      </w:r>
      <w:bookmarkEnd w:id="903"/>
      <w:bookmarkEnd w:id="904"/>
    </w:p>
    <w:p>
      <w:pPr>
        <w:pStyle w:val="nzSubsection"/>
      </w:pPr>
      <w:r>
        <w:tab/>
      </w:r>
      <w:r>
        <w:tab/>
        <w:t>A scheme plan for a strata titles scheme must not be registered unless —</w:t>
      </w:r>
    </w:p>
    <w:p>
      <w:pPr>
        <w:pStyle w:val="nzIndenta"/>
      </w:pPr>
      <w:r>
        <w:tab/>
        <w:t>(a)</w:t>
      </w:r>
      <w:r>
        <w:tab/>
        <w:t>the owner of the parcel is the applicant for registration or has given written consent to the subdivision of the parcel by the strata titles scheme; and</w:t>
      </w:r>
    </w:p>
    <w:p>
      <w:pPr>
        <w:pStyle w:val="nzIndenta"/>
      </w:pPr>
      <w:r>
        <w:tab/>
        <w:t>(b)</w:t>
      </w:r>
      <w:r>
        <w:tab/>
        <w:t>the holder of each designated interest over the whole or a part of the parcel to be subdivided by registration of the scheme —</w:t>
      </w:r>
    </w:p>
    <w:p>
      <w:pPr>
        <w:pStyle w:val="nzIndenti"/>
      </w:pPr>
      <w:r>
        <w:tab/>
        <w:t>(i)</w:t>
      </w:r>
      <w:r>
        <w:tab/>
        <w:t>has been given notice in the approved form of the subdivision and the schedule of unit entitlements; and</w:t>
      </w:r>
    </w:p>
    <w:p>
      <w:pPr>
        <w:pStyle w:val="nzIndenti"/>
      </w:pPr>
      <w:r>
        <w:tab/>
        <w:t>(ii)</w:t>
      </w:r>
      <w:r>
        <w:tab/>
        <w:t>has given written consent to the subdivision;</w:t>
      </w:r>
    </w:p>
    <w:p>
      <w:pPr>
        <w:pStyle w:val="nzIndenta"/>
      </w:pPr>
      <w:r>
        <w:tab/>
      </w:r>
      <w:r>
        <w:tab/>
        <w:t>and</w:t>
      </w:r>
    </w:p>
    <w:p>
      <w:pPr>
        <w:pStyle w:val="nzIndenta"/>
      </w:pPr>
      <w:r>
        <w:tab/>
        <w:t>(c)</w:t>
      </w:r>
      <w:r>
        <w:tab/>
        <w:t>the scheme plan is approved by the Planning Commission (subject to any exemption in regulations under section 15(6)); and</w:t>
      </w:r>
    </w:p>
    <w:p>
      <w:pPr>
        <w:pStyle w:val="nzIndenta"/>
      </w:pPr>
      <w:r>
        <w:tab/>
        <w:t>(d)</w:t>
      </w:r>
      <w:r>
        <w:tab/>
        <w:t>for a strata scheme —</w:t>
      </w:r>
    </w:p>
    <w:p>
      <w:pPr>
        <w:pStyle w:val="nz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nz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nzHeading5"/>
      </w:pPr>
      <w:bookmarkStart w:id="905" w:name="_Toc530474386"/>
      <w:bookmarkStart w:id="906" w:name="_Toc530474981"/>
      <w:r>
        <w:t>35.</w:t>
      </w:r>
      <w:r>
        <w:tab/>
        <w:t>Requirements for registration of amendment of scheme plan</w:t>
      </w:r>
      <w:bookmarkEnd w:id="905"/>
      <w:bookmarkEnd w:id="906"/>
    </w:p>
    <w:p>
      <w:pPr>
        <w:pStyle w:val="nzSubsection"/>
      </w:pPr>
      <w:r>
        <w:tab/>
        <w:t>(1)</w:t>
      </w:r>
      <w:r>
        <w:tab/>
        <w:t>An amendment of a scheme plan for a strata titles scheme must not be registered unless —</w:t>
      </w:r>
    </w:p>
    <w:p>
      <w:pPr>
        <w:pStyle w:val="nzIndenta"/>
      </w:pPr>
      <w:r>
        <w:tab/>
        <w:t>(a)</w:t>
      </w:r>
      <w:r>
        <w:tab/>
        <w:t>for a leasehold scheme, the owner of the leasehold scheme is the applicant for registration or has given written consent to the amendment; and</w:t>
      </w:r>
    </w:p>
    <w:p>
      <w:pPr>
        <w:pStyle w:val="nzIndenta"/>
      </w:pPr>
      <w:r>
        <w:tab/>
        <w:t>(b)</w:t>
      </w:r>
      <w:r>
        <w:tab/>
        <w:t>to the extent that the amendment gives effect to a type 1 subdivision —</w:t>
      </w:r>
    </w:p>
    <w:p>
      <w:pPr>
        <w:pStyle w:val="nzIndenti"/>
      </w:pPr>
      <w:r>
        <w:tab/>
        <w:t>(i)</w:t>
      </w:r>
      <w:r>
        <w:tab/>
        <w:t>the subdivision is authorised by resolution without dissent of the strata company; and</w:t>
      </w:r>
    </w:p>
    <w:p>
      <w:pPr>
        <w:pStyle w:val="nzIndenti"/>
      </w:pPr>
      <w:r>
        <w:tab/>
        <w:t>(ii)</w:t>
      </w:r>
      <w:r>
        <w:tab/>
        <w:t>each owner of a lot affected by the amendment who is not an applicant for registration of the amendment —</w:t>
      </w:r>
    </w:p>
    <w:p>
      <w:pPr>
        <w:pStyle w:val="nzIndentI0"/>
      </w:pPr>
      <w:r>
        <w:tab/>
        <w:t>(I)</w:t>
      </w:r>
      <w:r>
        <w:tab/>
        <w:t>has been given notice in the approved form of the subdivision and any associated amendment of the schedule of unit entitlements; and</w:t>
      </w:r>
    </w:p>
    <w:p>
      <w:pPr>
        <w:pStyle w:val="nzIndentI0"/>
      </w:pPr>
      <w:r>
        <w:tab/>
        <w:t>(II)</w:t>
      </w:r>
      <w:r>
        <w:tab/>
        <w:t>has given written consent to the amendment;</w:t>
      </w:r>
    </w:p>
    <w:p>
      <w:pPr>
        <w:pStyle w:val="nzIndenti"/>
      </w:pPr>
      <w:r>
        <w:tab/>
      </w:r>
      <w:r>
        <w:tab/>
        <w:t>and</w:t>
      </w:r>
    </w:p>
    <w:p>
      <w:pPr>
        <w:pStyle w:val="nzIndenti"/>
      </w:pPr>
      <w:r>
        <w:tab/>
        <w:t>(iii)</w:t>
      </w:r>
      <w:r>
        <w:tab/>
        <w:t>if the owner of a lot affected by the amendment holds a life estate in the land, the person who holds the remainder or reversionary interest in the land —</w:t>
      </w:r>
    </w:p>
    <w:p>
      <w:pPr>
        <w:pStyle w:val="nzIndentI0"/>
      </w:pPr>
      <w:r>
        <w:tab/>
        <w:t>(I)</w:t>
      </w:r>
      <w:r>
        <w:tab/>
        <w:t>has been given notice in the approved form of the subdivision and any associated amendment of the schedule of unit entitlements; and</w:t>
      </w:r>
    </w:p>
    <w:p>
      <w:pPr>
        <w:pStyle w:val="nzIndentI0"/>
      </w:pPr>
      <w:r>
        <w:tab/>
        <w:t>(II)</w:t>
      </w:r>
      <w:r>
        <w:tab/>
        <w:t>has given written consent to the amendment;</w:t>
      </w:r>
    </w:p>
    <w:p>
      <w:pPr>
        <w:pStyle w:val="nzIndenti"/>
      </w:pPr>
      <w:r>
        <w:tab/>
      </w:r>
      <w:r>
        <w:tab/>
        <w:t>and</w:t>
      </w:r>
    </w:p>
    <w:p>
      <w:pPr>
        <w:pStyle w:val="nzIndenti"/>
      </w:pPr>
      <w:r>
        <w:tab/>
        <w:t>(iv)</w:t>
      </w:r>
      <w:r>
        <w:tab/>
        <w:t>each designated interest in land that is to become common property has been discharged, surrendered, withdrawn or otherwise extinguished;</w:t>
      </w:r>
    </w:p>
    <w:p>
      <w:pPr>
        <w:pStyle w:val="nzIndenta"/>
      </w:pPr>
      <w:r>
        <w:tab/>
      </w:r>
      <w:r>
        <w:tab/>
        <w:t>and</w:t>
      </w:r>
    </w:p>
    <w:p>
      <w:pPr>
        <w:pStyle w:val="nzIndenta"/>
      </w:pPr>
      <w:r>
        <w:tab/>
        <w:t>(c)</w:t>
      </w:r>
      <w:r>
        <w:tab/>
        <w:t>to the extent that the amendment gives effect to a type 2 subdivision —</w:t>
      </w:r>
    </w:p>
    <w:p>
      <w:pPr>
        <w:pStyle w:val="nzIndenti"/>
      </w:pPr>
      <w:r>
        <w:tab/>
        <w:t>(i)</w:t>
      </w:r>
      <w:r>
        <w:tab/>
        <w:t>the subdivision is authorised by resolution without dissent of the strata company; and</w:t>
      </w:r>
    </w:p>
    <w:p>
      <w:pPr>
        <w:pStyle w:val="nz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nzIndentI0"/>
      </w:pPr>
      <w:r>
        <w:tab/>
        <w:t>(I)</w:t>
      </w:r>
      <w:r>
        <w:tab/>
        <w:t>has given written consent to the subdivision; or</w:t>
      </w:r>
    </w:p>
    <w:p>
      <w:pPr>
        <w:pStyle w:val="nzIndentI0"/>
      </w:pPr>
      <w:r>
        <w:tab/>
        <w:t>(II)</w:t>
      </w:r>
      <w:r>
        <w:tab/>
        <w:t>has not, at the end of 60 days after being given notice, made a written objection to the subdivision setting out the reasons for the objection;</w:t>
      </w:r>
    </w:p>
    <w:p>
      <w:pPr>
        <w:pStyle w:val="nzIndenta"/>
      </w:pPr>
      <w:r>
        <w:tab/>
      </w:r>
      <w:r>
        <w:tab/>
        <w:t>and</w:t>
      </w:r>
    </w:p>
    <w:p>
      <w:pPr>
        <w:pStyle w:val="nzIndenta"/>
      </w:pPr>
      <w:r>
        <w:tab/>
        <w:t>(d)</w:t>
      </w:r>
      <w:r>
        <w:tab/>
        <w:t>to the extent that the amendment gives effect to a type 3 subdivision —</w:t>
      </w:r>
    </w:p>
    <w:p>
      <w:pPr>
        <w:pStyle w:val="nzIndenti"/>
      </w:pPr>
      <w:r>
        <w:tab/>
        <w:t>(i)</w:t>
      </w:r>
      <w:r>
        <w:tab/>
        <w:t>each owner of a lot affected by the amendment who is not an applicant for registration of the amendment —</w:t>
      </w:r>
    </w:p>
    <w:p>
      <w:pPr>
        <w:pStyle w:val="nzIndentI0"/>
      </w:pPr>
      <w:r>
        <w:tab/>
        <w:t>(I)</w:t>
      </w:r>
      <w:r>
        <w:tab/>
        <w:t>has been given notice in the approved form of the subdivision and any associated amendment of the schedule of unit entitlements; and</w:t>
      </w:r>
    </w:p>
    <w:p>
      <w:pPr>
        <w:pStyle w:val="nzIndentI0"/>
      </w:pPr>
      <w:r>
        <w:tab/>
        <w:t>(II)</w:t>
      </w:r>
      <w:r>
        <w:tab/>
        <w:t>has given written consent to the amendment;</w:t>
      </w:r>
    </w:p>
    <w:p>
      <w:pPr>
        <w:pStyle w:val="nzIndenti"/>
      </w:pPr>
      <w:r>
        <w:tab/>
      </w:r>
      <w:r>
        <w:tab/>
        <w:t>and</w:t>
      </w:r>
    </w:p>
    <w:p>
      <w:pPr>
        <w:pStyle w:val="nzIndenti"/>
      </w:pPr>
      <w:r>
        <w:tab/>
        <w:t>(ii)</w:t>
      </w:r>
      <w:r>
        <w:tab/>
        <w:t>if the owner of a lot affected by the amendment holds a life estate in the land, the person who holds the remainder or reversionary interest in the land —</w:t>
      </w:r>
    </w:p>
    <w:p>
      <w:pPr>
        <w:pStyle w:val="nzIndentI0"/>
      </w:pPr>
      <w:r>
        <w:tab/>
        <w:t>(I)</w:t>
      </w:r>
      <w:r>
        <w:tab/>
        <w:t>has been given notice in the approved form of the subdivision and any associated amendment of the schedule of unit entitlements; and</w:t>
      </w:r>
    </w:p>
    <w:p>
      <w:pPr>
        <w:pStyle w:val="nzIndentI0"/>
      </w:pPr>
      <w:r>
        <w:tab/>
        <w:t>(II)</w:t>
      </w:r>
      <w:r>
        <w:tab/>
        <w:t>has given written consent to the amendment;</w:t>
      </w:r>
    </w:p>
    <w:p>
      <w:pPr>
        <w:pStyle w:val="nzIndenti"/>
      </w:pPr>
      <w:r>
        <w:tab/>
      </w:r>
      <w:r>
        <w:tab/>
        <w:t>and</w:t>
      </w:r>
    </w:p>
    <w:p>
      <w:pPr>
        <w:pStyle w:val="nz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nzIndentI0"/>
      </w:pPr>
      <w:r>
        <w:tab/>
        <w:t>(I)</w:t>
      </w:r>
      <w:r>
        <w:tab/>
        <w:t>has given written consent to the amendment; or</w:t>
      </w:r>
    </w:p>
    <w:p>
      <w:pPr>
        <w:pStyle w:val="nzIndentI0"/>
      </w:pPr>
      <w:r>
        <w:tab/>
        <w:t>(II)</w:t>
      </w:r>
      <w:r>
        <w:tab/>
        <w:t>has not, at the end of 60 days after being given notice, made a written objection to the amendment setting out the reasons for the objection;</w:t>
      </w:r>
    </w:p>
    <w:p>
      <w:pPr>
        <w:pStyle w:val="nzIndenta"/>
      </w:pPr>
      <w:r>
        <w:tab/>
      </w:r>
      <w:r>
        <w:tab/>
        <w:t>and</w:t>
      </w:r>
    </w:p>
    <w:p>
      <w:pPr>
        <w:pStyle w:val="nzIndenta"/>
      </w:pPr>
      <w:r>
        <w:tab/>
        <w:t>(e)</w:t>
      </w:r>
      <w:r>
        <w:tab/>
        <w:t>to the extent that the amendment gives effect to a type 4 subdivision —</w:t>
      </w:r>
    </w:p>
    <w:p>
      <w:pPr>
        <w:pStyle w:val="nzIndenti"/>
      </w:pPr>
      <w:r>
        <w:tab/>
        <w:t>(i)</w:t>
      </w:r>
      <w:r>
        <w:tab/>
        <w:t>the amendment is authorised by unanimous resolution of the strata company; and</w:t>
      </w:r>
    </w:p>
    <w:p>
      <w:pPr>
        <w:pStyle w:val="nz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nzIndentI0"/>
      </w:pPr>
      <w:r>
        <w:tab/>
        <w:t>(I)</w:t>
      </w:r>
      <w:r>
        <w:tab/>
        <w:t>has given written consent to the subdivision; or</w:t>
      </w:r>
    </w:p>
    <w:p>
      <w:pPr>
        <w:pStyle w:val="nzIndentI0"/>
      </w:pPr>
      <w:r>
        <w:tab/>
        <w:t>(II)</w:t>
      </w:r>
      <w:r>
        <w:tab/>
        <w:t>has not, at the end of 60 days after being given notice, made a written objection to the subdivision setting out the reasons for the objection;</w:t>
      </w:r>
    </w:p>
    <w:p>
      <w:pPr>
        <w:pStyle w:val="nzIndenta"/>
      </w:pPr>
      <w:r>
        <w:tab/>
      </w:r>
      <w:r>
        <w:tab/>
        <w:t>and</w:t>
      </w:r>
    </w:p>
    <w:p>
      <w:pPr>
        <w:pStyle w:val="nzIndenta"/>
      </w:pPr>
      <w:r>
        <w:tab/>
        <w:t>(f)</w:t>
      </w:r>
      <w:r>
        <w:tab/>
        <w:t>to the extent that the amendment gives effect to any type of subdivision — the amendment is approved by the Planning Commission (subject to any exemption in regulations under section 15(6)); and</w:t>
      </w:r>
    </w:p>
    <w:p>
      <w:pPr>
        <w:pStyle w:val="nzIndenta"/>
      </w:pPr>
      <w:r>
        <w:tab/>
        <w:t>(g)</w:t>
      </w:r>
      <w:r>
        <w:tab/>
        <w:t>to the extent that the amendment imposes, varies or revokes a restricted use condition, the imposition, variation or revocation —</w:t>
      </w:r>
    </w:p>
    <w:p>
      <w:pPr>
        <w:pStyle w:val="nzIndenti"/>
      </w:pPr>
      <w:r>
        <w:tab/>
        <w:t>(i)</w:t>
      </w:r>
      <w:r>
        <w:tab/>
        <w:t>has been approved by the Planning Commission under section 21; and</w:t>
      </w:r>
    </w:p>
    <w:p>
      <w:pPr>
        <w:pStyle w:val="nzIndenti"/>
      </w:pPr>
      <w:r>
        <w:tab/>
        <w:t>(ii)</w:t>
      </w:r>
      <w:r>
        <w:tab/>
        <w:t>is authorised by resolution without dissent of the strata company;</w:t>
      </w:r>
    </w:p>
    <w:p>
      <w:pPr>
        <w:pStyle w:val="nzIndenta"/>
      </w:pPr>
      <w:r>
        <w:tab/>
      </w:r>
      <w:r>
        <w:tab/>
        <w:t>and</w:t>
      </w:r>
    </w:p>
    <w:p>
      <w:pPr>
        <w:pStyle w:val="nz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nzIndenta"/>
      </w:pPr>
      <w:r>
        <w:tab/>
        <w:t>(i)</w:t>
      </w:r>
      <w:r>
        <w:tab/>
        <w:t>to the extent that the amendment creates or discharges an easement or restrictive covenant —</w:t>
      </w:r>
    </w:p>
    <w:p>
      <w:pPr>
        <w:pStyle w:val="nzIndenti"/>
      </w:pPr>
      <w:r>
        <w:tab/>
        <w:t>(i)</w:t>
      </w:r>
      <w:r>
        <w:tab/>
        <w:t>for a short form easement or restrictive covenant — the amendment of the scheme plan is approved by the Planning Commission;</w:t>
      </w:r>
    </w:p>
    <w:p>
      <w:pPr>
        <w:pStyle w:val="nzIndenti"/>
      </w:pPr>
      <w:r>
        <w:tab/>
        <w:t>(ii)</w:t>
      </w:r>
      <w:r>
        <w:tab/>
        <w:t>in the case of an amendment affecting the common property — the amendment is authorised by resolution without dissent of the strata company; and</w:t>
      </w:r>
    </w:p>
    <w:p>
      <w:pPr>
        <w:pStyle w:val="nzIndenti"/>
      </w:pPr>
      <w:r>
        <w:tab/>
        <w:t>(iii)</w:t>
      </w:r>
      <w:r>
        <w:tab/>
        <w:t>in the case of an amendment affecting a lot — the owner of the lot has given written consent to the amendment; and</w:t>
      </w:r>
    </w:p>
    <w:p>
      <w:pPr>
        <w:pStyle w:val="nzIndenti"/>
      </w:pPr>
      <w:r>
        <w:tab/>
        <w:t>(iv)</w:t>
      </w:r>
      <w:r>
        <w:tab/>
        <w:t>in any case — the holder of each designated interest over the common property or a lot affected by the amendment has been given notice in the approved form of the amendment and —</w:t>
      </w:r>
    </w:p>
    <w:p>
      <w:pPr>
        <w:pStyle w:val="nzIndentI0"/>
      </w:pPr>
      <w:r>
        <w:tab/>
        <w:t>(I)</w:t>
      </w:r>
      <w:r>
        <w:tab/>
        <w:t>has given written consent to the subdivision; or</w:t>
      </w:r>
    </w:p>
    <w:p>
      <w:pPr>
        <w:pStyle w:val="nzIndentI0"/>
      </w:pPr>
      <w:r>
        <w:tab/>
        <w:t>(II)</w:t>
      </w:r>
      <w:r>
        <w:tab/>
        <w:t>has not, at the end of 60 days after being given notice, made a written objection to the creation or discharge setting out the reasons for the objection;</w:t>
      </w:r>
    </w:p>
    <w:p>
      <w:pPr>
        <w:pStyle w:val="nzIndenta"/>
      </w:pPr>
      <w:r>
        <w:tab/>
      </w:r>
      <w:r>
        <w:tab/>
        <w:t>and</w:t>
      </w:r>
    </w:p>
    <w:p>
      <w:pPr>
        <w:pStyle w:val="nzIndenta"/>
      </w:pPr>
      <w:r>
        <w:tab/>
        <w:t>(j)</w:t>
      </w:r>
      <w:r>
        <w:tab/>
        <w:t>for a strata scheme —</w:t>
      </w:r>
    </w:p>
    <w:p>
      <w:pPr>
        <w:pStyle w:val="nz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nz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nz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nzSubsection"/>
      </w:pPr>
      <w:r>
        <w:tab/>
        <w:t>(3)</w:t>
      </w:r>
      <w:r>
        <w:tab/>
        <w:t>In considering whether an objection is unreasonable, the Tribunal may consider —</w:t>
      </w:r>
    </w:p>
    <w:p>
      <w:pPr>
        <w:pStyle w:val="nzIndenta"/>
      </w:pPr>
      <w:r>
        <w:tab/>
        <w:t>(a)</w:t>
      </w:r>
      <w:r>
        <w:tab/>
        <w:t>the merits of the proposed amendment of the strata titles scheme; and</w:t>
      </w:r>
    </w:p>
    <w:p>
      <w:pPr>
        <w:pStyle w:val="nzIndenta"/>
      </w:pPr>
      <w:r>
        <w:tab/>
        <w:t>(b)</w:t>
      </w:r>
      <w:r>
        <w:tab/>
        <w:t>the grounds for the objection; and</w:t>
      </w:r>
    </w:p>
    <w:p>
      <w:pPr>
        <w:pStyle w:val="nzIndenta"/>
      </w:pPr>
      <w:r>
        <w:tab/>
        <w:t>(c)</w:t>
      </w:r>
      <w:r>
        <w:tab/>
        <w:t>any other factor the Tribunal considers relevant.</w:t>
      </w:r>
    </w:p>
    <w:p>
      <w:pPr>
        <w:pStyle w:val="nzSubsection"/>
      </w:pPr>
      <w:r>
        <w:tab/>
        <w:t>(4)</w:t>
      </w:r>
      <w:r>
        <w:tab/>
        <w:t>If the Tribunal makes such an order, the applicant must lodge a copy of the order certified by the Tribunal with the Registrar of Titles.</w:t>
      </w:r>
    </w:p>
    <w:p>
      <w:pPr>
        <w:pStyle w:val="nzSubsection"/>
      </w:pPr>
      <w:r>
        <w:tab/>
        <w:t>(5)</w:t>
      </w:r>
      <w:r>
        <w:tab/>
        <w:t>The notice of a resolution for an amendment of a scheme plan must include details of the proposed amendment, and any associated amendment of the schedule of unit entitlements, in the approved form.</w:t>
      </w:r>
    </w:p>
    <w:p>
      <w:pPr>
        <w:pStyle w:val="nzPermNoteHeading"/>
      </w:pPr>
      <w:r>
        <w:tab/>
        <w:t>Note for this section:</w:t>
      </w:r>
    </w:p>
    <w:p>
      <w:pPr>
        <w:pStyle w:val="nzPermNoteText"/>
      </w:pPr>
      <w:r>
        <w:tab/>
      </w:r>
      <w:r>
        <w:tab/>
        <w:t>For when an amendment of a scheme plan affects the common property or a lot, see section 3(7).</w:t>
      </w:r>
    </w:p>
    <w:p>
      <w:pPr>
        <w:pStyle w:val="nzHeading5"/>
      </w:pPr>
      <w:bookmarkStart w:id="907" w:name="_Toc530474387"/>
      <w:bookmarkStart w:id="908" w:name="_Toc530474982"/>
      <w:r>
        <w:t>36.</w:t>
      </w:r>
      <w:r>
        <w:tab/>
        <w:t>Exemption for staged subdivision</w:t>
      </w:r>
      <w:bookmarkEnd w:id="907"/>
      <w:bookmarkEnd w:id="908"/>
    </w:p>
    <w:p>
      <w:pPr>
        <w:pStyle w:val="nzSubsection"/>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nzIndenta"/>
      </w:pPr>
      <w:r>
        <w:tab/>
        <w:t>(a)</w:t>
      </w:r>
      <w:r>
        <w:tab/>
        <w:t>section 35(1)(a) to (e) do not apply; and</w:t>
      </w:r>
    </w:p>
    <w:p>
      <w:pPr>
        <w:pStyle w:val="nz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nzPermNoteHeading"/>
      </w:pPr>
      <w:r>
        <w:tab/>
        <w:t>Note for this section:</w:t>
      </w:r>
    </w:p>
    <w:p>
      <w:pPr>
        <w:pStyle w:val="nz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nzHeading3"/>
      </w:pPr>
      <w:bookmarkStart w:id="909" w:name="_Toc517437590"/>
      <w:bookmarkStart w:id="910" w:name="_Toc517438132"/>
      <w:bookmarkStart w:id="911" w:name="_Toc517440469"/>
      <w:bookmarkStart w:id="912" w:name="_Toc517447506"/>
      <w:bookmarkStart w:id="913" w:name="_Toc517449984"/>
      <w:bookmarkStart w:id="914" w:name="_Toc517450526"/>
      <w:bookmarkStart w:id="915" w:name="_Toc517856982"/>
      <w:bookmarkStart w:id="916" w:name="_Toc518293109"/>
      <w:bookmarkStart w:id="917" w:name="_Toc522744337"/>
      <w:bookmarkStart w:id="918" w:name="_Toc522747460"/>
      <w:bookmarkStart w:id="919" w:name="_Toc529183297"/>
      <w:bookmarkStart w:id="920" w:name="_Toc529188060"/>
      <w:bookmarkStart w:id="921" w:name="_Toc529434573"/>
      <w:bookmarkStart w:id="922" w:name="_Toc529524464"/>
      <w:bookmarkStart w:id="923" w:name="_Toc530474388"/>
      <w:bookmarkStart w:id="924" w:name="_Toc530474983"/>
      <w:r>
        <w:t>Division 3 — Schedule of unit entitlements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nzHeading5"/>
      </w:pPr>
      <w:bookmarkStart w:id="925" w:name="_Toc530474389"/>
      <w:bookmarkStart w:id="926" w:name="_Toc530474984"/>
      <w:r>
        <w:t>37.</w:t>
      </w:r>
      <w:r>
        <w:tab/>
        <w:t>Schedule of unit entitlements</w:t>
      </w:r>
      <w:bookmarkEnd w:id="925"/>
      <w:bookmarkEnd w:id="926"/>
    </w:p>
    <w:p>
      <w:pPr>
        <w:pStyle w:val="nzSubsection"/>
      </w:pPr>
      <w:r>
        <w:tab/>
        <w:t>(1)</w:t>
      </w:r>
      <w:r>
        <w:tab/>
        <w:t>The schedule of unit entitlements for a strata titles scheme must —</w:t>
      </w:r>
    </w:p>
    <w:p>
      <w:pPr>
        <w:pStyle w:val="nzIndenta"/>
      </w:pPr>
      <w:r>
        <w:tab/>
        <w:t>(a)</w:t>
      </w:r>
      <w:r>
        <w:tab/>
        <w:t xml:space="preserve">allocate a whole number (a </w:t>
      </w:r>
      <w:r>
        <w:rPr>
          <w:rStyle w:val="CharDefText"/>
        </w:rPr>
        <w:t>unit entitlement</w:t>
      </w:r>
      <w:r>
        <w:t>) to each lot in the strata titles scheme; and</w:t>
      </w:r>
    </w:p>
    <w:p>
      <w:pPr>
        <w:pStyle w:val="nzIndenta"/>
      </w:pPr>
      <w:r>
        <w:tab/>
        <w:t>(b)</w:t>
      </w:r>
      <w:r>
        <w:tab/>
        <w:t>state the number that is the sum of the unit entitlements of all the lots in the strata titles scheme.</w:t>
      </w:r>
    </w:p>
    <w:p>
      <w:pPr>
        <w:pStyle w:val="nzPermNoteHeading"/>
      </w:pPr>
      <w:r>
        <w:tab/>
        <w:t>Note for this subsection:</w:t>
      </w:r>
    </w:p>
    <w:p>
      <w:pPr>
        <w:pStyle w:val="nzPermNoteText"/>
      </w:pPr>
      <w:r>
        <w:tab/>
      </w:r>
      <w:r>
        <w:tab/>
        <w:t>The unit entitlement of a lot determines —</w:t>
      </w:r>
    </w:p>
    <w:p>
      <w:pPr>
        <w:pStyle w:val="nzPermNoteText"/>
      </w:pPr>
      <w:r>
        <w:t>the interest of the owner of the lot in the common property in the strata titles scheme: see section 13; and</w:t>
      </w:r>
    </w:p>
    <w:p>
      <w:pPr>
        <w:pStyle w:val="nzPermNoteText"/>
      </w:pPr>
      <w:r>
        <w:t>subject to the scheme by</w:t>
      </w:r>
      <w:r>
        <w:noBreakHyphen/>
        <w:t>laws, the contributions payable by the owner of a lot in the scheme: see section 100; and</w:t>
      </w:r>
    </w:p>
    <w:p>
      <w:pPr>
        <w:pStyle w:val="nzPermNoteText"/>
      </w:pPr>
      <w:r>
        <w:t>the voting rights that attach to the lot: see section 120.</w:t>
      </w:r>
    </w:p>
    <w:p>
      <w:pPr>
        <w:pStyle w:val="nz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nzSubsection"/>
      </w:pPr>
      <w:r>
        <w:tab/>
        <w:t>(3)</w:t>
      </w:r>
      <w:r>
        <w:tab/>
        <w:t>The value of a lot is —</w:t>
      </w:r>
    </w:p>
    <w:p>
      <w:pPr>
        <w:pStyle w:val="nzIndenta"/>
      </w:pPr>
      <w:r>
        <w:tab/>
        <w:t>(a)</w:t>
      </w:r>
      <w:r>
        <w:tab/>
        <w:t>in a strata scheme — the capital value; and</w:t>
      </w:r>
    </w:p>
    <w:p>
      <w:pPr>
        <w:pStyle w:val="nzIndenta"/>
      </w:pPr>
      <w:r>
        <w:tab/>
        <w:t>(b)</w:t>
      </w:r>
      <w:r>
        <w:tab/>
        <w:t>in a survey</w:t>
      </w:r>
      <w:r>
        <w:noBreakHyphen/>
        <w:t>strata scheme — the site value.</w:t>
      </w:r>
    </w:p>
    <w:p>
      <w:pPr>
        <w:pStyle w:val="nzSubsection"/>
      </w:pPr>
      <w:r>
        <w:tab/>
        <w:t>(4)</w:t>
      </w:r>
      <w:r>
        <w:tab/>
        <w:t>Without limitation, the regulations may prescribe matters relating to the determination of the value of a lot.</w:t>
      </w:r>
    </w:p>
    <w:p>
      <w:pPr>
        <w:pStyle w:val="nzSubsection"/>
      </w:pPr>
      <w:r>
        <w:tab/>
        <w:t>(5)</w:t>
      </w:r>
      <w:r>
        <w:tab/>
        <w:t>A schedule of unit entitlements, or an amendment of a schedule of unit entitlements, for a strata titles scheme must —</w:t>
      </w:r>
    </w:p>
    <w:p>
      <w:pPr>
        <w:pStyle w:val="nzIndenta"/>
      </w:pPr>
      <w:r>
        <w:tab/>
        <w:t>(a)</w:t>
      </w:r>
      <w:r>
        <w:tab/>
        <w:t>be in the approved form; and</w:t>
      </w:r>
    </w:p>
    <w:p>
      <w:pPr>
        <w:pStyle w:val="nzIndenta"/>
      </w:pPr>
      <w:r>
        <w:tab/>
        <w:t>(b)</w:t>
      </w:r>
      <w:r>
        <w:tab/>
        <w:t>be prepared and certified by a licensed valuer.</w:t>
      </w:r>
    </w:p>
    <w:p>
      <w:pPr>
        <w:pStyle w:val="nz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nz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nzHeading5"/>
      </w:pPr>
      <w:bookmarkStart w:id="927" w:name="_Toc530474390"/>
      <w:bookmarkStart w:id="928" w:name="_Toc530474985"/>
      <w:r>
        <w:t>38.</w:t>
      </w:r>
      <w:r>
        <w:tab/>
        <w:t>Requirements for registration of amendment of schedule of unit entitlements</w:t>
      </w:r>
      <w:bookmarkEnd w:id="927"/>
      <w:bookmarkEnd w:id="928"/>
    </w:p>
    <w:p>
      <w:pPr>
        <w:pStyle w:val="nzSubsection"/>
      </w:pPr>
      <w:r>
        <w:tab/>
        <w:t>(1)</w:t>
      </w:r>
      <w:r>
        <w:tab/>
        <w:t>An amendment of a schedule of unit entitlements may only be registered —</w:t>
      </w:r>
    </w:p>
    <w:p>
      <w:pPr>
        <w:pStyle w:val="nzIndenta"/>
      </w:pPr>
      <w:r>
        <w:tab/>
        <w:t>(a)</w:t>
      </w:r>
      <w:r>
        <w:tab/>
        <w:t>in conjunction with an amendment of the scheme plan to give effect to a subdivision; or</w:t>
      </w:r>
    </w:p>
    <w:p>
      <w:pPr>
        <w:pStyle w:val="nzIndenta"/>
      </w:pPr>
      <w:r>
        <w:tab/>
        <w:t>(b)</w:t>
      </w:r>
      <w:r>
        <w:tab/>
        <w:t>if the amendment is authorised by resolution without dissent of the strata company; or</w:t>
      </w:r>
    </w:p>
    <w:p>
      <w:pPr>
        <w:pStyle w:val="nzIndenta"/>
      </w:pPr>
      <w:r>
        <w:tab/>
        <w:t>(c)</w:t>
      </w:r>
      <w:r>
        <w:tab/>
        <w:t>if the amendment is authorised by order of the Tribunal.</w:t>
      </w:r>
    </w:p>
    <w:p>
      <w:pPr>
        <w:pStyle w:val="nzSubsection"/>
      </w:pPr>
      <w:r>
        <w:tab/>
        <w:t>(2)</w:t>
      </w:r>
      <w:r>
        <w:tab/>
        <w:t>An amendment under subsection (1)(b) must not be registered unless the holder of each designated interest over the whole or a part of the parcel —</w:t>
      </w:r>
    </w:p>
    <w:p>
      <w:pPr>
        <w:pStyle w:val="nzIndenta"/>
      </w:pPr>
      <w:r>
        <w:tab/>
        <w:t>(a)</w:t>
      </w:r>
      <w:r>
        <w:tab/>
        <w:t>has been given notice in the approved form of the amendment; and</w:t>
      </w:r>
    </w:p>
    <w:p>
      <w:pPr>
        <w:pStyle w:val="nzIndenta"/>
      </w:pPr>
      <w:r>
        <w:tab/>
        <w:t>(b)</w:t>
      </w:r>
      <w:r>
        <w:tab/>
        <w:t>either —</w:t>
      </w:r>
    </w:p>
    <w:p>
      <w:pPr>
        <w:pStyle w:val="nzIndenti"/>
      </w:pPr>
      <w:r>
        <w:tab/>
        <w:t>(i)</w:t>
      </w:r>
      <w:r>
        <w:tab/>
        <w:t>has given written consent to the amendment; or</w:t>
      </w:r>
    </w:p>
    <w:p>
      <w:pPr>
        <w:pStyle w:val="nzIndenti"/>
      </w:pPr>
      <w:r>
        <w:tab/>
        <w:t>(ii)</w:t>
      </w:r>
      <w:r>
        <w:tab/>
        <w:t>has not, at the end of 60 days after being given notice, made a written objection to the amendment.</w:t>
      </w:r>
    </w:p>
    <w:p>
      <w:pPr>
        <w:pStyle w:val="nz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nzSubsection"/>
      </w:pPr>
      <w:r>
        <w:tab/>
        <w:t>(4)</w:t>
      </w:r>
      <w:r>
        <w:tab/>
        <w:t>In considering whether an objection is unreasonable, the Tribunal may consider —</w:t>
      </w:r>
    </w:p>
    <w:p>
      <w:pPr>
        <w:pStyle w:val="nzIndenta"/>
      </w:pPr>
      <w:r>
        <w:tab/>
        <w:t>(a)</w:t>
      </w:r>
      <w:r>
        <w:tab/>
        <w:t>the merits of the proposed amendment of the strata titles scheme; and</w:t>
      </w:r>
    </w:p>
    <w:p>
      <w:pPr>
        <w:pStyle w:val="nzIndenta"/>
      </w:pPr>
      <w:r>
        <w:tab/>
        <w:t>(b)</w:t>
      </w:r>
      <w:r>
        <w:tab/>
        <w:t>the grounds for the objection; and</w:t>
      </w:r>
    </w:p>
    <w:p>
      <w:pPr>
        <w:pStyle w:val="nzIndenta"/>
      </w:pPr>
      <w:r>
        <w:tab/>
        <w:t>(c)</w:t>
      </w:r>
      <w:r>
        <w:tab/>
        <w:t>any other factor the Tribunal considers relevant.</w:t>
      </w:r>
    </w:p>
    <w:p>
      <w:pPr>
        <w:pStyle w:val="nz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nz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nzHeading3"/>
      </w:pPr>
      <w:bookmarkStart w:id="929" w:name="_Toc517437593"/>
      <w:bookmarkStart w:id="930" w:name="_Toc517438135"/>
      <w:bookmarkStart w:id="931" w:name="_Toc517440472"/>
      <w:bookmarkStart w:id="932" w:name="_Toc517447509"/>
      <w:bookmarkStart w:id="933" w:name="_Toc517449987"/>
      <w:bookmarkStart w:id="934" w:name="_Toc517450529"/>
      <w:bookmarkStart w:id="935" w:name="_Toc517856985"/>
      <w:bookmarkStart w:id="936" w:name="_Toc518293112"/>
      <w:bookmarkStart w:id="937" w:name="_Toc522744340"/>
      <w:bookmarkStart w:id="938" w:name="_Toc522747463"/>
      <w:bookmarkStart w:id="939" w:name="_Toc529183300"/>
      <w:bookmarkStart w:id="940" w:name="_Toc529188063"/>
      <w:bookmarkStart w:id="941" w:name="_Toc529434576"/>
      <w:bookmarkStart w:id="942" w:name="_Toc529524467"/>
      <w:bookmarkStart w:id="943" w:name="_Toc530474391"/>
      <w:bookmarkStart w:id="944" w:name="_Toc530474986"/>
      <w:r>
        <w:t>Division 4 — Scheme by</w:t>
      </w:r>
      <w:r>
        <w:noBreakHyphen/>
        <w:t>laws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zHeading5"/>
      </w:pPr>
      <w:bookmarkStart w:id="945" w:name="_Toc530474392"/>
      <w:bookmarkStart w:id="946" w:name="_Toc530474987"/>
      <w:r>
        <w:t>39.</w:t>
      </w:r>
      <w:r>
        <w:tab/>
        <w:t>Scheme by</w:t>
      </w:r>
      <w:r>
        <w:noBreakHyphen/>
        <w:t>laws on registration</w:t>
      </w:r>
      <w:bookmarkEnd w:id="945"/>
      <w:bookmarkEnd w:id="946"/>
    </w:p>
    <w:p>
      <w:pPr>
        <w:pStyle w:val="nzSubsection"/>
        <w:rPr>
          <w:snapToGrid w:val="0"/>
        </w:rPr>
      </w:pPr>
      <w:r>
        <w:rPr>
          <w:snapToGrid w:val="0"/>
        </w:rPr>
        <w:tab/>
      </w:r>
      <w:r>
        <w:rPr>
          <w:snapToGrid w:val="0"/>
        </w:rPr>
        <w:tab/>
        <w:t xml:space="preserve">On </w:t>
      </w:r>
      <w:r>
        <w:t>registration</w:t>
      </w:r>
      <w:r>
        <w:rPr>
          <w:snapToGrid w:val="0"/>
        </w:rPr>
        <w:t xml:space="preserve"> of a strata titles scheme —</w:t>
      </w:r>
    </w:p>
    <w:p>
      <w:pPr>
        <w:pStyle w:val="nzIndenta"/>
      </w:pPr>
      <w:r>
        <w:tab/>
        <w:t>(a)</w:t>
      </w:r>
      <w:r>
        <w:tab/>
        <w:t>subject to paragraph (b), the governance by</w:t>
      </w:r>
      <w:r>
        <w:noBreakHyphen/>
        <w:t>laws set out in Schedule 1 and the conduct by</w:t>
      </w:r>
      <w:r>
        <w:noBreakHyphen/>
        <w:t>laws set out in Schedule 2 are taken to be registered for the scheme; and</w:t>
      </w:r>
    </w:p>
    <w:p>
      <w:pPr>
        <w:pStyle w:val="nzIndenta"/>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nzHeading5"/>
      </w:pPr>
      <w:bookmarkStart w:id="947" w:name="_Toc530474393"/>
      <w:bookmarkStart w:id="948" w:name="_Toc530474988"/>
      <w:r>
        <w:t>40.</w:t>
      </w:r>
      <w:r>
        <w:tab/>
        <w:t>Leasehold by</w:t>
      </w:r>
      <w:r>
        <w:noBreakHyphen/>
        <w:t>laws</w:t>
      </w:r>
      <w:bookmarkEnd w:id="947"/>
      <w:bookmarkEnd w:id="948"/>
    </w:p>
    <w:p>
      <w:pPr>
        <w:pStyle w:val="nz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nzIndenta"/>
      </w:pPr>
      <w:r>
        <w:tab/>
        <w:t>(a)</w:t>
      </w:r>
      <w:r>
        <w:tab/>
        <w:t>for postponement of the expiry day for the scheme; or</w:t>
      </w:r>
    </w:p>
    <w:p>
      <w:pPr>
        <w:pStyle w:val="nzIndenta"/>
      </w:pPr>
      <w:r>
        <w:tab/>
        <w:t>(b)</w:t>
      </w:r>
      <w:r>
        <w:tab/>
        <w:t>for compensation payable on the expiry of the scheme.</w:t>
      </w:r>
    </w:p>
    <w:p>
      <w:pPr>
        <w:pStyle w:val="nzSubsection"/>
      </w:pPr>
      <w:r>
        <w:tab/>
        <w:t>(2)</w:t>
      </w:r>
      <w:r>
        <w:tab/>
        <w:t>If a leasehold scheme does not have leasehold by</w:t>
      </w:r>
      <w:r>
        <w:noBreakHyphen/>
        <w:t>laws, the expiry day for the scheme cannot be postponed.</w:t>
      </w:r>
    </w:p>
    <w:p>
      <w:pPr>
        <w:pStyle w:val="nzSubsection"/>
      </w:pPr>
      <w:r>
        <w:tab/>
        <w:t>(3)</w:t>
      </w:r>
      <w:r>
        <w:tab/>
        <w:t>The expiry day for a leasehold scheme —</w:t>
      </w:r>
    </w:p>
    <w:p>
      <w:pPr>
        <w:pStyle w:val="nzIndenta"/>
      </w:pPr>
      <w:r>
        <w:tab/>
        <w:t>(a)</w:t>
      </w:r>
      <w:r>
        <w:tab/>
        <w:t>cannot be postponed to a day that is more than 99 years after registration of the scheme; and</w:t>
      </w:r>
    </w:p>
    <w:p>
      <w:pPr>
        <w:pStyle w:val="nzIndenta"/>
      </w:pPr>
      <w:r>
        <w:tab/>
        <w:t>(b)</w:t>
      </w:r>
      <w:r>
        <w:tab/>
        <w:t>cannot be postponed unless the postponement is supported by resolution of the strata company as set out in section 41.</w:t>
      </w:r>
    </w:p>
    <w:p>
      <w:pPr>
        <w:pStyle w:val="nzSubsection"/>
      </w:pPr>
      <w:r>
        <w:tab/>
        <w:t>(4)</w:t>
      </w:r>
      <w:r>
        <w:tab/>
        <w:t>Leasehold by</w:t>
      </w:r>
      <w:r>
        <w:noBreakHyphen/>
        <w:t>laws —</w:t>
      </w:r>
    </w:p>
    <w:p>
      <w:pPr>
        <w:pStyle w:val="nzIndenta"/>
      </w:pPr>
      <w:r>
        <w:tab/>
        <w:t>(a)</w:t>
      </w:r>
      <w:r>
        <w:tab/>
        <w:t>may provide that the owner of the leasehold scheme is to be paid an amount for the postponement of the expiry day for the scheme by the owner of each lot in the scheme and, if they do so —</w:t>
      </w:r>
    </w:p>
    <w:p>
      <w:pPr>
        <w:pStyle w:val="nzIndenti"/>
      </w:pPr>
      <w:r>
        <w:tab/>
        <w:t>(i)</w:t>
      </w:r>
      <w:r>
        <w:tab/>
        <w:t>the amount paid by the owners of the lots must be proportional to the unit entitlements of their respective lots; and</w:t>
      </w:r>
    </w:p>
    <w:p>
      <w:pPr>
        <w:pStyle w:val="nzIndenti"/>
      </w:pPr>
      <w:r>
        <w:tab/>
        <w:t>(ii)</w:t>
      </w:r>
      <w:r>
        <w:tab/>
        <w:t>the by</w:t>
      </w:r>
      <w:r>
        <w:noBreakHyphen/>
        <w:t>laws —</w:t>
      </w:r>
    </w:p>
    <w:p>
      <w:pPr>
        <w:pStyle w:val="nzIndentI0"/>
      </w:pPr>
      <w:r>
        <w:tab/>
        <w:t>(I)</w:t>
      </w:r>
      <w:r>
        <w:tab/>
        <w:t>must set out how the amount is to be calculated; and</w:t>
      </w:r>
    </w:p>
    <w:p>
      <w:pPr>
        <w:pStyle w:val="nzIndentI0"/>
      </w:pPr>
      <w:r>
        <w:tab/>
        <w:t>(II)</w:t>
      </w:r>
      <w:r>
        <w:tab/>
        <w:t>must set out when and how the amount is to be paid (which must be at least 4 months before the expiry day); and</w:t>
      </w:r>
    </w:p>
    <w:p>
      <w:pPr>
        <w:pStyle w:val="nz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nzIndenta"/>
        <w:rPr>
          <w:snapToGrid w:val="0"/>
        </w:rPr>
      </w:pPr>
      <w:r>
        <w:rPr>
          <w:snapToGrid w:val="0"/>
        </w:rPr>
        <w:tab/>
      </w:r>
      <w:r>
        <w:rPr>
          <w:snapToGrid w:val="0"/>
        </w:rPr>
        <w:tab/>
        <w:t>and</w:t>
      </w:r>
    </w:p>
    <w:p>
      <w:pPr>
        <w:pStyle w:val="nzIndenta"/>
      </w:pPr>
      <w:r>
        <w:tab/>
        <w:t>(b)</w:t>
      </w:r>
      <w:r>
        <w:tab/>
        <w:t>may provide for compensation to be payable to the owner of a lot on the expiry of the scheme for improvements to the lot effected by the owner or a former owner of the lot; and</w:t>
      </w:r>
    </w:p>
    <w:p>
      <w:pPr>
        <w:pStyle w:val="nzIndenta"/>
      </w:pPr>
      <w:r>
        <w:tab/>
        <w:t>(c)</w:t>
      </w:r>
      <w:r>
        <w:tab/>
        <w:t>must comply with requirements set out in the regulations.</w:t>
      </w:r>
    </w:p>
    <w:p>
      <w:pPr>
        <w:pStyle w:val="nzSubsection"/>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nzPermNoteHeading"/>
      </w:pPr>
      <w:r>
        <w:tab/>
        <w:t>Note for this section:</w:t>
      </w:r>
    </w:p>
    <w:p>
      <w:pPr>
        <w:pStyle w:val="nzPermNoteText"/>
      </w:pPr>
      <w:r>
        <w:tab/>
      </w:r>
      <w:r>
        <w:tab/>
        <w:t>Leasehold by</w:t>
      </w:r>
      <w:r>
        <w:noBreakHyphen/>
        <w:t>laws providing for postponement of the expiry day for the scheme can only be made, amended or repealed with the approval of the Planning Commission as set out in section 20.</w:t>
      </w:r>
    </w:p>
    <w:p>
      <w:pPr>
        <w:pStyle w:val="nzHeading5"/>
      </w:pPr>
      <w:bookmarkStart w:id="949" w:name="_Toc530474394"/>
      <w:bookmarkStart w:id="950" w:name="_Toc530474989"/>
      <w:r>
        <w:t>41.</w:t>
      </w:r>
      <w:r>
        <w:tab/>
        <w:t>Resolution for postponement of expiry day under leasehold by</w:t>
      </w:r>
      <w:r>
        <w:noBreakHyphen/>
        <w:t>laws</w:t>
      </w:r>
      <w:bookmarkEnd w:id="949"/>
      <w:bookmarkEnd w:id="950"/>
    </w:p>
    <w:p>
      <w:pPr>
        <w:pStyle w:val="nz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nzIndenta"/>
      </w:pPr>
      <w:r>
        <w:tab/>
        <w:t>(a)</w:t>
      </w:r>
      <w:r>
        <w:tab/>
        <w:t>14 days’ notice of the terms of the proposed resolution must be given to each member of the strata company before voting on the resolution opens;</w:t>
      </w:r>
    </w:p>
    <w:p>
      <w:pPr>
        <w:pStyle w:val="nzIndenta"/>
      </w:pPr>
      <w:r>
        <w:tab/>
        <w:t>(b)</w:t>
      </w:r>
      <w:r>
        <w:tab/>
        <w:t>the resolution must specify a proposed new expiry day (in accordance with the leasehold by</w:t>
      </w:r>
      <w:r>
        <w:noBreakHyphen/>
        <w:t>laws) that is a day that is not more than 99 years after registration of the scheme;</w:t>
      </w:r>
    </w:p>
    <w:p>
      <w:pPr>
        <w:pStyle w:val="nzIndenta"/>
      </w:pPr>
      <w:r>
        <w:tab/>
        <w:t>(c)</w:t>
      </w:r>
      <w:r>
        <w:tab/>
        <w:t>the votes in favour of the resolution must equal not less than 75% of the number of lots in the scheme;</w:t>
      </w:r>
    </w:p>
    <w:p>
      <w:pPr>
        <w:pStyle w:val="nzIndenta"/>
      </w:pPr>
      <w:r>
        <w:tab/>
        <w:t>(d)</w:t>
      </w:r>
      <w:r>
        <w:tab/>
        <w:t>the resolution must be passed not later than 6 months before the expiry day.</w:t>
      </w:r>
    </w:p>
    <w:p>
      <w:pPr>
        <w:pStyle w:val="nz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nzSubsection"/>
        <w:rPr>
          <w:snapToGrid w:val="0"/>
        </w:rPr>
      </w:pPr>
      <w:r>
        <w:rPr>
          <w:snapToGrid w:val="0"/>
        </w:rPr>
        <w:tab/>
        <w:t>(3)</w:t>
      </w:r>
      <w:r>
        <w:rPr>
          <w:snapToGrid w:val="0"/>
        </w:rPr>
        <w:tab/>
        <w:t>Section 126(a) does not apply to a vote on a resolution for postponing the expiry day for a leasehold scheme.</w:t>
      </w:r>
    </w:p>
    <w:p>
      <w:pPr>
        <w:pStyle w:val="nzSubsection"/>
        <w:rPr>
          <w:snapToGrid w:val="0"/>
        </w:rPr>
      </w:pPr>
      <w:r>
        <w:rPr>
          <w:snapToGrid w:val="0"/>
        </w:rPr>
        <w:tab/>
        <w:t>(4)</w:t>
      </w:r>
      <w:r>
        <w:rPr>
          <w:snapToGrid w:val="0"/>
        </w:rPr>
        <w:tab/>
        <w:t>The strata company must, as soon as reasonably practicable after the passing of a resolution under this section —</w:t>
      </w:r>
    </w:p>
    <w:p>
      <w:pPr>
        <w:pStyle w:val="nzIndenta"/>
      </w:pPr>
      <w:r>
        <w:tab/>
        <w:t>(a)</w:t>
      </w:r>
      <w:r>
        <w:tab/>
        <w:t>serve notice of the resolution, in the approved form, on the owner of the leasehold scheme; and</w:t>
      </w:r>
    </w:p>
    <w:p>
      <w:pPr>
        <w:pStyle w:val="nzIndenta"/>
      </w:pPr>
      <w:r>
        <w:tab/>
        <w:t>(b)</w:t>
      </w:r>
      <w:r>
        <w:tab/>
        <w:t>apply for registration of an amendment of the scheme notice to give effect to the postponement of the expiry day.</w:t>
      </w:r>
    </w:p>
    <w:p>
      <w:pPr>
        <w:pStyle w:val="nzHeading5"/>
      </w:pPr>
      <w:bookmarkStart w:id="951" w:name="_Toc530474395"/>
      <w:bookmarkStart w:id="952" w:name="_Toc530474990"/>
      <w:r>
        <w:t>42.</w:t>
      </w:r>
      <w:r>
        <w:tab/>
        <w:t>Staged subdivision by</w:t>
      </w:r>
      <w:r>
        <w:noBreakHyphen/>
        <w:t>laws</w:t>
      </w:r>
      <w:bookmarkEnd w:id="951"/>
      <w:bookmarkEnd w:id="952"/>
    </w:p>
    <w:p>
      <w:pPr>
        <w:pStyle w:val="nz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nzPermNoteHeading"/>
      </w:pPr>
      <w:r>
        <w:tab/>
        <w:t>Note for this subsection:</w:t>
      </w:r>
    </w:p>
    <w:p>
      <w:pPr>
        <w:pStyle w:val="nz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nzSubsection"/>
      </w:pPr>
      <w:r>
        <w:tab/>
        <w:t>(2)</w:t>
      </w:r>
      <w:r>
        <w:tab/>
        <w:t>Staged subdivision by</w:t>
      </w:r>
      <w:r>
        <w:noBreakHyphen/>
        <w:t>laws must—</w:t>
      </w:r>
    </w:p>
    <w:p>
      <w:pPr>
        <w:pStyle w:val="nzIndenta"/>
      </w:pPr>
      <w:r>
        <w:tab/>
        <w:t>(a)</w:t>
      </w:r>
      <w:r>
        <w:tab/>
        <w:t>describe in detail —</w:t>
      </w:r>
    </w:p>
    <w:p>
      <w:pPr>
        <w:pStyle w:val="nzIndenti"/>
      </w:pPr>
      <w:r>
        <w:tab/>
        <w:t>(i)</w:t>
      </w:r>
      <w:r>
        <w:tab/>
        <w:t>the stages of subdivision that are agreed; and</w:t>
      </w:r>
    </w:p>
    <w:p>
      <w:pPr>
        <w:pStyle w:val="nzIndenti"/>
      </w:pPr>
      <w:r>
        <w:tab/>
        <w:t>(ii)</w:t>
      </w:r>
      <w:r>
        <w:tab/>
        <w:t>any amendments to the scheme plan and schedule of unit entitlements that will be made on completion of each stage of subdivision;</w:t>
      </w:r>
    </w:p>
    <w:p>
      <w:pPr>
        <w:pStyle w:val="nzIndenta"/>
      </w:pPr>
      <w:r>
        <w:tab/>
      </w:r>
      <w:r>
        <w:tab/>
        <w:t>and</w:t>
      </w:r>
    </w:p>
    <w:p>
      <w:pPr>
        <w:pStyle w:val="nzIndenta"/>
      </w:pPr>
      <w:r>
        <w:tab/>
        <w:t>(b)</w:t>
      </w:r>
      <w:r>
        <w:tab/>
        <w:t>identify the lots or common property affected by each stage of subdivision; and</w:t>
      </w:r>
    </w:p>
    <w:p>
      <w:pPr>
        <w:pStyle w:val="nzIndenta"/>
      </w:pPr>
      <w:r>
        <w:tab/>
        <w:t>(c)</w:t>
      </w:r>
      <w:r>
        <w:tab/>
        <w:t>comply with requirements set out in the regulations.</w:t>
      </w:r>
    </w:p>
    <w:p>
      <w:pPr>
        <w:pStyle w:val="nz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nz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nz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nzSubsection"/>
        <w:rPr>
          <w:snapToGrid w:val="0"/>
        </w:rPr>
      </w:pPr>
      <w:r>
        <w:rPr>
          <w:snapToGrid w:val="0"/>
        </w:rPr>
        <w:tab/>
        <w:t>(6)</w:t>
      </w:r>
      <w:r>
        <w:rPr>
          <w:snapToGrid w:val="0"/>
        </w:rPr>
        <w:tab/>
        <w:t>Staged subdivision by</w:t>
      </w:r>
      <w:r>
        <w:rPr>
          <w:snapToGrid w:val="0"/>
        </w:rPr>
        <w:noBreakHyphen/>
        <w:t>laws can only be made, amended or repealed if —</w:t>
      </w:r>
    </w:p>
    <w:p>
      <w:pPr>
        <w:pStyle w:val="nzIndenta"/>
      </w:pPr>
      <w:r>
        <w:tab/>
        <w:t>(a)</w:t>
      </w:r>
      <w:r>
        <w:tab/>
        <w:t>for a leasehold scheme, the owner of the leasehold scheme —</w:t>
      </w:r>
    </w:p>
    <w:p>
      <w:pPr>
        <w:pStyle w:val="nzIndenti"/>
      </w:pPr>
      <w:r>
        <w:tab/>
        <w:t>(i)</w:t>
      </w:r>
      <w:r>
        <w:tab/>
        <w:t>has been given notice in the approved form of the by</w:t>
      </w:r>
      <w:r>
        <w:noBreakHyphen/>
        <w:t>laws; and</w:t>
      </w:r>
    </w:p>
    <w:p>
      <w:pPr>
        <w:pStyle w:val="nzIndenti"/>
      </w:pPr>
      <w:r>
        <w:tab/>
        <w:t>(ii)</w:t>
      </w:r>
      <w:r>
        <w:tab/>
        <w:t>has given written consent to the by</w:t>
      </w:r>
      <w:r>
        <w:noBreakHyphen/>
        <w:t>laws;</w:t>
      </w:r>
    </w:p>
    <w:p>
      <w:pPr>
        <w:pStyle w:val="nzIndenta"/>
      </w:pPr>
      <w:r>
        <w:tab/>
      </w:r>
      <w:r>
        <w:tab/>
        <w:t>and</w:t>
      </w:r>
    </w:p>
    <w:p>
      <w:pPr>
        <w:pStyle w:val="nzIndenta"/>
      </w:pPr>
      <w:r>
        <w:tab/>
        <w:t>(b)</w:t>
      </w:r>
      <w:r>
        <w:tab/>
        <w:t>in any case, the holder of each designated interest over the whole or a part of the parcel —</w:t>
      </w:r>
    </w:p>
    <w:p>
      <w:pPr>
        <w:pStyle w:val="nzIndenti"/>
      </w:pPr>
      <w:r>
        <w:tab/>
        <w:t>(i)</w:t>
      </w:r>
      <w:r>
        <w:tab/>
        <w:t>has been given notice in the approved form of the by</w:t>
      </w:r>
      <w:r>
        <w:noBreakHyphen/>
        <w:t>laws; and</w:t>
      </w:r>
    </w:p>
    <w:p>
      <w:pPr>
        <w:pStyle w:val="nzIndenti"/>
      </w:pPr>
      <w:r>
        <w:tab/>
        <w:t>(ii)</w:t>
      </w:r>
      <w:r>
        <w:tab/>
        <w:t>either —</w:t>
      </w:r>
    </w:p>
    <w:p>
      <w:pPr>
        <w:pStyle w:val="nzIndentI0"/>
      </w:pPr>
      <w:r>
        <w:tab/>
        <w:t>(I)</w:t>
      </w:r>
      <w:r>
        <w:tab/>
        <w:t>has given written consent to the application; or</w:t>
      </w:r>
    </w:p>
    <w:p>
      <w:pPr>
        <w:pStyle w:val="nzIndentI0"/>
      </w:pPr>
      <w:r>
        <w:tab/>
        <w:t>(II)</w:t>
      </w:r>
      <w:r>
        <w:tab/>
        <w:t>has not, at the end of 60 days after being given notice, made a written objection to the proposed by</w:t>
      </w:r>
      <w:r>
        <w:noBreakHyphen/>
        <w:t>laws.</w:t>
      </w:r>
    </w:p>
    <w:p>
      <w:pPr>
        <w:pStyle w:val="nz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nzSubsection"/>
        <w:rPr>
          <w:snapToGrid w:val="0"/>
        </w:rPr>
      </w:pPr>
      <w:r>
        <w:rPr>
          <w:snapToGrid w:val="0"/>
        </w:rPr>
        <w:tab/>
        <w:t>(8)</w:t>
      </w:r>
      <w:r>
        <w:rPr>
          <w:snapToGrid w:val="0"/>
        </w:rPr>
        <w:tab/>
        <w:t>In considering whether an objection is unreasonable, the Tribunal may consider —</w:t>
      </w:r>
    </w:p>
    <w:p>
      <w:pPr>
        <w:pStyle w:val="nzIndenta"/>
      </w:pPr>
      <w:r>
        <w:tab/>
        <w:t>(a)</w:t>
      </w:r>
      <w:r>
        <w:tab/>
        <w:t>the merits of the proposed by</w:t>
      </w:r>
      <w:r>
        <w:noBreakHyphen/>
        <w:t>laws; and</w:t>
      </w:r>
    </w:p>
    <w:p>
      <w:pPr>
        <w:pStyle w:val="nzIndenta"/>
      </w:pPr>
      <w:r>
        <w:tab/>
        <w:t>(b)</w:t>
      </w:r>
      <w:r>
        <w:tab/>
        <w:t>the grounds for the objection; and</w:t>
      </w:r>
    </w:p>
    <w:p>
      <w:pPr>
        <w:pStyle w:val="nzIndenta"/>
      </w:pPr>
      <w:r>
        <w:tab/>
        <w:t>(c)</w:t>
      </w:r>
      <w:r>
        <w:tab/>
        <w:t>any other factor the Tribunal considers relevant.</w:t>
      </w:r>
    </w:p>
    <w:p>
      <w:pPr>
        <w:pStyle w:val="nzSubsection"/>
      </w:pPr>
      <w:r>
        <w:tab/>
        <w:t>(9)</w:t>
      </w:r>
      <w:r>
        <w:tab/>
        <w:t>If the Tribunal makes such an order, the applicant must lodge a copy of the order certified by the Tribunal with the Registrar of Titles.</w:t>
      </w:r>
    </w:p>
    <w:p>
      <w:pPr>
        <w:pStyle w:val="nzHeading5"/>
      </w:pPr>
      <w:bookmarkStart w:id="953" w:name="_Toc530474396"/>
      <w:bookmarkStart w:id="954" w:name="_Toc530474991"/>
      <w:r>
        <w:t>43.</w:t>
      </w:r>
      <w:r>
        <w:tab/>
        <w:t>Exclusive use by</w:t>
      </w:r>
      <w:r>
        <w:noBreakHyphen/>
        <w:t>laws</w:t>
      </w:r>
      <w:bookmarkEnd w:id="953"/>
      <w:bookmarkEnd w:id="954"/>
    </w:p>
    <w:p>
      <w:pPr>
        <w:pStyle w:val="nz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nzSubsection"/>
      </w:pPr>
      <w:r>
        <w:tab/>
        <w:t>(2)</w:t>
      </w:r>
      <w:r>
        <w:tab/>
        <w:t>Exclusive use by</w:t>
      </w:r>
      <w:r>
        <w:noBreakHyphen/>
        <w:t>laws may include the following —</w:t>
      </w:r>
    </w:p>
    <w:p>
      <w:pPr>
        <w:pStyle w:val="nzIndenta"/>
      </w:pPr>
      <w:r>
        <w:tab/>
        <w:t>(a)</w:t>
      </w:r>
      <w:r>
        <w:tab/>
        <w:t>terms and conditions on which the occupiers of special lots may use the special common property;</w:t>
      </w:r>
    </w:p>
    <w:p>
      <w:pPr>
        <w:pStyle w:val="nzIndenta"/>
      </w:pPr>
      <w:r>
        <w:tab/>
        <w:t>(b)</w:t>
      </w:r>
      <w:r>
        <w:tab/>
        <w:t>particulars relating to access to the special common property and the provision and keeping of any key necessary;</w:t>
      </w:r>
    </w:p>
    <w:p>
      <w:pPr>
        <w:pStyle w:val="nzIndenta"/>
      </w:pPr>
      <w:r>
        <w:tab/>
        <w:t>(c)</w:t>
      </w:r>
      <w:r>
        <w:tab/>
        <w:t>particulars of the hours during which the special common property may be used;</w:t>
      </w:r>
    </w:p>
    <w:p>
      <w:pPr>
        <w:pStyle w:val="nzIndenta"/>
      </w:pPr>
      <w:r>
        <w:tab/>
        <w:t>(d)</w:t>
      </w:r>
      <w:r>
        <w:tab/>
        <w:t>provisions relating to the condition, maintenance, repair, renewal or replacement of the special common property;</w:t>
      </w:r>
    </w:p>
    <w:p>
      <w:pPr>
        <w:pStyle w:val="nzIndenta"/>
      </w:pPr>
      <w:r>
        <w:tab/>
        <w:t>(e)</w:t>
      </w:r>
      <w:r>
        <w:tab/>
        <w:t>provisions relating to insurance of the special common property to be maintained by the owners of special lots;</w:t>
      </w:r>
    </w:p>
    <w:p>
      <w:pPr>
        <w:pStyle w:val="nzIndenta"/>
      </w:pPr>
      <w:r>
        <w:tab/>
        <w:t>(f)</w:t>
      </w:r>
      <w:r>
        <w:tab/>
        <w:t>matters relating to the determination of amounts payable to the strata company by the owners of special lots and the imposition and collection of the amounts.</w:t>
      </w:r>
    </w:p>
    <w:p>
      <w:pPr>
        <w:pStyle w:val="nz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nz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nz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nzHeading5"/>
      </w:pPr>
      <w:bookmarkStart w:id="955" w:name="_Toc530474397"/>
      <w:bookmarkStart w:id="956" w:name="_Toc530474992"/>
      <w:r>
        <w:t>44.</w:t>
      </w:r>
      <w:r>
        <w:tab/>
        <w:t>Making of scheme by</w:t>
      </w:r>
      <w:r>
        <w:noBreakHyphen/>
        <w:t>laws</w:t>
      </w:r>
      <w:bookmarkEnd w:id="955"/>
      <w:bookmarkEnd w:id="956"/>
    </w:p>
    <w:p>
      <w:pPr>
        <w:pStyle w:val="nz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nzSubsection"/>
        <w:rPr>
          <w:snapToGrid w:val="0"/>
        </w:rPr>
      </w:pPr>
      <w:r>
        <w:rPr>
          <w:snapToGrid w:val="0"/>
        </w:rPr>
        <w:tab/>
        <w:t>(2)</w:t>
      </w:r>
      <w:r>
        <w:rPr>
          <w:snapToGrid w:val="0"/>
        </w:rPr>
        <w:tab/>
        <w:t>The resolution to make by</w:t>
      </w:r>
      <w:r>
        <w:rPr>
          <w:snapToGrid w:val="0"/>
        </w:rPr>
        <w:noBreakHyphen/>
        <w:t>laws must be —</w:t>
      </w:r>
    </w:p>
    <w:p>
      <w:pPr>
        <w:pStyle w:val="nzIndenta"/>
      </w:pPr>
      <w:r>
        <w:tab/>
        <w:t>(a)</w:t>
      </w:r>
      <w:r>
        <w:tab/>
        <w:t>for governance by</w:t>
      </w:r>
      <w:r>
        <w:noBreakHyphen/>
        <w:t>laws — a resolution without dissent; and</w:t>
      </w:r>
    </w:p>
    <w:p>
      <w:pPr>
        <w:pStyle w:val="nzIndenta"/>
      </w:pPr>
      <w:r>
        <w:tab/>
        <w:t>(b)</w:t>
      </w:r>
      <w:r>
        <w:tab/>
        <w:t>for conduct by</w:t>
      </w:r>
      <w:r>
        <w:noBreakHyphen/>
        <w:t>laws — a special resolution.</w:t>
      </w:r>
    </w:p>
    <w:p>
      <w:pPr>
        <w:pStyle w:val="nz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nz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nzSubsection"/>
        <w:rPr>
          <w:snapToGrid w:val="0"/>
        </w:rPr>
      </w:pPr>
      <w:r>
        <w:rPr>
          <w:snapToGrid w:val="0"/>
        </w:rPr>
        <w:tab/>
        <w:t>(5)</w:t>
      </w:r>
      <w:r>
        <w:rPr>
          <w:snapToGrid w:val="0"/>
        </w:rPr>
        <w:tab/>
        <w:t>Scheme by</w:t>
      </w:r>
      <w:r>
        <w:rPr>
          <w:snapToGrid w:val="0"/>
        </w:rPr>
        <w:noBreakHyphen/>
        <w:t>laws must be in the approved form.</w:t>
      </w:r>
    </w:p>
    <w:p>
      <w:pPr>
        <w:pStyle w:val="nzHeading5"/>
      </w:pPr>
      <w:bookmarkStart w:id="957" w:name="_Toc530474398"/>
      <w:bookmarkStart w:id="958" w:name="_Toc530474993"/>
      <w:r>
        <w:t>45.</w:t>
      </w:r>
      <w:r>
        <w:tab/>
        <w:t>Application of scheme by</w:t>
      </w:r>
      <w:r>
        <w:noBreakHyphen/>
        <w:t>laws</w:t>
      </w:r>
      <w:bookmarkEnd w:id="957"/>
      <w:bookmarkEnd w:id="958"/>
    </w:p>
    <w:p>
      <w:pPr>
        <w:pStyle w:val="nzSubsection"/>
      </w:pPr>
      <w:r>
        <w:tab/>
        <w:t>(1)</w:t>
      </w:r>
      <w:r>
        <w:tab/>
        <w:t>Scheme by</w:t>
      </w:r>
      <w:r>
        <w:noBreakHyphen/>
        <w:t>laws may apply to the following —</w:t>
      </w:r>
    </w:p>
    <w:p>
      <w:pPr>
        <w:pStyle w:val="nzIndenta"/>
      </w:pPr>
      <w:r>
        <w:tab/>
        <w:t>(a)</w:t>
      </w:r>
      <w:r>
        <w:tab/>
        <w:t>the strata company for the strata titles scheme;</w:t>
      </w:r>
    </w:p>
    <w:p>
      <w:pPr>
        <w:pStyle w:val="nzIndenta"/>
      </w:pPr>
      <w:r>
        <w:tab/>
        <w:t>(b)</w:t>
      </w:r>
      <w:r>
        <w:tab/>
        <w:t>a member, for the time being, of the strata company for the strata titles scheme;</w:t>
      </w:r>
    </w:p>
    <w:p>
      <w:pPr>
        <w:pStyle w:val="nzIndenta"/>
      </w:pPr>
      <w:r>
        <w:tab/>
        <w:t>(c)</w:t>
      </w:r>
      <w:r>
        <w:tab/>
        <w:t>an occupier or lessee, for the time being, of a lot, or the common property, in the strata titles scheme;</w:t>
      </w:r>
    </w:p>
    <w:p>
      <w:pPr>
        <w:pStyle w:val="nzIndenta"/>
      </w:pPr>
      <w:r>
        <w:tab/>
        <w:t>(d)</w:t>
      </w:r>
      <w:r>
        <w:tab/>
        <w:t>in the case of leasehold by</w:t>
      </w:r>
      <w:r>
        <w:noBreakHyphen/>
        <w:t>laws — the owner of the leasehold scheme;</w:t>
      </w:r>
    </w:p>
    <w:p>
      <w:pPr>
        <w:pStyle w:val="nzIndenta"/>
      </w:pPr>
      <w:r>
        <w:tab/>
        <w:t>(e)</w:t>
      </w:r>
      <w:r>
        <w:tab/>
        <w:t>in the case of exclusive use by</w:t>
      </w:r>
      <w:r>
        <w:noBreakHyphen/>
        <w:t>laws — the owners and occupiers, for the time being, of special lots.</w:t>
      </w:r>
    </w:p>
    <w:p>
      <w:pPr>
        <w:pStyle w:val="nz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nzSubsection"/>
      </w:pPr>
      <w:r>
        <w:tab/>
        <w:t>(3)</w:t>
      </w:r>
      <w:r>
        <w:tab/>
        <w:t>A lease of a lot or common property in a strata titles scheme is taken to contain an agreement by the lessee that the lessee will comply with the scheme by</w:t>
      </w:r>
      <w:r>
        <w:noBreakHyphen/>
        <w:t>laws.</w:t>
      </w:r>
    </w:p>
    <w:p>
      <w:pPr>
        <w:pStyle w:val="nz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nz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nzSubsection"/>
      </w:pPr>
      <w:r>
        <w:tab/>
        <w:t>(6)</w:t>
      </w:r>
      <w:r>
        <w:tab/>
        <w:t>An interest created under scheme by</w:t>
      </w:r>
      <w:r>
        <w:noBreakHyphen/>
        <w:t xml:space="preserve">laws does not have effect as an interest registered under the </w:t>
      </w:r>
      <w:r>
        <w:rPr>
          <w:i/>
        </w:rPr>
        <w:t>Transfer of Land Act 1893</w:t>
      </w:r>
      <w:r>
        <w:t>.</w:t>
      </w:r>
    </w:p>
    <w:p>
      <w:pPr>
        <w:pStyle w:val="nzSubsection"/>
      </w:pPr>
      <w:r>
        <w:tab/>
        <w:t>(7)</w:t>
      </w:r>
      <w:r>
        <w:tab/>
        <w:t>Nothing in subsection (6) derogates from the operation of leasehold by</w:t>
      </w:r>
      <w:r>
        <w:noBreakHyphen/>
        <w:t>laws.</w:t>
      </w:r>
    </w:p>
    <w:p>
      <w:pPr>
        <w:pStyle w:val="nzHeading5"/>
      </w:pPr>
      <w:bookmarkStart w:id="959" w:name="_Toc530474399"/>
      <w:bookmarkStart w:id="960" w:name="_Toc530474994"/>
      <w:r>
        <w:t>46.</w:t>
      </w:r>
      <w:r>
        <w:tab/>
        <w:t>Invalidity of scheme by</w:t>
      </w:r>
      <w:r>
        <w:noBreakHyphen/>
        <w:t>laws</w:t>
      </w:r>
      <w:bookmarkEnd w:id="959"/>
      <w:bookmarkEnd w:id="960"/>
    </w:p>
    <w:p>
      <w:pPr>
        <w:pStyle w:val="nzSubsection"/>
      </w:pPr>
      <w:r>
        <w:tab/>
      </w:r>
      <w:r>
        <w:tab/>
        <w:t>Scheme by</w:t>
      </w:r>
      <w:r>
        <w:noBreakHyphen/>
        <w:t>laws are invalid as follows —</w:t>
      </w:r>
    </w:p>
    <w:p>
      <w:pPr>
        <w:pStyle w:val="nzIndenta"/>
      </w:pPr>
      <w:r>
        <w:tab/>
        <w:t>(a)</w:t>
      </w:r>
      <w:r>
        <w:tab/>
        <w:t>to the extent that there is no power to make the by</w:t>
      </w:r>
      <w:r>
        <w:noBreakHyphen/>
        <w:t>laws;</w:t>
      </w:r>
    </w:p>
    <w:p>
      <w:pPr>
        <w:pStyle w:val="nzIndenta"/>
      </w:pPr>
      <w:r>
        <w:tab/>
        <w:t>(b)</w:t>
      </w:r>
      <w:r>
        <w:tab/>
        <w:t>to the extent that they are inconsistent with this Act or any other written law;</w:t>
      </w:r>
    </w:p>
    <w:p>
      <w:pPr>
        <w:pStyle w:val="nzIndenta"/>
      </w:pPr>
      <w:r>
        <w:tab/>
        <w:t>(c)</w:t>
      </w:r>
      <w:r>
        <w:tab/>
        <w:t>to the extent that they are inconsistent with a restricted use condition;</w:t>
      </w:r>
    </w:p>
    <w:p>
      <w:pPr>
        <w:pStyle w:val="nzIndenta"/>
      </w:pPr>
      <w:r>
        <w:tab/>
        <w:t>(d)</w:t>
      </w:r>
      <w:r>
        <w:tab/>
        <w:t>for a leasehold scheme — to the extent that they are inconsistent with the covenants or conditions of a strata lease over a lot in the scheme;</w:t>
      </w:r>
    </w:p>
    <w:p>
      <w:pPr>
        <w:pStyle w:val="nzIndenta"/>
      </w:pPr>
      <w:r>
        <w:tab/>
        <w:t>(e)</w:t>
      </w:r>
      <w:r>
        <w:tab/>
        <w:t>to the extent that they purport to deny or limit the right of a member of the strata company to vote on a proposed resolution of the strata company (except as set out in this Act);</w:t>
      </w:r>
    </w:p>
    <w:p>
      <w:pPr>
        <w:pStyle w:val="nzIndenta"/>
      </w:pPr>
      <w:r>
        <w:tab/>
        <w:t>(f)</w:t>
      </w:r>
      <w:r>
        <w:tab/>
        <w:t>to the extent that they prohibit or restrict the devolution of a lot or a transfer, lease, mortgage or other dealing with a lot;</w:t>
      </w:r>
    </w:p>
    <w:p>
      <w:pPr>
        <w:pStyle w:val="nzIndenta"/>
      </w:pPr>
      <w:r>
        <w:tab/>
        <w:t>(g)</w:t>
      </w:r>
      <w:r>
        <w:tab/>
        <w:t>to the extent that they purport to discharge or modify an easement or restrictive covenant;</w:t>
      </w:r>
    </w:p>
    <w:p>
      <w:pPr>
        <w:pStyle w:val="nzIndenta"/>
      </w:pPr>
      <w:r>
        <w:tab/>
        <w:t>(h)</w:t>
      </w:r>
      <w:r>
        <w:tab/>
        <w:t>to the extent that they prohibit or restrict the keeping on a lot of an animal that is used as an assistance animal by a person with a disability who is an owner or occupier of a lot;</w:t>
      </w:r>
    </w:p>
    <w:p>
      <w:pPr>
        <w:pStyle w:val="nzIndenta"/>
      </w:pPr>
      <w:r>
        <w:tab/>
        <w:t>(i)</w:t>
      </w:r>
      <w:r>
        <w:tab/>
        <w:t>to the extent that they prohibit or restrict the use on the parcel of an assistance animal by a person with a disability;</w:t>
      </w:r>
    </w:p>
    <w:p>
      <w:pPr>
        <w:pStyle w:val="nzIndenta"/>
      </w:pPr>
      <w:r>
        <w:tab/>
        <w:t>(j)</w:t>
      </w:r>
      <w:r>
        <w:tab/>
        <w:t>to the extent that, having regard to the interests of all of the owners of lots in the strata titles scheme in the use and enjoyment of their lots and the common property —</w:t>
      </w:r>
    </w:p>
    <w:p>
      <w:pPr>
        <w:pStyle w:val="nzIndenti"/>
      </w:pPr>
      <w:r>
        <w:tab/>
        <w:t>(i)</w:t>
      </w:r>
      <w:r>
        <w:tab/>
        <w:t>they are unfairly prejudicial to, or unfairly discriminatory against, 1 or more of the owners of lots; or</w:t>
      </w:r>
    </w:p>
    <w:p>
      <w:pPr>
        <w:pStyle w:val="nzIndenti"/>
      </w:pPr>
      <w:r>
        <w:tab/>
        <w:t>(ii)</w:t>
      </w:r>
      <w:r>
        <w:tab/>
        <w:t>they are oppressive or unreasonable.</w:t>
      </w:r>
    </w:p>
    <w:p>
      <w:pPr>
        <w:pStyle w:val="nzHeading5"/>
      </w:pPr>
      <w:bookmarkStart w:id="961" w:name="_Toc530474400"/>
      <w:bookmarkStart w:id="962" w:name="_Toc530474995"/>
      <w:r>
        <w:t>47.</w:t>
      </w:r>
      <w:r>
        <w:tab/>
        <w:t>Enforcement of scheme by</w:t>
      </w:r>
      <w:r>
        <w:noBreakHyphen/>
        <w:t>laws</w:t>
      </w:r>
      <w:bookmarkEnd w:id="961"/>
      <w:bookmarkEnd w:id="962"/>
    </w:p>
    <w:p>
      <w:pPr>
        <w:pStyle w:val="nzSubsection"/>
      </w:pPr>
      <w:r>
        <w:tab/>
        <w:t>(1)</w:t>
      </w:r>
      <w:r>
        <w:tab/>
        <w:t>A strata company may —</w:t>
      </w:r>
    </w:p>
    <w:p>
      <w:pPr>
        <w:pStyle w:val="nzIndenta"/>
      </w:pPr>
      <w:r>
        <w:tab/>
        <w:t>(a)</w:t>
      </w:r>
      <w:r>
        <w:tab/>
        <w:t>give a written notice to a person alleged to have contravened the scheme by</w:t>
      </w:r>
      <w:r>
        <w:noBreakHyphen/>
        <w:t>laws; or</w:t>
      </w:r>
    </w:p>
    <w:p>
      <w:pPr>
        <w:pStyle w:val="nzIndenta"/>
      </w:pPr>
      <w:r>
        <w:tab/>
        <w:t>(b)</w:t>
      </w:r>
      <w:r>
        <w:tab/>
        <w:t>apply to the Tribunal under this section for an order enforcing scheme by</w:t>
      </w:r>
      <w:r>
        <w:noBreakHyphen/>
        <w:t>laws if —</w:t>
      </w:r>
    </w:p>
    <w:p>
      <w:pPr>
        <w:pStyle w:val="nzIndenti"/>
      </w:pPr>
      <w:r>
        <w:tab/>
        <w:t>(i)</w:t>
      </w:r>
      <w:r>
        <w:tab/>
        <w:t>the contravention has had serious adverse consequences for a person other than the person alleged to have contravened the scheme by</w:t>
      </w:r>
      <w:r>
        <w:noBreakHyphen/>
        <w:t>laws; or</w:t>
      </w:r>
    </w:p>
    <w:p>
      <w:pPr>
        <w:pStyle w:val="nzIndenti"/>
      </w:pPr>
      <w:r>
        <w:tab/>
        <w:t>(ii)</w:t>
      </w:r>
      <w:r>
        <w:tab/>
        <w:t>the person has contravened the particular scheme by</w:t>
      </w:r>
      <w:r>
        <w:noBreakHyphen/>
        <w:t>law on at least 3 separate occasions; or</w:t>
      </w:r>
    </w:p>
    <w:p>
      <w:pPr>
        <w:pStyle w:val="nzIndenti"/>
      </w:pPr>
      <w:r>
        <w:tab/>
        <w:t>(iii)</w:t>
      </w:r>
      <w:r>
        <w:tab/>
        <w:t>the person has been given notice under paragraph (a) and has contravened the notice.</w:t>
      </w:r>
    </w:p>
    <w:p>
      <w:pPr>
        <w:pStyle w:val="nzSubsection"/>
      </w:pPr>
      <w:r>
        <w:tab/>
        <w:t>(2)</w:t>
      </w:r>
      <w:r>
        <w:tab/>
        <w:t>A written notice given by a strata company to a person alleged to have contravened the scheme by</w:t>
      </w:r>
      <w:r>
        <w:noBreakHyphen/>
        <w:t>laws must —</w:t>
      </w:r>
    </w:p>
    <w:p>
      <w:pPr>
        <w:pStyle w:val="nzIndenta"/>
      </w:pPr>
      <w:r>
        <w:tab/>
        <w:t>(a)</w:t>
      </w:r>
      <w:r>
        <w:tab/>
        <w:t>specify the particular scheme by</w:t>
      </w:r>
      <w:r>
        <w:noBreakHyphen/>
        <w:t>law that is alleged to have been contravened; and</w:t>
      </w:r>
    </w:p>
    <w:p>
      <w:pPr>
        <w:pStyle w:val="nzIndenta"/>
      </w:pPr>
      <w:r>
        <w:tab/>
        <w:t>(b)</w:t>
      </w:r>
      <w:r>
        <w:tab/>
        <w:t>specify the particular facts relied on as evidence of the contravention; and</w:t>
      </w:r>
    </w:p>
    <w:p>
      <w:pPr>
        <w:pStyle w:val="nzIndenta"/>
      </w:pPr>
      <w:r>
        <w:tab/>
        <w:t>(c)</w:t>
      </w:r>
      <w:r>
        <w:tab/>
        <w:t>specify the action that must be taken or refrained from being taken in order to avoid a continuing or further contravention of the particular scheme by</w:t>
      </w:r>
      <w:r>
        <w:noBreakHyphen/>
        <w:t>law; and</w:t>
      </w:r>
    </w:p>
    <w:p>
      <w:pPr>
        <w:pStyle w:val="nzIndenta"/>
      </w:pPr>
      <w:r>
        <w:tab/>
        <w:t>(d)</w:t>
      </w:r>
      <w:r>
        <w:tab/>
        <w:t>contain an explanation of the effect of this section in terms set out in the regulations.</w:t>
      </w:r>
    </w:p>
    <w:p>
      <w:pPr>
        <w:pStyle w:val="nzSubsection"/>
      </w:pPr>
      <w:r>
        <w:tab/>
        <w:t>(3)</w:t>
      </w:r>
      <w:r>
        <w:tab/>
        <w:t>An application may also be made to the Tribunal for enforcement of scheme by</w:t>
      </w:r>
      <w:r>
        <w:noBreakHyphen/>
        <w:t>laws by —</w:t>
      </w:r>
    </w:p>
    <w:p>
      <w:pPr>
        <w:pStyle w:val="nzIndenta"/>
      </w:pPr>
      <w:r>
        <w:tab/>
        <w:t>(a)</w:t>
      </w:r>
      <w:r>
        <w:tab/>
        <w:t>the owner of a lot in the strata titles scheme; or</w:t>
      </w:r>
    </w:p>
    <w:p>
      <w:pPr>
        <w:pStyle w:val="nzIndenta"/>
      </w:pPr>
      <w:r>
        <w:tab/>
        <w:t>(b)</w:t>
      </w:r>
      <w:r>
        <w:tab/>
        <w:t>if the scheme is a leasehold scheme — the owner of the leasehold scheme; or</w:t>
      </w:r>
    </w:p>
    <w:p>
      <w:pPr>
        <w:pStyle w:val="nzIndenta"/>
      </w:pPr>
      <w:r>
        <w:tab/>
        <w:t>(c)</w:t>
      </w:r>
      <w:r>
        <w:tab/>
        <w:t>a mortgagee of a lot in the strata titles scheme; or</w:t>
      </w:r>
    </w:p>
    <w:p>
      <w:pPr>
        <w:pStyle w:val="nzIndenta"/>
      </w:pPr>
      <w:r>
        <w:tab/>
        <w:t>(d)</w:t>
      </w:r>
      <w:r>
        <w:tab/>
        <w:t>an occupier of a lot in the strata titles scheme.</w:t>
      </w:r>
    </w:p>
    <w:p>
      <w:pPr>
        <w:pStyle w:val="nzSubsection"/>
      </w:pPr>
      <w:r>
        <w:tab/>
        <w:t>(4)</w:t>
      </w:r>
      <w:r>
        <w:tab/>
        <w:t>An application can only be made under subsection (3) on the grounds that —</w:t>
      </w:r>
    </w:p>
    <w:p>
      <w:pPr>
        <w:pStyle w:val="nzIndenta"/>
      </w:pPr>
      <w:r>
        <w:tab/>
        <w:t>(a)</w:t>
      </w:r>
      <w:r>
        <w:tab/>
        <w:t>if a person other than the strata company is alleged to have contravened the scheme by</w:t>
      </w:r>
      <w:r>
        <w:noBreakHyphen/>
        <w:t>laws — the person has been given notice under subsection (1)(a) and has contravened the notice; or</w:t>
      </w:r>
    </w:p>
    <w:p>
      <w:pPr>
        <w:pStyle w:val="nzIndenta"/>
      </w:pPr>
      <w:r>
        <w:tab/>
        <w:t>(b)</w:t>
      </w:r>
      <w:r>
        <w:tab/>
        <w:t>the contravention has had serious adverse consequences for a person other than the person alleged to have contravened the scheme by</w:t>
      </w:r>
      <w:r>
        <w:noBreakHyphen/>
        <w:t>laws; or</w:t>
      </w:r>
    </w:p>
    <w:p>
      <w:pPr>
        <w:pStyle w:val="nzIndenta"/>
      </w:pPr>
      <w:r>
        <w:tab/>
        <w:t>(c)</w:t>
      </w:r>
      <w:r>
        <w:tab/>
        <w:t>the person has contravened the particular scheme by</w:t>
      </w:r>
      <w:r>
        <w:noBreakHyphen/>
        <w:t>law on at least 3 separate occasions.</w:t>
      </w:r>
    </w:p>
    <w:p>
      <w:pPr>
        <w:pStyle w:val="nzSubsection"/>
      </w:pPr>
      <w:r>
        <w:tab/>
        <w:t>(5)</w:t>
      </w:r>
      <w:r>
        <w:tab/>
        <w:t>The Tribunal may, if satisfied that a person has contravened the scheme by</w:t>
      </w:r>
      <w:r>
        <w:noBreakHyphen/>
        <w:t>laws, by order require the person to do 1 or more of the following —</w:t>
      </w:r>
    </w:p>
    <w:p>
      <w:pPr>
        <w:pStyle w:val="nzIndenta"/>
      </w:pPr>
      <w:r>
        <w:tab/>
        <w:t>(a)</w:t>
      </w:r>
      <w:r>
        <w:tab/>
        <w:t>pay a specified amount to the strata company by way of penalty for the contravention;</w:t>
      </w:r>
    </w:p>
    <w:p>
      <w:pPr>
        <w:pStyle w:val="nzIndenta"/>
      </w:pPr>
      <w:r>
        <w:tab/>
        <w:t>(b)</w:t>
      </w:r>
      <w:r>
        <w:tab/>
        <w:t>take specified action within a period stated in the order to remedy the contravention or prevent further contraventions;</w:t>
      </w:r>
    </w:p>
    <w:p>
      <w:pPr>
        <w:pStyle w:val="nzIndenta"/>
      </w:pPr>
      <w:r>
        <w:tab/>
        <w:t>(c)</w:t>
      </w:r>
      <w:r>
        <w:tab/>
        <w:t>refrain from taking specified action to prevent further contraventions.</w:t>
      </w:r>
    </w:p>
    <w:p>
      <w:pPr>
        <w:pStyle w:val="nzSubsection"/>
      </w:pPr>
      <w:r>
        <w:tab/>
        <w:t>(6)</w:t>
      </w:r>
      <w:r>
        <w:tab/>
        <w:t>The Tribunal’s power to impose a penalty is subject to the following limitations —</w:t>
      </w:r>
    </w:p>
    <w:p>
      <w:pPr>
        <w:pStyle w:val="nzIndenta"/>
      </w:pPr>
      <w:r>
        <w:tab/>
        <w:t>(a)</w:t>
      </w:r>
      <w:r>
        <w:tab/>
        <w:t>a penalty must not be imposed on the strata company;</w:t>
      </w:r>
    </w:p>
    <w:p>
      <w:pPr>
        <w:pStyle w:val="nzIndenta"/>
      </w:pPr>
      <w:r>
        <w:tab/>
        <w:t>(b)</w:t>
      </w:r>
      <w:r>
        <w:tab/>
        <w:t>a penalty may only be imposed if the Tribunal is satisfied of the matters set out in subsection (1)(b) or (4) as the case requires;</w:t>
      </w:r>
    </w:p>
    <w:p>
      <w:pPr>
        <w:pStyle w:val="nzIndenta"/>
      </w:pPr>
      <w:r>
        <w:tab/>
        <w:t>(c)</w:t>
      </w:r>
      <w:r>
        <w:tab/>
        <w:t>the penalty must not exceed an amount fixed by the regulations;</w:t>
      </w:r>
    </w:p>
    <w:p>
      <w:pPr>
        <w:pStyle w:val="nzIndenta"/>
      </w:pPr>
      <w:r>
        <w:tab/>
        <w:t>(d)</w:t>
      </w:r>
      <w:r>
        <w:tab/>
        <w:t>a daily penalty may be imposed for a continuing contravention only if that is authorised by the regulations.</w:t>
      </w:r>
    </w:p>
    <w:p>
      <w:pPr>
        <w:pStyle w:val="nzSubsection"/>
      </w:pPr>
      <w:r>
        <w:tab/>
        <w:t>(7)</w:t>
      </w:r>
      <w:r>
        <w:tab/>
        <w:t>The regulations may —</w:t>
      </w:r>
    </w:p>
    <w:p>
      <w:pPr>
        <w:pStyle w:val="nzIndenta"/>
      </w:pPr>
      <w:r>
        <w:tab/>
        <w:t>(a)</w:t>
      </w:r>
      <w:r>
        <w:tab/>
        <w:t>specify a maximum amount that may be imposed by the Tribunal by way of penalty for contravention of scheme by</w:t>
      </w:r>
      <w:r>
        <w:noBreakHyphen/>
        <w:t>laws; and</w:t>
      </w:r>
    </w:p>
    <w:p>
      <w:pPr>
        <w:pStyle w:val="nzIndenta"/>
      </w:pPr>
      <w:r>
        <w:tab/>
        <w:t>(b)</w:t>
      </w:r>
      <w:r>
        <w:tab/>
        <w:t>specify circumstances in which a daily penalty may be imposed for a continuing contravention and a maximum amount that may be imposed as a daily penalty.</w:t>
      </w:r>
    </w:p>
    <w:p>
      <w:pPr>
        <w:pStyle w:val="nz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nzSubsection"/>
      </w:pPr>
      <w:r>
        <w:tab/>
        <w:t>(9)</w:t>
      </w:r>
      <w:r>
        <w:tab/>
        <w:t>An amount otherwise ordered to be paid by way of penalty under this section is recoverable as a debt in a court of competent jurisdiction.</w:t>
      </w:r>
    </w:p>
    <w:p>
      <w:pPr>
        <w:pStyle w:val="nzHeading5"/>
      </w:pPr>
      <w:bookmarkStart w:id="963" w:name="_Toc530474401"/>
      <w:bookmarkStart w:id="964" w:name="_Toc530474996"/>
      <w:r>
        <w:t>48.</w:t>
      </w:r>
      <w:r>
        <w:tab/>
        <w:t>Requirements for registration of amendment to give effect to scheme by</w:t>
      </w:r>
      <w:r>
        <w:noBreakHyphen/>
        <w:t>laws</w:t>
      </w:r>
      <w:bookmarkEnd w:id="963"/>
      <w:bookmarkEnd w:id="964"/>
    </w:p>
    <w:p>
      <w:pPr>
        <w:pStyle w:val="nz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nz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nzHeading3"/>
      </w:pPr>
      <w:bookmarkStart w:id="965" w:name="_Toc517437604"/>
      <w:bookmarkStart w:id="966" w:name="_Toc517438146"/>
      <w:bookmarkStart w:id="967" w:name="_Toc517440483"/>
      <w:bookmarkStart w:id="968" w:name="_Toc517447520"/>
      <w:bookmarkStart w:id="969" w:name="_Toc517449998"/>
      <w:bookmarkStart w:id="970" w:name="_Toc517450540"/>
      <w:bookmarkStart w:id="971" w:name="_Toc517856996"/>
      <w:bookmarkStart w:id="972" w:name="_Toc518293123"/>
      <w:bookmarkStart w:id="973" w:name="_Toc522744351"/>
      <w:bookmarkStart w:id="974" w:name="_Toc522747474"/>
      <w:bookmarkStart w:id="975" w:name="_Toc529183311"/>
      <w:bookmarkStart w:id="976" w:name="_Toc529188074"/>
      <w:bookmarkStart w:id="977" w:name="_Toc529434587"/>
      <w:bookmarkStart w:id="978" w:name="_Toc529524478"/>
      <w:bookmarkStart w:id="979" w:name="_Toc530474402"/>
      <w:bookmarkStart w:id="980" w:name="_Toc530474997"/>
      <w:r>
        <w:t>Division 5 — Strata leases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zHeading5"/>
      </w:pPr>
      <w:bookmarkStart w:id="981" w:name="_Toc530474403"/>
      <w:bookmarkStart w:id="982" w:name="_Toc530474998"/>
      <w:r>
        <w:t>49.</w:t>
      </w:r>
      <w:r>
        <w:tab/>
        <w:t>Relationship with other laws</w:t>
      </w:r>
      <w:bookmarkEnd w:id="981"/>
      <w:bookmarkEnd w:id="982"/>
    </w:p>
    <w:p>
      <w:pPr>
        <w:pStyle w:val="nzSubsection"/>
      </w:pPr>
      <w:r>
        <w:tab/>
        <w:t>(1)</w:t>
      </w:r>
      <w:r>
        <w:tab/>
        <w:t xml:space="preserve">When a strata lease is registered as a scheme document, the lease is taken to be a registered lease under the </w:t>
      </w:r>
      <w:r>
        <w:rPr>
          <w:i/>
          <w:snapToGrid w:val="0"/>
        </w:rPr>
        <w:t>Transfer of Land Act 1893</w:t>
      </w:r>
      <w:r>
        <w:t>.</w:t>
      </w:r>
    </w:p>
    <w:p>
      <w:pPr>
        <w:pStyle w:val="nzSubsection"/>
      </w:pPr>
      <w:r>
        <w:tab/>
        <w:t>(2)</w:t>
      </w:r>
      <w:r>
        <w:tab/>
        <w:t>The following provisions do not apply to or in relation to a strata lease —</w:t>
      </w:r>
    </w:p>
    <w:p>
      <w:pPr>
        <w:pStyle w:val="nzIndenta"/>
      </w:pPr>
      <w:r>
        <w:tab/>
        <w:t>(a)</w:t>
      </w:r>
      <w:r>
        <w:tab/>
        <w:t xml:space="preserve">the </w:t>
      </w:r>
      <w:r>
        <w:rPr>
          <w:i/>
        </w:rPr>
        <w:t xml:space="preserve">Transfer of Land Act 1893 </w:t>
      </w:r>
      <w:r>
        <w:t>Part IV Division 2;</w:t>
      </w:r>
    </w:p>
    <w:p>
      <w:pPr>
        <w:pStyle w:val="nzIndenta"/>
      </w:pPr>
      <w:r>
        <w:tab/>
        <w:t>(b)</w:t>
      </w:r>
      <w:r>
        <w:tab/>
        <w:t xml:space="preserve">the </w:t>
      </w:r>
      <w:r>
        <w:rPr>
          <w:i/>
        </w:rPr>
        <w:t xml:space="preserve">Property Law Act 1969 </w:t>
      </w:r>
      <w:r>
        <w:t>sections 72, 73, 74, 75, 76, 79, 80, 81 and 83 and Part VII Division 2;</w:t>
      </w:r>
    </w:p>
    <w:p>
      <w:pPr>
        <w:pStyle w:val="nzIndenta"/>
      </w:pPr>
      <w:r>
        <w:tab/>
        <w:t>(c)</w:t>
      </w:r>
      <w:r>
        <w:tab/>
        <w:t>other provisions of those or other Acts specified in the regulations.</w:t>
      </w:r>
    </w:p>
    <w:p>
      <w:pPr>
        <w:pStyle w:val="nz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nzHeading5"/>
      </w:pPr>
      <w:bookmarkStart w:id="983" w:name="_Toc530474404"/>
      <w:bookmarkStart w:id="984" w:name="_Toc530474999"/>
      <w:r>
        <w:t>50.</w:t>
      </w:r>
      <w:r>
        <w:tab/>
        <w:t>Term of strata lease</w:t>
      </w:r>
      <w:bookmarkEnd w:id="983"/>
      <w:bookmarkEnd w:id="984"/>
    </w:p>
    <w:p>
      <w:pPr>
        <w:pStyle w:val="nz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nzSubsection"/>
      </w:pPr>
      <w:r>
        <w:tab/>
        <w:t>(2)</w:t>
      </w:r>
      <w:r>
        <w:tab/>
        <w:t>A strata lease is of no effect to the extent that it purports to extend beyond the expiry day for the scheme.</w:t>
      </w:r>
    </w:p>
    <w:p>
      <w:pPr>
        <w:pStyle w:val="nzSubsection"/>
      </w:pPr>
      <w:r>
        <w:tab/>
        <w:t>(3)</w:t>
      </w:r>
      <w:r>
        <w:tab/>
        <w:t>A strata lease is not subject to renewal, but its term is extended by postponement of the expiry day for the scheme.</w:t>
      </w:r>
    </w:p>
    <w:p>
      <w:pPr>
        <w:pStyle w:val="nzSubsection"/>
      </w:pPr>
      <w:r>
        <w:tab/>
        <w:t>(4)</w:t>
      </w:r>
      <w:r>
        <w:tab/>
        <w:t>The fact that the expiry day may be postponed does not render a strata lease invalid for being of uncertain duration or for any other reason.</w:t>
      </w:r>
    </w:p>
    <w:p>
      <w:pPr>
        <w:pStyle w:val="nzSubsection"/>
      </w:pPr>
      <w:r>
        <w:tab/>
        <w:t>(5)</w:t>
      </w:r>
      <w:r>
        <w:tab/>
        <w:t>A strata lease is not subject to forfeiture.</w:t>
      </w:r>
    </w:p>
    <w:p>
      <w:pPr>
        <w:pStyle w:val="nzHeading5"/>
      </w:pPr>
      <w:bookmarkStart w:id="985" w:name="_Toc530474405"/>
      <w:bookmarkStart w:id="986" w:name="_Toc530475000"/>
      <w:r>
        <w:t>51.</w:t>
      </w:r>
      <w:r>
        <w:tab/>
        <w:t>Limitations on powers of owner of leasehold scheme</w:t>
      </w:r>
      <w:bookmarkEnd w:id="985"/>
      <w:bookmarkEnd w:id="986"/>
    </w:p>
    <w:p>
      <w:pPr>
        <w:pStyle w:val="nzSubsection"/>
      </w:pPr>
      <w:r>
        <w:tab/>
        <w:t>(1)</w:t>
      </w:r>
      <w:r>
        <w:tab/>
        <w:t>The owner of a leasehold scheme must not interfere with the use and enjoyment of a lot or common property in the leasehold scheme by the owner of a lot in the scheme.</w:t>
      </w:r>
    </w:p>
    <w:p>
      <w:pPr>
        <w:pStyle w:val="nzSubsection"/>
      </w:pPr>
      <w:r>
        <w:tab/>
        <w:t>(2)</w:t>
      </w:r>
      <w:r>
        <w:tab/>
        <w:t>Subject to subsection (3), the consent of the owner of the leasehold scheme is not required by the owner of a lot in the scheme to deal with or dispose of the strata title for the lot.</w:t>
      </w:r>
    </w:p>
    <w:p>
      <w:pPr>
        <w:pStyle w:val="nzSubsection"/>
      </w:pPr>
      <w:r>
        <w:tab/>
        <w:t>(3)</w:t>
      </w:r>
      <w:r>
        <w:tab/>
        <w:t>The regulations may specify circumstances in which the consent of the owner of the leasehold scheme may be required despite subsection (2).</w:t>
      </w:r>
    </w:p>
    <w:p>
      <w:pPr>
        <w:pStyle w:val="nz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nzHeading5"/>
      </w:pPr>
      <w:bookmarkStart w:id="987" w:name="_Toc530474406"/>
      <w:bookmarkStart w:id="988" w:name="_Toc530475001"/>
      <w:r>
        <w:t>52.</w:t>
      </w:r>
      <w:r>
        <w:tab/>
        <w:t>Content and form of strata lease</w:t>
      </w:r>
      <w:bookmarkEnd w:id="987"/>
      <w:bookmarkEnd w:id="988"/>
    </w:p>
    <w:p>
      <w:pPr>
        <w:pStyle w:val="nzSubsection"/>
      </w:pPr>
      <w:r>
        <w:tab/>
        <w:t>(1)</w:t>
      </w:r>
      <w:r>
        <w:tab/>
        <w:t>A strata lease —</w:t>
      </w:r>
    </w:p>
    <w:p>
      <w:pPr>
        <w:pStyle w:val="nzIndenta"/>
      </w:pPr>
      <w:r>
        <w:tab/>
        <w:t>(a)</w:t>
      </w:r>
      <w:r>
        <w:tab/>
        <w:t>can only contain covenants or conditions allowed by the regulations; and</w:t>
      </w:r>
    </w:p>
    <w:p>
      <w:pPr>
        <w:pStyle w:val="nz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nzIndenta"/>
      </w:pPr>
      <w:r>
        <w:tab/>
        <w:t>(c)</w:t>
      </w:r>
      <w:r>
        <w:tab/>
        <w:t>cannot grant the owner of the leasehold scheme a right of re</w:t>
      </w:r>
      <w:r>
        <w:noBreakHyphen/>
        <w:t>entry of the lot for breach of a covenant or condition (express or implied); and</w:t>
      </w:r>
    </w:p>
    <w:p>
      <w:pPr>
        <w:pStyle w:val="nzIndenta"/>
      </w:pPr>
      <w:r>
        <w:tab/>
        <w:t>(d)</w:t>
      </w:r>
      <w:r>
        <w:tab/>
        <w:t>must be in the approved form.</w:t>
      </w:r>
    </w:p>
    <w:p>
      <w:pPr>
        <w:pStyle w:val="nzSubsection"/>
      </w:pPr>
      <w:r>
        <w:tab/>
        <w:t>(2)</w:t>
      </w:r>
      <w:r>
        <w:tab/>
        <w:t>The covenants or conditions allowed by the regulations cannot include covenants or conditions for the following —</w:t>
      </w:r>
    </w:p>
    <w:p>
      <w:pPr>
        <w:pStyle w:val="nzIndenta"/>
      </w:pPr>
      <w:r>
        <w:tab/>
        <w:t>(a)</w:t>
      </w:r>
      <w:r>
        <w:tab/>
        <w:t>a matter that could be included in leasehold by</w:t>
      </w:r>
      <w:r>
        <w:noBreakHyphen/>
        <w:t>laws;</w:t>
      </w:r>
    </w:p>
    <w:p>
      <w:pPr>
        <w:pStyle w:val="nzIndenta"/>
      </w:pPr>
      <w:r>
        <w:tab/>
        <w:t>(b)</w:t>
      </w:r>
      <w:r>
        <w:tab/>
        <w:t>refurbishment of the lot or improvements on the lot;</w:t>
      </w:r>
    </w:p>
    <w:p>
      <w:pPr>
        <w:pStyle w:val="nzIndenta"/>
      </w:pPr>
      <w:r>
        <w:tab/>
        <w:t>(c)</w:t>
      </w:r>
      <w:r>
        <w:tab/>
        <w:t>a matter that is dealt with under this Act including —</w:t>
      </w:r>
    </w:p>
    <w:p>
      <w:pPr>
        <w:pStyle w:val="nzIndenti"/>
      </w:pPr>
      <w:r>
        <w:tab/>
        <w:t>(i)</w:t>
      </w:r>
      <w:r>
        <w:tab/>
        <w:t>financial contributions towards the maintenance, repair, renewal or replacement of common property in the leasehold scheme or property of the strata company; and</w:t>
      </w:r>
    </w:p>
    <w:p>
      <w:pPr>
        <w:pStyle w:val="nzIndenti"/>
      </w:pPr>
      <w:r>
        <w:tab/>
        <w:t>(ii)</w:t>
      </w:r>
      <w:r>
        <w:tab/>
        <w:t>the insurance required for the leasehold scheme;</w:t>
      </w:r>
    </w:p>
    <w:p>
      <w:pPr>
        <w:pStyle w:val="nzIndenta"/>
      </w:pPr>
      <w:r>
        <w:tab/>
        <w:t>(d)</w:t>
      </w:r>
      <w:r>
        <w:tab/>
        <w:t>the acquisition of the owner of a leasehold scheme’s freehold reversion in the lot and the common property appurtenant to the lot;</w:t>
      </w:r>
    </w:p>
    <w:p>
      <w:pPr>
        <w:pStyle w:val="nzIndenta"/>
      </w:pPr>
      <w:r>
        <w:tab/>
        <w:t>(e)</w:t>
      </w:r>
      <w:r>
        <w:tab/>
        <w:t>compensation for the value of improvements to the lot;</w:t>
      </w:r>
    </w:p>
    <w:p>
      <w:pPr>
        <w:pStyle w:val="nzIndenta"/>
      </w:pPr>
      <w:r>
        <w:tab/>
        <w:t>(f)</w:t>
      </w:r>
      <w:r>
        <w:tab/>
        <w:t>any other matter specified in the regulations.</w:t>
      </w:r>
    </w:p>
    <w:p>
      <w:pPr>
        <w:pStyle w:val="nzSubsection"/>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nzPermNoteHeading"/>
      </w:pPr>
      <w:r>
        <w:tab/>
        <w:t>Note for this subsection:</w:t>
      </w:r>
    </w:p>
    <w:p>
      <w:pPr>
        <w:pStyle w:val="nzPermNoteText"/>
      </w:pPr>
      <w:r>
        <w:tab/>
      </w:r>
      <w:r>
        <w:tab/>
        <w:t>For example, the thing cannot be made the subject of a lease, contract or deed.</w:t>
      </w:r>
    </w:p>
    <w:p>
      <w:pPr>
        <w:pStyle w:val="nzHeading5"/>
      </w:pPr>
      <w:bookmarkStart w:id="989" w:name="_Toc530474407"/>
      <w:bookmarkStart w:id="990" w:name="_Toc530475002"/>
      <w:r>
        <w:t>53.</w:t>
      </w:r>
      <w:r>
        <w:tab/>
        <w:t>Amendment of strata lease</w:t>
      </w:r>
      <w:bookmarkEnd w:id="989"/>
      <w:bookmarkEnd w:id="990"/>
    </w:p>
    <w:p>
      <w:pPr>
        <w:pStyle w:val="nzSubsection"/>
      </w:pPr>
      <w:r>
        <w:tab/>
        <w:t>(1)</w:t>
      </w:r>
      <w:r>
        <w:tab/>
        <w:t>A strata lease can only be amended by written agreement between the owner of the leasehold scheme and the owner of the lot to which the strata lease relates.</w:t>
      </w:r>
    </w:p>
    <w:p>
      <w:pPr>
        <w:pStyle w:val="nzSubsection"/>
      </w:pPr>
      <w:r>
        <w:tab/>
        <w:t>(2)</w:t>
      </w:r>
      <w:r>
        <w:tab/>
        <w:t>The regulations may impose additional requirements for the amendment of a strata lease.</w:t>
      </w:r>
    </w:p>
    <w:p>
      <w:pPr>
        <w:pStyle w:val="nzSubsection"/>
      </w:pPr>
      <w:r>
        <w:tab/>
        <w:t>(3)</w:t>
      </w:r>
      <w:r>
        <w:tab/>
        <w:t>The amendment of a strata lease cannot take effect until registration of the amendment.</w:t>
      </w:r>
    </w:p>
    <w:p>
      <w:pPr>
        <w:pStyle w:val="nzSubsection"/>
      </w:pPr>
      <w:r>
        <w:tab/>
        <w:t>(4)</w:t>
      </w:r>
      <w:r>
        <w:tab/>
        <w:t>An amendment of a strata lease must not be registered unless —</w:t>
      </w:r>
    </w:p>
    <w:p>
      <w:pPr>
        <w:pStyle w:val="nzIndenta"/>
      </w:pPr>
      <w:r>
        <w:tab/>
        <w:t>(a)</w:t>
      </w:r>
      <w:r>
        <w:tab/>
        <w:t>if the owner of the leasehold scheme or the owner of the lot is not an applicant, that owner has given written consent to the amendment; and</w:t>
      </w:r>
    </w:p>
    <w:p>
      <w:pPr>
        <w:pStyle w:val="nzIndenta"/>
      </w:pPr>
      <w:r>
        <w:tab/>
        <w:t>(b)</w:t>
      </w:r>
      <w:r>
        <w:tab/>
        <w:t>the strata lease as amended is lodged with the Registrar of Titles.</w:t>
      </w:r>
    </w:p>
    <w:p>
      <w:pPr>
        <w:pStyle w:val="nzHeading5"/>
      </w:pPr>
      <w:bookmarkStart w:id="991" w:name="_Toc530474408"/>
      <w:bookmarkStart w:id="992" w:name="_Toc530475003"/>
      <w:r>
        <w:t>54.</w:t>
      </w:r>
      <w:r>
        <w:tab/>
        <w:t>Enforcement of strata lease</w:t>
      </w:r>
      <w:bookmarkEnd w:id="991"/>
      <w:bookmarkEnd w:id="992"/>
    </w:p>
    <w:p>
      <w:pPr>
        <w:pStyle w:val="nzSubsection"/>
      </w:pPr>
      <w:r>
        <w:tab/>
        <w:t>(1)</w:t>
      </w:r>
      <w:r>
        <w:tab/>
        <w:t>The owner of a leasehold scheme or the owner of a lot in the leasehold scheme may apply to the Tribunal for enforcement of a covenant or condition in the strata lease or an obligation under this Division.</w:t>
      </w:r>
    </w:p>
    <w:p>
      <w:pPr>
        <w:pStyle w:val="nzSubsection"/>
      </w:pPr>
      <w:r>
        <w:tab/>
        <w:t>(2)</w:t>
      </w:r>
      <w:r>
        <w:tab/>
        <w:t>However, an application can only be made by the owner of the leasehold scheme if —</w:t>
      </w:r>
    </w:p>
    <w:p>
      <w:pPr>
        <w:pStyle w:val="nz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nz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nzSubsection"/>
      </w:pPr>
      <w:r>
        <w:tab/>
        <w:t>(3)</w:t>
      </w:r>
      <w:r>
        <w:tab/>
        <w:t>The Tribunal may, if satisfied that the owner of a lot in a leasehold scheme has breached a covenant or condition in the strata lease, by order do 1 or more of the following —</w:t>
      </w:r>
    </w:p>
    <w:p>
      <w:pPr>
        <w:pStyle w:val="nzIndenta"/>
      </w:pPr>
      <w:r>
        <w:tab/>
        <w:t>(a)</w:t>
      </w:r>
      <w:r>
        <w:tab/>
        <w:t>require the owner of the lot to pay compensation to the owner of the leasehold scheme for any pecuniary loss or damage caused by the breach of the strata lease;</w:t>
      </w:r>
    </w:p>
    <w:p>
      <w:pPr>
        <w:pStyle w:val="nzIndenta"/>
      </w:pPr>
      <w:r>
        <w:tab/>
        <w:t>(b)</w:t>
      </w:r>
      <w:r>
        <w:tab/>
        <w:t>require the owner of the lot to do, or refrain from doing, a specified act to remedy the breach;</w:t>
      </w:r>
    </w:p>
    <w:p>
      <w:pPr>
        <w:pStyle w:val="nz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nzIndenti"/>
      </w:pPr>
      <w:r>
        <w:tab/>
        <w:t>(i)</w:t>
      </w:r>
      <w:r>
        <w:tab/>
        <w:t>the execution of a dealing or other document; or</w:t>
      </w:r>
    </w:p>
    <w:p>
      <w:pPr>
        <w:pStyle w:val="nzIndenti"/>
      </w:pPr>
      <w:r>
        <w:tab/>
        <w:t>(ii)</w:t>
      </w:r>
      <w:r>
        <w:tab/>
        <w:t>the payment of costs, expenses, damages or compensation; or</w:t>
      </w:r>
    </w:p>
    <w:p>
      <w:pPr>
        <w:pStyle w:val="nzIndenti"/>
      </w:pPr>
      <w:r>
        <w:tab/>
        <w:t>(iii)</w:t>
      </w:r>
      <w:r>
        <w:tab/>
        <w:t>the giving of security;</w:t>
      </w:r>
    </w:p>
    <w:p>
      <w:pPr>
        <w:pStyle w:val="nz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nzSubsection"/>
      </w:pPr>
      <w:r>
        <w:tab/>
        <w:t>(4)</w:t>
      </w:r>
      <w:r>
        <w:tab/>
        <w:t>The Tribunal may, if satisfied that the owner of a leasehold scheme has breached a covenant or condition in the strata lease or has contravened this Act, by order do 1 or more of the following —</w:t>
      </w:r>
    </w:p>
    <w:p>
      <w:pPr>
        <w:pStyle w:val="nz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nzIndenta"/>
      </w:pPr>
      <w:r>
        <w:tab/>
        <w:t>(b)</w:t>
      </w:r>
      <w:r>
        <w:tab/>
        <w:t>require the owner of the leasehold scheme to return possession of a lot in the scheme to the owner of the lot.</w:t>
      </w:r>
    </w:p>
    <w:p>
      <w:pPr>
        <w:pStyle w:val="nzHeading5"/>
      </w:pPr>
      <w:bookmarkStart w:id="993" w:name="_Toc530474409"/>
      <w:bookmarkStart w:id="994" w:name="_Toc530475004"/>
      <w:r>
        <w:t>55.</w:t>
      </w:r>
      <w:r>
        <w:tab/>
        <w:t>Contracting out prohibited</w:t>
      </w:r>
      <w:bookmarkEnd w:id="993"/>
      <w:bookmarkEnd w:id="994"/>
    </w:p>
    <w:p>
      <w:pPr>
        <w:pStyle w:val="nzSubsection"/>
      </w:pPr>
      <w:r>
        <w:tab/>
        <w:t>(1)</w:t>
      </w:r>
      <w:r>
        <w:tab/>
        <w:t>A contract or any other agreement or arrangement is of no effect to the extent that it purports to exclude or restrict the operation of this Division.</w:t>
      </w:r>
    </w:p>
    <w:p>
      <w:pPr>
        <w:pStyle w:val="nzSubsection"/>
      </w:pPr>
      <w:r>
        <w:tab/>
        <w:t>(2)</w:t>
      </w:r>
      <w:r>
        <w:tab/>
        <w:t>A purported waiver of a right, remedy or benefit conferred on a person under this Division is of no effect.</w:t>
      </w:r>
    </w:p>
    <w:p>
      <w:pPr>
        <w:pStyle w:val="nzHeading2"/>
      </w:pPr>
      <w:bookmarkStart w:id="995" w:name="_Toc517437612"/>
      <w:bookmarkStart w:id="996" w:name="_Toc517438154"/>
      <w:bookmarkStart w:id="997" w:name="_Toc517440491"/>
      <w:bookmarkStart w:id="998" w:name="_Toc517447528"/>
      <w:bookmarkStart w:id="999" w:name="_Toc517450006"/>
      <w:bookmarkStart w:id="1000" w:name="_Toc517450548"/>
      <w:bookmarkStart w:id="1001" w:name="_Toc517857004"/>
      <w:bookmarkStart w:id="1002" w:name="_Toc518293131"/>
      <w:bookmarkStart w:id="1003" w:name="_Toc522744359"/>
      <w:bookmarkStart w:id="1004" w:name="_Toc522747482"/>
      <w:bookmarkStart w:id="1005" w:name="_Toc529183319"/>
      <w:bookmarkStart w:id="1006" w:name="_Toc529188082"/>
      <w:bookmarkStart w:id="1007" w:name="_Toc529434595"/>
      <w:bookmarkStart w:id="1008" w:name="_Toc529524486"/>
      <w:bookmarkStart w:id="1009" w:name="_Toc530474410"/>
      <w:bookmarkStart w:id="1010" w:name="_Toc530475005"/>
      <w:r>
        <w:t>Part 5</w:t>
      </w:r>
      <w:r>
        <w:rPr>
          <w:b w:val="0"/>
        </w:rPr>
        <w:t> </w:t>
      </w:r>
      <w:r>
        <w:t>—</w:t>
      </w:r>
      <w:r>
        <w:rPr>
          <w:b w:val="0"/>
        </w:rPr>
        <w:t> </w:t>
      </w:r>
      <w:r>
        <w:t>Registration and land titles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zHeading3"/>
      </w:pPr>
      <w:bookmarkStart w:id="1011" w:name="_Toc517437613"/>
      <w:bookmarkStart w:id="1012" w:name="_Toc517438155"/>
      <w:bookmarkStart w:id="1013" w:name="_Toc517440492"/>
      <w:bookmarkStart w:id="1014" w:name="_Toc517447529"/>
      <w:bookmarkStart w:id="1015" w:name="_Toc517450007"/>
      <w:bookmarkStart w:id="1016" w:name="_Toc517450549"/>
      <w:bookmarkStart w:id="1017" w:name="_Toc517857005"/>
      <w:bookmarkStart w:id="1018" w:name="_Toc518293132"/>
      <w:bookmarkStart w:id="1019" w:name="_Toc522744360"/>
      <w:bookmarkStart w:id="1020" w:name="_Toc522747483"/>
      <w:bookmarkStart w:id="1021" w:name="_Toc529183320"/>
      <w:bookmarkStart w:id="1022" w:name="_Toc529188083"/>
      <w:bookmarkStart w:id="1023" w:name="_Toc529434596"/>
      <w:bookmarkStart w:id="1024" w:name="_Toc529524487"/>
      <w:bookmarkStart w:id="1025" w:name="_Toc530474411"/>
      <w:bookmarkStart w:id="1026" w:name="_Toc530475006"/>
      <w:r>
        <w:t>Division 1 — Schemes and amendment of schemes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zHeading5"/>
      </w:pPr>
      <w:bookmarkStart w:id="1027" w:name="_Toc530474412"/>
      <w:bookmarkStart w:id="1028" w:name="_Toc530475007"/>
      <w:r>
        <w:t>56</w:t>
      </w:r>
      <w:r>
        <w:rPr>
          <w:snapToGrid w:val="0"/>
        </w:rPr>
        <w:t>.</w:t>
      </w:r>
      <w:r>
        <w:rPr>
          <w:snapToGrid w:val="0"/>
        </w:rPr>
        <w:tab/>
        <w:t>Application for registration</w:t>
      </w:r>
      <w:bookmarkEnd w:id="1027"/>
      <w:bookmarkEnd w:id="1028"/>
    </w:p>
    <w:p>
      <w:pPr>
        <w:pStyle w:val="nzSubsection"/>
        <w:rPr>
          <w:snapToGrid w:val="0"/>
        </w:rPr>
      </w:pPr>
      <w:r>
        <w:rPr>
          <w:snapToGrid w:val="0"/>
        </w:rPr>
        <w:tab/>
        <w:t>(1)</w:t>
      </w:r>
      <w:r>
        <w:rPr>
          <w:snapToGrid w:val="0"/>
        </w:rPr>
        <w:tab/>
        <w:t>An application for registration of a strata titles scheme or an amendment of a strata titles scheme can be made —</w:t>
      </w:r>
    </w:p>
    <w:p>
      <w:pPr>
        <w:pStyle w:val="nzIndenta"/>
      </w:pPr>
      <w:r>
        <w:tab/>
        <w:t>(a)</w:t>
      </w:r>
      <w:r>
        <w:tab/>
        <w:t>for registration to give effect to a subdivision, by the scheme developer for the subdivision; or</w:t>
      </w:r>
    </w:p>
    <w:p>
      <w:pPr>
        <w:pStyle w:val="nzIndenta"/>
      </w:pPr>
      <w:r>
        <w:tab/>
        <w:t>(b)</w:t>
      </w:r>
      <w:r>
        <w:tab/>
        <w:t>for registration of an amendment of a strata titles scheme, by —</w:t>
      </w:r>
    </w:p>
    <w:p>
      <w:pPr>
        <w:pStyle w:val="nzIndenti"/>
      </w:pPr>
      <w:r>
        <w:tab/>
        <w:t>(i)</w:t>
      </w:r>
      <w:r>
        <w:tab/>
        <w:t>the strata company for the scheme; or</w:t>
      </w:r>
    </w:p>
    <w:p>
      <w:pPr>
        <w:pStyle w:val="nzIndenti"/>
      </w:pPr>
      <w:r>
        <w:tab/>
        <w:t>(ii)</w:t>
      </w:r>
      <w:r>
        <w:tab/>
        <w:t>an owner of a lot in the scheme; or</w:t>
      </w:r>
    </w:p>
    <w:p>
      <w:pPr>
        <w:pStyle w:val="nzIndenti"/>
      </w:pPr>
      <w:r>
        <w:tab/>
        <w:t>(iii)</w:t>
      </w:r>
      <w:r>
        <w:tab/>
        <w:t>if the scheme is a leasehold scheme, the owner of the leasehold scheme.</w:t>
      </w:r>
    </w:p>
    <w:p>
      <w:pPr>
        <w:pStyle w:val="nzSubsection"/>
      </w:pPr>
      <w:r>
        <w:tab/>
        <w:t>(2)</w:t>
      </w:r>
      <w:r>
        <w:tab/>
        <w:t>An application for registration of a strata titles scheme or an amendment of a strata titles scheme must —</w:t>
      </w:r>
    </w:p>
    <w:p>
      <w:pPr>
        <w:pStyle w:val="nzIndenta"/>
      </w:pPr>
      <w:r>
        <w:tab/>
        <w:t>(a)</w:t>
      </w:r>
      <w:r>
        <w:tab/>
        <w:t>be lodged with the Registrar of Titles; and</w:t>
      </w:r>
    </w:p>
    <w:p>
      <w:pPr>
        <w:pStyle w:val="nzIndenta"/>
      </w:pPr>
      <w:r>
        <w:tab/>
        <w:t>(b)</w:t>
      </w:r>
      <w:r>
        <w:tab/>
        <w:t>be in the approved form; and</w:t>
      </w:r>
    </w:p>
    <w:p>
      <w:pPr>
        <w:pStyle w:val="nzIndenta"/>
      </w:pPr>
      <w:r>
        <w:tab/>
        <w:t>(c)</w:t>
      </w:r>
      <w:r>
        <w:tab/>
        <w:t>be accompanied by —</w:t>
      </w:r>
    </w:p>
    <w:p>
      <w:pPr>
        <w:pStyle w:val="nzIndenti"/>
      </w:pPr>
      <w:r>
        <w:tab/>
        <w:t>(i)</w:t>
      </w:r>
      <w:r>
        <w:tab/>
        <w:t>for registration of a scheme — the scheme documents; or</w:t>
      </w:r>
    </w:p>
    <w:p>
      <w:pPr>
        <w:pStyle w:val="nzIndenti"/>
      </w:pPr>
      <w:r>
        <w:tab/>
        <w:t>(ii)</w:t>
      </w:r>
      <w:r>
        <w:tab/>
        <w:t>for an amendment of a scheme — amendments or replacements of the scheme documents that require modification as a consequence of the amendment of the scheme;</w:t>
      </w:r>
    </w:p>
    <w:p>
      <w:pPr>
        <w:pStyle w:val="nzIndenta"/>
      </w:pPr>
      <w:r>
        <w:tab/>
      </w:r>
      <w:r>
        <w:tab/>
        <w:t>and</w:t>
      </w:r>
    </w:p>
    <w:p>
      <w:pPr>
        <w:pStyle w:val="nzIndenta"/>
      </w:pPr>
      <w:r>
        <w:tab/>
        <w:t>(d)</w:t>
      </w:r>
      <w:r>
        <w:tab/>
        <w:t>be accompanied by evidence, in the approved form, that the requirements of this Act for the making and registration of the scheme documents or amendments of the scheme documents have been complied with; and</w:t>
      </w:r>
    </w:p>
    <w:p>
      <w:pPr>
        <w:pStyle w:val="nzPermNoteHeading"/>
      </w:pPr>
      <w:r>
        <w:tab/>
        <w:t>Note for this paragraph:</w:t>
      </w:r>
    </w:p>
    <w:p>
      <w:pPr>
        <w:pStyle w:val="nz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nzIndenta"/>
      </w:pPr>
      <w:r>
        <w:tab/>
        <w:t>(e)</w:t>
      </w:r>
      <w:r>
        <w:tab/>
        <w:t>must be accompanied, if applicable, by —</w:t>
      </w:r>
    </w:p>
    <w:p>
      <w:pPr>
        <w:pStyle w:val="nzIndenti"/>
      </w:pPr>
      <w:r>
        <w:tab/>
        <w:t>(i)</w:t>
      </w:r>
      <w:r>
        <w:tab/>
        <w:t>a statement (in the approved form) of how each item registered or recorded for the scheme in the Register is to be dealt with; and</w:t>
      </w:r>
    </w:p>
    <w:p>
      <w:pPr>
        <w:pStyle w:val="nzIndenti"/>
      </w:pPr>
      <w:r>
        <w:tab/>
        <w:t>(ii)</w:t>
      </w:r>
      <w:r>
        <w:tab/>
        <w:t>disposition statements, instruments or documents necessary for that purpose;</w:t>
      </w:r>
    </w:p>
    <w:p>
      <w:pPr>
        <w:pStyle w:val="nzIndenta"/>
      </w:pPr>
      <w:r>
        <w:tab/>
      </w:r>
      <w:r>
        <w:tab/>
        <w:t>and</w:t>
      </w:r>
    </w:p>
    <w:p>
      <w:pPr>
        <w:pStyle w:val="nzIndenta"/>
      </w:pPr>
      <w:r>
        <w:tab/>
        <w:t>(f)</w:t>
      </w:r>
      <w:r>
        <w:tab/>
        <w:t>be accompanied by the fee fixed by the regulations.</w:t>
      </w:r>
    </w:p>
    <w:p>
      <w:pPr>
        <w:pStyle w:val="nz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nzSubsection"/>
      </w:pPr>
      <w:r>
        <w:tab/>
        <w:t>(4)</w:t>
      </w:r>
      <w:r>
        <w:tab/>
        <w:t>The regulations may impose time limits within which an application for registration must be made.</w:t>
      </w:r>
    </w:p>
    <w:p>
      <w:pPr>
        <w:pStyle w:val="nzPermNoteHeading"/>
      </w:pPr>
      <w:r>
        <w:tab/>
        <w:t>Note for this subsection:</w:t>
      </w:r>
    </w:p>
    <w:p>
      <w:pPr>
        <w:pStyle w:val="nzPermNoteText"/>
      </w:pPr>
      <w:r>
        <w:tab/>
      </w:r>
      <w:r>
        <w:tab/>
        <w:t>For example, an application involving an amendment of a scheme plan may be required to be made within a specified period after endorsement of the scheme plan by the Planning Commission.</w:t>
      </w:r>
    </w:p>
    <w:p>
      <w:pPr>
        <w:pStyle w:val="nzHeading5"/>
      </w:pPr>
      <w:bookmarkStart w:id="1029" w:name="_Toc530474413"/>
      <w:bookmarkStart w:id="1030" w:name="_Toc530475008"/>
      <w:r>
        <w:t>57.</w:t>
      </w:r>
      <w:r>
        <w:tab/>
        <w:t>Effect of registration</w:t>
      </w:r>
      <w:bookmarkEnd w:id="1029"/>
      <w:bookmarkEnd w:id="1030"/>
    </w:p>
    <w:p>
      <w:pPr>
        <w:pStyle w:val="nzSubsection"/>
      </w:pPr>
      <w:r>
        <w:tab/>
        <w:t>(1)</w:t>
      </w:r>
      <w:r>
        <w:tab/>
        <w:t>On registration of a freehold scheme —</w:t>
      </w:r>
    </w:p>
    <w:p>
      <w:pPr>
        <w:pStyle w:val="nzIndenta"/>
      </w:pPr>
      <w:r>
        <w:tab/>
        <w:t>(a)</w:t>
      </w:r>
      <w:r>
        <w:tab/>
        <w:t>the title to the parcel of land that existed immediately before registration of the scheme ceases to exist; and</w:t>
      </w:r>
    </w:p>
    <w:p>
      <w:pPr>
        <w:pStyle w:val="nzIndenta"/>
      </w:pPr>
      <w:r>
        <w:tab/>
        <w:t>(b)</w:t>
      </w:r>
      <w:r>
        <w:tab/>
        <w:t xml:space="preserve">the certificate of title for the parcel must be cancelled under the </w:t>
      </w:r>
      <w:r>
        <w:rPr>
          <w:i/>
        </w:rPr>
        <w:t>Transfer of Land Act 1893</w:t>
      </w:r>
      <w:r>
        <w:t>.</w:t>
      </w:r>
    </w:p>
    <w:p>
      <w:pPr>
        <w:pStyle w:val="nzSubsection"/>
      </w:pPr>
      <w:r>
        <w:tab/>
        <w:t>(2)</w:t>
      </w:r>
      <w:r>
        <w:tab/>
        <w:t>On registration of a leasehold scheme —</w:t>
      </w:r>
    </w:p>
    <w:p>
      <w:pPr>
        <w:pStyle w:val="nz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nzIndenta"/>
      </w:pPr>
      <w:r>
        <w:tab/>
        <w:t>(b)</w:t>
      </w:r>
      <w:r>
        <w:tab/>
        <w:t xml:space="preserve">the certificate of title for the parcel must be endorsed accordingly under the </w:t>
      </w:r>
      <w:r>
        <w:rPr>
          <w:i/>
        </w:rPr>
        <w:t>Transfer of Land Act 1893</w:t>
      </w:r>
      <w:r>
        <w:t>.</w:t>
      </w:r>
    </w:p>
    <w:p>
      <w:pPr>
        <w:pStyle w:val="nzSubsection"/>
      </w:pPr>
      <w:r>
        <w:tab/>
        <w:t>(3)</w:t>
      </w:r>
      <w:r>
        <w:tab/>
        <w:t>On registration of a strata titles scheme or an amendment of a strata titles scheme to give effect to a subdivision of land —</w:t>
      </w:r>
    </w:p>
    <w:p>
      <w:pPr>
        <w:pStyle w:val="nzIndenta"/>
      </w:pPr>
      <w:r>
        <w:tab/>
        <w:t>(a)</w:t>
      </w:r>
      <w:r>
        <w:tab/>
        <w:t>the relevant lots are created, cease to exist or are varied as required by the subdivision; and</w:t>
      </w:r>
    </w:p>
    <w:p>
      <w:pPr>
        <w:pStyle w:val="nzIndenta"/>
      </w:pPr>
      <w:r>
        <w:tab/>
        <w:t>(b)</w:t>
      </w:r>
      <w:r>
        <w:tab/>
        <w:t>if a lot in a leasehold scheme ceases to exist, the strata lease for the lot is extinguished; and</w:t>
      </w:r>
    </w:p>
    <w:p>
      <w:pPr>
        <w:pStyle w:val="nzIndenta"/>
      </w:pPr>
      <w:r>
        <w:tab/>
        <w:t>(c)</w:t>
      </w:r>
      <w:r>
        <w:tab/>
        <w:t>the relevant common property (if any) comes into existence, ceases to exist or is varied as required by the subdivision.</w:t>
      </w:r>
    </w:p>
    <w:p>
      <w:pPr>
        <w:pStyle w:val="nzSubsection"/>
      </w:pPr>
      <w:r>
        <w:tab/>
        <w:t>(4)</w:t>
      </w:r>
      <w:r>
        <w:tab/>
        <w:t>A scheme document, or an amendment of a scheme document, has effect from when it is registered or recorded by the Registrar of Titles.</w:t>
      </w:r>
    </w:p>
    <w:p>
      <w:pPr>
        <w:pStyle w:val="nzHeading5"/>
      </w:pPr>
      <w:bookmarkStart w:id="1031" w:name="_Toc530474414"/>
      <w:bookmarkStart w:id="1032" w:name="_Toc530475009"/>
      <w:r>
        <w:t>58.</w:t>
      </w:r>
      <w:r>
        <w:tab/>
        <w:t>Registration process</w:t>
      </w:r>
      <w:bookmarkEnd w:id="1031"/>
      <w:bookmarkEnd w:id="1032"/>
    </w:p>
    <w:p>
      <w:pPr>
        <w:pStyle w:val="nzSubsection"/>
        <w:rPr>
          <w:snapToGrid w:val="0"/>
        </w:rPr>
      </w:pPr>
      <w:r>
        <w:tab/>
        <w:t>(1)</w:t>
      </w:r>
      <w:r>
        <w:tab/>
      </w:r>
      <w:r>
        <w:rPr>
          <w:snapToGrid w:val="0"/>
        </w:rPr>
        <w:t>To register a strata titles scheme or an amendment of a strata titles scheme, the Registrar of Titles must —</w:t>
      </w:r>
    </w:p>
    <w:p>
      <w:pPr>
        <w:pStyle w:val="nz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nz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nz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nzIndenta"/>
        <w:rPr>
          <w:snapToGrid w:val="0"/>
        </w:rPr>
      </w:pPr>
      <w:r>
        <w:rPr>
          <w:snapToGrid w:val="0"/>
        </w:rPr>
        <w:tab/>
        <w:t>(d)</w:t>
      </w:r>
      <w:r>
        <w:rPr>
          <w:snapToGrid w:val="0"/>
        </w:rPr>
        <w:tab/>
        <w:t>on registration of a strata titles scheme or an amendment of a strata titles scheme to give effect to a subdivision of land —</w:t>
      </w:r>
    </w:p>
    <w:p>
      <w:pPr>
        <w:pStyle w:val="nz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nzIndenti"/>
        <w:rPr>
          <w:snapToGrid w:val="0"/>
        </w:rPr>
      </w:pPr>
      <w:r>
        <w:rPr>
          <w:snapToGrid w:val="0"/>
        </w:rPr>
        <w:tab/>
        <w:t>(ii)</w:t>
      </w:r>
      <w:r>
        <w:rPr>
          <w:snapToGrid w:val="0"/>
        </w:rPr>
        <w:tab/>
        <w:t>for a leasehold scheme, ensure that there is —</w:t>
      </w:r>
    </w:p>
    <w:p>
      <w:pPr>
        <w:pStyle w:val="nzIndentI0"/>
      </w:pPr>
      <w:r>
        <w:rPr>
          <w:snapToGrid w:val="0"/>
        </w:rPr>
        <w:tab/>
        <w:t>(I)</w:t>
      </w:r>
      <w:r>
        <w:rPr>
          <w:snapToGrid w:val="0"/>
        </w:rPr>
        <w:tab/>
      </w:r>
      <w:r>
        <w:t>a strata lease registered for each lot in the scheme; and</w:t>
      </w:r>
    </w:p>
    <w:p>
      <w:pPr>
        <w:pStyle w:val="nz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nzIndenti"/>
        <w:rPr>
          <w:snapToGrid w:val="0"/>
        </w:rPr>
      </w:pPr>
      <w:r>
        <w:rPr>
          <w:snapToGrid w:val="0"/>
        </w:rPr>
        <w:tab/>
      </w:r>
      <w:r>
        <w:rPr>
          <w:snapToGrid w:val="0"/>
        </w:rPr>
        <w:tab/>
        <w:t>and</w:t>
      </w:r>
    </w:p>
    <w:p>
      <w:pPr>
        <w:pStyle w:val="nz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nzSubsection"/>
      </w:pPr>
      <w:r>
        <w:tab/>
        <w:t>(2)</w:t>
      </w:r>
      <w:r>
        <w:tab/>
        <w:t>A separate certificate of title is not to be created for common property or for a parcel subdivided by a freehold scheme.</w:t>
      </w:r>
    </w:p>
    <w:p>
      <w:pPr>
        <w:pStyle w:val="nzSubsection"/>
      </w:pPr>
      <w:r>
        <w:tab/>
        <w:t>(3)</w:t>
      </w:r>
      <w:r>
        <w:tab/>
        <w:t xml:space="preserve">The </w:t>
      </w:r>
      <w:r>
        <w:rPr>
          <w:i/>
        </w:rPr>
        <w:t>Transfer of Land Act 1893</w:t>
      </w:r>
      <w:r>
        <w:t xml:space="preserve"> section 48B does not apply to a certificate of title for a lot in a leasehold scheme.</w:t>
      </w:r>
    </w:p>
    <w:p>
      <w:pPr>
        <w:pStyle w:val="nzSubsection"/>
      </w:pPr>
      <w:r>
        <w:tab/>
        <w:t>(4)</w:t>
      </w:r>
      <w:r>
        <w:tab/>
        <w:t xml:space="preserve">The </w:t>
      </w:r>
      <w:r>
        <w:rPr>
          <w:i/>
        </w:rPr>
        <w:t>Transfer of Land Act 1893</w:t>
      </w:r>
      <w:r>
        <w:t xml:space="preserve"> section 166 does not apply to a subdivision of land by a strata titles scheme.</w:t>
      </w:r>
    </w:p>
    <w:p>
      <w:pPr>
        <w:pStyle w:val="nz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nzPermNoteHeading"/>
      </w:pPr>
      <w:r>
        <w:tab/>
        <w:t>Note for this subsection:</w:t>
      </w:r>
    </w:p>
    <w:p>
      <w:pPr>
        <w:pStyle w:val="nzPermNoteText"/>
      </w:pPr>
      <w:r>
        <w:tab/>
      </w:r>
      <w:r>
        <w:tab/>
        <w:t>For example, an item may comprise an estate, interest, right, encumbrance, notification, memorial or caveat.</w:t>
      </w:r>
    </w:p>
    <w:p>
      <w:pPr>
        <w:pStyle w:val="nzHeading5"/>
      </w:pPr>
      <w:bookmarkStart w:id="1033" w:name="_Toc530474415"/>
      <w:bookmarkStart w:id="1034" w:name="_Toc530475010"/>
      <w:r>
        <w:t>59.</w:t>
      </w:r>
      <w:r>
        <w:tab/>
        <w:t>No presumption of validity of scheme by</w:t>
      </w:r>
      <w:r>
        <w:noBreakHyphen/>
        <w:t>laws</w:t>
      </w:r>
      <w:bookmarkEnd w:id="1033"/>
      <w:bookmarkEnd w:id="1034"/>
    </w:p>
    <w:p>
      <w:pPr>
        <w:pStyle w:val="nzSubsection"/>
      </w:pPr>
      <w:r>
        <w:tab/>
        <w:t>(1)</w:t>
      </w:r>
      <w:r>
        <w:tab/>
        <w:t>The Registrar of Titles may, but is not obliged to, examine scheme by</w:t>
      </w:r>
      <w:r>
        <w:noBreakHyphen/>
        <w:t>laws lodged for registration for compliance with this Act.</w:t>
      </w:r>
    </w:p>
    <w:p>
      <w:pPr>
        <w:pStyle w:val="nzSubsection"/>
      </w:pPr>
      <w:r>
        <w:tab/>
        <w:t>(2)</w:t>
      </w:r>
      <w:r>
        <w:tab/>
        <w:t>It must not be presumed that, because the Registrar of Titles has registered scheme by</w:t>
      </w:r>
      <w:r>
        <w:noBreakHyphen/>
        <w:t>laws, the by</w:t>
      </w:r>
      <w:r>
        <w:noBreakHyphen/>
        <w:t>laws are valid or enforceable.</w:t>
      </w:r>
    </w:p>
    <w:p>
      <w:pPr>
        <w:pStyle w:val="nzSubsection"/>
      </w:pPr>
      <w:r>
        <w:tab/>
        <w:t>(3)</w:t>
      </w:r>
      <w:r>
        <w:tab/>
        <w:t>The State does not guarantee the validity or enforceability of scheme by</w:t>
      </w:r>
      <w:r>
        <w:noBreakHyphen/>
        <w:t>laws.</w:t>
      </w:r>
    </w:p>
    <w:p>
      <w:pPr>
        <w:pStyle w:val="nzHeading3"/>
      </w:pPr>
      <w:bookmarkStart w:id="1035" w:name="_Toc517437618"/>
      <w:bookmarkStart w:id="1036" w:name="_Toc517438160"/>
      <w:bookmarkStart w:id="1037" w:name="_Toc517440497"/>
      <w:bookmarkStart w:id="1038" w:name="_Toc517447534"/>
      <w:bookmarkStart w:id="1039" w:name="_Toc517450012"/>
      <w:bookmarkStart w:id="1040" w:name="_Toc517450554"/>
      <w:bookmarkStart w:id="1041" w:name="_Toc517857010"/>
      <w:bookmarkStart w:id="1042" w:name="_Toc518293137"/>
      <w:bookmarkStart w:id="1043" w:name="_Toc522744365"/>
      <w:bookmarkStart w:id="1044" w:name="_Toc522747488"/>
      <w:bookmarkStart w:id="1045" w:name="_Toc529183325"/>
      <w:bookmarkStart w:id="1046" w:name="_Toc529188088"/>
      <w:bookmarkStart w:id="1047" w:name="_Toc529434601"/>
      <w:bookmarkStart w:id="1048" w:name="_Toc529524492"/>
      <w:bookmarkStart w:id="1049" w:name="_Toc530474416"/>
      <w:bookmarkStart w:id="1050" w:name="_Toc530475011"/>
      <w:r>
        <w:t>Division 2 — Re</w:t>
      </w:r>
      <w:r>
        <w:noBreakHyphen/>
        <w:t>entry or surrender of strata leases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zHeading5"/>
      </w:pPr>
      <w:bookmarkStart w:id="1051" w:name="_Toc530474417"/>
      <w:bookmarkStart w:id="1052" w:name="_Toc530475012"/>
      <w:r>
        <w:t>60.</w:t>
      </w:r>
      <w:r>
        <w:tab/>
        <w:t>Notice and registration</w:t>
      </w:r>
      <w:bookmarkEnd w:id="1051"/>
      <w:bookmarkEnd w:id="1052"/>
    </w:p>
    <w:p>
      <w:pPr>
        <w:pStyle w:val="nz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nz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nzIndenta"/>
      </w:pPr>
      <w:r>
        <w:tab/>
        <w:t>(b)</w:t>
      </w:r>
      <w:r>
        <w:tab/>
        <w:t>the Registrar of Titles must register the notice; and</w:t>
      </w:r>
    </w:p>
    <w:p>
      <w:pPr>
        <w:pStyle w:val="nzIndenta"/>
      </w:pPr>
      <w:r>
        <w:tab/>
        <w:t>(c)</w:t>
      </w:r>
      <w:r>
        <w:tab/>
        <w:t>on registration of the notice —</w:t>
      </w:r>
    </w:p>
    <w:p>
      <w:pPr>
        <w:pStyle w:val="nzIndenti"/>
      </w:pPr>
      <w:r>
        <w:tab/>
        <w:t>(i)</w:t>
      </w:r>
      <w:r>
        <w:tab/>
        <w:t>the Registrar must register the owner of the leasehold scheme as the owner of the lot; and</w:t>
      </w:r>
    </w:p>
    <w:p>
      <w:pPr>
        <w:pStyle w:val="nzIndenti"/>
      </w:pPr>
      <w:r>
        <w:tab/>
        <w:t>(ii)</w:t>
      </w:r>
      <w:r>
        <w:tab/>
        <w:t>the owner of the leasehold scheme is entitled to vacant possession of the lot; and</w:t>
      </w:r>
    </w:p>
    <w:p>
      <w:pPr>
        <w:pStyle w:val="nzIndenti"/>
      </w:pPr>
      <w:r>
        <w:tab/>
        <w:t>(iii)</w:t>
      </w:r>
      <w:r>
        <w:tab/>
        <w:t>the strata lease is otherwise unaffected.</w:t>
      </w:r>
    </w:p>
    <w:p>
      <w:pPr>
        <w:pStyle w:val="nzHeading3"/>
      </w:pPr>
      <w:bookmarkStart w:id="1053" w:name="_Toc517437620"/>
      <w:bookmarkStart w:id="1054" w:name="_Toc517438162"/>
      <w:bookmarkStart w:id="1055" w:name="_Toc517440499"/>
      <w:bookmarkStart w:id="1056" w:name="_Toc517447536"/>
      <w:bookmarkStart w:id="1057" w:name="_Toc517450014"/>
      <w:bookmarkStart w:id="1058" w:name="_Toc517450556"/>
      <w:bookmarkStart w:id="1059" w:name="_Toc517857012"/>
      <w:bookmarkStart w:id="1060" w:name="_Toc518293139"/>
      <w:bookmarkStart w:id="1061" w:name="_Toc522744367"/>
      <w:bookmarkStart w:id="1062" w:name="_Toc522747490"/>
      <w:bookmarkStart w:id="1063" w:name="_Toc529183327"/>
      <w:bookmarkStart w:id="1064" w:name="_Toc529188090"/>
      <w:bookmarkStart w:id="1065" w:name="_Toc529434603"/>
      <w:bookmarkStart w:id="1066" w:name="_Toc529524494"/>
      <w:bookmarkStart w:id="1067" w:name="_Toc530474418"/>
      <w:bookmarkStart w:id="1068" w:name="_Toc530475013"/>
      <w:r>
        <w:t>Division 3 — Statutory easements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nzHeading5"/>
      </w:pPr>
      <w:bookmarkStart w:id="1069" w:name="_Toc530474419"/>
      <w:bookmarkStart w:id="1070" w:name="_Toc530475014"/>
      <w:r>
        <w:t>61.</w:t>
      </w:r>
      <w:r>
        <w:tab/>
        <w:t>Easement for support, shelter and projections — lot</w:t>
      </w:r>
      <w:bookmarkEnd w:id="1069"/>
      <w:bookmarkEnd w:id="1070"/>
    </w:p>
    <w:p>
      <w:pPr>
        <w:pStyle w:val="nzSubsection"/>
        <w:rPr>
          <w:snapToGrid w:val="0"/>
        </w:rPr>
      </w:pPr>
      <w:r>
        <w:tab/>
        <w:t>(1)</w:t>
      </w:r>
      <w:r>
        <w:tab/>
      </w:r>
      <w:r>
        <w:rPr>
          <w:snapToGrid w:val="0"/>
        </w:rPr>
        <w:t>For each lot in a strata titles scheme there is an easement</w:t>
      </w:r>
      <w:r>
        <w:rPr>
          <w:snapToGrid w:val="0"/>
          <w:spacing w:val="-4"/>
        </w:rPr>
        <w:t xml:space="preserve"> benefiting the lot —</w:t>
      </w:r>
    </w:p>
    <w:p>
      <w:pPr>
        <w:pStyle w:val="nzIndenta"/>
      </w:pPr>
      <w:r>
        <w:rPr>
          <w:snapToGrid w:val="0"/>
        </w:rPr>
        <w:tab/>
        <w:t>(a)</w:t>
      </w:r>
      <w:r>
        <w:rPr>
          <w:snapToGrid w:val="0"/>
        </w:rPr>
        <w:tab/>
        <w:t>for the subjacent and lateral support of the lot —</w:t>
      </w:r>
    </w:p>
    <w:p>
      <w:pPr>
        <w:pStyle w:val="nzIndenti"/>
      </w:pPr>
      <w:r>
        <w:tab/>
        <w:t>(i)</w:t>
      </w:r>
      <w:r>
        <w:tab/>
        <w:t>by every other lot in the scheme capable of affording support; and</w:t>
      </w:r>
    </w:p>
    <w:p>
      <w:pPr>
        <w:pStyle w:val="nzIndenti"/>
      </w:pPr>
      <w:r>
        <w:tab/>
        <w:t>(ii)</w:t>
      </w:r>
      <w:r>
        <w:tab/>
        <w:t>by all the common property in the scheme capable of affording support;</w:t>
      </w:r>
    </w:p>
    <w:p>
      <w:pPr>
        <w:pStyle w:val="nzIndenta"/>
      </w:pPr>
      <w:r>
        <w:tab/>
      </w:r>
      <w:r>
        <w:tab/>
        <w:t>and</w:t>
      </w:r>
    </w:p>
    <w:p>
      <w:pPr>
        <w:pStyle w:val="nzIndenta"/>
        <w:rPr>
          <w:snapToGrid w:val="0"/>
          <w:spacing w:val="-4"/>
        </w:rPr>
      </w:pPr>
      <w:r>
        <w:tab/>
        <w:t>(b)</w:t>
      </w:r>
      <w:r>
        <w:tab/>
      </w:r>
      <w:r>
        <w:rPr>
          <w:snapToGrid w:val="0"/>
          <w:spacing w:val="-4"/>
        </w:rPr>
        <w:t>if the scheme is a strata scheme —</w:t>
      </w:r>
    </w:p>
    <w:p>
      <w:pPr>
        <w:pStyle w:val="nzIndenti"/>
      </w:pPr>
      <w:r>
        <w:tab/>
        <w:t>(i)</w:t>
      </w:r>
      <w:r>
        <w:tab/>
        <w:t>for the support and shelter of the parts of a scheme building within the lot by every other part of the scheme building capable of affording support or shelter; and</w:t>
      </w:r>
    </w:p>
    <w:p>
      <w:pPr>
        <w:pStyle w:val="nzIndenti"/>
      </w:pPr>
      <w:r>
        <w:tab/>
        <w:t>(ii)</w:t>
      </w:r>
      <w:r>
        <w:tab/>
        <w:t>for the projection of window sills, windows, window awnings, eaves, guttering and other minor parts of a scheme building within the lot.</w:t>
      </w:r>
    </w:p>
    <w:p>
      <w:pPr>
        <w:pStyle w:val="nzSubsection"/>
      </w:pPr>
      <w:r>
        <w:tab/>
        <w:t>(2)</w:t>
      </w:r>
      <w:r>
        <w:tab/>
        <w:t>The easement entitles the owner of a lot benefited by the easement to examine, maintain, repair, modify and replace the support, shelter or projection to which the easement relates.</w:t>
      </w:r>
    </w:p>
    <w:p>
      <w:pPr>
        <w:pStyle w:val="nzSubsection"/>
      </w:pPr>
      <w:r>
        <w:tab/>
        <w:t>(3)</w:t>
      </w:r>
      <w:r>
        <w:tab/>
        <w:t>The rights conferred by the easement must be exercised so as to minimise, as far as reasonably practicable, interference with the use and enjoyment of lots and common property in the strata titles scheme.</w:t>
      </w:r>
    </w:p>
    <w:p>
      <w:pPr>
        <w:pStyle w:val="nzSubsection"/>
      </w:pPr>
      <w:r>
        <w:tab/>
        <w:t>(4)</w:t>
      </w:r>
      <w:r>
        <w:tab/>
        <w:t>For each lot in a strata titles scheme there is an easement burdening the lot —</w:t>
      </w:r>
    </w:p>
    <w:p>
      <w:pPr>
        <w:pStyle w:val="nzIndenta"/>
      </w:pPr>
      <w:r>
        <w:rPr>
          <w:snapToGrid w:val="0"/>
        </w:rPr>
        <w:tab/>
        <w:t>(a)</w:t>
      </w:r>
      <w:r>
        <w:rPr>
          <w:snapToGrid w:val="0"/>
        </w:rPr>
        <w:tab/>
        <w:t>for the subjacent and lateral support of —</w:t>
      </w:r>
    </w:p>
    <w:p>
      <w:pPr>
        <w:pStyle w:val="nzIndenti"/>
      </w:pPr>
      <w:r>
        <w:tab/>
        <w:t>(i)</w:t>
      </w:r>
      <w:r>
        <w:tab/>
        <w:t>every other lot in the scheme capable of enjoying support; and</w:t>
      </w:r>
    </w:p>
    <w:p>
      <w:pPr>
        <w:pStyle w:val="nzIndenti"/>
      </w:pPr>
      <w:r>
        <w:tab/>
        <w:t>(ii)</w:t>
      </w:r>
      <w:r>
        <w:tab/>
        <w:t>all the common property in the scheme capable of enjoying support;</w:t>
      </w:r>
    </w:p>
    <w:p>
      <w:pPr>
        <w:pStyle w:val="nzIndenta"/>
      </w:pPr>
      <w:r>
        <w:tab/>
      </w:r>
      <w:r>
        <w:tab/>
      </w:r>
      <w:r>
        <w:rPr>
          <w:snapToGrid w:val="0"/>
        </w:rPr>
        <w:t>and</w:t>
      </w:r>
    </w:p>
    <w:p>
      <w:pPr>
        <w:pStyle w:val="nzIndenta"/>
        <w:rPr>
          <w:snapToGrid w:val="0"/>
          <w:spacing w:val="-4"/>
        </w:rPr>
      </w:pPr>
      <w:r>
        <w:tab/>
        <w:t>(b)</w:t>
      </w:r>
      <w:r>
        <w:tab/>
      </w:r>
      <w:r>
        <w:rPr>
          <w:snapToGrid w:val="0"/>
          <w:spacing w:val="-4"/>
        </w:rPr>
        <w:t>if the scheme is a strata scheme —</w:t>
      </w:r>
    </w:p>
    <w:p>
      <w:pPr>
        <w:pStyle w:val="nzIndenti"/>
      </w:pPr>
      <w:r>
        <w:tab/>
        <w:t>(i)</w:t>
      </w:r>
      <w:r>
        <w:tab/>
        <w:t>for the support and shelter by the parts of a scheme building within the lot of all other parts of the scheme building capable of enjoying support or shelter; and</w:t>
      </w:r>
    </w:p>
    <w:p>
      <w:pPr>
        <w:pStyle w:val="nzIndenti"/>
      </w:pPr>
      <w:r>
        <w:tab/>
        <w:t>(ii)</w:t>
      </w:r>
      <w:r>
        <w:tab/>
        <w:t>for the projection over the lot by window sills, windows, window awnings, eaves, guttering and other minor parts of a scheme building within another lot or the common property.</w:t>
      </w:r>
    </w:p>
    <w:p>
      <w:pPr>
        <w:pStyle w:val="nzSubsection"/>
      </w:pPr>
      <w:r>
        <w:tab/>
        <w:t>(5)</w:t>
      </w:r>
      <w:r>
        <w:tab/>
        <w:t>An owner or occupier of a lot must not do anything or permit anything to be done that would interfere with rights under the easement burdening the lot under this section.</w:t>
      </w:r>
    </w:p>
    <w:p>
      <w:pPr>
        <w:pStyle w:val="nzSubsection"/>
      </w:pPr>
      <w:r>
        <w:tab/>
        <w:t>(6)</w:t>
      </w:r>
      <w:r>
        <w:tab/>
        <w:t>An easement under this section has effect even if the lot benefited and the lot burdened have the same owner.</w:t>
      </w:r>
    </w:p>
    <w:p>
      <w:pPr>
        <w:pStyle w:val="nzHeading5"/>
      </w:pPr>
      <w:bookmarkStart w:id="1071" w:name="_Toc530474420"/>
      <w:bookmarkStart w:id="1072" w:name="_Toc530475015"/>
      <w:r>
        <w:t>62.</w:t>
      </w:r>
      <w:r>
        <w:tab/>
        <w:t>Easement for support, shelter and projections — common property</w:t>
      </w:r>
      <w:bookmarkEnd w:id="1071"/>
      <w:bookmarkEnd w:id="1072"/>
    </w:p>
    <w:p>
      <w:pPr>
        <w:pStyle w:val="nz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nz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nzIndenta"/>
        <w:rPr>
          <w:snapToGrid w:val="0"/>
        </w:rPr>
      </w:pPr>
      <w:r>
        <w:rPr>
          <w:snapToGrid w:val="0"/>
        </w:rPr>
        <w:tab/>
        <w:t>(b)</w:t>
      </w:r>
      <w:r>
        <w:rPr>
          <w:snapToGrid w:val="0"/>
        </w:rPr>
        <w:tab/>
        <w:t>if the scheme is a strata scheme —</w:t>
      </w:r>
    </w:p>
    <w:p>
      <w:pPr>
        <w:pStyle w:val="nzIndenti"/>
      </w:pPr>
      <w:r>
        <w:tab/>
        <w:t>(i)</w:t>
      </w:r>
      <w:r>
        <w:tab/>
        <w:t>for the support and shelter of the parts of a scheme building within the common property by every other part of the scheme building capable of affording support or shelter; and</w:t>
      </w:r>
    </w:p>
    <w:p>
      <w:pPr>
        <w:pStyle w:val="nzIndenti"/>
      </w:pPr>
      <w:r>
        <w:tab/>
        <w:t>(ii)</w:t>
      </w:r>
      <w:r>
        <w:tab/>
        <w:t>for the projection of window sills, windows, window awnings, eaves, guttering and other minor parts of a scheme building within the common property.</w:t>
      </w:r>
    </w:p>
    <w:p>
      <w:pPr>
        <w:pStyle w:val="nzSubsection"/>
      </w:pPr>
      <w:r>
        <w:tab/>
        <w:t>(2)</w:t>
      </w:r>
      <w:r>
        <w:tab/>
        <w:t>The easement entitles the strata company to examine, maintain, repair, modify and replace the support, shelter or projection to which the easement relates.</w:t>
      </w:r>
    </w:p>
    <w:p>
      <w:pPr>
        <w:pStyle w:val="nzSubsection"/>
      </w:pPr>
      <w:r>
        <w:tab/>
        <w:t>(3)</w:t>
      </w:r>
      <w:r>
        <w:tab/>
        <w:t>The rights conferred by the easement must be exercised so as to minimise, as far as reasonably practicable, interference with the use and enjoyment of lots and common property in the strata titles scheme.</w:t>
      </w:r>
    </w:p>
    <w:p>
      <w:pPr>
        <w:pStyle w:val="nzSubsection"/>
      </w:pPr>
      <w:r>
        <w:tab/>
        <w:t>(4)</w:t>
      </w:r>
      <w:r>
        <w:tab/>
        <w:t>For common property in a strata titles scheme there is an easement burdening the common property —</w:t>
      </w:r>
    </w:p>
    <w:p>
      <w:pPr>
        <w:pStyle w:val="nzIndenta"/>
        <w:rPr>
          <w:snapToGrid w:val="0"/>
        </w:rPr>
      </w:pPr>
      <w:r>
        <w:rPr>
          <w:snapToGrid w:val="0"/>
        </w:rPr>
        <w:tab/>
        <w:t>(a)</w:t>
      </w:r>
      <w:r>
        <w:rPr>
          <w:snapToGrid w:val="0"/>
        </w:rPr>
        <w:tab/>
        <w:t>for the subjacent and lateral support of every lot in the strata titles scheme capable of enjoying support; and</w:t>
      </w:r>
    </w:p>
    <w:p>
      <w:pPr>
        <w:pStyle w:val="nzIndenta"/>
        <w:rPr>
          <w:snapToGrid w:val="0"/>
        </w:rPr>
      </w:pPr>
      <w:r>
        <w:rPr>
          <w:snapToGrid w:val="0"/>
        </w:rPr>
        <w:tab/>
        <w:t>(b)</w:t>
      </w:r>
      <w:r>
        <w:rPr>
          <w:snapToGrid w:val="0"/>
        </w:rPr>
        <w:tab/>
        <w:t>if the scheme is a strata scheme —</w:t>
      </w:r>
    </w:p>
    <w:p>
      <w:pPr>
        <w:pStyle w:val="nzIndenti"/>
      </w:pPr>
      <w:r>
        <w:tab/>
        <w:t>(i)</w:t>
      </w:r>
      <w:r>
        <w:tab/>
        <w:t>for the support and shelter by the parts of a scheme building within the common property of all other parts of the scheme building capable of enjoying support or shelter; and</w:t>
      </w:r>
    </w:p>
    <w:p>
      <w:pPr>
        <w:pStyle w:val="nzIndenti"/>
      </w:pPr>
      <w:r>
        <w:tab/>
        <w:t>(ii)</w:t>
      </w:r>
      <w:r>
        <w:tab/>
        <w:t>for the projection over the common property by window sills, windows, window awnings, eaves, guttering and other minor parts of a scheme building within a lot.</w:t>
      </w:r>
    </w:p>
    <w:p>
      <w:pPr>
        <w:pStyle w:val="nz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nzHeading5"/>
      </w:pPr>
      <w:bookmarkStart w:id="1073" w:name="_Toc530474421"/>
      <w:bookmarkStart w:id="1074" w:name="_Toc530475016"/>
      <w:r>
        <w:t>63.</w:t>
      </w:r>
      <w:r>
        <w:tab/>
        <w:t>Utility service easement</w:t>
      </w:r>
      <w:bookmarkEnd w:id="1073"/>
      <w:bookmarkEnd w:id="1074"/>
    </w:p>
    <w:p>
      <w:pPr>
        <w:pStyle w:val="nz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nzSubsection"/>
      </w:pPr>
      <w:r>
        <w:tab/>
        <w:t>(2)</w:t>
      </w:r>
      <w:r>
        <w:tab/>
        <w:t>A utility service easement entitles the strata company, and the owner of a lot, in the strata titles scheme —</w:t>
      </w:r>
    </w:p>
    <w:p>
      <w:pPr>
        <w:pStyle w:val="nzIndenta"/>
        <w:rPr>
          <w:snapToGrid w:val="0"/>
        </w:rPr>
      </w:pPr>
      <w:r>
        <w:rPr>
          <w:snapToGrid w:val="0"/>
        </w:rPr>
        <w:tab/>
        <w:t>(a)</w:t>
      </w:r>
      <w:r>
        <w:rPr>
          <w:snapToGrid w:val="0"/>
        </w:rPr>
        <w:tab/>
        <w:t>to install and remove utility conduits; and</w:t>
      </w:r>
    </w:p>
    <w:p>
      <w:pPr>
        <w:pStyle w:val="nzIndenta"/>
        <w:rPr>
          <w:snapToGrid w:val="0"/>
        </w:rPr>
      </w:pPr>
      <w:r>
        <w:rPr>
          <w:snapToGrid w:val="0"/>
        </w:rPr>
        <w:tab/>
        <w:t>(b)</w:t>
      </w:r>
      <w:r>
        <w:rPr>
          <w:snapToGrid w:val="0"/>
        </w:rPr>
        <w:tab/>
        <w:t>to examine, maintain, repair, modify and replace utility conduits.</w:t>
      </w:r>
    </w:p>
    <w:p>
      <w:pPr>
        <w:pStyle w:val="nz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nz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nzIndenta"/>
        <w:rPr>
          <w:snapToGrid w:val="0"/>
        </w:rPr>
      </w:pPr>
      <w:r>
        <w:rPr>
          <w:snapToGrid w:val="0"/>
        </w:rPr>
        <w:tab/>
        <w:t>(a)</w:t>
      </w:r>
      <w:r>
        <w:rPr>
          <w:snapToGrid w:val="0"/>
        </w:rPr>
        <w:tab/>
        <w:t>in the reasonable exercise of rights under a utility service easement of which it has the benefit; or</w:t>
      </w:r>
    </w:p>
    <w:p>
      <w:pPr>
        <w:pStyle w:val="nzIndenta"/>
        <w:rPr>
          <w:snapToGrid w:val="0"/>
        </w:rPr>
      </w:pPr>
      <w:r>
        <w:rPr>
          <w:snapToGrid w:val="0"/>
        </w:rPr>
        <w:tab/>
        <w:t>(b)</w:t>
      </w:r>
      <w:r>
        <w:rPr>
          <w:snapToGrid w:val="0"/>
        </w:rPr>
        <w:tab/>
        <w:t>in the performance of its function of controlling and managing common property in the scheme.</w:t>
      </w:r>
    </w:p>
    <w:p>
      <w:pPr>
        <w:pStyle w:val="nz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nzSubsection"/>
      </w:pPr>
      <w:r>
        <w:tab/>
        <w:t>(6)</w:t>
      </w:r>
      <w:r>
        <w:tab/>
        <w:t>A utility service easement has effect even if the lot benefited and the lot burdened have the same owner.</w:t>
      </w:r>
    </w:p>
    <w:p>
      <w:pPr>
        <w:pStyle w:val="nz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nz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nz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nzHeading5"/>
      </w:pPr>
      <w:bookmarkStart w:id="1075" w:name="_Toc530474422"/>
      <w:bookmarkStart w:id="1076" w:name="_Toc530475017"/>
      <w:r>
        <w:t>64.</w:t>
      </w:r>
      <w:r>
        <w:tab/>
        <w:t>Common property (utility and sustainability infrastructure) easement</w:t>
      </w:r>
      <w:bookmarkEnd w:id="1075"/>
      <w:bookmarkEnd w:id="1076"/>
    </w:p>
    <w:p>
      <w:pPr>
        <w:pStyle w:val="nzSubsection"/>
      </w:pPr>
      <w:r>
        <w:tab/>
        <w:t>(1)</w:t>
      </w:r>
      <w:r>
        <w:tab/>
        <w:t>This section applies if —</w:t>
      </w:r>
    </w:p>
    <w:p>
      <w:pPr>
        <w:pStyle w:val="nz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nzIndenta"/>
      </w:pPr>
      <w:r>
        <w:tab/>
        <w:t>(b)</w:t>
      </w:r>
      <w:r>
        <w:tab/>
        <w:t>this section is applied to the infrastructure contract by ordinary resolution of the strata company.</w:t>
      </w:r>
    </w:p>
    <w:p>
      <w:pPr>
        <w:pStyle w:val="nzSubsection"/>
      </w:pPr>
      <w:r>
        <w:tab/>
        <w:t>(2)</w:t>
      </w:r>
      <w:r>
        <w:tab/>
        <w:t>An infrastructure contract must —</w:t>
      </w:r>
    </w:p>
    <w:p>
      <w:pPr>
        <w:pStyle w:val="nzIndenta"/>
      </w:pPr>
      <w:r>
        <w:tab/>
        <w:t>(a)</w:t>
      </w:r>
      <w:r>
        <w:tab/>
        <w:t>specify the common property over which there is an easement under this section; and</w:t>
      </w:r>
    </w:p>
    <w:p>
      <w:pPr>
        <w:pStyle w:val="nzIndenta"/>
      </w:pPr>
      <w:r>
        <w:tab/>
        <w:t>(b)</w:t>
      </w:r>
      <w:r>
        <w:tab/>
        <w:t>specify the infrastructure to which the easement applies.</w:t>
      </w:r>
    </w:p>
    <w:p>
      <w:pPr>
        <w:pStyle w:val="nz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nzIndenta"/>
      </w:pPr>
      <w:r>
        <w:tab/>
        <w:t>(a)</w:t>
      </w:r>
      <w:r>
        <w:tab/>
        <w:t>to install and remove the infrastructure specified in the contract; and</w:t>
      </w:r>
    </w:p>
    <w:p>
      <w:pPr>
        <w:pStyle w:val="nzIndenta"/>
      </w:pPr>
      <w:r>
        <w:tab/>
        <w:t>(b)</w:t>
      </w:r>
      <w:r>
        <w:tab/>
        <w:t>to operate that infrastructure; and</w:t>
      </w:r>
    </w:p>
    <w:p>
      <w:pPr>
        <w:pStyle w:val="nzIndenta"/>
      </w:pPr>
      <w:r>
        <w:tab/>
        <w:t>(c)</w:t>
      </w:r>
      <w:r>
        <w:tab/>
        <w:t>to examine, maintain, repair, modify and replace that infrastructure.</w:t>
      </w:r>
    </w:p>
    <w:p>
      <w:pPr>
        <w:pStyle w:val="nzSubsection"/>
      </w:pPr>
      <w:r>
        <w:tab/>
        <w:t>(4)</w:t>
      </w:r>
      <w:r>
        <w:tab/>
        <w:t>The easement is subject to any conditions set out in the infrastructure contract (as in force from time to time).</w:t>
      </w:r>
    </w:p>
    <w:p>
      <w:pPr>
        <w:pStyle w:val="nzSubsection"/>
      </w:pPr>
      <w:r>
        <w:tab/>
        <w:t>(5)</w:t>
      </w:r>
      <w:r>
        <w:tab/>
        <w:t>The infrastructure contract may be varied by agreement between the strata company and the person who is the infrastructure owner from time to time.</w:t>
      </w:r>
    </w:p>
    <w:p>
      <w:pPr>
        <w:pStyle w:val="nzSubsection"/>
      </w:pPr>
      <w:r>
        <w:tab/>
        <w:t>(6)</w:t>
      </w:r>
      <w:r>
        <w:tab/>
        <w:t>The easement ceases to exist if the infrastructure contract is terminated or otherwise ceases to have effect.</w:t>
      </w:r>
    </w:p>
    <w:p>
      <w:pPr>
        <w:pStyle w:val="nzSubsection"/>
      </w:pPr>
      <w:r>
        <w:tab/>
        <w:t>(7)</w:t>
      </w:r>
      <w:r>
        <w:tab/>
        <w:t>The rights conferred by the easement must be exercised so as to minimise, as far as reasonably practicable, interference with the enjoyment and use of the common property.</w:t>
      </w:r>
    </w:p>
    <w:p>
      <w:pPr>
        <w:pStyle w:val="nzSubsection"/>
      </w:pPr>
      <w:r>
        <w:tab/>
        <w:t>(8)</w:t>
      </w:r>
      <w:r>
        <w:tab/>
        <w:t>The regulations may —</w:t>
      </w:r>
    </w:p>
    <w:p>
      <w:pPr>
        <w:pStyle w:val="nzIndenta"/>
      </w:pPr>
      <w:r>
        <w:tab/>
        <w:t>(a)</w:t>
      </w:r>
      <w:r>
        <w:tab/>
        <w:t>specify special procedures for notice or voting on the resolution required for the application of this section; and</w:t>
      </w:r>
    </w:p>
    <w:p>
      <w:pPr>
        <w:pStyle w:val="nzIndenta"/>
      </w:pPr>
      <w:r>
        <w:tab/>
        <w:t>(b)</w:t>
      </w:r>
      <w:r>
        <w:tab/>
        <w:t>set out terms and conditions that are to be taken to be implied in an infrastructure contract; and</w:t>
      </w:r>
    </w:p>
    <w:p>
      <w:pPr>
        <w:pStyle w:val="nzIndenta"/>
      </w:pPr>
      <w:r>
        <w:tab/>
        <w:t>(c)</w:t>
      </w:r>
      <w:r>
        <w:tab/>
        <w:t>otherwise regulate the rights and obligations of the strata company and the infrastructure owner.</w:t>
      </w:r>
    </w:p>
    <w:p>
      <w:pPr>
        <w:pStyle w:val="nzHeading5"/>
      </w:pPr>
      <w:bookmarkStart w:id="1077" w:name="_Toc530474423"/>
      <w:bookmarkStart w:id="1078" w:name="_Toc530475018"/>
      <w:r>
        <w:t>65.</w:t>
      </w:r>
      <w:r>
        <w:tab/>
        <w:t>Entry under statutory easement</w:t>
      </w:r>
      <w:bookmarkEnd w:id="1077"/>
      <w:bookmarkEnd w:id="1078"/>
    </w:p>
    <w:p>
      <w:pPr>
        <w:pStyle w:val="nzSubsection"/>
      </w:pPr>
      <w:r>
        <w:tab/>
        <w:t>(1)</w:t>
      </w:r>
      <w:r>
        <w:tab/>
        <w:t>A strata company has a right to enter the common property of its strata titles scheme to exercise its rights under a statutory easement without notice to any person.</w:t>
      </w:r>
    </w:p>
    <w:p>
      <w:pPr>
        <w:pStyle w:val="nzSubsection"/>
      </w:pPr>
      <w:r>
        <w:tab/>
        <w:t>(2)</w:t>
      </w:r>
      <w:r>
        <w:tab/>
        <w:t>If a person needs to enter a lot or common property in order to exercise rights under a statutory easement (other than as set out in subsection (1)), the person must give notice —</w:t>
      </w:r>
    </w:p>
    <w:p>
      <w:pPr>
        <w:pStyle w:val="nzIndenta"/>
      </w:pPr>
      <w:r>
        <w:tab/>
        <w:t>(a)</w:t>
      </w:r>
      <w:r>
        <w:tab/>
        <w:t>for entry to a lot — to the occupier of the lot; and</w:t>
      </w:r>
    </w:p>
    <w:p>
      <w:pPr>
        <w:pStyle w:val="nzIndenta"/>
      </w:pPr>
      <w:r>
        <w:tab/>
        <w:t>(b)</w:t>
      </w:r>
      <w:r>
        <w:tab/>
        <w:t>for entry to common property other than special common property — to the strata company for the strata titles scheme; and</w:t>
      </w:r>
    </w:p>
    <w:p>
      <w:pPr>
        <w:pStyle w:val="nz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nzSubsection"/>
      </w:pPr>
      <w:r>
        <w:tab/>
        <w:t>(3)</w:t>
      </w:r>
      <w:r>
        <w:tab/>
        <w:t>Notice is unnecessary—</w:t>
      </w:r>
    </w:p>
    <w:p>
      <w:pPr>
        <w:pStyle w:val="nzIndenta"/>
      </w:pPr>
      <w:r>
        <w:tab/>
        <w:t>(a)</w:t>
      </w:r>
      <w:r>
        <w:tab/>
        <w:t>in an emergency if there is insufficient time to give notice; or</w:t>
      </w:r>
    </w:p>
    <w:p>
      <w:pPr>
        <w:pStyle w:val="nzIndenta"/>
      </w:pPr>
      <w:r>
        <w:tab/>
        <w:t>(b)</w:t>
      </w:r>
      <w:r>
        <w:tab/>
        <w:t>for entry to a lot, if the occupier of the lot dispenses with the requirement for notice; or</w:t>
      </w:r>
    </w:p>
    <w:p>
      <w:pPr>
        <w:pStyle w:val="nzIndenta"/>
      </w:pPr>
      <w:r>
        <w:tab/>
        <w:t>(c)</w:t>
      </w:r>
      <w:r>
        <w:tab/>
        <w:t>for entry to common property other than special common property if —</w:t>
      </w:r>
    </w:p>
    <w:p>
      <w:pPr>
        <w:pStyle w:val="nzIndenti"/>
      </w:pPr>
      <w:r>
        <w:tab/>
        <w:t>(i)</w:t>
      </w:r>
      <w:r>
        <w:tab/>
        <w:t>the person has the right to enter and enters only for the purposes of inspection; or</w:t>
      </w:r>
    </w:p>
    <w:p>
      <w:pPr>
        <w:pStyle w:val="nzIndenti"/>
      </w:pPr>
      <w:r>
        <w:tab/>
        <w:t>(ii)</w:t>
      </w:r>
      <w:r>
        <w:tab/>
        <w:t>the strata company dispenses with the requirement for notice;</w:t>
      </w:r>
    </w:p>
    <w:p>
      <w:pPr>
        <w:pStyle w:val="nzIndenta"/>
      </w:pPr>
      <w:r>
        <w:tab/>
      </w:r>
      <w:r>
        <w:tab/>
        <w:t>or</w:t>
      </w:r>
    </w:p>
    <w:p>
      <w:pPr>
        <w:pStyle w:val="nzIndenta"/>
      </w:pPr>
      <w:r>
        <w:tab/>
        <w:t>(d)</w:t>
      </w:r>
      <w:r>
        <w:tab/>
        <w:t>for entry to special common property — if the requirement for notice is dispensed with by the occupiers of the special lots.</w:t>
      </w:r>
    </w:p>
    <w:p>
      <w:pPr>
        <w:pStyle w:val="nzSubsection"/>
      </w:pPr>
      <w:r>
        <w:tab/>
        <w:t>(4)</w:t>
      </w:r>
      <w:r>
        <w:tab/>
        <w:t>Notice must be given in the approved form.</w:t>
      </w:r>
    </w:p>
    <w:p>
      <w:pPr>
        <w:pStyle w:val="nzSubsection"/>
      </w:pPr>
      <w:r>
        <w:tab/>
        <w:t>(5)</w:t>
      </w:r>
      <w:r>
        <w:tab/>
        <w:t>The length of the notice must be at least —</w:t>
      </w:r>
    </w:p>
    <w:p>
      <w:pPr>
        <w:pStyle w:val="nzIndenta"/>
      </w:pPr>
      <w:r>
        <w:tab/>
        <w:t>(a)</w:t>
      </w:r>
      <w:r>
        <w:tab/>
        <w:t>for entry by a strata company — 7 days unless a shorter period is agreed to by the occupier of the lot; and</w:t>
      </w:r>
    </w:p>
    <w:p>
      <w:pPr>
        <w:pStyle w:val="nzIndenta"/>
      </w:pPr>
      <w:r>
        <w:tab/>
        <w:t>(b)</w:t>
      </w:r>
      <w:r>
        <w:tab/>
        <w:t>in any other case — 28 days unless a shorter period is agreed to by the occupier of the lot or strata company, as the case requires.</w:t>
      </w:r>
    </w:p>
    <w:p>
      <w:pPr>
        <w:pStyle w:val="nz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nz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nzHeading5"/>
      </w:pPr>
      <w:bookmarkStart w:id="1079" w:name="_Toc530474424"/>
      <w:bookmarkStart w:id="1080" w:name="_Toc530475019"/>
      <w:r>
        <w:t>66.</w:t>
      </w:r>
      <w:r>
        <w:tab/>
        <w:t>Rectification of damage</w:t>
      </w:r>
      <w:bookmarkEnd w:id="1079"/>
      <w:bookmarkEnd w:id="1080"/>
    </w:p>
    <w:p>
      <w:pPr>
        <w:pStyle w:val="nzSubsection"/>
      </w:pPr>
      <w:r>
        <w:tab/>
        <w:t>(1)</w:t>
      </w:r>
      <w:r>
        <w:tab/>
        <w:t>Any damage caused to a lot or common property in the course of exercising rights under a statutory easement must be repaired and made good as soon as practicable by the person exercising those rights.</w:t>
      </w:r>
    </w:p>
    <w:p>
      <w:pPr>
        <w:pStyle w:val="nzSubsection"/>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nzPermNoteHeading"/>
      </w:pPr>
      <w:r>
        <w:tab/>
        <w:t>Note for this Division:</w:t>
      </w:r>
    </w:p>
    <w:p>
      <w:pPr>
        <w:pStyle w:val="nzPermNoteText"/>
      </w:pPr>
      <w:r>
        <w:tab/>
      </w:r>
      <w:r>
        <w:tab/>
        <w:t>Schedule 2A sets out an additional statutory easement for single tier strata schemes.</w:t>
      </w:r>
    </w:p>
    <w:p>
      <w:pPr>
        <w:pStyle w:val="nzHeading3"/>
      </w:pPr>
      <w:bookmarkStart w:id="1081" w:name="_Toc517437627"/>
      <w:bookmarkStart w:id="1082" w:name="_Toc517438169"/>
      <w:bookmarkStart w:id="1083" w:name="_Toc517440506"/>
      <w:bookmarkStart w:id="1084" w:name="_Toc517447543"/>
      <w:bookmarkStart w:id="1085" w:name="_Toc517450021"/>
      <w:bookmarkStart w:id="1086" w:name="_Toc517450563"/>
      <w:bookmarkStart w:id="1087" w:name="_Toc517857019"/>
      <w:bookmarkStart w:id="1088" w:name="_Toc518293146"/>
      <w:bookmarkStart w:id="1089" w:name="_Toc522744374"/>
      <w:bookmarkStart w:id="1090" w:name="_Toc522747497"/>
      <w:bookmarkStart w:id="1091" w:name="_Toc529183334"/>
      <w:bookmarkStart w:id="1092" w:name="_Toc529188097"/>
      <w:bookmarkStart w:id="1093" w:name="_Toc529434610"/>
      <w:bookmarkStart w:id="1094" w:name="_Toc529524501"/>
      <w:bookmarkStart w:id="1095" w:name="_Toc530474425"/>
      <w:bookmarkStart w:id="1096" w:name="_Toc530475020"/>
      <w:r>
        <w:t>Division 4 — Rates, taxes and charges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nzHeading2"/>
      </w:pPr>
      <w:bookmarkStart w:id="1097" w:name="_Toc517437628"/>
      <w:bookmarkStart w:id="1098" w:name="_Toc517438170"/>
      <w:bookmarkStart w:id="1099" w:name="_Toc517440507"/>
      <w:bookmarkStart w:id="1100" w:name="_Toc517447544"/>
      <w:bookmarkStart w:id="1101" w:name="_Toc517450022"/>
      <w:bookmarkStart w:id="1102" w:name="_Toc517450564"/>
      <w:bookmarkStart w:id="1103" w:name="_Toc517857020"/>
      <w:bookmarkStart w:id="1104" w:name="_Toc518293147"/>
      <w:bookmarkStart w:id="1105" w:name="_Toc522744375"/>
      <w:bookmarkStart w:id="1106" w:name="_Toc522747498"/>
      <w:bookmarkStart w:id="1107" w:name="_Toc529183335"/>
      <w:bookmarkStart w:id="1108" w:name="_Toc529188098"/>
      <w:bookmarkStart w:id="1109" w:name="_Toc529434611"/>
      <w:bookmarkStart w:id="1110" w:name="_Toc529524502"/>
      <w:bookmarkStart w:id="1111" w:name="_Toc530474426"/>
      <w:bookmarkStart w:id="1112" w:name="_Toc530475021"/>
      <w:r>
        <w:t>Part 6</w:t>
      </w:r>
      <w:r>
        <w:rPr>
          <w:b w:val="0"/>
        </w:rPr>
        <w:t> </w:t>
      </w:r>
      <w:r>
        <w:t>—</w:t>
      </w:r>
      <w:r>
        <w:rPr>
          <w:b w:val="0"/>
        </w:rPr>
        <w:t> </w:t>
      </w:r>
      <w:r>
        <w:t>Scheme developer</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nzHeading5"/>
      </w:pPr>
      <w:bookmarkStart w:id="1113" w:name="_Toc530474427"/>
      <w:bookmarkStart w:id="1114" w:name="_Toc530475022"/>
      <w:r>
        <w:t>77.</w:t>
      </w:r>
      <w:r>
        <w:tab/>
        <w:t>First statutory general meeting</w:t>
      </w:r>
      <w:bookmarkEnd w:id="1113"/>
      <w:bookmarkEnd w:id="1114"/>
    </w:p>
    <w:p>
      <w:pPr>
        <w:pStyle w:val="nz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nzSubsection"/>
      </w:pPr>
      <w:r>
        <w:tab/>
        <w:t>(2)</w:t>
      </w:r>
      <w:r>
        <w:tab/>
        <w:t>The scheme developer must do so even if the scheme developer is no longer a member of the strata company and even if there are no other members of the strata company.</w:t>
      </w:r>
    </w:p>
    <w:p>
      <w:pPr>
        <w:pStyle w:val="nzSubsection"/>
      </w:pPr>
      <w:r>
        <w:tab/>
        <w:t>(3)</w:t>
      </w:r>
      <w:r>
        <w:tab/>
        <w:t>If there is another member of the strata company, a member of the strata company may convene the meeting if the scheme developer fails to do so.</w:t>
      </w:r>
    </w:p>
    <w:p>
      <w:pPr>
        <w:pStyle w:val="nz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nzSubsection"/>
      </w:pPr>
      <w:r>
        <w:tab/>
        <w:t>(5)</w:t>
      </w:r>
      <w:r>
        <w:tab/>
        <w:t>The person who convenes the meeting is to preside at the meeting or nominate someone to preside at the meeting.</w:t>
      </w:r>
    </w:p>
    <w:p>
      <w:pPr>
        <w:pStyle w:val="nzHeading5"/>
      </w:pPr>
      <w:bookmarkStart w:id="1115" w:name="_Toc530474428"/>
      <w:bookmarkStart w:id="1116" w:name="_Toc530475023"/>
      <w:r>
        <w:t>78.</w:t>
      </w:r>
      <w:r>
        <w:tab/>
        <w:t>Key documents</w:t>
      </w:r>
      <w:bookmarkEnd w:id="1115"/>
      <w:bookmarkEnd w:id="1116"/>
    </w:p>
    <w:p>
      <w:pPr>
        <w:pStyle w:val="nzSubsection"/>
        <w:rPr>
          <w:snapToGrid w:val="0"/>
        </w:rPr>
      </w:pPr>
      <w:r>
        <w:tab/>
        <w:t>(1)</w:t>
      </w:r>
      <w:r>
        <w:tab/>
      </w:r>
      <w:r>
        <w:rPr>
          <w:snapToGrid w:val="0"/>
        </w:rPr>
        <w:t>The scheme developer of a subdivision of land by a strata titles scheme must ensure that —</w:t>
      </w:r>
    </w:p>
    <w:p>
      <w:pPr>
        <w:pStyle w:val="nzIndenta"/>
      </w:pPr>
      <w:r>
        <w:tab/>
        <w:t>(a)</w:t>
      </w:r>
      <w:r>
        <w:tab/>
        <w:t>all the key documents for the subdivision that come into the possession or control of the scheme developer are retained; and</w:t>
      </w:r>
    </w:p>
    <w:p>
      <w:pPr>
        <w:pStyle w:val="nzIndenta"/>
      </w:pPr>
      <w:r>
        <w:tab/>
        <w:t>(b)</w:t>
      </w:r>
      <w:r>
        <w:tab/>
        <w:t>all the key documents for the subdivision that the scheme developer possesses or controls are given to the strata company —</w:t>
      </w:r>
    </w:p>
    <w:p>
      <w:pPr>
        <w:pStyle w:val="nzIndenti"/>
        <w:rPr>
          <w:snapToGrid w:val="0"/>
        </w:rPr>
      </w:pPr>
      <w:r>
        <w:rPr>
          <w:snapToGrid w:val="0"/>
        </w:rPr>
        <w:tab/>
        <w:t>(i)</w:t>
      </w:r>
      <w:r>
        <w:rPr>
          <w:snapToGrid w:val="0"/>
        </w:rPr>
        <w:tab/>
        <w:t>at the first general meeting of the strata company following the subdivision; or</w:t>
      </w:r>
    </w:p>
    <w:p>
      <w:pPr>
        <w:pStyle w:val="nz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nz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nzHeading5"/>
      </w:pPr>
      <w:bookmarkStart w:id="1117" w:name="_Toc530474429"/>
      <w:bookmarkStart w:id="1118" w:name="_Toc530475024"/>
      <w:r>
        <w:t>79.</w:t>
      </w:r>
      <w:r>
        <w:tab/>
        <w:t>Disclosure of remuneration and other benefits</w:t>
      </w:r>
      <w:bookmarkEnd w:id="1117"/>
      <w:bookmarkEnd w:id="1118"/>
    </w:p>
    <w:p>
      <w:pPr>
        <w:pStyle w:val="nzSubsection"/>
        <w:rPr>
          <w:snapToGrid w:val="0"/>
        </w:rPr>
      </w:pPr>
      <w:r>
        <w:rPr>
          <w:snapToGrid w:val="0"/>
        </w:rPr>
        <w:tab/>
        <w:t>(1)</w:t>
      </w:r>
      <w:r>
        <w:rPr>
          <w:snapToGrid w:val="0"/>
        </w:rPr>
        <w:tab/>
        <w:t>This section applies to the following —</w:t>
      </w:r>
    </w:p>
    <w:p>
      <w:pPr>
        <w:pStyle w:val="nzIndenta"/>
      </w:pPr>
      <w:r>
        <w:tab/>
        <w:t>(a)</w:t>
      </w:r>
      <w:r>
        <w:tab/>
        <w:t>a contract for the provision of services or amenities to the strata company or to members of the strata company entered into or arranged by a scheme developer for the subdivision or by the strata company;</w:t>
      </w:r>
    </w:p>
    <w:p>
      <w:pPr>
        <w:pStyle w:val="nzIndenta"/>
      </w:pPr>
      <w:r>
        <w:tab/>
        <w:t>(b)</w:t>
      </w:r>
      <w:r>
        <w:tab/>
        <w:t>any other contract that binds the strata company;</w:t>
      </w:r>
    </w:p>
    <w:p>
      <w:pPr>
        <w:pStyle w:val="nzIndenta"/>
      </w:pPr>
      <w:r>
        <w:tab/>
        <w:t>(c)</w:t>
      </w:r>
      <w:r>
        <w:tab/>
        <w:t>a lease or licence of the common property of the strata titles scheme.</w:t>
      </w:r>
    </w:p>
    <w:p>
      <w:pPr>
        <w:pStyle w:val="nz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nz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nzIndenta"/>
      </w:pPr>
      <w:r>
        <w:tab/>
        <w:t>(b)</w:t>
      </w:r>
      <w:r>
        <w:tab/>
        <w:t>details of any other direct or indirect pecuniary interest that the scheme developer or an associate of the scheme developer has in the contract, lease or licence, other than as a member of the strata company.</w:t>
      </w:r>
    </w:p>
    <w:p>
      <w:pPr>
        <w:pStyle w:val="nzSubsection"/>
      </w:pPr>
      <w:r>
        <w:tab/>
        <w:t>(3)</w:t>
      </w:r>
      <w:r>
        <w:tab/>
        <w:t>The disclosure —</w:t>
      </w:r>
    </w:p>
    <w:p>
      <w:pPr>
        <w:pStyle w:val="nzIndenta"/>
      </w:pPr>
      <w:r>
        <w:tab/>
        <w:t>(a)</w:t>
      </w:r>
      <w:r>
        <w:tab/>
        <w:t>must be made as soon as reasonably practicable after the scheme developer becomes aware of the facts giving rise to the requirement to disclose; and</w:t>
      </w:r>
    </w:p>
    <w:p>
      <w:pPr>
        <w:pStyle w:val="nzIndenta"/>
      </w:pPr>
      <w:r>
        <w:tab/>
        <w:t>(b)</w:t>
      </w:r>
      <w:r>
        <w:tab/>
        <w:t>must include information as to the value of the remuneration or other benefit.</w:t>
      </w:r>
    </w:p>
    <w:p>
      <w:pPr>
        <w:pStyle w:val="nzHeading5"/>
      </w:pPr>
      <w:bookmarkStart w:id="1119" w:name="_Toc530474430"/>
      <w:bookmarkStart w:id="1120" w:name="_Toc530475025"/>
      <w:r>
        <w:t>80.</w:t>
      </w:r>
      <w:r>
        <w:tab/>
        <w:t>Defects in scheme buildings or infrastructure</w:t>
      </w:r>
      <w:bookmarkEnd w:id="1119"/>
      <w:bookmarkEnd w:id="1120"/>
    </w:p>
    <w:p>
      <w:pPr>
        <w:pStyle w:val="nzSubsection"/>
      </w:pPr>
      <w:r>
        <w:tab/>
        <w:t>(1)</w:t>
      </w:r>
      <w:r>
        <w:tab/>
        <w:t>On establishment of a strata company for a strata scheme, the strata company is subrogated to all the rights and remedies of the scheme developer in respect of —</w:t>
      </w:r>
    </w:p>
    <w:p>
      <w:pPr>
        <w:pStyle w:val="nzIndenta"/>
      </w:pPr>
      <w:r>
        <w:tab/>
        <w:t>(a)</w:t>
      </w:r>
      <w:r>
        <w:tab/>
        <w:t>in a strata scheme — each scheme building; and</w:t>
      </w:r>
    </w:p>
    <w:p>
      <w:pPr>
        <w:pStyle w:val="nzIndenta"/>
      </w:pPr>
      <w:r>
        <w:tab/>
        <w:t>(b)</w:t>
      </w:r>
      <w:r>
        <w:tab/>
        <w:t>in a strata scheme or survey</w:t>
      </w:r>
      <w:r>
        <w:noBreakHyphen/>
        <w:t>strata scheme — infrastructure comprising common property of the scheme.</w:t>
      </w:r>
    </w:p>
    <w:p>
      <w:pPr>
        <w:pStyle w:val="nz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nzIndenta"/>
      </w:pPr>
      <w:r>
        <w:tab/>
        <w:t>(a)</w:t>
      </w:r>
      <w:r>
        <w:tab/>
        <w:t>the scheme developer of a subdivision of land by the strata titles scheme in which the building was constructed or modified; or</w:t>
      </w:r>
    </w:p>
    <w:p>
      <w:pPr>
        <w:pStyle w:val="nzIndenta"/>
      </w:pPr>
      <w:r>
        <w:tab/>
        <w:t>(b)</w:t>
      </w:r>
      <w:r>
        <w:tab/>
        <w:t>an associate of such a person.</w:t>
      </w:r>
    </w:p>
    <w:p>
      <w:pPr>
        <w:pStyle w:val="nz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nzHeading5"/>
      </w:pPr>
      <w:bookmarkStart w:id="1121" w:name="_Toc530474431"/>
      <w:bookmarkStart w:id="1122" w:name="_Toc530475026"/>
      <w:r>
        <w:t>81.</w:t>
      </w:r>
      <w:r>
        <w:tab/>
        <w:t>Contracting out prohibited</w:t>
      </w:r>
      <w:bookmarkEnd w:id="1121"/>
      <w:bookmarkEnd w:id="1122"/>
    </w:p>
    <w:p>
      <w:pPr>
        <w:pStyle w:val="nzSubsection"/>
        <w:rPr>
          <w:snapToGrid w:val="0"/>
        </w:rPr>
      </w:pPr>
      <w:r>
        <w:tab/>
        <w:t>(1)</w:t>
      </w:r>
      <w:r>
        <w:tab/>
      </w:r>
      <w:r>
        <w:rPr>
          <w:snapToGrid w:val="0"/>
        </w:rPr>
        <w:t>A contract or any other agreement or arrangement is of no effect to the extent that it purports to exclude or restrict the operation of this Part.</w:t>
      </w:r>
    </w:p>
    <w:p>
      <w:pPr>
        <w:pStyle w:val="nzSubsection"/>
        <w:rPr>
          <w:snapToGrid w:val="0"/>
        </w:rPr>
      </w:pPr>
      <w:r>
        <w:rPr>
          <w:snapToGrid w:val="0"/>
        </w:rPr>
        <w:tab/>
        <w:t>(2)</w:t>
      </w:r>
      <w:r>
        <w:rPr>
          <w:snapToGrid w:val="0"/>
        </w:rPr>
        <w:tab/>
        <w:t>A purported waiver of a right, remedy or benefit conferred on a person under this Part is of no effect.</w:t>
      </w:r>
    </w:p>
    <w:p>
      <w:pPr>
        <w:pStyle w:val="nzHeading2"/>
      </w:pPr>
      <w:bookmarkStart w:id="1123" w:name="_Toc517437634"/>
      <w:bookmarkStart w:id="1124" w:name="_Toc517438176"/>
      <w:bookmarkStart w:id="1125" w:name="_Toc517440513"/>
      <w:bookmarkStart w:id="1126" w:name="_Toc517447550"/>
      <w:bookmarkStart w:id="1127" w:name="_Toc517450028"/>
      <w:bookmarkStart w:id="1128" w:name="_Toc517450570"/>
      <w:bookmarkStart w:id="1129" w:name="_Toc517857026"/>
      <w:bookmarkStart w:id="1130" w:name="_Toc518293153"/>
      <w:bookmarkStart w:id="1131" w:name="_Toc522744381"/>
      <w:bookmarkStart w:id="1132" w:name="_Toc522747504"/>
      <w:bookmarkStart w:id="1133" w:name="_Toc529183341"/>
      <w:bookmarkStart w:id="1134" w:name="_Toc529188104"/>
      <w:bookmarkStart w:id="1135" w:name="_Toc529434617"/>
      <w:bookmarkStart w:id="1136" w:name="_Toc529524508"/>
      <w:bookmarkStart w:id="1137" w:name="_Toc530474432"/>
      <w:bookmarkStart w:id="1138" w:name="_Toc530475027"/>
      <w:r>
        <w:t>Part 7</w:t>
      </w:r>
      <w:r>
        <w:rPr>
          <w:b w:val="0"/>
        </w:rPr>
        <w:t> </w:t>
      </w:r>
      <w:r>
        <w:t>—</w:t>
      </w:r>
      <w:r>
        <w:rPr>
          <w:b w:val="0"/>
        </w:rPr>
        <w:t> </w:t>
      </w:r>
      <w:r>
        <w:t>Lot owners and occupiers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nzHeading3"/>
      </w:pPr>
      <w:bookmarkStart w:id="1139" w:name="_Toc517437635"/>
      <w:bookmarkStart w:id="1140" w:name="_Toc517438177"/>
      <w:bookmarkStart w:id="1141" w:name="_Toc517440514"/>
      <w:bookmarkStart w:id="1142" w:name="_Toc517447551"/>
      <w:bookmarkStart w:id="1143" w:name="_Toc517450029"/>
      <w:bookmarkStart w:id="1144" w:name="_Toc517450571"/>
      <w:bookmarkStart w:id="1145" w:name="_Toc517857027"/>
      <w:bookmarkStart w:id="1146" w:name="_Toc518293154"/>
      <w:bookmarkStart w:id="1147" w:name="_Toc522744382"/>
      <w:bookmarkStart w:id="1148" w:name="_Toc522747505"/>
      <w:bookmarkStart w:id="1149" w:name="_Toc529183342"/>
      <w:bookmarkStart w:id="1150" w:name="_Toc529188105"/>
      <w:bookmarkStart w:id="1151" w:name="_Toc529434618"/>
      <w:bookmarkStart w:id="1152" w:name="_Toc529524509"/>
      <w:bookmarkStart w:id="1153" w:name="_Toc530474433"/>
      <w:bookmarkStart w:id="1154" w:name="_Toc530475028"/>
      <w:r>
        <w:t>Division 1 — General</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zHeading5"/>
      </w:pPr>
      <w:bookmarkStart w:id="1155" w:name="_Toc530474434"/>
      <w:bookmarkStart w:id="1156" w:name="_Toc530475029"/>
      <w:r>
        <w:t>82.</w:t>
      </w:r>
      <w:r>
        <w:tab/>
        <w:t>Offence to contravene restricted use condition</w:t>
      </w:r>
      <w:bookmarkEnd w:id="1155"/>
      <w:bookmarkEnd w:id="1156"/>
    </w:p>
    <w:p>
      <w:pPr>
        <w:pStyle w:val="nz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nzPenstart"/>
        <w:rPr>
          <w:snapToGrid w:val="0"/>
        </w:rPr>
      </w:pPr>
      <w:r>
        <w:rPr>
          <w:snapToGrid w:val="0"/>
        </w:rPr>
        <w:tab/>
        <w:t>Penalty for this subsection:</w:t>
      </w:r>
    </w:p>
    <w:p>
      <w:pPr>
        <w:pStyle w:val="nzPenpara"/>
        <w:rPr>
          <w:snapToGrid w:val="0"/>
        </w:rPr>
      </w:pPr>
      <w:r>
        <w:rPr>
          <w:snapToGrid w:val="0"/>
        </w:rPr>
        <w:tab/>
        <w:t>(a)</w:t>
      </w:r>
      <w:r>
        <w:rPr>
          <w:snapToGrid w:val="0"/>
        </w:rPr>
        <w:tab/>
        <w:t>a fine of $10 000;</w:t>
      </w:r>
    </w:p>
    <w:p>
      <w:pPr>
        <w:pStyle w:val="nzPenpara"/>
        <w:rPr>
          <w:snapToGrid w:val="0"/>
        </w:rPr>
      </w:pPr>
      <w:r>
        <w:rPr>
          <w:snapToGrid w:val="0"/>
        </w:rPr>
        <w:tab/>
        <w:t>(b)</w:t>
      </w:r>
      <w:r>
        <w:rPr>
          <w:snapToGrid w:val="0"/>
        </w:rPr>
        <w:tab/>
        <w:t>a daily penalty of a fine of $1 000 for each day or part of a day during which the offence continues.</w:t>
      </w:r>
    </w:p>
    <w:p>
      <w:pPr>
        <w:pStyle w:val="nzHeading5"/>
      </w:pPr>
      <w:bookmarkStart w:id="1157" w:name="_Toc530474435"/>
      <w:bookmarkStart w:id="1158" w:name="_Toc530475030"/>
      <w:r>
        <w:t>83.</w:t>
      </w:r>
      <w:r>
        <w:tab/>
        <w:t>Use and enjoyment</w:t>
      </w:r>
      <w:bookmarkEnd w:id="1157"/>
      <w:bookmarkEnd w:id="1158"/>
    </w:p>
    <w:p>
      <w:pPr>
        <w:pStyle w:val="nz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nzHeading5"/>
        <w:rPr>
          <w:snapToGrid w:val="0"/>
        </w:rPr>
      </w:pPr>
      <w:bookmarkStart w:id="1159" w:name="_Toc530474436"/>
      <w:bookmarkStart w:id="1160" w:name="_Toc530475031"/>
      <w:r>
        <w:t>85.</w:t>
      </w:r>
      <w:r>
        <w:tab/>
        <w:t>Person to act for lot owner in certain circumstances</w:t>
      </w:r>
      <w:bookmarkEnd w:id="1159"/>
      <w:bookmarkEnd w:id="1160"/>
    </w:p>
    <w:p>
      <w:pPr>
        <w:pStyle w:val="nzSubsection"/>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nzSubsection"/>
      </w:pPr>
      <w:r>
        <w:tab/>
        <w:t>(2)</w:t>
      </w:r>
      <w:r>
        <w:tab/>
        <w:t>The Tribunal may, on an application under this section, by order —</w:t>
      </w:r>
    </w:p>
    <w:p>
      <w:pPr>
        <w:pStyle w:val="nzIndenta"/>
      </w:pPr>
      <w:r>
        <w:tab/>
        <w:t>(a)</w:t>
      </w:r>
      <w:r>
        <w:tab/>
        <w:t>dispense with the requirement for the owner to vote or consent on a particular matter; or</w:t>
      </w:r>
    </w:p>
    <w:p>
      <w:pPr>
        <w:pStyle w:val="nz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nzHeading3"/>
      </w:pPr>
      <w:bookmarkStart w:id="1161" w:name="_Toc517437639"/>
      <w:bookmarkStart w:id="1162" w:name="_Toc517438181"/>
      <w:bookmarkStart w:id="1163" w:name="_Toc517440518"/>
      <w:bookmarkStart w:id="1164" w:name="_Toc517447555"/>
      <w:bookmarkStart w:id="1165" w:name="_Toc517450033"/>
      <w:bookmarkStart w:id="1166" w:name="_Toc517450575"/>
      <w:bookmarkStart w:id="1167" w:name="_Toc517857031"/>
      <w:bookmarkStart w:id="1168" w:name="_Toc518293158"/>
      <w:bookmarkStart w:id="1169" w:name="_Toc522744386"/>
      <w:bookmarkStart w:id="1170" w:name="_Toc522747509"/>
      <w:bookmarkStart w:id="1171" w:name="_Toc529183346"/>
      <w:bookmarkStart w:id="1172" w:name="_Toc529188109"/>
      <w:bookmarkStart w:id="1173" w:name="_Toc529434622"/>
      <w:bookmarkStart w:id="1174" w:name="_Toc529524513"/>
      <w:bookmarkStart w:id="1175" w:name="_Toc530474437"/>
      <w:bookmarkStart w:id="1176" w:name="_Toc530475032"/>
      <w:r>
        <w:t>Division 2 — Structural alteration of lots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zPermNoteHeading"/>
      </w:pPr>
      <w:r>
        <w:tab/>
        <w:t>Note for this Division:</w:t>
      </w:r>
    </w:p>
    <w:p>
      <w:pPr>
        <w:pStyle w:val="nzPermNoteText"/>
      </w:pPr>
      <w:r>
        <w:tab/>
      </w:r>
      <w:r>
        <w:tab/>
        <w:t>This Division does not derogate from the requirement for subdivision approval if the definition of a lot is modified.</w:t>
      </w:r>
    </w:p>
    <w:p>
      <w:pPr>
        <w:pStyle w:val="nzHeading5"/>
        <w:rPr>
          <w:snapToGrid w:val="0"/>
        </w:rPr>
      </w:pPr>
      <w:bookmarkStart w:id="1177" w:name="_Toc530474438"/>
      <w:bookmarkStart w:id="1178" w:name="_Toc530475033"/>
      <w:r>
        <w:t>86.</w:t>
      </w:r>
      <w:r>
        <w:tab/>
        <w:t>Terms used in this Division</w:t>
      </w:r>
      <w:bookmarkEnd w:id="1177"/>
      <w:bookmarkEnd w:id="1178"/>
    </w:p>
    <w:p>
      <w:pPr>
        <w:pStyle w:val="nzSubsection"/>
        <w:rPr>
          <w:snapToGrid w:val="0"/>
        </w:rPr>
      </w:pPr>
      <w:r>
        <w:rPr>
          <w:snapToGrid w:val="0"/>
        </w:rPr>
        <w:tab/>
      </w:r>
      <w:r>
        <w:rPr>
          <w:snapToGrid w:val="0"/>
        </w:rPr>
        <w:tab/>
        <w:t xml:space="preserve">In </w:t>
      </w:r>
      <w:r>
        <w:t>this</w:t>
      </w:r>
      <w:r>
        <w:rPr>
          <w:snapToGrid w:val="0"/>
        </w:rPr>
        <w:t xml:space="preserve"> Division —</w:t>
      </w:r>
    </w:p>
    <w:p>
      <w:pPr>
        <w:pStyle w:val="nzDefstart"/>
      </w:pPr>
      <w:r>
        <w:tab/>
      </w:r>
      <w:r>
        <w:rPr>
          <w:rStyle w:val="CharDefText"/>
        </w:rPr>
        <w:t>structural alteration of a lot</w:t>
      </w:r>
      <w:r>
        <w:t xml:space="preserve"> means —</w:t>
      </w:r>
    </w:p>
    <w:p>
      <w:pPr>
        <w:pStyle w:val="nzDefpara"/>
      </w:pPr>
      <w:r>
        <w:tab/>
        <w:t>(a)</w:t>
      </w:r>
      <w:r>
        <w:tab/>
        <w:t>the erection of a structure within the lot; or</w:t>
      </w:r>
    </w:p>
    <w:p>
      <w:pPr>
        <w:pStyle w:val="nzDefpara"/>
      </w:pPr>
      <w:r>
        <w:tab/>
        <w:t>(b)</w:t>
      </w:r>
      <w:r>
        <w:tab/>
        <w:t>an alteration of a structural kind to, or extension of, a structure within the lot;</w:t>
      </w:r>
    </w:p>
    <w:p>
      <w:pPr>
        <w:pStyle w:val="nzDefstart"/>
      </w:pPr>
      <w:r>
        <w:tab/>
      </w:r>
      <w:r>
        <w:rPr>
          <w:rStyle w:val="CharDefText"/>
        </w:rPr>
        <w:t>structure</w:t>
      </w:r>
      <w:r>
        <w:t xml:space="preserve"> includes anything classified as a structure by the regulations.</w:t>
      </w:r>
    </w:p>
    <w:p>
      <w:pPr>
        <w:pStyle w:val="nzHeading5"/>
        <w:rPr>
          <w:snapToGrid w:val="0"/>
        </w:rPr>
      </w:pPr>
      <w:bookmarkStart w:id="1179" w:name="_Toc530474439"/>
      <w:bookmarkStart w:id="1180" w:name="_Toc530475034"/>
      <w:r>
        <w:t>88</w:t>
      </w:r>
      <w:r>
        <w:rPr>
          <w:snapToGrid w:val="0"/>
        </w:rPr>
        <w:t>.</w:t>
      </w:r>
      <w:r>
        <w:rPr>
          <w:snapToGrid w:val="0"/>
        </w:rPr>
        <w:tab/>
        <w:t>Structural alteration of lot in survey</w:t>
      </w:r>
      <w:r>
        <w:rPr>
          <w:snapToGrid w:val="0"/>
        </w:rPr>
        <w:noBreakHyphen/>
        <w:t>strata scheme</w:t>
      </w:r>
      <w:bookmarkEnd w:id="1179"/>
      <w:bookmarkEnd w:id="1180"/>
    </w:p>
    <w:p>
      <w:pPr>
        <w:pStyle w:val="nz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nzIndenta"/>
      </w:pPr>
      <w:r>
        <w:tab/>
        <w:t>(a)</w:t>
      </w:r>
      <w:r>
        <w:tab/>
        <w:t>the owner of the other lot; and</w:t>
      </w:r>
    </w:p>
    <w:p>
      <w:pPr>
        <w:pStyle w:val="nzIndenta"/>
      </w:pPr>
      <w:r>
        <w:tab/>
        <w:t>(b)</w:t>
      </w:r>
      <w:r>
        <w:tab/>
        <w:t>for a leasehold scheme, the owner of the leasehold scheme.</w:t>
      </w:r>
    </w:p>
    <w:p>
      <w:pPr>
        <w:pStyle w:val="nz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nzIndenta"/>
      </w:pPr>
      <w:r>
        <w:tab/>
        <w:t>(a)</w:t>
      </w:r>
      <w:r>
        <w:tab/>
        <w:t>the prior approval of the strata company, expressed by resolution without dissent; and</w:t>
      </w:r>
    </w:p>
    <w:p>
      <w:pPr>
        <w:pStyle w:val="nzIndenta"/>
      </w:pPr>
      <w:r>
        <w:tab/>
        <w:t>(b)</w:t>
      </w:r>
      <w:r>
        <w:tab/>
        <w:t>for a leasehold scheme, the prior written approval of the owner of the leasehold scheme.</w:t>
      </w:r>
    </w:p>
    <w:p>
      <w:pPr>
        <w:pStyle w:val="nzHeading5"/>
      </w:pPr>
      <w:bookmarkStart w:id="1181" w:name="_Toc530474440"/>
      <w:bookmarkStart w:id="1182" w:name="_Toc530475035"/>
      <w:r>
        <w:t>90.</w:t>
      </w:r>
      <w:r>
        <w:tab/>
        <w:t>Order dispensing with approval for structural alteration of lot</w:t>
      </w:r>
      <w:bookmarkEnd w:id="1181"/>
      <w:bookmarkEnd w:id="1182"/>
    </w:p>
    <w:p>
      <w:pPr>
        <w:pStyle w:val="nz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nzSubsection"/>
        <w:rPr>
          <w:snapToGrid w:val="0"/>
        </w:rPr>
      </w:pPr>
      <w:r>
        <w:rPr>
          <w:snapToGrid w:val="0"/>
        </w:rPr>
        <w:tab/>
        <w:t>(2)</w:t>
      </w:r>
      <w:r>
        <w:rPr>
          <w:snapToGrid w:val="0"/>
        </w:rPr>
        <w:tab/>
        <w:t>An order may be made under this section —</w:t>
      </w:r>
    </w:p>
    <w:p>
      <w:pPr>
        <w:pStyle w:val="nzIndenta"/>
      </w:pPr>
      <w:r>
        <w:tab/>
        <w:t>(a)</w:t>
      </w:r>
      <w:r>
        <w:tab/>
        <w:t>whether or not the necessary approval for the alteration has been sought; and</w:t>
      </w:r>
    </w:p>
    <w:p>
      <w:pPr>
        <w:pStyle w:val="nzIndenta"/>
      </w:pPr>
      <w:r>
        <w:tab/>
        <w:t>(b)</w:t>
      </w:r>
      <w:r>
        <w:tab/>
        <w:t>even if there has been a valid refusal to give the necessary approval.</w:t>
      </w:r>
    </w:p>
    <w:p>
      <w:pPr>
        <w:pStyle w:val="nzSubsection"/>
        <w:rPr>
          <w:snapToGrid w:val="0"/>
        </w:rPr>
      </w:pPr>
      <w:r>
        <w:rPr>
          <w:snapToGrid w:val="0"/>
        </w:rPr>
        <w:tab/>
        <w:t>(3)</w:t>
      </w:r>
      <w:r>
        <w:rPr>
          <w:snapToGrid w:val="0"/>
        </w:rPr>
        <w:tab/>
        <w:t>An order can only be made under this section if the Tribunal is satisfied —</w:t>
      </w:r>
    </w:p>
    <w:p>
      <w:pPr>
        <w:pStyle w:val="nz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nzIndenta"/>
      </w:pPr>
      <w:r>
        <w:tab/>
        <w:t>(b)</w:t>
      </w:r>
      <w:r>
        <w:tab/>
        <w:t>to the extent that the structural alteration has already been carried out, it will not cause any significant inconvenience or detriment to the owners of other lots.</w:t>
      </w:r>
    </w:p>
    <w:p>
      <w:pPr>
        <w:pStyle w:val="nzHeading2"/>
      </w:pPr>
      <w:bookmarkStart w:id="1183" w:name="_Toc517437643"/>
      <w:bookmarkStart w:id="1184" w:name="_Toc517438185"/>
      <w:bookmarkStart w:id="1185" w:name="_Toc517440522"/>
      <w:bookmarkStart w:id="1186" w:name="_Toc517447559"/>
      <w:bookmarkStart w:id="1187" w:name="_Toc517450037"/>
      <w:bookmarkStart w:id="1188" w:name="_Toc517450579"/>
      <w:bookmarkStart w:id="1189" w:name="_Toc517857035"/>
      <w:bookmarkStart w:id="1190" w:name="_Toc518293162"/>
      <w:bookmarkStart w:id="1191" w:name="_Toc522744390"/>
      <w:bookmarkStart w:id="1192" w:name="_Toc522747513"/>
      <w:bookmarkStart w:id="1193" w:name="_Toc529183350"/>
      <w:bookmarkStart w:id="1194" w:name="_Toc529188113"/>
      <w:bookmarkStart w:id="1195" w:name="_Toc529434626"/>
      <w:bookmarkStart w:id="1196" w:name="_Toc529524517"/>
      <w:bookmarkStart w:id="1197" w:name="_Toc530474441"/>
      <w:bookmarkStart w:id="1198" w:name="_Toc530475036"/>
      <w:r>
        <w:t>Part 8</w:t>
      </w:r>
      <w:r>
        <w:rPr>
          <w:b w:val="0"/>
        </w:rPr>
        <w:t> </w:t>
      </w:r>
      <w:r>
        <w:t>—</w:t>
      </w:r>
      <w:r>
        <w:rPr>
          <w:b w:val="0"/>
        </w:rPr>
        <w:t> </w:t>
      </w:r>
      <w:r>
        <w:t>Strata company</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nzHeading3"/>
      </w:pPr>
      <w:bookmarkStart w:id="1199" w:name="_Toc517437644"/>
      <w:bookmarkStart w:id="1200" w:name="_Toc517438186"/>
      <w:bookmarkStart w:id="1201" w:name="_Toc517440523"/>
      <w:bookmarkStart w:id="1202" w:name="_Toc517447560"/>
      <w:bookmarkStart w:id="1203" w:name="_Toc517450038"/>
      <w:bookmarkStart w:id="1204" w:name="_Toc517450580"/>
      <w:bookmarkStart w:id="1205" w:name="_Toc517857036"/>
      <w:bookmarkStart w:id="1206" w:name="_Toc518293163"/>
      <w:bookmarkStart w:id="1207" w:name="_Toc522744391"/>
      <w:bookmarkStart w:id="1208" w:name="_Toc522747514"/>
      <w:bookmarkStart w:id="1209" w:name="_Toc529183351"/>
      <w:bookmarkStart w:id="1210" w:name="_Toc529188114"/>
      <w:bookmarkStart w:id="1211" w:name="_Toc529434627"/>
      <w:bookmarkStart w:id="1212" w:name="_Toc529524518"/>
      <w:bookmarkStart w:id="1213" w:name="_Toc530474442"/>
      <w:bookmarkStart w:id="1214" w:name="_Toc530475037"/>
      <w:r>
        <w:t>Division 1 — Functions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zHeading4"/>
      </w:pPr>
      <w:bookmarkStart w:id="1215" w:name="_Toc517437645"/>
      <w:bookmarkStart w:id="1216" w:name="_Toc517438187"/>
      <w:bookmarkStart w:id="1217" w:name="_Toc517440524"/>
      <w:bookmarkStart w:id="1218" w:name="_Toc517447561"/>
      <w:bookmarkStart w:id="1219" w:name="_Toc517450039"/>
      <w:bookmarkStart w:id="1220" w:name="_Toc517450581"/>
      <w:bookmarkStart w:id="1221" w:name="_Toc517857037"/>
      <w:bookmarkStart w:id="1222" w:name="_Toc518293164"/>
      <w:bookmarkStart w:id="1223" w:name="_Toc522744392"/>
      <w:bookmarkStart w:id="1224" w:name="_Toc522747515"/>
      <w:bookmarkStart w:id="1225" w:name="_Toc529183352"/>
      <w:bookmarkStart w:id="1226" w:name="_Toc529188115"/>
      <w:bookmarkStart w:id="1227" w:name="_Toc529434628"/>
      <w:bookmarkStart w:id="1228" w:name="_Toc529524519"/>
      <w:bookmarkStart w:id="1229" w:name="_Toc530474443"/>
      <w:bookmarkStart w:id="1230" w:name="_Toc530475038"/>
      <w:r>
        <w:t>Subdivision 1 —</w:t>
      </w:r>
      <w:r>
        <w:rPr>
          <w:snapToGrid w:val="0"/>
        </w:rPr>
        <w:t> Property</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zHeading5"/>
        <w:rPr>
          <w:snapToGrid w:val="0"/>
        </w:rPr>
      </w:pPr>
      <w:bookmarkStart w:id="1231" w:name="_Toc530474444"/>
      <w:bookmarkStart w:id="1232" w:name="_Toc530475039"/>
      <w:r>
        <w:t>92.</w:t>
      </w:r>
      <w:r>
        <w:rPr>
          <w:snapToGrid w:val="0"/>
        </w:rPr>
        <w:tab/>
        <w:t>Temporary common property</w:t>
      </w:r>
      <w:bookmarkEnd w:id="1231"/>
      <w:bookmarkEnd w:id="1232"/>
    </w:p>
    <w:p>
      <w:pPr>
        <w:pStyle w:val="nzSubsection"/>
        <w:rPr>
          <w:snapToGrid w:val="0"/>
        </w:rPr>
      </w:pPr>
      <w:r>
        <w:rPr>
          <w:snapToGrid w:val="0"/>
        </w:rPr>
        <w:tab/>
        <w:t>(1)</w:t>
      </w:r>
      <w:r>
        <w:rPr>
          <w:snapToGrid w:val="0"/>
        </w:rPr>
        <w:tab/>
        <w:t>A strata company may, by resolution without dissent, for the purpose of creating temporary common property —</w:t>
      </w:r>
    </w:p>
    <w:p>
      <w:pPr>
        <w:pStyle w:val="nzIndenta"/>
      </w:pPr>
      <w:r>
        <w:tab/>
        <w:t>(a)</w:t>
      </w:r>
      <w:r>
        <w:tab/>
        <w:t>for a freehold scheme — accept a lease of a lot in the scheme or of land that is contiguous to the parcel or separated only by a road, railway or waterway; and</w:t>
      </w:r>
    </w:p>
    <w:p>
      <w:pPr>
        <w:pStyle w:val="nzIndenta"/>
      </w:pPr>
      <w:r>
        <w:tab/>
        <w:t>(b)</w:t>
      </w:r>
      <w:r>
        <w:tab/>
        <w:t>for a leasehold scheme — accept a lease (that expires on or before the expiry day for the scheme) of a lot in the scheme or of land that is contiguous to the parcel or separated only by a road, railway or waterway.</w:t>
      </w:r>
    </w:p>
    <w:p>
      <w:pPr>
        <w:pStyle w:val="nzSubsection"/>
        <w:rPr>
          <w:snapToGrid w:val="0"/>
        </w:rPr>
      </w:pPr>
      <w:r>
        <w:rPr>
          <w:snapToGrid w:val="0"/>
        </w:rPr>
        <w:tab/>
        <w:t>(2)</w:t>
      </w:r>
      <w:r>
        <w:rPr>
          <w:snapToGrid w:val="0"/>
        </w:rPr>
        <w:tab/>
        <w:t>Except as provided in the regulations, the land that is leased must not be subject to a designated interest.</w:t>
      </w:r>
    </w:p>
    <w:p>
      <w:pPr>
        <w:pStyle w:val="nz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nzSubsection"/>
        <w:rPr>
          <w:snapToGrid w:val="0"/>
        </w:rPr>
      </w:pPr>
      <w:r>
        <w:rPr>
          <w:snapToGrid w:val="0"/>
        </w:rPr>
        <w:tab/>
        <w:t>(4)</w:t>
      </w:r>
      <w:r>
        <w:rPr>
          <w:snapToGrid w:val="0"/>
        </w:rPr>
        <w:tab/>
        <w:t>If a resolution is passed under this section, the strata company may enter into the necessary transaction in its own name.</w:t>
      </w:r>
    </w:p>
    <w:p>
      <w:pPr>
        <w:pStyle w:val="nzHeading5"/>
      </w:pPr>
      <w:bookmarkStart w:id="1233" w:name="_Toc530474445"/>
      <w:bookmarkStart w:id="1234" w:name="_Toc530475040"/>
      <w:r>
        <w:t>93.</w:t>
      </w:r>
      <w:r>
        <w:tab/>
        <w:t>Transactions affecting common property or parcel</w:t>
      </w:r>
      <w:bookmarkEnd w:id="1233"/>
      <w:bookmarkEnd w:id="1234"/>
    </w:p>
    <w:p>
      <w:pPr>
        <w:pStyle w:val="nz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nzIndenta"/>
      </w:pPr>
      <w:r>
        <w:tab/>
        <w:t>(a)</w:t>
      </w:r>
      <w:r>
        <w:tab/>
        <w:t>for a freehold scheme — it were the owner of an estate in fee simple in the land; or</w:t>
      </w:r>
    </w:p>
    <w:p>
      <w:pPr>
        <w:pStyle w:val="nzIndenta"/>
      </w:pPr>
      <w:r>
        <w:tab/>
        <w:t>(b)</w:t>
      </w:r>
      <w:r>
        <w:tab/>
        <w:t>for a leasehold scheme — it were the owner of a leasehold estate in the land under a registered lease that expires on the expiry day for the scheme.</w:t>
      </w:r>
    </w:p>
    <w:p>
      <w:pPr>
        <w:pStyle w:val="nzSubsection"/>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nzIndenta"/>
        <w:rPr>
          <w:snapToGrid w:val="0"/>
        </w:rPr>
      </w:pPr>
      <w:r>
        <w:tab/>
        <w:t>(a)</w:t>
      </w:r>
      <w:r>
        <w:tab/>
      </w:r>
      <w:r>
        <w:rPr>
          <w:snapToGrid w:val="0"/>
        </w:rPr>
        <w:t>the acceptance of a transfer of land that —</w:t>
      </w:r>
    </w:p>
    <w:p>
      <w:pPr>
        <w:pStyle w:val="nzIndenti"/>
        <w:rPr>
          <w:snapToGrid w:val="0"/>
        </w:rPr>
      </w:pPr>
      <w:r>
        <w:rPr>
          <w:snapToGrid w:val="0"/>
        </w:rPr>
        <w:tab/>
        <w:t>(i)</w:t>
      </w:r>
      <w:r>
        <w:rPr>
          <w:snapToGrid w:val="0"/>
        </w:rPr>
        <w:tab/>
        <w:t>is contiguous to the parcel or separated only by a road, railway or waterway; and</w:t>
      </w:r>
    </w:p>
    <w:p>
      <w:pPr>
        <w:pStyle w:val="nzIndenti"/>
        <w:rPr>
          <w:snapToGrid w:val="0"/>
        </w:rPr>
      </w:pPr>
      <w:r>
        <w:rPr>
          <w:snapToGrid w:val="0"/>
        </w:rPr>
        <w:tab/>
        <w:t>(ii)</w:t>
      </w:r>
      <w:r>
        <w:rPr>
          <w:snapToGrid w:val="0"/>
        </w:rPr>
        <w:tab/>
      </w:r>
      <w:r>
        <w:t xml:space="preserve">is </w:t>
      </w:r>
      <w:r>
        <w:rPr>
          <w:snapToGrid w:val="0"/>
        </w:rPr>
        <w:t>not subject to a mortgage or other encumbrance; and</w:t>
      </w:r>
    </w:p>
    <w:p>
      <w:pPr>
        <w:pStyle w:val="nz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nzIndenta"/>
      </w:pPr>
      <w:r>
        <w:tab/>
        <w:t>(b)</w:t>
      </w:r>
      <w:r>
        <w:tab/>
        <w:t>the disposal of land comprising common property (other than temporary common property) in the scheme in connection with a subdivision that is to be given effect by registration of an amendment of the scheme;</w:t>
      </w:r>
    </w:p>
    <w:p>
      <w:pPr>
        <w:pStyle w:val="nzIndenta"/>
      </w:pPr>
      <w:r>
        <w:tab/>
        <w:t>(c)</w:t>
      </w:r>
      <w:r>
        <w:tab/>
        <w:t>a lease of common property in the scheme;</w:t>
      </w:r>
    </w:p>
    <w:p>
      <w:pPr>
        <w:pStyle w:val="nzIndenta"/>
      </w:pPr>
      <w:r>
        <w:tab/>
        <w:t>(d)</w:t>
      </w:r>
      <w:r>
        <w:tab/>
        <w:t>the surrender of or re</w:t>
      </w:r>
      <w:r>
        <w:noBreakHyphen/>
        <w:t>entry under a lease of common property in the scheme;</w:t>
      </w:r>
    </w:p>
    <w:p>
      <w:pPr>
        <w:pStyle w:val="nzIndenta"/>
      </w:pPr>
      <w:r>
        <w:tab/>
        <w:t>(e)</w:t>
      </w:r>
      <w:r>
        <w:tab/>
        <w:t>the execution, acceptance, discharge or surrender of an easement or restrictive covenant burdening or benefiting the parcel.</w:t>
      </w:r>
    </w:p>
    <w:p>
      <w:pPr>
        <w:pStyle w:val="nzSubsection"/>
        <w:rPr>
          <w:snapToGrid w:val="0"/>
        </w:rPr>
      </w:pPr>
      <w:r>
        <w:rPr>
          <w:snapToGrid w:val="0"/>
        </w:rPr>
        <w:tab/>
        <w:t>(3)</w:t>
      </w:r>
      <w:r>
        <w:rPr>
          <w:snapToGrid w:val="0"/>
        </w:rPr>
        <w:tab/>
        <w:t>The strata company may enter into a transaction to which this section applies if —</w:t>
      </w:r>
    </w:p>
    <w:p>
      <w:pPr>
        <w:pStyle w:val="nzIndenta"/>
      </w:pPr>
      <w:r>
        <w:tab/>
        <w:t>(a)</w:t>
      </w:r>
      <w:r>
        <w:tab/>
        <w:t>the transaction is authorised by a resolution without dissent; or</w:t>
      </w:r>
    </w:p>
    <w:p>
      <w:pPr>
        <w:pStyle w:val="nzIndenta"/>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nzPermNoteHeading"/>
      </w:pPr>
      <w:r>
        <w:tab/>
        <w:t>Note for this subsection:</w:t>
      </w:r>
    </w:p>
    <w:p>
      <w:pPr>
        <w:pStyle w:val="nz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nz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nz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nzHeading5"/>
        <w:rPr>
          <w:snapToGrid w:val="0"/>
        </w:rPr>
      </w:pPr>
      <w:bookmarkStart w:id="1235" w:name="_Toc530474446"/>
      <w:bookmarkStart w:id="1236" w:name="_Toc530475041"/>
      <w:r>
        <w:t>95.</w:t>
      </w:r>
      <w:r>
        <w:rPr>
          <w:snapToGrid w:val="0"/>
        </w:rPr>
        <w:tab/>
        <w:t>Power of strata company to enter any part of parcel</w:t>
      </w:r>
      <w:bookmarkEnd w:id="1235"/>
      <w:bookmarkEnd w:id="1236"/>
    </w:p>
    <w:p>
      <w:pPr>
        <w:pStyle w:val="nzSubsection"/>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nzIndenta"/>
      </w:pPr>
      <w:r>
        <w:tab/>
        <w:t>(a)</w:t>
      </w:r>
      <w:r>
        <w:tab/>
        <w:t>carrying out work that the strata company is required or permitted to carry out under this Act; or</w:t>
      </w:r>
    </w:p>
    <w:p>
      <w:pPr>
        <w:pStyle w:val="nzIndenta"/>
      </w:pPr>
      <w:r>
        <w:tab/>
        <w:t>(b)</w:t>
      </w:r>
      <w:r>
        <w:tab/>
        <w:t>carrying out work that the strata company is required to carry out under an order of a court or tribunal; or</w:t>
      </w:r>
    </w:p>
    <w:p>
      <w:pPr>
        <w:pStyle w:val="nzIndenta"/>
      </w:pPr>
      <w:r>
        <w:tab/>
        <w:t>(c)</w:t>
      </w:r>
      <w:r>
        <w:tab/>
        <w:t>carrying out work that the strata company is required to carry out under a notice issued, or other order made, under any other written law; or</w:t>
      </w:r>
    </w:p>
    <w:p>
      <w:pPr>
        <w:pStyle w:val="nzIndenta"/>
      </w:pPr>
      <w:r>
        <w:tab/>
        <w:t>(d)</w:t>
      </w:r>
      <w:r>
        <w:tab/>
        <w:t>inspecting that part or any other part of the parcel; or</w:t>
      </w:r>
    </w:p>
    <w:p>
      <w:pPr>
        <w:pStyle w:val="nzIndenta"/>
      </w:pPr>
      <w:r>
        <w:tab/>
        <w:t>(e)</w:t>
      </w:r>
      <w:r>
        <w:tab/>
        <w:t>ascertaining whether scheme by</w:t>
      </w:r>
      <w:r>
        <w:noBreakHyphen/>
        <w:t>laws or this Act has been, or is being, complied with.</w:t>
      </w:r>
    </w:p>
    <w:p>
      <w:pPr>
        <w:pStyle w:val="nzSubsection"/>
      </w:pPr>
      <w:r>
        <w:tab/>
        <w:t>(2)</w:t>
      </w:r>
      <w:r>
        <w:tab/>
        <w:t>Sections 65 and 66 apply to entry to common property or a lot by a strata company under this section as if the strata company were exercising rights under a statutory easement.</w:t>
      </w:r>
    </w:p>
    <w:p>
      <w:pPr>
        <w:pStyle w:val="nzSubsection"/>
      </w:pPr>
      <w:r>
        <w:tab/>
        <w:t>(3)</w:t>
      </w:r>
      <w:r>
        <w:tab/>
        <w:t>A person must not obstruct or hinder a person exercising a power under this section.</w:t>
      </w:r>
    </w:p>
    <w:p>
      <w:pPr>
        <w:pStyle w:val="nzHeading5"/>
      </w:pPr>
      <w:bookmarkStart w:id="1237" w:name="_Toc530474447"/>
      <w:bookmarkStart w:id="1238" w:name="_Toc530475042"/>
      <w:r>
        <w:t>96.</w:t>
      </w:r>
      <w:r>
        <w:tab/>
        <w:t>Recovery of records, keys and property</w:t>
      </w:r>
      <w:bookmarkEnd w:id="1237"/>
      <w:bookmarkEnd w:id="1238"/>
    </w:p>
    <w:p>
      <w:pPr>
        <w:pStyle w:val="nz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nzSubsection"/>
      </w:pPr>
      <w:r>
        <w:tab/>
        <w:t>(2)</w:t>
      </w:r>
      <w:r>
        <w:tab/>
        <w:t>A person commits an offence if the person fails, without reasonable excuse to deliver property in the person’s possession or control as required by the notice.</w:t>
      </w:r>
    </w:p>
    <w:p>
      <w:pPr>
        <w:pStyle w:val="nzPenstart"/>
        <w:rPr>
          <w:snapToGrid w:val="0"/>
        </w:rPr>
      </w:pPr>
      <w:r>
        <w:rPr>
          <w:snapToGrid w:val="0"/>
        </w:rPr>
        <w:tab/>
        <w:t>Penalty for this subsection: a fine of $3 000.</w:t>
      </w:r>
    </w:p>
    <w:p>
      <w:pPr>
        <w:pStyle w:val="nz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nzHeading4"/>
      </w:pPr>
      <w:bookmarkStart w:id="1239" w:name="_Toc517437650"/>
      <w:bookmarkStart w:id="1240" w:name="_Toc517438192"/>
      <w:bookmarkStart w:id="1241" w:name="_Toc517440529"/>
      <w:bookmarkStart w:id="1242" w:name="_Toc517447566"/>
      <w:bookmarkStart w:id="1243" w:name="_Toc517450044"/>
      <w:bookmarkStart w:id="1244" w:name="_Toc517450586"/>
      <w:bookmarkStart w:id="1245" w:name="_Toc517857042"/>
      <w:bookmarkStart w:id="1246" w:name="_Toc518293169"/>
      <w:bookmarkStart w:id="1247" w:name="_Toc522744397"/>
      <w:bookmarkStart w:id="1248" w:name="_Toc522747520"/>
      <w:bookmarkStart w:id="1249" w:name="_Toc529183357"/>
      <w:bookmarkStart w:id="1250" w:name="_Toc529188120"/>
      <w:bookmarkStart w:id="1251" w:name="_Toc529434633"/>
      <w:bookmarkStart w:id="1252" w:name="_Toc529524524"/>
      <w:bookmarkStart w:id="1253" w:name="_Toc530474448"/>
      <w:bookmarkStart w:id="1254" w:name="_Toc530475043"/>
      <w:r>
        <w:t>Subdivision 2 — Insurance</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nzHeading5"/>
      </w:pPr>
      <w:bookmarkStart w:id="1255" w:name="_Toc530474449"/>
      <w:bookmarkStart w:id="1256" w:name="_Toc530475044"/>
      <w:r>
        <w:t>97.</w:t>
      </w:r>
      <w:r>
        <w:tab/>
        <w:t>Required insurance</w:t>
      </w:r>
      <w:bookmarkEnd w:id="1255"/>
      <w:bookmarkEnd w:id="1256"/>
    </w:p>
    <w:p>
      <w:pPr>
        <w:pStyle w:val="nzSubsection"/>
      </w:pPr>
      <w:r>
        <w:tab/>
        <w:t>(1)</w:t>
      </w:r>
      <w:r>
        <w:tab/>
        <w:t>A strata company must ensure that the following insurance is in place for the strata titles scheme —</w:t>
      </w:r>
    </w:p>
    <w:p>
      <w:pPr>
        <w:pStyle w:val="nz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nzIndenti"/>
        <w:rPr>
          <w:snapToGrid w:val="0"/>
        </w:rPr>
      </w:pPr>
      <w:r>
        <w:rPr>
          <w:snapToGrid w:val="0"/>
        </w:rPr>
        <w:tab/>
        <w:t>(i)</w:t>
      </w:r>
      <w:r>
        <w:rPr>
          <w:snapToGrid w:val="0"/>
        </w:rPr>
        <w:tab/>
        <w:t>to replacement value; or</w:t>
      </w:r>
    </w:p>
    <w:p>
      <w:pPr>
        <w:pStyle w:val="nz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nzPermNoteHeading"/>
      </w:pPr>
      <w:r>
        <w:tab/>
        <w:t>Note for this subsection:</w:t>
      </w:r>
    </w:p>
    <w:p>
      <w:pPr>
        <w:pStyle w:val="nzPermNoteText"/>
      </w:pPr>
      <w:r>
        <w:tab/>
        <w:t>1.</w:t>
      </w:r>
      <w:r>
        <w:tab/>
        <w:t>The owner of a lot in a survey</w:t>
      </w:r>
      <w:r>
        <w:noBreakHyphen/>
        <w:t>strata scheme is responsible for insurance of the kind referred to in paragraph (a) for infrastructure on the lot.</w:t>
      </w:r>
    </w:p>
    <w:p>
      <w:pPr>
        <w:pStyle w:val="nzPermNoteText"/>
      </w:pPr>
      <w:r>
        <w:tab/>
        <w:t>2.</w:t>
      </w:r>
      <w:r>
        <w:tab/>
        <w:t>The owner of a lot is responsible for insurance of the kind referred to in paragraph (b) for damages for which the owner could become liable.</w:t>
      </w:r>
    </w:p>
    <w:p>
      <w:pPr>
        <w:pStyle w:val="nz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nzSubsection"/>
      </w:pPr>
      <w:r>
        <w:tab/>
        <w:t>(3)</w:t>
      </w:r>
      <w:r>
        <w:tab/>
        <w:t>The Tribunal may, on application by a strata company, exempt it from compliance with this section subject to conditions specified in the exemption.</w:t>
      </w:r>
    </w:p>
    <w:p>
      <w:pPr>
        <w:pStyle w:val="nz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nz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nzSubsection"/>
      </w:pPr>
      <w:r>
        <w:tab/>
        <w:t>(6)</w:t>
      </w:r>
      <w:r>
        <w:tab/>
        <w:t>Subsection (5) does not apply if —</w:t>
      </w:r>
    </w:p>
    <w:p>
      <w:pPr>
        <w:pStyle w:val="nzIndenta"/>
        <w:rPr>
          <w:snapToGrid w:val="0"/>
        </w:rPr>
      </w:pPr>
      <w:r>
        <w:tab/>
      </w:r>
      <w:r>
        <w:rPr>
          <w:snapToGrid w:val="0"/>
        </w:rPr>
        <w:t>(a)</w:t>
      </w:r>
      <w:r>
        <w:rPr>
          <w:snapToGrid w:val="0"/>
        </w:rPr>
        <w:tab/>
        <w:t>the strata titles scheme is a survey</w:t>
      </w:r>
      <w:r>
        <w:rPr>
          <w:snapToGrid w:val="0"/>
        </w:rPr>
        <w:noBreakHyphen/>
        <w:t>strata scheme; and</w:t>
      </w:r>
    </w:p>
    <w:p>
      <w:pPr>
        <w:pStyle w:val="nzIndenta"/>
        <w:rPr>
          <w:snapToGrid w:val="0"/>
        </w:rPr>
      </w:pPr>
      <w:r>
        <w:rPr>
          <w:snapToGrid w:val="0"/>
        </w:rPr>
        <w:tab/>
        <w:t>(b)</w:t>
      </w:r>
      <w:r>
        <w:rPr>
          <w:snapToGrid w:val="0"/>
        </w:rPr>
        <w:tab/>
        <w:t>the strata company passes a resolution without dissent —</w:t>
      </w:r>
    </w:p>
    <w:p>
      <w:pPr>
        <w:pStyle w:val="nz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nzIndenti"/>
      </w:pPr>
      <w:r>
        <w:tab/>
        <w:t>(ii)</w:t>
      </w:r>
      <w:r>
        <w:tab/>
        <w:t xml:space="preserve">specifying how that money is to be distributed amongst members of the </w:t>
      </w:r>
      <w:r>
        <w:rPr>
          <w:snapToGrid w:val="0"/>
        </w:rPr>
        <w:t xml:space="preserve">strata company </w:t>
      </w:r>
      <w:r>
        <w:t>or used;</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nzSubsection"/>
      </w:pPr>
      <w:r>
        <w:tab/>
        <w:t>(7)</w:t>
      </w:r>
      <w:r>
        <w:tab/>
        <w:t>Nothing in this section derogates from —</w:t>
      </w:r>
    </w:p>
    <w:p>
      <w:pPr>
        <w:pStyle w:val="nz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nzIndenta"/>
        <w:rPr>
          <w:snapToGrid w:val="0"/>
        </w:rPr>
      </w:pPr>
      <w:r>
        <w:rPr>
          <w:snapToGrid w:val="0"/>
        </w:rPr>
        <w:tab/>
        <w:t>(b)</w:t>
      </w:r>
      <w:r>
        <w:rPr>
          <w:snapToGrid w:val="0"/>
        </w:rPr>
        <w:tab/>
        <w:t>the power of the strata company to obtain other insurance in its capacity as a body corporate.</w:t>
      </w:r>
    </w:p>
    <w:p>
      <w:pPr>
        <w:pStyle w:val="nzPermNoteHeading"/>
      </w:pPr>
      <w:r>
        <w:tab/>
        <w:t>Note for this section:</w:t>
      </w:r>
    </w:p>
    <w:p>
      <w:pPr>
        <w:pStyle w:val="nzPermNoteText"/>
      </w:pPr>
      <w:r>
        <w:tab/>
      </w:r>
      <w:r>
        <w:tab/>
        <w:t>Schedule 2A contains special provisions for a single tier strata scheme for the required insurance.</w:t>
      </w:r>
    </w:p>
    <w:p>
      <w:pPr>
        <w:pStyle w:val="nzHeading5"/>
        <w:rPr>
          <w:snapToGrid w:val="0"/>
        </w:rPr>
      </w:pPr>
      <w:bookmarkStart w:id="1257" w:name="_Toc530474450"/>
      <w:bookmarkStart w:id="1258" w:name="_Toc530475045"/>
      <w:r>
        <w:t>98.</w:t>
      </w:r>
      <w:r>
        <w:tab/>
        <w:t xml:space="preserve">Notice to member of </w:t>
      </w:r>
      <w:r>
        <w:rPr>
          <w:snapToGrid w:val="0"/>
        </w:rPr>
        <w:t>strata company</w:t>
      </w:r>
      <w:bookmarkEnd w:id="1257"/>
      <w:bookmarkEnd w:id="1258"/>
    </w:p>
    <w:p>
      <w:pPr>
        <w:pStyle w:val="nz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nzIndenta"/>
        <w:rPr>
          <w:snapToGrid w:val="0"/>
        </w:rPr>
      </w:pPr>
      <w:r>
        <w:rPr>
          <w:snapToGrid w:val="0"/>
        </w:rPr>
        <w:tab/>
        <w:t>(a)</w:t>
      </w:r>
      <w:r>
        <w:rPr>
          <w:snapToGrid w:val="0"/>
        </w:rPr>
        <w:tab/>
        <w:t>to take specified action within a specified period;</w:t>
      </w:r>
    </w:p>
    <w:p>
      <w:pPr>
        <w:pStyle w:val="nzIndenta"/>
        <w:rPr>
          <w:snapToGrid w:val="0"/>
        </w:rPr>
      </w:pPr>
      <w:r>
        <w:rPr>
          <w:snapToGrid w:val="0"/>
        </w:rPr>
        <w:tab/>
        <w:t>(b)</w:t>
      </w:r>
      <w:r>
        <w:rPr>
          <w:snapToGrid w:val="0"/>
        </w:rPr>
        <w:tab/>
        <w:t>to refrain from taking specified action;</w:t>
      </w:r>
    </w:p>
    <w:p>
      <w:pPr>
        <w:pStyle w:val="nz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nz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nzSubsection"/>
      </w:pPr>
      <w:r>
        <w:tab/>
        <w:t>(3)</w:t>
      </w:r>
      <w:r>
        <w:tab/>
        <w:t>The strata company must negotiate with the member with a view to achieving a fair and reasonable outcome.</w:t>
      </w:r>
    </w:p>
    <w:p>
      <w:pPr>
        <w:pStyle w:val="nzHeading5"/>
        <w:rPr>
          <w:snapToGrid w:val="0"/>
        </w:rPr>
      </w:pPr>
      <w:bookmarkStart w:id="1259" w:name="_Toc530474451"/>
      <w:bookmarkStart w:id="1260" w:name="_Toc530475046"/>
      <w:r>
        <w:t>99.</w:t>
      </w:r>
      <w:r>
        <w:tab/>
        <w:t>Member may obtain required insurance</w:t>
      </w:r>
      <w:bookmarkEnd w:id="1259"/>
      <w:bookmarkEnd w:id="1260"/>
    </w:p>
    <w:p>
      <w:pPr>
        <w:pStyle w:val="nz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nzSubsection"/>
      </w:pPr>
      <w:r>
        <w:tab/>
        <w:t>(2)</w:t>
      </w:r>
      <w:r>
        <w:tab/>
        <w:t>Costs incurred by a member of a strata company under subsection (1) may be recovered, on application to the Tribunal, as a debt owed to the member by the strata company.</w:t>
      </w:r>
    </w:p>
    <w:p>
      <w:pPr>
        <w:pStyle w:val="nz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nzHeading4"/>
      </w:pPr>
      <w:bookmarkStart w:id="1261" w:name="_Toc517437654"/>
      <w:bookmarkStart w:id="1262" w:name="_Toc517438196"/>
      <w:bookmarkStart w:id="1263" w:name="_Toc517440533"/>
      <w:bookmarkStart w:id="1264" w:name="_Toc517447570"/>
      <w:bookmarkStart w:id="1265" w:name="_Toc517450048"/>
      <w:bookmarkStart w:id="1266" w:name="_Toc517450590"/>
      <w:bookmarkStart w:id="1267" w:name="_Toc517857046"/>
      <w:bookmarkStart w:id="1268" w:name="_Toc518293173"/>
      <w:bookmarkStart w:id="1269" w:name="_Toc522744401"/>
      <w:bookmarkStart w:id="1270" w:name="_Toc522747524"/>
      <w:bookmarkStart w:id="1271" w:name="_Toc529183361"/>
      <w:bookmarkStart w:id="1272" w:name="_Toc529188124"/>
      <w:bookmarkStart w:id="1273" w:name="_Toc529434637"/>
      <w:bookmarkStart w:id="1274" w:name="_Toc529524528"/>
      <w:bookmarkStart w:id="1275" w:name="_Toc530474452"/>
      <w:bookmarkStart w:id="1276" w:name="_Toc530475047"/>
      <w:r>
        <w:t>Subdivision 3 — Financial management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nzHeading5"/>
      </w:pPr>
      <w:bookmarkStart w:id="1277" w:name="_Toc530474453"/>
      <w:bookmarkStart w:id="1278" w:name="_Toc530475048"/>
      <w:r>
        <w:t>101.</w:t>
      </w:r>
      <w:r>
        <w:tab/>
        <w:t>Accounting records and statement of accounts</w:t>
      </w:r>
      <w:bookmarkEnd w:id="1277"/>
      <w:bookmarkEnd w:id="1278"/>
    </w:p>
    <w:p>
      <w:pPr>
        <w:pStyle w:val="nzSubsection"/>
      </w:pPr>
      <w:r>
        <w:tab/>
        <w:t>(1)</w:t>
      </w:r>
      <w:r>
        <w:tab/>
        <w:t>A strata company must keep proper accounting records of its income and expenditure.</w:t>
      </w:r>
    </w:p>
    <w:p>
      <w:pPr>
        <w:pStyle w:val="nzSubsection"/>
      </w:pPr>
      <w:r>
        <w:tab/>
        <w:t>(2)</w:t>
      </w:r>
      <w:r>
        <w:tab/>
        <w:t>A strata company must prepare a statement of accounts for each financial year showing —</w:t>
      </w:r>
    </w:p>
    <w:p>
      <w:pPr>
        <w:pStyle w:val="nzIndenta"/>
        <w:rPr>
          <w:snapToGrid w:val="0"/>
        </w:rPr>
      </w:pPr>
      <w:r>
        <w:rPr>
          <w:snapToGrid w:val="0"/>
        </w:rPr>
        <w:tab/>
        <w:t>(a)</w:t>
      </w:r>
      <w:r>
        <w:rPr>
          <w:snapToGrid w:val="0"/>
        </w:rPr>
        <w:tab/>
        <w:t>the assets and liabilities of the strata company at the end of the financial year; and</w:t>
      </w:r>
    </w:p>
    <w:p>
      <w:pPr>
        <w:pStyle w:val="nzIndenta"/>
        <w:rPr>
          <w:snapToGrid w:val="0"/>
        </w:rPr>
      </w:pPr>
      <w:r>
        <w:rPr>
          <w:snapToGrid w:val="0"/>
        </w:rPr>
        <w:tab/>
        <w:t>(b)</w:t>
      </w:r>
      <w:r>
        <w:rPr>
          <w:snapToGrid w:val="0"/>
        </w:rPr>
        <w:tab/>
        <w:t>the income and expenditure of the strata company for the financial year.</w:t>
      </w:r>
    </w:p>
    <w:p>
      <w:pPr>
        <w:pStyle w:val="nzHeading5"/>
      </w:pPr>
      <w:bookmarkStart w:id="1279" w:name="_Toc530474454"/>
      <w:bookmarkStart w:id="1280" w:name="_Toc530475049"/>
      <w:r>
        <w:t>102.</w:t>
      </w:r>
      <w:r>
        <w:tab/>
        <w:t>Budget</w:t>
      </w:r>
      <w:bookmarkEnd w:id="1279"/>
      <w:bookmarkEnd w:id="1280"/>
    </w:p>
    <w:p>
      <w:pPr>
        <w:pStyle w:val="nzSubsection"/>
      </w:pPr>
      <w:r>
        <w:tab/>
        <w:t>(1)</w:t>
      </w:r>
      <w:r>
        <w:tab/>
        <w:t>A strata company must prepare a budget for each financial year and submit it for approval to its annual general meeting.</w:t>
      </w:r>
    </w:p>
    <w:p>
      <w:pPr>
        <w:pStyle w:val="nzSubsection"/>
      </w:pPr>
      <w:r>
        <w:tab/>
        <w:t>(2)</w:t>
      </w:r>
      <w:r>
        <w:tab/>
        <w:t>The budget must be prepared —</w:t>
      </w:r>
    </w:p>
    <w:p>
      <w:pPr>
        <w:pStyle w:val="nzIndenta"/>
        <w:rPr>
          <w:snapToGrid w:val="0"/>
        </w:rPr>
      </w:pPr>
      <w:r>
        <w:rPr>
          <w:snapToGrid w:val="0"/>
        </w:rPr>
        <w:tab/>
        <w:t>(a)</w:t>
      </w:r>
      <w:r>
        <w:rPr>
          <w:snapToGrid w:val="0"/>
        </w:rPr>
        <w:tab/>
        <w:t>taking into account, if applicable, the 10 year plan for the reserve fund; and</w:t>
      </w:r>
    </w:p>
    <w:p>
      <w:pPr>
        <w:pStyle w:val="nz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nzSubsection"/>
      </w:pPr>
      <w:r>
        <w:tab/>
        <w:t>(3)</w:t>
      </w:r>
      <w:r>
        <w:tab/>
        <w:t>The strata company may, by ordinary resolution at its annual general meeting or at a subsequent general meeting, approve a budget with or without modification.</w:t>
      </w:r>
    </w:p>
    <w:p>
      <w:pPr>
        <w:pStyle w:val="nzSubsection"/>
      </w:pPr>
      <w:r>
        <w:tab/>
        <w:t>(4)</w:t>
      </w:r>
      <w:r>
        <w:tab/>
        <w:t>The strata company may, by ordinary resolution, vary its approved budget.</w:t>
      </w:r>
    </w:p>
    <w:p>
      <w:pPr>
        <w:pStyle w:val="nz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nz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nzIndenta"/>
        <w:rPr>
          <w:snapToGrid w:val="0"/>
        </w:rPr>
      </w:pPr>
      <w:r>
        <w:rPr>
          <w:snapToGrid w:val="0"/>
        </w:rPr>
        <w:tab/>
        <w:t>(b)</w:t>
      </w:r>
      <w:r>
        <w:rPr>
          <w:snapToGrid w:val="0"/>
        </w:rPr>
        <w:tab/>
        <w:t>the budget or variation must be approved by special resolution.</w:t>
      </w:r>
    </w:p>
    <w:p>
      <w:pPr>
        <w:pStyle w:val="nzSubsection"/>
      </w:pPr>
      <w:r>
        <w:tab/>
        <w:t>(6)</w:t>
      </w:r>
      <w:r>
        <w:tab/>
        <w:t>A strata company must not make any expenditure that is not authorised by an approved budget except for expenditure as follows —</w:t>
      </w:r>
    </w:p>
    <w:p>
      <w:pPr>
        <w:pStyle w:val="nzIndenta"/>
      </w:pPr>
      <w:r>
        <w:tab/>
        <w:t>(a)</w:t>
      </w:r>
      <w:r>
        <w:tab/>
        <w:t>expenditure of an amount not exceeding, in a financial year, for each lot in the strata titles scheme —</w:t>
      </w:r>
    </w:p>
    <w:p>
      <w:pPr>
        <w:pStyle w:val="nzIndenti"/>
      </w:pPr>
      <w:r>
        <w:tab/>
        <w:t>(i)</w:t>
      </w:r>
      <w:r>
        <w:tab/>
        <w:t>the amount fixed by the strata company by special resolution; or</w:t>
      </w:r>
    </w:p>
    <w:p>
      <w:pPr>
        <w:pStyle w:val="nzIndenti"/>
      </w:pPr>
      <w:r>
        <w:tab/>
        <w:t>(ii)</w:t>
      </w:r>
      <w:r>
        <w:tab/>
        <w:t>if the strata company has not fixed the amount by special resolution, the amount fixed by the regulations;</w:t>
      </w:r>
    </w:p>
    <w:p>
      <w:pPr>
        <w:pStyle w:val="nzIndenta"/>
        <w:rPr>
          <w:snapToGrid w:val="0"/>
        </w:rPr>
      </w:pPr>
      <w:r>
        <w:rPr>
          <w:snapToGrid w:val="0"/>
        </w:rPr>
        <w:tab/>
        <w:t>(b)</w:t>
      </w:r>
      <w:r>
        <w:rPr>
          <w:snapToGrid w:val="0"/>
        </w:rPr>
        <w:tab/>
        <w:t>expenditure (not being of the kind referred to in subsection (5)) made on the following conditions being met —</w:t>
      </w:r>
    </w:p>
    <w:p>
      <w:pPr>
        <w:pStyle w:val="nzIndenti"/>
      </w:pPr>
      <w:r>
        <w:tab/>
        <w:t>(i)</w:t>
      </w:r>
      <w:r>
        <w:tab/>
        <w:t>notice in the approved form of the purpose and amount of a proposed expenditure is given to the owners and first mortgagees of all lots in the strata titles scheme; and</w:t>
      </w:r>
    </w:p>
    <w:p>
      <w:pPr>
        <w:pStyle w:val="nzIndenti"/>
      </w:pPr>
      <w:r>
        <w:tab/>
        <w:t>(ii)</w:t>
      </w:r>
      <w:r>
        <w:tab/>
        <w:t>if the regulations so require, quotations or tenders for the expenditure are submitted to those owners and first mortgagees; and</w:t>
      </w:r>
    </w:p>
    <w:p>
      <w:pPr>
        <w:pStyle w:val="nzIndenti"/>
      </w:pPr>
      <w:r>
        <w:tab/>
        <w:t>(iii)</w:t>
      </w:r>
      <w:r>
        <w:tab/>
        <w:t>within 14 days after the requirements in the preceding subparagraphs are met, objection to the proposed expenditure has not been notified in writing to the strata company by the owners or first mortgagees of —</w:t>
      </w:r>
    </w:p>
    <w:p>
      <w:pPr>
        <w:pStyle w:val="nzIndentI0"/>
        <w:rPr>
          <w:snapToGrid w:val="0"/>
        </w:rPr>
      </w:pPr>
      <w:r>
        <w:rPr>
          <w:snapToGrid w:val="0"/>
        </w:rPr>
        <w:tab/>
        <w:t>(I)</w:t>
      </w:r>
      <w:r>
        <w:rPr>
          <w:snapToGrid w:val="0"/>
        </w:rPr>
        <w:tab/>
        <w:t>25% or more of the lots in the scheme; or</w:t>
      </w:r>
    </w:p>
    <w:p>
      <w:pPr>
        <w:pStyle w:val="nzIndentI0"/>
        <w:rPr>
          <w:snapToGrid w:val="0"/>
        </w:rPr>
      </w:pPr>
      <w:r>
        <w:rPr>
          <w:snapToGrid w:val="0"/>
        </w:rPr>
        <w:tab/>
        <w:t>(II)</w:t>
      </w:r>
      <w:r>
        <w:rPr>
          <w:snapToGrid w:val="0"/>
        </w:rPr>
        <w:tab/>
        <w:t>lots of which the total unit entitlement is 25% or more of the sum of the unit entitlements of all the lots in the scheme;</w:t>
      </w:r>
    </w:p>
    <w:p>
      <w:pPr>
        <w:pStyle w:val="nz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nzSubsection"/>
      </w:pPr>
      <w:r>
        <w:tab/>
        <w:t>(7)</w:t>
      </w:r>
      <w:r>
        <w:tab/>
        <w:t>For subsection (6)(b), if an objection is notified under subsection (6)(b)(iii) by a first mortgagee of a lot, an objection notified by the owner of that lot must be disregarded.</w:t>
      </w:r>
    </w:p>
    <w:p>
      <w:pPr>
        <w:pStyle w:val="nz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nzHeading4"/>
      </w:pPr>
      <w:bookmarkStart w:id="1281" w:name="_Toc517437657"/>
      <w:bookmarkStart w:id="1282" w:name="_Toc517438199"/>
      <w:bookmarkStart w:id="1283" w:name="_Toc517440536"/>
      <w:bookmarkStart w:id="1284" w:name="_Toc517447573"/>
      <w:bookmarkStart w:id="1285" w:name="_Toc517450051"/>
      <w:bookmarkStart w:id="1286" w:name="_Toc517450593"/>
      <w:bookmarkStart w:id="1287" w:name="_Toc517857049"/>
      <w:bookmarkStart w:id="1288" w:name="_Toc518293176"/>
      <w:bookmarkStart w:id="1289" w:name="_Toc522744404"/>
      <w:bookmarkStart w:id="1290" w:name="_Toc522747527"/>
      <w:bookmarkStart w:id="1291" w:name="_Toc529183364"/>
      <w:bookmarkStart w:id="1292" w:name="_Toc529188127"/>
      <w:bookmarkStart w:id="1293" w:name="_Toc529434640"/>
      <w:bookmarkStart w:id="1294" w:name="_Toc529524531"/>
      <w:bookmarkStart w:id="1295" w:name="_Toc530474455"/>
      <w:bookmarkStart w:id="1296" w:name="_Toc530475050"/>
      <w:r>
        <w:t>Subdivision 4 — Representation and judgment debts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nzHeading4"/>
      </w:pPr>
      <w:bookmarkStart w:id="1297" w:name="_Toc517437658"/>
      <w:bookmarkStart w:id="1298" w:name="_Toc517438200"/>
      <w:bookmarkStart w:id="1299" w:name="_Toc517440537"/>
      <w:bookmarkStart w:id="1300" w:name="_Toc517447574"/>
      <w:bookmarkStart w:id="1301" w:name="_Toc517450052"/>
      <w:bookmarkStart w:id="1302" w:name="_Toc517450594"/>
      <w:bookmarkStart w:id="1303" w:name="_Toc517857050"/>
      <w:bookmarkStart w:id="1304" w:name="_Toc518293177"/>
      <w:bookmarkStart w:id="1305" w:name="_Toc522744405"/>
      <w:bookmarkStart w:id="1306" w:name="_Toc522747528"/>
      <w:bookmarkStart w:id="1307" w:name="_Toc529183365"/>
      <w:bookmarkStart w:id="1308" w:name="_Toc529188128"/>
      <w:bookmarkStart w:id="1309" w:name="_Toc529434641"/>
      <w:bookmarkStart w:id="1310" w:name="_Toc529524532"/>
      <w:bookmarkStart w:id="1311" w:name="_Toc530474456"/>
      <w:bookmarkStart w:id="1312" w:name="_Toc530475051"/>
      <w:r>
        <w:t>Subdivision 5 — Records and correspondence</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nzHeading5"/>
      </w:pPr>
      <w:bookmarkStart w:id="1313" w:name="_Toc530474457"/>
      <w:bookmarkStart w:id="1314" w:name="_Toc530475052"/>
      <w:r>
        <w:t>104.</w:t>
      </w:r>
      <w:r>
        <w:tab/>
        <w:t>Records and correspondence</w:t>
      </w:r>
      <w:bookmarkEnd w:id="1313"/>
      <w:bookmarkEnd w:id="1314"/>
    </w:p>
    <w:p>
      <w:pPr>
        <w:pStyle w:val="nzSubsection"/>
      </w:pPr>
      <w:r>
        <w:tab/>
        <w:t>(1)</w:t>
      </w:r>
      <w:r>
        <w:tab/>
        <w:t>A strata company must —</w:t>
      </w:r>
    </w:p>
    <w:p>
      <w:pPr>
        <w:pStyle w:val="nzIndenta"/>
      </w:pPr>
      <w:r>
        <w:tab/>
        <w:t>(a)</w:t>
      </w:r>
      <w:r>
        <w:tab/>
        <w:t>keep a copy of each of the following —</w:t>
      </w:r>
    </w:p>
    <w:p>
      <w:pPr>
        <w:pStyle w:val="nzIndenti"/>
      </w:pPr>
      <w:r>
        <w:tab/>
        <w:t>(i)</w:t>
      </w:r>
      <w:r>
        <w:tab/>
        <w:t>the current scheme documents;</w:t>
      </w:r>
    </w:p>
    <w:p>
      <w:pPr>
        <w:pStyle w:val="nzIndenti"/>
      </w:pPr>
      <w:r>
        <w:tab/>
        <w:t>(ii)</w:t>
      </w:r>
      <w:r>
        <w:tab/>
        <w:t>any proposed amendments of the scheme documents of which it is aware and that remain current;</w:t>
      </w:r>
    </w:p>
    <w:p>
      <w:pPr>
        <w:pStyle w:val="nzIndenta"/>
      </w:pPr>
      <w:r>
        <w:tab/>
      </w:r>
      <w:r>
        <w:tab/>
        <w:t>and</w:t>
      </w:r>
    </w:p>
    <w:p>
      <w:pPr>
        <w:pStyle w:val="nzIndenta"/>
      </w:pPr>
      <w:r>
        <w:tab/>
        <w:t>(b)</w:t>
      </w:r>
      <w:r>
        <w:tab/>
        <w:t>make and keep for a period fixed by the regulations —</w:t>
      </w:r>
    </w:p>
    <w:p>
      <w:pPr>
        <w:pStyle w:val="nzIndenti"/>
      </w:pPr>
      <w:r>
        <w:tab/>
        <w:t>(i)</w:t>
      </w:r>
      <w:r>
        <w:tab/>
        <w:t>minutes of its general meetings and meetings of its council; and</w:t>
      </w:r>
    </w:p>
    <w:p>
      <w:pPr>
        <w:pStyle w:val="nzIndenti"/>
      </w:pPr>
      <w:r>
        <w:tab/>
        <w:t>(ii)</w:t>
      </w:r>
      <w:r>
        <w:tab/>
        <w:t>records of its resolutions and decisions of its council; and</w:t>
      </w:r>
    </w:p>
    <w:p>
      <w:pPr>
        <w:pStyle w:val="nzIndenti"/>
      </w:pPr>
      <w:r>
        <w:tab/>
        <w:t>(iii)</w:t>
      </w:r>
      <w:r>
        <w:tab/>
        <w:t>such other records as are required by the regulations;</w:t>
      </w:r>
    </w:p>
    <w:p>
      <w:pPr>
        <w:pStyle w:val="nzIndenta"/>
      </w:pPr>
      <w:r>
        <w:tab/>
      </w:r>
      <w:r>
        <w:tab/>
        <w:t>and</w:t>
      </w:r>
    </w:p>
    <w:p>
      <w:pPr>
        <w:pStyle w:val="nzIndenta"/>
      </w:pPr>
      <w:r>
        <w:tab/>
        <w:t>(c)</w:t>
      </w:r>
      <w:r>
        <w:tab/>
        <w:t>keep for a period fixed by the regulations —</w:t>
      </w:r>
    </w:p>
    <w:p>
      <w:pPr>
        <w:pStyle w:val="nzIndenti"/>
      </w:pPr>
      <w:r>
        <w:tab/>
        <w:t>(i)</w:t>
      </w:r>
      <w:r>
        <w:tab/>
        <w:t>records and statements of account made or kept under section 101; and</w:t>
      </w:r>
    </w:p>
    <w:p>
      <w:pPr>
        <w:pStyle w:val="nzIndenti"/>
      </w:pPr>
      <w:r>
        <w:tab/>
        <w:t>(ii)</w:t>
      </w:r>
      <w:r>
        <w:tab/>
        <w:t>notices of its general meetings and meetings of its council; and</w:t>
      </w:r>
    </w:p>
    <w:p>
      <w:pPr>
        <w:pStyle w:val="nzIndenti"/>
      </w:pPr>
      <w:r>
        <w:tab/>
        <w:t>(iii)</w:t>
      </w:r>
      <w:r>
        <w:tab/>
        <w:t>notices of proposed resolutions and material submitted to members of the strata company in connection with proposed resolutions; and</w:t>
      </w:r>
    </w:p>
    <w:p>
      <w:pPr>
        <w:pStyle w:val="nzIndenti"/>
      </w:pPr>
      <w:r>
        <w:tab/>
        <w:t>(iv)</w:t>
      </w:r>
      <w:r>
        <w:tab/>
        <w:t>notices of disclosures made under section 79, 145(2) or 147; and</w:t>
      </w:r>
    </w:p>
    <w:p>
      <w:pPr>
        <w:pStyle w:val="nzIndenti"/>
      </w:pPr>
      <w:r>
        <w:tab/>
        <w:t>(v)</w:t>
      </w:r>
      <w:r>
        <w:tab/>
        <w:t>all correspondence, other notices and orders it or its council sends or receives; and</w:t>
      </w:r>
    </w:p>
    <w:p>
      <w:pPr>
        <w:pStyle w:val="nzIndenti"/>
      </w:pPr>
      <w:r>
        <w:tab/>
        <w:t>(vi)</w:t>
      </w:r>
      <w:r>
        <w:tab/>
        <w:t>each lease accepted under section 92 and any instrument of surrender of such a lease; and</w:t>
      </w:r>
    </w:p>
    <w:p>
      <w:pPr>
        <w:pStyle w:val="nzIndenti"/>
      </w:pPr>
      <w:r>
        <w:tab/>
        <w:t>(vii)</w:t>
      </w:r>
      <w:r>
        <w:tab/>
        <w:t>a copy of each contract entered into by the strata company and any variation, extension or termination of such a contract, including (without limitation) the following —</w:t>
      </w:r>
    </w:p>
    <w:p>
      <w:pPr>
        <w:pStyle w:val="nzIndentI0"/>
      </w:pPr>
      <w:r>
        <w:tab/>
        <w:t>(I)</w:t>
      </w:r>
      <w:r>
        <w:tab/>
        <w:t>a strata management contract;</w:t>
      </w:r>
    </w:p>
    <w:p>
      <w:pPr>
        <w:pStyle w:val="nzIndentI0"/>
      </w:pPr>
      <w:r>
        <w:tab/>
        <w:t>(II)</w:t>
      </w:r>
      <w:r>
        <w:tab/>
        <w:t>an insurance contract;</w:t>
      </w:r>
    </w:p>
    <w:p>
      <w:pPr>
        <w:pStyle w:val="nzIndentI0"/>
      </w:pPr>
      <w:r>
        <w:tab/>
        <w:t>(III)</w:t>
      </w:r>
      <w:r>
        <w:tab/>
        <w:t>an infrastructure contract for a common property (utility and sustainability infrastructure) easement;</w:t>
      </w:r>
    </w:p>
    <w:p>
      <w:pPr>
        <w:pStyle w:val="nzIndentI0"/>
      </w:pPr>
      <w:r>
        <w:tab/>
        <w:t>(IV)</w:t>
      </w:r>
      <w:r>
        <w:tab/>
        <w:t>a contract for services or amenities provided to the strata company or members of the strata company;</w:t>
      </w:r>
    </w:p>
    <w:p>
      <w:pPr>
        <w:pStyle w:val="nzIndenti"/>
      </w:pPr>
      <w:r>
        <w:tab/>
      </w:r>
      <w:r>
        <w:tab/>
        <w:t>and</w:t>
      </w:r>
    </w:p>
    <w:p>
      <w:pPr>
        <w:pStyle w:val="nzIndenti"/>
      </w:pPr>
      <w:r>
        <w:tab/>
        <w:t>(viii)</w:t>
      </w:r>
      <w:r>
        <w:tab/>
        <w:t>each lease, licence or other document granting a special privilege over the common property (other than exclusive use by</w:t>
      </w:r>
      <w:r>
        <w:noBreakHyphen/>
        <w:t>laws); and</w:t>
      </w:r>
    </w:p>
    <w:p>
      <w:pPr>
        <w:pStyle w:val="nzIndenti"/>
      </w:pPr>
      <w:r>
        <w:tab/>
        <w:t>(ix)</w:t>
      </w:r>
      <w:r>
        <w:tab/>
        <w:t>each key document it has received; and</w:t>
      </w:r>
    </w:p>
    <w:p>
      <w:pPr>
        <w:pStyle w:val="nzIndenti"/>
      </w:pPr>
      <w:r>
        <w:tab/>
        <w:t>(x)</w:t>
      </w:r>
      <w:r>
        <w:tab/>
        <w:t xml:space="preserve">each document it has kept or received under section 63(8) or (9); </w:t>
      </w:r>
    </w:p>
    <w:p>
      <w:pPr>
        <w:pStyle w:val="nzIndenta"/>
      </w:pPr>
      <w:r>
        <w:tab/>
      </w:r>
      <w:r>
        <w:tab/>
        <w:t>and</w:t>
      </w:r>
    </w:p>
    <w:p>
      <w:pPr>
        <w:pStyle w:val="nzIndenta"/>
      </w:pPr>
      <w:r>
        <w:tab/>
        <w:t>(d)</w:t>
      </w:r>
      <w:r>
        <w:tab/>
        <w:t>keep the following in a manner that facilitates access to the information, in particular, for use by the members of the council and officers of the strata company —</w:t>
      </w:r>
    </w:p>
    <w:p>
      <w:pPr>
        <w:pStyle w:val="nzIndenti"/>
      </w:pPr>
      <w:r>
        <w:tab/>
        <w:t>(i)</w:t>
      </w:r>
      <w:r>
        <w:tab/>
        <w:t>the terms of any current resolution about the use of the common seal of the strata company or authorising persons to execute documents on its behalf;</w:t>
      </w:r>
    </w:p>
    <w:p>
      <w:pPr>
        <w:pStyle w:val="nzIndenti"/>
      </w:pPr>
      <w:r>
        <w:tab/>
        <w:t>(ii)</w:t>
      </w:r>
      <w:r>
        <w:tab/>
        <w:t>the current balance of the administrative fund and, if applicable, the reserve fund of the strata company;</w:t>
      </w:r>
    </w:p>
    <w:p>
      <w:pPr>
        <w:pStyle w:val="nzIndenti"/>
      </w:pPr>
      <w:r>
        <w:tab/>
        <w:t>(iii)</w:t>
      </w:r>
      <w:r>
        <w:tab/>
        <w:t>the current budget (showing estimated income and expenditure) of the strata company;</w:t>
      </w:r>
    </w:p>
    <w:p>
      <w:pPr>
        <w:pStyle w:val="nz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nzIndenti"/>
      </w:pPr>
      <w:r>
        <w:tab/>
        <w:t>(v)</w:t>
      </w:r>
      <w:r>
        <w:tab/>
        <w:t>the most recent 10 year plan, if applicable;</w:t>
      </w:r>
    </w:p>
    <w:p>
      <w:pPr>
        <w:pStyle w:val="nzIndenti"/>
      </w:pPr>
      <w:r>
        <w:tab/>
        <w:t>(vi)</w:t>
      </w:r>
      <w:r>
        <w:tab/>
        <w:t>any termination proposal submitted to the strata company that remains current.</w:t>
      </w:r>
    </w:p>
    <w:p>
      <w:pPr>
        <w:pStyle w:val="nzSubsection"/>
      </w:pPr>
      <w:r>
        <w:tab/>
        <w:t>(2)</w:t>
      </w:r>
      <w:r>
        <w:tab/>
        <w:t>The regulations may impose additional requirements for the making or keeping of records by a strata company or about the manner in which this section is to be complied with.</w:t>
      </w:r>
    </w:p>
    <w:p>
      <w:pPr>
        <w:pStyle w:val="nzSubsection"/>
      </w:pPr>
      <w:r>
        <w:tab/>
        <w:t>(3)</w:t>
      </w:r>
      <w:r>
        <w:tab/>
        <w:t>A strata company must ensure that —</w:t>
      </w:r>
    </w:p>
    <w:p>
      <w:pPr>
        <w:pStyle w:val="nzIndenta"/>
      </w:pPr>
      <w:r>
        <w:tab/>
        <w:t>(a)</w:t>
      </w:r>
      <w:r>
        <w:tab/>
        <w:t>a letterbox with the name of the strata company clearly shown on it is continuously available and suitably placed on the parcel; and</w:t>
      </w:r>
    </w:p>
    <w:p>
      <w:pPr>
        <w:pStyle w:val="nzIndenta"/>
      </w:pPr>
      <w:r>
        <w:tab/>
        <w:t>(b)</w:t>
      </w:r>
      <w:r>
        <w:tab/>
        <w:t>a mechanism for corresponding with the strata company electronically is reasonably available to —</w:t>
      </w:r>
    </w:p>
    <w:p>
      <w:pPr>
        <w:pStyle w:val="nzIndenti"/>
      </w:pPr>
      <w:r>
        <w:tab/>
        <w:t>(i)</w:t>
      </w:r>
      <w:r>
        <w:tab/>
        <w:t>members of the strata company; and</w:t>
      </w:r>
    </w:p>
    <w:p>
      <w:pPr>
        <w:pStyle w:val="nzIndenti"/>
      </w:pPr>
      <w:r>
        <w:tab/>
        <w:t>(ii)</w:t>
      </w:r>
      <w:r>
        <w:tab/>
        <w:t>occupiers of lots in the strata titles scheme.</w:t>
      </w:r>
    </w:p>
    <w:p>
      <w:pPr>
        <w:pStyle w:val="nzHeading5"/>
        <w:rPr>
          <w:snapToGrid w:val="0"/>
        </w:rPr>
      </w:pPr>
      <w:bookmarkStart w:id="1315" w:name="_Toc530474458"/>
      <w:bookmarkStart w:id="1316" w:name="_Toc530475053"/>
      <w:r>
        <w:rPr>
          <w:snapToGrid w:val="0"/>
        </w:rPr>
        <w:t>106.</w:t>
      </w:r>
      <w:r>
        <w:rPr>
          <w:snapToGrid w:val="0"/>
        </w:rPr>
        <w:tab/>
        <w:t>Address for service if no roll maintained in 2, 3, 4 or 5</w:t>
      </w:r>
      <w:r>
        <w:rPr>
          <w:snapToGrid w:val="0"/>
        </w:rPr>
        <w:noBreakHyphen/>
        <w:t>lot scheme</w:t>
      </w:r>
      <w:bookmarkEnd w:id="1315"/>
      <w:bookmarkEnd w:id="1316"/>
    </w:p>
    <w:p>
      <w:pPr>
        <w:pStyle w:val="nz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nzPenstart"/>
        <w:rPr>
          <w:snapToGrid w:val="0"/>
        </w:rPr>
      </w:pPr>
      <w:r>
        <w:rPr>
          <w:snapToGrid w:val="0"/>
        </w:rPr>
        <w:tab/>
        <w:t>Penalty for this subsection: a fine of $3 000.</w:t>
      </w:r>
    </w:p>
    <w:p>
      <w:pPr>
        <w:pStyle w:val="nz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nzPenstart"/>
        <w:rPr>
          <w:snapToGrid w:val="0"/>
        </w:rPr>
      </w:pPr>
      <w:r>
        <w:rPr>
          <w:snapToGrid w:val="0"/>
        </w:rPr>
        <w:tab/>
        <w:t>Penalty for this subsection: a fine of $3 000.</w:t>
      </w:r>
    </w:p>
    <w:p>
      <w:pPr>
        <w:pStyle w:val="nzHeading4"/>
      </w:pPr>
      <w:bookmarkStart w:id="1317" w:name="_Toc517437661"/>
      <w:bookmarkStart w:id="1318" w:name="_Toc517438203"/>
      <w:bookmarkStart w:id="1319" w:name="_Toc517440540"/>
      <w:bookmarkStart w:id="1320" w:name="_Toc517447577"/>
      <w:bookmarkStart w:id="1321" w:name="_Toc517450055"/>
      <w:bookmarkStart w:id="1322" w:name="_Toc517450597"/>
      <w:bookmarkStart w:id="1323" w:name="_Toc517857053"/>
      <w:bookmarkStart w:id="1324" w:name="_Toc518293180"/>
      <w:bookmarkStart w:id="1325" w:name="_Toc522744408"/>
      <w:bookmarkStart w:id="1326" w:name="_Toc522747531"/>
      <w:bookmarkStart w:id="1327" w:name="_Toc529183368"/>
      <w:bookmarkStart w:id="1328" w:name="_Toc529188131"/>
      <w:bookmarkStart w:id="1329" w:name="_Toc529434644"/>
      <w:bookmarkStart w:id="1330" w:name="_Toc529524535"/>
      <w:bookmarkStart w:id="1331" w:name="_Toc530474459"/>
      <w:bookmarkStart w:id="1332" w:name="_Toc530475054"/>
      <w:r>
        <w:t>Subdivision 6 — Provision of information</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zHeading5"/>
      </w:pPr>
      <w:bookmarkStart w:id="1333" w:name="_Toc530474460"/>
      <w:bookmarkStart w:id="1334" w:name="_Toc530475055"/>
      <w:r>
        <w:t>107.</w:t>
      </w:r>
      <w:r>
        <w:tab/>
        <w:t>Application by person with proper interest in information</w:t>
      </w:r>
      <w:bookmarkEnd w:id="1333"/>
      <w:bookmarkEnd w:id="1334"/>
    </w:p>
    <w:p>
      <w:pPr>
        <w:pStyle w:val="nzSubsection"/>
      </w:pPr>
      <w:r>
        <w:tab/>
        <w:t>(1)</w:t>
      </w:r>
      <w:r>
        <w:tab/>
        <w:t>A person with a proper interest in information about a strata titles scheme, or a person authorised in writing by such a person, may apply in writing to the strata company for the scheme for —</w:t>
      </w:r>
    </w:p>
    <w:p>
      <w:pPr>
        <w:pStyle w:val="nzIndenta"/>
      </w:pPr>
      <w:r>
        <w:tab/>
        <w:t>(a)</w:t>
      </w:r>
      <w:r>
        <w:tab/>
        <w:t>information under section 108; or</w:t>
      </w:r>
    </w:p>
    <w:p>
      <w:pPr>
        <w:pStyle w:val="nzIndenta"/>
      </w:pPr>
      <w:r>
        <w:tab/>
        <w:t>(b)</w:t>
      </w:r>
      <w:r>
        <w:tab/>
        <w:t>inspection of material under section 109; or</w:t>
      </w:r>
    </w:p>
    <w:p>
      <w:pPr>
        <w:pStyle w:val="nzIndenta"/>
      </w:pPr>
      <w:r>
        <w:tab/>
        <w:t>(c)</w:t>
      </w:r>
      <w:r>
        <w:tab/>
        <w:t>a certificate under section 110.</w:t>
      </w:r>
    </w:p>
    <w:p>
      <w:pPr>
        <w:pStyle w:val="nzSubsection"/>
      </w:pPr>
      <w:r>
        <w:tab/>
        <w:t>(2)</w:t>
      </w:r>
      <w:r>
        <w:tab/>
        <w:t xml:space="preserve">A person has a </w:t>
      </w:r>
      <w:r>
        <w:rPr>
          <w:rStyle w:val="CharDefText"/>
        </w:rPr>
        <w:t>proper interest in information about a strata titles scheme</w:t>
      </w:r>
      <w:r>
        <w:t xml:space="preserve"> if the person is —</w:t>
      </w:r>
    </w:p>
    <w:p>
      <w:pPr>
        <w:pStyle w:val="nzIndenta"/>
      </w:pPr>
      <w:r>
        <w:tab/>
        <w:t>(a)</w:t>
      </w:r>
      <w:r>
        <w:tab/>
        <w:t>a member of the strata company for the scheme; or</w:t>
      </w:r>
    </w:p>
    <w:p>
      <w:pPr>
        <w:pStyle w:val="nzIndenta"/>
      </w:pPr>
      <w:r>
        <w:tab/>
        <w:t>(b)</w:t>
      </w:r>
      <w:r>
        <w:tab/>
        <w:t>a buyer who has entered into a contract for the sale and purchase of a lot in the strata titles scheme; or</w:t>
      </w:r>
    </w:p>
    <w:p>
      <w:pPr>
        <w:pStyle w:val="nzIndenta"/>
      </w:pPr>
      <w:r>
        <w:tab/>
        <w:t>(c)</w:t>
      </w:r>
      <w:r>
        <w:tab/>
        <w:t>a mortgagee of a lot in the strata titles scheme; or</w:t>
      </w:r>
    </w:p>
    <w:p>
      <w:pPr>
        <w:pStyle w:val="nzIndenta"/>
      </w:pPr>
      <w:r>
        <w:tab/>
        <w:t>(d)</w:t>
      </w:r>
      <w:r>
        <w:tab/>
        <w:t>a person of a class specified in the regulations.</w:t>
      </w:r>
    </w:p>
    <w:p>
      <w:pPr>
        <w:pStyle w:val="nzSubsection"/>
      </w:pPr>
      <w:r>
        <w:tab/>
        <w:t>(3)</w:t>
      </w:r>
      <w:r>
        <w:tab/>
        <w:t>A strata company may charge a fee for an application under this section.</w:t>
      </w:r>
    </w:p>
    <w:p>
      <w:pPr>
        <w:pStyle w:val="nzSubsection"/>
      </w:pPr>
      <w:r>
        <w:tab/>
        <w:t>(4)</w:t>
      </w:r>
      <w:r>
        <w:tab/>
        <w:t>However, any fee that is charged must not exceed an amount fixed by the regulations.</w:t>
      </w:r>
    </w:p>
    <w:p>
      <w:pPr>
        <w:pStyle w:val="nzHeading5"/>
      </w:pPr>
      <w:bookmarkStart w:id="1335" w:name="_Toc530474461"/>
      <w:bookmarkStart w:id="1336" w:name="_Toc530475056"/>
      <w:r>
        <w:t>108.</w:t>
      </w:r>
      <w:r>
        <w:tab/>
        <w:t>Contact information</w:t>
      </w:r>
      <w:bookmarkEnd w:id="1335"/>
      <w:bookmarkEnd w:id="1336"/>
    </w:p>
    <w:p>
      <w:pPr>
        <w:pStyle w:val="nzSubsection"/>
      </w:pPr>
      <w:r>
        <w:tab/>
      </w:r>
      <w:r>
        <w:tab/>
        <w:t>A strata company commits an offence if it does not, within 14 days after being given an application for contact information under section 107, provide the applicant with the following as stated in the application —</w:t>
      </w:r>
    </w:p>
    <w:p>
      <w:pPr>
        <w:pStyle w:val="nzIndenta"/>
      </w:pPr>
      <w:r>
        <w:tab/>
        <w:t>(a)</w:t>
      </w:r>
      <w:r>
        <w:tab/>
        <w:t>the name and address for service of a member of the council of the strata company;</w:t>
      </w:r>
    </w:p>
    <w:p>
      <w:pPr>
        <w:pStyle w:val="nzIndenta"/>
      </w:pPr>
      <w:r>
        <w:tab/>
        <w:t>(b)</w:t>
      </w:r>
      <w:r>
        <w:tab/>
        <w:t>the name and address for service of an officer of the strata company;</w:t>
      </w:r>
    </w:p>
    <w:p>
      <w:pPr>
        <w:pStyle w:val="nzPenstart"/>
      </w:pPr>
      <w:r>
        <w:tab/>
      </w:r>
      <w:r>
        <w:rPr>
          <w:snapToGrid w:val="0"/>
        </w:rPr>
        <w:t>Penalty: a fine of $3 000.</w:t>
      </w:r>
    </w:p>
    <w:p>
      <w:pPr>
        <w:pStyle w:val="nzHeading5"/>
      </w:pPr>
      <w:bookmarkStart w:id="1337" w:name="_Toc530474462"/>
      <w:bookmarkStart w:id="1338" w:name="_Toc530475057"/>
      <w:r>
        <w:t>109.</w:t>
      </w:r>
      <w:r>
        <w:tab/>
        <w:t>Inspection of material</w:t>
      </w:r>
      <w:bookmarkEnd w:id="1337"/>
      <w:bookmarkEnd w:id="1338"/>
    </w:p>
    <w:p>
      <w:pPr>
        <w:pStyle w:val="nzSubsection"/>
      </w:pPr>
      <w:r>
        <w:tab/>
        <w:t>(1)</w:t>
      </w:r>
      <w:r>
        <w:tab/>
        <w:t>A strata company commits an offence if, on application for inspection under section 107, it does not make material to which this section applies available for inspection by the applicant at a place and time —</w:t>
      </w:r>
    </w:p>
    <w:p>
      <w:pPr>
        <w:pStyle w:val="nzIndenta"/>
      </w:pPr>
      <w:r>
        <w:tab/>
        <w:t>(a)</w:t>
      </w:r>
      <w:r>
        <w:tab/>
        <w:t>agreed between the strata company and the person; or</w:t>
      </w:r>
    </w:p>
    <w:p>
      <w:pPr>
        <w:pStyle w:val="nzIndenta"/>
      </w:pPr>
      <w:r>
        <w:tab/>
        <w:t>(b)</w:t>
      </w:r>
      <w:r>
        <w:tab/>
        <w:t>if agreement is not reached within 3 days after the strata company is given the application, specified in a written notice given by the strata company to the person.</w:t>
      </w:r>
    </w:p>
    <w:p>
      <w:pPr>
        <w:pStyle w:val="nzPenstart"/>
        <w:rPr>
          <w:snapToGrid w:val="0"/>
        </w:rPr>
      </w:pPr>
      <w:r>
        <w:rPr>
          <w:snapToGrid w:val="0"/>
        </w:rPr>
        <w:tab/>
        <w:t>Penalty for this subsection: a fine of $3 000.</w:t>
      </w:r>
    </w:p>
    <w:p>
      <w:pPr>
        <w:pStyle w:val="nzSubsection"/>
      </w:pPr>
      <w:r>
        <w:tab/>
        <w:t>(2)</w:t>
      </w:r>
      <w:r>
        <w:tab/>
        <w:t>The time specified in a notice under subsection (1)(b) must be between 9am and 5pm on a day not more than 10 days after the strata company is given the application.</w:t>
      </w:r>
    </w:p>
    <w:p>
      <w:pPr>
        <w:pStyle w:val="nzSubsection"/>
      </w:pPr>
      <w:r>
        <w:tab/>
        <w:t>(3)</w:t>
      </w:r>
      <w:r>
        <w:tab/>
        <w:t>The material may be made available in electronic or hard copy form.</w:t>
      </w:r>
    </w:p>
    <w:p>
      <w:pPr>
        <w:pStyle w:val="nzSubsection"/>
      </w:pPr>
      <w:r>
        <w:tab/>
        <w:t>(4)</w:t>
      </w:r>
      <w:r>
        <w:tab/>
        <w:t>A person inspecting material under this section —</w:t>
      </w:r>
    </w:p>
    <w:p>
      <w:pPr>
        <w:pStyle w:val="nzIndenta"/>
      </w:pPr>
      <w:r>
        <w:tab/>
        <w:t>(a)</w:t>
      </w:r>
      <w:r>
        <w:tab/>
        <w:t>may take extracts from, or make a copy of, the material, including by photographing it, subject to any limitations specified in the regulations; and</w:t>
      </w:r>
    </w:p>
    <w:p>
      <w:pPr>
        <w:pStyle w:val="nzIndenta"/>
      </w:pPr>
      <w:r>
        <w:tab/>
        <w:t>(b)</w:t>
      </w:r>
      <w:r>
        <w:tab/>
        <w:t>must not, without the consent of the strata company, remove physical material from the custody of the strata company; and</w:t>
      </w:r>
    </w:p>
    <w:p>
      <w:pPr>
        <w:pStyle w:val="nzIndenta"/>
      </w:pPr>
      <w:r>
        <w:tab/>
        <w:t>(c)</w:t>
      </w:r>
      <w:r>
        <w:tab/>
        <w:t>must not alter, damage, conceal or destroy any material or entry.</w:t>
      </w:r>
    </w:p>
    <w:p>
      <w:pPr>
        <w:pStyle w:val="nz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nzSubsection"/>
      </w:pPr>
      <w:r>
        <w:tab/>
        <w:t>(6)</w:t>
      </w:r>
      <w:r>
        <w:tab/>
        <w:t>This section applies to the following —</w:t>
      </w:r>
    </w:p>
    <w:p>
      <w:pPr>
        <w:pStyle w:val="nzIndenta"/>
      </w:pPr>
      <w:r>
        <w:tab/>
        <w:t>(a)</w:t>
      </w:r>
      <w:r>
        <w:tab/>
        <w:t>material kept under section 104;</w:t>
      </w:r>
    </w:p>
    <w:p>
      <w:pPr>
        <w:pStyle w:val="nzIndenta"/>
      </w:pPr>
      <w:r>
        <w:tab/>
        <w:t>(b)</w:t>
      </w:r>
      <w:r>
        <w:tab/>
        <w:t>the roll kept under section 105;</w:t>
      </w:r>
    </w:p>
    <w:p>
      <w:pPr>
        <w:pStyle w:val="nzIndenta"/>
      </w:pPr>
      <w:r>
        <w:tab/>
        <w:t>(c)</w:t>
      </w:r>
      <w:r>
        <w:tab/>
        <w:t>other documents in the possession or control of the strata company.</w:t>
      </w:r>
    </w:p>
    <w:p>
      <w:pPr>
        <w:pStyle w:val="nzHeading5"/>
      </w:pPr>
      <w:bookmarkStart w:id="1339" w:name="_Toc530474463"/>
      <w:bookmarkStart w:id="1340" w:name="_Toc530475058"/>
      <w:r>
        <w:t>110.</w:t>
      </w:r>
      <w:r>
        <w:tab/>
        <w:t>Certificates</w:t>
      </w:r>
      <w:bookmarkEnd w:id="1339"/>
      <w:bookmarkEnd w:id="1340"/>
    </w:p>
    <w:p>
      <w:pPr>
        <w:pStyle w:val="nz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nzIndenta"/>
      </w:pPr>
      <w:r>
        <w:tab/>
        <w:t>(a)</w:t>
      </w:r>
      <w:r>
        <w:tab/>
        <w:t>whether or not a strata management contract is in effect and, if so, when the contract starts and ends;</w:t>
      </w:r>
    </w:p>
    <w:p>
      <w:pPr>
        <w:pStyle w:val="nzIndenta"/>
      </w:pPr>
      <w:r>
        <w:tab/>
        <w:t>(b)</w:t>
      </w:r>
      <w:r>
        <w:tab/>
        <w:t>details of any contracts of insurance maintained by the strata company, including the name of the insurer, the contract number, the type and amount of cover, and the expiry day;</w:t>
      </w:r>
    </w:p>
    <w:p>
      <w:pPr>
        <w:pStyle w:val="nz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nzPenstart"/>
        <w:rPr>
          <w:snapToGrid w:val="0"/>
        </w:rPr>
      </w:pPr>
      <w:r>
        <w:rPr>
          <w:snapToGrid w:val="0"/>
        </w:rPr>
        <w:tab/>
        <w:t>Penalty for this subsection: a fine of $3 000.</w:t>
      </w:r>
    </w:p>
    <w:p>
      <w:pPr>
        <w:pStyle w:val="nzSubsection"/>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nzIndenta"/>
      </w:pPr>
      <w:r>
        <w:tab/>
        <w:t>(a)</w:t>
      </w:r>
      <w:r>
        <w:tab/>
        <w:t>the amount and due date of contributions determined for the lot —</w:t>
      </w:r>
    </w:p>
    <w:p>
      <w:pPr>
        <w:pStyle w:val="nzIndenti"/>
      </w:pPr>
      <w:r>
        <w:tab/>
        <w:t>(i)</w:t>
      </w:r>
      <w:r>
        <w:tab/>
        <w:t>at the most recent annual general meeting of the strata company; and</w:t>
      </w:r>
    </w:p>
    <w:p>
      <w:pPr>
        <w:pStyle w:val="nzIndenti"/>
      </w:pPr>
      <w:r>
        <w:tab/>
        <w:t>(ii)</w:t>
      </w:r>
      <w:r>
        <w:tab/>
        <w:t>at any time subsequent to that meeting; and</w:t>
      </w:r>
    </w:p>
    <w:p>
      <w:pPr>
        <w:pStyle w:val="nzIndenti"/>
      </w:pPr>
      <w:r>
        <w:tab/>
        <w:t>(iii)</w:t>
      </w:r>
      <w:r>
        <w:tab/>
        <w:t>in the previous 12 months;</w:t>
      </w:r>
    </w:p>
    <w:p>
      <w:pPr>
        <w:pStyle w:val="nzIndenta"/>
      </w:pPr>
      <w:r>
        <w:tab/>
        <w:t>(b)</w:t>
      </w:r>
      <w:r>
        <w:tab/>
        <w:t>any amount owed to the strata company by the owner or occupier of the lot that is outstanding, the date on which it became outstanding, and the nature of the payment;</w:t>
      </w:r>
    </w:p>
    <w:p>
      <w:pPr>
        <w:pStyle w:val="nzPermNoteHeading"/>
      </w:pPr>
      <w:r>
        <w:tab/>
        <w:t>Note for this paragraph:</w:t>
      </w:r>
    </w:p>
    <w:p>
      <w:pPr>
        <w:pStyle w:val="nzPermNoteText"/>
      </w:pPr>
      <w:r>
        <w:tab/>
      </w:r>
      <w:r>
        <w:tab/>
        <w:t>For example, the amount may be an amount of —</w:t>
      </w:r>
    </w:p>
    <w:p>
      <w:pPr>
        <w:pStyle w:val="nzPermNoteText"/>
      </w:pPr>
      <w:r>
        <w:t>contributions; or</w:t>
      </w:r>
    </w:p>
    <w:p>
      <w:pPr>
        <w:pStyle w:val="nzPermNoteText"/>
      </w:pPr>
      <w:r>
        <w:t>an amount payable under exclusive use by</w:t>
      </w:r>
      <w:r>
        <w:noBreakHyphen/>
        <w:t>laws; or</w:t>
      </w:r>
    </w:p>
    <w:p>
      <w:pPr>
        <w:pStyle w:val="nzPermNoteText"/>
      </w:pPr>
      <w:r>
        <w:t>an amount payable for work undertaken on the part of the owner of the lot; or</w:t>
      </w:r>
    </w:p>
    <w:p>
      <w:pPr>
        <w:pStyle w:val="nzPermNoteText"/>
      </w:pPr>
      <w:r>
        <w:t>any penalty or other amount ordered to be paid by the Tribunal; or</w:t>
      </w:r>
    </w:p>
    <w:p>
      <w:pPr>
        <w:pStyle w:val="nzPermNoteText"/>
      </w:pPr>
      <w:r>
        <w:t>any amount payable for utility services or other services or amenities.</w:t>
      </w:r>
    </w:p>
    <w:p>
      <w:pPr>
        <w:pStyle w:val="nzIndenta"/>
      </w:pPr>
      <w:r>
        <w:tab/>
        <w:t>(c)</w:t>
      </w:r>
      <w:r>
        <w:tab/>
        <w:t>the rate of interest payable in respect of the outstanding amount.</w:t>
      </w:r>
    </w:p>
    <w:p>
      <w:pPr>
        <w:pStyle w:val="nzPenstart"/>
        <w:rPr>
          <w:snapToGrid w:val="0"/>
        </w:rPr>
      </w:pPr>
      <w:r>
        <w:rPr>
          <w:snapToGrid w:val="0"/>
        </w:rPr>
        <w:tab/>
        <w:t>Penalty for this subsection: a fine of $3 000.</w:t>
      </w:r>
    </w:p>
    <w:p>
      <w:pPr>
        <w:pStyle w:val="nz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nzHeading5"/>
      </w:pPr>
      <w:bookmarkStart w:id="1341" w:name="_Toc530474464"/>
      <w:bookmarkStart w:id="1342" w:name="_Toc530475059"/>
      <w:r>
        <w:t>111.</w:t>
      </w:r>
      <w:r>
        <w:tab/>
        <w:t>Legal professional privilege and defamation</w:t>
      </w:r>
      <w:bookmarkEnd w:id="1341"/>
      <w:bookmarkEnd w:id="1342"/>
    </w:p>
    <w:p>
      <w:pPr>
        <w:pStyle w:val="nzSubsection"/>
        <w:rPr>
          <w:snapToGrid w:val="0"/>
        </w:rPr>
      </w:pPr>
      <w:r>
        <w:tab/>
        <w:t>(1)</w:t>
      </w:r>
      <w:r>
        <w:tab/>
      </w:r>
      <w:r>
        <w:rPr>
          <w:snapToGrid w:val="0"/>
        </w:rPr>
        <w:t>Nothing in this Subdivision requires a strata company —</w:t>
      </w:r>
    </w:p>
    <w:p>
      <w:pPr>
        <w:pStyle w:val="nzIndenta"/>
      </w:pPr>
      <w:r>
        <w:tab/>
        <w:t>(a)</w:t>
      </w:r>
      <w:r>
        <w:tab/>
        <w:t>to give or certify any information that is the subject of legal professional privilege; or</w:t>
      </w:r>
    </w:p>
    <w:p>
      <w:pPr>
        <w:pStyle w:val="nzIndenta"/>
      </w:pPr>
      <w:r>
        <w:tab/>
        <w:t>(b)</w:t>
      </w:r>
      <w:r>
        <w:tab/>
        <w:t>to make available a document or a part of a document if that would disclose information that is the subject of legal professional privilege.</w:t>
      </w:r>
    </w:p>
    <w:p>
      <w:pPr>
        <w:pStyle w:val="nzSubsection"/>
        <w:rPr>
          <w:snapToGrid w:val="0"/>
        </w:rPr>
      </w:pPr>
      <w:r>
        <w:tab/>
        <w:t>(2)</w:t>
      </w:r>
      <w:r>
        <w:tab/>
      </w:r>
      <w:r>
        <w:rPr>
          <w:snapToGrid w:val="0"/>
        </w:rPr>
        <w:t>It is a defence to an action for defamation if the defendant proves that —</w:t>
      </w:r>
    </w:p>
    <w:p>
      <w:pPr>
        <w:pStyle w:val="nzIndenta"/>
      </w:pPr>
      <w:r>
        <w:tab/>
        <w:t>(a)</w:t>
      </w:r>
      <w:r>
        <w:tab/>
        <w:t>the defamatory matter was contained in information or a document mentioned in this Subdivision; and</w:t>
      </w:r>
    </w:p>
    <w:p>
      <w:pPr>
        <w:pStyle w:val="nzIndenta"/>
      </w:pPr>
      <w:r>
        <w:tab/>
        <w:t>(b)</w:t>
      </w:r>
      <w:r>
        <w:tab/>
        <w:t>the publication consisted of giving or certifying the information, or making the document available, in accordance with this Subdivision.</w:t>
      </w:r>
    </w:p>
    <w:p>
      <w:pPr>
        <w:pStyle w:val="nzHeading4"/>
      </w:pPr>
      <w:bookmarkStart w:id="1343" w:name="_Toc517437667"/>
      <w:bookmarkStart w:id="1344" w:name="_Toc517438209"/>
      <w:bookmarkStart w:id="1345" w:name="_Toc517440546"/>
      <w:bookmarkStart w:id="1346" w:name="_Toc517447583"/>
      <w:bookmarkStart w:id="1347" w:name="_Toc517450061"/>
      <w:bookmarkStart w:id="1348" w:name="_Toc517450603"/>
      <w:bookmarkStart w:id="1349" w:name="_Toc517857059"/>
      <w:bookmarkStart w:id="1350" w:name="_Toc518293186"/>
      <w:bookmarkStart w:id="1351" w:name="_Toc522744414"/>
      <w:bookmarkStart w:id="1352" w:name="_Toc522747537"/>
      <w:bookmarkStart w:id="1353" w:name="_Toc529183374"/>
      <w:bookmarkStart w:id="1354" w:name="_Toc529188137"/>
      <w:bookmarkStart w:id="1355" w:name="_Toc529434650"/>
      <w:bookmarkStart w:id="1356" w:name="_Toc529524541"/>
      <w:bookmarkStart w:id="1357" w:name="_Toc530474465"/>
      <w:bookmarkStart w:id="1358" w:name="_Toc530475060"/>
      <w:r>
        <w:t>Subdivision 7 — Miscellaneous powers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nzHeading5"/>
      </w:pPr>
      <w:bookmarkStart w:id="1359" w:name="_Toc530474466"/>
      <w:bookmarkStart w:id="1360" w:name="_Toc530475061"/>
      <w:r>
        <w:t>112.</w:t>
      </w:r>
      <w:r>
        <w:tab/>
        <w:t>Compliance with scheme by</w:t>
      </w:r>
      <w:r>
        <w:noBreakHyphen/>
        <w:t>laws</w:t>
      </w:r>
      <w:bookmarkEnd w:id="1359"/>
      <w:bookmarkEnd w:id="1360"/>
    </w:p>
    <w:p>
      <w:pPr>
        <w:pStyle w:val="nzSubsection"/>
      </w:pPr>
      <w:r>
        <w:tab/>
      </w:r>
      <w:r>
        <w:tab/>
        <w:t>A strata company has the function of complying with the scheme by</w:t>
      </w:r>
      <w:r>
        <w:noBreakHyphen/>
        <w:t>laws and enforcing compliance with those by</w:t>
      </w:r>
      <w:r>
        <w:noBreakHyphen/>
        <w:t>laws by others to whom they apply.</w:t>
      </w:r>
    </w:p>
    <w:p>
      <w:pPr>
        <w:pStyle w:val="nzHeading5"/>
      </w:pPr>
      <w:bookmarkStart w:id="1361" w:name="_Toc530474467"/>
      <w:bookmarkStart w:id="1362" w:name="_Toc530475062"/>
      <w:r>
        <w:t>113.</w:t>
      </w:r>
      <w:r>
        <w:tab/>
        <w:t>Enforcement of road laws</w:t>
      </w:r>
      <w:bookmarkEnd w:id="1361"/>
      <w:bookmarkEnd w:id="1362"/>
    </w:p>
    <w:p>
      <w:pPr>
        <w:pStyle w:val="nzSubsection"/>
      </w:pPr>
      <w:r>
        <w:tab/>
      </w:r>
      <w:r>
        <w:tab/>
        <w:t>A strata company may enter into a contract or arrangement with a local government about the enforcement of laws relating to roads on the parcel.</w:t>
      </w:r>
    </w:p>
    <w:p>
      <w:pPr>
        <w:pStyle w:val="nzHeading5"/>
      </w:pPr>
      <w:bookmarkStart w:id="1363" w:name="_Toc530474468"/>
      <w:bookmarkStart w:id="1364" w:name="_Toc530475063"/>
      <w:r>
        <w:t>114.</w:t>
      </w:r>
      <w:r>
        <w:tab/>
        <w:t>Enforcement of local laws</w:t>
      </w:r>
      <w:bookmarkEnd w:id="1363"/>
      <w:bookmarkEnd w:id="1364"/>
    </w:p>
    <w:p>
      <w:pPr>
        <w:pStyle w:val="nzSubsection"/>
      </w:pPr>
      <w:r>
        <w:tab/>
      </w:r>
      <w:r>
        <w:tab/>
        <w:t>A strata company may enter into a contract or arrangement with a local government about the enforcement of a local law on the parcel.</w:t>
      </w:r>
    </w:p>
    <w:p>
      <w:pPr>
        <w:pStyle w:val="nzHeading4"/>
      </w:pPr>
      <w:bookmarkStart w:id="1365" w:name="_Toc517437671"/>
      <w:bookmarkStart w:id="1366" w:name="_Toc517438213"/>
      <w:bookmarkStart w:id="1367" w:name="_Toc517440550"/>
      <w:bookmarkStart w:id="1368" w:name="_Toc517447587"/>
      <w:bookmarkStart w:id="1369" w:name="_Toc517450065"/>
      <w:bookmarkStart w:id="1370" w:name="_Toc517450607"/>
      <w:bookmarkStart w:id="1371" w:name="_Toc517857063"/>
      <w:bookmarkStart w:id="1372" w:name="_Toc518293190"/>
      <w:bookmarkStart w:id="1373" w:name="_Toc522744418"/>
      <w:bookmarkStart w:id="1374" w:name="_Toc522747541"/>
      <w:bookmarkStart w:id="1375" w:name="_Toc529183378"/>
      <w:bookmarkStart w:id="1376" w:name="_Toc529188141"/>
      <w:bookmarkStart w:id="1377" w:name="_Toc529434654"/>
      <w:bookmarkStart w:id="1378" w:name="_Toc529524545"/>
      <w:bookmarkStart w:id="1379" w:name="_Toc530474469"/>
      <w:bookmarkStart w:id="1380" w:name="_Toc530475064"/>
      <w:r>
        <w:t>Subdivision 8 — Limitations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nzHeading5"/>
      </w:pPr>
      <w:bookmarkStart w:id="1381" w:name="_Toc530474470"/>
      <w:bookmarkStart w:id="1382" w:name="_Toc530475065"/>
      <w:r>
        <w:t>117.</w:t>
      </w:r>
      <w:r>
        <w:tab/>
        <w:t>Limitations on exercise of powers</w:t>
      </w:r>
      <w:bookmarkEnd w:id="1381"/>
      <w:bookmarkEnd w:id="1382"/>
    </w:p>
    <w:p>
      <w:pPr>
        <w:pStyle w:val="nzSubsection"/>
      </w:pPr>
      <w:r>
        <w:tab/>
        <w:t>(1)</w:t>
      </w:r>
      <w:r>
        <w:tab/>
        <w:t>A strata company must not —</w:t>
      </w:r>
    </w:p>
    <w:p>
      <w:pPr>
        <w:pStyle w:val="nzIndenta"/>
      </w:pPr>
      <w:r>
        <w:tab/>
        <w:t>(a)</w:t>
      </w:r>
      <w:r>
        <w:tab/>
        <w:t>acquire or dispose of land, or an interest in land, except as authorised under section 92 or 93; or</w:t>
      </w:r>
    </w:p>
    <w:p>
      <w:pPr>
        <w:pStyle w:val="nzIndenta"/>
      </w:pPr>
      <w:r>
        <w:tab/>
        <w:t>(b)</w:t>
      </w:r>
      <w:r>
        <w:tab/>
        <w:t>mortgage common property; or</w:t>
      </w:r>
    </w:p>
    <w:p>
      <w:pPr>
        <w:pStyle w:val="nzIndenta"/>
      </w:pPr>
      <w:r>
        <w:tab/>
        <w:t>(c)</w:t>
      </w:r>
      <w:r>
        <w:tab/>
        <w:t>act as a guarantor; or</w:t>
      </w:r>
    </w:p>
    <w:p>
      <w:pPr>
        <w:pStyle w:val="nzIndenta"/>
      </w:pPr>
      <w:r>
        <w:tab/>
        <w:t>(d)</w:t>
      </w:r>
      <w:r>
        <w:tab/>
        <w:t>establish a corporation or subsidiary of a corporation; or</w:t>
      </w:r>
    </w:p>
    <w:p>
      <w:pPr>
        <w:pStyle w:val="nzIndenta"/>
      </w:pPr>
      <w:r>
        <w:tab/>
        <w:t>(e)</w:t>
      </w:r>
      <w:r>
        <w:tab/>
        <w:t>engage in an activity that a strata company must not engage in under the regulations.</w:t>
      </w:r>
    </w:p>
    <w:p>
      <w:pPr>
        <w:pStyle w:val="nzSubsection"/>
      </w:pPr>
      <w:r>
        <w:tab/>
        <w:t>(2)</w:t>
      </w:r>
      <w:r>
        <w:tab/>
        <w:t>A strata company must not, except as authorised by resolution without dissent, perform or exercise a function that the regulations allow to be exercised only as authorised by resolution without dissent.</w:t>
      </w:r>
    </w:p>
    <w:p>
      <w:pPr>
        <w:pStyle w:val="nzHeading5"/>
      </w:pPr>
      <w:bookmarkStart w:id="1383" w:name="_Toc530474471"/>
      <w:bookmarkStart w:id="1384" w:name="_Toc530475066"/>
      <w:r>
        <w:t>118.</w:t>
      </w:r>
      <w:r>
        <w:tab/>
        <w:t>Common seal and execution of documents</w:t>
      </w:r>
      <w:bookmarkEnd w:id="1383"/>
      <w:bookmarkEnd w:id="1384"/>
    </w:p>
    <w:p>
      <w:pPr>
        <w:pStyle w:val="nzSubsection"/>
      </w:pPr>
      <w:r>
        <w:tab/>
        <w:t>(1)</w:t>
      </w:r>
      <w:r>
        <w:tab/>
        <w:t>If a strata company has a common seal —</w:t>
      </w:r>
    </w:p>
    <w:p>
      <w:pPr>
        <w:pStyle w:val="nzIndenta"/>
      </w:pPr>
      <w:r>
        <w:tab/>
        <w:t>(a)</w:t>
      </w:r>
      <w:r>
        <w:tab/>
        <w:t>the seal may be used only as authorised by ordinary resolution of the strata company; and</w:t>
      </w:r>
    </w:p>
    <w:p>
      <w:pPr>
        <w:pStyle w:val="nzIndenta"/>
      </w:pPr>
      <w:r>
        <w:tab/>
        <w:t>(b)</w:t>
      </w:r>
      <w:r>
        <w:tab/>
        <w:t>its use must be attested by the signatures of 2 members of the council of the strata company.</w:t>
      </w:r>
    </w:p>
    <w:p>
      <w:pPr>
        <w:pStyle w:val="nzSubsection"/>
      </w:pPr>
      <w:r>
        <w:tab/>
        <w:t>(2)</w:t>
      </w:r>
      <w:r>
        <w:tab/>
        <w:t>A strata company may, by ordinary resolution, authorise any of the following to execute documents on its behalf subject to any conditions or limitations specified in the resolution —</w:t>
      </w:r>
    </w:p>
    <w:p>
      <w:pPr>
        <w:pStyle w:val="nzIndenta"/>
      </w:pPr>
      <w:r>
        <w:tab/>
        <w:t>(a)</w:t>
      </w:r>
      <w:r>
        <w:tab/>
        <w:t>a member of the council of the strata company; or</w:t>
      </w:r>
    </w:p>
    <w:p>
      <w:pPr>
        <w:pStyle w:val="nzIndenta"/>
      </w:pPr>
      <w:r>
        <w:tab/>
        <w:t>(b)</w:t>
      </w:r>
      <w:r>
        <w:tab/>
        <w:t>members of the council of the strata company acting jointly; or</w:t>
      </w:r>
    </w:p>
    <w:p>
      <w:pPr>
        <w:pStyle w:val="nzIndenta"/>
      </w:pPr>
      <w:r>
        <w:tab/>
        <w:t>(c)</w:t>
      </w:r>
      <w:r>
        <w:tab/>
        <w:t>a strata manager of the strata company.</w:t>
      </w:r>
    </w:p>
    <w:p>
      <w:pPr>
        <w:pStyle w:val="nzSubsection"/>
      </w:pPr>
      <w:r>
        <w:tab/>
        <w:t>(3)</w:t>
      </w:r>
      <w:r>
        <w:tab/>
        <w:t>A document is duly executed by a strata company if —</w:t>
      </w:r>
    </w:p>
    <w:p>
      <w:pPr>
        <w:pStyle w:val="nzIndenta"/>
      </w:pPr>
      <w:r>
        <w:tab/>
        <w:t>(a)</w:t>
      </w:r>
      <w:r>
        <w:tab/>
        <w:t>the common seal of the strata company is applied to it in accordance with this section; or</w:t>
      </w:r>
    </w:p>
    <w:p>
      <w:pPr>
        <w:pStyle w:val="nzIndenta"/>
      </w:pPr>
      <w:r>
        <w:tab/>
        <w:t>(b)</w:t>
      </w:r>
      <w:r>
        <w:tab/>
        <w:t>the document is signed on behalf of the strata company by a person or persons in accordance with an authority conferred under this section.</w:t>
      </w:r>
    </w:p>
    <w:p>
      <w:pPr>
        <w:pStyle w:val="nz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nzHeading3"/>
      </w:pPr>
      <w:bookmarkStart w:id="1385" w:name="_Toc517437674"/>
      <w:bookmarkStart w:id="1386" w:name="_Toc517438216"/>
      <w:bookmarkStart w:id="1387" w:name="_Toc517440553"/>
      <w:bookmarkStart w:id="1388" w:name="_Toc517447590"/>
      <w:bookmarkStart w:id="1389" w:name="_Toc517450068"/>
      <w:bookmarkStart w:id="1390" w:name="_Toc517450610"/>
      <w:bookmarkStart w:id="1391" w:name="_Toc517857066"/>
      <w:bookmarkStart w:id="1392" w:name="_Toc518293193"/>
      <w:bookmarkStart w:id="1393" w:name="_Toc522744421"/>
      <w:bookmarkStart w:id="1394" w:name="_Toc522747544"/>
      <w:bookmarkStart w:id="1395" w:name="_Toc529183381"/>
      <w:bookmarkStart w:id="1396" w:name="_Toc529188144"/>
      <w:bookmarkStart w:id="1397" w:name="_Toc529434657"/>
      <w:bookmarkStart w:id="1398" w:name="_Toc529524548"/>
      <w:bookmarkStart w:id="1399" w:name="_Toc530474472"/>
      <w:bookmarkStart w:id="1400" w:name="_Toc530475067"/>
      <w:r>
        <w:t>Division 2 — Objectives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nzHeading5"/>
      </w:pPr>
      <w:bookmarkStart w:id="1401" w:name="_Toc530474473"/>
      <w:bookmarkStart w:id="1402" w:name="_Toc530475068"/>
      <w:r>
        <w:t>119.</w:t>
      </w:r>
      <w:r>
        <w:tab/>
        <w:t>Objectives</w:t>
      </w:r>
      <w:bookmarkEnd w:id="1401"/>
      <w:bookmarkEnd w:id="1402"/>
    </w:p>
    <w:p>
      <w:pPr>
        <w:pStyle w:val="nz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nzIndenta"/>
      </w:pPr>
      <w:r>
        <w:tab/>
        <w:t>(a)</w:t>
      </w:r>
      <w:r>
        <w:tab/>
        <w:t>unfairly prejudicial to or discriminatory against a person; or</w:t>
      </w:r>
    </w:p>
    <w:p>
      <w:pPr>
        <w:pStyle w:val="nzIndenta"/>
      </w:pPr>
      <w:r>
        <w:tab/>
        <w:t>(b)</w:t>
      </w:r>
      <w:r>
        <w:tab/>
        <w:t>oppressive or unreasonable.</w:t>
      </w:r>
    </w:p>
    <w:p>
      <w:pPr>
        <w:pStyle w:val="nzSubsection"/>
      </w:pPr>
      <w:r>
        <w:tab/>
        <w:t>(2)</w:t>
      </w:r>
      <w:r>
        <w:tab/>
        <w:t>In achieving that objective, a strata company —</w:t>
      </w:r>
    </w:p>
    <w:p>
      <w:pPr>
        <w:pStyle w:val="nzIndenta"/>
      </w:pPr>
      <w:r>
        <w:tab/>
        <w:t>(a)</w:t>
      </w:r>
      <w:r>
        <w:tab/>
        <w:t>must take into account any failure of a person to act consistently with this Act or the scheme by</w:t>
      </w:r>
      <w:r>
        <w:noBreakHyphen/>
        <w:t>laws; and</w:t>
      </w:r>
    </w:p>
    <w:p>
      <w:pPr>
        <w:pStyle w:val="nzIndenta"/>
      </w:pPr>
      <w:r>
        <w:tab/>
        <w:t>(b)</w:t>
      </w:r>
      <w:r>
        <w:tab/>
        <w:t>must consider the merits of any proposal put to it and the options that are reasonably available in any particular circumstances; and</w:t>
      </w:r>
    </w:p>
    <w:p>
      <w:pPr>
        <w:pStyle w:val="nzIndenta"/>
      </w:pPr>
      <w:r>
        <w:tab/>
        <w:t>(c)</w:t>
      </w:r>
      <w:r>
        <w:tab/>
        <w:t>must be aware that —</w:t>
      </w:r>
    </w:p>
    <w:p>
      <w:pPr>
        <w:pStyle w:val="nz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nzIndenti"/>
      </w:pPr>
      <w:r>
        <w:tab/>
        <w:t>(ii)</w:t>
      </w:r>
      <w:r>
        <w:tab/>
        <w:t>the fact that a person has chosen to become the owner of a lot does not prevent the person challenging the performance of a function for failure to meet that objective.</w:t>
      </w:r>
    </w:p>
    <w:p>
      <w:pPr>
        <w:pStyle w:val="nzSubsection"/>
      </w:pPr>
      <w:r>
        <w:tab/>
        <w:t>(3)</w:t>
      </w:r>
      <w:r>
        <w:tab/>
        <w:t>Without limitation, a strata company acts oppressively or unreasonably in passing or not passing a resolution if —</w:t>
      </w:r>
    </w:p>
    <w:p>
      <w:pPr>
        <w:pStyle w:val="nzIndenta"/>
      </w:pPr>
      <w:r>
        <w:tab/>
        <w:t>(a)</w:t>
      </w:r>
      <w:r>
        <w:tab/>
        <w:t>the resolution would not have been passed, or not have been passed as a particular type of resolution, but for the fact that a person was improperly denied a vote on the resolution; or</w:t>
      </w:r>
    </w:p>
    <w:p>
      <w:pPr>
        <w:pStyle w:val="nzIndenta"/>
      </w:pPr>
      <w:r>
        <w:tab/>
        <w:t>(b)</w:t>
      </w:r>
      <w:r>
        <w:tab/>
        <w:t>the resolution would have been passed, or would have been passed as a particular type of resolution, if a person had properly been given an opportunity to vote on the resolution.</w:t>
      </w:r>
    </w:p>
    <w:p>
      <w:pPr>
        <w:pStyle w:val="nzHeading3"/>
      </w:pPr>
      <w:bookmarkStart w:id="1403" w:name="_Toc517437676"/>
      <w:bookmarkStart w:id="1404" w:name="_Toc517438218"/>
      <w:bookmarkStart w:id="1405" w:name="_Toc517440555"/>
      <w:bookmarkStart w:id="1406" w:name="_Toc517447592"/>
      <w:bookmarkStart w:id="1407" w:name="_Toc517450070"/>
      <w:bookmarkStart w:id="1408" w:name="_Toc517450612"/>
      <w:bookmarkStart w:id="1409" w:name="_Toc517857068"/>
      <w:bookmarkStart w:id="1410" w:name="_Toc518293195"/>
      <w:bookmarkStart w:id="1411" w:name="_Toc522744423"/>
      <w:bookmarkStart w:id="1412" w:name="_Toc522747546"/>
      <w:bookmarkStart w:id="1413" w:name="_Toc529183383"/>
      <w:bookmarkStart w:id="1414" w:name="_Toc529188146"/>
      <w:bookmarkStart w:id="1415" w:name="_Toc529434659"/>
      <w:bookmarkStart w:id="1416" w:name="_Toc529524550"/>
      <w:bookmarkStart w:id="1417" w:name="_Toc530474474"/>
      <w:bookmarkStart w:id="1418" w:name="_Toc530475069"/>
      <w:r>
        <w:t>Division 3 — Procedures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nzHeading4"/>
      </w:pPr>
      <w:bookmarkStart w:id="1419" w:name="_Toc517437677"/>
      <w:bookmarkStart w:id="1420" w:name="_Toc517438219"/>
      <w:bookmarkStart w:id="1421" w:name="_Toc517440556"/>
      <w:bookmarkStart w:id="1422" w:name="_Toc517447593"/>
      <w:bookmarkStart w:id="1423" w:name="_Toc517450071"/>
      <w:bookmarkStart w:id="1424" w:name="_Toc517450613"/>
      <w:bookmarkStart w:id="1425" w:name="_Toc517857069"/>
      <w:bookmarkStart w:id="1426" w:name="_Toc518293196"/>
      <w:bookmarkStart w:id="1427" w:name="_Toc522744424"/>
      <w:bookmarkStart w:id="1428" w:name="_Toc522747547"/>
      <w:bookmarkStart w:id="1429" w:name="_Toc529183384"/>
      <w:bookmarkStart w:id="1430" w:name="_Toc529188147"/>
      <w:bookmarkStart w:id="1431" w:name="_Toc529434660"/>
      <w:bookmarkStart w:id="1432" w:name="_Toc529524551"/>
      <w:bookmarkStart w:id="1433" w:name="_Toc530474475"/>
      <w:bookmarkStart w:id="1434" w:name="_Toc530475070"/>
      <w:r>
        <w:t>Subdivision 1 — Voting and resolutions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nzHeading5"/>
      </w:pPr>
      <w:bookmarkStart w:id="1435" w:name="_Toc530474476"/>
      <w:bookmarkStart w:id="1436" w:name="_Toc530475071"/>
      <w:r>
        <w:t>120.</w:t>
      </w:r>
      <w:r>
        <w:tab/>
        <w:t>Voting</w:t>
      </w:r>
      <w:bookmarkEnd w:id="1435"/>
      <w:bookmarkEnd w:id="1436"/>
    </w:p>
    <w:p>
      <w:pPr>
        <w:pStyle w:val="nzSubsection"/>
      </w:pPr>
      <w:r>
        <w:tab/>
        <w:t>(1)</w:t>
      </w:r>
      <w:r>
        <w:tab/>
        <w:t>The owner of each lot in a strata titles scheme is entitled to 1 vote on a proposed resolution of the strata company.</w:t>
      </w:r>
    </w:p>
    <w:p>
      <w:pPr>
        <w:pStyle w:val="nzSubsection"/>
      </w:pPr>
      <w:r>
        <w:tab/>
        <w:t>(2)</w:t>
      </w:r>
      <w:r>
        <w:tab/>
        <w:t>However, the owner of a lot is not entitled to cast the vote attached to the lot if —</w:t>
      </w:r>
    </w:p>
    <w:p>
      <w:pPr>
        <w:pStyle w:val="nzIndenta"/>
      </w:pPr>
      <w:r>
        <w:tab/>
        <w:t>(a)</w:t>
      </w:r>
      <w:r>
        <w:tab/>
        <w:t>the resolution is not required to be a unanimous resolution or a resolution without dissent and is not a resolution for postponing the expiry day for a leasehold scheme or a termination resolution; and</w:t>
      </w:r>
    </w:p>
    <w:p>
      <w:pPr>
        <w:pStyle w:val="nzIndenta"/>
      </w:pPr>
      <w:r>
        <w:tab/>
        <w:t>(b)</w:t>
      </w:r>
      <w:r>
        <w:tab/>
        <w:t>there is an outstanding amount recoverable under this Act owed to the strata company by the owner of the lot.</w:t>
      </w:r>
    </w:p>
    <w:p>
      <w:pPr>
        <w:pStyle w:val="nzSubsection"/>
        <w:rPr>
          <w:snapToGrid w:val="0"/>
        </w:rPr>
      </w:pPr>
      <w:r>
        <w:rPr>
          <w:snapToGrid w:val="0"/>
        </w:rPr>
        <w:tab/>
        <w:t>(3)</w:t>
      </w:r>
      <w:r>
        <w:rPr>
          <w:snapToGrid w:val="0"/>
        </w:rPr>
        <w:tab/>
        <w:t>A proposed resolution can be put to the members of a strata company —</w:t>
      </w:r>
    </w:p>
    <w:p>
      <w:pPr>
        <w:pStyle w:val="nzIndenta"/>
      </w:pPr>
      <w:r>
        <w:tab/>
        <w:t>(a)</w:t>
      </w:r>
      <w:r>
        <w:tab/>
        <w:t>at a general meeting; or</w:t>
      </w:r>
    </w:p>
    <w:p>
      <w:pPr>
        <w:pStyle w:val="nzIndenta"/>
      </w:pPr>
      <w:r>
        <w:tab/>
        <w:t>(b)</w:t>
      </w:r>
      <w:r>
        <w:tab/>
        <w:t>outside of a general meeting.</w:t>
      </w:r>
    </w:p>
    <w:p>
      <w:pPr>
        <w:pStyle w:val="nzSubsection"/>
      </w:pPr>
      <w:r>
        <w:tab/>
        <w:t>(4)</w:t>
      </w:r>
      <w:r>
        <w:tab/>
        <w:t>A resolution can be proposed only by a member of the strata company who is entitled to vote on the resolution.</w:t>
      </w:r>
    </w:p>
    <w:p>
      <w:pPr>
        <w:pStyle w:val="nzSubsection"/>
      </w:pPr>
      <w:r>
        <w:tab/>
        <w:t>(5)</w:t>
      </w:r>
      <w:r>
        <w:tab/>
        <w:t>The vote attached to a lot can, and can only, be cast, if at the time it is cast, the person is entitled to cast the vote attached to the lot.</w:t>
      </w:r>
    </w:p>
    <w:p>
      <w:pPr>
        <w:pStyle w:val="nzSubsection"/>
      </w:pPr>
      <w:r>
        <w:tab/>
        <w:t>(6)</w:t>
      </w:r>
      <w:r>
        <w:tab/>
        <w:t>The owner of a lot may cast the vote attached to the lot in person or by duly appointed proxy.</w:t>
      </w:r>
    </w:p>
    <w:p>
      <w:pPr>
        <w:pStyle w:val="nz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nzSubsection"/>
      </w:pPr>
      <w:r>
        <w:tab/>
        <w:t>(8)</w:t>
      </w:r>
      <w:r>
        <w:tab/>
        <w:t>The voting system, whether it is electronic or by other means, must —</w:t>
      </w:r>
    </w:p>
    <w:p>
      <w:pPr>
        <w:pStyle w:val="nzIndenta"/>
      </w:pPr>
      <w:r>
        <w:tab/>
        <w:t>(a)</w:t>
      </w:r>
      <w:r>
        <w:tab/>
        <w:t>enable votes to be cast in a manner designed to protect the integrity of the voting system; and</w:t>
      </w:r>
    </w:p>
    <w:p>
      <w:pPr>
        <w:pStyle w:val="nzIndenta"/>
      </w:pPr>
      <w:r>
        <w:tab/>
        <w:t>(b)</w:t>
      </w:r>
      <w:r>
        <w:tab/>
        <w:t>comply with any requirements specified in the regulations.</w:t>
      </w:r>
    </w:p>
    <w:p>
      <w:pPr>
        <w:pStyle w:val="nzHeading5"/>
        <w:rPr>
          <w:snapToGrid w:val="0"/>
        </w:rPr>
      </w:pPr>
      <w:bookmarkStart w:id="1437" w:name="_Toc530474477"/>
      <w:bookmarkStart w:id="1438" w:name="_Toc530475072"/>
      <w:r>
        <w:rPr>
          <w:snapToGrid w:val="0"/>
        </w:rPr>
        <w:t>121.</w:t>
      </w:r>
      <w:r>
        <w:rPr>
          <w:snapToGrid w:val="0"/>
        </w:rPr>
        <w:tab/>
        <w:t>Voting period</w:t>
      </w:r>
      <w:bookmarkEnd w:id="1437"/>
      <w:bookmarkEnd w:id="1438"/>
    </w:p>
    <w:p>
      <w:pPr>
        <w:pStyle w:val="nzSubsection"/>
      </w:pPr>
      <w:r>
        <w:tab/>
        <w:t>(1)</w:t>
      </w:r>
      <w:r>
        <w:tab/>
        <w:t>If a resolution is required to be a unanimous resolution, resolution without dissent or special resolution, the period allowed for voting must be 28 days or, if the regulations specify some other period, that period.</w:t>
      </w:r>
    </w:p>
    <w:p>
      <w:pPr>
        <w:pStyle w:val="nzSubsection"/>
      </w:pPr>
      <w:r>
        <w:tab/>
        <w:t>(2)</w:t>
      </w:r>
      <w:r>
        <w:tab/>
        <w:t>If a vote on a resolution that is required to be a unanimous resolution, resolution without dissent or special resolution is taken at a general meeting —</w:t>
      </w:r>
    </w:p>
    <w:p>
      <w:pPr>
        <w:pStyle w:val="nzIndenta"/>
      </w:pPr>
      <w:r>
        <w:tab/>
        <w:t>(a)</w:t>
      </w:r>
      <w:r>
        <w:tab/>
        <w:t>the voting period opens at the meeting and closes 28 days (or if the regulations specify some other period, that period) after the meeting; and</w:t>
      </w:r>
    </w:p>
    <w:p>
      <w:pPr>
        <w:pStyle w:val="nz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nzIndenta"/>
      </w:pPr>
      <w:r>
        <w:tab/>
        <w:t>(c)</w:t>
      </w:r>
      <w:r>
        <w:tab/>
        <w:t>if the vote for a lot was not cast at a meeting, the vote may be cast by written notice to the strata company before the voting period closes.</w:t>
      </w:r>
    </w:p>
    <w:p>
      <w:pPr>
        <w:pStyle w:val="nzHeading5"/>
        <w:rPr>
          <w:snapToGrid w:val="0"/>
        </w:rPr>
      </w:pPr>
      <w:bookmarkStart w:id="1439" w:name="_Toc530474478"/>
      <w:bookmarkStart w:id="1440" w:name="_Toc530475073"/>
      <w:r>
        <w:rPr>
          <w:snapToGrid w:val="0"/>
        </w:rPr>
        <w:t>122.</w:t>
      </w:r>
      <w:r>
        <w:rPr>
          <w:snapToGrid w:val="0"/>
        </w:rPr>
        <w:tab/>
        <w:t>Counting of votes</w:t>
      </w:r>
      <w:bookmarkEnd w:id="1439"/>
      <w:bookmarkEnd w:id="1440"/>
    </w:p>
    <w:p>
      <w:pPr>
        <w:pStyle w:val="nzSubsection"/>
      </w:pPr>
      <w:r>
        <w:tab/>
        <w:t>(1)</w:t>
      </w:r>
      <w:r>
        <w:tab/>
        <w:t>Votes are to be counted (and recorded) as follows —</w:t>
      </w:r>
    </w:p>
    <w:p>
      <w:pPr>
        <w:pStyle w:val="nzIndenta"/>
      </w:pPr>
      <w:r>
        <w:tab/>
        <w:t>(a)</w:t>
      </w:r>
      <w:r>
        <w:tab/>
        <w:t>for a unanimous resolution or a resolution without dissent, the votes must be counted by the number of votes cast;</w:t>
      </w:r>
    </w:p>
    <w:p>
      <w:pPr>
        <w:pStyle w:val="nzIndenta"/>
      </w:pPr>
      <w:r>
        <w:tab/>
        <w:t>(b)</w:t>
      </w:r>
      <w:r>
        <w:tab/>
        <w:t>for a special resolution, the votes must be counted both by the number of votes cast and by the number of unit entitlements of the lots for which votes are cast;</w:t>
      </w:r>
    </w:p>
    <w:p>
      <w:pPr>
        <w:pStyle w:val="nz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nzSubsection"/>
        <w:rPr>
          <w:snapToGrid w:val="0"/>
        </w:rPr>
      </w:pPr>
      <w:r>
        <w:rPr>
          <w:snapToGrid w:val="0"/>
        </w:rPr>
        <w:tab/>
        <w:t>(2)</w:t>
      </w:r>
      <w:r>
        <w:rPr>
          <w:snapToGrid w:val="0"/>
        </w:rPr>
        <w:tab/>
        <w:t>A demand that a vote be counted by the number of unit entitlements of the lots for which votes are cast can be made —</w:t>
      </w:r>
    </w:p>
    <w:p>
      <w:pPr>
        <w:pStyle w:val="nzIndenta"/>
      </w:pPr>
      <w:r>
        <w:tab/>
        <w:t>(a)</w:t>
      </w:r>
      <w:r>
        <w:tab/>
        <w:t>if the vote is being taken at a general meeting, orally or in writing before the resolution is put to the vote; and</w:t>
      </w:r>
    </w:p>
    <w:p>
      <w:pPr>
        <w:pStyle w:val="nzIndenta"/>
      </w:pPr>
      <w:r>
        <w:tab/>
        <w:t>(b)</w:t>
      </w:r>
      <w:r>
        <w:tab/>
        <w:t>if the vote is being taken outside of a general meeting, when the vote is cast.</w:t>
      </w:r>
    </w:p>
    <w:p>
      <w:pPr>
        <w:pStyle w:val="nzSubsection"/>
        <w:rPr>
          <w:snapToGrid w:val="0"/>
        </w:rPr>
      </w:pPr>
      <w:r>
        <w:rPr>
          <w:snapToGrid w:val="0"/>
        </w:rPr>
        <w:tab/>
        <w:t>(3)</w:t>
      </w:r>
      <w:r>
        <w:rPr>
          <w:snapToGrid w:val="0"/>
        </w:rPr>
        <w:tab/>
        <w:t>Such a demand may only be withdrawn by the person who made the demand.</w:t>
      </w:r>
    </w:p>
    <w:p>
      <w:pPr>
        <w:pStyle w:val="nzHeading5"/>
      </w:pPr>
      <w:bookmarkStart w:id="1441" w:name="_Toc530474479"/>
      <w:bookmarkStart w:id="1442" w:name="_Toc530475074"/>
      <w:r>
        <w:t>123.</w:t>
      </w:r>
      <w:r>
        <w:tab/>
        <w:t>Resolutions</w:t>
      </w:r>
      <w:bookmarkEnd w:id="1441"/>
      <w:bookmarkEnd w:id="1442"/>
    </w:p>
    <w:p>
      <w:pPr>
        <w:pStyle w:val="nz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nzIndenta"/>
      </w:pPr>
      <w:r>
        <w:tab/>
        <w:t>(a)</w:t>
      </w:r>
      <w:r>
        <w:tab/>
        <w:t>14 days’ notice of the terms of the proposed resolution is given to each member of the strata company before voting on the resolution opens; and</w:t>
      </w:r>
    </w:p>
    <w:p>
      <w:pPr>
        <w:pStyle w:val="nzIndenta"/>
      </w:pPr>
      <w:r>
        <w:tab/>
        <w:t>(b)</w:t>
      </w:r>
      <w:r>
        <w:tab/>
        <w:t>the vote attached to each lot in the scheme is cast in favour of the resolution.</w:t>
      </w:r>
    </w:p>
    <w:p>
      <w:pPr>
        <w:pStyle w:val="nzSubsection"/>
      </w:pPr>
      <w:r>
        <w:tab/>
        <w:t>(2)</w:t>
      </w:r>
      <w:r>
        <w:tab/>
        <w:t xml:space="preserve">Subject to subsection (3), a resolution of a strata company is a </w:t>
      </w:r>
      <w:r>
        <w:rPr>
          <w:rStyle w:val="CharDefText"/>
        </w:rPr>
        <w:t>resolution without dissent</w:t>
      </w:r>
      <w:r>
        <w:t xml:space="preserve"> if —</w:t>
      </w:r>
    </w:p>
    <w:p>
      <w:pPr>
        <w:pStyle w:val="nzIndenta"/>
      </w:pPr>
      <w:r>
        <w:tab/>
        <w:t>(a)</w:t>
      </w:r>
      <w:r>
        <w:tab/>
        <w:t>14 days’ notice of the terms of the proposed resolution is given to each member of the strata company before voting on the resolution opens; and</w:t>
      </w:r>
    </w:p>
    <w:p>
      <w:pPr>
        <w:pStyle w:val="nzIndenta"/>
      </w:pPr>
      <w:r>
        <w:tab/>
        <w:t>(b)</w:t>
      </w:r>
      <w:r>
        <w:tab/>
        <w:t>no vote attached to a lot in the scheme is cast against the resolution.</w:t>
      </w:r>
    </w:p>
    <w:p>
      <w:pPr>
        <w:pStyle w:val="nz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nzSubsection"/>
      </w:pPr>
      <w:r>
        <w:tab/>
        <w:t>(4)</w:t>
      </w:r>
      <w:r>
        <w:tab/>
        <w:t xml:space="preserve">Subject to subsections (5) and (6), a resolution of a strata company is a </w:t>
      </w:r>
      <w:r>
        <w:rPr>
          <w:rStyle w:val="CharDefText"/>
        </w:rPr>
        <w:t>special resolution</w:t>
      </w:r>
      <w:r>
        <w:t xml:space="preserve"> if —</w:t>
      </w:r>
    </w:p>
    <w:p>
      <w:pPr>
        <w:pStyle w:val="nzIndenta"/>
      </w:pPr>
      <w:r>
        <w:tab/>
        <w:t>(a)</w:t>
      </w:r>
      <w:r>
        <w:tab/>
        <w:t>14 days’ notice of the terms of the proposed resolution is given to each member of the strata company before voting on the resolution opens; and</w:t>
      </w:r>
    </w:p>
    <w:p>
      <w:pPr>
        <w:pStyle w:val="nzIndenta"/>
      </w:pPr>
      <w:r>
        <w:tab/>
        <w:t>(b)</w:t>
      </w:r>
      <w:r>
        <w:tab/>
        <w:t>the votes in favour of the resolution equal —</w:t>
      </w:r>
    </w:p>
    <w:p>
      <w:pPr>
        <w:pStyle w:val="nzIndenti"/>
      </w:pPr>
      <w:r>
        <w:tab/>
        <w:t>(i)</w:t>
      </w:r>
      <w:r>
        <w:tab/>
        <w:t>when counted by number — not less than 50% of the number of lots in the scheme; and</w:t>
      </w:r>
    </w:p>
    <w:p>
      <w:pPr>
        <w:pStyle w:val="nzIndenti"/>
      </w:pPr>
      <w:r>
        <w:tab/>
        <w:t>(ii)</w:t>
      </w:r>
      <w:r>
        <w:tab/>
        <w:t xml:space="preserve">when counted by unit entitlements — not less than 50% of the unit </w:t>
      </w:r>
      <w:r>
        <w:rPr>
          <w:snapToGrid w:val="0"/>
        </w:rPr>
        <w:t>entitlements</w:t>
      </w:r>
      <w:r>
        <w:t xml:space="preserve"> of the lots in the scheme;</w:t>
      </w:r>
    </w:p>
    <w:p>
      <w:pPr>
        <w:pStyle w:val="nzIndenta"/>
      </w:pPr>
      <w:r>
        <w:tab/>
      </w:r>
      <w:r>
        <w:tab/>
        <w:t>and</w:t>
      </w:r>
    </w:p>
    <w:p>
      <w:pPr>
        <w:pStyle w:val="nzIndenta"/>
      </w:pPr>
      <w:r>
        <w:tab/>
        <w:t>(c)</w:t>
      </w:r>
      <w:r>
        <w:tab/>
        <w:t>the votes against the resolution equal —</w:t>
      </w:r>
    </w:p>
    <w:p>
      <w:pPr>
        <w:pStyle w:val="nzIndenti"/>
      </w:pPr>
      <w:r>
        <w:tab/>
        <w:t>(i)</w:t>
      </w:r>
      <w:r>
        <w:tab/>
        <w:t>when counted by number — less than 25% of the number of lots in the scheme; and</w:t>
      </w:r>
    </w:p>
    <w:p>
      <w:pPr>
        <w:pStyle w:val="nzIndenti"/>
      </w:pPr>
      <w:r>
        <w:tab/>
        <w:t>(ii)</w:t>
      </w:r>
      <w:r>
        <w:tab/>
        <w:t>when counted by unit entitlements — less than 25% of the unit entitlements of the lots in the scheme.</w:t>
      </w:r>
    </w:p>
    <w:p>
      <w:pPr>
        <w:pStyle w:val="nz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nzSubsection"/>
      </w:pPr>
      <w:r>
        <w:tab/>
        <w:t>(6)</w:t>
      </w:r>
      <w:r>
        <w:tab/>
        <w:t>For a 3, 4 or 5</w:t>
      </w:r>
      <w:r>
        <w:noBreakHyphen/>
        <w:t xml:space="preserve">lot scheme, a resolution of the strata company is a </w:t>
      </w:r>
      <w:r>
        <w:rPr>
          <w:rStyle w:val="CharDefText"/>
        </w:rPr>
        <w:t>special resolution</w:t>
      </w:r>
      <w:r>
        <w:t xml:space="preserve"> if —</w:t>
      </w:r>
    </w:p>
    <w:p>
      <w:pPr>
        <w:pStyle w:val="nzIndenta"/>
      </w:pPr>
      <w:r>
        <w:tab/>
        <w:t>(a)</w:t>
      </w:r>
      <w:r>
        <w:tab/>
        <w:t>14 days’ notice of the terms of the proposed resolution is given to each member of the strata company before voting on the resolution opens; and</w:t>
      </w:r>
    </w:p>
    <w:p>
      <w:pPr>
        <w:pStyle w:val="nzIndenta"/>
      </w:pPr>
      <w:r>
        <w:tab/>
        <w:t>(b)</w:t>
      </w:r>
      <w:r>
        <w:tab/>
        <w:t>the votes in favour of the resolution equal—</w:t>
      </w:r>
    </w:p>
    <w:p>
      <w:pPr>
        <w:pStyle w:val="nzIndenti"/>
      </w:pPr>
      <w:r>
        <w:tab/>
        <w:t>(i)</w:t>
      </w:r>
      <w:r>
        <w:tab/>
        <w:t>when counted by number —</w:t>
      </w:r>
    </w:p>
    <w:p>
      <w:pPr>
        <w:pStyle w:val="nzIndentI0"/>
      </w:pPr>
      <w:r>
        <w:tab/>
        <w:t>(I)</w:t>
      </w:r>
      <w:r>
        <w:tab/>
        <w:t>for a 3</w:t>
      </w:r>
      <w:r>
        <w:noBreakHyphen/>
        <w:t>lot scheme — not less than 2; and</w:t>
      </w:r>
    </w:p>
    <w:p>
      <w:pPr>
        <w:pStyle w:val="nzIndentI0"/>
      </w:pPr>
      <w:r>
        <w:tab/>
        <w:t>(II)</w:t>
      </w:r>
      <w:r>
        <w:tab/>
        <w:t>for a 4</w:t>
      </w:r>
      <w:r>
        <w:noBreakHyphen/>
        <w:t>lot scheme — not less than 3; and</w:t>
      </w:r>
    </w:p>
    <w:p>
      <w:pPr>
        <w:pStyle w:val="nzIndentI0"/>
      </w:pPr>
      <w:r>
        <w:tab/>
        <w:t>(III)</w:t>
      </w:r>
      <w:r>
        <w:tab/>
        <w:t>for a 5</w:t>
      </w:r>
      <w:r>
        <w:noBreakHyphen/>
        <w:t>lot scheme — not less than 4;</w:t>
      </w:r>
    </w:p>
    <w:p>
      <w:pPr>
        <w:pStyle w:val="nzIndenti"/>
      </w:pPr>
      <w:r>
        <w:tab/>
      </w:r>
      <w:r>
        <w:tab/>
        <w:t>and</w:t>
      </w:r>
    </w:p>
    <w:p>
      <w:pPr>
        <w:pStyle w:val="nzIndenti"/>
      </w:pPr>
      <w:r>
        <w:tab/>
        <w:t>(ii)</w:t>
      </w:r>
      <w:r>
        <w:tab/>
        <w:t>when counted by unit entitlements — not less than 50% of the unit entitlements of the lots in the scheme.</w:t>
      </w:r>
    </w:p>
    <w:p>
      <w:pPr>
        <w:pStyle w:val="nzSubsection"/>
      </w:pPr>
      <w:r>
        <w:tab/>
        <w:t>(7)</w:t>
      </w:r>
      <w:r>
        <w:tab/>
        <w:t xml:space="preserve">A resolution of a strata company is an </w:t>
      </w:r>
      <w:r>
        <w:rPr>
          <w:rStyle w:val="CharDefText"/>
        </w:rPr>
        <w:t>ordinary resolution</w:t>
      </w:r>
      <w:r>
        <w:t xml:space="preserve"> if — </w:t>
      </w:r>
    </w:p>
    <w:p>
      <w:pPr>
        <w:pStyle w:val="nzIndenta"/>
      </w:pPr>
      <w:r>
        <w:tab/>
        <w:t>(a)</w:t>
      </w:r>
      <w:r>
        <w:tab/>
        <w:t>for a resolution passed other than at a general meeting, 14 days’ notice of the terms of the proposed resolution is given to each member of the strata company before voting on the resolution opens; and</w:t>
      </w:r>
    </w:p>
    <w:p>
      <w:pPr>
        <w:pStyle w:val="nzIndenta"/>
      </w:pPr>
      <w:r>
        <w:tab/>
        <w:t>(b)</w:t>
      </w:r>
      <w:r>
        <w:tab/>
        <w:t xml:space="preserve"> it is passed when counted as required under section 122 (1)(c) —</w:t>
      </w:r>
    </w:p>
    <w:p>
      <w:pPr>
        <w:pStyle w:val="nzIndenti"/>
      </w:pPr>
      <w:r>
        <w:tab/>
        <w:t>(i)</w:t>
      </w:r>
      <w:r>
        <w:tab/>
        <w:t>by number — by more than 50% of the number of lots for which votes are cast; or</w:t>
      </w:r>
    </w:p>
    <w:p>
      <w:pPr>
        <w:pStyle w:val="nzIndenti"/>
      </w:pPr>
      <w:r>
        <w:tab/>
        <w:t>(ii)</w:t>
      </w:r>
      <w:r>
        <w:tab/>
        <w:t>by unit entitlements — by more than 50% of the sum of the unit entitlements of the lots in the scheme for which votes are cast.</w:t>
      </w:r>
    </w:p>
    <w:p>
      <w:pPr>
        <w:pStyle w:val="nzPermNoteHeading"/>
      </w:pPr>
      <w:r>
        <w:tab/>
        <w:t>Note for this subsection:</w:t>
      </w:r>
    </w:p>
    <w:p>
      <w:pPr>
        <w:pStyle w:val="nzPermNoteText"/>
      </w:pPr>
      <w:r>
        <w:tab/>
      </w:r>
      <w:r>
        <w:tab/>
        <w:t>For an ordinary resolution, the question is determined against the resolution on an equal number of votes whether counted by number or by unit entitlements.</w:t>
      </w:r>
    </w:p>
    <w:p>
      <w:pPr>
        <w:pStyle w:val="nzHeading5"/>
      </w:pPr>
      <w:bookmarkStart w:id="1443" w:name="_Toc530474480"/>
      <w:bookmarkStart w:id="1444" w:name="_Toc530475075"/>
      <w:r>
        <w:t>124.</w:t>
      </w:r>
      <w:r>
        <w:tab/>
        <w:t>Voting by proxy</w:t>
      </w:r>
      <w:bookmarkEnd w:id="1443"/>
      <w:bookmarkEnd w:id="1444"/>
    </w:p>
    <w:p>
      <w:pPr>
        <w:pStyle w:val="nzSubsection"/>
      </w:pPr>
      <w:r>
        <w:tab/>
        <w:t>(1)</w:t>
      </w:r>
      <w:r>
        <w:tab/>
        <w:t>An instrument appointing a proxy to cast a vote must be in writing and executed by the appointer or the appointer’s attorney.</w:t>
      </w:r>
    </w:p>
    <w:p>
      <w:pPr>
        <w:pStyle w:val="nzSubsection"/>
      </w:pPr>
      <w:r>
        <w:tab/>
        <w:t>(2)</w:t>
      </w:r>
      <w:r>
        <w:tab/>
        <w:t>Subject to any limitations expressed in the instrument of appointment, the appointment of a proxy is for all general meetings and for all purposes.</w:t>
      </w:r>
    </w:p>
    <w:p>
      <w:pPr>
        <w:pStyle w:val="nzSubsection"/>
      </w:pPr>
      <w:r>
        <w:tab/>
        <w:t>(3)</w:t>
      </w:r>
      <w:r>
        <w:tab/>
        <w:t>The instrument of appointment of a proxy may limit the appointment —</w:t>
      </w:r>
    </w:p>
    <w:p>
      <w:pPr>
        <w:pStyle w:val="nzIndenta"/>
      </w:pPr>
      <w:r>
        <w:tab/>
        <w:t>(a)</w:t>
      </w:r>
      <w:r>
        <w:tab/>
        <w:t>to a specified general meeting or to voting on a specified resolution; or</w:t>
      </w:r>
    </w:p>
    <w:p>
      <w:pPr>
        <w:pStyle w:val="nzIndenta"/>
      </w:pPr>
      <w:r>
        <w:tab/>
        <w:t>(b)</w:t>
      </w:r>
      <w:r>
        <w:tab/>
        <w:t>to general meetings held, or votes taken, within a specified period; or</w:t>
      </w:r>
    </w:p>
    <w:p>
      <w:pPr>
        <w:pStyle w:val="nzIndenta"/>
      </w:pPr>
      <w:r>
        <w:tab/>
        <w:t>(c)</w:t>
      </w:r>
      <w:r>
        <w:tab/>
        <w:t>to a specified purpose; or</w:t>
      </w:r>
    </w:p>
    <w:p>
      <w:pPr>
        <w:pStyle w:val="nzIndenta"/>
      </w:pPr>
      <w:r>
        <w:tab/>
        <w:t>(d)</w:t>
      </w:r>
      <w:r>
        <w:tab/>
        <w:t>in any other specified way.</w:t>
      </w:r>
    </w:p>
    <w:p>
      <w:pPr>
        <w:pStyle w:val="nzSubsection"/>
      </w:pPr>
      <w:r>
        <w:tab/>
        <w:t>(4)</w:t>
      </w:r>
      <w:r>
        <w:tab/>
        <w:t>A proxy may be, but is not required to be, a member of the strata company.</w:t>
      </w:r>
    </w:p>
    <w:p>
      <w:pPr>
        <w:pStyle w:val="nz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nzHeading5"/>
        <w:rPr>
          <w:snapToGrid w:val="0"/>
        </w:rPr>
      </w:pPr>
      <w:bookmarkStart w:id="1445" w:name="_Toc530474481"/>
      <w:bookmarkStart w:id="1446" w:name="_Toc530475076"/>
      <w:r>
        <w:t>125.</w:t>
      </w:r>
      <w:r>
        <w:tab/>
      </w:r>
      <w:r>
        <w:rPr>
          <w:snapToGrid w:val="0"/>
        </w:rPr>
        <w:t>Disqualification from voting as proxy</w:t>
      </w:r>
      <w:bookmarkEnd w:id="1445"/>
      <w:bookmarkEnd w:id="1446"/>
    </w:p>
    <w:p>
      <w:pPr>
        <w:pStyle w:val="nz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nz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nzSubsection"/>
        <w:rPr>
          <w:snapToGrid w:val="0"/>
        </w:rPr>
      </w:pPr>
      <w:r>
        <w:rPr>
          <w:snapToGrid w:val="0"/>
        </w:rPr>
        <w:tab/>
        <w:t>(3)</w:t>
      </w:r>
      <w:r>
        <w:rPr>
          <w:snapToGrid w:val="0"/>
        </w:rPr>
        <w:tab/>
      </w:r>
      <w:r>
        <w:t>Subsection (</w:t>
      </w:r>
      <w:r>
        <w:rPr>
          <w:snapToGrid w:val="0"/>
        </w:rPr>
        <w:t>2) does not apply if —</w:t>
      </w:r>
    </w:p>
    <w:p>
      <w:pPr>
        <w:pStyle w:val="nzIndenta"/>
      </w:pPr>
      <w:r>
        <w:tab/>
        <w:t>(a)</w:t>
      </w:r>
      <w:r>
        <w:tab/>
        <w:t>notice of the proposed resolution included, if applicable, the particulars described in subsection (4); and</w:t>
      </w:r>
    </w:p>
    <w:p>
      <w:pPr>
        <w:pStyle w:val="nzIndenta"/>
        <w:rPr>
          <w:snapToGrid w:val="0"/>
        </w:rPr>
      </w:pPr>
      <w:r>
        <w:tab/>
        <w:t>(b)</w:t>
      </w:r>
      <w:r>
        <w:tab/>
        <w:t>the instrument appointing the proxy expressly authorises the proxy to vote on the resolution and specifies whether the proxy is to vote for or against it.</w:t>
      </w:r>
    </w:p>
    <w:p>
      <w:pPr>
        <w:pStyle w:val="nz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nzIndenta"/>
      </w:pPr>
      <w:r>
        <w:tab/>
        <w:t>(a)</w:t>
      </w:r>
      <w:r>
        <w:tab/>
        <w:t>the name of the strata manager; and</w:t>
      </w:r>
    </w:p>
    <w:p>
      <w:pPr>
        <w:pStyle w:val="nzIndenta"/>
      </w:pPr>
      <w:r>
        <w:tab/>
        <w:t>(b)</w:t>
      </w:r>
      <w:r>
        <w:tab/>
        <w:t>when the proposed contract, or the contract as proposed to be varied or extended (as the case may require) is to start and end; and</w:t>
      </w:r>
    </w:p>
    <w:p>
      <w:pPr>
        <w:pStyle w:val="nzIndenta"/>
      </w:pPr>
      <w:r>
        <w:tab/>
        <w:t>(c)</w:t>
      </w:r>
      <w:r>
        <w:tab/>
        <w:t>each proposed variation, if applicable; and</w:t>
      </w:r>
    </w:p>
    <w:p>
      <w:pPr>
        <w:pStyle w:val="nzIndenta"/>
      </w:pPr>
      <w:r>
        <w:tab/>
        <w:t>(d)</w:t>
      </w:r>
      <w:r>
        <w:tab/>
        <w:t>the remuneration that is payable under the contract or the way in which the remuneration that is payable under the contract is to be calculated.</w:t>
      </w:r>
    </w:p>
    <w:p>
      <w:pPr>
        <w:pStyle w:val="nzHeading5"/>
        <w:rPr>
          <w:snapToGrid w:val="0"/>
        </w:rPr>
      </w:pPr>
      <w:bookmarkStart w:id="1447" w:name="_Toc530474482"/>
      <w:bookmarkStart w:id="1448" w:name="_Toc530475077"/>
      <w:r>
        <w:t>126</w:t>
      </w:r>
      <w:r>
        <w:rPr>
          <w:snapToGrid w:val="0"/>
        </w:rPr>
        <w:t>.</w:t>
      </w:r>
      <w:r>
        <w:rPr>
          <w:snapToGrid w:val="0"/>
        </w:rPr>
        <w:tab/>
        <w:t>Exercise of voting power in certain cases</w:t>
      </w:r>
      <w:bookmarkEnd w:id="1447"/>
      <w:bookmarkEnd w:id="1448"/>
    </w:p>
    <w:p>
      <w:pPr>
        <w:pStyle w:val="nz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nzIndenta"/>
      </w:pPr>
      <w:r>
        <w:tab/>
        <w:t>(a)</w:t>
      </w:r>
      <w:r>
        <w:tab/>
        <w:t>if the lot is subject to a registered mortgage —</w:t>
      </w:r>
    </w:p>
    <w:p>
      <w:pPr>
        <w:pStyle w:val="nzIndenti"/>
      </w:pPr>
      <w:r>
        <w:tab/>
        <w:t>(i)</w:t>
      </w:r>
      <w:r>
        <w:tab/>
        <w:t>the first mortgagee of the lot may, in person or by proxy, cast the vote on behalf of the owner of the lot; and</w:t>
      </w:r>
    </w:p>
    <w:p>
      <w:pPr>
        <w:pStyle w:val="nzIndenti"/>
      </w:pPr>
      <w:r>
        <w:tab/>
        <w:t>(ii)</w:t>
      </w:r>
      <w:r>
        <w:tab/>
        <w:t>the owner may cast the vote if the first mortgagee does not do so;</w:t>
      </w:r>
    </w:p>
    <w:p>
      <w:pPr>
        <w:pStyle w:val="nzIndenta"/>
      </w:pPr>
      <w:r>
        <w:tab/>
      </w:r>
      <w:r>
        <w:tab/>
        <w:t>and</w:t>
      </w:r>
    </w:p>
    <w:p>
      <w:pPr>
        <w:pStyle w:val="nzIndenta"/>
      </w:pPr>
      <w:r>
        <w:tab/>
        <w:t>(b)</w:t>
      </w:r>
      <w:r>
        <w:tab/>
        <w:t>in any event —</w:t>
      </w:r>
    </w:p>
    <w:p>
      <w:pPr>
        <w:pStyle w:val="nzIndenti"/>
      </w:pPr>
      <w:r>
        <w:rPr>
          <w:snapToGrid w:val="0"/>
          <w:spacing w:val="-4"/>
        </w:rPr>
        <w:tab/>
      </w:r>
      <w:r>
        <w:t>(i)</w:t>
      </w:r>
      <w:r>
        <w:tab/>
        <w:t>if the owner of the lot has not attained 18 years of age, the owner may not cast the vote but the owner’s guardian may do so on behalf of the owner; and</w:t>
      </w:r>
    </w:p>
    <w:p>
      <w:pPr>
        <w:pStyle w:val="nz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nz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nzHeading4"/>
      </w:pPr>
      <w:bookmarkStart w:id="1449" w:name="_Toc517437685"/>
      <w:bookmarkStart w:id="1450" w:name="_Toc517438227"/>
      <w:bookmarkStart w:id="1451" w:name="_Toc517440564"/>
      <w:bookmarkStart w:id="1452" w:name="_Toc517447601"/>
      <w:bookmarkStart w:id="1453" w:name="_Toc517450079"/>
      <w:bookmarkStart w:id="1454" w:name="_Toc517450621"/>
      <w:bookmarkStart w:id="1455" w:name="_Toc517857077"/>
      <w:bookmarkStart w:id="1456" w:name="_Toc518293204"/>
      <w:bookmarkStart w:id="1457" w:name="_Toc522744432"/>
      <w:bookmarkStart w:id="1458" w:name="_Toc522747555"/>
      <w:bookmarkStart w:id="1459" w:name="_Toc529183392"/>
      <w:bookmarkStart w:id="1460" w:name="_Toc529188155"/>
      <w:bookmarkStart w:id="1461" w:name="_Toc529434668"/>
      <w:bookmarkStart w:id="1462" w:name="_Toc529524559"/>
      <w:bookmarkStart w:id="1463" w:name="_Toc530474483"/>
      <w:bookmarkStart w:id="1464" w:name="_Toc530475078"/>
      <w:r>
        <w:t>Subdivision 2 — Meetings of strata company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nzHeading5"/>
      </w:pPr>
      <w:bookmarkStart w:id="1465" w:name="_Toc530474484"/>
      <w:bookmarkStart w:id="1466" w:name="_Toc530475079"/>
      <w:r>
        <w:t>127.</w:t>
      </w:r>
      <w:r>
        <w:tab/>
        <w:t>Annual general meetings of strata company</w:t>
      </w:r>
      <w:bookmarkEnd w:id="1465"/>
      <w:bookmarkEnd w:id="1466"/>
    </w:p>
    <w:p>
      <w:pPr>
        <w:pStyle w:val="nz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nz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nzSubsection"/>
      </w:pPr>
      <w:r>
        <w:tab/>
        <w:t>(3)</w:t>
      </w:r>
      <w:r>
        <w:tab/>
        <w:t>The following matters must be included as an item of business on the agenda for each annual general meeting of a strata company (including the first annual general meeting) —</w:t>
      </w:r>
    </w:p>
    <w:p>
      <w:pPr>
        <w:pStyle w:val="nzIndenta"/>
      </w:pPr>
      <w:r>
        <w:tab/>
        <w:t>(a)</w:t>
      </w:r>
      <w:r>
        <w:tab/>
        <w:t>election of council members;</w:t>
      </w:r>
    </w:p>
    <w:p>
      <w:pPr>
        <w:pStyle w:val="nzIndenta"/>
      </w:pPr>
      <w:r>
        <w:tab/>
        <w:t>(b)</w:t>
      </w:r>
      <w:r>
        <w:tab/>
        <w:t>consideration of accounts;</w:t>
      </w:r>
    </w:p>
    <w:p>
      <w:pPr>
        <w:pStyle w:val="nzIndenta"/>
      </w:pPr>
      <w:r>
        <w:tab/>
        <w:t>(c)</w:t>
      </w:r>
      <w:r>
        <w:tab/>
        <w:t>the presentation of copies of certificates and schedules for the insurance required under this Act, current as at the date of the meeting.</w:t>
      </w:r>
    </w:p>
    <w:p>
      <w:pPr>
        <w:pStyle w:val="nz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nzHeading5"/>
      </w:pPr>
      <w:bookmarkStart w:id="1467" w:name="_Toc530474485"/>
      <w:bookmarkStart w:id="1468" w:name="_Toc530475080"/>
      <w:r>
        <w:t>128.</w:t>
      </w:r>
      <w:r>
        <w:tab/>
        <w:t>Extraordinary general meetings of strata company</w:t>
      </w:r>
      <w:bookmarkEnd w:id="1467"/>
      <w:bookmarkEnd w:id="1468"/>
    </w:p>
    <w:p>
      <w:pPr>
        <w:pStyle w:val="nz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nzSubsection"/>
        <w:rPr>
          <w:snapToGrid w:val="0"/>
        </w:rPr>
      </w:pPr>
      <w:r>
        <w:rPr>
          <w:snapToGrid w:val="0"/>
        </w:rPr>
        <w:tab/>
        <w:t>(2)</w:t>
      </w:r>
      <w:r>
        <w:rPr>
          <w:snapToGrid w:val="0"/>
        </w:rPr>
        <w:tab/>
        <w:t>An extraordinary general meeting of a strata company —</w:t>
      </w:r>
    </w:p>
    <w:p>
      <w:pPr>
        <w:pStyle w:val="nzIndenta"/>
      </w:pPr>
      <w:r>
        <w:tab/>
        <w:t>(a)</w:t>
      </w:r>
      <w:r>
        <w:tab/>
        <w:t>may be convened by the council of the strata company as the council thinks fit; and</w:t>
      </w:r>
    </w:p>
    <w:p>
      <w:pPr>
        <w:pStyle w:val="nzIndenta"/>
      </w:pPr>
      <w:r>
        <w:tab/>
        <w:t>(b)</w:t>
      </w:r>
      <w:r>
        <w:tab/>
        <w:t>must be convened by the council of the strata company on the written request of owners entitled to 25% or more of the unit entitlements of the lots in the strata titles scheme.</w:t>
      </w:r>
    </w:p>
    <w:p>
      <w:pPr>
        <w:pStyle w:val="nz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nz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nz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nzSubsection"/>
        <w:rPr>
          <w:snapToGrid w:val="0"/>
        </w:rPr>
      </w:pPr>
      <w:r>
        <w:rPr>
          <w:snapToGrid w:val="0"/>
        </w:rPr>
        <w:tab/>
        <w:t>(6)</w:t>
      </w:r>
      <w:r>
        <w:rPr>
          <w:snapToGrid w:val="0"/>
        </w:rPr>
        <w:tab/>
        <w:t>All business transacted at an extraordinary general meeting is taken to be special business.</w:t>
      </w:r>
    </w:p>
    <w:p>
      <w:pPr>
        <w:pStyle w:val="nzHeading5"/>
      </w:pPr>
      <w:bookmarkStart w:id="1469" w:name="_Toc530474486"/>
      <w:bookmarkStart w:id="1470" w:name="_Toc530475081"/>
      <w:r>
        <w:t>129.</w:t>
      </w:r>
      <w:r>
        <w:tab/>
        <w:t>Notice requirements for all general meetings</w:t>
      </w:r>
      <w:bookmarkEnd w:id="1469"/>
      <w:bookmarkEnd w:id="1470"/>
    </w:p>
    <w:p>
      <w:pPr>
        <w:pStyle w:val="nz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nzSubsection"/>
        <w:rPr>
          <w:snapToGrid w:val="0"/>
        </w:rPr>
      </w:pPr>
      <w:r>
        <w:rPr>
          <w:snapToGrid w:val="0"/>
        </w:rPr>
        <w:tab/>
        <w:t>(2)</w:t>
      </w:r>
      <w:r>
        <w:rPr>
          <w:snapToGrid w:val="0"/>
        </w:rPr>
        <w:tab/>
        <w:t>The notice must include —</w:t>
      </w:r>
    </w:p>
    <w:p>
      <w:pPr>
        <w:pStyle w:val="nzIndenta"/>
      </w:pPr>
      <w:r>
        <w:tab/>
        <w:t>(a)</w:t>
      </w:r>
      <w:r>
        <w:tab/>
        <w:t>the date, time and venue of the meeting; and</w:t>
      </w:r>
    </w:p>
    <w:p>
      <w:pPr>
        <w:pStyle w:val="nzIndenta"/>
      </w:pPr>
      <w:r>
        <w:tab/>
        <w:t>(b)</w:t>
      </w:r>
      <w:r>
        <w:tab/>
        <w:t>for an annual general meeting, notice of each item of business referred to in section 127(3); and</w:t>
      </w:r>
    </w:p>
    <w:p>
      <w:pPr>
        <w:pStyle w:val="nzIndenta"/>
      </w:pPr>
      <w:r>
        <w:tab/>
        <w:t>(c)</w:t>
      </w:r>
      <w:r>
        <w:tab/>
        <w:t>for special business, notice of the general nature of that business; and</w:t>
      </w:r>
    </w:p>
    <w:p>
      <w:pPr>
        <w:pStyle w:val="nzIndenta"/>
      </w:pPr>
      <w:r>
        <w:tab/>
        <w:t>(d)</w:t>
      </w:r>
      <w:r>
        <w:tab/>
        <w:t>notice of each method of voting, whether by means of an electronic communication or otherwise, that is acceptable to the strata company.</w:t>
      </w:r>
    </w:p>
    <w:p>
      <w:pPr>
        <w:pStyle w:val="nz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nz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nzHeading5"/>
      </w:pPr>
      <w:bookmarkStart w:id="1471" w:name="_Toc530474487"/>
      <w:bookmarkStart w:id="1472" w:name="_Toc530475082"/>
      <w:r>
        <w:t>130.</w:t>
      </w:r>
      <w:r>
        <w:tab/>
        <w:t>Quorum at general meetings</w:t>
      </w:r>
      <w:bookmarkEnd w:id="1471"/>
      <w:bookmarkEnd w:id="1472"/>
    </w:p>
    <w:p>
      <w:pPr>
        <w:pStyle w:val="nz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nz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nz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nz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nz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nzHeading5"/>
      </w:pPr>
      <w:bookmarkStart w:id="1473" w:name="_Toc530474488"/>
      <w:bookmarkStart w:id="1474" w:name="_Toc530475083"/>
      <w:r>
        <w:t>131.</w:t>
      </w:r>
      <w:r>
        <w:tab/>
        <w:t>Holding meetings remotely</w:t>
      </w:r>
      <w:bookmarkEnd w:id="1473"/>
      <w:bookmarkEnd w:id="1474"/>
    </w:p>
    <w:p>
      <w:pPr>
        <w:pStyle w:val="nz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nzSubsection"/>
        <w:rPr>
          <w:snapToGrid w:val="0"/>
        </w:rPr>
      </w:pPr>
      <w:r>
        <w:rPr>
          <w:snapToGrid w:val="0"/>
        </w:rPr>
        <w:tab/>
        <w:t>(2)</w:t>
      </w:r>
      <w:r>
        <w:rPr>
          <w:snapToGrid w:val="0"/>
        </w:rPr>
        <w:tab/>
        <w:t>A person attending a meeting by remote communication is taken to be present at the meeting.</w:t>
      </w:r>
    </w:p>
    <w:p>
      <w:pPr>
        <w:pStyle w:val="nzHeading5"/>
      </w:pPr>
      <w:bookmarkStart w:id="1475" w:name="_Toc530474489"/>
      <w:bookmarkStart w:id="1476" w:name="_Toc530475084"/>
      <w:r>
        <w:t>132.</w:t>
      </w:r>
      <w:r>
        <w:tab/>
        <w:t>Conducting business at general meetings</w:t>
      </w:r>
      <w:bookmarkEnd w:id="1475"/>
      <w:bookmarkEnd w:id="1476"/>
    </w:p>
    <w:p>
      <w:pPr>
        <w:pStyle w:val="nz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nz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nzHeading5"/>
      </w:pPr>
      <w:bookmarkStart w:id="1477" w:name="_Toc530474490"/>
      <w:bookmarkStart w:id="1478" w:name="_Toc530475085"/>
      <w:r>
        <w:t>133.</w:t>
      </w:r>
      <w:r>
        <w:tab/>
        <w:t>Resolutions of general meetings</w:t>
      </w:r>
      <w:bookmarkEnd w:id="1477"/>
      <w:bookmarkEnd w:id="1478"/>
    </w:p>
    <w:p>
      <w:pPr>
        <w:pStyle w:val="nzSubsection"/>
        <w:rPr>
          <w:snapToGrid w:val="0"/>
        </w:rPr>
      </w:pPr>
      <w:r>
        <w:rPr>
          <w:snapToGrid w:val="0"/>
        </w:rPr>
        <w:tab/>
      </w:r>
      <w:r>
        <w:rPr>
          <w:snapToGrid w:val="0"/>
        </w:rPr>
        <w:tab/>
        <w:t>Resolutions passed at a general meeting may be ordinary resolutions unless this Act requires otherwise.</w:t>
      </w:r>
    </w:p>
    <w:p>
      <w:pPr>
        <w:pStyle w:val="nzHeading5"/>
        <w:rPr>
          <w:snapToGrid w:val="0"/>
        </w:rPr>
      </w:pPr>
      <w:bookmarkStart w:id="1479" w:name="_Toc530474491"/>
      <w:bookmarkStart w:id="1480" w:name="_Toc530475086"/>
      <w:r>
        <w:t>134</w:t>
      </w:r>
      <w:r>
        <w:rPr>
          <w:snapToGrid w:val="0"/>
        </w:rPr>
        <w:t>.</w:t>
      </w:r>
      <w:r>
        <w:rPr>
          <w:snapToGrid w:val="0"/>
        </w:rPr>
        <w:tab/>
        <w:t>Performance of restricted council functions in general meeting</w:t>
      </w:r>
      <w:bookmarkEnd w:id="1479"/>
      <w:bookmarkEnd w:id="1480"/>
    </w:p>
    <w:p>
      <w:pPr>
        <w:pStyle w:val="nz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nzHeading3"/>
      </w:pPr>
      <w:bookmarkStart w:id="1481" w:name="_Toc517437694"/>
      <w:bookmarkStart w:id="1482" w:name="_Toc517438236"/>
      <w:bookmarkStart w:id="1483" w:name="_Toc517440573"/>
      <w:bookmarkStart w:id="1484" w:name="_Toc517447610"/>
      <w:bookmarkStart w:id="1485" w:name="_Toc517450088"/>
      <w:bookmarkStart w:id="1486" w:name="_Toc517450630"/>
      <w:bookmarkStart w:id="1487" w:name="_Toc517857086"/>
      <w:bookmarkStart w:id="1488" w:name="_Toc518293213"/>
      <w:bookmarkStart w:id="1489" w:name="_Toc522744441"/>
      <w:bookmarkStart w:id="1490" w:name="_Toc522747564"/>
      <w:bookmarkStart w:id="1491" w:name="_Toc529183401"/>
      <w:bookmarkStart w:id="1492" w:name="_Toc529188164"/>
      <w:bookmarkStart w:id="1493" w:name="_Toc529434677"/>
      <w:bookmarkStart w:id="1494" w:name="_Toc529524568"/>
      <w:bookmarkStart w:id="1495" w:name="_Toc530474492"/>
      <w:bookmarkStart w:id="1496" w:name="_Toc530475087"/>
      <w:r>
        <w:t>Division 4 — Councils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nzHeading5"/>
      </w:pPr>
      <w:bookmarkStart w:id="1497" w:name="_Toc530474493"/>
      <w:bookmarkStart w:id="1498" w:name="_Toc530475088"/>
      <w:r>
        <w:t>137.</w:t>
      </w:r>
      <w:r>
        <w:tab/>
        <w:t>Council members: general duties and conflicts of interest</w:t>
      </w:r>
      <w:bookmarkEnd w:id="1497"/>
      <w:bookmarkEnd w:id="1498"/>
    </w:p>
    <w:p>
      <w:pPr>
        <w:pStyle w:val="nzSubsection"/>
      </w:pPr>
      <w:r>
        <w:tab/>
        <w:t>(1)</w:t>
      </w:r>
      <w:r>
        <w:tab/>
        <w:t>This section applies to a person who is —</w:t>
      </w:r>
    </w:p>
    <w:p>
      <w:pPr>
        <w:pStyle w:val="nzIndenta"/>
      </w:pPr>
      <w:r>
        <w:tab/>
        <w:t>(a)</w:t>
      </w:r>
      <w:r>
        <w:tab/>
        <w:t>a member of the council of a strata company (including when acting as an officer of the strata company); or</w:t>
      </w:r>
    </w:p>
    <w:p>
      <w:pPr>
        <w:pStyle w:val="nzIndenta"/>
      </w:pPr>
      <w:r>
        <w:tab/>
        <w:t>(b)</w:t>
      </w:r>
      <w:r>
        <w:tab/>
        <w:t>an individual authorised under section 136(2) by a corporation to perform the corporation’s functions as a member of the council, or an officer, of a strata company.</w:t>
      </w:r>
    </w:p>
    <w:p>
      <w:pPr>
        <w:pStyle w:val="nzSubsection"/>
      </w:pPr>
      <w:r>
        <w:tab/>
        <w:t>(2)</w:t>
      </w:r>
      <w:r>
        <w:tab/>
        <w:t>A person to whom this section applies —</w:t>
      </w:r>
    </w:p>
    <w:p>
      <w:pPr>
        <w:pStyle w:val="nzIndenta"/>
      </w:pPr>
      <w:r>
        <w:tab/>
        <w:t>(a)</w:t>
      </w:r>
      <w:r>
        <w:tab/>
        <w:t>must at all times act honestly, with loyalty and in good faith in the performance of functions as a member of the council or an officer of the strata company; and</w:t>
      </w:r>
    </w:p>
    <w:p>
      <w:pPr>
        <w:pStyle w:val="nz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nzIndenta"/>
      </w:pPr>
      <w:r>
        <w:tab/>
        <w:t>(c)</w:t>
      </w:r>
      <w:r>
        <w:tab/>
        <w:t>must not make improper use of the person’s position —</w:t>
      </w:r>
    </w:p>
    <w:p>
      <w:pPr>
        <w:pStyle w:val="nzIndenti"/>
      </w:pPr>
      <w:r>
        <w:tab/>
        <w:t>(i)</w:t>
      </w:r>
      <w:r>
        <w:tab/>
        <w:t>to gain, directly or indirectly, an advantage for the person or any other person; or</w:t>
      </w:r>
    </w:p>
    <w:p>
      <w:pPr>
        <w:pStyle w:val="nzIndenti"/>
      </w:pPr>
      <w:r>
        <w:tab/>
        <w:t>(ii)</w:t>
      </w:r>
      <w:r>
        <w:tab/>
        <w:t>to cause detriment to the strata company.</w:t>
      </w:r>
    </w:p>
    <w:p>
      <w:pPr>
        <w:pStyle w:val="nzSubsection"/>
      </w:pPr>
      <w:r>
        <w:tab/>
        <w:t>(3)</w:t>
      </w:r>
      <w:r>
        <w:tab/>
        <w:t>A person to whom this section applies —</w:t>
      </w:r>
    </w:p>
    <w:p>
      <w:pPr>
        <w:pStyle w:val="nz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nzIndenta"/>
      </w:pPr>
      <w:r>
        <w:tab/>
        <w:t>(b)</w:t>
      </w:r>
      <w:r>
        <w:tab/>
        <w:t>must do so as soon as is practicable after the person becomes aware of the relevant facts; and</w:t>
      </w:r>
    </w:p>
    <w:p>
      <w:pPr>
        <w:pStyle w:val="nzIndenta"/>
      </w:pPr>
      <w:r>
        <w:tab/>
        <w:t>(c)</w:t>
      </w:r>
      <w:r>
        <w:tab/>
        <w:t>in the case of a member of the council, must not vote on a matter in which the member has an interest required to be disclosed under paragraph (a).</w:t>
      </w:r>
    </w:p>
    <w:p>
      <w:pPr>
        <w:pStyle w:val="nzSubsection"/>
      </w:pPr>
      <w:r>
        <w:tab/>
        <w:t>(4)</w:t>
      </w:r>
      <w:r>
        <w:tab/>
        <w:t>Subsection (3) does not apply to an interest arising solely from the fact that the member is the owner of a lot in the scheme.</w:t>
      </w:r>
    </w:p>
    <w:p>
      <w:pPr>
        <w:pStyle w:val="nzHeading3"/>
      </w:pPr>
      <w:bookmarkStart w:id="1499" w:name="_Toc517437696"/>
      <w:bookmarkStart w:id="1500" w:name="_Toc517438238"/>
      <w:bookmarkStart w:id="1501" w:name="_Toc517440575"/>
      <w:bookmarkStart w:id="1502" w:name="_Toc517447612"/>
      <w:bookmarkStart w:id="1503" w:name="_Toc517450090"/>
      <w:bookmarkStart w:id="1504" w:name="_Toc517450632"/>
      <w:bookmarkStart w:id="1505" w:name="_Toc517857088"/>
      <w:bookmarkStart w:id="1506" w:name="_Toc518293215"/>
      <w:bookmarkStart w:id="1507" w:name="_Toc522744443"/>
      <w:bookmarkStart w:id="1508" w:name="_Toc522747566"/>
      <w:bookmarkStart w:id="1509" w:name="_Toc529183403"/>
      <w:bookmarkStart w:id="1510" w:name="_Toc529188166"/>
      <w:bookmarkStart w:id="1511" w:name="_Toc529434679"/>
      <w:bookmarkStart w:id="1512" w:name="_Toc529524570"/>
      <w:bookmarkStart w:id="1513" w:name="_Toc530474494"/>
      <w:bookmarkStart w:id="1514" w:name="_Toc530475089"/>
      <w:r>
        <w:t>Division 5 — Miscellaneous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5"/>
        <w:rPr>
          <w:snapToGrid w:val="0"/>
        </w:rPr>
      </w:pPr>
      <w:bookmarkStart w:id="1515" w:name="_Toc530474495"/>
      <w:bookmarkStart w:id="1516" w:name="_Toc530475090"/>
      <w:r>
        <w:rPr>
          <w:snapToGrid w:val="0"/>
        </w:rPr>
        <w:t>138.</w:t>
      </w:r>
      <w:r>
        <w:rPr>
          <w:snapToGrid w:val="0"/>
        </w:rPr>
        <w:tab/>
        <w:t>Performance of council functions in general meeting if no council or quorum</w:t>
      </w:r>
      <w:bookmarkEnd w:id="1515"/>
      <w:bookmarkEnd w:id="1516"/>
    </w:p>
    <w:p>
      <w:pPr>
        <w:pStyle w:val="nzSubsection"/>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nzHeading5"/>
        <w:rPr>
          <w:snapToGrid w:val="0"/>
        </w:rPr>
      </w:pPr>
      <w:bookmarkStart w:id="1517" w:name="_Toc530474496"/>
      <w:bookmarkStart w:id="1518" w:name="_Toc530475091"/>
      <w:r>
        <w:t>140.</w:t>
      </w:r>
      <w:r>
        <w:rPr>
          <w:snapToGrid w:val="0"/>
        </w:rPr>
        <w:tab/>
        <w:t>Special rules for 2, 3, 4 or 5</w:t>
      </w:r>
      <w:r>
        <w:rPr>
          <w:snapToGrid w:val="0"/>
        </w:rPr>
        <w:noBreakHyphen/>
        <w:t>lot schemes</w:t>
      </w:r>
      <w:bookmarkEnd w:id="1517"/>
      <w:bookmarkEnd w:id="1518"/>
    </w:p>
    <w:p>
      <w:pPr>
        <w:pStyle w:val="nzSubsection"/>
        <w:rPr>
          <w:snapToGrid w:val="0"/>
        </w:rPr>
      </w:pPr>
      <w:r>
        <w:rPr>
          <w:snapToGrid w:val="0"/>
        </w:rPr>
        <w:tab/>
        <w:t>(1)</w:t>
      </w:r>
      <w:r>
        <w:rPr>
          <w:snapToGrid w:val="0"/>
        </w:rPr>
        <w:tab/>
        <w:t>A strata company for a 2</w:t>
      </w:r>
      <w:r>
        <w:rPr>
          <w:snapToGrid w:val="0"/>
        </w:rPr>
        <w:noBreakHyphen/>
        <w:t>lot scheme —</w:t>
      </w:r>
    </w:p>
    <w:p>
      <w:pPr>
        <w:pStyle w:val="nzIndenta"/>
      </w:pPr>
      <w:r>
        <w:tab/>
        <w:t>(a)</w:t>
      </w:r>
      <w:r>
        <w:tab/>
        <w:t>may, but is not required to, perform a designated function; and</w:t>
      </w:r>
    </w:p>
    <w:p>
      <w:pPr>
        <w:pStyle w:val="nzIndenta"/>
      </w:pPr>
      <w:r>
        <w:tab/>
        <w:t>(b)</w:t>
      </w:r>
      <w:r>
        <w:tab/>
        <w:t>cannot establish an administrative fund unless required to do so by scheme by</w:t>
      </w:r>
      <w:r>
        <w:noBreakHyphen/>
        <w:t>laws.</w:t>
      </w:r>
    </w:p>
    <w:p>
      <w:pPr>
        <w:pStyle w:val="nzSubsection"/>
      </w:pPr>
      <w:r>
        <w:tab/>
        <w:t>(2)</w:t>
      </w:r>
      <w:r>
        <w:tab/>
        <w:t>The scheme by</w:t>
      </w:r>
      <w:r>
        <w:noBreakHyphen/>
        <w:t>laws for a 3, 4 or 5</w:t>
      </w:r>
      <w:r>
        <w:noBreakHyphen/>
        <w:t>lot scheme may exempt the strata company from a designated function.</w:t>
      </w:r>
    </w:p>
    <w:p>
      <w:pPr>
        <w:pStyle w:val="nzSubsection"/>
      </w:pPr>
      <w:r>
        <w:tab/>
        <w:t>(3)</w:t>
      </w:r>
      <w:r>
        <w:tab/>
        <w:t>However, the Tribunal may, on application by a member of the strata company, require a strata company to perform a designated function despite this section.</w:t>
      </w:r>
    </w:p>
    <w:p>
      <w:pPr>
        <w:pStyle w:val="nzSubsection"/>
      </w:pPr>
      <w:r>
        <w:tab/>
        <w:t>(4)</w:t>
      </w:r>
      <w:r>
        <w:tab/>
        <w:t>In this section —</w:t>
      </w:r>
    </w:p>
    <w:p>
      <w:pPr>
        <w:pStyle w:val="nzDefstart"/>
      </w:pPr>
      <w:r>
        <w:tab/>
      </w:r>
      <w:r>
        <w:rPr>
          <w:rStyle w:val="CharDefText"/>
        </w:rPr>
        <w:t>designated function</w:t>
      </w:r>
      <w:r>
        <w:t xml:space="preserve"> means a function conferred under any of the following sections or included in this definition by the regulations —</w:t>
      </w:r>
    </w:p>
    <w:tbl>
      <w:tblPr>
        <w:tblW w:w="0" w:type="auto"/>
        <w:tblInd w:w="1526" w:type="dxa"/>
        <w:tblLayout w:type="fixed"/>
        <w:tblLook w:val="0000" w:firstRow="0" w:lastRow="0" w:firstColumn="0" w:lastColumn="0" w:noHBand="0" w:noVBand="0"/>
      </w:tblPr>
      <w:tblGrid>
        <w:gridCol w:w="1984"/>
        <w:gridCol w:w="3686"/>
      </w:tblGrid>
      <w:tr>
        <w:trPr>
          <w:tblHeader/>
        </w:trPr>
        <w:tc>
          <w:tcPr>
            <w:tcW w:w="1984" w:type="dxa"/>
          </w:tcPr>
          <w:p>
            <w:pPr>
              <w:pStyle w:val="TableNAm"/>
              <w:rPr>
                <w:snapToGrid w:val="0"/>
              </w:rPr>
            </w:pPr>
            <w:r>
              <w:rPr>
                <w:b/>
                <w:snapToGrid w:val="0"/>
              </w:rPr>
              <w:t>Section</w:t>
            </w:r>
          </w:p>
        </w:tc>
        <w:tc>
          <w:tcPr>
            <w:tcW w:w="3686" w:type="dxa"/>
          </w:tcPr>
          <w:p>
            <w:pPr>
              <w:pStyle w:val="TableNAm"/>
              <w:rPr>
                <w:snapToGrid w:val="0"/>
              </w:rPr>
            </w:pPr>
            <w:r>
              <w:rPr>
                <w:b/>
                <w:snapToGrid w:val="0"/>
              </w:rPr>
              <w:t>Description for information only</w:t>
            </w:r>
          </w:p>
        </w:tc>
      </w:tr>
      <w:tr>
        <w:tc>
          <w:tcPr>
            <w:tcW w:w="1984" w:type="dxa"/>
          </w:tcPr>
          <w:p>
            <w:pPr>
              <w:pStyle w:val="TableNAm"/>
              <w:rPr>
                <w:snapToGrid w:val="0"/>
              </w:rPr>
            </w:pPr>
            <w:r>
              <w:rPr>
                <w:snapToGrid w:val="0"/>
              </w:rPr>
              <w:t>Section 100(1)(a)</w:t>
            </w:r>
          </w:p>
        </w:tc>
        <w:tc>
          <w:tcPr>
            <w:tcW w:w="3686" w:type="dxa"/>
          </w:tcPr>
          <w:p>
            <w:pPr>
              <w:pStyle w:val="TableNAm"/>
              <w:rPr>
                <w:snapToGrid w:val="0"/>
              </w:rPr>
            </w:pPr>
            <w:r>
              <w:rPr>
                <w:snapToGrid w:val="0"/>
              </w:rPr>
              <w:t>Administrative fund</w:t>
            </w:r>
          </w:p>
        </w:tc>
      </w:tr>
      <w:tr>
        <w:tc>
          <w:tcPr>
            <w:tcW w:w="1984" w:type="dxa"/>
          </w:tcPr>
          <w:p>
            <w:pPr>
              <w:pStyle w:val="TableNAm"/>
              <w:rPr>
                <w:snapToGrid w:val="0"/>
              </w:rPr>
            </w:pPr>
            <w:r>
              <w:rPr>
                <w:snapToGrid w:val="0"/>
              </w:rPr>
              <w:t>Section 101</w:t>
            </w:r>
          </w:p>
        </w:tc>
        <w:tc>
          <w:tcPr>
            <w:tcW w:w="3686" w:type="dxa"/>
          </w:tcPr>
          <w:p>
            <w:pPr>
              <w:pStyle w:val="TableNAm"/>
              <w:rPr>
                <w:snapToGrid w:val="0"/>
              </w:rPr>
            </w:pPr>
            <w:r>
              <w:rPr>
                <w:snapToGrid w:val="0"/>
              </w:rPr>
              <w:t>Accounting records and statement of account</w:t>
            </w:r>
          </w:p>
        </w:tc>
      </w:tr>
      <w:tr>
        <w:tc>
          <w:tcPr>
            <w:tcW w:w="1984" w:type="dxa"/>
          </w:tcPr>
          <w:p>
            <w:pPr>
              <w:pStyle w:val="TableNAm"/>
              <w:rPr>
                <w:snapToGrid w:val="0"/>
              </w:rPr>
            </w:pPr>
            <w:r>
              <w:rPr>
                <w:snapToGrid w:val="0"/>
              </w:rPr>
              <w:t>Section 104(1)(b)</w:t>
            </w:r>
          </w:p>
        </w:tc>
        <w:tc>
          <w:tcPr>
            <w:tcW w:w="3686" w:type="dxa"/>
          </w:tcPr>
          <w:p>
            <w:pPr>
              <w:pStyle w:val="TableNAm"/>
              <w:rPr>
                <w:snapToGrid w:val="0"/>
              </w:rPr>
            </w:pPr>
            <w:r>
              <w:rPr>
                <w:snapToGrid w:val="0"/>
              </w:rPr>
              <w:t>Minutes of meetings</w:t>
            </w:r>
          </w:p>
        </w:tc>
      </w:tr>
      <w:tr>
        <w:tc>
          <w:tcPr>
            <w:tcW w:w="1984" w:type="dxa"/>
          </w:tcPr>
          <w:p>
            <w:pPr>
              <w:pStyle w:val="TableNAm"/>
              <w:rPr>
                <w:snapToGrid w:val="0"/>
              </w:rPr>
            </w:pPr>
            <w:r>
              <w:rPr>
                <w:snapToGrid w:val="0"/>
              </w:rPr>
              <w:t>Section 104(3)(a)</w:t>
            </w:r>
          </w:p>
        </w:tc>
        <w:tc>
          <w:tcPr>
            <w:tcW w:w="3686" w:type="dxa"/>
          </w:tcPr>
          <w:p>
            <w:pPr>
              <w:pStyle w:val="TableNAm"/>
              <w:rPr>
                <w:snapToGrid w:val="0"/>
              </w:rPr>
            </w:pPr>
            <w:r>
              <w:rPr>
                <w:snapToGrid w:val="0"/>
              </w:rPr>
              <w:t>Letterbox</w:t>
            </w:r>
          </w:p>
        </w:tc>
      </w:tr>
      <w:tr>
        <w:tc>
          <w:tcPr>
            <w:tcW w:w="1984" w:type="dxa"/>
          </w:tcPr>
          <w:p>
            <w:pPr>
              <w:pStyle w:val="TableNAm"/>
              <w:rPr>
                <w:snapToGrid w:val="0"/>
              </w:rPr>
            </w:pPr>
            <w:r>
              <w:rPr>
                <w:snapToGrid w:val="0"/>
              </w:rPr>
              <w:t>Section 105(1)</w:t>
            </w:r>
          </w:p>
        </w:tc>
        <w:tc>
          <w:tcPr>
            <w:tcW w:w="3686" w:type="dxa"/>
          </w:tcPr>
          <w:p>
            <w:pPr>
              <w:pStyle w:val="TableNAm"/>
              <w:rPr>
                <w:snapToGrid w:val="0"/>
              </w:rPr>
            </w:pPr>
            <w:r>
              <w:rPr>
                <w:snapToGrid w:val="0"/>
              </w:rPr>
              <w:t>Roll to be kept by strata company.</w:t>
            </w:r>
          </w:p>
        </w:tc>
      </w:tr>
    </w:tbl>
    <w:p>
      <w:pPr>
        <w:pStyle w:val="nzHeading5"/>
      </w:pPr>
      <w:bookmarkStart w:id="1519" w:name="_Toc530474497"/>
      <w:bookmarkStart w:id="1520" w:name="_Toc530475092"/>
      <w:r>
        <w:t>141.</w:t>
      </w:r>
      <w:r>
        <w:tab/>
        <w:t>Protection from liability</w:t>
      </w:r>
      <w:bookmarkEnd w:id="1519"/>
      <w:bookmarkEnd w:id="1520"/>
    </w:p>
    <w:p>
      <w:pPr>
        <w:pStyle w:val="nzSubsection"/>
      </w:pPr>
      <w:r>
        <w:tab/>
        <w:t>(1)</w:t>
      </w:r>
      <w:r>
        <w:tab/>
        <w:t>This section applies to a person who is or has been —</w:t>
      </w:r>
    </w:p>
    <w:p>
      <w:pPr>
        <w:pStyle w:val="nzIndenta"/>
      </w:pPr>
      <w:r>
        <w:tab/>
        <w:t>(a)</w:t>
      </w:r>
      <w:r>
        <w:tab/>
        <w:t>a member of the council of a strata company (including when acting as an officer of the strata company); or</w:t>
      </w:r>
    </w:p>
    <w:p>
      <w:pPr>
        <w:pStyle w:val="nzIndenta"/>
      </w:pPr>
      <w:r>
        <w:tab/>
        <w:t>(b)</w:t>
      </w:r>
      <w:r>
        <w:tab/>
        <w:t>an individual authorised under section 136(2) by a corporation to perform the corporation’s functions as a member of the council, or an officer, of a strata company.</w:t>
      </w:r>
    </w:p>
    <w:p>
      <w:pPr>
        <w:pStyle w:val="nzSubsection"/>
      </w:pPr>
      <w:r>
        <w:tab/>
        <w:t>(2)</w:t>
      </w:r>
      <w:r>
        <w:tab/>
        <w:t>No civil liability attaches to a person to whom this section applies for anything that the person has, in good faith, done or omitted to be done —</w:t>
      </w:r>
    </w:p>
    <w:p>
      <w:pPr>
        <w:pStyle w:val="nzIndenta"/>
      </w:pPr>
      <w:r>
        <w:tab/>
        <w:t>(a)</w:t>
      </w:r>
      <w:r>
        <w:tab/>
        <w:t>in the performance of a function under this Act or scheme by</w:t>
      </w:r>
      <w:r>
        <w:noBreakHyphen/>
        <w:t>laws; or</w:t>
      </w:r>
    </w:p>
    <w:p>
      <w:pPr>
        <w:pStyle w:val="nzIndenta"/>
      </w:pPr>
      <w:r>
        <w:tab/>
        <w:t>(b)</w:t>
      </w:r>
      <w:r>
        <w:tab/>
        <w:t>in the reasonable belief that the act or omission was in the performance of a function under this Act or scheme by</w:t>
      </w:r>
      <w:r>
        <w:noBreakHyphen/>
        <w:t>laws.</w:t>
      </w:r>
    </w:p>
    <w:p>
      <w:pPr>
        <w:pStyle w:val="nzSubsection"/>
      </w:pPr>
      <w:r>
        <w:tab/>
        <w:t>(3)</w:t>
      </w:r>
      <w:r>
        <w:tab/>
        <w:t>A liability that would, but for subsection (2), attach to a person attaches instead to the strata company.</w:t>
      </w:r>
    </w:p>
    <w:p>
      <w:pPr>
        <w:pStyle w:val="nzHeading5"/>
        <w:rPr>
          <w:snapToGrid w:val="0"/>
        </w:rPr>
      </w:pPr>
      <w:bookmarkStart w:id="1521" w:name="_Toc530474498"/>
      <w:bookmarkStart w:id="1522" w:name="_Toc530475093"/>
      <w:r>
        <w:rPr>
          <w:snapToGrid w:val="0"/>
        </w:rPr>
        <w:t>142.</w:t>
      </w:r>
      <w:r>
        <w:rPr>
          <w:snapToGrid w:val="0"/>
        </w:rPr>
        <w:tab/>
        <w:t>Exclusion of Corporations Act</w:t>
      </w:r>
      <w:bookmarkEnd w:id="1521"/>
      <w:bookmarkEnd w:id="1522"/>
    </w:p>
    <w:p>
      <w:pPr>
        <w:pStyle w:val="nz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nzIndenta"/>
      </w:pPr>
      <w:r>
        <w:tab/>
        <w:t>(a)</w:t>
      </w:r>
      <w:r>
        <w:tab/>
        <w:t>a strata company;</w:t>
      </w:r>
    </w:p>
    <w:p>
      <w:pPr>
        <w:pStyle w:val="nzIndenta"/>
      </w:pPr>
      <w:r>
        <w:tab/>
        <w:t>(b)</w:t>
      </w:r>
      <w:r>
        <w:tab/>
        <w:t>an act or omission of a person, body or other entity in relation to a strata company.</w:t>
      </w:r>
    </w:p>
    <w:p>
      <w:pPr>
        <w:pStyle w:val="nzHeading2"/>
      </w:pPr>
      <w:bookmarkStart w:id="1523" w:name="_Toc517437701"/>
      <w:bookmarkStart w:id="1524" w:name="_Toc517438243"/>
      <w:bookmarkStart w:id="1525" w:name="_Toc517440580"/>
      <w:bookmarkStart w:id="1526" w:name="_Toc517447617"/>
      <w:bookmarkStart w:id="1527" w:name="_Toc517450095"/>
      <w:bookmarkStart w:id="1528" w:name="_Toc517450637"/>
      <w:bookmarkStart w:id="1529" w:name="_Toc517857093"/>
      <w:bookmarkStart w:id="1530" w:name="_Toc518293220"/>
      <w:bookmarkStart w:id="1531" w:name="_Toc522744448"/>
      <w:bookmarkStart w:id="1532" w:name="_Toc522747571"/>
      <w:bookmarkStart w:id="1533" w:name="_Toc529183408"/>
      <w:bookmarkStart w:id="1534" w:name="_Toc529188171"/>
      <w:bookmarkStart w:id="1535" w:name="_Toc529434684"/>
      <w:bookmarkStart w:id="1536" w:name="_Toc529524575"/>
      <w:bookmarkStart w:id="1537" w:name="_Toc530474499"/>
      <w:bookmarkStart w:id="1538" w:name="_Toc530475094"/>
      <w:r>
        <w:t>Part 9</w:t>
      </w:r>
      <w:r>
        <w:rPr>
          <w:b w:val="0"/>
        </w:rPr>
        <w:t> </w:t>
      </w:r>
      <w:r>
        <w:t>—</w:t>
      </w:r>
      <w:r>
        <w:rPr>
          <w:b w:val="0"/>
        </w:rPr>
        <w:t> </w:t>
      </w:r>
      <w:r>
        <w:t>Strata managers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nzHeading5"/>
      </w:pPr>
      <w:bookmarkStart w:id="1539" w:name="_Toc530474500"/>
      <w:bookmarkStart w:id="1540" w:name="_Toc530475095"/>
      <w:r>
        <w:t>143.</w:t>
      </w:r>
      <w:r>
        <w:tab/>
        <w:t>Authorisation of functions of strata manager</w:t>
      </w:r>
      <w:bookmarkEnd w:id="1539"/>
      <w:bookmarkEnd w:id="1540"/>
    </w:p>
    <w:p>
      <w:pPr>
        <w:pStyle w:val="nzSubsection"/>
      </w:pPr>
      <w:r>
        <w:tab/>
        <w:t>(1)</w:t>
      </w:r>
      <w:r>
        <w:tab/>
        <w:t xml:space="preserve">A strata company may, subject to this Part, authorise a person (a </w:t>
      </w:r>
      <w:r>
        <w:rPr>
          <w:rStyle w:val="CharDefText"/>
        </w:rPr>
        <w:t>strata manager</w:t>
      </w:r>
      <w:r>
        <w:t>) to perform a specified scheme function.</w:t>
      </w:r>
    </w:p>
    <w:p>
      <w:pPr>
        <w:pStyle w:val="nzSubsection"/>
      </w:pPr>
      <w:r>
        <w:tab/>
        <w:t>(2)</w:t>
      </w:r>
      <w:r>
        <w:tab/>
        <w:t>An authorisation under this section —</w:t>
      </w:r>
    </w:p>
    <w:p>
      <w:pPr>
        <w:pStyle w:val="nzIndenta"/>
      </w:pPr>
      <w:r>
        <w:tab/>
        <w:t>(a)</w:t>
      </w:r>
      <w:r>
        <w:tab/>
        <w:t>is subject to any conditions specified by the strata company; and</w:t>
      </w:r>
    </w:p>
    <w:p>
      <w:pPr>
        <w:pStyle w:val="nzIndenta"/>
      </w:pPr>
      <w:r>
        <w:tab/>
        <w:t>(b)</w:t>
      </w:r>
      <w:r>
        <w:tab/>
        <w:t>may be varied or revoked by the strata company.</w:t>
      </w:r>
    </w:p>
    <w:p>
      <w:pPr>
        <w:pStyle w:val="nz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nzSubsection"/>
      </w:pPr>
      <w:r>
        <w:tab/>
        <w:t>(4)</w:t>
      </w:r>
      <w:r>
        <w:tab/>
        <w:t xml:space="preserve">An Australian legal practitioner does not act as a strata manager in providing services that can, under the </w:t>
      </w:r>
      <w:r>
        <w:rPr>
          <w:i/>
        </w:rPr>
        <w:t>Legal Profession Act 2008</w:t>
      </w:r>
      <w:r>
        <w:t>, be provided only by an Australian legal practitioner.</w:t>
      </w:r>
    </w:p>
    <w:p>
      <w:pPr>
        <w:pStyle w:val="nzSubsection"/>
      </w:pPr>
      <w:r>
        <w:tab/>
        <w:t>(5)</w:t>
      </w:r>
      <w:r>
        <w:tab/>
        <w:t>A strata manager cannot be authorised to perform any of the following functions —</w:t>
      </w:r>
    </w:p>
    <w:p>
      <w:pPr>
        <w:pStyle w:val="nzIndenta"/>
      </w:pPr>
      <w:r>
        <w:tab/>
        <w:t>(a)</w:t>
      </w:r>
      <w:r>
        <w:tab/>
        <w:t>authorising a person to perform a scheme function other than as an agent, employee or contractor of the strata manager;</w:t>
      </w:r>
    </w:p>
    <w:p>
      <w:pPr>
        <w:pStyle w:val="nzIndenta"/>
      </w:pPr>
      <w:r>
        <w:tab/>
        <w:t>(b)</w:t>
      </w:r>
      <w:r>
        <w:tab/>
        <w:t>determining contributions;</w:t>
      </w:r>
    </w:p>
    <w:p>
      <w:pPr>
        <w:pStyle w:val="nzIndenta"/>
      </w:pPr>
      <w:r>
        <w:tab/>
        <w:t>(c)</w:t>
      </w:r>
      <w:r>
        <w:tab/>
        <w:t>entering into a contract with another strata manager, varying, extending or terminating such a contract or making a decision relating to such a contract or the meaning of such a contract;</w:t>
      </w:r>
    </w:p>
    <w:p>
      <w:pPr>
        <w:pStyle w:val="nzIndenta"/>
      </w:pPr>
      <w:r>
        <w:tab/>
        <w:t>(d)</w:t>
      </w:r>
      <w:r>
        <w:tab/>
        <w:t>terminating a contract for services or amenities under section 115;</w:t>
      </w:r>
    </w:p>
    <w:p>
      <w:pPr>
        <w:pStyle w:val="nzIndenta"/>
      </w:pPr>
      <w:r>
        <w:tab/>
        <w:t>(e)</w:t>
      </w:r>
      <w:r>
        <w:tab/>
        <w:t>commencing proceedings on behalf of the strata company in the Tribunal or in a court or other tribunal;</w:t>
      </w:r>
    </w:p>
    <w:p>
      <w:pPr>
        <w:pStyle w:val="nzIndenta"/>
      </w:pPr>
      <w:r>
        <w:tab/>
        <w:t>(f)</w:t>
      </w:r>
      <w:r>
        <w:tab/>
        <w:t>authorising the strata company’s common seal to be applied to a document;</w:t>
      </w:r>
    </w:p>
    <w:p>
      <w:pPr>
        <w:pStyle w:val="nzIndenta"/>
      </w:pPr>
      <w:r>
        <w:tab/>
        <w:t>(g)</w:t>
      </w:r>
      <w:r>
        <w:tab/>
        <w:t>authorising a person to sign documents on behalf of the strata company or on behalf of the council or an officer of the strata company;</w:t>
      </w:r>
    </w:p>
    <w:p>
      <w:pPr>
        <w:pStyle w:val="nzIndenta"/>
      </w:pPr>
      <w:r>
        <w:tab/>
        <w:t>(h)</w:t>
      </w:r>
      <w:r>
        <w:tab/>
        <w:t>a scheme function declared by the regulations to be a scheme function that may not be performed by a strata manager.</w:t>
      </w:r>
    </w:p>
    <w:p>
      <w:pPr>
        <w:pStyle w:val="nzSubsection"/>
      </w:pPr>
      <w:r>
        <w:tab/>
        <w:t>(6)</w:t>
      </w:r>
      <w:r>
        <w:tab/>
        <w:t>An act or thing done by a person under an authorisation under this section —</w:t>
      </w:r>
    </w:p>
    <w:p>
      <w:pPr>
        <w:pStyle w:val="nzIndenta"/>
      </w:pPr>
      <w:r>
        <w:tab/>
        <w:t>(a)</w:t>
      </w:r>
      <w:r>
        <w:tab/>
        <w:t>has effect as if it were done by the strata company, council or officer of the strata company (as the case requires); and</w:t>
      </w:r>
    </w:p>
    <w:p>
      <w:pPr>
        <w:pStyle w:val="nzIndenta"/>
      </w:pPr>
      <w:r>
        <w:tab/>
        <w:t>(b)</w:t>
      </w:r>
      <w:r>
        <w:tab/>
        <w:t>is taken to have been done by the strata company, council or officer of the strata company (as the case requires).</w:t>
      </w:r>
    </w:p>
    <w:p>
      <w:pPr>
        <w:pStyle w:val="nzSubsection"/>
      </w:pPr>
      <w:r>
        <w:tab/>
        <w:t>(7)</w:t>
      </w:r>
      <w:r>
        <w:tab/>
        <w:t>The authority of a strata manager to perform a scheme function does not prevent the function from being performed by the strata company, council or officer (as the case requires).</w:t>
      </w:r>
    </w:p>
    <w:p>
      <w:pPr>
        <w:pStyle w:val="nzSubsection"/>
      </w:pPr>
      <w:r>
        <w:tab/>
        <w:t>(8)</w:t>
      </w:r>
      <w:r>
        <w:tab/>
        <w:t>However, if the strata company, council or officer performs such a function, the strata company, council or officer must notify the strata manager authorised to perform the function of that fact.</w:t>
      </w:r>
    </w:p>
    <w:p>
      <w:pPr>
        <w:pStyle w:val="nzHeading5"/>
      </w:pPr>
      <w:bookmarkStart w:id="1541" w:name="_Toc530474501"/>
      <w:bookmarkStart w:id="1542" w:name="_Toc530475096"/>
      <w:r>
        <w:t>144.</w:t>
      </w:r>
      <w:r>
        <w:tab/>
        <w:t>Requirements to be met by strata manager</w:t>
      </w:r>
      <w:bookmarkEnd w:id="1541"/>
      <w:bookmarkEnd w:id="1542"/>
    </w:p>
    <w:p>
      <w:pPr>
        <w:pStyle w:val="nzSubsection"/>
      </w:pPr>
      <w:r>
        <w:tab/>
        <w:t>(1)</w:t>
      </w:r>
      <w:r>
        <w:tab/>
        <w:t>Despite an authorisation under section 143, a person is not authorised to perform functions as a strata manager unless —</w:t>
      </w:r>
    </w:p>
    <w:p>
      <w:pPr>
        <w:pStyle w:val="nzIndenta"/>
      </w:pPr>
      <w:r>
        <w:tab/>
        <w:t>(a)</w:t>
      </w:r>
      <w:r>
        <w:tab/>
        <w:t xml:space="preserve">a contract or volunteer agreement (a </w:t>
      </w:r>
      <w:r>
        <w:rPr>
          <w:rStyle w:val="CharDefText"/>
        </w:rPr>
        <w:t>strata management contract</w:t>
      </w:r>
      <w:r>
        <w:t>) is in force between the strata manager and the strata company; and</w:t>
      </w:r>
    </w:p>
    <w:p>
      <w:pPr>
        <w:pStyle w:val="nzIndenta"/>
      </w:pPr>
      <w:r>
        <w:tab/>
        <w:t>(b)</w:t>
      </w:r>
      <w:r>
        <w:tab/>
        <w:t>the requirements of the regulations are met by the strata manager and each agent, employee or contractor of the strata manager for —</w:t>
      </w:r>
    </w:p>
    <w:p>
      <w:pPr>
        <w:pStyle w:val="nzIndenti"/>
      </w:pPr>
      <w:r>
        <w:tab/>
        <w:t>(i)</w:t>
      </w:r>
      <w:r>
        <w:tab/>
        <w:t>the conduct of, and verification of the conduct of, criminal record checks; and</w:t>
      </w:r>
    </w:p>
    <w:p>
      <w:pPr>
        <w:pStyle w:val="nzIndenti"/>
      </w:pPr>
      <w:r>
        <w:tab/>
        <w:t>(ii)</w:t>
      </w:r>
      <w:r>
        <w:tab/>
        <w:t>educational or other qualifications; and</w:t>
      </w:r>
    </w:p>
    <w:p>
      <w:pPr>
        <w:pStyle w:val="nzIndenti"/>
      </w:pPr>
      <w:r>
        <w:tab/>
        <w:t>(iii)</w:t>
      </w:r>
      <w:r>
        <w:tab/>
        <w:t>any other matter relevant to the performance of functions as a strata manager;</w:t>
      </w:r>
    </w:p>
    <w:p>
      <w:pPr>
        <w:pStyle w:val="nzIndenta"/>
      </w:pPr>
      <w:r>
        <w:tab/>
      </w:r>
      <w:r>
        <w:tab/>
        <w:t>and</w:t>
      </w:r>
    </w:p>
    <w:p>
      <w:pPr>
        <w:pStyle w:val="nzIndenta"/>
      </w:pPr>
      <w:r>
        <w:tab/>
        <w:t>(c)</w:t>
      </w:r>
      <w:r>
        <w:tab/>
        <w:t>the strata manager maintains professional indemnity insurance as required by the regulations.</w:t>
      </w:r>
    </w:p>
    <w:p>
      <w:pPr>
        <w:pStyle w:val="nzSubsection"/>
        <w:rPr>
          <w:snapToGrid w:val="0"/>
        </w:rPr>
      </w:pPr>
      <w:r>
        <w:rPr>
          <w:snapToGrid w:val="0"/>
        </w:rPr>
        <w:tab/>
        <w:t>(2)</w:t>
      </w:r>
      <w:r>
        <w:rPr>
          <w:snapToGrid w:val="0"/>
        </w:rPr>
        <w:tab/>
        <w:t>Subsection (1)(c) does not apply to a volunteer strata manager.</w:t>
      </w:r>
    </w:p>
    <w:p>
      <w:pPr>
        <w:pStyle w:val="nzSubsection"/>
        <w:rPr>
          <w:snapToGrid w:val="0"/>
        </w:rPr>
      </w:pPr>
      <w:r>
        <w:rPr>
          <w:snapToGrid w:val="0"/>
        </w:rPr>
        <w:tab/>
        <w:t>(3)</w:t>
      </w:r>
      <w:r>
        <w:rPr>
          <w:snapToGrid w:val="0"/>
        </w:rPr>
        <w:tab/>
        <w:t>The regulations cannot require a volunteer strata manager to have particular educational or other qualifications.</w:t>
      </w:r>
    </w:p>
    <w:p>
      <w:pPr>
        <w:pStyle w:val="nzHeading5"/>
      </w:pPr>
      <w:bookmarkStart w:id="1543" w:name="_Toc530474502"/>
      <w:bookmarkStart w:id="1544" w:name="_Toc530475097"/>
      <w:r>
        <w:t>145.</w:t>
      </w:r>
      <w:r>
        <w:tab/>
        <w:t>Strata management contracts: minimum requirements</w:t>
      </w:r>
      <w:bookmarkEnd w:id="1543"/>
      <w:bookmarkEnd w:id="1544"/>
    </w:p>
    <w:p>
      <w:pPr>
        <w:pStyle w:val="nzSubsection"/>
      </w:pPr>
      <w:r>
        <w:tab/>
        <w:t>(1)</w:t>
      </w:r>
      <w:r>
        <w:tab/>
        <w:t>A strata management contract must be in writing and must —</w:t>
      </w:r>
    </w:p>
    <w:p>
      <w:pPr>
        <w:pStyle w:val="nzIndenta"/>
      </w:pPr>
      <w:r>
        <w:tab/>
        <w:t>(a)</w:t>
      </w:r>
      <w:r>
        <w:tab/>
        <w:t>state the strata manager’s name and address for service; and</w:t>
      </w:r>
    </w:p>
    <w:p>
      <w:pPr>
        <w:pStyle w:val="nzIndenta"/>
      </w:pPr>
      <w:r>
        <w:tab/>
        <w:t>(b)</w:t>
      </w:r>
      <w:r>
        <w:tab/>
        <w:t>state the strata company’s name and address for service; and</w:t>
      </w:r>
    </w:p>
    <w:p>
      <w:pPr>
        <w:pStyle w:val="nzIndenta"/>
      </w:pPr>
      <w:r>
        <w:tab/>
        <w:t>(c)</w:t>
      </w:r>
      <w:r>
        <w:tab/>
        <w:t>state the Australian Company Number or Australian Business Number of each party with such a number; and</w:t>
      </w:r>
    </w:p>
    <w:p>
      <w:pPr>
        <w:pStyle w:val="nzIndenta"/>
      </w:pPr>
      <w:r>
        <w:tab/>
        <w:t>(d)</w:t>
      </w:r>
      <w:r>
        <w:tab/>
        <w:t>specify when the contract starts and ends; and</w:t>
      </w:r>
    </w:p>
    <w:p>
      <w:pPr>
        <w:pStyle w:val="nzIndenta"/>
      </w:pPr>
      <w:r>
        <w:tab/>
        <w:t>(e)</w:t>
      </w:r>
      <w:r>
        <w:tab/>
        <w:t>specify each scheme function to be performed by the strata manager under the contract; and</w:t>
      </w:r>
    </w:p>
    <w:p>
      <w:pPr>
        <w:pStyle w:val="nzIndenta"/>
      </w:pPr>
      <w:r>
        <w:tab/>
        <w:t>(f)</w:t>
      </w:r>
      <w:r>
        <w:tab/>
        <w:t>specify any conditions that are to apply to the performance of the functions; and</w:t>
      </w:r>
    </w:p>
    <w:p>
      <w:pPr>
        <w:pStyle w:val="nz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nzIndenta"/>
      </w:pPr>
      <w:r>
        <w:tab/>
        <w:t>(h)</w:t>
      </w:r>
      <w:r>
        <w:tab/>
        <w:t>specify the remuneration that is payable under the contract or the manner in which the remuneration that is payable under the contract is to be calculated; and</w:t>
      </w:r>
    </w:p>
    <w:p>
      <w:pPr>
        <w:pStyle w:val="nzIndenta"/>
      </w:pPr>
      <w:r>
        <w:tab/>
        <w:t>(i)</w:t>
      </w:r>
      <w:r>
        <w:tab/>
        <w:t>specify the accounts to be used under section 148(1); and</w:t>
      </w:r>
    </w:p>
    <w:p>
      <w:pPr>
        <w:pStyle w:val="nzIndenta"/>
      </w:pPr>
      <w:r>
        <w:tab/>
        <w:t>(j)</w:t>
      </w:r>
      <w:r>
        <w:tab/>
        <w:t>set out the text of, or give notice drawing attention to, section 151; and</w:t>
      </w:r>
    </w:p>
    <w:p>
      <w:pPr>
        <w:pStyle w:val="nzIndenta"/>
      </w:pPr>
      <w:r>
        <w:tab/>
        <w:t>(k)</w:t>
      </w:r>
      <w:r>
        <w:tab/>
        <w:t>provide for any other matter that is required by the regulations.</w:t>
      </w:r>
    </w:p>
    <w:p>
      <w:pPr>
        <w:pStyle w:val="nzSubsection"/>
      </w:pPr>
      <w:r>
        <w:tab/>
        <w:t>(2)</w:t>
      </w:r>
      <w:r>
        <w:tab/>
        <w:t>Before entering into a strata management contract, the strata manager must disclose in writing to the strata company —</w:t>
      </w:r>
    </w:p>
    <w:p>
      <w:pPr>
        <w:pStyle w:val="nzIndenta"/>
      </w:pPr>
      <w:r>
        <w:tab/>
        <w:t>(a)</w:t>
      </w:r>
      <w:r>
        <w:tab/>
        <w:t>any direct or indirect pecuniary or other interest that the strata manager has that conflicts or may conflict with the performance of the strata manager’s functions; and</w:t>
      </w:r>
    </w:p>
    <w:p>
      <w:pPr>
        <w:pStyle w:val="nz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nzSubsection"/>
        <w:rPr>
          <w:snapToGrid w:val="0"/>
        </w:rPr>
      </w:pPr>
      <w:r>
        <w:rPr>
          <w:snapToGrid w:val="0"/>
        </w:rPr>
        <w:tab/>
        <w:t>(3)</w:t>
      </w:r>
      <w:r>
        <w:rPr>
          <w:snapToGrid w:val="0"/>
        </w:rPr>
        <w:tab/>
        <w:t>Any variation to, or extension or renewal of, a strata management contract must be in writing.</w:t>
      </w:r>
    </w:p>
    <w:p>
      <w:pPr>
        <w:pStyle w:val="nzSubsection"/>
        <w:rPr>
          <w:snapToGrid w:val="0"/>
        </w:rPr>
      </w:pPr>
      <w:r>
        <w:rPr>
          <w:snapToGrid w:val="0"/>
        </w:rPr>
        <w:tab/>
        <w:t>(4)</w:t>
      </w:r>
      <w:r>
        <w:rPr>
          <w:snapToGrid w:val="0"/>
        </w:rPr>
        <w:tab/>
        <w:t>This section does not limit the matters that may be included in a strata management contract.</w:t>
      </w:r>
    </w:p>
    <w:p>
      <w:pPr>
        <w:pStyle w:val="nzSubsection"/>
        <w:rPr>
          <w:snapToGrid w:val="0"/>
        </w:rPr>
      </w:pPr>
      <w:r>
        <w:rPr>
          <w:snapToGrid w:val="0"/>
        </w:rPr>
        <w:tab/>
        <w:t>(5)</w:t>
      </w:r>
      <w:r>
        <w:rPr>
          <w:snapToGrid w:val="0"/>
        </w:rPr>
        <w:tab/>
        <w:t>If the strata management contract is a volunteer agreement with a volunteer strata manager, it need not comply with subsection (1)(c) or (g).</w:t>
      </w:r>
    </w:p>
    <w:p>
      <w:pPr>
        <w:pStyle w:val="nzHeading5"/>
      </w:pPr>
      <w:bookmarkStart w:id="1545" w:name="_Toc530474503"/>
      <w:bookmarkStart w:id="1546" w:name="_Toc530475098"/>
      <w:r>
        <w:t>146.</w:t>
      </w:r>
      <w:r>
        <w:tab/>
        <w:t>General duties and conflict of interest</w:t>
      </w:r>
      <w:bookmarkEnd w:id="1545"/>
      <w:bookmarkEnd w:id="1546"/>
    </w:p>
    <w:p>
      <w:pPr>
        <w:pStyle w:val="nzSubsection"/>
      </w:pPr>
      <w:r>
        <w:tab/>
        <w:t>(1)</w:t>
      </w:r>
      <w:r>
        <w:tab/>
        <w:t>A strata manager of a strata company —</w:t>
      </w:r>
    </w:p>
    <w:p>
      <w:pPr>
        <w:pStyle w:val="nzIndenta"/>
      </w:pPr>
      <w:r>
        <w:tab/>
        <w:t>(a)</w:t>
      </w:r>
      <w:r>
        <w:tab/>
        <w:t>must at all times act honestly and in good faith in the performance of the strata manager’s functions; and</w:t>
      </w:r>
    </w:p>
    <w:p>
      <w:pPr>
        <w:pStyle w:val="nzIndenta"/>
      </w:pPr>
      <w:r>
        <w:tab/>
        <w:t>(b)</w:t>
      </w:r>
      <w:r>
        <w:tab/>
        <w:t>must at all times exercise a reasonable degree of skill, care and diligence in the performance of the strata manager’s functions; and</w:t>
      </w:r>
    </w:p>
    <w:p>
      <w:pPr>
        <w:pStyle w:val="nzIndenta"/>
      </w:pPr>
      <w:r>
        <w:tab/>
        <w:t>(c)</w:t>
      </w:r>
      <w:r>
        <w:tab/>
        <w:t>must have a good working knowledge of this Act; and</w:t>
      </w:r>
    </w:p>
    <w:p>
      <w:pPr>
        <w:pStyle w:val="nzIndenta"/>
      </w:pPr>
      <w:r>
        <w:tab/>
        <w:t>(d)</w:t>
      </w:r>
      <w:r>
        <w:tab/>
        <w:t>must not make improper use of information acquired as the strata company’s strata manager —</w:t>
      </w:r>
    </w:p>
    <w:p>
      <w:pPr>
        <w:pStyle w:val="nzIndenti"/>
      </w:pPr>
      <w:r>
        <w:tab/>
        <w:t>(i)</w:t>
      </w:r>
      <w:r>
        <w:tab/>
        <w:t>to gain, directly or indirectly, an advantage for the strata manager or any other person; or</w:t>
      </w:r>
    </w:p>
    <w:p>
      <w:pPr>
        <w:pStyle w:val="nzIndenti"/>
      </w:pPr>
      <w:r>
        <w:tab/>
        <w:t>(ii)</w:t>
      </w:r>
      <w:r>
        <w:tab/>
        <w:t>to cause detriment to the strata company or a member of the strata company;</w:t>
      </w:r>
    </w:p>
    <w:p>
      <w:pPr>
        <w:pStyle w:val="nzIndenta"/>
      </w:pPr>
      <w:r>
        <w:tab/>
      </w:r>
      <w:r>
        <w:tab/>
        <w:t>and</w:t>
      </w:r>
    </w:p>
    <w:p>
      <w:pPr>
        <w:pStyle w:val="nzIndenta"/>
      </w:pPr>
      <w:r>
        <w:tab/>
        <w:t>(e)</w:t>
      </w:r>
      <w:r>
        <w:tab/>
        <w:t>must not make improper use of the position of strata manager —</w:t>
      </w:r>
    </w:p>
    <w:p>
      <w:pPr>
        <w:pStyle w:val="nzIndenti"/>
      </w:pPr>
      <w:r>
        <w:tab/>
        <w:t>(i)</w:t>
      </w:r>
      <w:r>
        <w:tab/>
        <w:t>to gain, directly or indirectly, an advantage for the strata manager or any other person; or</w:t>
      </w:r>
    </w:p>
    <w:p>
      <w:pPr>
        <w:pStyle w:val="nzIndenti"/>
      </w:pPr>
      <w:r>
        <w:tab/>
        <w:t>(ii)</w:t>
      </w:r>
      <w:r>
        <w:tab/>
        <w:t>to cause detriment to the strata company or a member of the strata company;</w:t>
      </w:r>
    </w:p>
    <w:p>
      <w:pPr>
        <w:pStyle w:val="nzIndenta"/>
      </w:pPr>
      <w:r>
        <w:tab/>
      </w:r>
      <w:r>
        <w:tab/>
        <w:t>and</w:t>
      </w:r>
    </w:p>
    <w:p>
      <w:pPr>
        <w:pStyle w:val="nzIndenta"/>
      </w:pPr>
      <w:r>
        <w:tab/>
        <w:t>(f)</w:t>
      </w:r>
      <w:r>
        <w:tab/>
        <w:t>must take reasonable steps to ensure that the strata manager’s agents, employees and contractors comply with this Act when performing the strata manager’s functions.</w:t>
      </w:r>
    </w:p>
    <w:p>
      <w:pPr>
        <w:pStyle w:val="nzSubsection"/>
      </w:pPr>
      <w:r>
        <w:tab/>
        <w:t>(2)</w:t>
      </w:r>
      <w:r>
        <w:tab/>
        <w:t>A strata manager of a strata company —</w:t>
      </w:r>
    </w:p>
    <w:p>
      <w:pPr>
        <w:pStyle w:val="nz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nzIndenta"/>
      </w:pPr>
      <w:r>
        <w:tab/>
        <w:t>(b)</w:t>
      </w:r>
      <w:r>
        <w:tab/>
        <w:t>must do so as soon as is practicable after the strata manager becomes aware of the relevant facts.</w:t>
      </w:r>
    </w:p>
    <w:p>
      <w:pPr>
        <w:pStyle w:val="nzHeading5"/>
      </w:pPr>
      <w:bookmarkStart w:id="1547" w:name="_Toc530474504"/>
      <w:bookmarkStart w:id="1548" w:name="_Toc530475099"/>
      <w:r>
        <w:t>147.</w:t>
      </w:r>
      <w:r>
        <w:tab/>
        <w:t>Disclosure of remuneration and other benefits</w:t>
      </w:r>
      <w:bookmarkEnd w:id="1547"/>
      <w:bookmarkEnd w:id="1548"/>
    </w:p>
    <w:p>
      <w:pPr>
        <w:pStyle w:val="nzSubsection"/>
      </w:pPr>
      <w:r>
        <w:tab/>
        <w:t>(1)</w:t>
      </w:r>
      <w:r>
        <w:tab/>
        <w:t>A strata manager of a strata company —</w:t>
      </w:r>
    </w:p>
    <w:p>
      <w:pPr>
        <w:pStyle w:val="nz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nzIndenta"/>
      </w:pPr>
      <w:r>
        <w:tab/>
        <w:t>(b)</w:t>
      </w:r>
      <w:r>
        <w:tab/>
        <w:t>must do so as soon as is practicable after the strata manager becomes aware of the relevant facts.</w:t>
      </w:r>
    </w:p>
    <w:p>
      <w:pPr>
        <w:pStyle w:val="nzSubsection"/>
      </w:pPr>
      <w:r>
        <w:tab/>
        <w:t>(2)</w:t>
      </w:r>
      <w:r>
        <w:tab/>
        <w:t>Subsection (1) does not apply to remuneration or any other benefit that is less than an amount or value specified in or calculated in accordance with the regulations.</w:t>
      </w:r>
    </w:p>
    <w:p>
      <w:pPr>
        <w:pStyle w:val="nzHeading5"/>
      </w:pPr>
      <w:bookmarkStart w:id="1549" w:name="_Toc530474505"/>
      <w:bookmarkStart w:id="1550" w:name="_Toc530475100"/>
      <w:r>
        <w:t>148.</w:t>
      </w:r>
      <w:r>
        <w:tab/>
        <w:t>Operation of accounts</w:t>
      </w:r>
      <w:bookmarkEnd w:id="1549"/>
      <w:bookmarkEnd w:id="1550"/>
    </w:p>
    <w:p>
      <w:pPr>
        <w:pStyle w:val="nzSubsection"/>
      </w:pPr>
      <w:r>
        <w:tab/>
        <w:t>(1)</w:t>
      </w:r>
      <w:r>
        <w:tab/>
        <w:t>A strata manager (other than a volunteer strata manager) must pay all money received on behalf of a strata company into 1 of the following accounts —</w:t>
      </w:r>
    </w:p>
    <w:p>
      <w:pPr>
        <w:pStyle w:val="nzIndenta"/>
      </w:pPr>
      <w:r>
        <w:tab/>
        <w:t>(a)</w:t>
      </w:r>
      <w:r>
        <w:tab/>
        <w:t>a separate ADI trust account for the strata company;</w:t>
      </w:r>
    </w:p>
    <w:p>
      <w:pPr>
        <w:pStyle w:val="nzIndenta"/>
      </w:pPr>
      <w:r>
        <w:tab/>
        <w:t>(b)</w:t>
      </w:r>
      <w:r>
        <w:tab/>
        <w:t>a pooled ADI trust account solely for the strata companies for which the person is a strata manager;</w:t>
      </w:r>
    </w:p>
    <w:p>
      <w:pPr>
        <w:pStyle w:val="nzIndenta"/>
      </w:pPr>
      <w:r>
        <w:tab/>
        <w:t>(c)</w:t>
      </w:r>
      <w:r>
        <w:tab/>
        <w:t>if the strata company has its own ADI account and has authorised the strata manager to use the account, that account.</w:t>
      </w:r>
    </w:p>
    <w:p>
      <w:pPr>
        <w:pStyle w:val="nz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nzSubsection"/>
      </w:pPr>
      <w:r>
        <w:tab/>
        <w:t>(3)</w:t>
      </w:r>
      <w:r>
        <w:tab/>
        <w:t>A strata manager must be able to account separately for money that the strata manager is paid or receives on behalf of a strata company.</w:t>
      </w:r>
    </w:p>
    <w:p>
      <w:pPr>
        <w:pStyle w:val="nzSubsection"/>
      </w:pPr>
      <w:r>
        <w:tab/>
        <w:t>(4)</w:t>
      </w:r>
      <w:r>
        <w:tab/>
        <w:t>A strata manager may pay out of an account mentioned in subsection (1) an amount that is payable by the strata company on whose behalf money is received.</w:t>
      </w:r>
    </w:p>
    <w:p>
      <w:pPr>
        <w:pStyle w:val="nz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nzSubsection"/>
      </w:pPr>
      <w:r>
        <w:tab/>
        <w:t>(6)</w:t>
      </w:r>
      <w:r>
        <w:tab/>
        <w:t>The regulations may provide for other matters relating to the operation of trust accounts by strata managers.</w:t>
      </w:r>
    </w:p>
    <w:p>
      <w:pPr>
        <w:pStyle w:val="nzHeading5"/>
      </w:pPr>
      <w:bookmarkStart w:id="1551" w:name="_Toc530474506"/>
      <w:bookmarkStart w:id="1552" w:name="_Toc530475101"/>
      <w:r>
        <w:t>149.</w:t>
      </w:r>
      <w:r>
        <w:tab/>
        <w:t>Accounting information</w:t>
      </w:r>
      <w:bookmarkEnd w:id="1551"/>
      <w:bookmarkEnd w:id="1552"/>
    </w:p>
    <w:p>
      <w:pPr>
        <w:pStyle w:val="nzSubsection"/>
      </w:pPr>
      <w:r>
        <w:tab/>
        <w:t>(1)</w:t>
      </w:r>
      <w:r>
        <w:tab/>
        <w:t>A strata company can, by written notice, require a strata manager to provide the following information to the strata company —</w:t>
      </w:r>
    </w:p>
    <w:p>
      <w:pPr>
        <w:pStyle w:val="nzIndenta"/>
      </w:pPr>
      <w:r>
        <w:tab/>
        <w:t>(a)</w:t>
      </w:r>
      <w:r>
        <w:tab/>
        <w:t>the name and number of each account operated by the strata manager in performing scheme functions and the name and identifying number or code of the ADI with which each account is held;</w:t>
      </w:r>
    </w:p>
    <w:p>
      <w:pPr>
        <w:pStyle w:val="nzIndenta"/>
      </w:pPr>
      <w:r>
        <w:tab/>
        <w:t>(b)</w:t>
      </w:r>
      <w:r>
        <w:tab/>
        <w:t>the balance in each such account standing to the credit of the strata company on a specified date;</w:t>
      </w:r>
    </w:p>
    <w:p>
      <w:pPr>
        <w:pStyle w:val="nzIndenta"/>
      </w:pPr>
      <w:r>
        <w:tab/>
        <w:t>(c)</w:t>
      </w:r>
      <w:r>
        <w:tab/>
        <w:t>particulars of cheques drawn or amounts transferred out of an account by the strata manager on behalf of the strata company but for which amounts have not, as at a specified date, been paid out of the account;</w:t>
      </w:r>
    </w:p>
    <w:p>
      <w:pPr>
        <w:pStyle w:val="nzIndenta"/>
      </w:pPr>
      <w:r>
        <w:tab/>
        <w:t>(d)</w:t>
      </w:r>
      <w:r>
        <w:tab/>
        <w:t>particulars relating to the payment of money to, or the receipt of money by, the strata manager on behalf of the strata company;</w:t>
      </w:r>
    </w:p>
    <w:p>
      <w:pPr>
        <w:pStyle w:val="nzIndenta"/>
      </w:pPr>
      <w:r>
        <w:tab/>
        <w:t>(e)</w:t>
      </w:r>
      <w:r>
        <w:tab/>
        <w:t>particulars relating to the manner and time of disposal of money paid to, or received by, the strata manager on behalf of the strata company that is not still held by the strata manager;</w:t>
      </w:r>
    </w:p>
    <w:p>
      <w:pPr>
        <w:pStyle w:val="nzIndenta"/>
      </w:pPr>
      <w:r>
        <w:tab/>
        <w:t>(f)</w:t>
      </w:r>
      <w:r>
        <w:tab/>
        <w:t>particulars relating to a specified transaction that has been entered into by the strata manager on behalf of the strata company.</w:t>
      </w:r>
    </w:p>
    <w:p>
      <w:pPr>
        <w:pStyle w:val="nzSubsection"/>
      </w:pPr>
      <w:r>
        <w:tab/>
        <w:t>(2)</w:t>
      </w:r>
      <w:r>
        <w:tab/>
        <w:t>The strata manager must comply with the notice within a reasonable time but, in any event, within 7 days after the day the notice was given.</w:t>
      </w:r>
    </w:p>
    <w:p>
      <w:pPr>
        <w:pStyle w:val="nzSubsection"/>
      </w:pPr>
      <w:r>
        <w:tab/>
        <w:t>(3)</w:t>
      </w:r>
      <w:r>
        <w:tab/>
        <w:t>However, a strata manager does not have to provide the strata company with information in relation to a matter as it was, or that occurred, more than 7 years before notice requiring the information is given.</w:t>
      </w:r>
    </w:p>
    <w:p>
      <w:pPr>
        <w:pStyle w:val="nzHeading5"/>
      </w:pPr>
      <w:bookmarkStart w:id="1553" w:name="_Toc530474507"/>
      <w:bookmarkStart w:id="1554" w:name="_Toc530475102"/>
      <w:r>
        <w:t>150.</w:t>
      </w:r>
      <w:r>
        <w:tab/>
        <w:t>Audits</w:t>
      </w:r>
      <w:bookmarkEnd w:id="1553"/>
      <w:bookmarkEnd w:id="1554"/>
    </w:p>
    <w:p>
      <w:pPr>
        <w:pStyle w:val="nz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nzSubsection"/>
      </w:pPr>
      <w:r>
        <w:tab/>
        <w:t>(2)</w:t>
      </w:r>
      <w:r>
        <w:tab/>
        <w:t>A strata manager of a strata company must provide such an auditor with —</w:t>
      </w:r>
    </w:p>
    <w:p>
      <w:pPr>
        <w:pStyle w:val="nzIndenta"/>
      </w:pPr>
      <w:r>
        <w:tab/>
        <w:t>(a)</w:t>
      </w:r>
      <w:r>
        <w:tab/>
        <w:t>any document in the strata manager’s possession or control relating to money paid to, or received by, the strata manager on behalf of the strata company that the auditor reasonably requires; and</w:t>
      </w:r>
    </w:p>
    <w:p>
      <w:pPr>
        <w:pStyle w:val="nzIndenta"/>
      </w:pPr>
      <w:r>
        <w:tab/>
        <w:t>(b)</w:t>
      </w:r>
      <w:r>
        <w:tab/>
        <w:t>any other information relating to money paid to, or received by, the strata manager on behalf of the strata company that the auditor reasonably requires.</w:t>
      </w:r>
    </w:p>
    <w:p>
      <w:pPr>
        <w:pStyle w:val="nzHeading5"/>
      </w:pPr>
      <w:bookmarkStart w:id="1555" w:name="_Toc530474508"/>
      <w:bookmarkStart w:id="1556" w:name="_Toc530475103"/>
      <w:r>
        <w:t>151.</w:t>
      </w:r>
      <w:r>
        <w:tab/>
        <w:t>Termination of strata management contract</w:t>
      </w:r>
      <w:bookmarkEnd w:id="1555"/>
      <w:bookmarkEnd w:id="1556"/>
    </w:p>
    <w:p>
      <w:pPr>
        <w:pStyle w:val="nzSubsection"/>
      </w:pPr>
      <w:r>
        <w:tab/>
        <w:t>(1)</w:t>
      </w:r>
      <w:r>
        <w:tab/>
        <w:t>There are proper grounds for termination of a strata management contract by a strata company if —</w:t>
      </w:r>
    </w:p>
    <w:p>
      <w:pPr>
        <w:pStyle w:val="nzIndenta"/>
      </w:pPr>
      <w:r>
        <w:tab/>
        <w:t>(a)</w:t>
      </w:r>
      <w:r>
        <w:tab/>
        <w:t>the strata manager has contravened this Act; or</w:t>
      </w:r>
    </w:p>
    <w:p>
      <w:pPr>
        <w:pStyle w:val="nzIndenta"/>
      </w:pPr>
      <w:r>
        <w:tab/>
        <w:t>(b)</w:t>
      </w:r>
      <w:r>
        <w:tab/>
        <w:t>the strata manager has contravened the contract; or</w:t>
      </w:r>
    </w:p>
    <w:p>
      <w:pPr>
        <w:pStyle w:val="nzIndenta"/>
      </w:pPr>
      <w:r>
        <w:tab/>
        <w:t>(c)</w:t>
      </w:r>
      <w:r>
        <w:tab/>
        <w:t xml:space="preserve">the strata manager is, according to the </w:t>
      </w:r>
      <w:r>
        <w:rPr>
          <w:i/>
        </w:rPr>
        <w:t>Interpretation Act 1984</w:t>
      </w:r>
      <w:r>
        <w:t xml:space="preserve"> section 13D, a bankrupt or a person whose affairs are under insolvency laws; or</w:t>
      </w:r>
    </w:p>
    <w:p>
      <w:pPr>
        <w:pStyle w:val="nzIndenta"/>
      </w:pPr>
      <w:r>
        <w:tab/>
        <w:t>(d)</w:t>
      </w:r>
      <w:r>
        <w:tab/>
        <w:t xml:space="preserve">the strata manager is a Chapter 5 body corporate within the meaning given in the </w:t>
      </w:r>
      <w:r>
        <w:rPr>
          <w:i/>
        </w:rPr>
        <w:t>Corporations Act 2001</w:t>
      </w:r>
      <w:r>
        <w:t xml:space="preserve"> (Commonwealth) section 9; or</w:t>
      </w:r>
    </w:p>
    <w:p>
      <w:pPr>
        <w:pStyle w:val="nz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nz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nzSubsection"/>
      </w:pPr>
      <w:r>
        <w:tab/>
        <w:t>(2)</w:t>
      </w:r>
      <w:r>
        <w:tab/>
        <w:t>If a strata company is satisfied that there are proper grounds for termination of a strata management contract, the strata company may terminate the contract by giving the strata manager written notice of termination —</w:t>
      </w:r>
    </w:p>
    <w:p>
      <w:pPr>
        <w:pStyle w:val="nzIndenta"/>
      </w:pPr>
      <w:r>
        <w:tab/>
        <w:t>(a)</w:t>
      </w:r>
      <w:r>
        <w:tab/>
        <w:t>specifying the date (being not less than 28 days after the date of the notice) on which the termination will take effect; and</w:t>
      </w:r>
    </w:p>
    <w:p>
      <w:pPr>
        <w:pStyle w:val="nzIndenta"/>
      </w:pPr>
      <w:r>
        <w:tab/>
        <w:t>(b)</w:t>
      </w:r>
      <w:r>
        <w:tab/>
        <w:t>informing the strata manager of the right to apply to the Tribunal for review of the decision to terminate the contract.</w:t>
      </w:r>
    </w:p>
    <w:p>
      <w:pPr>
        <w:pStyle w:val="nz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nzSubsection"/>
      </w:pPr>
      <w:r>
        <w:tab/>
        <w:t>(4)</w:t>
      </w:r>
      <w:r>
        <w:tab/>
        <w:t>A show cause notice must —</w:t>
      </w:r>
    </w:p>
    <w:p>
      <w:pPr>
        <w:pStyle w:val="nzIndenta"/>
      </w:pPr>
      <w:r>
        <w:tab/>
        <w:t>(a)</w:t>
      </w:r>
      <w:r>
        <w:tab/>
        <w:t>be in writing; and</w:t>
      </w:r>
    </w:p>
    <w:p>
      <w:pPr>
        <w:pStyle w:val="nzIndenta"/>
      </w:pPr>
      <w:r>
        <w:tab/>
        <w:t>(b)</w:t>
      </w:r>
      <w:r>
        <w:tab/>
        <w:t>state that the strata company proposes to terminate the strata management contract; and</w:t>
      </w:r>
    </w:p>
    <w:p>
      <w:pPr>
        <w:pStyle w:val="nzIndenta"/>
      </w:pPr>
      <w:r>
        <w:tab/>
        <w:t>(c)</w:t>
      </w:r>
      <w:r>
        <w:tab/>
        <w:t>specify the grounds on which it is proposed to terminate the strata management contract; and</w:t>
      </w:r>
    </w:p>
    <w:p>
      <w:pPr>
        <w:pStyle w:val="nzIndenta"/>
      </w:pPr>
      <w:r>
        <w:tab/>
        <w:t>(d)</w:t>
      </w:r>
      <w:r>
        <w:tab/>
        <w:t>set out particulars of the facts relied on as evidence of those grounds; and</w:t>
      </w:r>
    </w:p>
    <w:p>
      <w:pPr>
        <w:pStyle w:val="nzIndenta"/>
      </w:pPr>
      <w:r>
        <w:tab/>
        <w:t>(e)</w:t>
      </w:r>
      <w:r>
        <w:tab/>
        <w:t>invite the strata manager to make written submissions to the strata company as to why the strata management contract should not be terminated; and</w:t>
      </w:r>
    </w:p>
    <w:p>
      <w:pPr>
        <w:pStyle w:val="nzIndenta"/>
      </w:pPr>
      <w:r>
        <w:tab/>
        <w:t>(f)</w:t>
      </w:r>
      <w:r>
        <w:tab/>
        <w:t>specify the period (being at least 14 days after the date of the notice) within which the written submissions must be received by the strata company.</w:t>
      </w:r>
    </w:p>
    <w:p>
      <w:pPr>
        <w:pStyle w:val="nzSubsection"/>
      </w:pPr>
      <w:r>
        <w:tab/>
        <w:t>(5)</w:t>
      </w:r>
      <w:r>
        <w:tab/>
        <w:t>A strata company must give proper consideration to any written submissions made by the strata manager within the period specified in the show cause notice.</w:t>
      </w:r>
    </w:p>
    <w:p>
      <w:pPr>
        <w:pStyle w:val="nzSubsection"/>
      </w:pPr>
      <w:r>
        <w:tab/>
        <w:t>(6)</w:t>
      </w:r>
      <w:r>
        <w:tab/>
        <w:t>Nothing in this section affects the operation of section 115 in relation to a strata management contract or any other right that the strata company may have to terminate the contract.</w:t>
      </w:r>
    </w:p>
    <w:p>
      <w:pPr>
        <w:pStyle w:val="nzHeading5"/>
      </w:pPr>
      <w:bookmarkStart w:id="1557" w:name="_Toc530474509"/>
      <w:bookmarkStart w:id="1558" w:name="_Toc530475104"/>
      <w:r>
        <w:t>152.</w:t>
      </w:r>
      <w:r>
        <w:tab/>
        <w:t>Return of records and other property</w:t>
      </w:r>
      <w:bookmarkEnd w:id="1557"/>
      <w:bookmarkEnd w:id="1558"/>
    </w:p>
    <w:p>
      <w:pPr>
        <w:pStyle w:val="nzSubsection"/>
        <w:rPr>
          <w:snapToGrid w:val="0"/>
        </w:rPr>
      </w:pPr>
      <w:r>
        <w:rPr>
          <w:snapToGrid w:val="0"/>
        </w:rPr>
        <w:tab/>
        <w:t>(1)</w:t>
      </w:r>
      <w:r>
        <w:rPr>
          <w:snapToGrid w:val="0"/>
        </w:rPr>
        <w:tab/>
        <w:t>If a strata management contract is terminated, the strata manager must return to the strata company —</w:t>
      </w:r>
    </w:p>
    <w:p>
      <w:pPr>
        <w:pStyle w:val="nzIndenta"/>
      </w:pPr>
      <w:r>
        <w:tab/>
        <w:t>(a)</w:t>
      </w:r>
      <w:r>
        <w:tab/>
        <w:t>all records of the strata company, including records of account, in the strata manager’s possession or control; and</w:t>
      </w:r>
    </w:p>
    <w:p>
      <w:pPr>
        <w:pStyle w:val="nzIndenta"/>
      </w:pPr>
      <w:r>
        <w:tab/>
        <w:t>(b)</w:t>
      </w:r>
      <w:r>
        <w:tab/>
        <w:t>all keys and other property of the strata company in the strata manager’s possession or control.</w:t>
      </w:r>
    </w:p>
    <w:p>
      <w:pPr>
        <w:pStyle w:val="nz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nzSubsection"/>
      </w:pPr>
      <w:r>
        <w:tab/>
        <w:t>(3)</w:t>
      </w:r>
      <w:r>
        <w:tab/>
        <w:t>The strata company may agree to the property being made available for collection by another strata manager engaged by the strata company or being returned in some other manner.</w:t>
      </w:r>
    </w:p>
    <w:p>
      <w:pPr>
        <w:pStyle w:val="nzSubsection"/>
      </w:pPr>
      <w:r>
        <w:tab/>
        <w:t>(4)</w:t>
      </w:r>
      <w:r>
        <w:tab/>
        <w:t>A strata manager cannot exercise any claim or lien against or on the property of a strata company that the strata manager is required, under this section, to return to the strata company.</w:t>
      </w:r>
    </w:p>
    <w:p>
      <w:pPr>
        <w:pStyle w:val="nzHeading5"/>
      </w:pPr>
      <w:bookmarkStart w:id="1559" w:name="_Toc530474510"/>
      <w:bookmarkStart w:id="1560" w:name="_Toc530475105"/>
      <w:r>
        <w:t>153.</w:t>
      </w:r>
      <w:r>
        <w:tab/>
        <w:t>Provision of information about industry</w:t>
      </w:r>
      <w:bookmarkEnd w:id="1559"/>
      <w:bookmarkEnd w:id="1560"/>
    </w:p>
    <w:p>
      <w:pPr>
        <w:pStyle w:val="nz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nzIndenta"/>
      </w:pPr>
      <w:r>
        <w:tab/>
        <w:t>(a)</w:t>
      </w:r>
      <w:r>
        <w:tab/>
        <w:t>publishing, if it chooses to do so, a list of strata managers; and</w:t>
      </w:r>
    </w:p>
    <w:p>
      <w:pPr>
        <w:pStyle w:val="nzIndenta"/>
      </w:pPr>
      <w:r>
        <w:tab/>
        <w:t>(b)</w:t>
      </w:r>
      <w:r>
        <w:tab/>
        <w:t>using the information to develop policy and advise the Minister on matters related to strata managers.</w:t>
      </w:r>
    </w:p>
    <w:p>
      <w:pPr>
        <w:pStyle w:val="nzHeading5"/>
      </w:pPr>
      <w:bookmarkStart w:id="1561" w:name="_Toc530474511"/>
      <w:bookmarkStart w:id="1562" w:name="_Toc530475106"/>
      <w:r>
        <w:t>154.</w:t>
      </w:r>
      <w:r>
        <w:tab/>
        <w:t>Contracting out prohibited</w:t>
      </w:r>
      <w:bookmarkEnd w:id="1561"/>
      <w:bookmarkEnd w:id="1562"/>
    </w:p>
    <w:p>
      <w:pPr>
        <w:pStyle w:val="nzSubsection"/>
      </w:pPr>
      <w:r>
        <w:tab/>
        <w:t>(1)</w:t>
      </w:r>
      <w:r>
        <w:tab/>
        <w:t>A contract or arrangement is of no effect to the extent that it purports to exclude or restrict the operation of this Part.</w:t>
      </w:r>
    </w:p>
    <w:p>
      <w:pPr>
        <w:pStyle w:val="nzSubsection"/>
      </w:pPr>
      <w:r>
        <w:tab/>
        <w:t>(2)</w:t>
      </w:r>
      <w:r>
        <w:tab/>
        <w:t>A purported waiver of a right, remedy or benefit conferred on a person under this Part is of no effect.</w:t>
      </w:r>
    </w:p>
    <w:p>
      <w:pPr>
        <w:pStyle w:val="nzHeading5"/>
      </w:pPr>
      <w:bookmarkStart w:id="1563" w:name="_Toc530474512"/>
      <w:bookmarkStart w:id="1564" w:name="_Toc530475107"/>
      <w:r>
        <w:t>155.</w:t>
      </w:r>
      <w:r>
        <w:tab/>
        <w:t>Protection from liability</w:t>
      </w:r>
      <w:bookmarkEnd w:id="1563"/>
      <w:bookmarkEnd w:id="1564"/>
    </w:p>
    <w:p>
      <w:pPr>
        <w:pStyle w:val="nzSubsection"/>
      </w:pPr>
      <w:r>
        <w:tab/>
        <w:t>(1)</w:t>
      </w:r>
      <w:r>
        <w:tab/>
        <w:t>No civil liability attaches to a volunteer strata manager for anything that the person has, in good faith, done or omitted to be done —</w:t>
      </w:r>
    </w:p>
    <w:p>
      <w:pPr>
        <w:pStyle w:val="nzIndenta"/>
      </w:pPr>
      <w:r>
        <w:tab/>
        <w:t>(a)</w:t>
      </w:r>
      <w:r>
        <w:tab/>
        <w:t>in the performance of a function under this Act or scheme by</w:t>
      </w:r>
      <w:r>
        <w:noBreakHyphen/>
        <w:t>laws; or</w:t>
      </w:r>
    </w:p>
    <w:p>
      <w:pPr>
        <w:pStyle w:val="nzIndenta"/>
      </w:pPr>
      <w:r>
        <w:tab/>
        <w:t>(b)</w:t>
      </w:r>
      <w:r>
        <w:tab/>
        <w:t>in the reasonable belief that the act or omission was in the performance of a function under this Act or scheme by</w:t>
      </w:r>
      <w:r>
        <w:noBreakHyphen/>
        <w:t>laws.</w:t>
      </w:r>
    </w:p>
    <w:p>
      <w:pPr>
        <w:pStyle w:val="nzSubsection"/>
      </w:pPr>
      <w:r>
        <w:tab/>
        <w:t>(2)</w:t>
      </w:r>
      <w:r>
        <w:tab/>
        <w:t>A liability that would, but for subsection (1), attach to a person attaches instead to the strata company.</w:t>
      </w:r>
    </w:p>
    <w:p>
      <w:pPr>
        <w:pStyle w:val="nzHeading2"/>
      </w:pPr>
      <w:bookmarkStart w:id="1565" w:name="_Toc517437715"/>
      <w:bookmarkStart w:id="1566" w:name="_Toc517438257"/>
      <w:bookmarkStart w:id="1567" w:name="_Toc517440594"/>
      <w:bookmarkStart w:id="1568" w:name="_Toc517447631"/>
      <w:bookmarkStart w:id="1569" w:name="_Toc517450109"/>
      <w:bookmarkStart w:id="1570" w:name="_Toc517450651"/>
      <w:bookmarkStart w:id="1571" w:name="_Toc517857107"/>
      <w:bookmarkStart w:id="1572" w:name="_Toc518293234"/>
      <w:bookmarkStart w:id="1573" w:name="_Toc522744462"/>
      <w:bookmarkStart w:id="1574" w:name="_Toc522747585"/>
      <w:bookmarkStart w:id="1575" w:name="_Toc529183422"/>
      <w:bookmarkStart w:id="1576" w:name="_Toc529188185"/>
      <w:bookmarkStart w:id="1577" w:name="_Toc529434698"/>
      <w:bookmarkStart w:id="1578" w:name="_Toc529524589"/>
      <w:bookmarkStart w:id="1579" w:name="_Toc530474513"/>
      <w:bookmarkStart w:id="1580" w:name="_Toc530475108"/>
      <w:r>
        <w:t>Part 10</w:t>
      </w:r>
      <w:r>
        <w:rPr>
          <w:b w:val="0"/>
        </w:rPr>
        <w:t> </w:t>
      </w:r>
      <w:r>
        <w:t>—</w:t>
      </w:r>
      <w:r>
        <w:rPr>
          <w:b w:val="0"/>
        </w:rPr>
        <w:t> </w:t>
      </w:r>
      <w:r>
        <w:t>Protection of buyers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zHeading5"/>
      </w:pPr>
      <w:bookmarkStart w:id="1581" w:name="_Toc530474514"/>
      <w:bookmarkStart w:id="1582" w:name="_Toc530475109"/>
      <w:r>
        <w:t>156.</w:t>
      </w:r>
      <w:r>
        <w:tab/>
        <w:t>Information to be given before contract</w:t>
      </w:r>
      <w:bookmarkEnd w:id="1581"/>
      <w:bookmarkEnd w:id="1582"/>
    </w:p>
    <w:p>
      <w:pPr>
        <w:pStyle w:val="nzSubsection"/>
      </w:pPr>
      <w:r>
        <w:tab/>
        <w:t>(1)</w:t>
      </w:r>
      <w:r>
        <w:tab/>
        <w:t>Before a buyer signs a contract for the sale and purchase of a lot in a strata titles scheme, the seller of the lot must give the buyer the following —</w:t>
      </w:r>
    </w:p>
    <w:p>
      <w:pPr>
        <w:pStyle w:val="nzIndenta"/>
      </w:pPr>
      <w:r>
        <w:tab/>
        <w:t>(a)</w:t>
      </w:r>
      <w:r>
        <w:tab/>
        <w:t>the name and address of the seller;</w:t>
      </w:r>
    </w:p>
    <w:p>
      <w:pPr>
        <w:pStyle w:val="nzIndenta"/>
      </w:pPr>
      <w:r>
        <w:tab/>
        <w:t>(b)</w:t>
      </w:r>
      <w:r>
        <w:tab/>
        <w:t>the following information relating to the strata titles scheme —</w:t>
      </w:r>
    </w:p>
    <w:p>
      <w:pPr>
        <w:pStyle w:val="nzIndenti"/>
      </w:pPr>
      <w:r>
        <w:tab/>
        <w:t>(i)</w:t>
      </w:r>
      <w:r>
        <w:tab/>
        <w:t>the scheme notice, scheme plan, scheme by</w:t>
      </w:r>
      <w:r>
        <w:noBreakHyphen/>
        <w:t>laws and schedule of unit entitlements for the strata titles scheme;</w:t>
      </w:r>
    </w:p>
    <w:p>
      <w:pPr>
        <w:pStyle w:val="nzIndenti"/>
      </w:pPr>
      <w:r>
        <w:tab/>
        <w:t>(ii)</w:t>
      </w:r>
      <w:r>
        <w:tab/>
        <w:t>scheme by</w:t>
      </w:r>
      <w:r>
        <w:noBreakHyphen/>
        <w:t>laws that have been made by the strata company but not yet registered as a scheme document;</w:t>
      </w:r>
    </w:p>
    <w:p>
      <w:pPr>
        <w:pStyle w:val="nzIndenti"/>
      </w:pPr>
      <w:r>
        <w:tab/>
        <w:t>(iii)</w:t>
      </w:r>
      <w:r>
        <w:tab/>
        <w:t>for a leasehold scheme, the strata lease for the lot;</w:t>
      </w:r>
    </w:p>
    <w:p>
      <w:pPr>
        <w:pStyle w:val="nzIndenti"/>
      </w:pPr>
      <w:r>
        <w:tab/>
        <w:t>(iv)</w:t>
      </w:r>
      <w:r>
        <w:tab/>
        <w:t>the name and address for service of the strata company;</w:t>
      </w:r>
    </w:p>
    <w:p>
      <w:pPr>
        <w:pStyle w:val="nzIndenti"/>
      </w:pPr>
      <w:r>
        <w:tab/>
        <w:t>(v)</w:t>
      </w:r>
      <w:r>
        <w:tab/>
        <w:t>either —</w:t>
      </w:r>
    </w:p>
    <w:p>
      <w:pPr>
        <w:pStyle w:val="nzIndentI0"/>
      </w:pPr>
      <w:r>
        <w:tab/>
        <w:t>(I)</w:t>
      </w:r>
      <w:r>
        <w:tab/>
        <w:t>the minutes of the most recent annual general meeting and of any subsequent extraordinary general meetings of the strata company; or</w:t>
      </w:r>
    </w:p>
    <w:p>
      <w:pPr>
        <w:pStyle w:val="nzIndentI0"/>
      </w:pPr>
      <w:r>
        <w:tab/>
        <w:t>(II)</w:t>
      </w:r>
      <w:r>
        <w:tab/>
        <w:t>a statement that the strata company does not keep minutes of its meetings; or</w:t>
      </w:r>
    </w:p>
    <w:p>
      <w:pPr>
        <w:pStyle w:val="nzIndentI0"/>
      </w:pPr>
      <w:r>
        <w:tab/>
        <w:t>(III)</w:t>
      </w:r>
      <w:r>
        <w:tab/>
        <w:t>a statement of why the seller has been unable to obtain the minutes;</w:t>
      </w:r>
    </w:p>
    <w:p>
      <w:pPr>
        <w:pStyle w:val="nzIndenti"/>
      </w:pPr>
      <w:r>
        <w:tab/>
        <w:t>(vi)</w:t>
      </w:r>
      <w:r>
        <w:tab/>
        <w:t>either —</w:t>
      </w:r>
    </w:p>
    <w:p>
      <w:pPr>
        <w:pStyle w:val="nzIndentI0"/>
      </w:pPr>
      <w:r>
        <w:tab/>
        <w:t>(I)</w:t>
      </w:r>
      <w:r>
        <w:tab/>
        <w:t>the statement of accounts last prepared by the strata company; or</w:t>
      </w:r>
    </w:p>
    <w:p>
      <w:pPr>
        <w:pStyle w:val="nzIndentI0"/>
      </w:pPr>
      <w:r>
        <w:tab/>
        <w:t>(II)</w:t>
      </w:r>
      <w:r>
        <w:tab/>
        <w:t>a statement that the strata company does not prepare a statement of accounts; or</w:t>
      </w:r>
    </w:p>
    <w:p>
      <w:pPr>
        <w:pStyle w:val="nzIndentI0"/>
      </w:pPr>
      <w:r>
        <w:tab/>
        <w:t>(III)</w:t>
      </w:r>
      <w:r>
        <w:tab/>
        <w:t>a statement of why the seller has been unable to obtain a statement of accounts;</w:t>
      </w:r>
    </w:p>
    <w:p>
      <w:pPr>
        <w:pStyle w:val="nzIndenti"/>
      </w:pPr>
      <w:r>
        <w:tab/>
        <w:t>(vii)</w:t>
      </w:r>
      <w:r>
        <w:tab/>
        <w:t>a copy of any notice received by the seller from the strata company in relation to any current termination proposal for the strata titles scheme;</w:t>
      </w:r>
    </w:p>
    <w:p>
      <w:pPr>
        <w:pStyle w:val="nzIndenta"/>
      </w:pPr>
      <w:r>
        <w:tab/>
        <w:t>(c)</w:t>
      </w:r>
      <w:r>
        <w:tab/>
        <w:t>the following information relating to the lot —</w:t>
      </w:r>
    </w:p>
    <w:p>
      <w:pPr>
        <w:pStyle w:val="nzIndenti"/>
      </w:pPr>
      <w:r>
        <w:tab/>
        <w:t>(i)</w:t>
      </w:r>
      <w:r>
        <w:tab/>
        <w:t>its exact location shown on the scheme plan for the strata titles scheme;</w:t>
      </w:r>
    </w:p>
    <w:p>
      <w:pPr>
        <w:pStyle w:val="nzIndenti"/>
      </w:pPr>
      <w:r>
        <w:tab/>
        <w:t>(ii)</w:t>
      </w:r>
      <w:r>
        <w:tab/>
        <w:t>its definition, as contained in the scheme plan for the strata titles scheme;</w:t>
      </w:r>
    </w:p>
    <w:p>
      <w:pPr>
        <w:pStyle w:val="nzIndenti"/>
      </w:pPr>
      <w:r>
        <w:tab/>
        <w:t>(iii)</w:t>
      </w:r>
      <w:r>
        <w:tab/>
        <w:t>the unit entitlement of the lot (and the sum of the unit entitlements of all of the lots in the scheme);</w:t>
      </w:r>
    </w:p>
    <w:p>
      <w:pPr>
        <w:pStyle w:val="nzIndenti"/>
      </w:pPr>
      <w:r>
        <w:tab/>
        <w:t>(iv)</w:t>
      </w:r>
      <w:r>
        <w:tab/>
        <w:t>if contributions have been determined by the strata company within the previous 12 months, the amount and due date of the contributions payable by the lot owner;</w:t>
      </w:r>
    </w:p>
    <w:p>
      <w:pPr>
        <w:pStyle w:val="nzIndenti"/>
      </w:pPr>
      <w:r>
        <w:tab/>
        <w:t>(v)</w:t>
      </w:r>
      <w:r>
        <w:tab/>
        <w:t>if contributions have not been so determined, a reasonable estimate of the amount of the contributions likely to be payable for the 12 months following the proposed settlement date;</w:t>
      </w:r>
    </w:p>
    <w:p>
      <w:pPr>
        <w:pStyle w:val="nzIndenti"/>
      </w:pPr>
      <w:r>
        <w:tab/>
        <w:t>(vi)</w:t>
      </w:r>
      <w:r>
        <w:tab/>
        <w:t>details of any debt owed by the owner of the lot to the strata company, including how the debt arose, the date on which it arose and the amount outstanding;</w:t>
      </w:r>
    </w:p>
    <w:p>
      <w:pPr>
        <w:pStyle w:val="nzIndenti"/>
      </w:pPr>
      <w:r>
        <w:tab/>
        <w:t>(vii)</w:t>
      </w:r>
      <w:r>
        <w:tab/>
        <w:t>if the lot is a special lot, details of the exclusive use by</w:t>
      </w:r>
      <w:r>
        <w:noBreakHyphen/>
        <w:t>laws that apply to the lot;</w:t>
      </w:r>
    </w:p>
    <w:p>
      <w:pPr>
        <w:pStyle w:val="nzIndenta"/>
      </w:pPr>
      <w:r>
        <w:tab/>
        <w:t>(d)</w:t>
      </w:r>
      <w:r>
        <w:tab/>
        <w:t>any other information required by the regulations.</w:t>
      </w:r>
    </w:p>
    <w:p>
      <w:pPr>
        <w:pStyle w:val="nzSubsection"/>
      </w:pPr>
      <w:r>
        <w:tab/>
        <w:t>(2)</w:t>
      </w:r>
      <w:r>
        <w:tab/>
        <w:t>If the lot has not yet been created, a reference in subsection (1) —</w:t>
      </w:r>
    </w:p>
    <w:p>
      <w:pPr>
        <w:pStyle w:val="nzIndenta"/>
      </w:pPr>
      <w:r>
        <w:tab/>
        <w:t>(a)</w:t>
      </w:r>
      <w:r>
        <w:tab/>
        <w:t>to a scheme document is to be read as a reference to the latest version of the draft scheme document or amendment of a scheme document as relevant to the lot as proposed to be created; and</w:t>
      </w:r>
    </w:p>
    <w:p>
      <w:pPr>
        <w:pStyle w:val="nzIndenta"/>
      </w:pPr>
      <w:r>
        <w:tab/>
        <w:t>(b)</w:t>
      </w:r>
      <w:r>
        <w:tab/>
        <w:t>to a unit entitlement of the lot or amount is to be read as a reference to a reasonable estimate of that unit entitlement or amount; and</w:t>
      </w:r>
    </w:p>
    <w:p>
      <w:pPr>
        <w:pStyle w:val="nzIndenta"/>
      </w:pPr>
      <w:r>
        <w:tab/>
        <w:t>(c)</w:t>
      </w:r>
      <w:r>
        <w:tab/>
        <w:t>to any other matter (such as contributions payable) is to be read as a reference to a reasonable expectation about the matter as relevant to the lot as proposed to be created.</w:t>
      </w:r>
    </w:p>
    <w:p>
      <w:pPr>
        <w:pStyle w:val="nzSubsection"/>
      </w:pPr>
      <w:r>
        <w:tab/>
        <w:t>(3)</w:t>
      </w:r>
      <w:r>
        <w:tab/>
        <w:t>Subsection (4) applies if —</w:t>
      </w:r>
    </w:p>
    <w:p>
      <w:pPr>
        <w:pStyle w:val="nzIndenta"/>
      </w:pPr>
      <w:r>
        <w:tab/>
        <w:t>(a)</w:t>
      </w:r>
      <w:r>
        <w:tab/>
        <w:t>the strata titles scheme has not been registered; or</w:t>
      </w:r>
    </w:p>
    <w:p>
      <w:pPr>
        <w:pStyle w:val="nzIndenta"/>
      </w:pPr>
      <w:r>
        <w:tab/>
        <w:t>(b)</w:t>
      </w:r>
      <w:r>
        <w:tab/>
        <w:t>the first annual general meeting of the strata company has not been held; or</w:t>
      </w:r>
    </w:p>
    <w:p>
      <w:pPr>
        <w:pStyle w:val="nzIndenta"/>
      </w:pPr>
      <w:r>
        <w:tab/>
        <w:t>(c)</w:t>
      </w:r>
      <w:r>
        <w:tab/>
        <w:t>the scheme developer owns 50% or more of the lots in the strata titles scheme or lots with an aggregate unit entitlement of 50% or more of the sum of the unit entitlements of all the lots in the scheme.</w:t>
      </w:r>
    </w:p>
    <w:p>
      <w:pPr>
        <w:pStyle w:val="nzSubsection"/>
      </w:pPr>
      <w:r>
        <w:tab/>
        <w:t>(4)</w:t>
      </w:r>
      <w:r>
        <w:tab/>
        <w:t>Before a buyer signs a contract for the sale and purchase of a lot in circumstances in which this subsection applies, if the scheme developer is the seller of the lot, the seller must also give the buyer —</w:t>
      </w:r>
    </w:p>
    <w:p>
      <w:pPr>
        <w:pStyle w:val="nzIndenta"/>
      </w:pPr>
      <w:r>
        <w:tab/>
        <w:t>(a)</w:t>
      </w:r>
      <w:r>
        <w:tab/>
        <w:t>a statement of the estimated income and expenditure of the strata company for the 12 months after the proposed settlement date; and</w:t>
      </w:r>
    </w:p>
    <w:p>
      <w:pPr>
        <w:pStyle w:val="nzIndenta"/>
      </w:pPr>
      <w:r>
        <w:tab/>
        <w:t>(b)</w:t>
      </w:r>
      <w:r>
        <w:tab/>
        <w:t>details of any disclosure that the scheme developer is required to make under section 79; and</w:t>
      </w:r>
    </w:p>
    <w:p>
      <w:pPr>
        <w:pStyle w:val="nz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nzIndenti"/>
        <w:rPr>
          <w:snapToGrid w:val="0"/>
        </w:rPr>
      </w:pPr>
      <w:r>
        <w:rPr>
          <w:snapToGrid w:val="0"/>
        </w:rPr>
        <w:tab/>
        <w:t>(i)</w:t>
      </w:r>
      <w:r>
        <w:rPr>
          <w:snapToGrid w:val="0"/>
        </w:rPr>
        <w:tab/>
        <w:t>its terms and conditions; and</w:t>
      </w:r>
    </w:p>
    <w:p>
      <w:pPr>
        <w:pStyle w:val="nzIndenti"/>
        <w:rPr>
          <w:snapToGrid w:val="0"/>
        </w:rPr>
      </w:pPr>
      <w:r>
        <w:rPr>
          <w:snapToGrid w:val="0"/>
        </w:rPr>
        <w:tab/>
        <w:t>(ii)</w:t>
      </w:r>
      <w:r>
        <w:rPr>
          <w:snapToGrid w:val="0"/>
        </w:rPr>
        <w:tab/>
        <w:t>the consideration and the estimated costs to the members of the strata company;</w:t>
      </w:r>
    </w:p>
    <w:p>
      <w:pPr>
        <w:pStyle w:val="nzIndenta"/>
        <w:rPr>
          <w:snapToGrid w:val="0"/>
        </w:rPr>
      </w:pPr>
      <w:r>
        <w:rPr>
          <w:snapToGrid w:val="0"/>
        </w:rPr>
        <w:tab/>
      </w:r>
      <w:r>
        <w:rPr>
          <w:snapToGrid w:val="0"/>
        </w:rPr>
        <w:tab/>
        <w:t>and</w:t>
      </w:r>
    </w:p>
    <w:p>
      <w:pPr>
        <w:pStyle w:val="nz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nzSubsection"/>
        <w:rPr>
          <w:snapToGrid w:val="0"/>
        </w:rPr>
      </w:pPr>
      <w:r>
        <w:tab/>
        <w:t>(5)</w:t>
      </w:r>
      <w:r>
        <w:tab/>
        <w:t>The seller must comply with this section either —</w:t>
      </w:r>
    </w:p>
    <w:p>
      <w:pPr>
        <w:pStyle w:val="nzIndenta"/>
      </w:pPr>
      <w:r>
        <w:tab/>
        <w:t>(a)</w:t>
      </w:r>
      <w:r>
        <w:tab/>
        <w:t>by giving the buyer a notice in the approved form; or</w:t>
      </w:r>
    </w:p>
    <w:p>
      <w:pPr>
        <w:pStyle w:val="nzIndenta"/>
      </w:pPr>
      <w:r>
        <w:tab/>
        <w:t>(b)</w:t>
      </w:r>
      <w:r>
        <w:tab/>
        <w:t>by including the information and statements in the contract to be signed by the buyer in the manner set out in the regulations.</w:t>
      </w:r>
    </w:p>
    <w:p>
      <w:pPr>
        <w:pStyle w:val="nz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nzHeading5"/>
      </w:pPr>
      <w:bookmarkStart w:id="1583" w:name="_Toc530474515"/>
      <w:bookmarkStart w:id="1584" w:name="_Toc530475110"/>
      <w:r>
        <w:t>157.</w:t>
      </w:r>
      <w:r>
        <w:tab/>
        <w:t>Information to be given after contract</w:t>
      </w:r>
      <w:bookmarkEnd w:id="1583"/>
      <w:bookmarkEnd w:id="1584"/>
    </w:p>
    <w:p>
      <w:pPr>
        <w:pStyle w:val="nz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nz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nzSubsection"/>
      </w:pPr>
      <w:r>
        <w:tab/>
        <w:t>(3)</w:t>
      </w:r>
      <w:r>
        <w:tab/>
        <w:t>The seller must comply with subsection (1) —</w:t>
      </w:r>
    </w:p>
    <w:p>
      <w:pPr>
        <w:pStyle w:val="nzIndenta"/>
      </w:pPr>
      <w:r>
        <w:tab/>
        <w:t>(a)</w:t>
      </w:r>
      <w:r>
        <w:tab/>
        <w:t>if the seller becomes aware of the notifiable variation less than 15 working days before the settlement date for the contract — as soon as practicable; and</w:t>
      </w:r>
    </w:p>
    <w:p>
      <w:pPr>
        <w:pStyle w:val="nzIndenta"/>
      </w:pPr>
      <w:r>
        <w:tab/>
        <w:t>(b)</w:t>
      </w:r>
      <w:r>
        <w:tab/>
        <w:t>in any other case — not later than 10 working days after the seller becomes aware of the notifiable variation.</w:t>
      </w:r>
    </w:p>
    <w:p>
      <w:pPr>
        <w:pStyle w:val="nzSubsection"/>
        <w:rPr>
          <w:snapToGrid w:val="0"/>
        </w:rPr>
      </w:pPr>
      <w:r>
        <w:tab/>
        <w:t>(4)</w:t>
      </w:r>
      <w:r>
        <w:tab/>
      </w:r>
      <w:r>
        <w:rPr>
          <w:snapToGrid w:val="0"/>
        </w:rPr>
        <w:t>Subsection (1) does not apply if —</w:t>
      </w:r>
    </w:p>
    <w:p>
      <w:pPr>
        <w:pStyle w:val="nzIndenta"/>
      </w:pPr>
      <w:r>
        <w:tab/>
        <w:t>(a)</w:t>
      </w:r>
      <w:r>
        <w:tab/>
        <w:t>the seller has in the contract informed the buyer of any proposed action or matter that would be a notifiable variation; and</w:t>
      </w:r>
    </w:p>
    <w:p>
      <w:pPr>
        <w:pStyle w:val="nzIndenta"/>
      </w:pPr>
      <w:r>
        <w:tab/>
        <w:t>(b)</w:t>
      </w:r>
      <w:r>
        <w:tab/>
        <w:t>the action or matter when completed does not differ from that described in the contract; and</w:t>
      </w:r>
    </w:p>
    <w:p>
      <w:pPr>
        <w:pStyle w:val="nz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nzSubsection"/>
        <w:rPr>
          <w:snapToGrid w:val="0"/>
        </w:rPr>
      </w:pPr>
      <w:r>
        <w:tab/>
        <w:t>(5)</w:t>
      </w:r>
      <w:r>
        <w:tab/>
      </w:r>
      <w:r>
        <w:rPr>
          <w:snapToGrid w:val="0"/>
        </w:rPr>
        <w:t>For subsection (4)(c), the time required for notice of completion is —</w:t>
      </w:r>
    </w:p>
    <w:p>
      <w:pPr>
        <w:pStyle w:val="nzIndenta"/>
      </w:pPr>
      <w:r>
        <w:tab/>
        <w:t>(a)</w:t>
      </w:r>
      <w:r>
        <w:tab/>
        <w:t>if the seller becomes aware of the completion of the action or matter less than 15 working days before the settlement date for the contract — as soon as practicable; and</w:t>
      </w:r>
    </w:p>
    <w:p>
      <w:pPr>
        <w:pStyle w:val="nzIndenta"/>
      </w:pPr>
      <w:r>
        <w:tab/>
        <w:t>(b)</w:t>
      </w:r>
      <w:r>
        <w:tab/>
        <w:t>in any other case — not later than 10 working days after the seller becomes aware of completion of the action or matter.</w:t>
      </w:r>
    </w:p>
    <w:p>
      <w:pPr>
        <w:pStyle w:val="nz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nzHeading5"/>
      </w:pPr>
      <w:bookmarkStart w:id="1585" w:name="_Toc530474516"/>
      <w:bookmarkStart w:id="1586" w:name="_Toc530475111"/>
      <w:r>
        <w:t>158.</w:t>
      </w:r>
      <w:r>
        <w:tab/>
        <w:t>Delay in settlement for failure to give information</w:t>
      </w:r>
      <w:bookmarkEnd w:id="1585"/>
      <w:bookmarkEnd w:id="1586"/>
    </w:p>
    <w:p>
      <w:pPr>
        <w:pStyle w:val="nzSubsection"/>
      </w:pPr>
      <w:r>
        <w:tab/>
        <w:t>(1)</w:t>
      </w:r>
      <w:r>
        <w:tab/>
        <w:t>A buyer may, by written notice to the seller, postpone the settlement date for a contract for the sale and purchase of a lot if the seller has not complied with section 156 or 157.</w:t>
      </w:r>
    </w:p>
    <w:p>
      <w:pPr>
        <w:pStyle w:val="nz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nzHeading5"/>
      </w:pPr>
      <w:bookmarkStart w:id="1587" w:name="_Toc530474517"/>
      <w:bookmarkStart w:id="1588" w:name="_Toc530475112"/>
      <w:r>
        <w:t>159.</w:t>
      </w:r>
      <w:r>
        <w:tab/>
        <w:t>Avoidance of contract for failure to give information</w:t>
      </w:r>
      <w:bookmarkEnd w:id="1587"/>
      <w:bookmarkEnd w:id="1588"/>
    </w:p>
    <w:p>
      <w:pPr>
        <w:pStyle w:val="nzSubsection"/>
      </w:pPr>
      <w:r>
        <w:tab/>
        <w:t>(1)</w:t>
      </w:r>
      <w:r>
        <w:tab/>
        <w:t>A buyer may avoid a contract for the sale and purchase of a lot at any time before the settlement date for the contract —</w:t>
      </w:r>
    </w:p>
    <w:p>
      <w:pPr>
        <w:pStyle w:val="nzIndenta"/>
      </w:pPr>
      <w:r>
        <w:tab/>
        <w:t>(a)</w:t>
      </w:r>
      <w:r>
        <w:tab/>
        <w:t>if the seller has not complied with section 156; and</w:t>
      </w:r>
    </w:p>
    <w:p>
      <w:pPr>
        <w:pStyle w:val="nzIndenta"/>
      </w:pPr>
      <w:r>
        <w:tab/>
        <w:t>(b)</w:t>
      </w:r>
      <w:r>
        <w:tab/>
        <w:t>if the seller were now to comply with that section, the buyer would receive information or a document that would disclose material prejudice to the buyer (proof of which lies on the buyer).</w:t>
      </w:r>
    </w:p>
    <w:p>
      <w:pPr>
        <w:pStyle w:val="nz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nzHeading5"/>
      </w:pPr>
      <w:bookmarkStart w:id="1589" w:name="_Toc530474518"/>
      <w:bookmarkStart w:id="1590" w:name="_Toc530475113"/>
      <w:r>
        <w:t>160.</w:t>
      </w:r>
      <w:r>
        <w:tab/>
        <w:t>Avoidance of contract on notification of variation for material prejudice</w:t>
      </w:r>
      <w:bookmarkEnd w:id="1589"/>
      <w:bookmarkEnd w:id="1590"/>
    </w:p>
    <w:p>
      <w:pPr>
        <w:pStyle w:val="nzSubsection"/>
      </w:pPr>
      <w:r>
        <w:tab/>
      </w:r>
      <w:r>
        <w:tab/>
        <w:t>A buyer may avoid a contract for the sale and purchase of a lot at any time within 15 working days after the seller gives the buyer a notice under section 157(1) if —</w:t>
      </w:r>
    </w:p>
    <w:p>
      <w:pPr>
        <w:pStyle w:val="nzIndenta"/>
      </w:pPr>
      <w:r>
        <w:tab/>
        <w:t>(a)</w:t>
      </w:r>
      <w:r>
        <w:tab/>
        <w:t>the notifiable variation is not one to which section 157(4) applies; and</w:t>
      </w:r>
    </w:p>
    <w:p>
      <w:pPr>
        <w:pStyle w:val="nzIndenta"/>
      </w:pPr>
      <w:r>
        <w:tab/>
        <w:t>(b)</w:t>
      </w:r>
      <w:r>
        <w:tab/>
        <w:t>the buyer is materially prejudiced by the information or document disclosed (proof of which lies on the buyer).</w:t>
      </w:r>
    </w:p>
    <w:p>
      <w:pPr>
        <w:pStyle w:val="nzHeading5"/>
      </w:pPr>
      <w:bookmarkStart w:id="1591" w:name="_Toc530474519"/>
      <w:bookmarkStart w:id="1592" w:name="_Toc530475114"/>
      <w:r>
        <w:t>161.</w:t>
      </w:r>
      <w:r>
        <w:tab/>
        <w:t>Avoidance of contract for failure to disclose type 1 notifiable variation</w:t>
      </w:r>
      <w:bookmarkEnd w:id="1591"/>
      <w:bookmarkEnd w:id="1592"/>
    </w:p>
    <w:p>
      <w:pPr>
        <w:pStyle w:val="nzSubsection"/>
      </w:pPr>
      <w:r>
        <w:tab/>
        <w:t>(1)</w:t>
      </w:r>
      <w:r>
        <w:tab/>
        <w:t>A buyer may avoid a contract for the sale and purchase of a lot at any time before the settlement date for the contract if —</w:t>
      </w:r>
    </w:p>
    <w:p>
      <w:pPr>
        <w:pStyle w:val="nzIndenta"/>
      </w:pPr>
      <w:r>
        <w:tab/>
        <w:t>(a)</w:t>
      </w:r>
      <w:r>
        <w:tab/>
        <w:t>a type 1 notifiable variation occurs in relation to the contract; and</w:t>
      </w:r>
    </w:p>
    <w:p>
      <w:pPr>
        <w:pStyle w:val="nzIndenta"/>
      </w:pPr>
      <w:r>
        <w:tab/>
        <w:t>(b)</w:t>
      </w:r>
      <w:r>
        <w:tab/>
        <w:t>the seller does not substantially comply with the requirement under section 157 to give notice of the variation to the buyer within the required time.</w:t>
      </w:r>
    </w:p>
    <w:p>
      <w:pPr>
        <w:pStyle w:val="n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nzHeading5"/>
      </w:pPr>
      <w:bookmarkStart w:id="1593" w:name="_Toc530474520"/>
      <w:bookmarkStart w:id="1594" w:name="_Toc530475115"/>
      <w:r>
        <w:t>162.</w:t>
      </w:r>
      <w:r>
        <w:tab/>
        <w:t>Avoidance of contract for failure to disclose type 2 notifiable variation</w:t>
      </w:r>
      <w:bookmarkEnd w:id="1593"/>
      <w:bookmarkEnd w:id="1594"/>
    </w:p>
    <w:p>
      <w:pPr>
        <w:pStyle w:val="nzSubsection"/>
      </w:pPr>
      <w:r>
        <w:tab/>
        <w:t>(1)</w:t>
      </w:r>
      <w:r>
        <w:tab/>
        <w:t>A buyer may avoid a contract for the sale and purchase of a lot at any time before the settlement date for the contract —</w:t>
      </w:r>
    </w:p>
    <w:p>
      <w:pPr>
        <w:pStyle w:val="nzIndenta"/>
      </w:pPr>
      <w:r>
        <w:tab/>
        <w:t>(a)</w:t>
      </w:r>
      <w:r>
        <w:tab/>
        <w:t>if —</w:t>
      </w:r>
    </w:p>
    <w:p>
      <w:pPr>
        <w:pStyle w:val="nzIndenti"/>
        <w:rPr>
          <w:snapToGrid w:val="0"/>
        </w:rPr>
      </w:pPr>
      <w:r>
        <w:rPr>
          <w:snapToGrid w:val="0"/>
        </w:rPr>
        <w:tab/>
        <w:t>(i)</w:t>
      </w:r>
      <w:r>
        <w:rPr>
          <w:snapToGrid w:val="0"/>
        </w:rPr>
        <w:tab/>
        <w:t>a type 2 notifiable variation occurs in relation to the contract; and</w:t>
      </w:r>
    </w:p>
    <w:p>
      <w:pPr>
        <w:pStyle w:val="nz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nzIndenta"/>
      </w:pPr>
      <w:r>
        <w:tab/>
      </w:r>
      <w:r>
        <w:tab/>
        <w:t>and</w:t>
      </w:r>
    </w:p>
    <w:p>
      <w:pPr>
        <w:pStyle w:val="nzIndenta"/>
      </w:pPr>
      <w:r>
        <w:tab/>
        <w:t>(b)</w:t>
      </w:r>
      <w:r>
        <w:tab/>
        <w:t>if the seller were now to comply with that section, the buyer would receive information or a document that would disclose material prejudice to the buyer (proof of which lies on the buyer).</w:t>
      </w:r>
    </w:p>
    <w:p>
      <w:pPr>
        <w:pStyle w:val="n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nzHeading5"/>
        <w:rPr>
          <w:snapToGrid w:val="0"/>
        </w:rPr>
      </w:pPr>
      <w:bookmarkStart w:id="1595" w:name="_Toc530474521"/>
      <w:bookmarkStart w:id="1596" w:name="_Toc530475116"/>
      <w:r>
        <w:t>163.</w:t>
      </w:r>
      <w:r>
        <w:tab/>
      </w:r>
      <w:r>
        <w:rPr>
          <w:snapToGrid w:val="0"/>
        </w:rPr>
        <w:t>Proposed lot contract</w:t>
      </w:r>
      <w:bookmarkEnd w:id="1595"/>
      <w:bookmarkEnd w:id="1596"/>
    </w:p>
    <w:p>
      <w:pPr>
        <w:pStyle w:val="nzSubsection"/>
      </w:pPr>
      <w:r>
        <w:tab/>
        <w:t>(1)</w:t>
      </w:r>
      <w:r>
        <w:tab/>
        <w:t>This section applies to a contract for the sale and purchase of a lot in a strata titles scheme entered into before the lot is created on registration of the scheme or an amendment of the scheme.</w:t>
      </w:r>
    </w:p>
    <w:p>
      <w:pPr>
        <w:pStyle w:val="nzSubsection"/>
      </w:pPr>
      <w:r>
        <w:tab/>
        <w:t>(2)</w:t>
      </w:r>
      <w:r>
        <w:tab/>
        <w:t>A contract to which this section applies must —</w:t>
      </w:r>
    </w:p>
    <w:p>
      <w:pPr>
        <w:pStyle w:val="nzIndenta"/>
      </w:pPr>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p>
    <w:p>
      <w:pPr>
        <w:pStyle w:val="nzIndenta"/>
      </w:pPr>
      <w:r>
        <w:tab/>
        <w:t>(b)</w:t>
      </w:r>
      <w:r>
        <w:tab/>
        <w:t>specify the practitioner or agent to whom payment is to be made by the buyer and how the payment may be made.</w:t>
      </w:r>
    </w:p>
    <w:p>
      <w:pPr>
        <w:pStyle w:val="nz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nzIndenta"/>
      </w:pPr>
      <w:r>
        <w:tab/>
        <w:t>(a)</w:t>
      </w:r>
      <w:r>
        <w:tab/>
        <w:t>the contract does not comply with subsection (2); or</w:t>
      </w:r>
    </w:p>
    <w:p>
      <w:pPr>
        <w:pStyle w:val="nzIndenta"/>
      </w:pPr>
      <w:r>
        <w:tab/>
        <w:t>(b)</w:t>
      </w:r>
      <w:r>
        <w:tab/>
        <w:t>the scheme or amendment is not registered —</w:t>
      </w:r>
    </w:p>
    <w:p>
      <w:pPr>
        <w:pStyle w:val="nzIndenti"/>
      </w:pPr>
      <w:r>
        <w:tab/>
        <w:t>(i)</w:t>
      </w:r>
      <w:r>
        <w:tab/>
        <w:t>within a period after the date of the contract agreed in writing by the buyer and seller; or</w:t>
      </w:r>
    </w:p>
    <w:p>
      <w:pPr>
        <w:pStyle w:val="nzIndenti"/>
      </w:pPr>
      <w:r>
        <w:tab/>
        <w:t>(ii)</w:t>
      </w:r>
      <w:r>
        <w:tab/>
        <w:t>in the absence of such an agreement, within 6 months after that date.</w:t>
      </w:r>
    </w:p>
    <w:p>
      <w:pPr>
        <w:pStyle w:val="nzSubsection"/>
        <w:rPr>
          <w:snapToGrid w:val="0"/>
        </w:rPr>
      </w:pPr>
      <w:r>
        <w:tab/>
        <w:t>(4)</w:t>
      </w:r>
      <w:r>
        <w:tab/>
      </w:r>
      <w:r>
        <w:rPr>
          <w:snapToGrid w:val="0"/>
        </w:rPr>
        <w:t>In this section —</w:t>
      </w:r>
    </w:p>
    <w:p>
      <w:pPr>
        <w:pStyle w:val="nzDefstart"/>
      </w:pPr>
      <w:r>
        <w:rPr>
          <w:b/>
        </w:rPr>
        <w:tab/>
      </w:r>
      <w:r>
        <w:rPr>
          <w:rStyle w:val="CharDefText"/>
        </w:rPr>
        <w:t>date of the contract</w:t>
      </w:r>
      <w:r>
        <w:t xml:space="preserve"> means the day on which the contract was signed or, if the parties signed it on different days, the last of those days;</w:t>
      </w:r>
    </w:p>
    <w:p>
      <w:pPr>
        <w:pStyle w:val="nz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nzDefstart"/>
      </w:pPr>
      <w:r>
        <w:rPr>
          <w:b/>
        </w:rPr>
        <w:tab/>
      </w:r>
      <w:r>
        <w:rPr>
          <w:rStyle w:val="CharDefText"/>
        </w:rPr>
        <w:t>settlement agent</w:t>
      </w:r>
      <w:r>
        <w:t xml:space="preserve"> means a person licensed as a settlement agent under the </w:t>
      </w:r>
      <w:r>
        <w:rPr>
          <w:i/>
        </w:rPr>
        <w:t>Settlement Agents Act 1981</w:t>
      </w:r>
      <w:r>
        <w:t>.</w:t>
      </w:r>
    </w:p>
    <w:p>
      <w:pPr>
        <w:pStyle w:val="nzHeading5"/>
      </w:pPr>
      <w:bookmarkStart w:id="1597" w:name="_Toc530474522"/>
      <w:bookmarkStart w:id="1598" w:name="_Toc530475117"/>
      <w:r>
        <w:t>164.</w:t>
      </w:r>
      <w:r>
        <w:tab/>
        <w:t>Avoidance of contract — manner and effect</w:t>
      </w:r>
      <w:bookmarkEnd w:id="1597"/>
      <w:bookmarkEnd w:id="1598"/>
    </w:p>
    <w:p>
      <w:pPr>
        <w:pStyle w:val="nzSubsection"/>
      </w:pPr>
      <w:r>
        <w:tab/>
        <w:t>(1)</w:t>
      </w:r>
      <w:r>
        <w:tab/>
        <w:t>A notice of avoidance of a contract for the sale and purchase of a lot must —</w:t>
      </w:r>
    </w:p>
    <w:p>
      <w:pPr>
        <w:pStyle w:val="nzIndenta"/>
      </w:pPr>
      <w:r>
        <w:tab/>
        <w:t>(a)</w:t>
      </w:r>
      <w:r>
        <w:tab/>
        <w:t>be given by the buyer to the seller in writing; and</w:t>
      </w:r>
    </w:p>
    <w:p>
      <w:pPr>
        <w:pStyle w:val="nzIndenta"/>
      </w:pPr>
      <w:r>
        <w:tab/>
        <w:t>(b)</w:t>
      </w:r>
      <w:r>
        <w:tab/>
        <w:t>specify the grounds on which the contract is avoided, including details of the material prejudice to the buyer if required as grounds for avoidance.</w:t>
      </w:r>
    </w:p>
    <w:p>
      <w:pPr>
        <w:pStyle w:val="nzSubsection"/>
        <w:rPr>
          <w:snapToGrid w:val="0"/>
        </w:rPr>
      </w:pPr>
      <w:r>
        <w:tab/>
        <w:t>(2)</w:t>
      </w:r>
      <w:r>
        <w:tab/>
      </w:r>
      <w:r>
        <w:rPr>
          <w:snapToGrid w:val="0"/>
        </w:rPr>
        <w:t>On the avoidance under this Part of a contract for the sale and purchase of a lot —</w:t>
      </w:r>
    </w:p>
    <w:p>
      <w:pPr>
        <w:pStyle w:val="nzIndenta"/>
      </w:pPr>
      <w:r>
        <w:tab/>
        <w:t>(a)</w:t>
      </w:r>
      <w:r>
        <w:tab/>
        <w:t>the buyer may recover from the seller as a debt all money paid by the buyer under the contract; and</w:t>
      </w:r>
    </w:p>
    <w:p>
      <w:pPr>
        <w:pStyle w:val="nz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nzHeading5"/>
      </w:pPr>
      <w:bookmarkStart w:id="1599" w:name="_Toc530474523"/>
      <w:bookmarkStart w:id="1600" w:name="_Toc530475118"/>
      <w:r>
        <w:t>165.</w:t>
      </w:r>
      <w:r>
        <w:tab/>
        <w:t>Contracting out prohibited</w:t>
      </w:r>
      <w:bookmarkEnd w:id="1599"/>
      <w:bookmarkEnd w:id="1600"/>
    </w:p>
    <w:p>
      <w:pPr>
        <w:pStyle w:val="nzSubsection"/>
      </w:pPr>
      <w:r>
        <w:tab/>
        <w:t>(1)</w:t>
      </w:r>
      <w:r>
        <w:tab/>
        <w:t>A contract or arrangement is of no effect to the extent that it purports to exclude or restrict the operation of this Part.</w:t>
      </w:r>
    </w:p>
    <w:p>
      <w:pPr>
        <w:pStyle w:val="nzSubsection"/>
      </w:pPr>
      <w:r>
        <w:tab/>
        <w:t>(2)</w:t>
      </w:r>
      <w:r>
        <w:tab/>
        <w:t>No penalty is payable by a buyer under a contract or arrangement for exercising a right under this Part.</w:t>
      </w:r>
    </w:p>
    <w:p>
      <w:pPr>
        <w:pStyle w:val="nzSubsection"/>
      </w:pPr>
      <w:r>
        <w:tab/>
        <w:t>(3)</w:t>
      </w:r>
      <w:r>
        <w:tab/>
        <w:t>A purported waiver of a right, remedy or benefit conferred on a buyer by this Part is of no effect.</w:t>
      </w:r>
    </w:p>
    <w:p>
      <w:pPr>
        <w:pStyle w:val="nzHeading2"/>
      </w:pPr>
      <w:bookmarkStart w:id="1601" w:name="_Toc517437726"/>
      <w:bookmarkStart w:id="1602" w:name="_Toc517438268"/>
      <w:bookmarkStart w:id="1603" w:name="_Toc517440605"/>
      <w:bookmarkStart w:id="1604" w:name="_Toc517447642"/>
      <w:bookmarkStart w:id="1605" w:name="_Toc517450120"/>
      <w:bookmarkStart w:id="1606" w:name="_Toc517450662"/>
      <w:bookmarkStart w:id="1607" w:name="_Toc517857118"/>
      <w:bookmarkStart w:id="1608" w:name="_Toc518293245"/>
      <w:bookmarkStart w:id="1609" w:name="_Toc522744473"/>
      <w:bookmarkStart w:id="1610" w:name="_Toc522747596"/>
      <w:bookmarkStart w:id="1611" w:name="_Toc529183433"/>
      <w:bookmarkStart w:id="1612" w:name="_Toc529188196"/>
      <w:bookmarkStart w:id="1613" w:name="_Toc529434709"/>
      <w:bookmarkStart w:id="1614" w:name="_Toc529524600"/>
      <w:bookmarkStart w:id="1615" w:name="_Toc530474524"/>
      <w:bookmarkStart w:id="1616" w:name="_Toc530475119"/>
      <w:r>
        <w:t>Part 11</w:t>
      </w:r>
      <w:r>
        <w:rPr>
          <w:b w:val="0"/>
        </w:rPr>
        <w:t> </w:t>
      </w:r>
      <w:r>
        <w:t>—</w:t>
      </w:r>
      <w:r>
        <w:rPr>
          <w:b w:val="0"/>
        </w:rPr>
        <w:t> </w:t>
      </w:r>
      <w:r>
        <w:t>Variation of strata titles scheme by Tribunal</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nzHeading3"/>
      </w:pPr>
      <w:bookmarkStart w:id="1617" w:name="_Toc517437727"/>
      <w:bookmarkStart w:id="1618" w:name="_Toc517438269"/>
      <w:bookmarkStart w:id="1619" w:name="_Toc517440606"/>
      <w:bookmarkStart w:id="1620" w:name="_Toc517447643"/>
      <w:bookmarkStart w:id="1621" w:name="_Toc517450121"/>
      <w:bookmarkStart w:id="1622" w:name="_Toc517450663"/>
      <w:bookmarkStart w:id="1623" w:name="_Toc517857119"/>
      <w:bookmarkStart w:id="1624" w:name="_Toc518293246"/>
      <w:bookmarkStart w:id="1625" w:name="_Toc522744474"/>
      <w:bookmarkStart w:id="1626" w:name="_Toc522747597"/>
      <w:bookmarkStart w:id="1627" w:name="_Toc529183434"/>
      <w:bookmarkStart w:id="1628" w:name="_Toc529188197"/>
      <w:bookmarkStart w:id="1629" w:name="_Toc529434710"/>
      <w:bookmarkStart w:id="1630" w:name="_Toc529524601"/>
      <w:bookmarkStart w:id="1631" w:name="_Toc530474525"/>
      <w:bookmarkStart w:id="1632" w:name="_Toc530475120"/>
      <w:r>
        <w:t>Division 1 — On damage or destruction</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zHeading3"/>
      </w:pPr>
      <w:bookmarkStart w:id="1633" w:name="_Toc517437728"/>
      <w:bookmarkStart w:id="1634" w:name="_Toc517438270"/>
      <w:bookmarkStart w:id="1635" w:name="_Toc517440607"/>
      <w:bookmarkStart w:id="1636" w:name="_Toc517447644"/>
      <w:bookmarkStart w:id="1637" w:name="_Toc517450122"/>
      <w:bookmarkStart w:id="1638" w:name="_Toc517450664"/>
      <w:bookmarkStart w:id="1639" w:name="_Toc517857120"/>
      <w:bookmarkStart w:id="1640" w:name="_Toc518293247"/>
      <w:bookmarkStart w:id="1641" w:name="_Toc522744475"/>
      <w:bookmarkStart w:id="1642" w:name="_Toc522747598"/>
      <w:bookmarkStart w:id="1643" w:name="_Toc529183435"/>
      <w:bookmarkStart w:id="1644" w:name="_Toc529188198"/>
      <w:bookmarkStart w:id="1645" w:name="_Toc529434711"/>
      <w:bookmarkStart w:id="1646" w:name="_Toc529524602"/>
      <w:bookmarkStart w:id="1647" w:name="_Toc530474526"/>
      <w:bookmarkStart w:id="1648" w:name="_Toc530475121"/>
      <w:r>
        <w:t>Division 2 — On compulsory acquisition</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nzHeading3"/>
      </w:pPr>
      <w:bookmarkStart w:id="1649" w:name="_Toc517437729"/>
      <w:bookmarkStart w:id="1650" w:name="_Toc517438271"/>
      <w:bookmarkStart w:id="1651" w:name="_Toc517440608"/>
      <w:bookmarkStart w:id="1652" w:name="_Toc517447645"/>
      <w:bookmarkStart w:id="1653" w:name="_Toc517450123"/>
      <w:bookmarkStart w:id="1654" w:name="_Toc517450665"/>
      <w:bookmarkStart w:id="1655" w:name="_Toc517857121"/>
      <w:bookmarkStart w:id="1656" w:name="_Toc518293248"/>
      <w:bookmarkStart w:id="1657" w:name="_Toc522744476"/>
      <w:bookmarkStart w:id="1658" w:name="_Toc522747599"/>
      <w:bookmarkStart w:id="1659" w:name="_Toc529183436"/>
      <w:bookmarkStart w:id="1660" w:name="_Toc529188199"/>
      <w:bookmarkStart w:id="1661" w:name="_Toc529434712"/>
      <w:bookmarkStart w:id="1662" w:name="_Toc529524603"/>
      <w:bookmarkStart w:id="1663" w:name="_Toc530474527"/>
      <w:bookmarkStart w:id="1664" w:name="_Toc530475122"/>
      <w:r>
        <w:t>Division 3 — Notice of applications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nzHeading2"/>
      </w:pPr>
      <w:bookmarkStart w:id="1665" w:name="_Toc517437730"/>
      <w:bookmarkStart w:id="1666" w:name="_Toc517438272"/>
      <w:bookmarkStart w:id="1667" w:name="_Toc517440609"/>
      <w:bookmarkStart w:id="1668" w:name="_Toc517447646"/>
      <w:bookmarkStart w:id="1669" w:name="_Toc517450124"/>
      <w:bookmarkStart w:id="1670" w:name="_Toc517450666"/>
      <w:bookmarkStart w:id="1671" w:name="_Toc517857122"/>
      <w:bookmarkStart w:id="1672" w:name="_Toc518293249"/>
      <w:bookmarkStart w:id="1673" w:name="_Toc522744477"/>
      <w:bookmarkStart w:id="1674" w:name="_Toc522747600"/>
      <w:bookmarkStart w:id="1675" w:name="_Toc529183437"/>
      <w:bookmarkStart w:id="1676" w:name="_Toc529188200"/>
      <w:bookmarkStart w:id="1677" w:name="_Toc529434713"/>
      <w:bookmarkStart w:id="1678" w:name="_Toc529524604"/>
      <w:bookmarkStart w:id="1679" w:name="_Toc530474528"/>
      <w:bookmarkStart w:id="1680" w:name="_Toc530475123"/>
      <w:r>
        <w:t>Part 12</w:t>
      </w:r>
      <w:r>
        <w:rPr>
          <w:b w:val="0"/>
        </w:rPr>
        <w:t> </w:t>
      </w:r>
      <w:r>
        <w:t>—</w:t>
      </w:r>
      <w:r>
        <w:rPr>
          <w:b w:val="0"/>
        </w:rPr>
        <w:t> </w:t>
      </w:r>
      <w:r>
        <w:t>Termination of strata titles scheme</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nzHeading3"/>
      </w:pPr>
      <w:bookmarkStart w:id="1681" w:name="_Toc517437731"/>
      <w:bookmarkStart w:id="1682" w:name="_Toc517438273"/>
      <w:bookmarkStart w:id="1683" w:name="_Toc517440610"/>
      <w:bookmarkStart w:id="1684" w:name="_Toc517447647"/>
      <w:bookmarkStart w:id="1685" w:name="_Toc517450125"/>
      <w:bookmarkStart w:id="1686" w:name="_Toc517450667"/>
      <w:bookmarkStart w:id="1687" w:name="_Toc517857123"/>
      <w:bookmarkStart w:id="1688" w:name="_Toc518293250"/>
      <w:bookmarkStart w:id="1689" w:name="_Toc522744478"/>
      <w:bookmarkStart w:id="1690" w:name="_Toc522747601"/>
      <w:bookmarkStart w:id="1691" w:name="_Toc529183438"/>
      <w:bookmarkStart w:id="1692" w:name="_Toc529188201"/>
      <w:bookmarkStart w:id="1693" w:name="_Toc529434714"/>
      <w:bookmarkStart w:id="1694" w:name="_Toc529524605"/>
      <w:bookmarkStart w:id="1695" w:name="_Toc530474529"/>
      <w:bookmarkStart w:id="1696" w:name="_Toc530475124"/>
      <w:r>
        <w:t>Division 1 — Introduction</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nzHeading5"/>
      </w:pPr>
      <w:bookmarkStart w:id="1697" w:name="_Toc530474530"/>
      <w:bookmarkStart w:id="1698" w:name="_Toc530475125"/>
      <w:r>
        <w:t>171.</w:t>
      </w:r>
      <w:r>
        <w:tab/>
        <w:t>Forms of termination</w:t>
      </w:r>
      <w:bookmarkEnd w:id="1697"/>
      <w:bookmarkEnd w:id="1698"/>
    </w:p>
    <w:p>
      <w:pPr>
        <w:pStyle w:val="nzSubsection"/>
      </w:pPr>
      <w:r>
        <w:tab/>
        <w:t>(1)</w:t>
      </w:r>
      <w:r>
        <w:tab/>
        <w:t>A strata titles scheme terminates (as set out in Division 6) as follows —</w:t>
      </w:r>
    </w:p>
    <w:p>
      <w:pPr>
        <w:pStyle w:val="nzIndenta"/>
      </w:pPr>
      <w:r>
        <w:tab/>
        <w:t>(a)</w:t>
      </w:r>
      <w:r>
        <w:tab/>
        <w:t>a leasehold scheme terminates on the expiry day for the scheme as referred to in Division 2;</w:t>
      </w:r>
    </w:p>
    <w:p>
      <w:pPr>
        <w:pStyle w:val="nzIndenta"/>
      </w:pPr>
      <w:r>
        <w:tab/>
        <w:t>(b)</w:t>
      </w:r>
      <w:r>
        <w:tab/>
        <w:t>a leasehold or freehold scheme terminates —</w:t>
      </w:r>
    </w:p>
    <w:p>
      <w:pPr>
        <w:pStyle w:val="nzIndenti"/>
      </w:pPr>
      <w:r>
        <w:tab/>
        <w:t>(i)</w:t>
      </w:r>
      <w:r>
        <w:tab/>
        <w:t>if there is a termination proposal and the process referred to in Division 3 is followed; or</w:t>
      </w:r>
    </w:p>
    <w:p>
      <w:pPr>
        <w:pStyle w:val="nzIndenti"/>
      </w:pPr>
      <w:r>
        <w:tab/>
        <w:t>(ii)</w:t>
      </w:r>
      <w:r>
        <w:tab/>
        <w:t>if all lots in the scheme are owned by the same person and the process referred to in Division 4 is followed.</w:t>
      </w:r>
    </w:p>
    <w:p>
      <w:pPr>
        <w:pStyle w:val="nzSubsection"/>
      </w:pPr>
      <w:r>
        <w:tab/>
        <w:t>(2)</w:t>
      </w:r>
      <w:r>
        <w:tab/>
        <w:t>Divisions 5 and 6 contain provisions relevant to the forms of termination of a strata titles scheme set out in Divisions 2, 3 and 4.</w:t>
      </w:r>
    </w:p>
    <w:p>
      <w:pPr>
        <w:pStyle w:val="nz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nzHeading3"/>
      </w:pPr>
      <w:bookmarkStart w:id="1699" w:name="_Toc517437733"/>
      <w:bookmarkStart w:id="1700" w:name="_Toc517438275"/>
      <w:bookmarkStart w:id="1701" w:name="_Toc517440612"/>
      <w:bookmarkStart w:id="1702" w:name="_Toc517447649"/>
      <w:bookmarkStart w:id="1703" w:name="_Toc517450127"/>
      <w:bookmarkStart w:id="1704" w:name="_Toc517450669"/>
      <w:bookmarkStart w:id="1705" w:name="_Toc517857125"/>
      <w:bookmarkStart w:id="1706" w:name="_Toc518293252"/>
      <w:bookmarkStart w:id="1707" w:name="_Toc522744480"/>
      <w:bookmarkStart w:id="1708" w:name="_Toc522747603"/>
      <w:bookmarkStart w:id="1709" w:name="_Toc529183440"/>
      <w:bookmarkStart w:id="1710" w:name="_Toc529188203"/>
      <w:bookmarkStart w:id="1711" w:name="_Toc529434716"/>
      <w:bookmarkStart w:id="1712" w:name="_Toc529524607"/>
      <w:bookmarkStart w:id="1713" w:name="_Toc530474531"/>
      <w:bookmarkStart w:id="1714" w:name="_Toc530475126"/>
      <w:r>
        <w:t>Division 2 — Expiry of leasehold scheme</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nzHeading5"/>
      </w:pPr>
      <w:bookmarkStart w:id="1715" w:name="_Toc530474532"/>
      <w:bookmarkStart w:id="1716" w:name="_Toc530475127"/>
      <w:r>
        <w:t>172.</w:t>
      </w:r>
      <w:r>
        <w:tab/>
        <w:t>Notification of expiry</w:t>
      </w:r>
      <w:bookmarkEnd w:id="1715"/>
      <w:bookmarkEnd w:id="1716"/>
    </w:p>
    <w:p>
      <w:pPr>
        <w:pStyle w:val="nzSubsection"/>
      </w:pPr>
      <w:r>
        <w:tab/>
        <w:t>(1)</w:t>
      </w:r>
      <w:r>
        <w:tab/>
        <w:t>The owner of a leasehold scheme must, at least 1 month before the expiry of the scheme, lodge with the Registrar of Titles notice, in the approved form, of the impending expiry of the leasehold scheme.</w:t>
      </w:r>
    </w:p>
    <w:p>
      <w:pPr>
        <w:pStyle w:val="nz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nzPermNoteHeading"/>
      </w:pPr>
      <w:r>
        <w:tab/>
        <w:t>Note for this section:</w:t>
      </w:r>
    </w:p>
    <w:p>
      <w:pPr>
        <w:pStyle w:val="nzPermNoteText"/>
      </w:pPr>
      <w:r>
        <w:tab/>
      </w:r>
      <w:r>
        <w:tab/>
        <w:t>Expiry of a leasehold scheme does not require an approval of a subdivision of land as the expiry is approved as part of the process of initial subdivision by the scheme.</w:t>
      </w:r>
    </w:p>
    <w:p>
      <w:pPr>
        <w:pStyle w:val="nzHeading3"/>
      </w:pPr>
      <w:bookmarkStart w:id="1717" w:name="_Toc517437735"/>
      <w:bookmarkStart w:id="1718" w:name="_Toc517438277"/>
      <w:bookmarkStart w:id="1719" w:name="_Toc517440614"/>
      <w:bookmarkStart w:id="1720" w:name="_Toc517447651"/>
      <w:bookmarkStart w:id="1721" w:name="_Toc517450129"/>
      <w:bookmarkStart w:id="1722" w:name="_Toc517450671"/>
      <w:bookmarkStart w:id="1723" w:name="_Toc517857127"/>
      <w:bookmarkStart w:id="1724" w:name="_Toc518293254"/>
      <w:bookmarkStart w:id="1725" w:name="_Toc522744482"/>
      <w:bookmarkStart w:id="1726" w:name="_Toc522747605"/>
      <w:bookmarkStart w:id="1727" w:name="_Toc529183442"/>
      <w:bookmarkStart w:id="1728" w:name="_Toc529188205"/>
      <w:bookmarkStart w:id="1729" w:name="_Toc529434718"/>
      <w:bookmarkStart w:id="1730" w:name="_Toc529524609"/>
      <w:bookmarkStart w:id="1731" w:name="_Toc530474533"/>
      <w:bookmarkStart w:id="1732" w:name="_Toc530475128"/>
      <w:r>
        <w:t>Division 3 — Termination proposal</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zHeading5"/>
      </w:pPr>
      <w:bookmarkStart w:id="1733" w:name="_Toc530474534"/>
      <w:bookmarkStart w:id="1734" w:name="_Toc530475129"/>
      <w:r>
        <w:t>173.</w:t>
      </w:r>
      <w:r>
        <w:tab/>
        <w:t>Proponent</w:t>
      </w:r>
      <w:bookmarkEnd w:id="1733"/>
      <w:bookmarkEnd w:id="1734"/>
    </w:p>
    <w:p>
      <w:pPr>
        <w:pStyle w:val="nzSubsection"/>
      </w:pPr>
      <w:r>
        <w:tab/>
      </w:r>
      <w:r>
        <w:tab/>
        <w:t xml:space="preserve">The termination of a strata titles scheme may be proposed by a person (the </w:t>
      </w:r>
      <w:r>
        <w:rPr>
          <w:rStyle w:val="CharDefText"/>
        </w:rPr>
        <w:t>proponent</w:t>
      </w:r>
      <w:r>
        <w:t>) who is —</w:t>
      </w:r>
    </w:p>
    <w:p>
      <w:pPr>
        <w:pStyle w:val="nzIndenta"/>
      </w:pPr>
      <w:r>
        <w:tab/>
        <w:t>(a)</w:t>
      </w:r>
      <w:r>
        <w:tab/>
        <w:t>the owner of a lot in the strata titles scheme; or</w:t>
      </w:r>
    </w:p>
    <w:p>
      <w:pPr>
        <w:pStyle w:val="nzIndenta"/>
      </w:pPr>
      <w:r>
        <w:tab/>
        <w:t>(b)</w:t>
      </w:r>
      <w:r>
        <w:tab/>
        <w:t>a person who has a contractual right to purchase a lot in the strata titles scheme; or</w:t>
      </w:r>
    </w:p>
    <w:p>
      <w:pPr>
        <w:pStyle w:val="nzIndenta"/>
      </w:pPr>
      <w:r>
        <w:tab/>
        <w:t>(c)</w:t>
      </w:r>
      <w:r>
        <w:tab/>
        <w:t>a body corporate formed by 2 or more such persons.</w:t>
      </w:r>
    </w:p>
    <w:p>
      <w:pPr>
        <w:pStyle w:val="nzHeading5"/>
      </w:pPr>
      <w:bookmarkStart w:id="1735" w:name="_Toc530474535"/>
      <w:bookmarkStart w:id="1736" w:name="_Toc530475130"/>
      <w:r>
        <w:t>174.</w:t>
      </w:r>
      <w:r>
        <w:tab/>
        <w:t>Outline of termination proposal</w:t>
      </w:r>
      <w:bookmarkEnd w:id="1735"/>
      <w:bookmarkEnd w:id="1736"/>
    </w:p>
    <w:p>
      <w:pPr>
        <w:pStyle w:val="nzSubsection"/>
      </w:pPr>
      <w:r>
        <w:tab/>
        <w:t>(1)</w:t>
      </w:r>
      <w:r>
        <w:tab/>
        <w:t xml:space="preserve">The proponent of a proposal to terminate a strata titles scheme (a </w:t>
      </w:r>
      <w:r>
        <w:rPr>
          <w:rStyle w:val="CharDefText"/>
        </w:rPr>
        <w:t>termination proposal</w:t>
      </w:r>
      <w:r>
        <w:t>) must submit an outline of the proposal to —</w:t>
      </w:r>
    </w:p>
    <w:p>
      <w:pPr>
        <w:pStyle w:val="nzIndenta"/>
      </w:pPr>
      <w:r>
        <w:tab/>
        <w:t>(a)</w:t>
      </w:r>
      <w:r>
        <w:tab/>
        <w:t>the strata company for the scheme; and</w:t>
      </w:r>
    </w:p>
    <w:p>
      <w:pPr>
        <w:pStyle w:val="nzIndenta"/>
      </w:pPr>
      <w:r>
        <w:tab/>
        <w:t>(b)</w:t>
      </w:r>
      <w:r>
        <w:tab/>
        <w:t>if it is a leasehold scheme, the owner of the leasehold scheme.</w:t>
      </w:r>
    </w:p>
    <w:p>
      <w:pPr>
        <w:pStyle w:val="nzSubsection"/>
      </w:pPr>
      <w:r>
        <w:tab/>
        <w:t>(2)</w:t>
      </w:r>
      <w:r>
        <w:tab/>
        <w:t>However, an outline of a termination proposal cannot be submitted to a strata company or owner of a leasehold scheme —</w:t>
      </w:r>
    </w:p>
    <w:p>
      <w:pPr>
        <w:pStyle w:val="nz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nzIndenta"/>
      </w:pPr>
      <w:r>
        <w:tab/>
        <w:t>(b)</w:t>
      </w:r>
      <w:r>
        <w:tab/>
        <w:t>during any period (not exceeding 12 months) for which the strata company has, by ordinary resolution, prohibited termination proposals being submitted to it; or</w:t>
      </w:r>
    </w:p>
    <w:p>
      <w:pPr>
        <w:pStyle w:val="nzIndenta"/>
      </w:pPr>
      <w:r>
        <w:tab/>
        <w:t>(c)</w:t>
      </w:r>
      <w:r>
        <w:tab/>
        <w:t>during any period for which the Tribunal has, on application by the strata company or the owner of the leasehold scheme, prohibited termination proposals being submitted.</w:t>
      </w:r>
    </w:p>
    <w:p>
      <w:pPr>
        <w:pStyle w:val="nzSubsection"/>
      </w:pPr>
      <w:r>
        <w:tab/>
        <w:t>(3)</w:t>
      </w:r>
      <w:r>
        <w:tab/>
        <w:t>A strata company to which an outline of a termination proposal is submitted in accordance with this section must, within 14 days after being given the proposal —</w:t>
      </w:r>
    </w:p>
    <w:p>
      <w:pPr>
        <w:pStyle w:val="nzIndenta"/>
      </w:pPr>
      <w:r>
        <w:tab/>
        <w:t>(a)</w:t>
      </w:r>
      <w:r>
        <w:tab/>
        <w:t>serve it on each person who is —</w:t>
      </w:r>
    </w:p>
    <w:p>
      <w:pPr>
        <w:pStyle w:val="nzIndenti"/>
      </w:pPr>
      <w:r>
        <w:tab/>
        <w:t>(i)</w:t>
      </w:r>
      <w:r>
        <w:tab/>
        <w:t>the owner of a lot in the strata titles scheme; or</w:t>
      </w:r>
    </w:p>
    <w:p>
      <w:pPr>
        <w:pStyle w:val="nzIndenti"/>
      </w:pPr>
      <w:r>
        <w:tab/>
        <w:t>(ii)</w:t>
      </w:r>
      <w:r>
        <w:tab/>
        <w:t>a registered mortgagee of a lot in the strata titles scheme;</w:t>
      </w:r>
    </w:p>
    <w:p>
      <w:pPr>
        <w:pStyle w:val="nzIndenta"/>
      </w:pPr>
      <w:r>
        <w:tab/>
      </w:r>
      <w:r>
        <w:tab/>
        <w:t>and</w:t>
      </w:r>
    </w:p>
    <w:p>
      <w:pPr>
        <w:pStyle w:val="nzIndenta"/>
      </w:pPr>
      <w:r>
        <w:tab/>
        <w:t>(b)</w:t>
      </w:r>
      <w:r>
        <w:tab/>
        <w:t>lodge with the Registrar of Titles notice of receipt of the outline in the approved form.</w:t>
      </w:r>
    </w:p>
    <w:p>
      <w:pPr>
        <w:pStyle w:val="nzSubsection"/>
      </w:pPr>
      <w:r>
        <w:tab/>
        <w:t>(4)</w:t>
      </w:r>
      <w:r>
        <w:tab/>
        <w:t>The strata company must, on completion of the requirements under subsection (3), give written notice of that fact to the proponent of the termination proposal.</w:t>
      </w:r>
    </w:p>
    <w:p>
      <w:pPr>
        <w:pStyle w:val="nzSubsection"/>
      </w:pPr>
      <w:r>
        <w:tab/>
        <w:t>(5)</w:t>
      </w:r>
      <w:r>
        <w:tab/>
        <w:t>Any modification of an outline of a termination proposal proposed by the proponent of the proposal must be submitted and served in the same manner as for the outline.</w:t>
      </w:r>
    </w:p>
    <w:p>
      <w:pPr>
        <w:pStyle w:val="nzHeading5"/>
      </w:pPr>
      <w:bookmarkStart w:id="1737" w:name="_Toc530474536"/>
      <w:bookmarkStart w:id="1738" w:name="_Toc530475131"/>
      <w:r>
        <w:t>175.</w:t>
      </w:r>
      <w:r>
        <w:tab/>
        <w:t>Content of outline of termination proposal</w:t>
      </w:r>
      <w:bookmarkEnd w:id="1737"/>
      <w:bookmarkEnd w:id="1738"/>
    </w:p>
    <w:p>
      <w:pPr>
        <w:pStyle w:val="nzSubsection"/>
      </w:pPr>
      <w:r>
        <w:tab/>
        <w:t>(1)</w:t>
      </w:r>
      <w:r>
        <w:tab/>
        <w:t>An outline of a termination proposal must —</w:t>
      </w:r>
    </w:p>
    <w:p>
      <w:pPr>
        <w:pStyle w:val="nzIndenta"/>
      </w:pPr>
      <w:r>
        <w:tab/>
        <w:t>(a)</w:t>
      </w:r>
      <w:r>
        <w:tab/>
        <w:t>specify the name and address for service of the proponent of the proposal; and</w:t>
      </w:r>
    </w:p>
    <w:p>
      <w:pPr>
        <w:pStyle w:val="nzIndenta"/>
      </w:pPr>
      <w:r>
        <w:tab/>
        <w:t>(b)</w:t>
      </w:r>
      <w:r>
        <w:tab/>
        <w:t>identify the strata titles scheme proposed to be terminated; and</w:t>
      </w:r>
    </w:p>
    <w:p>
      <w:pPr>
        <w:pStyle w:val="nz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nzIndenta"/>
      </w:pPr>
      <w:r>
        <w:tab/>
        <w:t>(d)</w:t>
      </w:r>
      <w:r>
        <w:tab/>
        <w:t>describe, in general terms, any proposals for contracts to be offered to owners of lots in the strata titles scheme; and</w:t>
      </w:r>
    </w:p>
    <w:p>
      <w:pPr>
        <w:pStyle w:val="nzIndenta"/>
      </w:pPr>
      <w:r>
        <w:tab/>
        <w:t>(e)</w:t>
      </w:r>
      <w:r>
        <w:tab/>
        <w:t>describe, in general terms, what is proposed in terms of subdivision and development of the land following termination of the strata titles scheme; and</w:t>
      </w:r>
    </w:p>
    <w:p>
      <w:pPr>
        <w:pStyle w:val="nz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nzIndenta"/>
      </w:pPr>
      <w:r>
        <w:tab/>
        <w:t>(g)</w:t>
      </w:r>
      <w:r>
        <w:tab/>
        <w:t>indicate, in general terms, the stages and timeframes for progress of the proposal if it proceeds; and</w:t>
      </w:r>
    </w:p>
    <w:p>
      <w:pPr>
        <w:pStyle w:val="nzIndenta"/>
      </w:pPr>
      <w:r>
        <w:tab/>
        <w:t>(h)</w:t>
      </w:r>
      <w:r>
        <w:tab/>
        <w:t>provide an explanation, in the approved form, of the process for, and consequences of, termination of a strata titles scheme under this Division; and</w:t>
      </w:r>
    </w:p>
    <w:p>
      <w:pPr>
        <w:pStyle w:val="nzIndenta"/>
      </w:pPr>
      <w:r>
        <w:tab/>
        <w:t>(i)</w:t>
      </w:r>
      <w:r>
        <w:tab/>
        <w:t>provide, in accordance with the regulations, details of proposed arrangements for obtaining independent advice or representation referred to in section 190; and</w:t>
      </w:r>
    </w:p>
    <w:p>
      <w:pPr>
        <w:pStyle w:val="nzIndenta"/>
      </w:pPr>
      <w:r>
        <w:tab/>
        <w:t>(j)</w:t>
      </w:r>
      <w:r>
        <w:tab/>
        <w:t>include any other information required by the regulations.</w:t>
      </w:r>
    </w:p>
    <w:p>
      <w:pPr>
        <w:pStyle w:val="nzSubsection"/>
      </w:pPr>
      <w:r>
        <w:tab/>
        <w:t>(2)</w:t>
      </w:r>
      <w:r>
        <w:tab/>
        <w:t>This section does not limit the matters that can be included in an outline of a termination proposal.</w:t>
      </w:r>
    </w:p>
    <w:p>
      <w:pPr>
        <w:pStyle w:val="nzSubsection"/>
      </w:pPr>
      <w:r>
        <w:tab/>
        <w:t>(3)</w:t>
      </w:r>
      <w:r>
        <w:tab/>
        <w:t>An outline of a termination proposal must be in the approved form.</w:t>
      </w:r>
    </w:p>
    <w:p>
      <w:pPr>
        <w:pStyle w:val="nzHeading5"/>
      </w:pPr>
      <w:bookmarkStart w:id="1739" w:name="_Toc530474537"/>
      <w:bookmarkStart w:id="1740" w:name="_Toc530475132"/>
      <w:r>
        <w:t>176.</w:t>
      </w:r>
      <w:r>
        <w:tab/>
        <w:t>Ordinary resolution and support of owner of leasehold scheme required to proceed further</w:t>
      </w:r>
      <w:bookmarkEnd w:id="1739"/>
      <w:bookmarkEnd w:id="1740"/>
    </w:p>
    <w:p>
      <w:pPr>
        <w:pStyle w:val="nzSubsection"/>
      </w:pPr>
      <w:r>
        <w:tab/>
        <w:t>(1)</w:t>
      </w:r>
      <w:r>
        <w:tab/>
        <w:t>A termination proposal can only proceed further if, within 3 months after an outline of the proposal has been submitted as required under section 174 —</w:t>
      </w:r>
    </w:p>
    <w:p>
      <w:pPr>
        <w:pStyle w:val="nzIndenta"/>
      </w:pPr>
      <w:r>
        <w:tab/>
        <w:t>(a)</w:t>
      </w:r>
      <w:r>
        <w:tab/>
        <w:t>for a freehold scheme — the strata company passes an ordinary resolution supporting consideration of a full proposal; and</w:t>
      </w:r>
    </w:p>
    <w:p>
      <w:pPr>
        <w:pStyle w:val="nzIndenta"/>
      </w:pPr>
      <w:r>
        <w:tab/>
        <w:t>(b)</w:t>
      </w:r>
      <w:r>
        <w:tab/>
        <w:t>for a leasehold scheme —</w:t>
      </w:r>
    </w:p>
    <w:p>
      <w:pPr>
        <w:pStyle w:val="nzIndenti"/>
      </w:pPr>
      <w:r>
        <w:tab/>
        <w:t>(i)</w:t>
      </w:r>
      <w:r>
        <w:tab/>
        <w:t>the owner of the leasehold scheme gives written notice to the strata company supporting consideration of a full proposal; and</w:t>
      </w:r>
    </w:p>
    <w:p>
      <w:pPr>
        <w:pStyle w:val="nzIndenti"/>
      </w:pPr>
      <w:r>
        <w:tab/>
        <w:t>(ii)</w:t>
      </w:r>
      <w:r>
        <w:tab/>
        <w:t>the strata company passes an ordinary resolution supporting consideration of a full proposal.</w:t>
      </w:r>
    </w:p>
    <w:p>
      <w:pPr>
        <w:pStyle w:val="nz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nzHeading5"/>
      </w:pPr>
      <w:bookmarkStart w:id="1741" w:name="_Toc530474538"/>
      <w:bookmarkStart w:id="1742" w:name="_Toc530475133"/>
      <w:r>
        <w:t>177.</w:t>
      </w:r>
      <w:r>
        <w:tab/>
        <w:t>Approval of plan of subdivision</w:t>
      </w:r>
      <w:bookmarkEnd w:id="1741"/>
      <w:bookmarkEnd w:id="1742"/>
    </w:p>
    <w:p>
      <w:pPr>
        <w:pStyle w:val="nzSubsection"/>
      </w:pPr>
      <w:r>
        <w:tab/>
        <w:t>(1)</w:t>
      </w:r>
      <w:r>
        <w:tab/>
        <w:t>If the requirements of section 176 are met and a termination proposal can proceed further —</w:t>
      </w:r>
    </w:p>
    <w:p>
      <w:pPr>
        <w:pStyle w:val="nz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nzIndenta"/>
      </w:pPr>
      <w:r>
        <w:tab/>
        <w:t>(b)</w:t>
      </w:r>
      <w:r>
        <w:tab/>
        <w:t xml:space="preserve">the owner of the land is taken to have consented to the proponent making the application under the </w:t>
      </w:r>
      <w:r>
        <w:rPr>
          <w:i/>
        </w:rPr>
        <w:t>Planning and Development Act 2005</w:t>
      </w:r>
      <w:r>
        <w:t>.</w:t>
      </w:r>
    </w:p>
    <w:p>
      <w:pPr>
        <w:pStyle w:val="nzSubsection"/>
      </w:pPr>
      <w:r>
        <w:tab/>
        <w:t>(2)</w:t>
      </w:r>
      <w:r>
        <w:tab/>
        <w:t xml:space="preserve">The </w:t>
      </w:r>
      <w:r>
        <w:rPr>
          <w:i/>
        </w:rPr>
        <w:t>Planning and Development Act 2005</w:t>
      </w:r>
      <w:r>
        <w:t xml:space="preserve"> applies to the application subject to —</w:t>
      </w:r>
    </w:p>
    <w:p>
      <w:pPr>
        <w:pStyle w:val="nzIndenta"/>
      </w:pPr>
      <w:r>
        <w:tab/>
        <w:t>(a)</w:t>
      </w:r>
      <w:r>
        <w:tab/>
        <w:t>the modification that a reference to subdivision is to be read as including a reference to termination of a strata titles scheme; and</w:t>
      </w:r>
    </w:p>
    <w:p>
      <w:pPr>
        <w:pStyle w:val="nzIndenta"/>
      </w:pPr>
      <w:r>
        <w:tab/>
        <w:t>(b)</w:t>
      </w:r>
      <w:r>
        <w:tab/>
        <w:t>any other appropriate modifications.</w:t>
      </w:r>
    </w:p>
    <w:p>
      <w:pPr>
        <w:pStyle w:val="nzHeading5"/>
      </w:pPr>
      <w:bookmarkStart w:id="1743" w:name="_Toc530474539"/>
      <w:bookmarkStart w:id="1744" w:name="_Toc530475134"/>
      <w:r>
        <w:t>178.</w:t>
      </w:r>
      <w:r>
        <w:tab/>
        <w:t>Full proposal</w:t>
      </w:r>
      <w:bookmarkEnd w:id="1743"/>
      <w:bookmarkEnd w:id="1744"/>
    </w:p>
    <w:p>
      <w:pPr>
        <w:pStyle w:val="nzSubsection"/>
      </w:pPr>
      <w:r>
        <w:tab/>
        <w:t>(1)</w:t>
      </w:r>
      <w:r>
        <w:tab/>
        <w:t>If approval of a plan of subdivision is obtained as referred to in section 177, the proponent of the proposal can then submit a full proposal for the termination of the strata titles scheme to —</w:t>
      </w:r>
    </w:p>
    <w:p>
      <w:pPr>
        <w:pStyle w:val="nzIndenta"/>
      </w:pPr>
      <w:r>
        <w:tab/>
        <w:t>(a)</w:t>
      </w:r>
      <w:r>
        <w:tab/>
        <w:t>the strata company for the scheme; and</w:t>
      </w:r>
    </w:p>
    <w:p>
      <w:pPr>
        <w:pStyle w:val="nzIndenta"/>
      </w:pPr>
      <w:r>
        <w:tab/>
        <w:t>(b)</w:t>
      </w:r>
      <w:r>
        <w:tab/>
        <w:t>if it is a leasehold scheme, the owner of the leasehold scheme.</w:t>
      </w:r>
    </w:p>
    <w:p>
      <w:pPr>
        <w:pStyle w:val="nzSubsection"/>
      </w:pPr>
      <w:r>
        <w:tab/>
        <w:t>(2)</w:t>
      </w:r>
      <w:r>
        <w:tab/>
        <w:t>However, a full proposal cannot be submitted to a strata company or owner of a leasehold scheme —</w:t>
      </w:r>
    </w:p>
    <w:p>
      <w:pPr>
        <w:pStyle w:val="nzIndenta"/>
      </w:pPr>
      <w:r>
        <w:tab/>
        <w:t>(a)</w:t>
      </w:r>
      <w:r>
        <w:tab/>
        <w:t>if it is more than 12 months since the requirements of section 176 were met for the proposal; or</w:t>
      </w:r>
    </w:p>
    <w:p>
      <w:pPr>
        <w:pStyle w:val="nzIndenta"/>
      </w:pPr>
      <w:r>
        <w:tab/>
        <w:t>(b)</w:t>
      </w:r>
      <w:r>
        <w:tab/>
        <w:t>during any period for which the Tribunal has, on application by the strata company or the owner of the leasehold scheme, prohibited termination proposals being so submitted.</w:t>
      </w:r>
    </w:p>
    <w:p>
      <w:pPr>
        <w:pStyle w:val="nzSubsection"/>
      </w:pPr>
      <w:r>
        <w:tab/>
        <w:t>(3)</w:t>
      </w:r>
      <w:r>
        <w:tab/>
        <w:t>For a leasehold scheme, the proponent must give written notice to the owner of the leasehold scheme of the date on which the proponent submitted the full proposal to the strata company.</w:t>
      </w:r>
    </w:p>
    <w:p>
      <w:pPr>
        <w:pStyle w:val="nzSubsection"/>
      </w:pPr>
      <w:r>
        <w:tab/>
        <w:t>(4)</w:t>
      </w:r>
      <w:r>
        <w:tab/>
        <w:t>A strata company to which a full proposal is submitted in accordance with this section must, within 14 days after being given the proposal —</w:t>
      </w:r>
    </w:p>
    <w:p>
      <w:pPr>
        <w:pStyle w:val="nzIndenta"/>
      </w:pPr>
      <w:r>
        <w:tab/>
        <w:t>(a)</w:t>
      </w:r>
      <w:r>
        <w:tab/>
        <w:t>serve it on each person who is —</w:t>
      </w:r>
    </w:p>
    <w:p>
      <w:pPr>
        <w:pStyle w:val="nzIndenti"/>
      </w:pPr>
      <w:r>
        <w:tab/>
        <w:t>(i)</w:t>
      </w:r>
      <w:r>
        <w:tab/>
        <w:t>the owner, occupier, registered mortgagee or caveator of a lot in the strata titles scheme; or</w:t>
      </w:r>
    </w:p>
    <w:p>
      <w:pPr>
        <w:pStyle w:val="nzIndenti"/>
      </w:pPr>
      <w:r>
        <w:tab/>
        <w:t>(ii)</w:t>
      </w:r>
      <w:r>
        <w:tab/>
        <w:t>a person whose interest in a lot in the strata titles scheme as a lessee, tenant or mortgagee is recorded in the roll kept by the strata company; or</w:t>
      </w:r>
    </w:p>
    <w:p>
      <w:pPr>
        <w:pStyle w:val="nzIndenti"/>
      </w:pPr>
      <w:r>
        <w:tab/>
        <w:t>(iii)</w:t>
      </w:r>
      <w:r>
        <w:tab/>
        <w:t>the occupier of common property in the strata titles scheme;</w:t>
      </w:r>
    </w:p>
    <w:p>
      <w:pPr>
        <w:pStyle w:val="nzIndenta"/>
      </w:pPr>
      <w:r>
        <w:tab/>
      </w:r>
      <w:r>
        <w:tab/>
        <w:t>and</w:t>
      </w:r>
    </w:p>
    <w:p>
      <w:pPr>
        <w:pStyle w:val="nzIndenta"/>
      </w:pPr>
      <w:r>
        <w:tab/>
        <w:t>(b)</w:t>
      </w:r>
      <w:r>
        <w:tab/>
        <w:t>lodge with the Registrar of Titles notice of receipt of the proposal in the approved form.</w:t>
      </w:r>
    </w:p>
    <w:p>
      <w:pPr>
        <w:pStyle w:val="nzSubsection"/>
      </w:pPr>
      <w:r>
        <w:tab/>
        <w:t>(5)</w:t>
      </w:r>
      <w:r>
        <w:tab/>
        <w:t>Any modification of the full proposal proposed by the proponent must be submitted and served in the same manner as for the full proposal.</w:t>
      </w:r>
    </w:p>
    <w:p>
      <w:pPr>
        <w:pStyle w:val="nzSubsection"/>
      </w:pPr>
      <w:r>
        <w:tab/>
        <w:t>(6)</w:t>
      </w:r>
      <w:r>
        <w:tab/>
        <w:t>However, a modification cannot be submitted within 14 days before voting on the termination proposal opens.</w:t>
      </w:r>
    </w:p>
    <w:p>
      <w:pPr>
        <w:pStyle w:val="nzHeading5"/>
      </w:pPr>
      <w:bookmarkStart w:id="1745" w:name="_Toc530474540"/>
      <w:bookmarkStart w:id="1746" w:name="_Toc530475135"/>
      <w:r>
        <w:t>178A.</w:t>
      </w:r>
      <w:r>
        <w:tab/>
        <w:t>Reference of full proposal to independent advocate</w:t>
      </w:r>
      <w:bookmarkEnd w:id="1745"/>
      <w:bookmarkEnd w:id="1746"/>
    </w:p>
    <w:p>
      <w:pPr>
        <w:pStyle w:val="nzSubsection"/>
      </w:pPr>
      <w:r>
        <w:tab/>
        <w:t>(1)</w:t>
      </w:r>
      <w:r>
        <w:tab/>
        <w:t xml:space="preserve">In this section — </w:t>
      </w:r>
    </w:p>
    <w:p>
      <w:pPr>
        <w:pStyle w:val="nzDefstart"/>
      </w:pPr>
      <w:r>
        <w:tab/>
      </w:r>
      <w:r>
        <w:rPr>
          <w:rStyle w:val="CharDefText"/>
        </w:rPr>
        <w:t>independent advocate</w:t>
      </w:r>
      <w:r>
        <w:t xml:space="preserve"> means a person to whom a full proposal is referred under subsection (2).</w:t>
      </w:r>
    </w:p>
    <w:p>
      <w:pPr>
        <w:pStyle w:val="nzSubsection"/>
      </w:pPr>
      <w:r>
        <w:tab/>
        <w:t>(2)</w:t>
      </w:r>
      <w:r>
        <w:tab/>
        <w:t xml:space="preserve">A strata company to which a full proposal is submitted under section 178 must refer the proposal for review and assessment to a person who — </w:t>
      </w:r>
    </w:p>
    <w:p>
      <w:pPr>
        <w:pStyle w:val="nzIndenta"/>
      </w:pPr>
      <w:r>
        <w:tab/>
        <w:t>(a)</w:t>
      </w:r>
      <w:r>
        <w:tab/>
        <w:t>is independent of the strata company and the proponent of the termination proposal; and</w:t>
      </w:r>
    </w:p>
    <w:p>
      <w:pPr>
        <w:pStyle w:val="nzIndenta"/>
      </w:pPr>
      <w:r>
        <w:tab/>
        <w:t>(b)</w:t>
      </w:r>
      <w:r>
        <w:tab/>
        <w:t>satisfies any requirements of the regulations regarding experience or qualifications.</w:t>
      </w:r>
    </w:p>
    <w:p>
      <w:pPr>
        <w:pStyle w:val="nzSubsection"/>
      </w:pPr>
      <w:r>
        <w:tab/>
        <w:t>(3)</w:t>
      </w:r>
      <w:r>
        <w:tab/>
        <w:t xml:space="preserve">The independent advocate must, in accordance with the regulations — </w:t>
      </w:r>
    </w:p>
    <w:p>
      <w:pPr>
        <w:pStyle w:val="nzIndenta"/>
      </w:pPr>
      <w:r>
        <w:tab/>
        <w:t>(a)</w:t>
      </w:r>
      <w:r>
        <w:tab/>
        <w:t>review the full proposal; and</w:t>
      </w:r>
    </w:p>
    <w:p>
      <w:pPr>
        <w:pStyle w:val="nzIndenta"/>
      </w:pPr>
      <w:r>
        <w:tab/>
        <w:t>(b)</w:t>
      </w:r>
      <w:r>
        <w:tab/>
        <w:t>provide the strata company with an independent assessment of the full proposal; and</w:t>
      </w:r>
    </w:p>
    <w:p>
      <w:pPr>
        <w:pStyle w:val="nz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nzSubsection"/>
      </w:pPr>
      <w:r>
        <w:tab/>
        <w:t>(4)</w:t>
      </w:r>
      <w:r>
        <w:tab/>
        <w:t xml:space="preserve">The independent advocate must — </w:t>
      </w:r>
    </w:p>
    <w:p>
      <w:pPr>
        <w:pStyle w:val="nzIndenta"/>
      </w:pPr>
      <w:r>
        <w:tab/>
        <w:t>(a)</w:t>
      </w:r>
      <w:r>
        <w:tab/>
        <w:t>endeavour to identify any owners of lots for whom arrangements for fuller or more extensive advice or representation are to be made under regulations made under section 190(1)(b); and</w:t>
      </w:r>
    </w:p>
    <w:p>
      <w:pPr>
        <w:pStyle w:val="nzIndenta"/>
      </w:pPr>
      <w:r>
        <w:tab/>
        <w:t>(b)</w:t>
      </w:r>
      <w:r>
        <w:tab/>
        <w:t>advise those owners of their entitlements under regulations made under section 190; and</w:t>
      </w:r>
    </w:p>
    <w:p>
      <w:pPr>
        <w:pStyle w:val="nzIndenta"/>
      </w:pPr>
      <w:r>
        <w:tab/>
        <w:t>(c)</w:t>
      </w:r>
      <w:r>
        <w:tab/>
        <w:t>if requested by those owners, refer them to independent providers of the advice or representation which they are to obtain; and</w:t>
      </w:r>
    </w:p>
    <w:p>
      <w:pPr>
        <w:pStyle w:val="nzIndenta"/>
      </w:pPr>
      <w:r>
        <w:tab/>
        <w:t>(d)</w:t>
      </w:r>
      <w:r>
        <w:tab/>
        <w:t>if requested by those owners, assist them in obtaining benefits under the trust referred to in section 190(2).</w:t>
      </w:r>
    </w:p>
    <w:p>
      <w:pPr>
        <w:pStyle w:val="nz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nzSubsection"/>
      </w:pPr>
      <w:r>
        <w:tab/>
        <w:t>(6)</w:t>
      </w:r>
      <w:r>
        <w:tab/>
        <w:t>The regulations may prescribe how a person’s independence is to be determined for the purposes of subsection (2)(a).</w:t>
      </w:r>
    </w:p>
    <w:p>
      <w:pPr>
        <w:pStyle w:val="nzSubsection"/>
      </w:pPr>
      <w:r>
        <w:tab/>
        <w:t>(7)</w:t>
      </w:r>
      <w:r>
        <w:tab/>
        <w:t xml:space="preserve">The strata company — </w:t>
      </w:r>
    </w:p>
    <w:p>
      <w:pPr>
        <w:pStyle w:val="nzIndenta"/>
      </w:pPr>
      <w:r>
        <w:tab/>
        <w:t>(a)</w:t>
      </w:r>
      <w:r>
        <w:tab/>
        <w:t>must pay the remuneration of, and reimburse the expenses incurred by, the independent advocate; and</w:t>
      </w:r>
    </w:p>
    <w:p>
      <w:pPr>
        <w:pStyle w:val="nzIndenta"/>
      </w:pPr>
      <w:r>
        <w:tab/>
        <w:t>(b)</w:t>
      </w:r>
      <w:r>
        <w:tab/>
        <w:t>may charge fees under section 189 to cover the cost of paying those fees and reimbursing those expenses.</w:t>
      </w:r>
    </w:p>
    <w:p>
      <w:pPr>
        <w:pStyle w:val="nzHeading5"/>
      </w:pPr>
      <w:bookmarkStart w:id="1747" w:name="_Toc530474541"/>
      <w:bookmarkStart w:id="1748" w:name="_Toc530475136"/>
      <w:r>
        <w:t>179.</w:t>
      </w:r>
      <w:r>
        <w:tab/>
        <w:t>Content of full proposal</w:t>
      </w:r>
      <w:bookmarkEnd w:id="1747"/>
      <w:bookmarkEnd w:id="1748"/>
    </w:p>
    <w:p>
      <w:pPr>
        <w:pStyle w:val="nzSubsection"/>
      </w:pPr>
      <w:r>
        <w:tab/>
        <w:t>(1)</w:t>
      </w:r>
      <w:r>
        <w:tab/>
        <w:t>A full proposal for the termination of a strata titles scheme must —</w:t>
      </w:r>
    </w:p>
    <w:p>
      <w:pPr>
        <w:pStyle w:val="nzIndenta"/>
      </w:pPr>
      <w:r>
        <w:tab/>
        <w:t>(a)</w:t>
      </w:r>
      <w:r>
        <w:tab/>
        <w:t>include the material required to be included in an outline of a termination proposal; and</w:t>
      </w:r>
    </w:p>
    <w:p>
      <w:pPr>
        <w:pStyle w:val="nzIndenta"/>
      </w:pPr>
      <w:r>
        <w:tab/>
        <w:t>(b)</w:t>
      </w:r>
      <w:r>
        <w:tab/>
        <w:t>be accompanied by the approved plan of subdivision for the proposal; and</w:t>
      </w:r>
    </w:p>
    <w:p>
      <w:pPr>
        <w:pStyle w:val="nzIndenta"/>
      </w:pPr>
      <w:r>
        <w:tab/>
        <w:t>(c)</w:t>
      </w:r>
      <w:r>
        <w:tab/>
        <w:t>describe, in detail, what is proposed in terms of contracts to be offered to owners of lots, including —</w:t>
      </w:r>
    </w:p>
    <w:p>
      <w:pPr>
        <w:pStyle w:val="nzIndenti"/>
      </w:pPr>
      <w:r>
        <w:tab/>
        <w:t>(i)</w:t>
      </w:r>
      <w:r>
        <w:tab/>
        <w:t>contracts for the sale and purchase of lots before termination of the strata titles scheme, including —</w:t>
      </w:r>
    </w:p>
    <w:p>
      <w:pPr>
        <w:pStyle w:val="nzIndentI0"/>
      </w:pPr>
      <w:r>
        <w:tab/>
        <w:t>(I)</w:t>
      </w:r>
      <w:r>
        <w:tab/>
        <w:t>the name and address of any buyer; and</w:t>
      </w:r>
    </w:p>
    <w:p>
      <w:pPr>
        <w:pStyle w:val="nzIndentI0"/>
      </w:pPr>
      <w:r>
        <w:tab/>
        <w:t>(II)</w:t>
      </w:r>
      <w:r>
        <w:tab/>
        <w:t>the purchase price or a description of how the purchase price is to be determined; and</w:t>
      </w:r>
    </w:p>
    <w:p>
      <w:pPr>
        <w:pStyle w:val="nzIndentI0"/>
      </w:pPr>
      <w:r>
        <w:tab/>
        <w:t>(III)</w:t>
      </w:r>
      <w:r>
        <w:tab/>
        <w:t>the terms and conditions of the contracts for sale and purchase, including proposed settlement dates, or a description of how those terms and conditions are to be determined; and</w:t>
      </w:r>
    </w:p>
    <w:p>
      <w:pPr>
        <w:pStyle w:val="nzIndentI0"/>
      </w:pPr>
      <w:r>
        <w:tab/>
        <w:t>(IV)</w:t>
      </w:r>
      <w:r>
        <w:tab/>
        <w:t>any deductions proposed to be made out of the purchase price or a description of how those deductions are to be determined;</w:t>
      </w:r>
    </w:p>
    <w:p>
      <w:pPr>
        <w:pStyle w:val="nzIndenti"/>
      </w:pPr>
      <w:r>
        <w:tab/>
      </w:r>
      <w:r>
        <w:tab/>
        <w:t>and</w:t>
      </w:r>
    </w:p>
    <w:p>
      <w:pPr>
        <w:pStyle w:val="nzIndenti"/>
      </w:pPr>
      <w:r>
        <w:tab/>
        <w:t>(ii)</w:t>
      </w:r>
      <w:r>
        <w:tab/>
        <w:t>contracts under which the owner of a lot acquires an interest in land in exchange for the lot, including —</w:t>
      </w:r>
    </w:p>
    <w:p>
      <w:pPr>
        <w:pStyle w:val="nzIndentI0"/>
      </w:pPr>
      <w:r>
        <w:tab/>
        <w:t>(I)</w:t>
      </w:r>
      <w:r>
        <w:tab/>
        <w:t>the choices available to owners or the basis for determining those choices; and</w:t>
      </w:r>
    </w:p>
    <w:p>
      <w:pPr>
        <w:pStyle w:val="nzIndentI0"/>
      </w:pPr>
      <w:r>
        <w:tab/>
        <w:t>(II)</w:t>
      </w:r>
      <w:r>
        <w:tab/>
        <w:t>the interests in land proposed to be acquired by the owners; and</w:t>
      </w:r>
    </w:p>
    <w:p>
      <w:pPr>
        <w:pStyle w:val="nzIndentI0"/>
      </w:pPr>
      <w:r>
        <w:tab/>
        <w:t>(III)</w:t>
      </w:r>
      <w:r>
        <w:tab/>
        <w:t>other terms and conditions of the exchange;</w:t>
      </w:r>
    </w:p>
    <w:p>
      <w:pPr>
        <w:pStyle w:val="nzIndenti"/>
      </w:pPr>
      <w:r>
        <w:tab/>
      </w:r>
      <w:r>
        <w:tab/>
        <w:t>and</w:t>
      </w:r>
    </w:p>
    <w:p>
      <w:pPr>
        <w:pStyle w:val="nz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nzIndenta"/>
      </w:pPr>
      <w:r>
        <w:tab/>
      </w:r>
      <w:r>
        <w:tab/>
        <w:t>and</w:t>
      </w:r>
    </w:p>
    <w:p>
      <w:pPr>
        <w:pStyle w:val="nz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nzIndenta"/>
      </w:pPr>
      <w:r>
        <w:tab/>
        <w:t>(e)</w:t>
      </w:r>
      <w:r>
        <w:tab/>
        <w:t>describe, in detail, what is proposed to happen on termination of the strata titles scheme in terms of the contractual rights of occupiers of lots or common property in the scheme; and</w:t>
      </w:r>
    </w:p>
    <w:p>
      <w:pPr>
        <w:pStyle w:val="nzIndenta"/>
      </w:pPr>
      <w:r>
        <w:tab/>
        <w:t>(f)</w:t>
      </w:r>
      <w:r>
        <w:tab/>
        <w:t>describe, in detail, what is proposed in terms of subdivision and development of the land following termination, including —</w:t>
      </w:r>
    </w:p>
    <w:p>
      <w:pPr>
        <w:pStyle w:val="nzIndenti"/>
      </w:pPr>
      <w:r>
        <w:tab/>
        <w:t>(i)</w:t>
      </w:r>
      <w:r>
        <w:tab/>
        <w:t>plans for demolition; and</w:t>
      </w:r>
    </w:p>
    <w:p>
      <w:pPr>
        <w:pStyle w:val="nzIndenti"/>
      </w:pPr>
      <w:r>
        <w:tab/>
        <w:t>(ii)</w:t>
      </w:r>
      <w:r>
        <w:tab/>
        <w:t>plans for subdivision; and</w:t>
      </w:r>
    </w:p>
    <w:p>
      <w:pPr>
        <w:pStyle w:val="nzIndenti"/>
      </w:pPr>
      <w:r>
        <w:tab/>
        <w:t>(iii)</w:t>
      </w:r>
      <w:r>
        <w:tab/>
        <w:t>architectural plans for development;</w:t>
      </w:r>
    </w:p>
    <w:p>
      <w:pPr>
        <w:pStyle w:val="nzIndenta"/>
      </w:pPr>
      <w:r>
        <w:tab/>
      </w:r>
      <w:r>
        <w:tab/>
        <w:t>and</w:t>
      </w:r>
    </w:p>
    <w:p>
      <w:pPr>
        <w:pStyle w:val="nz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nzIndenta"/>
      </w:pPr>
      <w:r>
        <w:tab/>
        <w:t>(h)</w:t>
      </w:r>
      <w:r>
        <w:tab/>
        <w:t>indicate, in detail, the stages and timeframes proposed for progress of the proposal if it proceeds, including expectations for when vacant possession of lots and common property will be required; and</w:t>
      </w:r>
    </w:p>
    <w:p>
      <w:pPr>
        <w:pStyle w:val="nzIndenta"/>
      </w:pPr>
      <w:r>
        <w:tab/>
        <w:t>(i)</w:t>
      </w:r>
      <w:r>
        <w:tab/>
        <w:t>describe any proposals for the temporary relocation of owners of lots, including any payments proposed to be made to owners to enable them to arrange temporary relocation; and</w:t>
      </w:r>
    </w:p>
    <w:p>
      <w:pPr>
        <w:pStyle w:val="nzIndenta"/>
      </w:pPr>
      <w:r>
        <w:tab/>
        <w:t>(j)</w:t>
      </w:r>
      <w:r>
        <w:tab/>
        <w:t>include a statement obtained from the strata company of —</w:t>
      </w:r>
    </w:p>
    <w:p>
      <w:pPr>
        <w:pStyle w:val="nzIndenti"/>
      </w:pPr>
      <w:r>
        <w:tab/>
        <w:t>(i)</w:t>
      </w:r>
      <w:r>
        <w:tab/>
        <w:t>its current assets and liabilities; and</w:t>
      </w:r>
    </w:p>
    <w:p>
      <w:pPr>
        <w:pStyle w:val="nzIndenti"/>
      </w:pPr>
      <w:r>
        <w:tab/>
        <w:t>(ii)</w:t>
      </w:r>
      <w:r>
        <w:tab/>
        <w:t>any legal proceedings or pending legal proceedings to which the strata company is or proposes to become a party;</w:t>
      </w:r>
    </w:p>
    <w:p>
      <w:pPr>
        <w:pStyle w:val="nzIndenta"/>
      </w:pPr>
      <w:r>
        <w:tab/>
      </w:r>
      <w:r>
        <w:tab/>
        <w:t>and</w:t>
      </w:r>
    </w:p>
    <w:p>
      <w:pPr>
        <w:pStyle w:val="nzIndenta"/>
      </w:pPr>
      <w:r>
        <w:tab/>
        <w:t>(k)</w:t>
      </w:r>
      <w:r>
        <w:tab/>
        <w:t>specify the steps that will be taken to wind up the strata company, including for the realisation of assets and the discharge or transfer of liabilities for termination of the scheme; and</w:t>
      </w:r>
    </w:p>
    <w:p>
      <w:pPr>
        <w:pStyle w:val="nzIndenta"/>
      </w:pPr>
      <w:r>
        <w:tab/>
        <w:t>(l)</w:t>
      </w:r>
      <w:r>
        <w:tab/>
        <w:t>any other information required by the regulations.</w:t>
      </w:r>
    </w:p>
    <w:p>
      <w:pPr>
        <w:pStyle w:val="nz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nzIndenta"/>
      </w:pPr>
      <w:r>
        <w:tab/>
        <w:t>(a)</w:t>
      </w:r>
      <w:r>
        <w:tab/>
        <w:t>a report of a structural engineer on the state and condition of each scheme building and the infrastructure on the common property in the strata titles scheme; and</w:t>
      </w:r>
    </w:p>
    <w:p>
      <w:pPr>
        <w:pStyle w:val="nz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nzIndenta"/>
      </w:pPr>
      <w:r>
        <w:tab/>
        <w:t>(c)</w:t>
      </w:r>
      <w:r>
        <w:tab/>
        <w:t>a report of a quantity surveyor estimating the cost of the works identified in the report under paragraph (b).</w:t>
      </w:r>
    </w:p>
    <w:p>
      <w:pPr>
        <w:pStyle w:val="nz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nzSubsection"/>
      </w:pPr>
      <w:r>
        <w:tab/>
        <w:t>(4)</w:t>
      </w:r>
      <w:r>
        <w:tab/>
        <w:t xml:space="preserve">The regulations must prescribe matters relating to the determination of the market value of a lot for a termination valuation report, including a valuation methodology that takes account of — </w:t>
      </w:r>
    </w:p>
    <w:p>
      <w:pPr>
        <w:pStyle w:val="nzIndenta"/>
      </w:pPr>
      <w:r>
        <w:tab/>
        <w:t>(a)</w:t>
      </w:r>
      <w:r>
        <w:tab/>
        <w:t>relevant recent sales history; and</w:t>
      </w:r>
    </w:p>
    <w:p>
      <w:pPr>
        <w:pStyle w:val="nzIndenta"/>
      </w:pPr>
      <w:r>
        <w:tab/>
        <w:t>(b)</w:t>
      </w:r>
      <w:r>
        <w:tab/>
        <w:t>the highest and best use of the lot; and</w:t>
      </w:r>
    </w:p>
    <w:p>
      <w:pPr>
        <w:pStyle w:val="nzIndenta"/>
      </w:pPr>
      <w:r>
        <w:tab/>
        <w:t>(c)</w:t>
      </w:r>
      <w:r>
        <w:tab/>
        <w:t>the value attributable to the owner’s interest in the common property of the strata titles scheme.</w:t>
      </w:r>
    </w:p>
    <w:p>
      <w:pPr>
        <w:pStyle w:val="nzSubsection"/>
      </w:pPr>
      <w:r>
        <w:tab/>
        <w:t>(5)</w:t>
      </w:r>
      <w:r>
        <w:tab/>
        <w:t>The valuation must be current as at a date that is not more than 21 days (or, if some other period is specified in the regulations, that period) before submission of the full proposal to the strata company.</w:t>
      </w:r>
    </w:p>
    <w:p>
      <w:pPr>
        <w:pStyle w:val="nzSubsection"/>
      </w:pPr>
      <w:r>
        <w:tab/>
        <w:t>(6)</w:t>
      </w:r>
      <w:r>
        <w:tab/>
        <w:t>A person must, in preparing or certifying a termination infrastructure report or termination valuation report, comply with the requirements of the regulations.</w:t>
      </w:r>
    </w:p>
    <w:p>
      <w:pPr>
        <w:pStyle w:val="nzSubsection"/>
      </w:pPr>
      <w:r>
        <w:tab/>
        <w:t>(7)</w:t>
      </w:r>
      <w:r>
        <w:tab/>
        <w:t>This section does not limit the matters that can be included in a full proposal.</w:t>
      </w:r>
    </w:p>
    <w:p>
      <w:pPr>
        <w:pStyle w:val="nzSubsection"/>
      </w:pPr>
      <w:r>
        <w:tab/>
        <w:t>(8)</w:t>
      </w:r>
      <w:r>
        <w:tab/>
        <w:t>The terms of a termination proposal set out in the full proposal are in substitution for the terms set out in the outline of the termination proposal.</w:t>
      </w:r>
    </w:p>
    <w:p>
      <w:pPr>
        <w:pStyle w:val="nzSubsection"/>
      </w:pPr>
      <w:r>
        <w:tab/>
        <w:t>(9)</w:t>
      </w:r>
      <w:r>
        <w:tab/>
        <w:t>A full proposal, including the termination infrastructure report and the termination valuation report must be in the approved form.</w:t>
      </w:r>
    </w:p>
    <w:p>
      <w:pPr>
        <w:pStyle w:val="nzHeading5"/>
      </w:pPr>
      <w:bookmarkStart w:id="1749" w:name="_Toc530474542"/>
      <w:bookmarkStart w:id="1750" w:name="_Toc530475137"/>
      <w:r>
        <w:t>180.</w:t>
      </w:r>
      <w:r>
        <w:tab/>
        <w:t>Support of owner of leasehold scheme required</w:t>
      </w:r>
      <w:bookmarkEnd w:id="1749"/>
      <w:bookmarkEnd w:id="1750"/>
    </w:p>
    <w:p>
      <w:pPr>
        <w:pStyle w:val="nz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nzSubsection"/>
      </w:pPr>
      <w:r>
        <w:tab/>
        <w:t>(2)</w:t>
      </w:r>
      <w:r>
        <w:tab/>
        <w:t>A strata company must, as soon as reasonably practicable, give written notice to the proponent of the termination proposal of the receipt of a notice under subsection (1).</w:t>
      </w:r>
    </w:p>
    <w:p>
      <w:pPr>
        <w:pStyle w:val="nzHeading5"/>
      </w:pPr>
      <w:bookmarkStart w:id="1751" w:name="_Toc530474543"/>
      <w:bookmarkStart w:id="1752" w:name="_Toc530475138"/>
      <w:r>
        <w:t>181.</w:t>
      </w:r>
      <w:r>
        <w:tab/>
        <w:t>Meetings and submissions</w:t>
      </w:r>
      <w:bookmarkEnd w:id="1751"/>
      <w:bookmarkEnd w:id="1752"/>
    </w:p>
    <w:p>
      <w:pPr>
        <w:pStyle w:val="nzSubsection"/>
      </w:pPr>
      <w:r>
        <w:tab/>
        <w:t>(1)</w:t>
      </w:r>
      <w:r>
        <w:tab/>
        <w:t>After receipt of a full proposal, 1 or more general meetings of the strata company must be convened to consider the termination proposal (unless it is a proposal that cannot proceed further).</w:t>
      </w:r>
    </w:p>
    <w:p>
      <w:pPr>
        <w:pStyle w:val="nz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nz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nzSubsection"/>
      </w:pPr>
      <w:r>
        <w:tab/>
        <w:t>(4)</w:t>
      </w:r>
      <w:r>
        <w:tab/>
        <w:t>The council of the strata company may —</w:t>
      </w:r>
    </w:p>
    <w:p>
      <w:pPr>
        <w:pStyle w:val="nzIndenta"/>
      </w:pPr>
      <w:r>
        <w:tab/>
        <w:t>(a)</w:t>
      </w:r>
      <w:r>
        <w:tab/>
        <w:t>discuss a termination proposal with the proponent; and</w:t>
      </w:r>
    </w:p>
    <w:p>
      <w:pPr>
        <w:pStyle w:val="nzIndenta"/>
      </w:pPr>
      <w:r>
        <w:tab/>
        <w:t>(b)</w:t>
      </w:r>
      <w:r>
        <w:tab/>
        <w:t>inform the owners of lots in the strata titles scheme of those discussions and of any clarifications or additional information provided by the proponent; and</w:t>
      </w:r>
    </w:p>
    <w:p>
      <w:pPr>
        <w:pStyle w:val="nzIndenta"/>
      </w:pPr>
      <w:r>
        <w:tab/>
        <w:t>(c)</w:t>
      </w:r>
      <w:r>
        <w:tab/>
        <w:t>make recommendations to the owners of the lots in the strata titles scheme regarding the proposal.</w:t>
      </w:r>
    </w:p>
    <w:p>
      <w:pPr>
        <w:pStyle w:val="nzSubsection"/>
      </w:pPr>
      <w:r>
        <w:tab/>
        <w:t>(5)</w:t>
      </w:r>
      <w:r>
        <w:tab/>
        <w:t>The regulations may impose additional requirements about the process required for consideration of a termination proposal.</w:t>
      </w:r>
    </w:p>
    <w:p>
      <w:pPr>
        <w:pStyle w:val="nzHeading5"/>
      </w:pPr>
      <w:bookmarkStart w:id="1753" w:name="_Toc530474544"/>
      <w:bookmarkStart w:id="1754" w:name="_Toc530475139"/>
      <w:r>
        <w:t>182.</w:t>
      </w:r>
      <w:r>
        <w:tab/>
        <w:t>Vote</w:t>
      </w:r>
      <w:bookmarkEnd w:id="1753"/>
      <w:bookmarkEnd w:id="1754"/>
    </w:p>
    <w:p>
      <w:pPr>
        <w:pStyle w:val="nz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nzPermNoteHeading"/>
      </w:pPr>
      <w:r>
        <w:tab/>
        <w:t>Note for this subsection:</w:t>
      </w:r>
    </w:p>
    <w:p>
      <w:pPr>
        <w:pStyle w:val="nzPermNoteText"/>
      </w:pPr>
      <w:r>
        <w:tab/>
      </w:r>
      <w:r>
        <w:tab/>
        <w:t>The terms of the termination proposal are as set out in the full proposal rather than the outline: see section 179(8).</w:t>
      </w:r>
    </w:p>
    <w:p>
      <w:pPr>
        <w:pStyle w:val="nz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nzSubsection"/>
      </w:pPr>
      <w:r>
        <w:tab/>
        <w:t>(3)</w:t>
      </w:r>
      <w:r>
        <w:tab/>
        <w:t>A termination proposal may be modified and a further vote taken on the proposal, but no more than 3 such votes may be taken and each vote must be taken within the period referred to in subsection (2).</w:t>
      </w:r>
    </w:p>
    <w:p>
      <w:pPr>
        <w:pStyle w:val="nzSubsection"/>
      </w:pPr>
      <w:r>
        <w:tab/>
        <w:t>(4)</w:t>
      </w:r>
      <w:r>
        <w:tab/>
        <w:t>A person who is independent of the strata company and the proponent of the termination proposal must be appointed to tally and count the votes on the proposal.</w:t>
      </w:r>
    </w:p>
    <w:p>
      <w:pPr>
        <w:pStyle w:val="nzSubsection"/>
      </w:pPr>
      <w:r>
        <w:tab/>
        <w:t>(5)</w:t>
      </w:r>
      <w:r>
        <w:tab/>
        <w:t>The vote must be taken as follows —</w:t>
      </w:r>
    </w:p>
    <w:p>
      <w:pPr>
        <w:pStyle w:val="nzIndenta"/>
      </w:pPr>
      <w:r>
        <w:tab/>
        <w:t>(a)</w:t>
      </w:r>
      <w:r>
        <w:tab/>
        <w:t>1 vote may be cast for each lot in the strata titles scheme;</w:t>
      </w:r>
    </w:p>
    <w:p>
      <w:pPr>
        <w:pStyle w:val="nzIndenta"/>
      </w:pPr>
      <w:r>
        <w:tab/>
        <w:t>(b)</w:t>
      </w:r>
      <w:r>
        <w:tab/>
        <w:t>the value of each vote is 1.</w:t>
      </w:r>
    </w:p>
    <w:p>
      <w:pPr>
        <w:pStyle w:val="nzSubsection"/>
      </w:pPr>
      <w:r>
        <w:tab/>
        <w:t>(6)</w:t>
      </w:r>
      <w:r>
        <w:tab/>
        <w:t>A termination resolution is passed if the number of votes cast in favour of the termination proposal equals the number of lots in the strata titles scheme.</w:t>
      </w:r>
    </w:p>
    <w:p>
      <w:pPr>
        <w:pStyle w:val="nzSubsection"/>
      </w:pPr>
      <w:r>
        <w:tab/>
        <w:t>(7)</w:t>
      </w:r>
      <w:r>
        <w:tab/>
        <w:t>A termination resolution is passed subject to the confirmation of the Tribunal if —</w:t>
      </w:r>
    </w:p>
    <w:p>
      <w:pPr>
        <w:pStyle w:val="nzIndenta"/>
      </w:pPr>
      <w:r>
        <w:tab/>
        <w:t>(a)</w:t>
      </w:r>
      <w:r>
        <w:tab/>
        <w:t>the strata titles scheme has 5 or more lots; and</w:t>
      </w:r>
    </w:p>
    <w:p>
      <w:pPr>
        <w:pStyle w:val="nzIndenta"/>
      </w:pPr>
      <w:r>
        <w:tab/>
        <w:t>(b)</w:t>
      </w:r>
      <w:r>
        <w:tab/>
        <w:t>the number of votes cast in favour of the termination proposal is at least 80% of the total number of lots in the scheme.</w:t>
      </w:r>
    </w:p>
    <w:p>
      <w:pPr>
        <w:pStyle w:val="nzSubsection"/>
      </w:pPr>
      <w:r>
        <w:tab/>
        <w:t>(8)</w:t>
      </w:r>
      <w:r>
        <w:tab/>
        <w:t>Section 126(a) does not apply to voting on a termination resolution.</w:t>
      </w:r>
    </w:p>
    <w:p>
      <w:pPr>
        <w:pStyle w:val="nz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nzSubsection"/>
      </w:pPr>
      <w:r>
        <w:tab/>
        <w:t>(10)</w:t>
      </w:r>
      <w:r>
        <w:tab/>
        <w:t>The independent person appointed to tally and count the votes must —</w:t>
      </w:r>
    </w:p>
    <w:p>
      <w:pPr>
        <w:pStyle w:val="nzIndenta"/>
      </w:pPr>
      <w:r>
        <w:tab/>
        <w:t>(a)</w:t>
      </w:r>
      <w:r>
        <w:tab/>
        <w:t>make a record of each vote identifying the lot for which it is cast and the date on which it was cast, and the tally of the votes; and</w:t>
      </w:r>
    </w:p>
    <w:p>
      <w:pPr>
        <w:pStyle w:val="nz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nz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nzSubsection"/>
      </w:pPr>
      <w:r>
        <w:tab/>
        <w:t>(11)</w:t>
      </w:r>
      <w:r>
        <w:tab/>
        <w:t>A strata company must, as soon as practicable after a termination resolution is passed —</w:t>
      </w:r>
    </w:p>
    <w:p>
      <w:pPr>
        <w:pStyle w:val="nzIndenta"/>
      </w:pPr>
      <w:r>
        <w:tab/>
        <w:t>(a)</w:t>
      </w:r>
      <w:r>
        <w:tab/>
        <w:t>lodge with the Registrar of Titles notice of that fact in the approved form; and</w:t>
      </w:r>
    </w:p>
    <w:p>
      <w:pPr>
        <w:pStyle w:val="nzIndenta"/>
      </w:pPr>
      <w:r>
        <w:tab/>
        <w:t>(b)</w:t>
      </w:r>
      <w:r>
        <w:tab/>
        <w:t>give written notice of that fact to —</w:t>
      </w:r>
    </w:p>
    <w:p>
      <w:pPr>
        <w:pStyle w:val="nzIndenti"/>
      </w:pPr>
      <w:r>
        <w:tab/>
        <w:t>(i)</w:t>
      </w:r>
      <w:r>
        <w:tab/>
        <w:t>the proponent of the termination proposal; and</w:t>
      </w:r>
    </w:p>
    <w:p>
      <w:pPr>
        <w:pStyle w:val="nzIndenti"/>
      </w:pPr>
      <w:r>
        <w:tab/>
        <w:t>(ii)</w:t>
      </w:r>
      <w:r>
        <w:tab/>
        <w:t>for a leasehold scheme, the owner of the leasehold scheme.</w:t>
      </w:r>
    </w:p>
    <w:p>
      <w:pPr>
        <w:pStyle w:val="nzSubsection"/>
      </w:pPr>
      <w:r>
        <w:tab/>
        <w:t>(12)</w:t>
      </w:r>
      <w:r>
        <w:tab/>
        <w:t>The notice must include a statement of whether or not confirmation of the termination resolution by the Tribunal is required.</w:t>
      </w:r>
    </w:p>
    <w:p>
      <w:pPr>
        <w:pStyle w:val="nzSubsection"/>
      </w:pPr>
      <w:r>
        <w:tab/>
        <w:t>(13)</w:t>
      </w:r>
      <w:r>
        <w:tab/>
        <w:t>The regulations may impose additional requirements about the process required for voting on a termination proposal.</w:t>
      </w:r>
    </w:p>
    <w:p>
      <w:pPr>
        <w:pStyle w:val="nzHeading5"/>
      </w:pPr>
      <w:bookmarkStart w:id="1755" w:name="_Toc530474545"/>
      <w:bookmarkStart w:id="1756" w:name="_Toc530475140"/>
      <w:r>
        <w:t>183.</w:t>
      </w:r>
      <w:r>
        <w:tab/>
        <w:t>Confirmation of termination resolution by Tribunal</w:t>
      </w:r>
      <w:bookmarkEnd w:id="1755"/>
      <w:bookmarkEnd w:id="1756"/>
    </w:p>
    <w:p>
      <w:pPr>
        <w:pStyle w:val="nzSubsection"/>
      </w:pPr>
      <w:r>
        <w:tab/>
        <w:t>(1)</w:t>
      </w:r>
      <w:r>
        <w:tab/>
        <w:t>If a termination proposal can proceed further only if the Tribunal confirms the termination resolution, the proponent of the proposal can apply to the Tribunal for that confirmation.</w:t>
      </w:r>
    </w:p>
    <w:p>
      <w:pPr>
        <w:pStyle w:val="nzSubsection"/>
      </w:pPr>
      <w:r>
        <w:tab/>
        <w:t>(2)</w:t>
      </w:r>
      <w:r>
        <w:tab/>
        <w:t>The application must be made within 28 days after the date on which the termination resolution is passed or within an extension of that period given by the Tribunal.</w:t>
      </w:r>
    </w:p>
    <w:p>
      <w:pPr>
        <w:pStyle w:val="nzSubsection"/>
      </w:pPr>
      <w:r>
        <w:tab/>
        <w:t>(3)</w:t>
      </w:r>
      <w:r>
        <w:tab/>
        <w:t>The application must be accompanied by —</w:t>
      </w:r>
    </w:p>
    <w:p>
      <w:pPr>
        <w:pStyle w:val="nzIndenta"/>
      </w:pPr>
      <w:r>
        <w:tab/>
        <w:t>(a)</w:t>
      </w:r>
      <w:r>
        <w:tab/>
        <w:t>the full proposal for the termination of the strata titles scheme; and</w:t>
      </w:r>
    </w:p>
    <w:p>
      <w:pPr>
        <w:pStyle w:val="nzIndenta"/>
      </w:pPr>
      <w:r>
        <w:tab/>
        <w:t>(b)</w:t>
      </w:r>
      <w:r>
        <w:tab/>
        <w:t>all written submissions made to the proponent about the termination proposal; and</w:t>
      </w:r>
    </w:p>
    <w:p>
      <w:pPr>
        <w:pStyle w:val="nzIndenta"/>
      </w:pPr>
      <w:r>
        <w:tab/>
        <w:t>(c)</w:t>
      </w:r>
      <w:r>
        <w:tab/>
        <w:t>any other material specified in the regulations.</w:t>
      </w:r>
    </w:p>
    <w:p>
      <w:pPr>
        <w:pStyle w:val="nzSubsection"/>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nzIndenta"/>
      </w:pPr>
      <w:r>
        <w:tab/>
        <w:t>(a)</w:t>
      </w:r>
      <w:r>
        <w:tab/>
        <w:t>the strata company for the strata titles scheme; and</w:t>
      </w:r>
    </w:p>
    <w:p>
      <w:pPr>
        <w:pStyle w:val="nzIndenta"/>
      </w:pPr>
      <w:r>
        <w:tab/>
        <w:t>(b)</w:t>
      </w:r>
      <w:r>
        <w:tab/>
        <w:t>for a leasehold scheme, the owner of the leasehold scheme.</w:t>
      </w:r>
    </w:p>
    <w:p>
      <w:pPr>
        <w:pStyle w:val="nzSubsection"/>
      </w:pPr>
      <w:r>
        <w:tab/>
        <w:t>(5)</w:t>
      </w:r>
      <w:r>
        <w:tab/>
        <w:t>The strata company and, for a leasehold scheme, the owner of the leasehold scheme, will be taken to be parties to the proceedings.</w:t>
      </w:r>
    </w:p>
    <w:p>
      <w:pPr>
        <w:pStyle w:val="nzSubsection"/>
      </w:pPr>
      <w:r>
        <w:tab/>
        <w:t>(6)</w:t>
      </w:r>
      <w:r>
        <w:tab/>
        <w:t>The strata company must, within 14 days after being given notice of the application —</w:t>
      </w:r>
    </w:p>
    <w:p>
      <w:pPr>
        <w:pStyle w:val="nzIndenta"/>
      </w:pPr>
      <w:r>
        <w:tab/>
        <w:t>(a)</w:t>
      </w:r>
      <w:r>
        <w:tab/>
        <w:t>serve notice of the application on each person who is —</w:t>
      </w:r>
    </w:p>
    <w:p>
      <w:pPr>
        <w:pStyle w:val="nzIndenti"/>
      </w:pPr>
      <w:r>
        <w:tab/>
        <w:t>(i)</w:t>
      </w:r>
      <w:r>
        <w:tab/>
        <w:t>the owner, occupier or registered mortgagee of a lot in the strata titles scheme; or</w:t>
      </w:r>
    </w:p>
    <w:p>
      <w:pPr>
        <w:pStyle w:val="nzIndenti"/>
      </w:pPr>
      <w:r>
        <w:tab/>
        <w:t>(ii)</w:t>
      </w:r>
      <w:r>
        <w:tab/>
        <w:t>the occupier of common property in the strata titles scheme; or</w:t>
      </w:r>
    </w:p>
    <w:p>
      <w:pPr>
        <w:pStyle w:val="nzIndenti"/>
      </w:pPr>
      <w:r>
        <w:tab/>
        <w:t>(iii)</w:t>
      </w:r>
      <w:r>
        <w:tab/>
        <w:t>a person whom the Tribunal requires to be served with notice of the application;</w:t>
      </w:r>
    </w:p>
    <w:p>
      <w:pPr>
        <w:pStyle w:val="nzIndenta"/>
      </w:pPr>
      <w:r>
        <w:tab/>
      </w:r>
      <w:r>
        <w:tab/>
        <w:t>and</w:t>
      </w:r>
    </w:p>
    <w:p>
      <w:pPr>
        <w:pStyle w:val="nz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nzIndenta"/>
      </w:pPr>
      <w:r>
        <w:tab/>
        <w:t>(c)</w:t>
      </w:r>
      <w:r>
        <w:tab/>
        <w:t>provide the following to the Tribunal (which may then be released by the Tribunal to any person entitled to appear and be heard or to make submissions) —</w:t>
      </w:r>
    </w:p>
    <w:p>
      <w:pPr>
        <w:pStyle w:val="nzIndenti"/>
      </w:pPr>
      <w:r>
        <w:tab/>
        <w:t>(i)</w:t>
      </w:r>
      <w:r>
        <w:tab/>
        <w:t>for a leasehold scheme, a copy of the notice of support for the termination resolution given by the owner of the leasehold scheme under section 180;</w:t>
      </w:r>
    </w:p>
    <w:p>
      <w:pPr>
        <w:pStyle w:val="nzIndenti"/>
      </w:pPr>
      <w:r>
        <w:tab/>
        <w:t>(ii)</w:t>
      </w:r>
      <w:r>
        <w:tab/>
        <w:t>a record (as provided by the independent person who counted the votes) of each vote on the termination resolution, identifying the lot for which it was cast and the date on which it was cast, and a tally of the votes;</w:t>
      </w:r>
    </w:p>
    <w:p>
      <w:pPr>
        <w:pStyle w:val="nzIndenti"/>
      </w:pPr>
      <w:r>
        <w:tab/>
        <w:t>(iii)</w:t>
      </w:r>
      <w:r>
        <w:tab/>
        <w:t>minutes of all meetings of the strata company or the council of the strata company at which the termination proposal was considered;</w:t>
      </w:r>
    </w:p>
    <w:p>
      <w:pPr>
        <w:pStyle w:val="nzIndenti"/>
      </w:pPr>
      <w:r>
        <w:tab/>
        <w:t>(iv)</w:t>
      </w:r>
      <w:r>
        <w:tab/>
        <w:t>all written submissions made to the strata company about the termination proposal;</w:t>
      </w:r>
    </w:p>
    <w:p>
      <w:pPr>
        <w:pStyle w:val="nzIndenti"/>
      </w:pPr>
      <w:r>
        <w:tab/>
        <w:t>(v)</w:t>
      </w:r>
      <w:r>
        <w:tab/>
        <w:t>the scheme plan, scheme by</w:t>
      </w:r>
      <w:r>
        <w:noBreakHyphen/>
        <w:t>laws and schedule of unit entitlements for the strata titles scheme;</w:t>
      </w:r>
    </w:p>
    <w:p>
      <w:pPr>
        <w:pStyle w:val="nzIndenti"/>
      </w:pPr>
      <w:r>
        <w:tab/>
        <w:t>(vi)</w:t>
      </w:r>
      <w:r>
        <w:tab/>
        <w:t>anything else required by the regulations;</w:t>
      </w:r>
    </w:p>
    <w:p>
      <w:pPr>
        <w:pStyle w:val="nzIndenta"/>
      </w:pPr>
      <w:r>
        <w:tab/>
      </w:r>
      <w:r>
        <w:tab/>
        <w:t>and</w:t>
      </w:r>
    </w:p>
    <w:p>
      <w:pPr>
        <w:pStyle w:val="nzIndenta"/>
      </w:pPr>
      <w:r>
        <w:tab/>
        <w:t>(d)</w:t>
      </w:r>
      <w:r>
        <w:tab/>
        <w:t>lodge with the Registrar of Titles notice of the application in the approved form.</w:t>
      </w:r>
    </w:p>
    <w:p>
      <w:pPr>
        <w:pStyle w:val="nzSubsection"/>
      </w:pPr>
      <w:r>
        <w:tab/>
        <w:t>(7)</w:t>
      </w:r>
      <w:r>
        <w:tab/>
        <w:t>A person who is required to be served with notice of the application is entitled to appear and be heard or make written submissions to the Tribunal (as the Tribunal determines).</w:t>
      </w:r>
    </w:p>
    <w:p>
      <w:pPr>
        <w:pStyle w:val="nzSubsection"/>
      </w:pPr>
      <w:r>
        <w:tab/>
        <w:t>(8)</w:t>
      </w:r>
      <w:r>
        <w:tab/>
        <w:t>In proceedings for confirmation of a termination resolution of a strata company, the Tribunal may —</w:t>
      </w:r>
    </w:p>
    <w:p>
      <w:pPr>
        <w:pStyle w:val="nzIndenta"/>
      </w:pPr>
      <w:r>
        <w:tab/>
        <w:t>(a)</w:t>
      </w:r>
      <w:r>
        <w:tab/>
        <w:t>make an order confirming the termination resolution (which may be subject to the termination proposal being modified in a specified manner as set out in subsection (13)); or</w:t>
      </w:r>
    </w:p>
    <w:p>
      <w:pPr>
        <w:pStyle w:val="nzIndenta"/>
      </w:pPr>
      <w:r>
        <w:tab/>
        <w:t>(b)</w:t>
      </w:r>
      <w:r>
        <w:tab/>
        <w:t>make a decision not to make such an order.</w:t>
      </w:r>
    </w:p>
    <w:p>
      <w:pPr>
        <w:pStyle w:val="nzSubsection"/>
      </w:pPr>
      <w:r>
        <w:tab/>
        <w:t>(9)</w:t>
      </w:r>
      <w:r>
        <w:tab/>
        <w:t>The Tribunal can only confirm a termination resolution if the proponent of the termination proposal satisfies the Tribunal that —</w:t>
      </w:r>
    </w:p>
    <w:p>
      <w:pPr>
        <w:pStyle w:val="nzIndenta"/>
      </w:pPr>
      <w:r>
        <w:tab/>
        <w:t>(a)</w:t>
      </w:r>
      <w:r>
        <w:tab/>
        <w:t>the process required by this Division has been complied with; and</w:t>
      </w:r>
    </w:p>
    <w:p>
      <w:pPr>
        <w:pStyle w:val="nzIndenta"/>
      </w:pPr>
      <w:r>
        <w:tab/>
        <w:t>(b)</w:t>
      </w:r>
      <w:r>
        <w:tab/>
        <w:t>under the termination proposal, the owner of a lot in the strata titles scheme who does not support the termination will receive fair market value for the lot or a like for like exchange for the lot; and</w:t>
      </w:r>
    </w:p>
    <w:p>
      <w:pPr>
        <w:pStyle w:val="nzIndenta"/>
      </w:pPr>
      <w:r>
        <w:tab/>
        <w:t>(c)</w:t>
      </w:r>
      <w:r>
        <w:tab/>
        <w:t>the termination proposal is otherwise just and equitable having regard to —</w:t>
      </w:r>
    </w:p>
    <w:p>
      <w:pPr>
        <w:pStyle w:val="nzIndenti"/>
      </w:pPr>
      <w:r>
        <w:tab/>
        <w:t>(i)</w:t>
      </w:r>
      <w:r>
        <w:tab/>
        <w:t>the interests of the owners of the lots in the strata titles scheme; and</w:t>
      </w:r>
    </w:p>
    <w:p>
      <w:pPr>
        <w:pStyle w:val="nzIndenti"/>
      </w:pPr>
      <w:r>
        <w:tab/>
        <w:t>(ii)</w:t>
      </w:r>
      <w:r>
        <w:tab/>
        <w:t>if it is a leasehold scheme, the interests of the owner of the leasehold scheme; and</w:t>
      </w:r>
    </w:p>
    <w:p>
      <w:pPr>
        <w:pStyle w:val="nzIndenti"/>
      </w:pPr>
      <w:r>
        <w:tab/>
        <w:t>(iii)</w:t>
      </w:r>
      <w:r>
        <w:tab/>
        <w:t>the interests of occupiers of the lots and the occupiers of the common property in the strata titles scheme; and</w:t>
      </w:r>
    </w:p>
    <w:p>
      <w:pPr>
        <w:pStyle w:val="nzIndenti"/>
      </w:pPr>
      <w:r>
        <w:tab/>
        <w:t>(iv)</w:t>
      </w:r>
      <w:r>
        <w:tab/>
        <w:t>the interests of registered mortgagees of the lots in the strata titles scheme; and</w:t>
      </w:r>
    </w:p>
    <w:p>
      <w:pPr>
        <w:pStyle w:val="nzIndenti"/>
      </w:pPr>
      <w:r>
        <w:tab/>
        <w:t>(v)</w:t>
      </w:r>
      <w:r>
        <w:tab/>
        <w:t>the interests of any other person with an estate or interest in, or right over, a lot or common property in the strata titles scheme that is registered or recorded in the Register.</w:t>
      </w:r>
    </w:p>
    <w:p>
      <w:pPr>
        <w:pStyle w:val="nzSubsection"/>
      </w:pPr>
      <w:r>
        <w:tab/>
        <w:t>(10)</w:t>
      </w:r>
      <w:r>
        <w:tab/>
        <w:t>In determining under subsection (9)(b) whether an owner of a lot will receive fair market value for the lot —</w:t>
      </w:r>
    </w:p>
    <w:p>
      <w:pPr>
        <w:pStyle w:val="nzIndenta"/>
      </w:pPr>
      <w:r>
        <w:tab/>
        <w:t>(a)</w:t>
      </w:r>
      <w:r>
        <w:tab/>
        <w:t>the Tribunal must be satisfied that —</w:t>
      </w:r>
    </w:p>
    <w:p>
      <w:pPr>
        <w:pStyle w:val="nz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nzIndenti"/>
      </w:pPr>
      <w:r>
        <w:tab/>
        <w:t>(ii)</w:t>
      </w:r>
      <w:r>
        <w:tab/>
        <w:t>the owner will not be disadvantaged in terms of the owner’s financial position as a result of the termination of the strata titles scheme;</w:t>
      </w:r>
    </w:p>
    <w:p>
      <w:pPr>
        <w:pStyle w:val="nzIndenta"/>
      </w:pPr>
      <w:r>
        <w:tab/>
      </w:r>
      <w:r>
        <w:tab/>
        <w:t>and</w:t>
      </w:r>
    </w:p>
    <w:p>
      <w:pPr>
        <w:pStyle w:val="nz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nzIndenti"/>
      </w:pPr>
      <w:r>
        <w:tab/>
        <w:t>(i)</w:t>
      </w:r>
      <w:r>
        <w:tab/>
        <w:t>that section is to be read as if the owner of the lot were the claimant and the proponent of the termination proposal were the acquiring authority; and</w:t>
      </w:r>
    </w:p>
    <w:p>
      <w:pPr>
        <w:pStyle w:val="nzIndenti"/>
      </w:pPr>
      <w:r>
        <w:tab/>
        <w:t>(ii)</w:t>
      </w:r>
      <w:r>
        <w:tab/>
        <w:t>no regard is to be had to any reference to proposed public works nor to the undertaking of improvements after there is a notice of intention; and</w:t>
      </w:r>
    </w:p>
    <w:p>
      <w:pPr>
        <w:pStyle w:val="nz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nzIndenta"/>
      </w:pPr>
      <w:r>
        <w:tab/>
      </w:r>
      <w:r>
        <w:tab/>
        <w:t>and</w:t>
      </w:r>
    </w:p>
    <w:p>
      <w:pPr>
        <w:pStyle w:val="nzIndenta"/>
      </w:pPr>
      <w:r>
        <w:tab/>
        <w:t>(c)</w:t>
      </w:r>
      <w:r>
        <w:tab/>
        <w:t>without limitation, regard is to be had to the loss or damage, if any, sustained by the owner by reason of any of the following —</w:t>
      </w:r>
    </w:p>
    <w:p>
      <w:pPr>
        <w:pStyle w:val="nzIndenti"/>
      </w:pPr>
      <w:r>
        <w:tab/>
        <w:t>(i)</w:t>
      </w:r>
      <w:r>
        <w:tab/>
        <w:t>removal expenses;</w:t>
      </w:r>
    </w:p>
    <w:p>
      <w:pPr>
        <w:pStyle w:val="nzIndenti"/>
      </w:pPr>
      <w:r>
        <w:tab/>
        <w:t>(ii)</w:t>
      </w:r>
      <w:r>
        <w:tab/>
        <w:t>disruption and reinstatement of a business;</w:t>
      </w:r>
    </w:p>
    <w:p>
      <w:pPr>
        <w:pStyle w:val="nzIndenti"/>
      </w:pPr>
      <w:r>
        <w:tab/>
        <w:t>(iii)</w:t>
      </w:r>
      <w:r>
        <w:tab/>
        <w:t>liability for capital gains tax, goods and services tax or other tax or duty;</w:t>
      </w:r>
    </w:p>
    <w:p>
      <w:pPr>
        <w:pStyle w:val="nzIndenti"/>
      </w:pPr>
      <w:r>
        <w:tab/>
        <w:t>(iv)</w:t>
      </w:r>
      <w:r>
        <w:tab/>
        <w:t>conveyancing and legal costs and other costs associated with the creation or discharge of mortgages and other interests, including for the acquisition of a replacement property.</w:t>
      </w:r>
    </w:p>
    <w:p>
      <w:pPr>
        <w:pStyle w:val="nzSubsection"/>
      </w:pPr>
      <w:r>
        <w:tab/>
        <w:t>(11)</w:t>
      </w:r>
      <w:r>
        <w:tab/>
        <w:t>In determining under subsection (9)(b) whether an owner of a lot will receive a like for like exchange for the lot, the Tribunal must consider —</w:t>
      </w:r>
    </w:p>
    <w:p>
      <w:pPr>
        <w:pStyle w:val="nzIndenta"/>
      </w:pPr>
      <w:r>
        <w:tab/>
        <w:t>(a)</w:t>
      </w:r>
      <w:r>
        <w:tab/>
        <w:t>whether the value of what is offered in exchange is equivalent to the fair market value of the lot (as set out in subsection (10)); and</w:t>
      </w:r>
    </w:p>
    <w:p>
      <w:pPr>
        <w:pStyle w:val="nzIndenta"/>
      </w:pPr>
      <w:r>
        <w:tab/>
        <w:t>(b)</w:t>
      </w:r>
      <w:r>
        <w:tab/>
        <w:t>how the location, facilities and amenity of what is offered in exchange compares to that of the lot.</w:t>
      </w:r>
    </w:p>
    <w:p>
      <w:pPr>
        <w:pStyle w:val="nzSubsection"/>
      </w:pPr>
      <w:r>
        <w:tab/>
        <w:t>(12)</w:t>
      </w:r>
      <w:r>
        <w:tab/>
        <w:t>Without limiting the factors that the Tribunal can take into account under subsection (9)(c), the Tribunal must consider the following —</w:t>
      </w:r>
    </w:p>
    <w:p>
      <w:pPr>
        <w:pStyle w:val="nzIndenta"/>
      </w:pPr>
      <w:r>
        <w:tab/>
        <w:t>(a)</w:t>
      </w:r>
      <w:r>
        <w:tab/>
        <w:t>any evidence of impropriety in the termination process, including, for example —</w:t>
      </w:r>
    </w:p>
    <w:p>
      <w:pPr>
        <w:pStyle w:val="nzIndenti"/>
      </w:pPr>
      <w:r>
        <w:tab/>
        <w:t>(i)</w:t>
      </w:r>
      <w:r>
        <w:tab/>
        <w:t>evidence of proxy votes being exercised invalidly or votes being affected by undue influence in connection with the termination resolution; and</w:t>
      </w:r>
    </w:p>
    <w:p>
      <w:pPr>
        <w:pStyle w:val="nzIndenti"/>
      </w:pPr>
      <w:r>
        <w:tab/>
        <w:t>(ii)</w:t>
      </w:r>
      <w:r>
        <w:tab/>
        <w:t>evidence of false or misleading information (whether by inclusion or omission) having been included in the outline of or the full proposal for the termination of the strata titles scheme;</w:t>
      </w:r>
    </w:p>
    <w:p>
      <w:pPr>
        <w:pStyle w:val="nzIndenta"/>
      </w:pPr>
      <w:r>
        <w:tab/>
        <w:t>(b)</w:t>
      </w:r>
      <w:r>
        <w:tab/>
        <w:t>the proportion of owners of lots in favour of and against the termination proposal in terms of numbers of lots and in terms of unit entitlements of lots;</w:t>
      </w:r>
    </w:p>
    <w:p>
      <w:pPr>
        <w:pStyle w:val="nz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nzIndenta"/>
      </w:pPr>
      <w:r>
        <w:tab/>
        <w:t>(d)</w:t>
      </w:r>
      <w:r>
        <w:tab/>
        <w:t>any arrangements for the owner of a lot in the strata titles scheme to buy back into the subdivided land following redevelopment;</w:t>
      </w:r>
    </w:p>
    <w:p>
      <w:pPr>
        <w:pStyle w:val="nzIndenta"/>
      </w:pPr>
      <w:r>
        <w:tab/>
        <w:t>(e)</w:t>
      </w:r>
      <w:r>
        <w:tab/>
        <w:t>the benefits and detriments of the termination proposal proceeding or not proceeding for all those whose interests must be taken into account.</w:t>
      </w:r>
    </w:p>
    <w:p>
      <w:pPr>
        <w:pStyle w:val="nz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nz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nz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nzSubsection"/>
      </w:pPr>
      <w:r>
        <w:tab/>
        <w:t>(16)</w:t>
      </w:r>
      <w:r>
        <w:tab/>
        <w:t>Subsection (15) does not apply to an owner in the capacity of a proponent of the termination proposal.</w:t>
      </w:r>
    </w:p>
    <w:p>
      <w:pPr>
        <w:pStyle w:val="nz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nzIndenta"/>
      </w:pPr>
      <w:r>
        <w:tab/>
        <w:t>(a)</w:t>
      </w:r>
      <w:r>
        <w:tab/>
        <w:t>the owner of a lot in the strata titles scheme must execute a transfer of ownership of the lot; or</w:t>
      </w:r>
    </w:p>
    <w:p>
      <w:pPr>
        <w:pStyle w:val="nzIndenta"/>
      </w:pPr>
      <w:r>
        <w:tab/>
        <w:t>(b)</w:t>
      </w:r>
      <w:r>
        <w:tab/>
        <w:t>if there is a duplicate certificate of title for a lot in the strata titles scheme, the owner of the lot must deliver the duplicate certificate of title to the Registrar of Titles; or</w:t>
      </w:r>
    </w:p>
    <w:p>
      <w:pPr>
        <w:pStyle w:val="nz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nzIndenta"/>
      </w:pPr>
      <w:r>
        <w:tab/>
        <w:t>(d)</w:t>
      </w:r>
      <w:r>
        <w:tab/>
        <w:t>the occupier of a lot or the common property in the strata titles scheme must vacate the lot or common property.</w:t>
      </w:r>
    </w:p>
    <w:p>
      <w:pPr>
        <w:pStyle w:val="nz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nz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nzIndenta"/>
      </w:pPr>
      <w:r>
        <w:tab/>
        <w:t>(a)</w:t>
      </w:r>
      <w:r>
        <w:tab/>
        <w:t>the tenant and the lessor must terminate the residential tenancy agreement under that Act; and</w:t>
      </w:r>
    </w:p>
    <w:p>
      <w:pPr>
        <w:pStyle w:val="nzIndenta"/>
      </w:pPr>
      <w:r>
        <w:tab/>
        <w:t>(b)</w:t>
      </w:r>
      <w:r>
        <w:tab/>
        <w:t>the premises subject to the residential tenancy agreement are taken for the purposes of section 69 of that Act to cease to be lawfully usable as a residence; and</w:t>
      </w:r>
    </w:p>
    <w:p>
      <w:pPr>
        <w:pStyle w:val="nzIndenta"/>
      </w:pPr>
      <w:r>
        <w:tab/>
        <w:t>(c)</w:t>
      </w:r>
      <w:r>
        <w:tab/>
        <w:t>if the tenant is given notice of termination under section 69 of that Act, then despite section 69(2) of that Act the period of notice must be not less than a period specified by the Tribunal; and</w:t>
      </w:r>
    </w:p>
    <w:p>
      <w:pPr>
        <w:pStyle w:val="nzIndenta"/>
      </w:pPr>
      <w:r>
        <w:tab/>
        <w:t>(d)</w:t>
      </w:r>
      <w:r>
        <w:tab/>
        <w:t>the proponent or the owner of a lot in the scheme is to make a payment to the tenant under the residential tenancy agreement in respect of the termination of the residential tenancy agreement.</w:t>
      </w:r>
    </w:p>
    <w:p>
      <w:pPr>
        <w:pStyle w:val="nz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nzIndenta"/>
      </w:pPr>
      <w:r>
        <w:tab/>
        <w:t>(a)</w:t>
      </w:r>
      <w:r>
        <w:tab/>
        <w:t>the retail shop lease is terminated on the termination of the strata titles scheme; and</w:t>
      </w:r>
    </w:p>
    <w:p>
      <w:pPr>
        <w:pStyle w:val="nzIndenta"/>
      </w:pPr>
      <w:r>
        <w:tab/>
        <w:t>(b)</w:t>
      </w:r>
      <w:r>
        <w:tab/>
        <w:t>the proponent or the owner of a lot in the scheme is to make a payment to the tenant under the retail shop lease in respect of the termination of the retail shop lease.</w:t>
      </w:r>
    </w:p>
    <w:p>
      <w:pPr>
        <w:pStyle w:val="nz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nzIndenta"/>
      </w:pPr>
      <w:r>
        <w:tab/>
        <w:t>(a)</w:t>
      </w:r>
      <w:r>
        <w:tab/>
        <w:t>the lease or licence is terminated on the termination of the strata titles scheme; and</w:t>
      </w:r>
    </w:p>
    <w:p>
      <w:pPr>
        <w:pStyle w:val="nzIndenta"/>
      </w:pPr>
      <w:r>
        <w:tab/>
        <w:t>(b)</w:t>
      </w:r>
      <w:r>
        <w:tab/>
        <w:t>the proponent or the owner of a lot in the scheme is to make a payment to the lessee or licensee in respect of the termination of the lease or licence.</w:t>
      </w:r>
    </w:p>
    <w:p>
      <w:pPr>
        <w:pStyle w:val="nzSubsection"/>
      </w:pPr>
      <w:r>
        <w:tab/>
        <w:t>(22)</w:t>
      </w:r>
      <w:r>
        <w:tab/>
        <w:t>The Tribunal’s powers under this section are exercisable only by a judicial member (or by the Tribunal constituted of a judicial member and other members).</w:t>
      </w:r>
    </w:p>
    <w:p>
      <w:pPr>
        <w:pStyle w:val="nzSubsection"/>
      </w:pPr>
      <w:r>
        <w:tab/>
        <w:t>(23)</w:t>
      </w:r>
      <w:r>
        <w:tab/>
        <w:t>A strata company must, as soon as practicable after being given notice of the decision of the Tribunal on an application under this section —</w:t>
      </w:r>
    </w:p>
    <w:p>
      <w:pPr>
        <w:pStyle w:val="nzIndenta"/>
      </w:pPr>
      <w:r>
        <w:tab/>
        <w:t>(a)</w:t>
      </w:r>
      <w:r>
        <w:tab/>
        <w:t>lodge with the Registrar of Titles notice of the decision in the approved form; and</w:t>
      </w:r>
    </w:p>
    <w:p>
      <w:pPr>
        <w:pStyle w:val="nzIndenta"/>
      </w:pPr>
      <w:r>
        <w:tab/>
        <w:t>(b)</w:t>
      </w:r>
      <w:r>
        <w:tab/>
        <w:t>give written notice of the decision to each person entitled to receive notice of the application.</w:t>
      </w:r>
    </w:p>
    <w:p>
      <w:pPr>
        <w:pStyle w:val="nzHeading5"/>
      </w:pPr>
      <w:bookmarkStart w:id="1757" w:name="_Toc530474546"/>
      <w:bookmarkStart w:id="1758" w:name="_Toc530475141"/>
      <w:r>
        <w:t>184.</w:t>
      </w:r>
      <w:r>
        <w:tab/>
        <w:t>Endorsement of subdivision approval on plan</w:t>
      </w:r>
      <w:bookmarkEnd w:id="1757"/>
      <w:bookmarkEnd w:id="1758"/>
    </w:p>
    <w:p>
      <w:pPr>
        <w:pStyle w:val="nzSubsection"/>
      </w:pPr>
      <w:r>
        <w:tab/>
        <w:t>(1)</w:t>
      </w:r>
      <w:r>
        <w:tab/>
        <w:t>If a termination proposal can proceed further under section 182 (including, if required, because the Tribunal confirms the termination resolution under section 183) —</w:t>
      </w:r>
    </w:p>
    <w:p>
      <w:pPr>
        <w:pStyle w:val="nz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nzIndenta"/>
      </w:pPr>
      <w:r>
        <w:tab/>
        <w:t>(b)</w:t>
      </w:r>
      <w:r>
        <w:tab/>
        <w:t xml:space="preserve">the owner of the land is taken to have consented to the proponent making the request under the </w:t>
      </w:r>
      <w:r>
        <w:rPr>
          <w:i/>
        </w:rPr>
        <w:t>Planning and Development Act 2005</w:t>
      </w:r>
      <w:r>
        <w:t>.</w:t>
      </w:r>
    </w:p>
    <w:p>
      <w:pPr>
        <w:pStyle w:val="nzSubsection"/>
      </w:pPr>
      <w:r>
        <w:tab/>
        <w:t>(2)</w:t>
      </w:r>
      <w:r>
        <w:tab/>
        <w:t xml:space="preserve">The </w:t>
      </w:r>
      <w:r>
        <w:rPr>
          <w:i/>
        </w:rPr>
        <w:t>Planning and Development Act 2005</w:t>
      </w:r>
      <w:r>
        <w:t xml:space="preserve"> applies to a request under subsection (1) subject to any appropriate modifications.</w:t>
      </w:r>
    </w:p>
    <w:p>
      <w:pPr>
        <w:pStyle w:val="nzHeading5"/>
      </w:pPr>
      <w:bookmarkStart w:id="1759" w:name="_Toc530474547"/>
      <w:bookmarkStart w:id="1760" w:name="_Toc530475142"/>
      <w:r>
        <w:t>185.</w:t>
      </w:r>
      <w:r>
        <w:tab/>
        <w:t>Application for termination of scheme</w:t>
      </w:r>
      <w:bookmarkEnd w:id="1759"/>
      <w:bookmarkEnd w:id="1760"/>
    </w:p>
    <w:p>
      <w:pPr>
        <w:pStyle w:val="nzSubsection"/>
      </w:pPr>
      <w:r>
        <w:tab/>
        <w:t>(1)</w:t>
      </w:r>
      <w:r>
        <w:tab/>
        <w:t>The proponent of a termination proposal can make an application for termination of a strata titles scheme if —</w:t>
      </w:r>
    </w:p>
    <w:p>
      <w:pPr>
        <w:pStyle w:val="nzIndenta"/>
      </w:pPr>
      <w:r>
        <w:tab/>
        <w:t>(a)</w:t>
      </w:r>
      <w:r>
        <w:tab/>
        <w:t>the relevant approval has been obtained as set out in section 184; and</w:t>
      </w:r>
    </w:p>
    <w:p>
      <w:pPr>
        <w:pStyle w:val="nzIndenta"/>
      </w:pPr>
      <w:r>
        <w:tab/>
        <w:t>(b)</w:t>
      </w:r>
      <w:r>
        <w:tab/>
        <w:t>the steps required to be taken before termination of the scheme for winding up the strata company under the termination proposal or an order under section 192 have been taken.</w:t>
      </w:r>
    </w:p>
    <w:p>
      <w:pPr>
        <w:pStyle w:val="nz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nzHeading5"/>
      </w:pPr>
      <w:bookmarkStart w:id="1761" w:name="_Toc530474548"/>
      <w:bookmarkStart w:id="1762" w:name="_Toc530475143"/>
      <w:r>
        <w:t>186.</w:t>
      </w:r>
      <w:r>
        <w:tab/>
        <w:t>Withdrawal of termination proposal</w:t>
      </w:r>
      <w:bookmarkEnd w:id="1761"/>
      <w:bookmarkEnd w:id="1762"/>
    </w:p>
    <w:p>
      <w:pPr>
        <w:pStyle w:val="nz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nzSubsection"/>
      </w:pPr>
      <w:r>
        <w:tab/>
        <w:t>(2)</w:t>
      </w:r>
      <w:r>
        <w:tab/>
        <w:t>A strata company that is given written notice of the withdrawal of a termination proposal from the proponent of the proposal must, within 14 days after being given the notice —</w:t>
      </w:r>
    </w:p>
    <w:p>
      <w:pPr>
        <w:pStyle w:val="nzIndenta"/>
      </w:pPr>
      <w:r>
        <w:tab/>
        <w:t>(a)</w:t>
      </w:r>
      <w:r>
        <w:tab/>
        <w:t>serve the notice on each person who is —</w:t>
      </w:r>
    </w:p>
    <w:p>
      <w:pPr>
        <w:pStyle w:val="nzIndenti"/>
      </w:pPr>
      <w:r>
        <w:tab/>
        <w:t>(i)</w:t>
      </w:r>
      <w:r>
        <w:tab/>
        <w:t>the owner of a lot in the strata titles scheme; or</w:t>
      </w:r>
    </w:p>
    <w:p>
      <w:pPr>
        <w:pStyle w:val="nzIndenti"/>
      </w:pPr>
      <w:r>
        <w:tab/>
        <w:t>(ii)</w:t>
      </w:r>
      <w:r>
        <w:tab/>
        <w:t>if the full proposal for the termination of the strata titles scheme has been served by the strata company — the occupier of a lot or the common property in the strata titles scheme; or</w:t>
      </w:r>
    </w:p>
    <w:p>
      <w:pPr>
        <w:pStyle w:val="nzIndenti"/>
      </w:pPr>
      <w:r>
        <w:tab/>
        <w:t>(iii)</w:t>
      </w:r>
      <w:r>
        <w:tab/>
        <w:t>a registered mortgagee of a lot in the strata titles scheme;</w:t>
      </w:r>
    </w:p>
    <w:p>
      <w:pPr>
        <w:pStyle w:val="nzIndenta"/>
      </w:pPr>
      <w:r>
        <w:tab/>
      </w:r>
      <w:r>
        <w:tab/>
        <w:t>and</w:t>
      </w:r>
    </w:p>
    <w:p>
      <w:pPr>
        <w:pStyle w:val="nzIndenta"/>
      </w:pPr>
      <w:r>
        <w:tab/>
        <w:t>(b)</w:t>
      </w:r>
      <w:r>
        <w:tab/>
        <w:t>lodge with the Registrar of Titles notice of the withdrawal of the proposal in the approved form.</w:t>
      </w:r>
    </w:p>
    <w:p>
      <w:pPr>
        <w:pStyle w:val="nzHeading5"/>
      </w:pPr>
      <w:bookmarkStart w:id="1763" w:name="_Toc530474549"/>
      <w:bookmarkStart w:id="1764" w:name="_Toc530475144"/>
      <w:r>
        <w:t>187.</w:t>
      </w:r>
      <w:r>
        <w:tab/>
        <w:t>Notice that termination proposal cannot proceed further</w:t>
      </w:r>
      <w:bookmarkEnd w:id="1763"/>
      <w:bookmarkEnd w:id="1764"/>
    </w:p>
    <w:p>
      <w:pPr>
        <w:pStyle w:val="nzSubsection"/>
      </w:pPr>
      <w:r>
        <w:tab/>
        <w:t>(1)</w:t>
      </w:r>
      <w:r>
        <w:tab/>
        <w:t>This section applies if a termination proposal cannot proceed further for any of the following reasons —</w:t>
      </w:r>
    </w:p>
    <w:p>
      <w:pPr>
        <w:pStyle w:val="nzIndenta"/>
      </w:pPr>
      <w:r>
        <w:tab/>
        <w:t>(a)</w:t>
      </w:r>
      <w:r>
        <w:tab/>
        <w:t>at the end of 3 months after the outline of the termination proposal has been submitted to the strata company, the requirements of section 176 have not been met;</w:t>
      </w:r>
    </w:p>
    <w:p>
      <w:pPr>
        <w:pStyle w:val="nzIndenta"/>
      </w:pPr>
      <w:r>
        <w:tab/>
        <w:t>(b)</w:t>
      </w:r>
      <w:r>
        <w:tab/>
        <w:t>at the end of 3 months after the full proposal has been submitted to the strata company, the requirements of section 180 have not been met;</w:t>
      </w:r>
    </w:p>
    <w:p>
      <w:pPr>
        <w:pStyle w:val="nzIndenta"/>
      </w:pPr>
      <w:r>
        <w:tab/>
        <w:t>(c)</w:t>
      </w:r>
      <w:r>
        <w:tab/>
        <w:t>at the end of 6 months after service of the full proposal by the strata company, a termination resolution has not been passed;</w:t>
      </w:r>
    </w:p>
    <w:p>
      <w:pPr>
        <w:pStyle w:val="nzIndenta"/>
      </w:pPr>
      <w:r>
        <w:tab/>
        <w:t>(d)</w:t>
      </w:r>
      <w:r>
        <w:tab/>
        <w:t>at the end of 12 months after a termination resolution that does not require the confirmation of the Tribunal has been passed, no application for termination of the strata titles scheme has been made;</w:t>
      </w:r>
    </w:p>
    <w:p>
      <w:pPr>
        <w:pStyle w:val="nzIndenta"/>
      </w:pPr>
      <w:r>
        <w:tab/>
        <w:t>(e)</w:t>
      </w:r>
      <w:r>
        <w:tab/>
        <w:t>the termination resolution requires confirmation of the Tribunal and —</w:t>
      </w:r>
    </w:p>
    <w:p>
      <w:pPr>
        <w:pStyle w:val="nzIndenti"/>
      </w:pPr>
      <w:r>
        <w:tab/>
        <w:t>(i)</w:t>
      </w:r>
      <w:r>
        <w:tab/>
        <w:t>the Tribunal makes a decision not to confirm the resolution; or</w:t>
      </w:r>
    </w:p>
    <w:p>
      <w:pPr>
        <w:pStyle w:val="nzIndenti"/>
      </w:pPr>
      <w:r>
        <w:tab/>
        <w:t>(ii)</w:t>
      </w:r>
      <w:r>
        <w:tab/>
        <w:t>at the end of 12 months after the making of an order under section 183 confirming the termination resolution, no application for termination of the strata titles scheme has been made.</w:t>
      </w:r>
    </w:p>
    <w:p>
      <w:pPr>
        <w:pStyle w:val="nzSubsection"/>
      </w:pPr>
      <w:r>
        <w:tab/>
        <w:t>(2)</w:t>
      </w:r>
      <w:r>
        <w:tab/>
        <w:t>If this section applies, the strata company must —</w:t>
      </w:r>
    </w:p>
    <w:p>
      <w:pPr>
        <w:pStyle w:val="nzIndenta"/>
      </w:pPr>
      <w:r>
        <w:tab/>
        <w:t>(a)</w:t>
      </w:r>
      <w:r>
        <w:tab/>
        <w:t>lodge with the Registrar of Titles notice, in the approved form, that the termination proposal cannot proceed further; and</w:t>
      </w:r>
    </w:p>
    <w:p>
      <w:pPr>
        <w:pStyle w:val="nzIndenta"/>
      </w:pPr>
      <w:r>
        <w:tab/>
        <w:t>(b)</w:t>
      </w:r>
      <w:r>
        <w:tab/>
        <w:t>give written notice confirming that fact to —</w:t>
      </w:r>
    </w:p>
    <w:p>
      <w:pPr>
        <w:pStyle w:val="nzIndenti"/>
      </w:pPr>
      <w:r>
        <w:tab/>
        <w:t>(i)</w:t>
      </w:r>
      <w:r>
        <w:tab/>
        <w:t>the proponent of the termination proposal; and</w:t>
      </w:r>
    </w:p>
    <w:p>
      <w:pPr>
        <w:pStyle w:val="nzIndenti"/>
      </w:pPr>
      <w:r>
        <w:tab/>
        <w:t>(ii)</w:t>
      </w:r>
      <w:r>
        <w:tab/>
        <w:t>for a leasehold scheme, the owner of the leasehold scheme; and</w:t>
      </w:r>
    </w:p>
    <w:p>
      <w:pPr>
        <w:pStyle w:val="nzIndenti"/>
      </w:pPr>
      <w:r>
        <w:tab/>
        <w:t>(iii)</w:t>
      </w:r>
      <w:r>
        <w:tab/>
        <w:t>each member of the strata company.</w:t>
      </w:r>
    </w:p>
    <w:p>
      <w:pPr>
        <w:pStyle w:val="nzHeading5"/>
      </w:pPr>
      <w:bookmarkStart w:id="1765" w:name="_Toc530474550"/>
      <w:bookmarkStart w:id="1766" w:name="_Toc530475145"/>
      <w:r>
        <w:t>188.</w:t>
      </w:r>
      <w:r>
        <w:tab/>
        <w:t>Notices received by Registrar of Titles</w:t>
      </w:r>
      <w:bookmarkEnd w:id="1765"/>
      <w:bookmarkEnd w:id="1766"/>
    </w:p>
    <w:p>
      <w:pPr>
        <w:pStyle w:val="nzSubsection"/>
      </w:pPr>
      <w:r>
        <w:tab/>
      </w:r>
      <w:r>
        <w:tab/>
        <w:t>If a notice is lodged with the Registrar of Titles under this Division, the Registrar of Titles must —</w:t>
      </w:r>
    </w:p>
    <w:p>
      <w:pPr>
        <w:pStyle w:val="nzIndenta"/>
      </w:pPr>
      <w:r>
        <w:tab/>
        <w:t>(a)</w:t>
      </w:r>
      <w:r>
        <w:tab/>
        <w:t>record a notification in the Register; and</w:t>
      </w:r>
    </w:p>
    <w:p>
      <w:pPr>
        <w:pStyle w:val="nz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nzHeading5"/>
      </w:pPr>
      <w:bookmarkStart w:id="1767" w:name="_Toc530474551"/>
      <w:bookmarkStart w:id="1768" w:name="_Toc530475146"/>
      <w:r>
        <w:t>189.</w:t>
      </w:r>
      <w:r>
        <w:tab/>
        <w:t>Costs of process</w:t>
      </w:r>
      <w:bookmarkEnd w:id="1767"/>
      <w:bookmarkEnd w:id="1768"/>
    </w:p>
    <w:p>
      <w:pPr>
        <w:pStyle w:val="nzSubsection"/>
      </w:pPr>
      <w:r>
        <w:tab/>
        <w:t>(1)</w:t>
      </w:r>
      <w:r>
        <w:tab/>
        <w:t>A strata company may charge the proponent of a termination proposal reasonable fees to cover costs associated with undertaking an activity under this Division.</w:t>
      </w:r>
    </w:p>
    <w:p>
      <w:pPr>
        <w:pStyle w:val="nzSubsection"/>
      </w:pPr>
      <w:r>
        <w:tab/>
        <w:t>(2)</w:t>
      </w:r>
      <w:r>
        <w:tab/>
        <w:t>The fees must not exceed any limits imposed by the regulations.</w:t>
      </w:r>
    </w:p>
    <w:p>
      <w:pPr>
        <w:pStyle w:val="nzSubsection"/>
      </w:pPr>
      <w:r>
        <w:tab/>
        <w:t>(3)</w:t>
      </w:r>
      <w:r>
        <w:tab/>
        <w:t>A strata company need not undertake the relevant activity until the fees have been paid.</w:t>
      </w:r>
    </w:p>
    <w:p>
      <w:pPr>
        <w:pStyle w:val="nz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nzHeading5"/>
      </w:pPr>
      <w:bookmarkStart w:id="1769" w:name="_Toc530474552"/>
      <w:bookmarkStart w:id="1770" w:name="_Toc530475147"/>
      <w:r>
        <w:t>190.</w:t>
      </w:r>
      <w:r>
        <w:tab/>
        <w:t>Arrangements for independent advice or representation for owners</w:t>
      </w:r>
      <w:bookmarkEnd w:id="1769"/>
      <w:bookmarkEnd w:id="1770"/>
    </w:p>
    <w:p>
      <w:pPr>
        <w:pStyle w:val="nzSubsection"/>
      </w:pPr>
      <w:r>
        <w:tab/>
        <w:t>(1)</w:t>
      </w:r>
      <w:r>
        <w:tab/>
        <w:t xml:space="preserve">The regulations — </w:t>
      </w:r>
    </w:p>
    <w:p>
      <w:pPr>
        <w:pStyle w:val="nz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nzIndenta"/>
      </w:pPr>
      <w:r>
        <w:tab/>
        <w:t>(b)</w:t>
      </w:r>
      <w:r>
        <w:tab/>
        <w:t xml:space="preserve">must specify arrangements for obtaining fuller or more extensive advice or representation for a class or classes of owner identified in or under the regulations as vulnerable, having regard to — </w:t>
      </w:r>
    </w:p>
    <w:p>
      <w:pPr>
        <w:pStyle w:val="nzIndenti"/>
      </w:pPr>
      <w:r>
        <w:tab/>
        <w:t>(i)</w:t>
      </w:r>
      <w:r>
        <w:tab/>
        <w:t>age, illness, trauma, disability or other factors that may impair the ability of an owner to consider and make an informed decision in relation to a termination proposal; or</w:t>
      </w:r>
    </w:p>
    <w:p>
      <w:pPr>
        <w:pStyle w:val="nzIndenti"/>
      </w:pPr>
      <w:r>
        <w:tab/>
        <w:t>(ii)</w:t>
      </w:r>
      <w:r>
        <w:tab/>
        <w:t>financial disadvantage which would significantly impair the ability of the owner to bear the cost of obtaining appropriate professional advice in relation to a termination proposal.</w:t>
      </w:r>
    </w:p>
    <w:p>
      <w:pPr>
        <w:pStyle w:val="nz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nzSubsection"/>
      </w:pPr>
      <w:r>
        <w:tab/>
        <w:t>(3)</w:t>
      </w:r>
      <w:r>
        <w:tab/>
        <w:t>The regulations may specify terms of a trust referred to in subsection (2).</w:t>
      </w:r>
    </w:p>
    <w:p>
      <w:pPr>
        <w:pStyle w:val="nzHeading3"/>
      </w:pPr>
      <w:bookmarkStart w:id="1771" w:name="_Toc517437754"/>
      <w:bookmarkStart w:id="1772" w:name="_Toc517438296"/>
      <w:bookmarkStart w:id="1773" w:name="_Toc517440633"/>
      <w:bookmarkStart w:id="1774" w:name="_Toc517447670"/>
      <w:bookmarkStart w:id="1775" w:name="_Toc517450148"/>
      <w:bookmarkStart w:id="1776" w:name="_Toc517450690"/>
      <w:bookmarkStart w:id="1777" w:name="_Toc517857146"/>
      <w:bookmarkStart w:id="1778" w:name="_Toc518293273"/>
      <w:bookmarkStart w:id="1779" w:name="_Toc522744501"/>
      <w:bookmarkStart w:id="1780" w:name="_Toc522747624"/>
      <w:bookmarkStart w:id="1781" w:name="_Toc529183462"/>
      <w:bookmarkStart w:id="1782" w:name="_Toc529188225"/>
      <w:bookmarkStart w:id="1783" w:name="_Toc529434738"/>
      <w:bookmarkStart w:id="1784" w:name="_Toc529524629"/>
      <w:bookmarkStart w:id="1785" w:name="_Toc530474553"/>
      <w:bookmarkStart w:id="1786" w:name="_Toc530475148"/>
      <w:r>
        <w:t>Division 4 — Termination by single owner</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nzHeading5"/>
      </w:pPr>
      <w:bookmarkStart w:id="1787" w:name="_Toc530474554"/>
      <w:bookmarkStart w:id="1788" w:name="_Toc530475149"/>
      <w:r>
        <w:t>191.</w:t>
      </w:r>
      <w:r>
        <w:tab/>
        <w:t>Application for termination by single owner</w:t>
      </w:r>
      <w:bookmarkEnd w:id="1787"/>
      <w:bookmarkEnd w:id="1788"/>
    </w:p>
    <w:p>
      <w:pPr>
        <w:pStyle w:val="nz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nzIndenta"/>
      </w:pPr>
      <w:r>
        <w:tab/>
        <w:t>(a)</w:t>
      </w:r>
      <w:r>
        <w:tab/>
        <w:t>a plan of subdivision for the termination of the scheme has been approved (that is, for the parcel to cease being subdivided by a strata titles scheme); and</w:t>
      </w:r>
    </w:p>
    <w:p>
      <w:pPr>
        <w:pStyle w:val="nzIndenta"/>
      </w:pPr>
      <w:r>
        <w:tab/>
        <w:t>(b)</w:t>
      </w:r>
      <w:r>
        <w:tab/>
        <w:t>a diagram or plan of survey has been endorsed with that approval.</w:t>
      </w:r>
    </w:p>
    <w:p>
      <w:pPr>
        <w:pStyle w:val="nzSubsection"/>
      </w:pPr>
      <w:r>
        <w:tab/>
        <w:t>(2)</w:t>
      </w:r>
      <w:r>
        <w:tab/>
        <w:t xml:space="preserve">The </w:t>
      </w:r>
      <w:r>
        <w:rPr>
          <w:i/>
        </w:rPr>
        <w:t>Planning and Development Act 2005</w:t>
      </w:r>
      <w:r>
        <w:t xml:space="preserve"> applies to the required approval subject to —</w:t>
      </w:r>
    </w:p>
    <w:p>
      <w:pPr>
        <w:pStyle w:val="nzIndenta"/>
      </w:pPr>
      <w:r>
        <w:tab/>
        <w:t>(a)</w:t>
      </w:r>
      <w:r>
        <w:tab/>
        <w:t>the modification that a reference to subdivision is to be read as including a reference to termination of a strata titles scheme; and</w:t>
      </w:r>
    </w:p>
    <w:p>
      <w:pPr>
        <w:pStyle w:val="nzIndenta"/>
      </w:pPr>
      <w:r>
        <w:tab/>
        <w:t>(b)</w:t>
      </w:r>
      <w:r>
        <w:tab/>
        <w:t>any other appropriate modifications.</w:t>
      </w:r>
    </w:p>
    <w:p>
      <w:pPr>
        <w:pStyle w:val="nz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nzHeading3"/>
      </w:pPr>
      <w:bookmarkStart w:id="1789" w:name="_Toc517437756"/>
      <w:bookmarkStart w:id="1790" w:name="_Toc517438298"/>
      <w:bookmarkStart w:id="1791" w:name="_Toc517440635"/>
      <w:bookmarkStart w:id="1792" w:name="_Toc517447672"/>
      <w:bookmarkStart w:id="1793" w:name="_Toc517450150"/>
      <w:bookmarkStart w:id="1794" w:name="_Toc517450692"/>
      <w:bookmarkStart w:id="1795" w:name="_Toc517857148"/>
      <w:bookmarkStart w:id="1796" w:name="_Toc518293275"/>
      <w:bookmarkStart w:id="1797" w:name="_Toc522744503"/>
      <w:bookmarkStart w:id="1798" w:name="_Toc522747626"/>
      <w:bookmarkStart w:id="1799" w:name="_Toc529183464"/>
      <w:bookmarkStart w:id="1800" w:name="_Toc529188227"/>
      <w:bookmarkStart w:id="1801" w:name="_Toc529434740"/>
      <w:bookmarkStart w:id="1802" w:name="_Toc529524631"/>
      <w:bookmarkStart w:id="1803" w:name="_Toc530474555"/>
      <w:bookmarkStart w:id="1804" w:name="_Toc530475150"/>
      <w:r>
        <w:t>Division 5 — Directions for winding up of strata company</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nzHeading5"/>
      </w:pPr>
      <w:bookmarkStart w:id="1805" w:name="_Toc530474556"/>
      <w:bookmarkStart w:id="1806" w:name="_Toc530475151"/>
      <w:r>
        <w:t>192.</w:t>
      </w:r>
      <w:r>
        <w:tab/>
        <w:t>Order for directions about winding up of strata company</w:t>
      </w:r>
      <w:bookmarkEnd w:id="1805"/>
      <w:bookmarkEnd w:id="1806"/>
    </w:p>
    <w:p>
      <w:pPr>
        <w:pStyle w:val="nzSubsection"/>
      </w:pPr>
      <w:r>
        <w:tab/>
        <w:t>(1)</w:t>
      </w:r>
      <w:r>
        <w:tab/>
        <w:t>Before a strata titles scheme is terminated, an application may be made to the Tribunal for an order for directions about winding up the strata company by —</w:t>
      </w:r>
    </w:p>
    <w:p>
      <w:pPr>
        <w:pStyle w:val="nzIndenta"/>
      </w:pPr>
      <w:r>
        <w:tab/>
        <w:t>(a)</w:t>
      </w:r>
      <w:r>
        <w:tab/>
        <w:t>an owner of a lot in the scheme; or</w:t>
      </w:r>
    </w:p>
    <w:p>
      <w:pPr>
        <w:pStyle w:val="nzIndenta"/>
      </w:pPr>
      <w:r>
        <w:tab/>
        <w:t>(b)</w:t>
      </w:r>
      <w:r>
        <w:tab/>
        <w:t>a registered mortgagee of a lot in the scheme; or</w:t>
      </w:r>
    </w:p>
    <w:p>
      <w:pPr>
        <w:pStyle w:val="nzIndenta"/>
      </w:pPr>
      <w:r>
        <w:tab/>
        <w:t>(c)</w:t>
      </w:r>
      <w:r>
        <w:tab/>
        <w:t>the strata company; or</w:t>
      </w:r>
    </w:p>
    <w:p>
      <w:pPr>
        <w:pStyle w:val="nzIndenta"/>
      </w:pPr>
      <w:r>
        <w:tab/>
        <w:t>(d)</w:t>
      </w:r>
      <w:r>
        <w:tab/>
        <w:t>a judgement creditor of the strata company; or</w:t>
      </w:r>
    </w:p>
    <w:p>
      <w:pPr>
        <w:pStyle w:val="nzIndenta"/>
      </w:pPr>
      <w:r>
        <w:tab/>
        <w:t>(e)</w:t>
      </w:r>
      <w:r>
        <w:tab/>
        <w:t>for a leasehold scheme, the owner of the leasehold scheme.</w:t>
      </w:r>
    </w:p>
    <w:p>
      <w:pPr>
        <w:pStyle w:val="nzSubsection"/>
      </w:pPr>
      <w:r>
        <w:tab/>
        <w:t>(2)</w:t>
      </w:r>
      <w:r>
        <w:tab/>
        <w:t>If proceedings are before the Tribunal under section 183, the application may be made in those proceedings.</w:t>
      </w:r>
    </w:p>
    <w:p>
      <w:pPr>
        <w:pStyle w:val="nzSubsection"/>
      </w:pPr>
      <w:r>
        <w:tab/>
        <w:t>(3)</w:t>
      </w:r>
      <w:r>
        <w:tab/>
        <w:t>Without limitation, an order under this section may include directions for —</w:t>
      </w:r>
    </w:p>
    <w:p>
      <w:pPr>
        <w:pStyle w:val="nzIndenta"/>
      </w:pPr>
      <w:r>
        <w:tab/>
        <w:t>(a)</w:t>
      </w:r>
      <w:r>
        <w:tab/>
        <w:t>the sale or disposition of property of the strata company (including to whom and how proceeds must be disbursed); or</w:t>
      </w:r>
    </w:p>
    <w:p>
      <w:pPr>
        <w:pStyle w:val="nzIndenta"/>
      </w:pPr>
      <w:r>
        <w:tab/>
        <w:t>(b)</w:t>
      </w:r>
      <w:r>
        <w:tab/>
        <w:t>the discharge of the liabilities of the strata company; or</w:t>
      </w:r>
    </w:p>
    <w:p>
      <w:pPr>
        <w:pStyle w:val="nzIndenta"/>
      </w:pPr>
      <w:r>
        <w:tab/>
        <w:t>(c)</w:t>
      </w:r>
      <w:r>
        <w:tab/>
        <w:t>the administration and functions of the strata company.</w:t>
      </w:r>
    </w:p>
    <w:p>
      <w:pPr>
        <w:pStyle w:val="nz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nzSubsection"/>
      </w:pPr>
      <w:r>
        <w:tab/>
        <w:t>(5)</w:t>
      </w:r>
      <w:r>
        <w:tab/>
        <w:t>The Tribunal may vary an order made under this section on the application of any person who was entitled to appear and be heard on the hearing of the application for the order.</w:t>
      </w:r>
    </w:p>
    <w:p>
      <w:pPr>
        <w:pStyle w:val="nzSubsection"/>
      </w:pPr>
      <w:r>
        <w:tab/>
        <w:t>(6)</w:t>
      </w:r>
      <w:r>
        <w:tab/>
        <w:t>An order under this section prevails over steps specified in a termination proposal for winding up of the strata company to the extent of any inconsistency.</w:t>
      </w:r>
    </w:p>
    <w:p>
      <w:pPr>
        <w:pStyle w:val="nzHeading3"/>
      </w:pPr>
      <w:bookmarkStart w:id="1807" w:name="_Toc517437758"/>
      <w:bookmarkStart w:id="1808" w:name="_Toc517438300"/>
      <w:bookmarkStart w:id="1809" w:name="_Toc517440637"/>
      <w:bookmarkStart w:id="1810" w:name="_Toc517447674"/>
      <w:bookmarkStart w:id="1811" w:name="_Toc517450152"/>
      <w:bookmarkStart w:id="1812" w:name="_Toc517450694"/>
      <w:bookmarkStart w:id="1813" w:name="_Toc517857150"/>
      <w:bookmarkStart w:id="1814" w:name="_Toc518293277"/>
      <w:bookmarkStart w:id="1815" w:name="_Toc522744505"/>
      <w:bookmarkStart w:id="1816" w:name="_Toc522747628"/>
      <w:bookmarkStart w:id="1817" w:name="_Toc529183466"/>
      <w:bookmarkStart w:id="1818" w:name="_Toc529188229"/>
      <w:bookmarkStart w:id="1819" w:name="_Toc529434742"/>
      <w:bookmarkStart w:id="1820" w:name="_Toc529524633"/>
      <w:bookmarkStart w:id="1821" w:name="_Toc530474557"/>
      <w:bookmarkStart w:id="1822" w:name="_Toc530475152"/>
      <w:r>
        <w:t>Division 6 — Notice, application and registration  process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nzHeading5"/>
      </w:pPr>
      <w:bookmarkStart w:id="1823" w:name="_Toc530474558"/>
      <w:bookmarkStart w:id="1824" w:name="_Toc530475153"/>
      <w:r>
        <w:t>193.</w:t>
      </w:r>
      <w:r>
        <w:tab/>
        <w:t>Notice of expiry or application for termination of scheme</w:t>
      </w:r>
      <w:bookmarkEnd w:id="1823"/>
      <w:bookmarkEnd w:id="1824"/>
    </w:p>
    <w:p>
      <w:pPr>
        <w:pStyle w:val="nzSubsection"/>
      </w:pPr>
      <w:r>
        <w:tab/>
        <w:t>(1)</w:t>
      </w:r>
      <w:r>
        <w:tab/>
        <w:t>A notice of the expiry of a leasehold scheme or an application for termination of a strata titles scheme must —</w:t>
      </w:r>
    </w:p>
    <w:p>
      <w:pPr>
        <w:pStyle w:val="nzIndenta"/>
      </w:pPr>
      <w:r>
        <w:tab/>
        <w:t>(a)</w:t>
      </w:r>
      <w:r>
        <w:tab/>
        <w:t>be made to the Registrar of Titles; and</w:t>
      </w:r>
    </w:p>
    <w:p>
      <w:pPr>
        <w:pStyle w:val="nzIndenta"/>
      </w:pPr>
      <w:r>
        <w:tab/>
        <w:t>(b)</w:t>
      </w:r>
      <w:r>
        <w:tab/>
        <w:t>be in the approved form; and</w:t>
      </w:r>
    </w:p>
    <w:p>
      <w:pPr>
        <w:pStyle w:val="nz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nzIndenta"/>
      </w:pPr>
      <w:r>
        <w:tab/>
        <w:t>(d)</w:t>
      </w:r>
      <w:r>
        <w:tab/>
        <w:t>be accompanied by evidence in the approved form that the requirements of this Act for the termination of the scheme have been complied with; and</w:t>
      </w:r>
    </w:p>
    <w:p>
      <w:pPr>
        <w:pStyle w:val="nzIndenta"/>
      </w:pPr>
      <w:r>
        <w:tab/>
        <w:t>(e)</w:t>
      </w:r>
      <w:r>
        <w:tab/>
        <w:t>be accompanied, if applicable, by —</w:t>
      </w:r>
    </w:p>
    <w:p>
      <w:pPr>
        <w:pStyle w:val="nzIndenti"/>
      </w:pPr>
      <w:r>
        <w:tab/>
        <w:t>(i)</w:t>
      </w:r>
      <w:r>
        <w:tab/>
        <w:t>a statement (in the approved form) of how each item registered or recorded for the scheme in the Register is to be dealt with; and</w:t>
      </w:r>
    </w:p>
    <w:p>
      <w:pPr>
        <w:pStyle w:val="nzIndenti"/>
      </w:pPr>
      <w:r>
        <w:tab/>
        <w:t>(ii)</w:t>
      </w:r>
      <w:r>
        <w:tab/>
        <w:t>disposition statements, instruments or documents necessary for that purpose;</w:t>
      </w:r>
    </w:p>
    <w:p>
      <w:pPr>
        <w:pStyle w:val="nzIndenta"/>
      </w:pPr>
      <w:r>
        <w:tab/>
      </w:r>
      <w:r>
        <w:tab/>
        <w:t>and</w:t>
      </w:r>
    </w:p>
    <w:p>
      <w:pPr>
        <w:pStyle w:val="nzIndenta"/>
      </w:pPr>
      <w:r>
        <w:tab/>
        <w:t>(f)</w:t>
      </w:r>
      <w:r>
        <w:tab/>
        <w:t>be accompanied by the fee fixed by the regulations.</w:t>
      </w:r>
    </w:p>
    <w:p>
      <w:pPr>
        <w:pStyle w:val="nz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nzHeading5"/>
      </w:pPr>
      <w:bookmarkStart w:id="1825" w:name="_Toc530474559"/>
      <w:bookmarkStart w:id="1826" w:name="_Toc530475154"/>
      <w:r>
        <w:t>194.</w:t>
      </w:r>
      <w:r>
        <w:tab/>
        <w:t>Registration process for termination of scheme</w:t>
      </w:r>
      <w:bookmarkEnd w:id="1825"/>
      <w:bookmarkEnd w:id="1826"/>
    </w:p>
    <w:p>
      <w:pPr>
        <w:pStyle w:val="nz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nzIndenta"/>
      </w:pPr>
      <w:r>
        <w:tab/>
        <w:t>(a)</w:t>
      </w:r>
      <w:r>
        <w:tab/>
        <w:t>cancel the registration of the strata titles scheme; and</w:t>
      </w:r>
    </w:p>
    <w:p>
      <w:pPr>
        <w:pStyle w:val="nzIndenta"/>
      </w:pPr>
      <w:r>
        <w:tab/>
        <w:t>(b)</w:t>
      </w:r>
      <w:r>
        <w:tab/>
        <w:t>cancel the certificates of title for the lots in the strata titles scheme; and</w:t>
      </w:r>
    </w:p>
    <w:p>
      <w:pPr>
        <w:pStyle w:val="nzIndenta"/>
      </w:pPr>
      <w:r>
        <w:tab/>
        <w:t>(c)</w:t>
      </w:r>
      <w:r>
        <w:tab/>
        <w:t>for a leasehold scheme, record on or in connection with the certificate of title for the parcel the fact that the scheme is terminated.</w:t>
      </w:r>
    </w:p>
    <w:p>
      <w:pPr>
        <w:pStyle w:val="nz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nzIndenta"/>
      </w:pPr>
      <w:r>
        <w:tab/>
        <w:t>(a)</w:t>
      </w:r>
      <w:r>
        <w:tab/>
        <w:t>cancel the registration of the strata titles scheme; and</w:t>
      </w:r>
    </w:p>
    <w:p>
      <w:pPr>
        <w:pStyle w:val="nzIndenta"/>
      </w:pPr>
      <w:r>
        <w:tab/>
        <w:t>(b)</w:t>
      </w:r>
      <w:r>
        <w:tab/>
        <w:t>cancel the certificates of title for the lots in the strata titles scheme; and</w:t>
      </w:r>
    </w:p>
    <w:p>
      <w:pPr>
        <w:pStyle w:val="nzIndenta"/>
      </w:pPr>
      <w:r>
        <w:tab/>
        <w:t>(c)</w:t>
      </w:r>
      <w:r>
        <w:tab/>
        <w:t>record on or in connection with the certificate of title for the parcel the fact that the scheme is terminated.</w:t>
      </w:r>
    </w:p>
    <w:p>
      <w:pPr>
        <w:pStyle w:val="nz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nzHeading5"/>
      </w:pPr>
      <w:bookmarkStart w:id="1827" w:name="_Toc530474560"/>
      <w:bookmarkStart w:id="1828" w:name="_Toc530475155"/>
      <w:r>
        <w:t>195.</w:t>
      </w:r>
      <w:r>
        <w:tab/>
        <w:t>Effect of termination of scheme</w:t>
      </w:r>
      <w:bookmarkEnd w:id="1827"/>
      <w:bookmarkEnd w:id="1828"/>
    </w:p>
    <w:p>
      <w:pPr>
        <w:pStyle w:val="nzSubsection"/>
      </w:pPr>
      <w:r>
        <w:tab/>
        <w:t>(1)</w:t>
      </w:r>
      <w:r>
        <w:tab/>
        <w:t>A strata titles scheme is terminated —</w:t>
      </w:r>
    </w:p>
    <w:p>
      <w:pPr>
        <w:pStyle w:val="nzIndenta"/>
      </w:pPr>
      <w:r>
        <w:tab/>
        <w:t>(a)</w:t>
      </w:r>
      <w:r>
        <w:tab/>
        <w:t>for a leasehold scheme —</w:t>
      </w:r>
    </w:p>
    <w:p>
      <w:pPr>
        <w:pStyle w:val="nzIndenti"/>
      </w:pPr>
      <w:r>
        <w:tab/>
        <w:t>(i)</w:t>
      </w:r>
      <w:r>
        <w:tab/>
        <w:t>at the end of the expiry day for the scheme; or</w:t>
      </w:r>
    </w:p>
    <w:p>
      <w:pPr>
        <w:pStyle w:val="nzIndenti"/>
      </w:pPr>
      <w:r>
        <w:tab/>
        <w:t>(ii)</w:t>
      </w:r>
      <w:r>
        <w:tab/>
        <w:t>if the registration of the scheme is cancelled before that day, when the cancellation of the registration of the scheme is registered or recorded by the Registrar of Titles;</w:t>
      </w:r>
    </w:p>
    <w:p>
      <w:pPr>
        <w:pStyle w:val="nzIndenta"/>
      </w:pPr>
      <w:r>
        <w:tab/>
      </w:r>
      <w:r>
        <w:tab/>
        <w:t>or</w:t>
      </w:r>
    </w:p>
    <w:p>
      <w:pPr>
        <w:pStyle w:val="nzIndenta"/>
      </w:pPr>
      <w:r>
        <w:tab/>
        <w:t>(b)</w:t>
      </w:r>
      <w:r>
        <w:tab/>
        <w:t>for a freehold scheme, when cancellation of the registration of the scheme is registered or recorded by the Registrar of Titles.</w:t>
      </w:r>
    </w:p>
    <w:p>
      <w:pPr>
        <w:pStyle w:val="nzSubsection"/>
      </w:pPr>
      <w:r>
        <w:tab/>
        <w:t>(2)</w:t>
      </w:r>
      <w:r>
        <w:tab/>
        <w:t>On termination of a strata titles scheme, the following occur —</w:t>
      </w:r>
    </w:p>
    <w:p>
      <w:pPr>
        <w:pStyle w:val="nzIndenta"/>
      </w:pPr>
      <w:r>
        <w:tab/>
        <w:t>(a)</w:t>
      </w:r>
      <w:r>
        <w:tab/>
        <w:t>the scheme documents cease to have any effect;</w:t>
      </w:r>
    </w:p>
    <w:p>
      <w:pPr>
        <w:pStyle w:val="nzIndenta"/>
      </w:pPr>
      <w:r>
        <w:tab/>
        <w:t>(b)</w:t>
      </w:r>
      <w:r>
        <w:tab/>
        <w:t>the lots and common property cease to exist;</w:t>
      </w:r>
    </w:p>
    <w:p>
      <w:pPr>
        <w:pStyle w:val="nzIndenta"/>
      </w:pPr>
      <w:r>
        <w:tab/>
        <w:t>(c)</w:t>
      </w:r>
      <w:r>
        <w:tab/>
        <w:t>the land becomes a parcel of land that is not subdivided by a strata titles scheme;</w:t>
      </w:r>
    </w:p>
    <w:p>
      <w:pPr>
        <w:pStyle w:val="nzIndenta"/>
      </w:pPr>
      <w:r>
        <w:tab/>
        <w:t>(d)</w:t>
      </w:r>
      <w:r>
        <w:tab/>
        <w:t>for a leasehold scheme —</w:t>
      </w:r>
    </w:p>
    <w:p>
      <w:pPr>
        <w:pStyle w:val="nzIndenti"/>
      </w:pPr>
      <w:r>
        <w:tab/>
        <w:t>(i)</w:t>
      </w:r>
      <w:r>
        <w:tab/>
        <w:t>the person who was the owner of the leasehold scheme immediately before termination becomes the owner of the parcel of land and is entitled to vacant possession of the land; and</w:t>
      </w:r>
    </w:p>
    <w:p>
      <w:pPr>
        <w:pStyle w:val="nz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nz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nzIndenta"/>
      </w:pPr>
      <w:r>
        <w:tab/>
        <w:t>(f)</w:t>
      </w:r>
      <w:r>
        <w:tab/>
        <w:t>the strata company ceases to exist;</w:t>
      </w:r>
    </w:p>
    <w:p>
      <w:pPr>
        <w:pStyle w:val="nzIndenta"/>
      </w:pPr>
      <w:r>
        <w:tab/>
        <w:t>(g)</w:t>
      </w:r>
      <w:r>
        <w:tab/>
        <w:t>all rights vested in the strata company immediately before it ceased to exist are vested in the persons who become the owners of the parcel of land on termination of the scheme;</w:t>
      </w:r>
    </w:p>
    <w:p>
      <w:pPr>
        <w:pStyle w:val="nz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nzIndenta"/>
      </w:pPr>
      <w:r>
        <w:tab/>
        <w:t>(i)</w:t>
      </w:r>
      <w:r>
        <w:tab/>
        <w:t>legal proceedings begun by or against the strata company may be completed by or against the persons who were owners of lots in the scheme immediately before its termination.</w:t>
      </w:r>
    </w:p>
    <w:p>
      <w:pPr>
        <w:pStyle w:val="nz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nzHeading3"/>
      </w:pPr>
      <w:bookmarkStart w:id="1829" w:name="_Toc517437762"/>
      <w:bookmarkStart w:id="1830" w:name="_Toc517438304"/>
      <w:bookmarkStart w:id="1831" w:name="_Toc517440641"/>
      <w:bookmarkStart w:id="1832" w:name="_Toc517447678"/>
      <w:bookmarkStart w:id="1833" w:name="_Toc517450156"/>
      <w:bookmarkStart w:id="1834" w:name="_Toc517450698"/>
      <w:bookmarkStart w:id="1835" w:name="_Toc517857154"/>
      <w:bookmarkStart w:id="1836" w:name="_Toc518293281"/>
      <w:bookmarkStart w:id="1837" w:name="_Toc522744509"/>
      <w:bookmarkStart w:id="1838" w:name="_Toc522747632"/>
      <w:bookmarkStart w:id="1839" w:name="_Toc529183470"/>
      <w:bookmarkStart w:id="1840" w:name="_Toc529188233"/>
      <w:bookmarkStart w:id="1841" w:name="_Toc529434746"/>
      <w:bookmarkStart w:id="1842" w:name="_Toc529524637"/>
      <w:bookmarkStart w:id="1843" w:name="_Toc530474561"/>
      <w:bookmarkStart w:id="1844" w:name="_Toc530475156"/>
      <w:r>
        <w:t>Division 7 — Termination on compulsory acquisition</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nzHeading2"/>
      </w:pPr>
      <w:bookmarkStart w:id="1845" w:name="_Toc517437763"/>
      <w:bookmarkStart w:id="1846" w:name="_Toc517438305"/>
      <w:bookmarkStart w:id="1847" w:name="_Toc517440642"/>
      <w:bookmarkStart w:id="1848" w:name="_Toc517447679"/>
      <w:bookmarkStart w:id="1849" w:name="_Toc517450157"/>
      <w:bookmarkStart w:id="1850" w:name="_Toc517450699"/>
      <w:bookmarkStart w:id="1851" w:name="_Toc517857155"/>
      <w:bookmarkStart w:id="1852" w:name="_Toc518293282"/>
      <w:bookmarkStart w:id="1853" w:name="_Toc522744510"/>
      <w:bookmarkStart w:id="1854" w:name="_Toc522747633"/>
      <w:bookmarkStart w:id="1855" w:name="_Toc529183471"/>
      <w:bookmarkStart w:id="1856" w:name="_Toc529188234"/>
      <w:bookmarkStart w:id="1857" w:name="_Toc529434747"/>
      <w:bookmarkStart w:id="1858" w:name="_Toc529524638"/>
      <w:bookmarkStart w:id="1859" w:name="_Toc530474562"/>
      <w:bookmarkStart w:id="1860" w:name="_Toc530475157"/>
      <w:r>
        <w:t>Part 13</w:t>
      </w:r>
      <w:r>
        <w:rPr>
          <w:b w:val="0"/>
        </w:rPr>
        <w:t> </w:t>
      </w:r>
      <w:r>
        <w:t>—</w:t>
      </w:r>
      <w:r>
        <w:rPr>
          <w:b w:val="0"/>
        </w:rPr>
        <w:t> </w:t>
      </w:r>
      <w:r>
        <w:t>Tribunal proceedings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nzHeading5"/>
      </w:pPr>
      <w:bookmarkStart w:id="1861" w:name="_Toc530474563"/>
      <w:bookmarkStart w:id="1862" w:name="_Toc530475158"/>
      <w:r>
        <w:t>197.</w:t>
      </w:r>
      <w:r>
        <w:tab/>
        <w:t>Scheme disputes</w:t>
      </w:r>
      <w:bookmarkEnd w:id="1861"/>
      <w:bookmarkEnd w:id="1862"/>
    </w:p>
    <w:p>
      <w:pPr>
        <w:pStyle w:val="nzSubsection"/>
      </w:pPr>
      <w:r>
        <w:tab/>
        <w:t>(1)</w:t>
      </w:r>
      <w:r>
        <w:tab/>
        <w:t>This Part provides for resolution by the Tribunal of the following disputes (</w:t>
      </w:r>
      <w:r>
        <w:rPr>
          <w:rStyle w:val="CharDefText"/>
        </w:rPr>
        <w:t>scheme disputes</w:t>
      </w:r>
      <w:r>
        <w:t>) —</w:t>
      </w:r>
    </w:p>
    <w:p>
      <w:pPr>
        <w:pStyle w:val="nzIndenta"/>
      </w:pPr>
      <w:r>
        <w:tab/>
        <w:t>(a)</w:t>
      </w:r>
      <w:r>
        <w:tab/>
        <w:t>a dispute between scheme participants about —</w:t>
      </w:r>
    </w:p>
    <w:p>
      <w:pPr>
        <w:pStyle w:val="nzIndenti"/>
      </w:pPr>
      <w:r>
        <w:tab/>
        <w:t>(i)</w:t>
      </w:r>
      <w:r>
        <w:tab/>
        <w:t>the scheme documents, including the validity of scheme by</w:t>
      </w:r>
      <w:r>
        <w:noBreakHyphen/>
        <w:t>laws; or</w:t>
      </w:r>
    </w:p>
    <w:p>
      <w:pPr>
        <w:pStyle w:val="nzIndenti"/>
      </w:pPr>
      <w:r>
        <w:tab/>
        <w:t>(ii)</w:t>
      </w:r>
      <w:r>
        <w:tab/>
        <w:t>the performance of, or the failure to perform, a function conferred or imposed on a person by this Act or the scheme by</w:t>
      </w:r>
      <w:r>
        <w:noBreakHyphen/>
        <w:t>laws; or</w:t>
      </w:r>
    </w:p>
    <w:p>
      <w:pPr>
        <w:pStyle w:val="nzIndenti"/>
      </w:pPr>
      <w:r>
        <w:tab/>
        <w:t>(iii)</w:t>
      </w:r>
      <w:r>
        <w:tab/>
        <w:t>an alleged contravention of this Act (other than an offence); or</w:t>
      </w:r>
    </w:p>
    <w:p>
      <w:pPr>
        <w:pStyle w:val="nzIndenti"/>
      </w:pPr>
      <w:r>
        <w:tab/>
        <w:t>(iv)</w:t>
      </w:r>
      <w:r>
        <w:tab/>
        <w:t>a resolution or decision of a strata company or the council of a strata company, including its validity; or</w:t>
      </w:r>
    </w:p>
    <w:p>
      <w:pPr>
        <w:pStyle w:val="nzIndenti"/>
      </w:pPr>
      <w:r>
        <w:tab/>
        <w:t>(v)</w:t>
      </w:r>
      <w:r>
        <w:tab/>
        <w:t>the appointment or election of a member of the council or an officer of a strata company, including its validity; or</w:t>
      </w:r>
    </w:p>
    <w:p>
      <w:pPr>
        <w:pStyle w:val="nzIndenti"/>
      </w:pPr>
      <w:r>
        <w:tab/>
        <w:t>(vi)</w:t>
      </w:r>
      <w:r>
        <w:tab/>
        <w:t>any other matter arising under this Act or the scheme by</w:t>
      </w:r>
      <w:r>
        <w:noBreakHyphen/>
        <w:t>laws;</w:t>
      </w:r>
    </w:p>
    <w:p>
      <w:pPr>
        <w:pStyle w:val="nz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nz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nzIndenta"/>
      </w:pPr>
      <w:r>
        <w:tab/>
        <w:t>(d)</w:t>
      </w:r>
      <w:r>
        <w:tab/>
        <w:t>a dispute between an infrastructure owner and a strata company about a matter connected with a common property (</w:t>
      </w:r>
      <w:r>
        <w:rPr>
          <w:rStyle w:val="CharDefText"/>
        </w:rPr>
        <w:t>utility and sustainability infrastructure</w:t>
      </w:r>
      <w:r>
        <w:t>) easement;</w:t>
      </w:r>
    </w:p>
    <w:p>
      <w:pPr>
        <w:pStyle w:val="nzIndenta"/>
      </w:pPr>
      <w:r>
        <w:tab/>
        <w:t>(e)</w:t>
      </w:r>
      <w:r>
        <w:tab/>
        <w:t>a dispute between the scheme developer of a subdivision of land by a strata titles scheme and a strata company about a matter arising under Part 6;</w:t>
      </w:r>
    </w:p>
    <w:p>
      <w:pPr>
        <w:pStyle w:val="nzIndenta"/>
      </w:pPr>
      <w:r>
        <w:tab/>
        <w:t>(f)</w:t>
      </w:r>
      <w:r>
        <w:tab/>
        <w:t>a dispute between an applicant under section 107 and the strata company about a matter arising under Part 8 Division 1 Subdivision 6;</w:t>
      </w:r>
    </w:p>
    <w:p>
      <w:pPr>
        <w:pStyle w:val="nzIndenta"/>
      </w:pPr>
      <w:r>
        <w:tab/>
        <w:t>(g)</w:t>
      </w:r>
      <w:r>
        <w:tab/>
        <w:t>a dispute between a strata manager, or former strata manager, of a strata company and the strata company about —</w:t>
      </w:r>
    </w:p>
    <w:p>
      <w:pPr>
        <w:pStyle w:val="nzIndenti"/>
      </w:pPr>
      <w:r>
        <w:tab/>
        <w:t>(i)</w:t>
      </w:r>
      <w:r>
        <w:tab/>
        <w:t>a matter arising under Part 9; or</w:t>
      </w:r>
    </w:p>
    <w:p>
      <w:pPr>
        <w:pStyle w:val="nzIndenti"/>
      </w:pPr>
      <w:r>
        <w:tab/>
        <w:t>(ii)</w:t>
      </w:r>
      <w:r>
        <w:tab/>
        <w:t>the strata management contract; or</w:t>
      </w:r>
    </w:p>
    <w:p>
      <w:pPr>
        <w:pStyle w:val="nzIndenti"/>
      </w:pPr>
      <w:r>
        <w:tab/>
        <w:t>(iii)</w:t>
      </w:r>
      <w:r>
        <w:tab/>
        <w:t>the performance of, or the failure to perform, a function conferred or imposed on the strata manager;</w:t>
      </w:r>
    </w:p>
    <w:p>
      <w:pPr>
        <w:pStyle w:val="nzIndenta"/>
      </w:pPr>
      <w:r>
        <w:tab/>
        <w:t>(h)</w:t>
      </w:r>
      <w:r>
        <w:tab/>
        <w:t>a dispute between a buyer or prospective buyer of a lot in a strata titles scheme and the seller of the lot about a matter arising under Part 10;</w:t>
      </w:r>
    </w:p>
    <w:p>
      <w:pPr>
        <w:pStyle w:val="nzIndenta"/>
      </w:pPr>
      <w:r>
        <w:tab/>
        <w:t>(i)</w:t>
      </w:r>
      <w:r>
        <w:tab/>
        <w:t>a dispute of a class specified in the regulations.</w:t>
      </w:r>
    </w:p>
    <w:p>
      <w:pPr>
        <w:pStyle w:val="nzSubsection"/>
      </w:pPr>
      <w:r>
        <w:tab/>
        <w:t>(2)</w:t>
      </w:r>
      <w:r>
        <w:tab/>
        <w:t xml:space="preserve">The following are </w:t>
      </w:r>
      <w:r>
        <w:rPr>
          <w:rStyle w:val="CharDefText"/>
        </w:rPr>
        <w:t>scheme participants</w:t>
      </w:r>
      <w:r>
        <w:t> —</w:t>
      </w:r>
    </w:p>
    <w:p>
      <w:pPr>
        <w:pStyle w:val="nzIndenta"/>
      </w:pPr>
      <w:r>
        <w:tab/>
        <w:t>(a)</w:t>
      </w:r>
      <w:r>
        <w:tab/>
        <w:t>the strata company for the strata titles scheme;</w:t>
      </w:r>
    </w:p>
    <w:p>
      <w:pPr>
        <w:pStyle w:val="nzIndenta"/>
      </w:pPr>
      <w:r>
        <w:tab/>
        <w:t>(b)</w:t>
      </w:r>
      <w:r>
        <w:tab/>
        <w:t>for a leasehold scheme, the owner of the leasehold scheme;</w:t>
      </w:r>
    </w:p>
    <w:p>
      <w:pPr>
        <w:pStyle w:val="nzIndenta"/>
      </w:pPr>
      <w:r>
        <w:tab/>
        <w:t>(c)</w:t>
      </w:r>
      <w:r>
        <w:tab/>
        <w:t>a person who is appointed as an administrator of a strata company for the strata titles scheme;</w:t>
      </w:r>
    </w:p>
    <w:p>
      <w:pPr>
        <w:pStyle w:val="nzIndenta"/>
      </w:pPr>
      <w:r>
        <w:tab/>
        <w:t>(d)</w:t>
      </w:r>
      <w:r>
        <w:tab/>
        <w:t>a member of the strata company for the strata titles scheme;</w:t>
      </w:r>
    </w:p>
    <w:p>
      <w:pPr>
        <w:pStyle w:val="nzIndenta"/>
      </w:pPr>
      <w:r>
        <w:tab/>
        <w:t>(e)</w:t>
      </w:r>
      <w:r>
        <w:tab/>
        <w:t>the occupier of a lot in the strata titles scheme;</w:t>
      </w:r>
    </w:p>
    <w:p>
      <w:pPr>
        <w:pStyle w:val="nzIndenta"/>
      </w:pPr>
      <w:r>
        <w:tab/>
        <w:t>(f)</w:t>
      </w:r>
      <w:r>
        <w:tab/>
        <w:t>the registered mortgagee of a lot in the strata titles scheme;</w:t>
      </w:r>
    </w:p>
    <w:p>
      <w:pPr>
        <w:pStyle w:val="nzIndenta"/>
      </w:pPr>
      <w:r>
        <w:tab/>
        <w:t>(g)</w:t>
      </w:r>
      <w:r>
        <w:tab/>
        <w:t>a member of the council of a strata company, or an officer of the strata company, for the strata titles scheme, who is not a member of the strata company.</w:t>
      </w:r>
    </w:p>
    <w:p>
      <w:pPr>
        <w:pStyle w:val="nzSubsection"/>
      </w:pPr>
      <w:r>
        <w:tab/>
        <w:t>(3)</w:t>
      </w:r>
      <w:r>
        <w:tab/>
        <w:t xml:space="preserve">The following are not </w:t>
      </w:r>
      <w:r>
        <w:rPr>
          <w:rStyle w:val="CharDefText"/>
        </w:rPr>
        <w:t>scheme disputes</w:t>
      </w:r>
      <w:r>
        <w:t> —</w:t>
      </w:r>
    </w:p>
    <w:p>
      <w:pPr>
        <w:pStyle w:val="nz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nzIndenta"/>
      </w:pPr>
      <w:r>
        <w:tab/>
        <w:t>(b)</w:t>
      </w:r>
      <w:r>
        <w:tab/>
        <w:t>a dispute with the Registrar of Titles;</w:t>
      </w:r>
    </w:p>
    <w:p>
      <w:pPr>
        <w:pStyle w:val="nzIndenta"/>
      </w:pPr>
      <w:r>
        <w:tab/>
        <w:t>(c)</w:t>
      </w:r>
      <w:r>
        <w:tab/>
        <w:t>a dispute with the Valuer</w:t>
      </w:r>
      <w:r>
        <w:noBreakHyphen/>
        <w:t>General or a rating or taxing authority;</w:t>
      </w:r>
    </w:p>
    <w:p>
      <w:pPr>
        <w:pStyle w:val="nzIndenta"/>
      </w:pPr>
      <w:r>
        <w:tab/>
        <w:t>(d)</w:t>
      </w:r>
      <w:r>
        <w:tab/>
        <w:t>a dispute about a contract of mortgage insurance under section 84;</w:t>
      </w:r>
    </w:p>
    <w:p>
      <w:pPr>
        <w:pStyle w:val="nzIndenta"/>
      </w:pPr>
      <w:r>
        <w:tab/>
        <w:t>(e)</w:t>
      </w:r>
      <w:r>
        <w:tab/>
        <w:t>a contractual dispute, or a dispute about an estate or interest in land, between —</w:t>
      </w:r>
    </w:p>
    <w:p>
      <w:pPr>
        <w:pStyle w:val="nzIndenti"/>
      </w:pPr>
      <w:r>
        <w:tab/>
        <w:t>(i)</w:t>
      </w:r>
      <w:r>
        <w:tab/>
        <w:t>a scheme participant and a person who is not a scheme participant (other than a dispute arising out of termination of a contract under section 115); or</w:t>
      </w:r>
    </w:p>
    <w:p>
      <w:pPr>
        <w:pStyle w:val="nzIndenti"/>
      </w:pPr>
      <w:r>
        <w:tab/>
        <w:t>(ii)</w:t>
      </w:r>
      <w:r>
        <w:tab/>
        <w:t>the owner of a lot and a buyer, mortgagee or prospective buyer or mortgagee of the lot (other than a dispute of a kind referred to in subsection (1)(f) or (h));</w:t>
      </w:r>
    </w:p>
    <w:p>
      <w:pPr>
        <w:pStyle w:val="nzIndenta"/>
      </w:pPr>
      <w:r>
        <w:tab/>
        <w:t>(f)</w:t>
      </w:r>
      <w:r>
        <w:tab/>
        <w:t>a dispute about an amount owed as a debt (other than a debt owed under section 99(2) or clause 53E);</w:t>
      </w:r>
    </w:p>
    <w:p>
      <w:pPr>
        <w:pStyle w:val="nzIndenta"/>
      </w:pPr>
      <w:r>
        <w:tab/>
        <w:t>(g)</w:t>
      </w:r>
      <w:r>
        <w:tab/>
        <w:t>a dispute of a kind declared by the regulations not to be a scheme dispute.</w:t>
      </w:r>
    </w:p>
    <w:p>
      <w:pPr>
        <w:pStyle w:val="nzSubsection"/>
      </w:pPr>
      <w:r>
        <w:tab/>
        <w:t>(4)</w:t>
      </w:r>
      <w:r>
        <w:tab/>
        <w:t>An application for resolution of a scheme dispute can be made to the Tribunal by a party to the dispute.</w:t>
      </w:r>
    </w:p>
    <w:p>
      <w:pPr>
        <w:pStyle w:val="nzSubsection"/>
      </w:pPr>
      <w:r>
        <w:tab/>
        <w:t>(5)</w:t>
      </w:r>
      <w:r>
        <w:tab/>
        <w:t>However, the occupier of a lot in a strata titles scheme can only apply for resolution of a scheme dispute under subsection (1)(a) if the dispute is about —</w:t>
      </w:r>
    </w:p>
    <w:p>
      <w:pPr>
        <w:pStyle w:val="nzIndenta"/>
      </w:pPr>
      <w:r>
        <w:tab/>
        <w:t>(a)</w:t>
      </w:r>
      <w:r>
        <w:tab/>
        <w:t>the scheme by</w:t>
      </w:r>
      <w:r>
        <w:noBreakHyphen/>
        <w:t>laws; or</w:t>
      </w:r>
    </w:p>
    <w:p>
      <w:pPr>
        <w:pStyle w:val="nzIndenta"/>
      </w:pPr>
      <w:r>
        <w:tab/>
        <w:t>(b)</w:t>
      </w:r>
      <w:r>
        <w:tab/>
        <w:t>a resolution or decision of the strata company that directly affects the occupier; or</w:t>
      </w:r>
    </w:p>
    <w:p>
      <w:pPr>
        <w:pStyle w:val="nzIndenta"/>
      </w:pPr>
      <w:r>
        <w:tab/>
        <w:t>(c)</w:t>
      </w:r>
      <w:r>
        <w:tab/>
        <w:t>an obligation or right of the occupier under this Act or the scheme by</w:t>
      </w:r>
      <w:r>
        <w:noBreakHyphen/>
        <w:t>laws.</w:t>
      </w:r>
    </w:p>
    <w:p>
      <w:pPr>
        <w:pStyle w:val="nzHeading5"/>
      </w:pPr>
      <w:bookmarkStart w:id="1863" w:name="_Toc530474564"/>
      <w:bookmarkStart w:id="1864" w:name="_Toc530475159"/>
      <w:r>
        <w:t>198.</w:t>
      </w:r>
      <w:r>
        <w:tab/>
        <w:t>Procedure</w:t>
      </w:r>
      <w:bookmarkEnd w:id="1863"/>
      <w:bookmarkEnd w:id="1864"/>
    </w:p>
    <w:p>
      <w:pPr>
        <w:pStyle w:val="nzSubsection"/>
      </w:pPr>
      <w:r>
        <w:tab/>
        <w:t>(1)</w:t>
      </w:r>
      <w:r>
        <w:tab/>
        <w:t>The Tribunal may, on application by a member of a strata company, if it is satisfied that a strata company has unreasonably refused to make an application to the Tribunal under this Act —</w:t>
      </w:r>
    </w:p>
    <w:p>
      <w:pPr>
        <w:pStyle w:val="nzIndenta"/>
      </w:pPr>
      <w:r>
        <w:tab/>
        <w:t>(a)</w:t>
      </w:r>
      <w:r>
        <w:tab/>
        <w:t>authorise the member to make the application on behalf of the strata company; and</w:t>
      </w:r>
    </w:p>
    <w:p>
      <w:pPr>
        <w:pStyle w:val="nzIndenta"/>
      </w:pPr>
      <w:r>
        <w:tab/>
        <w:t>(b)</w:t>
      </w:r>
      <w:r>
        <w:tab/>
        <w:t>authorise expenditure up to a specified amount from a fund of the strata company for legal advice and legal action for the proceeding.</w:t>
      </w:r>
    </w:p>
    <w:p>
      <w:pPr>
        <w:pStyle w:val="nz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nzIndenta"/>
      </w:pPr>
      <w:r>
        <w:tab/>
        <w:t>(a)</w:t>
      </w:r>
      <w:r>
        <w:tab/>
        <w:t>each member of the strata company;</w:t>
      </w:r>
    </w:p>
    <w:p>
      <w:pPr>
        <w:pStyle w:val="nzIndenta"/>
      </w:pPr>
      <w:r>
        <w:tab/>
        <w:t>(b)</w:t>
      </w:r>
      <w:r>
        <w:tab/>
        <w:t>each mortgagee of a lot who has given written notice of the mortgagee’s interest to the strata company;</w:t>
      </w:r>
    </w:p>
    <w:p>
      <w:pPr>
        <w:pStyle w:val="nzIndenta"/>
      </w:pPr>
      <w:r>
        <w:tab/>
        <w:t>(c)</w:t>
      </w:r>
      <w:r>
        <w:tab/>
        <w:t>the occupier of each lot in the strata titles scheme that would be affected if the order sought were made.</w:t>
      </w:r>
    </w:p>
    <w:p>
      <w:pPr>
        <w:pStyle w:val="nz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nzSubsection"/>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nzIndenta"/>
      </w:pPr>
      <w:r>
        <w:tab/>
        <w:t>(a)</w:t>
      </w:r>
      <w:r>
        <w:tab/>
        <w:t>the entitlement is to a copy of the application unless there is an approved form for the purpose, in which case, the entitlement is to notice in the approved form; and</w:t>
      </w:r>
    </w:p>
    <w:p>
      <w:pPr>
        <w:pStyle w:val="nzIndenta"/>
      </w:pPr>
      <w:r>
        <w:tab/>
        <w:t>(b)</w:t>
      </w:r>
      <w:r>
        <w:tab/>
        <w:t>if the applicant is not the strata company —</w:t>
      </w:r>
    </w:p>
    <w:p>
      <w:pPr>
        <w:pStyle w:val="nzIndenti"/>
      </w:pPr>
      <w:r>
        <w:tab/>
        <w:t>(i)</w:t>
      </w:r>
      <w:r>
        <w:tab/>
        <w:t>the obligation to give a copy of, or notice of, the application to the persons entitled under subsection (2) falls on the strata company rather than on the applicant; and</w:t>
      </w:r>
    </w:p>
    <w:p>
      <w:pPr>
        <w:pStyle w:val="nzIndenti"/>
      </w:pPr>
      <w:r>
        <w:tab/>
        <w:t>(ii)</w:t>
      </w:r>
      <w:r>
        <w:tab/>
        <w:t>section 45(3) of that Act applies as if the strata company were the applicant.</w:t>
      </w:r>
    </w:p>
    <w:p>
      <w:pPr>
        <w:pStyle w:val="nz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nzIndenta"/>
      </w:pPr>
      <w:r>
        <w:tab/>
        <w:t>(a)</w:t>
      </w:r>
      <w:r>
        <w:tab/>
        <w:t>is not satisfied that the nature of the dispute is more than trivial; or</w:t>
      </w:r>
    </w:p>
    <w:p>
      <w:pPr>
        <w:pStyle w:val="nzIndenta"/>
      </w:pPr>
      <w:r>
        <w:tab/>
        <w:t>(b)</w:t>
      </w:r>
      <w:r>
        <w:tab/>
        <w:t>is not satisfied that the applicant has an interest in the matter that is more than trivial and warrants recourse by the applicant to the Tribunal; or</w:t>
      </w:r>
    </w:p>
    <w:p>
      <w:pPr>
        <w:pStyle w:val="nzIndenta"/>
      </w:pPr>
      <w:r>
        <w:tab/>
        <w:t>(c)</w:t>
      </w:r>
      <w:r>
        <w:tab/>
        <w:t>is satisfied that the purpose of the application is to harass or annoy, or to cause delay or detriment, or is otherwise wrongful; or</w:t>
      </w:r>
    </w:p>
    <w:p>
      <w:pPr>
        <w:pStyle w:val="nzIndenta"/>
      </w:pPr>
      <w:r>
        <w:tab/>
        <w:t>(d)</w:t>
      </w:r>
      <w:r>
        <w:tab/>
        <w:t>is satisfied that the nature and gravity of the dispute is such that it is reasonable to expect the parties to resolve the dispute without recourse to the Tribunal.</w:t>
      </w:r>
    </w:p>
    <w:p>
      <w:pPr>
        <w:pStyle w:val="nzSubsection"/>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nzPermNoteHeading"/>
      </w:pPr>
      <w:r>
        <w:tab/>
        <w:t>Note for this section:</w:t>
      </w:r>
    </w:p>
    <w:p>
      <w:pPr>
        <w:pStyle w:val="nzPermNoteText"/>
      </w:pPr>
      <w:r>
        <w:tab/>
      </w:r>
      <w:r>
        <w:tab/>
        <w:t xml:space="preserve">Under the </w:t>
      </w:r>
      <w:r>
        <w:rPr>
          <w:i/>
        </w:rPr>
        <w:t>State Administrative Tribunal Act 2004</w:t>
      </w:r>
      <w:r>
        <w:t xml:space="preserve"> Part 4 Division 2 the Tribunal may, amongst other things —</w:t>
      </w:r>
    </w:p>
    <w:p>
      <w:pPr>
        <w:pStyle w:val="nzPermNoteText"/>
      </w:pPr>
      <w:r>
        <w:tab/>
      </w:r>
      <w:r>
        <w:tab/>
        <w:t>strike out all, or any part, of a proceeding if it considers that the matter, or any aspect of it, would be more appropriately dealt with by another tribunal, a court or any other person; or</w:t>
      </w:r>
    </w:p>
    <w:p>
      <w:pPr>
        <w:pStyle w:val="nzPermNoteText"/>
      </w:pPr>
      <w:r>
        <w:tab/>
      </w:r>
      <w:r>
        <w:tab/>
        <w:t>dismiss or strike out a proceeding if it believes that it is frivolous, vexatious, misconceived or lacking in substance, is being used for an improper purpose or is otherwise an abuse of process; or</w:t>
      </w:r>
    </w:p>
    <w:p>
      <w:pPr>
        <w:pStyle w:val="nzPermNoteText"/>
      </w:pPr>
      <w:r>
        <w:tab/>
      </w:r>
      <w:r>
        <w:tab/>
        <w:t>direct that proceedings be consolidated or split.</w:t>
      </w:r>
    </w:p>
    <w:p>
      <w:pPr>
        <w:pStyle w:val="nzPermNoteText"/>
      </w:pPr>
      <w:r>
        <w:tab/>
      </w:r>
      <w:r>
        <w:tab/>
        <w:t>Under section 38 of that Act, the Tribunal may order that a person be joined as a party to a proceeding.</w:t>
      </w:r>
    </w:p>
    <w:p>
      <w:pPr>
        <w:pStyle w:val="nzHeading5"/>
      </w:pPr>
      <w:bookmarkStart w:id="1865" w:name="_Toc530474565"/>
      <w:bookmarkStart w:id="1866" w:name="_Toc530475160"/>
      <w:r>
        <w:t>199.</w:t>
      </w:r>
      <w:r>
        <w:tab/>
        <w:t>Declarations</w:t>
      </w:r>
      <w:bookmarkEnd w:id="1865"/>
      <w:bookmarkEnd w:id="1866"/>
    </w:p>
    <w:p>
      <w:pPr>
        <w:pStyle w:val="nz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nzSubsection"/>
      </w:pPr>
      <w:r>
        <w:tab/>
        <w:t>(2)</w:t>
      </w:r>
      <w:r>
        <w:tab/>
        <w:t>The Tribunal’s power to make a declaration is exercisable only by a legally qualified member (or by the Tribunal constituted of a legally qualified member and other members).</w:t>
      </w:r>
    </w:p>
    <w:p>
      <w:pPr>
        <w:pStyle w:val="nzSubsection"/>
      </w:pPr>
      <w:r>
        <w:tab/>
        <w:t>(3)</w:t>
      </w:r>
      <w:r>
        <w:tab/>
        <w:t>Without limitation, a declaration may be made that —</w:t>
      </w:r>
    </w:p>
    <w:p>
      <w:pPr>
        <w:pStyle w:val="nzIndenta"/>
      </w:pPr>
      <w:r>
        <w:tab/>
        <w:t>(a)</w:t>
      </w:r>
      <w:r>
        <w:tab/>
        <w:t>a specified person has or has not contravened a specified provision of this Act, the scheme by</w:t>
      </w:r>
      <w:r>
        <w:noBreakHyphen/>
        <w:t>laws or a strata lease; or</w:t>
      </w:r>
    </w:p>
    <w:p>
      <w:pPr>
        <w:pStyle w:val="nzIndenta"/>
      </w:pPr>
      <w:r>
        <w:tab/>
        <w:t>(b)</w:t>
      </w:r>
      <w:r>
        <w:tab/>
        <w:t>a specified clause of a strata lease is or is not invalid; or</w:t>
      </w:r>
    </w:p>
    <w:p>
      <w:pPr>
        <w:pStyle w:val="nzIndenta"/>
      </w:pPr>
      <w:r>
        <w:tab/>
        <w:t>(c)</w:t>
      </w:r>
      <w:r>
        <w:tab/>
        <w:t>a specified scheme by</w:t>
      </w:r>
      <w:r>
        <w:noBreakHyphen/>
        <w:t>law is or is not invalid; or</w:t>
      </w:r>
    </w:p>
    <w:p>
      <w:pPr>
        <w:pStyle w:val="nzIndenta"/>
      </w:pPr>
      <w:r>
        <w:tab/>
        <w:t>(d)</w:t>
      </w:r>
      <w:r>
        <w:tab/>
        <w:t>a specified decision or resolution of a strata company is or is not invalid; or</w:t>
      </w:r>
    </w:p>
    <w:p>
      <w:pPr>
        <w:pStyle w:val="nzIndenta"/>
      </w:pPr>
      <w:r>
        <w:tab/>
        <w:t>(e)</w:t>
      </w:r>
      <w:r>
        <w:tab/>
        <w:t>a specified appointment or election of a member of a council of a strata company or an officer of a strata company is or is not invalid; or</w:t>
      </w:r>
    </w:p>
    <w:p>
      <w:pPr>
        <w:pStyle w:val="nzIndenta"/>
      </w:pPr>
      <w:r>
        <w:tab/>
        <w:t>(f)</w:t>
      </w:r>
      <w:r>
        <w:tab/>
        <w:t>a settlement date for a contract for the sale and purchase of a lot was or was not validly postponed under this Act; or</w:t>
      </w:r>
    </w:p>
    <w:p>
      <w:pPr>
        <w:pStyle w:val="nzIndenta"/>
        <w:rPr>
          <w:snapToGrid w:val="0"/>
        </w:rPr>
      </w:pPr>
      <w:r>
        <w:tab/>
        <w:t>(g)</w:t>
      </w:r>
      <w:r>
        <w:tab/>
        <w:t>a contract for the sale and purchase of a lot was or was not validly avoided under this Act.</w:t>
      </w:r>
    </w:p>
    <w:p>
      <w:pPr>
        <w:pStyle w:val="nzHeading5"/>
      </w:pPr>
      <w:bookmarkStart w:id="1867" w:name="_Toc530474566"/>
      <w:bookmarkStart w:id="1868" w:name="_Toc530475161"/>
      <w:r>
        <w:t>200.</w:t>
      </w:r>
      <w:r>
        <w:tab/>
        <w:t>Orders</w:t>
      </w:r>
      <w:bookmarkEnd w:id="1867"/>
      <w:bookmarkEnd w:id="1868"/>
    </w:p>
    <w:p>
      <w:pPr>
        <w:pStyle w:val="nzSubsection"/>
      </w:pPr>
      <w:r>
        <w:tab/>
        <w:t>(1)</w:t>
      </w:r>
      <w:r>
        <w:tab/>
        <w:t>In a proceeding under this Act, the Tribunal may make any order it considers appropriate to resolve the dispute or proceeding.</w:t>
      </w:r>
    </w:p>
    <w:p>
      <w:pPr>
        <w:pStyle w:val="nzSubsection"/>
      </w:pPr>
      <w:r>
        <w:tab/>
        <w:t>(2)</w:t>
      </w:r>
      <w:r>
        <w:tab/>
        <w:t>Without limitation, the orders that may be made by the Tribunal on an application under this Act include the following —</w:t>
      </w:r>
    </w:p>
    <w:p>
      <w:pPr>
        <w:pStyle w:val="nzIndenta"/>
      </w:pPr>
      <w:r>
        <w:tab/>
        <w:t>(a)</w:t>
      </w:r>
      <w:r>
        <w:tab/>
        <w:t>an order requiring a scheme document to be amended in a specified manner (including in a manner that effects a subdivision);</w:t>
      </w:r>
    </w:p>
    <w:p>
      <w:pPr>
        <w:pStyle w:val="nzIndenta"/>
      </w:pPr>
      <w:r>
        <w:tab/>
        <w:t>(b)</w:t>
      </w:r>
      <w:r>
        <w:tab/>
        <w:t>an order requiring a structural element by reference to which a lot in a strata scheme is defined to be reinstated following its damage, destruction or removal;</w:t>
      </w:r>
    </w:p>
    <w:p>
      <w:pPr>
        <w:pStyle w:val="nzIndenta"/>
      </w:pPr>
      <w:r>
        <w:tab/>
        <w:t>(c)</w:t>
      </w:r>
      <w:r>
        <w:tab/>
        <w:t>an order determining the form and location of utility conduits to provide specified utility services subject to a utility service easement;</w:t>
      </w:r>
    </w:p>
    <w:p>
      <w:pPr>
        <w:pStyle w:val="nz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nzIndenta"/>
      </w:pPr>
      <w:r>
        <w:tab/>
        <w:t>(e)</w:t>
      </w:r>
      <w:r>
        <w:tab/>
        <w:t>an order determining action that must be taken or refrained from being taken by a member of a strata company under section 98;</w:t>
      </w:r>
    </w:p>
    <w:p>
      <w:pPr>
        <w:pStyle w:val="nzIndenta"/>
      </w:pPr>
      <w:r>
        <w:tab/>
        <w:t>(f)</w:t>
      </w:r>
      <w:r>
        <w:tab/>
        <w:t>an order authorising a specified person to convene and preside at a general meeting of a strata company —</w:t>
      </w:r>
    </w:p>
    <w:p>
      <w:pPr>
        <w:pStyle w:val="nzIndenti"/>
      </w:pPr>
      <w:r>
        <w:tab/>
        <w:t>(i)</w:t>
      </w:r>
      <w:r>
        <w:tab/>
        <w:t>as the first annual general meeting; or</w:t>
      </w:r>
    </w:p>
    <w:p>
      <w:pPr>
        <w:pStyle w:val="nzIndenti"/>
      </w:pPr>
      <w:r>
        <w:tab/>
        <w:t>(ii)</w:t>
      </w:r>
      <w:r>
        <w:tab/>
        <w:t>to appoint or elect members of the council or officers of the strata company; or</w:t>
      </w:r>
    </w:p>
    <w:p>
      <w:pPr>
        <w:pStyle w:val="nzIndenti"/>
      </w:pPr>
      <w:r>
        <w:tab/>
        <w:t>(iii)</w:t>
      </w:r>
      <w:r>
        <w:tab/>
        <w:t>for some other specified purpose;</w:t>
      </w:r>
    </w:p>
    <w:p>
      <w:pPr>
        <w:pStyle w:val="nzIndenta"/>
      </w:pPr>
      <w:r>
        <w:tab/>
        <w:t>(g)</w:t>
      </w:r>
      <w:r>
        <w:tab/>
        <w:t>an order authorising a specified person to convene and preside at a meeting of the council of a strata company —</w:t>
      </w:r>
    </w:p>
    <w:p>
      <w:pPr>
        <w:pStyle w:val="nzIndenti"/>
      </w:pPr>
      <w:r>
        <w:tab/>
        <w:t>(i)</w:t>
      </w:r>
      <w:r>
        <w:tab/>
        <w:t>to appoint or elect officers of the strata company; or</w:t>
      </w:r>
    </w:p>
    <w:p>
      <w:pPr>
        <w:pStyle w:val="nzIndenti"/>
      </w:pPr>
      <w:r>
        <w:tab/>
        <w:t>(ii)</w:t>
      </w:r>
      <w:r>
        <w:tab/>
        <w:t>for some other specified purpose;</w:t>
      </w:r>
    </w:p>
    <w:p>
      <w:pPr>
        <w:pStyle w:val="nzPermNoteHeading"/>
      </w:pPr>
      <w:r>
        <w:tab/>
        <w:t>Note for paragraphs (f) and (g):</w:t>
      </w:r>
    </w:p>
    <w:p>
      <w:pPr>
        <w:pStyle w:val="nzPermNoteText"/>
      </w:pPr>
      <w:r>
        <w:tab/>
      </w:r>
      <w:r>
        <w:tab/>
        <w:t>The order may require the meeting to be held within a specified period or require notice of the meeting to be given in a specified manner.</w:t>
      </w:r>
    </w:p>
    <w:p>
      <w:pPr>
        <w:pStyle w:val="nzIndenta"/>
      </w:pPr>
      <w:r>
        <w:tab/>
        <w:t>(h)</w:t>
      </w:r>
      <w:r>
        <w:tab/>
        <w:t>an order removing a specified person from office as a member of the council of a strata company or as an officer of a strata company;</w:t>
      </w:r>
    </w:p>
    <w:p>
      <w:pPr>
        <w:pStyle w:val="nzIndenta"/>
      </w:pPr>
      <w:r>
        <w:tab/>
        <w:t>(i)</w:t>
      </w:r>
      <w:r>
        <w:tab/>
        <w:t>an order appointing a specified person as a member of the council of a strata company or as an officer of a strata company to replace a person removed from office;</w:t>
      </w:r>
    </w:p>
    <w:p>
      <w:pPr>
        <w:pStyle w:val="nzIndenta"/>
      </w:pPr>
      <w:r>
        <w:tab/>
        <w:t>(j)</w:t>
      </w:r>
      <w:r>
        <w:tab/>
        <w:t>an order varying or terminating a strata management contract;</w:t>
      </w:r>
    </w:p>
    <w:p>
      <w:pPr>
        <w:pStyle w:val="nz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nzIndenta"/>
      </w:pPr>
      <w:r>
        <w:tab/>
        <w:t>(l)</w:t>
      </w:r>
      <w:r>
        <w:tab/>
        <w:t>an order requiring a strata company to take specified action or to refrain from taking specified action in the performance or exercise of its functions, including the following —</w:t>
      </w:r>
    </w:p>
    <w:p>
      <w:pPr>
        <w:pStyle w:val="nzIndenti"/>
      </w:pPr>
      <w:r>
        <w:tab/>
        <w:t>(i)</w:t>
      </w:r>
      <w:r>
        <w:tab/>
        <w:t>an order to sell or acquire real or personal property;</w:t>
      </w:r>
    </w:p>
    <w:p>
      <w:pPr>
        <w:pStyle w:val="nzIndenti"/>
      </w:pPr>
      <w:r>
        <w:tab/>
        <w:t>(ii)</w:t>
      </w:r>
      <w:r>
        <w:tab/>
        <w:t>an order to enter into, vary or terminate a contract, including a contract for services or amenities to the strata company or the members of the strata company;</w:t>
      </w:r>
    </w:p>
    <w:p>
      <w:pPr>
        <w:pStyle w:val="nzIndenti"/>
      </w:pPr>
      <w:r>
        <w:tab/>
        <w:t>(iii)</w:t>
      </w:r>
      <w:r>
        <w:tab/>
        <w:t>an order that a particular insurance claim be pursued;</w:t>
      </w:r>
    </w:p>
    <w:p>
      <w:pPr>
        <w:pStyle w:val="nzIndenti"/>
      </w:pPr>
      <w:r>
        <w:tab/>
        <w:t>(iv)</w:t>
      </w:r>
      <w:r>
        <w:tab/>
        <w:t>an order that the amount of insurance cover be varied;</w:t>
      </w:r>
    </w:p>
    <w:p>
      <w:pPr>
        <w:pStyle w:val="nzIndenti"/>
      </w:pPr>
      <w:r>
        <w:tab/>
        <w:t>(v)</w:t>
      </w:r>
      <w:r>
        <w:tab/>
        <w:t>an order to allow the keeping of an animal on specified conditions or prohibit the keeping of an animal on a lot or common property;</w:t>
      </w:r>
    </w:p>
    <w:p>
      <w:pPr>
        <w:pStyle w:val="nz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nz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nzIndenta"/>
      </w:pPr>
      <w:r>
        <w:tab/>
        <w:t>(o)</w:t>
      </w:r>
      <w:r>
        <w:tab/>
        <w:t>an order requiring a party to the proceeding before it to pay money to —</w:t>
      </w:r>
    </w:p>
    <w:p>
      <w:pPr>
        <w:pStyle w:val="nzIndenti"/>
      </w:pPr>
      <w:r>
        <w:tab/>
        <w:t>(i)</w:t>
      </w:r>
      <w:r>
        <w:tab/>
        <w:t>a person specified in the order by way of compensation for any pecuniary loss or damage suffered; or</w:t>
      </w:r>
    </w:p>
    <w:p>
      <w:pPr>
        <w:pStyle w:val="nzIndenti"/>
      </w:pPr>
      <w:r>
        <w:tab/>
        <w:t>(ii)</w:t>
      </w:r>
      <w:r>
        <w:tab/>
        <w:t>another party to a contract for the purpose of adjusting the position or rights of the parties consequentially on the termination or variation of the contract under the order;</w:t>
      </w:r>
    </w:p>
    <w:p>
      <w:pPr>
        <w:pStyle w:val="nz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nzIndenta"/>
      </w:pPr>
      <w:r>
        <w:tab/>
        <w:t>(q)</w:t>
      </w:r>
      <w:r>
        <w:tab/>
        <w:t>an order appointing an administrator of a strata company (being a person who has given written consent to the appointment) to perform some or all scheme functions.</w:t>
      </w:r>
    </w:p>
    <w:p>
      <w:pPr>
        <w:pStyle w:val="nz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nzSubsection"/>
      </w:pPr>
      <w:r>
        <w:tab/>
        <w:t>(4)</w:t>
      </w:r>
      <w:r>
        <w:tab/>
        <w:t>An order may specify that it is to be taken to have come into effect on a date earlier than the date of the order.</w:t>
      </w:r>
    </w:p>
    <w:p>
      <w:pPr>
        <w:pStyle w:val="nzSubsection"/>
      </w:pPr>
      <w:r>
        <w:tab/>
        <w:t>(5)</w:t>
      </w:r>
      <w:r>
        <w:tab/>
        <w:t>An order may be made to take effect on default being made in complying with some other order made by it.</w:t>
      </w:r>
    </w:p>
    <w:p>
      <w:pPr>
        <w:pStyle w:val="nzSubsection"/>
      </w:pPr>
      <w:r>
        <w:tab/>
        <w:t>(6)</w:t>
      </w:r>
      <w:r>
        <w:tab/>
        <w:t>An order requiring amendment of a scheme document —</w:t>
      </w:r>
    </w:p>
    <w:p>
      <w:pPr>
        <w:pStyle w:val="nzIndenta"/>
      </w:pPr>
      <w:r>
        <w:tab/>
        <w:t>(a)</w:t>
      </w:r>
      <w:r>
        <w:tab/>
        <w:t>must specify the extent to which the amendment is subject to the obtaining of the approvals and consents that would otherwise be required under this Act; and</w:t>
      </w:r>
    </w:p>
    <w:p>
      <w:pPr>
        <w:pStyle w:val="nzIndenta"/>
      </w:pPr>
      <w:r>
        <w:tab/>
        <w:t>(b)</w:t>
      </w:r>
      <w:r>
        <w:tab/>
        <w:t>does not take effect until the Registrar of Titles registers the amendment of the scheme document.</w:t>
      </w:r>
    </w:p>
    <w:p>
      <w:pPr>
        <w:pStyle w:val="nzSubsection"/>
      </w:pPr>
      <w:r>
        <w:tab/>
        <w:t>(7)</w:t>
      </w:r>
      <w:r>
        <w:tab/>
        <w:t>An order may be expressed to remain in force for a specified period, until a specified event or until further order.</w:t>
      </w:r>
    </w:p>
    <w:p>
      <w:pPr>
        <w:pStyle w:val="nzHeading5"/>
      </w:pPr>
      <w:bookmarkStart w:id="1869" w:name="_Toc530474567"/>
      <w:bookmarkStart w:id="1870" w:name="_Toc530475162"/>
      <w:r>
        <w:t>201.</w:t>
      </w:r>
      <w:r>
        <w:tab/>
        <w:t>Interim orders</w:t>
      </w:r>
      <w:bookmarkEnd w:id="1869"/>
      <w:bookmarkEnd w:id="1870"/>
    </w:p>
    <w:p>
      <w:pPr>
        <w:pStyle w:val="nz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nzSubsection"/>
      </w:pPr>
      <w:r>
        <w:tab/>
        <w:t>(2)</w:t>
      </w:r>
      <w:r>
        <w:tab/>
        <w:t>An interim order remains in force for the period (not exceeding 3 months) specified in the order and may be renewed by further order of the Tribunal for subsequent periods (not exceeding, in any case, 3 months).</w:t>
      </w:r>
    </w:p>
    <w:p>
      <w:pPr>
        <w:pStyle w:val="nzSubsection"/>
      </w:pPr>
      <w:r>
        <w:tab/>
        <w:t>(3)</w:t>
      </w:r>
      <w:r>
        <w:tab/>
        <w:t>An interim order may be made or renewed even if the period for parties to make written submissions has not expired.</w:t>
      </w:r>
    </w:p>
    <w:p>
      <w:pPr>
        <w:pStyle w:val="nzSubsection"/>
      </w:pPr>
      <w:r>
        <w:tab/>
        <w:t>(4)</w:t>
      </w:r>
      <w:r>
        <w:tab/>
        <w:t>An interim order is subject to variation or revocation by further order of the Tribunal.</w:t>
      </w:r>
    </w:p>
    <w:p>
      <w:pPr>
        <w:pStyle w:val="nzHeading5"/>
      </w:pPr>
      <w:bookmarkStart w:id="1871" w:name="_Toc530474568"/>
      <w:bookmarkStart w:id="1872" w:name="_Toc530475163"/>
      <w:r>
        <w:t>202.</w:t>
      </w:r>
      <w:r>
        <w:tab/>
        <w:t>Decision not to make order or declaration</w:t>
      </w:r>
      <w:bookmarkEnd w:id="1871"/>
      <w:bookmarkEnd w:id="1872"/>
    </w:p>
    <w:p>
      <w:pPr>
        <w:pStyle w:val="nzSubsection"/>
      </w:pPr>
      <w:r>
        <w:tab/>
      </w:r>
      <w:r>
        <w:tab/>
        <w:t>In a proceeding under this Act, the Tribunal may make a decision not to make an order or declaration.</w:t>
      </w:r>
    </w:p>
    <w:p>
      <w:pPr>
        <w:pStyle w:val="nzHeading5"/>
      </w:pPr>
      <w:bookmarkStart w:id="1873" w:name="_Toc530474569"/>
      <w:bookmarkStart w:id="1874" w:name="_Toc530475164"/>
      <w:r>
        <w:t>203.</w:t>
      </w:r>
      <w:r>
        <w:tab/>
        <w:t>Certain powers only exercisable by judicial member or legally qualified member</w:t>
      </w:r>
      <w:bookmarkEnd w:id="1873"/>
      <w:bookmarkEnd w:id="1874"/>
    </w:p>
    <w:p>
      <w:pPr>
        <w:pStyle w:val="nzSubsection"/>
      </w:pPr>
      <w:r>
        <w:tab/>
        <w:t>(1)</w:t>
      </w:r>
      <w:r>
        <w:tab/>
        <w:t>The Tribunal’s power to make an order under this Act is exercisable only by a judicial member (or by the Tribunal constituted of a judicial member and other members) if —</w:t>
      </w:r>
    </w:p>
    <w:p>
      <w:pPr>
        <w:pStyle w:val="nzIndenta"/>
      </w:pPr>
      <w:r>
        <w:tab/>
        <w:t>(a)</w:t>
      </w:r>
      <w:r>
        <w:tab/>
        <w:t>the order affects a title to land (including through re</w:t>
      </w:r>
      <w:r>
        <w:noBreakHyphen/>
        <w:t>entry of a strata lease); or</w:t>
      </w:r>
    </w:p>
    <w:p>
      <w:pPr>
        <w:pStyle w:val="nzIndenta"/>
      </w:pPr>
      <w:r>
        <w:tab/>
        <w:t>(b)</w:t>
      </w:r>
      <w:r>
        <w:tab/>
        <w:t>the order is an order confirming a termination resolution (as set out in section 183(18)); or</w:t>
      </w:r>
    </w:p>
    <w:p>
      <w:pPr>
        <w:pStyle w:val="nzIndenta"/>
      </w:pPr>
      <w:r>
        <w:tab/>
        <w:t>(c)</w:t>
      </w:r>
      <w:r>
        <w:tab/>
        <w:t>the order is of a class required by the regulations to be made by a judicial member.</w:t>
      </w:r>
    </w:p>
    <w:p>
      <w:pPr>
        <w:pStyle w:val="nz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nzHeading5"/>
      </w:pPr>
      <w:bookmarkStart w:id="1875" w:name="_Toc530474570"/>
      <w:bookmarkStart w:id="1876" w:name="_Toc530475165"/>
      <w:r>
        <w:t>204.</w:t>
      </w:r>
      <w:r>
        <w:tab/>
        <w:t>Limitations on orders</w:t>
      </w:r>
      <w:bookmarkEnd w:id="1875"/>
      <w:bookmarkEnd w:id="1876"/>
    </w:p>
    <w:p>
      <w:pPr>
        <w:pStyle w:val="nzSubsection"/>
        <w:rPr>
          <w:snapToGrid w:val="0"/>
        </w:rPr>
      </w:pPr>
      <w:r>
        <w:tab/>
      </w:r>
      <w:r>
        <w:tab/>
        <w:t>In a proceeding under this Act,</w:t>
      </w:r>
      <w:r>
        <w:rPr>
          <w:snapToGrid w:val="0"/>
        </w:rPr>
        <w:t xml:space="preserve"> the Tribunal cannot —</w:t>
      </w:r>
    </w:p>
    <w:p>
      <w:pPr>
        <w:pStyle w:val="nz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nzIndenta"/>
      </w:pPr>
      <w:r>
        <w:tab/>
        <w:t>(b)</w:t>
      </w:r>
      <w:r>
        <w:tab/>
        <w:t>make an order that the strata company is to be taken to have passed —</w:t>
      </w:r>
    </w:p>
    <w:p>
      <w:pPr>
        <w:pStyle w:val="nzIndenti"/>
      </w:pPr>
      <w:r>
        <w:tab/>
        <w:t>(i)</w:t>
      </w:r>
      <w:r>
        <w:tab/>
        <w:t>a termination resolution; or</w:t>
      </w:r>
    </w:p>
    <w:p>
      <w:pPr>
        <w:pStyle w:val="nzIndenti"/>
      </w:pPr>
      <w:r>
        <w:tab/>
        <w:t>(ii)</w:t>
      </w:r>
      <w:r>
        <w:tab/>
        <w:t>a resolution required for postponement of the expiry day for a leasehold scheme; or</w:t>
      </w:r>
    </w:p>
    <w:p>
      <w:pPr>
        <w:pStyle w:val="nzIndenti"/>
      </w:pPr>
      <w:r>
        <w:tab/>
        <w:t>(iii)</w:t>
      </w:r>
      <w:r>
        <w:tab/>
        <w:t>a resolution fixing or varying contributions unless the Tribunal is satisfied that the contributions fixed by the strata company are inadequate or excessive; or</w:t>
      </w:r>
    </w:p>
    <w:p>
      <w:pPr>
        <w:pStyle w:val="nzIndenti"/>
      </w:pPr>
      <w:r>
        <w:tab/>
        <w:t>(iv)</w:t>
      </w:r>
      <w:r>
        <w:tab/>
        <w:t>a resolution fixing or varying the interest rate applicable to contributions unless the Tribunal is satisfied that the interest rate fixed by the strata company is unreasonable; or</w:t>
      </w:r>
    </w:p>
    <w:p>
      <w:pPr>
        <w:pStyle w:val="nzIndenti"/>
      </w:pPr>
      <w:r>
        <w:tab/>
        <w:t>(v)</w:t>
      </w:r>
      <w:r>
        <w:tab/>
        <w:t>a resolution determining arrangements for payment of contributions in instalments unless the Tribunal is satisfied that the arrangements allowed by the strata company are unreasonable;</w:t>
      </w:r>
    </w:p>
    <w:p>
      <w:pPr>
        <w:pStyle w:val="nzIndenta"/>
      </w:pPr>
      <w:r>
        <w:tab/>
      </w:r>
      <w:r>
        <w:tab/>
        <w:t>or</w:t>
      </w:r>
    </w:p>
    <w:p>
      <w:pPr>
        <w:pStyle w:val="nzIndenta"/>
      </w:pPr>
      <w:r>
        <w:tab/>
        <w:t>(c)</w:t>
      </w:r>
      <w:r>
        <w:tab/>
        <w:t>make an order that the amount of insurance cover be varied unless satisfied that the amount for which the strata company has insurance as required by this Act is inadequate or excessive; or</w:t>
      </w:r>
    </w:p>
    <w:p>
      <w:pPr>
        <w:pStyle w:val="nzIndenta"/>
      </w:pPr>
      <w:r>
        <w:tab/>
        <w:t>(d)</w:t>
      </w:r>
      <w:r>
        <w:tab/>
        <w:t>make an order to allow the keeping of an animal on specified conditions or prohibit the keeping of an animal on a lot or common property unless satisfied that the strata company has acted unreasonably; or</w:t>
      </w:r>
    </w:p>
    <w:p>
      <w:pPr>
        <w:pStyle w:val="nzIndenta"/>
      </w:pPr>
      <w:r>
        <w:tab/>
        <w:t>(e)</w:t>
      </w:r>
      <w:r>
        <w:tab/>
        <w:t>make an order by way of compensation for personal injury or death; or</w:t>
      </w:r>
    </w:p>
    <w:p>
      <w:pPr>
        <w:pStyle w:val="nz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nzIndenta"/>
      </w:pPr>
      <w:r>
        <w:tab/>
        <w:t>(g)</w:t>
      </w:r>
      <w:r>
        <w:tab/>
        <w:t>make an order in circumstances prohibited under the regulations.</w:t>
      </w:r>
    </w:p>
    <w:p>
      <w:pPr>
        <w:pStyle w:val="nzHeading5"/>
      </w:pPr>
      <w:bookmarkStart w:id="1877" w:name="_Toc530474571"/>
      <w:bookmarkStart w:id="1878" w:name="_Toc530475166"/>
      <w:r>
        <w:t>205.</w:t>
      </w:r>
      <w:r>
        <w:tab/>
        <w:t>Administrator of strata company</w:t>
      </w:r>
      <w:bookmarkEnd w:id="1877"/>
      <w:bookmarkEnd w:id="1878"/>
    </w:p>
    <w:p>
      <w:pPr>
        <w:pStyle w:val="nzSubsection"/>
      </w:pPr>
      <w:r>
        <w:tab/>
        <w:t>(1)</w:t>
      </w:r>
      <w:r>
        <w:tab/>
        <w:t>An order of the Tribunal appointing an administrator of a strata company may specify conditions of appointment of the administrator.</w:t>
      </w:r>
    </w:p>
    <w:p>
      <w:pPr>
        <w:pStyle w:val="nzSubsection"/>
      </w:pPr>
      <w:r>
        <w:tab/>
        <w:t>(2)</w:t>
      </w:r>
      <w:r>
        <w:tab/>
        <w:t>If the Tribunal makes an order appointing an administrator of a strata company —</w:t>
      </w:r>
    </w:p>
    <w:p>
      <w:pPr>
        <w:pStyle w:val="nzIndenta"/>
      </w:pPr>
      <w:r>
        <w:tab/>
        <w:t>(a)</w:t>
      </w:r>
      <w:r>
        <w:tab/>
        <w:t>no person other than the administrator may, while the order remains in force, perform a function that the administrator is authorised to perform under the order; and</w:t>
      </w:r>
    </w:p>
    <w:p>
      <w:pPr>
        <w:pStyle w:val="nz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nzIndenta"/>
      </w:pPr>
      <w:r>
        <w:tab/>
        <w:t>(c)</w:t>
      </w:r>
      <w:r>
        <w:tab/>
        <w:t>the Tribunal may, by further order, vary or revoke the appointment.</w:t>
      </w:r>
    </w:p>
    <w:p>
      <w:pPr>
        <w:pStyle w:val="nzSubsection"/>
        <w:rPr>
          <w:snapToGrid w:val="0"/>
        </w:rPr>
      </w:pPr>
      <w:r>
        <w:tab/>
        <w:t>(3)</w:t>
      </w:r>
      <w:r>
        <w:tab/>
      </w:r>
      <w:r>
        <w:rPr>
          <w:snapToGrid w:val="0"/>
        </w:rPr>
        <w:t>An administrator of a strata company appointed by the Tribunal must, after performing a function under the order —</w:t>
      </w:r>
    </w:p>
    <w:p>
      <w:pPr>
        <w:pStyle w:val="nzIndenta"/>
      </w:pPr>
      <w:r>
        <w:tab/>
        <w:t>(a)</w:t>
      </w:r>
      <w:r>
        <w:tab/>
        <w:t>make a written record specifying the function and the manner of its performance; and</w:t>
      </w:r>
    </w:p>
    <w:p>
      <w:pPr>
        <w:pStyle w:val="nzIndenta"/>
      </w:pPr>
      <w:r>
        <w:tab/>
        <w:t>(b)</w:t>
      </w:r>
      <w:r>
        <w:tab/>
        <w:t>serve the record on the strata company.</w:t>
      </w:r>
    </w:p>
    <w:p>
      <w:pPr>
        <w:pStyle w:val="nzHeading5"/>
      </w:pPr>
      <w:bookmarkStart w:id="1879" w:name="_Toc530474572"/>
      <w:bookmarkStart w:id="1880" w:name="_Toc530475167"/>
      <w:r>
        <w:t>206.</w:t>
      </w:r>
      <w:r>
        <w:tab/>
        <w:t>Contributions for money payable by strata company</w:t>
      </w:r>
      <w:bookmarkEnd w:id="1879"/>
      <w:bookmarkEnd w:id="1880"/>
    </w:p>
    <w:p>
      <w:pPr>
        <w:pStyle w:val="nz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nz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nzIndenta"/>
      </w:pPr>
      <w:r>
        <w:tab/>
        <w:t>(b)</w:t>
      </w:r>
      <w:r>
        <w:tab/>
        <w:t>direct the strata company to levy contributions in accordance with the order; and</w:t>
      </w:r>
    </w:p>
    <w:p>
      <w:pPr>
        <w:pStyle w:val="nzIndenta"/>
      </w:pPr>
      <w:r>
        <w:tab/>
        <w:t>(c)</w:t>
      </w:r>
      <w:r>
        <w:tab/>
        <w:t>prohibit the strata company from levying a contribution that would be payable by another party to the dispute.</w:t>
      </w:r>
    </w:p>
    <w:p>
      <w:pPr>
        <w:pStyle w:val="nzHeading5"/>
      </w:pPr>
      <w:bookmarkStart w:id="1881" w:name="_Toc530474573"/>
      <w:bookmarkStart w:id="1882" w:name="_Toc530475168"/>
      <w:r>
        <w:t>207.</w:t>
      </w:r>
      <w:r>
        <w:tab/>
        <w:t>Enforcement of order to act</w:t>
      </w:r>
      <w:bookmarkEnd w:id="1881"/>
      <w:bookmarkEnd w:id="1882"/>
    </w:p>
    <w:p>
      <w:pPr>
        <w:pStyle w:val="nzSubsection"/>
      </w:pPr>
      <w:r>
        <w:tab/>
        <w:t>(1)</w:t>
      </w:r>
      <w:r>
        <w:tab/>
        <w:t>An application for an order under this section can be made by a person who was the applicant in a proceeding under this Act in which an order to act was made.</w:t>
      </w:r>
    </w:p>
    <w:p>
      <w:pPr>
        <w:pStyle w:val="nzSubsection"/>
      </w:pPr>
      <w:r>
        <w:tab/>
        <w:t>(2)</w:t>
      </w:r>
      <w:r>
        <w:tab/>
        <w:t>If the Tribunal is satisfied that an order to act has not been complied with, or has been complied with in part only, by the person to whom it was given, the Tribunal may —</w:t>
      </w:r>
    </w:p>
    <w:p>
      <w:pPr>
        <w:pStyle w:val="nzIndenta"/>
      </w:pPr>
      <w:r>
        <w:tab/>
        <w:t>(a)</w:t>
      </w:r>
      <w:r>
        <w:tab/>
        <w:t>vary, revoke or substitute the order to act; and</w:t>
      </w:r>
    </w:p>
    <w:p>
      <w:pPr>
        <w:pStyle w:val="nzIndenta"/>
      </w:pPr>
      <w:r>
        <w:tab/>
        <w:t>(b)</w:t>
      </w:r>
      <w:r>
        <w:tab/>
        <w:t>make an order that the person to whom the order to act was given pay to the applicant a specified amount by way of compensation for the failure to act or to refrain from acting.</w:t>
      </w:r>
    </w:p>
    <w:p>
      <w:pPr>
        <w:pStyle w:val="nz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nzSubsection"/>
      </w:pPr>
      <w:r>
        <w:tab/>
        <w:t>(4)</w:t>
      </w:r>
      <w:r>
        <w:tab/>
        <w:t>The variation, revocation or substitution of an order does not affect —</w:t>
      </w:r>
    </w:p>
    <w:p>
      <w:pPr>
        <w:pStyle w:val="nzIndenta"/>
      </w:pPr>
      <w:r>
        <w:tab/>
        <w:t>(a)</w:t>
      </w:r>
      <w:r>
        <w:tab/>
        <w:t>anything done under the order before the revocation; or</w:t>
      </w:r>
    </w:p>
    <w:p>
      <w:pPr>
        <w:pStyle w:val="nz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nzHeading5"/>
      </w:pPr>
      <w:bookmarkStart w:id="1883" w:name="_Toc530474574"/>
      <w:bookmarkStart w:id="1884" w:name="_Toc530475169"/>
      <w:r>
        <w:t>208.</w:t>
      </w:r>
      <w:r>
        <w:tab/>
        <w:t>Order overrides existing scheme by</w:t>
      </w:r>
      <w:r>
        <w:noBreakHyphen/>
        <w:t>laws</w:t>
      </w:r>
      <w:bookmarkEnd w:id="1883"/>
      <w:bookmarkEnd w:id="1884"/>
    </w:p>
    <w:p>
      <w:pPr>
        <w:pStyle w:val="nz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nzPermNoteHeading"/>
      </w:pPr>
      <w:r>
        <w:tab/>
        <w:t>Note for this section:</w:t>
      </w:r>
    </w:p>
    <w:p>
      <w:pPr>
        <w:pStyle w:val="nzPermNoteText"/>
      </w:pPr>
      <w:r>
        <w:tab/>
      </w:r>
      <w:r>
        <w:tab/>
        <w:t>If scheme by</w:t>
      </w:r>
      <w:r>
        <w:noBreakHyphen/>
        <w:t>laws are inconsistent, the Tribunal may make an order requiring by</w:t>
      </w:r>
      <w:r>
        <w:noBreakHyphen/>
        <w:t>laws to be amended in a specified manner.</w:t>
      </w:r>
    </w:p>
    <w:p>
      <w:pPr>
        <w:pStyle w:val="nzHeading5"/>
      </w:pPr>
      <w:bookmarkStart w:id="1885" w:name="_Toc530474575"/>
      <w:bookmarkStart w:id="1886" w:name="_Toc530475170"/>
      <w:r>
        <w:t>209.</w:t>
      </w:r>
      <w:r>
        <w:tab/>
        <w:t>Original jurisdiction</w:t>
      </w:r>
      <w:bookmarkEnd w:id="1885"/>
      <w:bookmarkEnd w:id="1886"/>
    </w:p>
    <w:p>
      <w:pPr>
        <w:pStyle w:val="nzSubsection"/>
      </w:pPr>
      <w:r>
        <w:tab/>
      </w:r>
      <w:r>
        <w:tab/>
        <w:t>Unless otherwise provided in this Act, a proceeding before the Tribunal under this Act comes within the Tribunal’s original jurisdiction.</w:t>
      </w:r>
    </w:p>
    <w:p>
      <w:pPr>
        <w:pStyle w:val="nzHeading5"/>
      </w:pPr>
      <w:bookmarkStart w:id="1887" w:name="_Toc530474576"/>
      <w:bookmarkStart w:id="1888" w:name="_Toc530475171"/>
      <w:r>
        <w:t>210.</w:t>
      </w:r>
      <w:r>
        <w:tab/>
        <w:t>Internal review of order or declaration</w:t>
      </w:r>
      <w:bookmarkEnd w:id="1887"/>
      <w:bookmarkEnd w:id="1888"/>
    </w:p>
    <w:p>
      <w:pPr>
        <w:pStyle w:val="nz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nzSubsection"/>
      </w:pPr>
      <w:r>
        <w:tab/>
        <w:t>(2)</w:t>
      </w:r>
      <w:r>
        <w:tab/>
        <w:t>However, an application for internal review of an order or declaration can be made only if —</w:t>
      </w:r>
    </w:p>
    <w:p>
      <w:pPr>
        <w:pStyle w:val="nzIndenta"/>
      </w:pPr>
      <w:r>
        <w:tab/>
        <w:t>(a)</w:t>
      </w:r>
      <w:r>
        <w:tab/>
        <w:t>leave is given by the Tribunal (constituted as required for an internal review under this section); and</w:t>
      </w:r>
    </w:p>
    <w:p>
      <w:pPr>
        <w:pStyle w:val="nzIndenta"/>
      </w:pPr>
      <w:r>
        <w:tab/>
        <w:t>(b)</w:t>
      </w:r>
      <w:r>
        <w:tab/>
        <w:t>the application is made within 28 days after the order or declaration is made or within an extension of that period given by the President.</w:t>
      </w:r>
    </w:p>
    <w:p>
      <w:pPr>
        <w:pStyle w:val="nzSubsection"/>
      </w:pPr>
      <w:r>
        <w:tab/>
        <w:t>(3)</w:t>
      </w:r>
      <w:r>
        <w:tab/>
        <w:t>For an internal review of an order or declaration, the Tribunal must be constituted of —</w:t>
      </w:r>
    </w:p>
    <w:p>
      <w:pPr>
        <w:pStyle w:val="nzIndenta"/>
      </w:pPr>
      <w:r>
        <w:tab/>
        <w:t>(a)</w:t>
      </w:r>
      <w:r>
        <w:tab/>
        <w:t>a judicial member or a senior member who is a legally qualified member; and</w:t>
      </w:r>
    </w:p>
    <w:p>
      <w:pPr>
        <w:pStyle w:val="nzIndenta"/>
      </w:pPr>
      <w:r>
        <w:tab/>
        <w:t>(b)</w:t>
      </w:r>
      <w:r>
        <w:tab/>
        <w:t>such other members, if any, as the President considers appropriate.</w:t>
      </w:r>
    </w:p>
    <w:p>
      <w:pPr>
        <w:pStyle w:val="nzSubsection"/>
      </w:pPr>
      <w:r>
        <w:tab/>
        <w:t>(4)</w:t>
      </w:r>
      <w:r>
        <w:tab/>
        <w:t>On an internal review of an order or declaration, the Tribunal may —</w:t>
      </w:r>
    </w:p>
    <w:p>
      <w:pPr>
        <w:pStyle w:val="nzIndenta"/>
      </w:pPr>
      <w:r>
        <w:tab/>
        <w:t>(a)</w:t>
      </w:r>
      <w:r>
        <w:tab/>
        <w:t>affirm the order or declaration; or</w:t>
      </w:r>
    </w:p>
    <w:p>
      <w:pPr>
        <w:pStyle w:val="nzIndenta"/>
      </w:pPr>
      <w:r>
        <w:tab/>
        <w:t>(b)</w:t>
      </w:r>
      <w:r>
        <w:tab/>
        <w:t>vary the order or declaration; or</w:t>
      </w:r>
    </w:p>
    <w:p>
      <w:pPr>
        <w:pStyle w:val="nzIndenta"/>
      </w:pPr>
      <w:r>
        <w:tab/>
        <w:t>(c)</w:t>
      </w:r>
      <w:r>
        <w:tab/>
        <w:t>set aside the order or declaration and substitute another order or declaration.</w:t>
      </w:r>
    </w:p>
    <w:p>
      <w:pPr>
        <w:pStyle w:val="nz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nzSubsection"/>
      </w:pPr>
      <w:r>
        <w:tab/>
        <w:t>(6)</w:t>
      </w:r>
      <w:r>
        <w:tab/>
        <w:t xml:space="preserve">The regulations may modify the operation of the </w:t>
      </w:r>
      <w:r>
        <w:rPr>
          <w:i/>
        </w:rPr>
        <w:t>State Administrative Tribunal Act 2004</w:t>
      </w:r>
      <w:r>
        <w:t xml:space="preserve"> for an internal review of an order or declaration.</w:t>
      </w:r>
    </w:p>
    <w:p>
      <w:pPr>
        <w:pStyle w:val="nzHeading2"/>
      </w:pPr>
      <w:bookmarkStart w:id="1889" w:name="_Toc517437778"/>
      <w:bookmarkStart w:id="1890" w:name="_Toc517438320"/>
      <w:bookmarkStart w:id="1891" w:name="_Toc517440657"/>
      <w:bookmarkStart w:id="1892" w:name="_Toc517447694"/>
      <w:bookmarkStart w:id="1893" w:name="_Toc517450172"/>
      <w:bookmarkStart w:id="1894" w:name="_Toc517450714"/>
      <w:bookmarkStart w:id="1895" w:name="_Toc517857170"/>
      <w:bookmarkStart w:id="1896" w:name="_Toc518293297"/>
      <w:bookmarkStart w:id="1897" w:name="_Toc522744525"/>
      <w:bookmarkStart w:id="1898" w:name="_Toc522747648"/>
      <w:bookmarkStart w:id="1899" w:name="_Toc529183486"/>
      <w:bookmarkStart w:id="1900" w:name="_Toc529188249"/>
      <w:bookmarkStart w:id="1901" w:name="_Toc529434762"/>
      <w:bookmarkStart w:id="1902" w:name="_Toc529524653"/>
      <w:bookmarkStart w:id="1903" w:name="_Toc530474577"/>
      <w:bookmarkStart w:id="1904" w:name="_Toc530475172"/>
      <w:r>
        <w:t>Part 14</w:t>
      </w:r>
      <w:r>
        <w:rPr>
          <w:b w:val="0"/>
        </w:rPr>
        <w:t> </w:t>
      </w:r>
      <w:r>
        <w:t>—</w:t>
      </w:r>
      <w:r>
        <w:rPr>
          <w:b w:val="0"/>
        </w:rPr>
        <w:t> </w:t>
      </w:r>
      <w:r>
        <w:t>Miscellaneous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zHeading5"/>
      </w:pPr>
      <w:bookmarkStart w:id="1905" w:name="_Toc530474578"/>
      <w:bookmarkStart w:id="1906" w:name="_Toc530475173"/>
      <w:r>
        <w:t>215.</w:t>
      </w:r>
      <w:r>
        <w:tab/>
        <w:t>Address for service</w:t>
      </w:r>
      <w:bookmarkEnd w:id="1905"/>
      <w:bookmarkEnd w:id="1906"/>
    </w:p>
    <w:p>
      <w:pPr>
        <w:pStyle w:val="nzSubsection"/>
      </w:pPr>
      <w:r>
        <w:tab/>
        <w:t>(1)</w:t>
      </w:r>
      <w:r>
        <w:tab/>
        <w:t>An address for service provided under this Act must be an address of a place within Australia.</w:t>
      </w:r>
    </w:p>
    <w:p>
      <w:pPr>
        <w:pStyle w:val="nzSubsection"/>
      </w:pPr>
      <w:r>
        <w:tab/>
        <w:t>(2)</w:t>
      </w:r>
      <w:r>
        <w:tab/>
        <w:t>An electronic address may be provided as an additional address for service under this Act.</w:t>
      </w:r>
    </w:p>
    <w:p>
      <w:pPr>
        <w:pStyle w:val="nzHeading5"/>
      </w:pPr>
      <w:bookmarkStart w:id="1907" w:name="_Toc530474579"/>
      <w:bookmarkStart w:id="1908" w:name="_Toc530475174"/>
      <w:r>
        <w:t>216.</w:t>
      </w:r>
      <w:r>
        <w:tab/>
        <w:t>Service of documents on strata company, owners and others</w:t>
      </w:r>
      <w:bookmarkEnd w:id="1907"/>
      <w:bookmarkEnd w:id="1908"/>
    </w:p>
    <w:p>
      <w:pPr>
        <w:pStyle w:val="nzSubsection"/>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nzIndenta"/>
      </w:pPr>
      <w:r>
        <w:tab/>
        <w:t>(a)</w:t>
      </w:r>
      <w:r>
        <w:tab/>
        <w:t>by serving it on a member of the council of the strata company; or</w:t>
      </w:r>
    </w:p>
    <w:p>
      <w:pPr>
        <w:pStyle w:val="nzIndenta"/>
      </w:pPr>
      <w:r>
        <w:tab/>
        <w:t>(b)</w:t>
      </w:r>
      <w:r>
        <w:tab/>
        <w:t>by sending it to the strata company’s address for service (by post if it is a postal address or by electronic transmission if it is an electronic address); or</w:t>
      </w:r>
    </w:p>
    <w:p>
      <w:pPr>
        <w:pStyle w:val="nzIndenta"/>
      </w:pPr>
      <w:r>
        <w:tab/>
        <w:t>(c)</w:t>
      </w:r>
      <w:r>
        <w:tab/>
        <w:t>by leaving it in the letterbox provided by the strata company under section 104(3)(a).</w:t>
      </w:r>
    </w:p>
    <w:p>
      <w:pPr>
        <w:pStyle w:val="nzSubsection"/>
      </w:pPr>
      <w:r>
        <w:tab/>
        <w:t>(2)</w:t>
      </w:r>
      <w:r>
        <w:tab/>
        <w:t>Subsection (1) applies even if the document is required to be served personally on a strata company.</w:t>
      </w:r>
    </w:p>
    <w:p>
      <w:pPr>
        <w:pStyle w:val="nzSubsection"/>
      </w:pPr>
      <w:r>
        <w:tab/>
        <w:t>(3)</w:t>
      </w:r>
      <w:r>
        <w:tab/>
        <w:t>A document required or authorised by this Act or scheme by</w:t>
      </w:r>
      <w:r>
        <w:noBreakHyphen/>
        <w:t>laws to be served on the owner of a leasehold scheme may be served —</w:t>
      </w:r>
    </w:p>
    <w:p>
      <w:pPr>
        <w:pStyle w:val="nzIndenta"/>
      </w:pPr>
      <w:r>
        <w:tab/>
        <w:t>(a)</w:t>
      </w:r>
      <w:r>
        <w:tab/>
        <w:t>by serving it on the owner personally; or</w:t>
      </w:r>
    </w:p>
    <w:p>
      <w:pPr>
        <w:pStyle w:val="nzIndenta"/>
      </w:pPr>
      <w:r>
        <w:tab/>
        <w:t>(b)</w:t>
      </w:r>
      <w:r>
        <w:tab/>
        <w:t>by sending it to the owner’s address for service as appearing on the roll maintained under section 105 (by post if it is a postal address or by electronic transmission if it is an electronic address).</w:t>
      </w:r>
    </w:p>
    <w:p>
      <w:pPr>
        <w:pStyle w:val="nz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nzIndenta"/>
      </w:pPr>
      <w:r>
        <w:tab/>
        <w:t>(a)</w:t>
      </w:r>
      <w:r>
        <w:tab/>
        <w:t>by serving it on the owner personally; or</w:t>
      </w:r>
    </w:p>
    <w:p>
      <w:pPr>
        <w:pStyle w:val="nz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nzIndenta"/>
      </w:pPr>
      <w:r>
        <w:tab/>
        <w:t>(c)</w:t>
      </w:r>
      <w:r>
        <w:tab/>
        <w:t>if there is no such address for service, by sending it by post to the owner to the address of the lot; or</w:t>
      </w:r>
    </w:p>
    <w:p>
      <w:pPr>
        <w:pStyle w:val="nzIndenta"/>
      </w:pPr>
      <w:r>
        <w:tab/>
        <w:t>(d)</w:t>
      </w:r>
      <w:r>
        <w:tab/>
        <w:t>by serving it in a manner authorised for service on the owner of a lot by the scheme by</w:t>
      </w:r>
      <w:r>
        <w:noBreakHyphen/>
        <w:t>laws.</w:t>
      </w:r>
    </w:p>
    <w:p>
      <w:pPr>
        <w:pStyle w:val="nzSubsection"/>
      </w:pPr>
      <w:r>
        <w:tab/>
        <w:t>(5)</w:t>
      </w:r>
      <w:r>
        <w:tab/>
        <w:t>If there are 2 or more persons who are co</w:t>
      </w:r>
      <w:r>
        <w:noBreakHyphen/>
        <w:t>owners of a lot, a document will be taken to be served on the owner of the lot when it has been served on each of those persons.</w:t>
      </w:r>
    </w:p>
    <w:p>
      <w:pPr>
        <w:pStyle w:val="nzSubsection"/>
      </w:pPr>
      <w:r>
        <w:tab/>
        <w:t>(6)</w:t>
      </w:r>
      <w:r>
        <w:tab/>
        <w:t>A document required or authorised by this Act or scheme by</w:t>
      </w:r>
      <w:r>
        <w:noBreakHyphen/>
        <w:t>laws to be served on the occupier of a lot may be served —</w:t>
      </w:r>
    </w:p>
    <w:p>
      <w:pPr>
        <w:pStyle w:val="nzIndenta"/>
      </w:pPr>
      <w:r>
        <w:tab/>
        <w:t>(a)</w:t>
      </w:r>
      <w:r>
        <w:tab/>
        <w:t>by serving it on the occupier personally; or</w:t>
      </w:r>
    </w:p>
    <w:p>
      <w:pPr>
        <w:pStyle w:val="nzIndenta"/>
      </w:pPr>
      <w:r>
        <w:tab/>
        <w:t>(b)</w:t>
      </w:r>
      <w:r>
        <w:tab/>
        <w:t>by leaving it with some person apparently of or over the age of 16 years at the address of the lot; or</w:t>
      </w:r>
    </w:p>
    <w:p>
      <w:pPr>
        <w:pStyle w:val="nzIndenta"/>
      </w:pPr>
      <w:r>
        <w:tab/>
        <w:t>(c)</w:t>
      </w:r>
      <w:r>
        <w:tab/>
        <w:t>by sending it by post to the occupier at the address of the lot; or</w:t>
      </w:r>
    </w:p>
    <w:p>
      <w:pPr>
        <w:pStyle w:val="nzIndenta"/>
      </w:pPr>
      <w:r>
        <w:tab/>
        <w:t>(d)</w:t>
      </w:r>
      <w:r>
        <w:tab/>
        <w:t>by serving it in a manner authorised for service on an occupier of a lot by the by</w:t>
      </w:r>
      <w:r>
        <w:noBreakHyphen/>
        <w:t>laws of the strata company.</w:t>
      </w:r>
    </w:p>
    <w:p>
      <w:pPr>
        <w:pStyle w:val="nz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nzIndenta"/>
      </w:pPr>
      <w:r>
        <w:tab/>
        <w:t>(a)</w:t>
      </w:r>
      <w:r>
        <w:tab/>
        <w:t>by serving it on the person personally or by post; or</w:t>
      </w:r>
    </w:p>
    <w:p>
      <w:pPr>
        <w:pStyle w:val="nzIndenta"/>
      </w:pPr>
      <w:r>
        <w:tab/>
        <w:t>(b)</w:t>
      </w:r>
      <w:r>
        <w:tab/>
        <w:t>by leaving it with a person apparently of or over the age of 16 years at the place of residence or place of business of the first</w:t>
      </w:r>
      <w:r>
        <w:noBreakHyphen/>
        <w:t>mentioned person; or</w:t>
      </w:r>
    </w:p>
    <w:p>
      <w:pPr>
        <w:pStyle w:val="nz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nzIndenta"/>
      </w:pPr>
      <w:r>
        <w:tab/>
        <w:t>(d)</w:t>
      </w:r>
      <w:r>
        <w:tab/>
        <w:t>if the person has an interest in the parcel that is registered or recorded in the Register, by sending it by post to the person’s address as it appears in the Register; or</w:t>
      </w:r>
    </w:p>
    <w:p>
      <w:pPr>
        <w:pStyle w:val="nzIndenta"/>
      </w:pPr>
      <w:r>
        <w:tab/>
        <w:t>(e)</w:t>
      </w:r>
      <w:r>
        <w:tab/>
        <w:t>by sending it to an electronic address notified to the sender by the first</w:t>
      </w:r>
      <w:r>
        <w:noBreakHyphen/>
        <w:t>mentioned person as an address at which service of such notices will be accepted.</w:t>
      </w:r>
    </w:p>
    <w:p>
      <w:pPr>
        <w:pStyle w:val="nzSubsection"/>
      </w:pPr>
      <w:r>
        <w:tab/>
        <w:t>(8)</w:t>
      </w:r>
      <w:r>
        <w:tab/>
        <w:t>For the purposes of this section, service by post must be by pre</w:t>
      </w:r>
      <w:r>
        <w:noBreakHyphen/>
      </w:r>
      <w:r>
        <w:rPr>
          <w:snapToGrid w:val="0"/>
        </w:rPr>
        <w:t>paid</w:t>
      </w:r>
      <w:r>
        <w:t xml:space="preserve"> post.</w:t>
      </w:r>
    </w:p>
    <w:p>
      <w:pPr>
        <w:pStyle w:val="nzSubsection"/>
      </w:pPr>
      <w:r>
        <w:tab/>
        <w:t>(9)</w:t>
      </w:r>
      <w:r>
        <w:tab/>
        <w:t xml:space="preserve">This section is in addition to the </w:t>
      </w:r>
      <w:r>
        <w:rPr>
          <w:i/>
        </w:rPr>
        <w:t>Interpretation Act 1984</w:t>
      </w:r>
      <w:r>
        <w:t xml:space="preserve"> sections 75 and 76.</w:t>
      </w:r>
    </w:p>
    <w:p>
      <w:pPr>
        <w:pStyle w:val="nzHeading5"/>
        <w:rPr>
          <w:snapToGrid w:val="0"/>
        </w:rPr>
      </w:pPr>
      <w:bookmarkStart w:id="1909" w:name="_Toc530474580"/>
      <w:bookmarkStart w:id="1910" w:name="_Toc530475175"/>
      <w:r>
        <w:t>218</w:t>
      </w:r>
      <w:r>
        <w:rPr>
          <w:snapToGrid w:val="0"/>
        </w:rPr>
        <w:t>.</w:t>
      </w:r>
      <w:r>
        <w:rPr>
          <w:snapToGrid w:val="0"/>
        </w:rPr>
        <w:tab/>
        <w:t>Correction of errors by Registrar of Titles</w:t>
      </w:r>
      <w:bookmarkEnd w:id="1909"/>
      <w:bookmarkEnd w:id="1910"/>
    </w:p>
    <w:p>
      <w:pPr>
        <w:pStyle w:val="nzSubsection"/>
        <w:rPr>
          <w:snapToGrid w:val="0"/>
        </w:rPr>
      </w:pPr>
      <w:r>
        <w:rPr>
          <w:snapToGrid w:val="0"/>
        </w:rPr>
        <w:tab/>
        <w:t>(1)</w:t>
      </w:r>
      <w:r>
        <w:rPr>
          <w:snapToGrid w:val="0"/>
        </w:rPr>
        <w:tab/>
        <w:t>The Commissioner of Titles may direct the Registrar of Titles to correct errors in the Register.</w:t>
      </w:r>
    </w:p>
    <w:p>
      <w:pPr>
        <w:pStyle w:val="nzSubsection"/>
        <w:rPr>
          <w:snapToGrid w:val="0"/>
        </w:rPr>
      </w:pPr>
      <w:r>
        <w:rPr>
          <w:snapToGrid w:val="0"/>
        </w:rPr>
        <w:tab/>
        <w:t>(2)</w:t>
      </w:r>
      <w:r>
        <w:rPr>
          <w:snapToGrid w:val="0"/>
        </w:rPr>
        <w:tab/>
        <w:t>The Registrar of Titles may correct errors in a scheme document or other document lodged for registration or approval.</w:t>
      </w:r>
    </w:p>
    <w:p>
      <w:pPr>
        <w:pStyle w:val="nzSubsection"/>
        <w:rPr>
          <w:snapToGrid w:val="0"/>
        </w:rPr>
      </w:pPr>
      <w:r>
        <w:rPr>
          <w:snapToGrid w:val="0"/>
        </w:rPr>
        <w:tab/>
        <w:t>(3)</w:t>
      </w:r>
      <w:r>
        <w:rPr>
          <w:snapToGrid w:val="0"/>
        </w:rPr>
        <w:tab/>
        <w:t>A correction of an error under this section may require the deletion of material or the insertion of material.</w:t>
      </w:r>
    </w:p>
    <w:p>
      <w:pPr>
        <w:pStyle w:val="nzSubsection"/>
        <w:rPr>
          <w:snapToGrid w:val="0"/>
        </w:rPr>
      </w:pPr>
      <w:r>
        <w:rPr>
          <w:snapToGrid w:val="0"/>
        </w:rPr>
        <w:tab/>
        <w:t>(4)</w:t>
      </w:r>
      <w:r>
        <w:rPr>
          <w:snapToGrid w:val="0"/>
        </w:rPr>
        <w:tab/>
        <w:t>When correcting an error under this section, the Registrar of Titles must —</w:t>
      </w:r>
    </w:p>
    <w:p>
      <w:pPr>
        <w:pStyle w:val="nzIndenta"/>
      </w:pPr>
      <w:r>
        <w:tab/>
        <w:t>(a)</w:t>
      </w:r>
      <w:r>
        <w:tab/>
        <w:t>for a paper medium, not erase or render illegible the original writing and include the date on which the correction was made together with the Registrar’s initials; and</w:t>
      </w:r>
    </w:p>
    <w:p>
      <w:pPr>
        <w:pStyle w:val="nzIndenta"/>
      </w:pPr>
      <w:r>
        <w:tab/>
        <w:t>(b)</w:t>
      </w:r>
      <w:r>
        <w:tab/>
        <w:t>for a digital medium, keep a permanent record of any words or lines deleted and the date on which the correction was made.</w:t>
      </w:r>
    </w:p>
    <w:p>
      <w:pPr>
        <w:pStyle w:val="nz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nzHeading5"/>
        <w:rPr>
          <w:snapToGrid w:val="0"/>
        </w:rPr>
      </w:pPr>
      <w:bookmarkStart w:id="1911" w:name="_Toc530474581"/>
      <w:bookmarkStart w:id="1912" w:name="_Toc530475176"/>
      <w:r>
        <w:rPr>
          <w:snapToGrid w:val="0"/>
        </w:rPr>
        <w:t>222.</w:t>
      </w:r>
      <w:r>
        <w:rPr>
          <w:snapToGrid w:val="0"/>
        </w:rPr>
        <w:tab/>
        <w:t>Disposition statement</w:t>
      </w:r>
      <w:bookmarkEnd w:id="1911"/>
      <w:bookmarkEnd w:id="1912"/>
    </w:p>
    <w:p>
      <w:pPr>
        <w:pStyle w:val="nz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nz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nzIndenta"/>
        <w:rPr>
          <w:snapToGrid w:val="0"/>
        </w:rPr>
      </w:pPr>
      <w:r>
        <w:rPr>
          <w:snapToGrid w:val="0"/>
        </w:rPr>
        <w:tab/>
        <w:t>(b)</w:t>
      </w:r>
      <w:r>
        <w:rPr>
          <w:snapToGrid w:val="0"/>
        </w:rPr>
        <w:tab/>
        <w:t>evidence required under this Act is provided.</w:t>
      </w:r>
    </w:p>
    <w:p>
      <w:pPr>
        <w:pStyle w:val="nzHeading5"/>
      </w:pPr>
      <w:bookmarkStart w:id="1913" w:name="_Toc530474582"/>
      <w:bookmarkStart w:id="1914" w:name="_Toc530475177"/>
      <w:r>
        <w:t>223.</w:t>
      </w:r>
      <w:r>
        <w:tab/>
        <w:t>Requirements under Transfer of Land Act</w:t>
      </w:r>
      <w:bookmarkEnd w:id="1913"/>
      <w:bookmarkEnd w:id="1914"/>
    </w:p>
    <w:p>
      <w:pPr>
        <w:pStyle w:val="nzSubsection"/>
      </w:pPr>
      <w:r>
        <w:tab/>
      </w:r>
      <w:r>
        <w:tab/>
        <w:t xml:space="preserve">Requirements determined under the </w:t>
      </w:r>
      <w:r>
        <w:rPr>
          <w:i/>
        </w:rPr>
        <w:t>Transfer of Land Act 1893</w:t>
      </w:r>
      <w:r>
        <w:t xml:space="preserve"> section 182A may relate to matters arising under this Act.</w:t>
      </w:r>
    </w:p>
    <w:p>
      <w:pPr>
        <w:pStyle w:val="nzHeading5"/>
      </w:pPr>
      <w:bookmarkStart w:id="1915" w:name="_Toc530474583"/>
      <w:bookmarkStart w:id="1916" w:name="_Toc530475178"/>
      <w:r>
        <w:t>227.</w:t>
      </w:r>
      <w:r>
        <w:tab/>
        <w:t>Review of this Act</w:t>
      </w:r>
      <w:bookmarkEnd w:id="1915"/>
      <w:bookmarkEnd w:id="1916"/>
    </w:p>
    <w:p>
      <w:pPr>
        <w:pStyle w:val="nz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nzSubsection"/>
      </w:pPr>
      <w:r>
        <w:tab/>
        <w:t>(2)</w:t>
      </w:r>
      <w:r>
        <w:tab/>
        <w:t>The Minister must, as soon as practicable —</w:t>
      </w:r>
    </w:p>
    <w:p>
      <w:pPr>
        <w:pStyle w:val="nzIndenta"/>
      </w:pPr>
      <w:r>
        <w:tab/>
        <w:t>(a)</w:t>
      </w:r>
      <w:r>
        <w:tab/>
        <w:t>prepare a report about the outcome of the review; and</w:t>
      </w:r>
    </w:p>
    <w:p>
      <w:pPr>
        <w:pStyle w:val="nzIndenta"/>
      </w:pPr>
      <w:r>
        <w:tab/>
        <w:t>(b)</w:t>
      </w:r>
      <w:r>
        <w:tab/>
        <w:t>cause a copy of the report to be laid before each House of Parliament.</w:t>
      </w:r>
    </w:p>
    <w:p>
      <w:pPr>
        <w:pStyle w:val="nzHeading5"/>
      </w:pPr>
      <w:bookmarkStart w:id="1917" w:name="_Toc530474584"/>
      <w:bookmarkStart w:id="1918" w:name="_Toc530475179"/>
      <w:r>
        <w:t>228.</w:t>
      </w:r>
      <w:r>
        <w:tab/>
        <w:t>Transitionals and savings: Schedules 3, 4 and 5</w:t>
      </w:r>
      <w:bookmarkEnd w:id="1917"/>
      <w:bookmarkEnd w:id="1918"/>
    </w:p>
    <w:p>
      <w:pPr>
        <w:pStyle w:val="nz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nzSubsection"/>
      </w:pPr>
      <w:r>
        <w:tab/>
        <w:t>(2)</w:t>
      </w:r>
      <w:r>
        <w:tab/>
        <w:t xml:space="preserve">The </w:t>
      </w:r>
      <w:r>
        <w:rPr>
          <w:snapToGrid w:val="0"/>
        </w:rPr>
        <w:t>purpose</w:t>
      </w:r>
      <w:r>
        <w:t xml:space="preserve"> of — </w:t>
      </w:r>
    </w:p>
    <w:p>
      <w:pPr>
        <w:pStyle w:val="nzIndenta"/>
      </w:pPr>
      <w:r>
        <w:tab/>
        <w:t>(a)</w:t>
      </w:r>
      <w:r>
        <w:tab/>
        <w:t xml:space="preserve">Schedule 3 is to effect the transition from the </w:t>
      </w:r>
      <w:r>
        <w:rPr>
          <w:i/>
        </w:rPr>
        <w:t>Strata Titles Act 1966</w:t>
      </w:r>
      <w:r>
        <w:t xml:space="preserve"> to this Act as enacted in 1985; and</w:t>
      </w:r>
    </w:p>
    <w:p>
      <w:pPr>
        <w:pStyle w:val="nzIndenta"/>
      </w:pPr>
      <w:r>
        <w:tab/>
        <w:t>(b)</w:t>
      </w:r>
      <w:r>
        <w:tab/>
        <w:t>Schedule 4 is to effect the transition to the</w:t>
      </w:r>
      <w:r>
        <w:rPr>
          <w:i/>
        </w:rPr>
        <w:t xml:space="preserve"> Strata Titles Amendment Act 1995</w:t>
      </w:r>
      <w:r>
        <w:t>.</w:t>
      </w:r>
    </w:p>
    <w:p>
      <w:pPr>
        <w:pStyle w:val="nzSubsection"/>
      </w:pPr>
      <w:r>
        <w:tab/>
        <w:t>(3)</w:t>
      </w:r>
      <w:r>
        <w:tab/>
        <w:t xml:space="preserve">Except where the contrary intention appears, Schedules 3 and 4 are to be construed in accordance with the purpose set out in subsection (2) and in particular — </w:t>
      </w:r>
    </w:p>
    <w:p>
      <w:pPr>
        <w:pStyle w:val="nz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nz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BlankClose"/>
      </w:pPr>
    </w:p>
    <w:p>
      <w:pPr>
        <w:pStyle w:val="nzHeading3"/>
      </w:pPr>
      <w:bookmarkStart w:id="1919" w:name="_Toc517437786"/>
      <w:bookmarkStart w:id="1920" w:name="_Toc517438328"/>
      <w:bookmarkStart w:id="1921" w:name="_Toc517440665"/>
      <w:bookmarkStart w:id="1922" w:name="_Toc517447702"/>
      <w:bookmarkStart w:id="1923" w:name="_Toc517450180"/>
      <w:bookmarkStart w:id="1924" w:name="_Toc517450722"/>
      <w:bookmarkStart w:id="1925" w:name="_Toc517857178"/>
      <w:bookmarkStart w:id="1926" w:name="_Toc518293305"/>
      <w:bookmarkStart w:id="1927" w:name="_Toc522744533"/>
      <w:bookmarkStart w:id="1928" w:name="_Toc522747656"/>
      <w:bookmarkStart w:id="1929" w:name="_Toc529183494"/>
      <w:bookmarkStart w:id="1930" w:name="_Toc529188257"/>
      <w:bookmarkStart w:id="1931" w:name="_Toc529434770"/>
      <w:bookmarkStart w:id="1932" w:name="_Toc529524661"/>
      <w:bookmarkStart w:id="1933" w:name="_Toc530474585"/>
      <w:bookmarkStart w:id="1934" w:name="_Toc530475180"/>
      <w:r>
        <w:rPr>
          <w:rStyle w:val="CharDivNo"/>
        </w:rPr>
        <w:t>Division 4</w:t>
      </w:r>
      <w:r>
        <w:t> — </w:t>
      </w:r>
      <w:r>
        <w:rPr>
          <w:rStyle w:val="CharDivText"/>
        </w:rPr>
        <w:t>Sections relocated to Parts 2 to 14</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nzHeading5"/>
      </w:pPr>
      <w:bookmarkStart w:id="1935" w:name="_Toc530474586"/>
      <w:bookmarkStart w:id="1936" w:name="_Toc530475181"/>
      <w:r>
        <w:rPr>
          <w:rStyle w:val="CharSectno"/>
        </w:rPr>
        <w:t>84</w:t>
      </w:r>
      <w:r>
        <w:t>.</w:t>
      </w:r>
      <w:r>
        <w:tab/>
      </w:r>
      <w:r>
        <w:rPr>
          <w:rStyle w:val="CharDivText"/>
        </w:rPr>
        <w:t>Sections relocated to Parts 2 to 14</w:t>
      </w:r>
      <w:bookmarkEnd w:id="1935"/>
      <w:bookmarkEnd w:id="1936"/>
    </w:p>
    <w:p>
      <w:pPr>
        <w:pStyle w:val="nzSubsection"/>
      </w:pPr>
      <w:r>
        <w:tab/>
      </w:r>
      <w:r>
        <w:tab/>
        <w:t>The sections listed in column 1 of the Table below are, after their amendment as set out in Part 2 Division 2 of this Act, renumbered (if relevant) and relocated (in the order set out in the Table) to the Parts, Divisions and Subdivisions inserted by section 83 of this Act as set out in columns 2 and 4 of the Table.</w:t>
      </w:r>
    </w:p>
    <w:p>
      <w:pPr>
        <w:pStyle w:val="THeading"/>
      </w:pPr>
      <w:r>
        <w:t>Table</w:t>
      </w:r>
    </w:p>
    <w:tbl>
      <w:tblPr>
        <w:tblStyle w:val="TableGrid"/>
        <w:tblW w:w="0" w:type="auto"/>
        <w:tblInd w:w="392" w:type="dxa"/>
        <w:tblLayout w:type="fixed"/>
        <w:tblLook w:val="04A0" w:firstRow="1" w:lastRow="0" w:firstColumn="1" w:lastColumn="0" w:noHBand="0" w:noVBand="1"/>
      </w:tblPr>
      <w:tblGrid>
        <w:gridCol w:w="1134"/>
        <w:gridCol w:w="1559"/>
        <w:gridCol w:w="1985"/>
        <w:gridCol w:w="1984"/>
      </w:tblGrid>
      <w:tr>
        <w:trPr>
          <w:cantSplit/>
          <w:tblHeader/>
        </w:trPr>
        <w:tc>
          <w:tcPr>
            <w:tcW w:w="1134" w:type="dxa"/>
          </w:tcPr>
          <w:p>
            <w:pPr>
              <w:pStyle w:val="TableAm"/>
              <w:jc w:val="center"/>
              <w:rPr>
                <w:b/>
              </w:rPr>
            </w:pPr>
            <w:r>
              <w:rPr>
                <w:b/>
              </w:rPr>
              <w:t>Section number</w:t>
            </w:r>
          </w:p>
        </w:tc>
        <w:tc>
          <w:tcPr>
            <w:tcW w:w="1559" w:type="dxa"/>
          </w:tcPr>
          <w:p>
            <w:pPr>
              <w:pStyle w:val="TableAm"/>
              <w:jc w:val="center"/>
              <w:rPr>
                <w:b/>
              </w:rPr>
            </w:pPr>
            <w:r>
              <w:rPr>
                <w:b/>
              </w:rPr>
              <w:t>Renumbered section number</w:t>
            </w:r>
          </w:p>
        </w:tc>
        <w:tc>
          <w:tcPr>
            <w:tcW w:w="1985" w:type="dxa"/>
          </w:tcPr>
          <w:p>
            <w:pPr>
              <w:pStyle w:val="TableAm"/>
              <w:jc w:val="center"/>
              <w:rPr>
                <w:b/>
              </w:rPr>
            </w:pPr>
            <w:r>
              <w:rPr>
                <w:b/>
              </w:rPr>
              <w:t>Section heading</w:t>
            </w:r>
          </w:p>
        </w:tc>
        <w:tc>
          <w:tcPr>
            <w:tcW w:w="1984" w:type="dxa"/>
          </w:tcPr>
          <w:p>
            <w:pPr>
              <w:pStyle w:val="TableAm"/>
              <w:jc w:val="center"/>
              <w:rPr>
                <w:b/>
              </w:rPr>
            </w:pPr>
            <w:r>
              <w:rPr>
                <w:b/>
              </w:rPr>
              <w:t>Relocation of section</w:t>
            </w:r>
          </w:p>
        </w:tc>
      </w:tr>
      <w:tr>
        <w:trPr>
          <w:cantSplit/>
        </w:trPr>
        <w:tc>
          <w:tcPr>
            <w:tcW w:w="1134" w:type="dxa"/>
          </w:tcPr>
          <w:p>
            <w:pPr>
              <w:pStyle w:val="TableAm"/>
            </w:pPr>
            <w:r>
              <w:t>s. 7</w:t>
            </w:r>
          </w:p>
        </w:tc>
        <w:tc>
          <w:tcPr>
            <w:tcW w:w="1559" w:type="dxa"/>
          </w:tcPr>
          <w:p>
            <w:pPr>
              <w:pStyle w:val="TableAm"/>
            </w:pPr>
            <w:r>
              <w:t>s. 87</w:t>
            </w:r>
          </w:p>
        </w:tc>
        <w:tc>
          <w:tcPr>
            <w:tcW w:w="1985" w:type="dxa"/>
          </w:tcPr>
          <w:p>
            <w:pPr>
              <w:pStyle w:val="TableAm"/>
              <w:rPr>
                <w:b/>
                <w:sz w:val="20"/>
              </w:rPr>
            </w:pPr>
            <w:r>
              <w:rPr>
                <w:b/>
                <w:sz w:val="20"/>
              </w:rPr>
              <w:t>Structural alteration of lot in strata scheme</w:t>
            </w:r>
          </w:p>
        </w:tc>
        <w:tc>
          <w:tcPr>
            <w:tcW w:w="1984" w:type="dxa"/>
          </w:tcPr>
          <w:p>
            <w:pPr>
              <w:pStyle w:val="TableAm"/>
            </w:pPr>
            <w:r>
              <w:t>Part 7 Division 2</w:t>
            </w:r>
          </w:p>
        </w:tc>
      </w:tr>
      <w:tr>
        <w:trPr>
          <w:cantSplit/>
        </w:trPr>
        <w:tc>
          <w:tcPr>
            <w:tcW w:w="1134" w:type="dxa"/>
          </w:tcPr>
          <w:p>
            <w:pPr>
              <w:pStyle w:val="TableAm"/>
            </w:pPr>
            <w:r>
              <w:t>s. 7B</w:t>
            </w:r>
          </w:p>
        </w:tc>
        <w:tc>
          <w:tcPr>
            <w:tcW w:w="1559" w:type="dxa"/>
          </w:tcPr>
          <w:p>
            <w:pPr>
              <w:pStyle w:val="TableAm"/>
            </w:pPr>
            <w:r>
              <w:t>s. 89</w:t>
            </w:r>
          </w:p>
        </w:tc>
        <w:tc>
          <w:tcPr>
            <w:tcW w:w="1985" w:type="dxa"/>
          </w:tcPr>
          <w:p>
            <w:pPr>
              <w:pStyle w:val="TableAm"/>
              <w:rPr>
                <w:b/>
              </w:rPr>
            </w:pPr>
            <w:r>
              <w:rPr>
                <w:b/>
                <w:sz w:val="20"/>
              </w:rPr>
              <w:t>Approvals and objections to structural alterations</w:t>
            </w:r>
          </w:p>
        </w:tc>
        <w:tc>
          <w:tcPr>
            <w:tcW w:w="1984" w:type="dxa"/>
          </w:tcPr>
          <w:p>
            <w:pPr>
              <w:pStyle w:val="TableAm"/>
            </w:pPr>
            <w:r>
              <w:t>Part 7 Division 2</w:t>
            </w:r>
          </w:p>
        </w:tc>
      </w:tr>
      <w:tr>
        <w:trPr>
          <w:cantSplit/>
        </w:trPr>
        <w:tc>
          <w:tcPr>
            <w:tcW w:w="1134" w:type="dxa"/>
          </w:tcPr>
          <w:p>
            <w:pPr>
              <w:pStyle w:val="TableAm"/>
            </w:pPr>
            <w:r>
              <w:t>s. 24</w:t>
            </w:r>
          </w:p>
        </w:tc>
        <w:tc>
          <w:tcPr>
            <w:tcW w:w="1559" w:type="dxa"/>
          </w:tcPr>
          <w:p>
            <w:pPr>
              <w:pStyle w:val="TableAm"/>
            </w:pPr>
          </w:p>
        </w:tc>
        <w:tc>
          <w:tcPr>
            <w:tcW w:w="1985" w:type="dxa"/>
          </w:tcPr>
          <w:p>
            <w:pPr>
              <w:pStyle w:val="TableAm"/>
              <w:rPr>
                <w:b/>
                <w:sz w:val="20"/>
              </w:rPr>
            </w:pPr>
            <w:r>
              <w:rPr>
                <w:b/>
                <w:sz w:val="20"/>
              </w:rPr>
              <w:t>Preliminary determinations by local government</w:t>
            </w:r>
          </w:p>
        </w:tc>
        <w:tc>
          <w:tcPr>
            <w:tcW w:w="1984" w:type="dxa"/>
          </w:tcPr>
          <w:p>
            <w:pPr>
              <w:pStyle w:val="TableAm"/>
            </w:pPr>
            <w:r>
              <w:t>Part 3 Division 2</w:t>
            </w:r>
          </w:p>
        </w:tc>
      </w:tr>
      <w:tr>
        <w:trPr>
          <w:cantSplit/>
        </w:trPr>
        <w:tc>
          <w:tcPr>
            <w:tcW w:w="1134" w:type="dxa"/>
          </w:tcPr>
          <w:p>
            <w:pPr>
              <w:pStyle w:val="TableAm"/>
            </w:pPr>
            <w:r>
              <w:t>s. 26</w:t>
            </w:r>
          </w:p>
        </w:tc>
        <w:tc>
          <w:tcPr>
            <w:tcW w:w="1559" w:type="dxa"/>
          </w:tcPr>
          <w:p>
            <w:pPr>
              <w:pStyle w:val="TableAm"/>
            </w:pPr>
            <w:r>
              <w:t>s. 28</w:t>
            </w:r>
          </w:p>
        </w:tc>
        <w:tc>
          <w:tcPr>
            <w:tcW w:w="1985" w:type="dxa"/>
          </w:tcPr>
          <w:p>
            <w:pPr>
              <w:pStyle w:val="TableAm"/>
              <w:rPr>
                <w:b/>
              </w:rPr>
            </w:pPr>
            <w:r>
              <w:rPr>
                <w:b/>
                <w:sz w:val="20"/>
              </w:rPr>
              <w:t>Review of local government decision</w:t>
            </w:r>
          </w:p>
        </w:tc>
        <w:tc>
          <w:tcPr>
            <w:tcW w:w="1984" w:type="dxa"/>
          </w:tcPr>
          <w:p>
            <w:pPr>
              <w:pStyle w:val="TableAm"/>
            </w:pPr>
            <w:r>
              <w:t>Part 3 Division 4</w:t>
            </w:r>
          </w:p>
        </w:tc>
      </w:tr>
      <w:tr>
        <w:trPr>
          <w:cantSplit/>
        </w:trPr>
        <w:tc>
          <w:tcPr>
            <w:tcW w:w="1134" w:type="dxa"/>
          </w:tcPr>
          <w:p>
            <w:pPr>
              <w:pStyle w:val="TableAm"/>
            </w:pPr>
            <w:r>
              <w:t>s. 28</w:t>
            </w:r>
          </w:p>
        </w:tc>
        <w:tc>
          <w:tcPr>
            <w:tcW w:w="1559" w:type="dxa"/>
          </w:tcPr>
          <w:p>
            <w:pPr>
              <w:pStyle w:val="TableAm"/>
            </w:pPr>
            <w:r>
              <w:t>s. 166</w:t>
            </w:r>
          </w:p>
        </w:tc>
        <w:tc>
          <w:tcPr>
            <w:tcW w:w="1985" w:type="dxa"/>
          </w:tcPr>
          <w:p>
            <w:pPr>
              <w:pStyle w:val="TableAm"/>
              <w:rPr>
                <w:b/>
              </w:rPr>
            </w:pPr>
            <w:r>
              <w:rPr>
                <w:b/>
                <w:sz w:val="20"/>
              </w:rPr>
              <w:t>Variation of strata scheme on damage or destruction of building</w:t>
            </w:r>
          </w:p>
        </w:tc>
        <w:tc>
          <w:tcPr>
            <w:tcW w:w="1984" w:type="dxa"/>
          </w:tcPr>
          <w:p>
            <w:pPr>
              <w:pStyle w:val="TableAm"/>
            </w:pPr>
            <w:r>
              <w:t>Part 11 Division 1</w:t>
            </w:r>
          </w:p>
        </w:tc>
      </w:tr>
      <w:tr>
        <w:trPr>
          <w:cantSplit/>
        </w:trPr>
        <w:tc>
          <w:tcPr>
            <w:tcW w:w="1134" w:type="dxa"/>
          </w:tcPr>
          <w:p>
            <w:pPr>
              <w:pStyle w:val="TableAm"/>
            </w:pPr>
            <w:r>
              <w:t>s. 29</w:t>
            </w:r>
          </w:p>
        </w:tc>
        <w:tc>
          <w:tcPr>
            <w:tcW w:w="1559" w:type="dxa"/>
          </w:tcPr>
          <w:p>
            <w:pPr>
              <w:pStyle w:val="TableAm"/>
            </w:pPr>
            <w:r>
              <w:t>s. 167</w:t>
            </w:r>
          </w:p>
        </w:tc>
        <w:tc>
          <w:tcPr>
            <w:tcW w:w="1985" w:type="dxa"/>
          </w:tcPr>
          <w:p>
            <w:pPr>
              <w:pStyle w:val="TableAm"/>
              <w:rPr>
                <w:b/>
              </w:rPr>
            </w:pPr>
            <w:r>
              <w:rPr>
                <w:b/>
                <w:sz w:val="20"/>
              </w:rPr>
              <w:t>Variation of strata scheme on taking</w:t>
            </w:r>
          </w:p>
        </w:tc>
        <w:tc>
          <w:tcPr>
            <w:tcW w:w="1984" w:type="dxa"/>
          </w:tcPr>
          <w:p>
            <w:pPr>
              <w:pStyle w:val="TableAm"/>
            </w:pPr>
            <w:r>
              <w:t>Part 11 Division 2</w:t>
            </w:r>
          </w:p>
        </w:tc>
      </w:tr>
      <w:tr>
        <w:trPr>
          <w:cantSplit/>
        </w:trPr>
        <w:tc>
          <w:tcPr>
            <w:tcW w:w="1134" w:type="dxa"/>
          </w:tcPr>
          <w:p>
            <w:pPr>
              <w:pStyle w:val="TableAm"/>
            </w:pPr>
            <w:r>
              <w:t>s. 29A</w:t>
            </w:r>
          </w:p>
        </w:tc>
        <w:tc>
          <w:tcPr>
            <w:tcW w:w="1559" w:type="dxa"/>
          </w:tcPr>
          <w:p>
            <w:pPr>
              <w:pStyle w:val="TableAm"/>
            </w:pPr>
            <w:r>
              <w:t>s. 168</w:t>
            </w:r>
          </w:p>
        </w:tc>
        <w:tc>
          <w:tcPr>
            <w:tcW w:w="1985" w:type="dxa"/>
          </w:tcPr>
          <w:p>
            <w:pPr>
              <w:pStyle w:val="TableAm"/>
              <w:rPr>
                <w:b/>
              </w:rPr>
            </w:pPr>
            <w:r>
              <w:rPr>
                <w:b/>
                <w:sz w:val="20"/>
              </w:rPr>
              <w:t>Variation of survey</w:t>
            </w:r>
            <w:r>
              <w:rPr>
                <w:b/>
                <w:sz w:val="20"/>
              </w:rPr>
              <w:noBreakHyphen/>
              <w:t xml:space="preserve"> strata scheme on taking</w:t>
            </w:r>
          </w:p>
        </w:tc>
        <w:tc>
          <w:tcPr>
            <w:tcW w:w="1984" w:type="dxa"/>
          </w:tcPr>
          <w:p>
            <w:pPr>
              <w:pStyle w:val="TableAm"/>
            </w:pPr>
            <w:r>
              <w:t>Part 11 Division 2</w:t>
            </w:r>
          </w:p>
        </w:tc>
      </w:tr>
      <w:tr>
        <w:trPr>
          <w:cantSplit/>
        </w:trPr>
        <w:tc>
          <w:tcPr>
            <w:tcW w:w="1134" w:type="dxa"/>
          </w:tcPr>
          <w:p>
            <w:pPr>
              <w:pStyle w:val="TableAm"/>
            </w:pPr>
            <w:r>
              <w:t>s. 29B</w:t>
            </w:r>
          </w:p>
        </w:tc>
        <w:tc>
          <w:tcPr>
            <w:tcW w:w="1559" w:type="dxa"/>
          </w:tcPr>
          <w:p>
            <w:pPr>
              <w:pStyle w:val="TableAm"/>
            </w:pPr>
            <w:r>
              <w:t>s. 169</w:t>
            </w:r>
          </w:p>
        </w:tc>
        <w:tc>
          <w:tcPr>
            <w:tcW w:w="1985" w:type="dxa"/>
          </w:tcPr>
          <w:p>
            <w:pPr>
              <w:pStyle w:val="TableAm"/>
              <w:rPr>
                <w:b/>
              </w:rPr>
            </w:pPr>
            <w:r>
              <w:rPr>
                <w:b/>
                <w:sz w:val="20"/>
              </w:rPr>
              <w:t>Acquiring authority to lodge redefining plan after partial taking</w:t>
            </w:r>
          </w:p>
        </w:tc>
        <w:tc>
          <w:tcPr>
            <w:tcW w:w="1984" w:type="dxa"/>
          </w:tcPr>
          <w:p>
            <w:pPr>
              <w:pStyle w:val="TableAm"/>
            </w:pPr>
            <w:r>
              <w:t>Part 11 Division 2</w:t>
            </w:r>
          </w:p>
        </w:tc>
      </w:tr>
      <w:tr>
        <w:trPr>
          <w:cantSplit/>
        </w:trPr>
        <w:tc>
          <w:tcPr>
            <w:tcW w:w="1134" w:type="dxa"/>
          </w:tcPr>
          <w:p>
            <w:pPr>
              <w:pStyle w:val="TableAm"/>
            </w:pPr>
            <w:r>
              <w:t>s. 29C</w:t>
            </w:r>
          </w:p>
        </w:tc>
        <w:tc>
          <w:tcPr>
            <w:tcW w:w="1559" w:type="dxa"/>
          </w:tcPr>
          <w:p>
            <w:pPr>
              <w:pStyle w:val="TableAm"/>
            </w:pPr>
            <w:r>
              <w:t>s. 196</w:t>
            </w:r>
          </w:p>
        </w:tc>
        <w:tc>
          <w:tcPr>
            <w:tcW w:w="1985" w:type="dxa"/>
          </w:tcPr>
          <w:p>
            <w:pPr>
              <w:pStyle w:val="TableAm"/>
              <w:rPr>
                <w:b/>
                <w:sz w:val="20"/>
              </w:rPr>
            </w:pPr>
            <w:r>
              <w:rPr>
                <w:b/>
                <w:sz w:val="20"/>
              </w:rPr>
              <w:t>Termination on compulsory acquisition</w:t>
            </w:r>
          </w:p>
        </w:tc>
        <w:tc>
          <w:tcPr>
            <w:tcW w:w="1984" w:type="dxa"/>
          </w:tcPr>
          <w:p>
            <w:pPr>
              <w:pStyle w:val="TableAm"/>
            </w:pPr>
            <w:r>
              <w:t>Part 12 Division 7</w:t>
            </w:r>
          </w:p>
        </w:tc>
      </w:tr>
      <w:tr>
        <w:trPr>
          <w:cantSplit/>
        </w:trPr>
        <w:tc>
          <w:tcPr>
            <w:tcW w:w="1134" w:type="dxa"/>
          </w:tcPr>
          <w:p>
            <w:pPr>
              <w:pStyle w:val="TableAm"/>
            </w:pPr>
            <w:r>
              <w:t>s. 33</w:t>
            </w:r>
          </w:p>
        </w:tc>
        <w:tc>
          <w:tcPr>
            <w:tcW w:w="1559" w:type="dxa"/>
          </w:tcPr>
          <w:p>
            <w:pPr>
              <w:pStyle w:val="TableAm"/>
            </w:pPr>
            <w:r>
              <w:t>s. 103</w:t>
            </w:r>
          </w:p>
        </w:tc>
        <w:tc>
          <w:tcPr>
            <w:tcW w:w="1985" w:type="dxa"/>
          </w:tcPr>
          <w:p>
            <w:pPr>
              <w:pStyle w:val="TableAm"/>
              <w:rPr>
                <w:b/>
              </w:rPr>
            </w:pPr>
            <w:r>
              <w:rPr>
                <w:b/>
                <w:sz w:val="20"/>
              </w:rPr>
              <w:t>Strata company is representative of owners in proceedings</w:t>
            </w:r>
          </w:p>
        </w:tc>
        <w:tc>
          <w:tcPr>
            <w:tcW w:w="1984" w:type="dxa"/>
          </w:tcPr>
          <w:p>
            <w:pPr>
              <w:pStyle w:val="TableAm"/>
            </w:pPr>
            <w:r>
              <w:t>Part 8 Division 1 Subdivision 4</w:t>
            </w:r>
          </w:p>
        </w:tc>
      </w:tr>
      <w:tr>
        <w:trPr>
          <w:cantSplit/>
        </w:trPr>
        <w:tc>
          <w:tcPr>
            <w:tcW w:w="1134" w:type="dxa"/>
          </w:tcPr>
          <w:p>
            <w:pPr>
              <w:pStyle w:val="TableAm"/>
            </w:pPr>
            <w:r>
              <w:t>s. 34</w:t>
            </w:r>
          </w:p>
        </w:tc>
        <w:tc>
          <w:tcPr>
            <w:tcW w:w="1559" w:type="dxa"/>
          </w:tcPr>
          <w:p>
            <w:pPr>
              <w:pStyle w:val="TableAm"/>
            </w:pPr>
            <w:r>
              <w:t>s. 139</w:t>
            </w:r>
          </w:p>
        </w:tc>
        <w:tc>
          <w:tcPr>
            <w:tcW w:w="1985" w:type="dxa"/>
          </w:tcPr>
          <w:p>
            <w:pPr>
              <w:pStyle w:val="TableAm"/>
              <w:rPr>
                <w:b/>
              </w:rPr>
            </w:pPr>
            <w:r>
              <w:rPr>
                <w:b/>
                <w:sz w:val="20"/>
              </w:rPr>
              <w:t>Contract formalities</w:t>
            </w:r>
          </w:p>
        </w:tc>
        <w:tc>
          <w:tcPr>
            <w:tcW w:w="1984" w:type="dxa"/>
          </w:tcPr>
          <w:p>
            <w:pPr>
              <w:pStyle w:val="TableAm"/>
            </w:pPr>
            <w:r>
              <w:t>Part 8 Division 5</w:t>
            </w:r>
          </w:p>
        </w:tc>
      </w:tr>
      <w:tr>
        <w:trPr>
          <w:cantSplit/>
        </w:trPr>
        <w:tc>
          <w:tcPr>
            <w:tcW w:w="1134" w:type="dxa"/>
          </w:tcPr>
          <w:p>
            <w:pPr>
              <w:pStyle w:val="TableAm"/>
            </w:pPr>
            <w:r>
              <w:t>s. 35</w:t>
            </w:r>
          </w:p>
        </w:tc>
        <w:tc>
          <w:tcPr>
            <w:tcW w:w="1559" w:type="dxa"/>
          </w:tcPr>
          <w:p>
            <w:pPr>
              <w:pStyle w:val="TableAm"/>
            </w:pPr>
            <w:r>
              <w:t>s. 91</w:t>
            </w:r>
          </w:p>
        </w:tc>
        <w:tc>
          <w:tcPr>
            <w:tcW w:w="1985" w:type="dxa"/>
          </w:tcPr>
          <w:p>
            <w:pPr>
              <w:pStyle w:val="TableAm"/>
              <w:rPr>
                <w:b/>
              </w:rPr>
            </w:pPr>
            <w:r>
              <w:rPr>
                <w:b/>
                <w:sz w:val="20"/>
              </w:rPr>
              <w:t>General duty</w:t>
            </w:r>
          </w:p>
        </w:tc>
        <w:tc>
          <w:tcPr>
            <w:tcW w:w="1984" w:type="dxa"/>
          </w:tcPr>
          <w:p>
            <w:pPr>
              <w:pStyle w:val="TableAm"/>
            </w:pPr>
            <w:r>
              <w:t>Part 8 Division 1 Subdivision 1</w:t>
            </w:r>
          </w:p>
        </w:tc>
      </w:tr>
      <w:tr>
        <w:trPr>
          <w:cantSplit/>
        </w:trPr>
        <w:tc>
          <w:tcPr>
            <w:tcW w:w="1134" w:type="dxa"/>
          </w:tcPr>
          <w:p>
            <w:pPr>
              <w:pStyle w:val="TableAm"/>
            </w:pPr>
            <w:r>
              <w:t>s. 35A</w:t>
            </w:r>
          </w:p>
        </w:tc>
        <w:tc>
          <w:tcPr>
            <w:tcW w:w="1559" w:type="dxa"/>
          </w:tcPr>
          <w:p>
            <w:pPr>
              <w:pStyle w:val="TableAm"/>
            </w:pPr>
            <w:r>
              <w:t>s. 105</w:t>
            </w:r>
          </w:p>
        </w:tc>
        <w:tc>
          <w:tcPr>
            <w:tcW w:w="1985" w:type="dxa"/>
          </w:tcPr>
          <w:p>
            <w:pPr>
              <w:pStyle w:val="TableAm"/>
              <w:rPr>
                <w:b/>
              </w:rPr>
            </w:pPr>
            <w:r>
              <w:rPr>
                <w:b/>
                <w:sz w:val="20"/>
              </w:rPr>
              <w:t>Roll to be kept by strata company</w:t>
            </w:r>
          </w:p>
        </w:tc>
        <w:tc>
          <w:tcPr>
            <w:tcW w:w="1984" w:type="dxa"/>
          </w:tcPr>
          <w:p>
            <w:pPr>
              <w:pStyle w:val="TableAm"/>
            </w:pPr>
            <w:r>
              <w:t>Part 8 Division 1 Subdivision 5</w:t>
            </w:r>
          </w:p>
        </w:tc>
      </w:tr>
      <w:tr>
        <w:trPr>
          <w:cantSplit/>
        </w:trPr>
        <w:tc>
          <w:tcPr>
            <w:tcW w:w="1134" w:type="dxa"/>
          </w:tcPr>
          <w:p>
            <w:pPr>
              <w:pStyle w:val="TableAm"/>
            </w:pPr>
            <w:r>
              <w:t>s. 36</w:t>
            </w:r>
          </w:p>
        </w:tc>
        <w:tc>
          <w:tcPr>
            <w:tcW w:w="1559" w:type="dxa"/>
          </w:tcPr>
          <w:p>
            <w:pPr>
              <w:pStyle w:val="TableAm"/>
            </w:pPr>
            <w:r>
              <w:t>s. 100</w:t>
            </w:r>
          </w:p>
        </w:tc>
        <w:tc>
          <w:tcPr>
            <w:tcW w:w="1985" w:type="dxa"/>
          </w:tcPr>
          <w:p>
            <w:pPr>
              <w:pStyle w:val="TableAm"/>
              <w:rPr>
                <w:b/>
                <w:sz w:val="20"/>
              </w:rPr>
            </w:pPr>
            <w:r>
              <w:rPr>
                <w:b/>
                <w:sz w:val="20"/>
              </w:rPr>
              <w:t>Administrative and reserve funds and contributions</w:t>
            </w:r>
          </w:p>
        </w:tc>
        <w:tc>
          <w:tcPr>
            <w:tcW w:w="1984" w:type="dxa"/>
          </w:tcPr>
          <w:p>
            <w:pPr>
              <w:pStyle w:val="TableAm"/>
            </w:pPr>
            <w:r>
              <w:t>Part 8 Division 1 Subdivision 3</w:t>
            </w:r>
          </w:p>
        </w:tc>
      </w:tr>
      <w:tr>
        <w:trPr>
          <w:cantSplit/>
        </w:trPr>
        <w:tc>
          <w:tcPr>
            <w:tcW w:w="1134" w:type="dxa"/>
          </w:tcPr>
          <w:p>
            <w:pPr>
              <w:pStyle w:val="TableAm"/>
            </w:pPr>
            <w:r>
              <w:t>s. 37</w:t>
            </w:r>
          </w:p>
        </w:tc>
        <w:tc>
          <w:tcPr>
            <w:tcW w:w="1559" w:type="dxa"/>
          </w:tcPr>
          <w:p>
            <w:pPr>
              <w:pStyle w:val="TableAm"/>
            </w:pPr>
            <w:r>
              <w:t>s. 116</w:t>
            </w:r>
          </w:p>
        </w:tc>
        <w:tc>
          <w:tcPr>
            <w:tcW w:w="1985" w:type="dxa"/>
          </w:tcPr>
          <w:p>
            <w:pPr>
              <w:pStyle w:val="TableAm"/>
              <w:rPr>
                <w:b/>
              </w:rPr>
            </w:pPr>
            <w:r>
              <w:rPr>
                <w:b/>
                <w:sz w:val="20"/>
              </w:rPr>
              <w:t>Powers of strata company generally</w:t>
            </w:r>
          </w:p>
        </w:tc>
        <w:tc>
          <w:tcPr>
            <w:tcW w:w="1984" w:type="dxa"/>
          </w:tcPr>
          <w:p>
            <w:pPr>
              <w:pStyle w:val="TableAm"/>
            </w:pPr>
            <w:r>
              <w:t>Part 8 Division 1 Subdivision 7</w:t>
            </w:r>
          </w:p>
        </w:tc>
      </w:tr>
      <w:tr>
        <w:trPr>
          <w:cantSplit/>
        </w:trPr>
        <w:tc>
          <w:tcPr>
            <w:tcW w:w="1134" w:type="dxa"/>
          </w:tcPr>
          <w:p>
            <w:pPr>
              <w:pStyle w:val="TableAm"/>
            </w:pPr>
            <w:r>
              <w:t>s. 38</w:t>
            </w:r>
          </w:p>
        </w:tc>
        <w:tc>
          <w:tcPr>
            <w:tcW w:w="1559" w:type="dxa"/>
          </w:tcPr>
          <w:p>
            <w:pPr>
              <w:pStyle w:val="TableAm"/>
            </w:pPr>
            <w:r>
              <w:t>s. 94</w:t>
            </w:r>
          </w:p>
        </w:tc>
        <w:tc>
          <w:tcPr>
            <w:tcW w:w="1985" w:type="dxa"/>
          </w:tcPr>
          <w:p>
            <w:pPr>
              <w:pStyle w:val="TableAm"/>
              <w:rPr>
                <w:b/>
              </w:rPr>
            </w:pPr>
            <w:r>
              <w:rPr>
                <w:b/>
                <w:sz w:val="20"/>
              </w:rPr>
              <w:t>Power of strata company to carry out work</w:t>
            </w:r>
          </w:p>
        </w:tc>
        <w:tc>
          <w:tcPr>
            <w:tcW w:w="1984" w:type="dxa"/>
          </w:tcPr>
          <w:p>
            <w:pPr>
              <w:pStyle w:val="TableAm"/>
            </w:pPr>
            <w:r>
              <w:t>Part 8 Division 1 Subdivision 1</w:t>
            </w:r>
          </w:p>
        </w:tc>
      </w:tr>
      <w:tr>
        <w:trPr>
          <w:cantSplit/>
        </w:trPr>
        <w:tc>
          <w:tcPr>
            <w:tcW w:w="1134" w:type="dxa"/>
          </w:tcPr>
          <w:p>
            <w:pPr>
              <w:pStyle w:val="TableAm"/>
            </w:pPr>
            <w:r>
              <w:t>s. 39A</w:t>
            </w:r>
          </w:p>
        </w:tc>
        <w:tc>
          <w:tcPr>
            <w:tcW w:w="1559" w:type="dxa"/>
          </w:tcPr>
          <w:p>
            <w:pPr>
              <w:pStyle w:val="TableAm"/>
            </w:pPr>
            <w:r>
              <w:t>s. 115</w:t>
            </w:r>
          </w:p>
        </w:tc>
        <w:tc>
          <w:tcPr>
            <w:tcW w:w="1985" w:type="dxa"/>
          </w:tcPr>
          <w:p>
            <w:pPr>
              <w:pStyle w:val="TableAm"/>
              <w:rPr>
                <w:b/>
              </w:rPr>
            </w:pPr>
            <w:r>
              <w:rPr>
                <w:b/>
                <w:sz w:val="20"/>
              </w:rPr>
              <w:t>Power to terminate certain contracts for amenities or services</w:t>
            </w:r>
          </w:p>
        </w:tc>
        <w:tc>
          <w:tcPr>
            <w:tcW w:w="1984" w:type="dxa"/>
          </w:tcPr>
          <w:p>
            <w:pPr>
              <w:pStyle w:val="TableAm"/>
            </w:pPr>
            <w:r>
              <w:t>Part 8 Division 1 Subdivision 7</w:t>
            </w:r>
          </w:p>
        </w:tc>
      </w:tr>
      <w:tr>
        <w:trPr>
          <w:cantSplit/>
        </w:trPr>
        <w:tc>
          <w:tcPr>
            <w:tcW w:w="1134" w:type="dxa"/>
          </w:tcPr>
          <w:p>
            <w:pPr>
              <w:pStyle w:val="TableAm"/>
            </w:pPr>
            <w:r>
              <w:t>s. 44</w:t>
            </w:r>
          </w:p>
        </w:tc>
        <w:tc>
          <w:tcPr>
            <w:tcW w:w="1559" w:type="dxa"/>
          </w:tcPr>
          <w:p>
            <w:pPr>
              <w:pStyle w:val="TableAm"/>
            </w:pPr>
            <w:r>
              <w:t>s. 135</w:t>
            </w:r>
          </w:p>
        </w:tc>
        <w:tc>
          <w:tcPr>
            <w:tcW w:w="1985" w:type="dxa"/>
          </w:tcPr>
          <w:p>
            <w:pPr>
              <w:pStyle w:val="TableAm"/>
              <w:rPr>
                <w:b/>
              </w:rPr>
            </w:pPr>
            <w:r>
              <w:rPr>
                <w:b/>
                <w:sz w:val="20"/>
              </w:rPr>
              <w:t>Functions and constitution of councils</w:t>
            </w:r>
          </w:p>
        </w:tc>
        <w:tc>
          <w:tcPr>
            <w:tcW w:w="1984" w:type="dxa"/>
          </w:tcPr>
          <w:p>
            <w:pPr>
              <w:pStyle w:val="TableAm"/>
            </w:pPr>
            <w:r>
              <w:t xml:space="preserve">Part 8 Division 4 </w:t>
            </w:r>
          </w:p>
        </w:tc>
      </w:tr>
      <w:tr>
        <w:trPr>
          <w:cantSplit/>
        </w:trPr>
        <w:tc>
          <w:tcPr>
            <w:tcW w:w="1134" w:type="dxa"/>
          </w:tcPr>
          <w:p>
            <w:pPr>
              <w:pStyle w:val="TableAm"/>
            </w:pPr>
            <w:r>
              <w:t>s. 45</w:t>
            </w:r>
          </w:p>
        </w:tc>
        <w:tc>
          <w:tcPr>
            <w:tcW w:w="1559" w:type="dxa"/>
          </w:tcPr>
          <w:p>
            <w:pPr>
              <w:pStyle w:val="TableAm"/>
            </w:pPr>
            <w:r>
              <w:t xml:space="preserve">s. 136 </w:t>
            </w:r>
          </w:p>
        </w:tc>
        <w:tc>
          <w:tcPr>
            <w:tcW w:w="1985" w:type="dxa"/>
          </w:tcPr>
          <w:p>
            <w:pPr>
              <w:pStyle w:val="TableAm"/>
              <w:rPr>
                <w:b/>
              </w:rPr>
            </w:pPr>
            <w:r>
              <w:rPr>
                <w:b/>
                <w:sz w:val="20"/>
              </w:rPr>
              <w:t>Corporate body may be officer or council member</w:t>
            </w:r>
          </w:p>
        </w:tc>
        <w:tc>
          <w:tcPr>
            <w:tcW w:w="1984" w:type="dxa"/>
          </w:tcPr>
          <w:p>
            <w:pPr>
              <w:pStyle w:val="TableAm"/>
            </w:pPr>
            <w:r>
              <w:t>Part 8 Division 4</w:t>
            </w:r>
          </w:p>
        </w:tc>
      </w:tr>
      <w:tr>
        <w:trPr>
          <w:cantSplit/>
        </w:trPr>
        <w:tc>
          <w:tcPr>
            <w:tcW w:w="1134" w:type="dxa"/>
          </w:tcPr>
          <w:p>
            <w:pPr>
              <w:pStyle w:val="TableAm"/>
            </w:pPr>
            <w:r>
              <w:t>s. 57</w:t>
            </w:r>
          </w:p>
        </w:tc>
        <w:tc>
          <w:tcPr>
            <w:tcW w:w="1559" w:type="dxa"/>
          </w:tcPr>
          <w:p>
            <w:pPr>
              <w:pStyle w:val="TableAm"/>
            </w:pPr>
            <w:r>
              <w:t>s. 84</w:t>
            </w:r>
          </w:p>
        </w:tc>
        <w:tc>
          <w:tcPr>
            <w:tcW w:w="1985" w:type="dxa"/>
          </w:tcPr>
          <w:p>
            <w:pPr>
              <w:pStyle w:val="TableAm"/>
              <w:rPr>
                <w:b/>
              </w:rPr>
            </w:pPr>
            <w:r>
              <w:rPr>
                <w:b/>
                <w:sz w:val="20"/>
              </w:rPr>
              <w:t>Insurance for lot</w:t>
            </w:r>
          </w:p>
        </w:tc>
        <w:tc>
          <w:tcPr>
            <w:tcW w:w="1984" w:type="dxa"/>
          </w:tcPr>
          <w:p>
            <w:pPr>
              <w:pStyle w:val="TableAm"/>
            </w:pPr>
            <w:r>
              <w:t>Part 7 Division 1</w:t>
            </w:r>
          </w:p>
        </w:tc>
      </w:tr>
      <w:tr>
        <w:trPr>
          <w:cantSplit/>
        </w:trPr>
        <w:tc>
          <w:tcPr>
            <w:tcW w:w="1134" w:type="dxa"/>
          </w:tcPr>
          <w:p>
            <w:pPr>
              <w:pStyle w:val="TableAm"/>
            </w:pPr>
            <w:r>
              <w:t>s. 60</w:t>
            </w:r>
          </w:p>
        </w:tc>
        <w:tc>
          <w:tcPr>
            <w:tcW w:w="1559" w:type="dxa"/>
          </w:tcPr>
          <w:p>
            <w:pPr>
              <w:pStyle w:val="TableAm"/>
            </w:pPr>
            <w:r>
              <w:t>s. 67</w:t>
            </w:r>
          </w:p>
        </w:tc>
        <w:tc>
          <w:tcPr>
            <w:tcW w:w="1985" w:type="dxa"/>
          </w:tcPr>
          <w:p>
            <w:pPr>
              <w:pStyle w:val="TableAm"/>
              <w:rPr>
                <w:b/>
                <w:sz w:val="20"/>
              </w:rPr>
            </w:pPr>
            <w:r>
              <w:rPr>
                <w:b/>
                <w:sz w:val="20"/>
              </w:rPr>
              <w:t>Registrar of Titles to deliver copies of plans</w:t>
            </w:r>
          </w:p>
        </w:tc>
        <w:tc>
          <w:tcPr>
            <w:tcW w:w="1984" w:type="dxa"/>
          </w:tcPr>
          <w:p>
            <w:pPr>
              <w:pStyle w:val="TableAm"/>
            </w:pPr>
            <w:r>
              <w:t>Part 5 Division 4</w:t>
            </w:r>
          </w:p>
        </w:tc>
      </w:tr>
      <w:tr>
        <w:trPr>
          <w:cantSplit/>
        </w:trPr>
        <w:tc>
          <w:tcPr>
            <w:tcW w:w="1134" w:type="dxa"/>
          </w:tcPr>
          <w:p>
            <w:pPr>
              <w:pStyle w:val="TableAm"/>
            </w:pPr>
            <w:r>
              <w:t>s. 61</w:t>
            </w:r>
          </w:p>
        </w:tc>
        <w:tc>
          <w:tcPr>
            <w:tcW w:w="1559" w:type="dxa"/>
          </w:tcPr>
          <w:p>
            <w:pPr>
              <w:pStyle w:val="TableAm"/>
            </w:pPr>
            <w:r>
              <w:t>s. 68</w:t>
            </w:r>
          </w:p>
        </w:tc>
        <w:tc>
          <w:tcPr>
            <w:tcW w:w="1985" w:type="dxa"/>
          </w:tcPr>
          <w:p>
            <w:pPr>
              <w:pStyle w:val="TableAm"/>
              <w:rPr>
                <w:b/>
                <w:sz w:val="20"/>
              </w:rPr>
            </w:pPr>
            <w:r>
              <w:rPr>
                <w:b/>
                <w:sz w:val="20"/>
              </w:rPr>
              <w:t>Particulars on plan to be conclusive for rating and taxing purposes</w:t>
            </w:r>
          </w:p>
        </w:tc>
        <w:tc>
          <w:tcPr>
            <w:tcW w:w="1984" w:type="dxa"/>
          </w:tcPr>
          <w:p>
            <w:pPr>
              <w:pStyle w:val="TableAm"/>
            </w:pPr>
            <w:r>
              <w:t>Part 5 Division 4</w:t>
            </w:r>
          </w:p>
        </w:tc>
      </w:tr>
      <w:tr>
        <w:trPr>
          <w:cantSplit/>
        </w:trPr>
        <w:tc>
          <w:tcPr>
            <w:tcW w:w="1134" w:type="dxa"/>
          </w:tcPr>
          <w:p>
            <w:pPr>
              <w:pStyle w:val="TableAm"/>
            </w:pPr>
            <w:r>
              <w:t>s. 62</w:t>
            </w:r>
          </w:p>
        </w:tc>
        <w:tc>
          <w:tcPr>
            <w:tcW w:w="1559" w:type="dxa"/>
          </w:tcPr>
          <w:p>
            <w:pPr>
              <w:pStyle w:val="TableAm"/>
            </w:pPr>
            <w:r>
              <w:t>s. 69</w:t>
            </w:r>
          </w:p>
        </w:tc>
        <w:tc>
          <w:tcPr>
            <w:tcW w:w="1985" w:type="dxa"/>
          </w:tcPr>
          <w:p>
            <w:pPr>
              <w:pStyle w:val="TableAm"/>
              <w:rPr>
                <w:b/>
              </w:rPr>
            </w:pPr>
            <w:r>
              <w:rPr>
                <w:b/>
                <w:sz w:val="20"/>
              </w:rPr>
              <w:t>Rating for strata schemes</w:t>
            </w:r>
          </w:p>
        </w:tc>
        <w:tc>
          <w:tcPr>
            <w:tcW w:w="1984" w:type="dxa"/>
          </w:tcPr>
          <w:p>
            <w:pPr>
              <w:pStyle w:val="TableAm"/>
            </w:pPr>
            <w:r>
              <w:t>Part 5 Division 4</w:t>
            </w:r>
          </w:p>
        </w:tc>
      </w:tr>
      <w:tr>
        <w:trPr>
          <w:cantSplit/>
        </w:trPr>
        <w:tc>
          <w:tcPr>
            <w:tcW w:w="1134" w:type="dxa"/>
          </w:tcPr>
          <w:p>
            <w:pPr>
              <w:pStyle w:val="TableAm"/>
            </w:pPr>
            <w:r>
              <w:t>s. 62A</w:t>
            </w:r>
          </w:p>
        </w:tc>
        <w:tc>
          <w:tcPr>
            <w:tcW w:w="1559" w:type="dxa"/>
          </w:tcPr>
          <w:p>
            <w:pPr>
              <w:pStyle w:val="TableAm"/>
            </w:pPr>
            <w:r>
              <w:t>s. 70</w:t>
            </w:r>
          </w:p>
        </w:tc>
        <w:tc>
          <w:tcPr>
            <w:tcW w:w="1985" w:type="dxa"/>
          </w:tcPr>
          <w:p>
            <w:pPr>
              <w:pStyle w:val="TableAm"/>
              <w:rPr>
                <w:b/>
              </w:rPr>
            </w:pPr>
            <w:r>
              <w:rPr>
                <w:b/>
                <w:sz w:val="20"/>
              </w:rPr>
              <w:t>Rating for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63</w:t>
            </w:r>
          </w:p>
        </w:tc>
        <w:tc>
          <w:tcPr>
            <w:tcW w:w="1559" w:type="dxa"/>
          </w:tcPr>
          <w:p>
            <w:pPr>
              <w:pStyle w:val="TableAm"/>
            </w:pPr>
            <w:r>
              <w:t>s. 71</w:t>
            </w:r>
          </w:p>
        </w:tc>
        <w:tc>
          <w:tcPr>
            <w:tcW w:w="1985" w:type="dxa"/>
          </w:tcPr>
          <w:p>
            <w:pPr>
              <w:pStyle w:val="TableAm"/>
              <w:rPr>
                <w:b/>
              </w:rPr>
            </w:pPr>
            <w:r>
              <w:rPr>
                <w:b/>
                <w:sz w:val="20"/>
              </w:rPr>
              <w:t>Rating on gross rental value</w:t>
            </w:r>
          </w:p>
        </w:tc>
        <w:tc>
          <w:tcPr>
            <w:tcW w:w="1984" w:type="dxa"/>
          </w:tcPr>
          <w:p>
            <w:pPr>
              <w:pStyle w:val="TableAm"/>
            </w:pPr>
            <w:r>
              <w:t>Part 5 Division 4</w:t>
            </w:r>
          </w:p>
        </w:tc>
      </w:tr>
      <w:tr>
        <w:trPr>
          <w:cantSplit/>
        </w:trPr>
        <w:tc>
          <w:tcPr>
            <w:tcW w:w="1134" w:type="dxa"/>
          </w:tcPr>
          <w:p>
            <w:pPr>
              <w:pStyle w:val="TableAm"/>
            </w:pPr>
            <w:r>
              <w:t>s. 64</w:t>
            </w:r>
          </w:p>
        </w:tc>
        <w:tc>
          <w:tcPr>
            <w:tcW w:w="1559" w:type="dxa"/>
          </w:tcPr>
          <w:p>
            <w:pPr>
              <w:pStyle w:val="TableAm"/>
            </w:pPr>
            <w:r>
              <w:t>s. 72</w:t>
            </w:r>
          </w:p>
        </w:tc>
        <w:tc>
          <w:tcPr>
            <w:tcW w:w="1985" w:type="dxa"/>
          </w:tcPr>
          <w:p>
            <w:pPr>
              <w:pStyle w:val="TableAm"/>
              <w:rPr>
                <w:b/>
              </w:rPr>
            </w:pPr>
            <w:r>
              <w:rPr>
                <w:b/>
                <w:sz w:val="20"/>
              </w:rPr>
              <w:t>Owner may seek a review of unimproved value of parcel</w:t>
            </w:r>
          </w:p>
        </w:tc>
        <w:tc>
          <w:tcPr>
            <w:tcW w:w="1984" w:type="dxa"/>
          </w:tcPr>
          <w:p>
            <w:pPr>
              <w:pStyle w:val="TableAm"/>
            </w:pPr>
            <w:r>
              <w:t>Part 5 Division 4</w:t>
            </w:r>
          </w:p>
        </w:tc>
      </w:tr>
      <w:tr>
        <w:trPr>
          <w:cantSplit/>
        </w:trPr>
        <w:tc>
          <w:tcPr>
            <w:tcW w:w="1134" w:type="dxa"/>
          </w:tcPr>
          <w:p>
            <w:pPr>
              <w:pStyle w:val="TableAm"/>
            </w:pPr>
            <w:r>
              <w:t>s. 65</w:t>
            </w:r>
          </w:p>
        </w:tc>
        <w:tc>
          <w:tcPr>
            <w:tcW w:w="1559" w:type="dxa"/>
          </w:tcPr>
          <w:p>
            <w:pPr>
              <w:pStyle w:val="TableAm"/>
            </w:pPr>
            <w:r>
              <w:t>s. 73</w:t>
            </w:r>
          </w:p>
        </w:tc>
        <w:tc>
          <w:tcPr>
            <w:tcW w:w="1985" w:type="dxa"/>
          </w:tcPr>
          <w:p>
            <w:pPr>
              <w:pStyle w:val="TableAm"/>
              <w:rPr>
                <w:b/>
              </w:rPr>
            </w:pPr>
            <w:r>
              <w:rPr>
                <w:b/>
                <w:sz w:val="20"/>
              </w:rPr>
              <w:t>Land tax and metropolitan region improvement tax: strata schemes</w:t>
            </w:r>
          </w:p>
        </w:tc>
        <w:tc>
          <w:tcPr>
            <w:tcW w:w="1984" w:type="dxa"/>
          </w:tcPr>
          <w:p>
            <w:pPr>
              <w:pStyle w:val="TableAm"/>
            </w:pPr>
            <w:r>
              <w:t>Part 5 Division 4</w:t>
            </w:r>
          </w:p>
        </w:tc>
      </w:tr>
      <w:tr>
        <w:trPr>
          <w:cantSplit/>
        </w:trPr>
        <w:tc>
          <w:tcPr>
            <w:tcW w:w="1134" w:type="dxa"/>
          </w:tcPr>
          <w:p>
            <w:pPr>
              <w:pStyle w:val="TableAm"/>
            </w:pPr>
            <w:r>
              <w:t>s. 65A</w:t>
            </w:r>
          </w:p>
        </w:tc>
        <w:tc>
          <w:tcPr>
            <w:tcW w:w="1559" w:type="dxa"/>
          </w:tcPr>
          <w:p>
            <w:pPr>
              <w:pStyle w:val="TableAm"/>
            </w:pPr>
            <w:r>
              <w:t>s. 74</w:t>
            </w:r>
          </w:p>
        </w:tc>
        <w:tc>
          <w:tcPr>
            <w:tcW w:w="1985" w:type="dxa"/>
          </w:tcPr>
          <w:p>
            <w:pPr>
              <w:pStyle w:val="TableAm"/>
              <w:rPr>
                <w:b/>
              </w:rPr>
            </w:pPr>
            <w:r>
              <w:rPr>
                <w:b/>
                <w:sz w:val="20"/>
              </w:rPr>
              <w:t>Land tax and metropolitan region improvement tax: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66</w:t>
            </w:r>
          </w:p>
        </w:tc>
        <w:tc>
          <w:tcPr>
            <w:tcW w:w="1559" w:type="dxa"/>
          </w:tcPr>
          <w:p>
            <w:pPr>
              <w:pStyle w:val="TableAm"/>
            </w:pPr>
            <w:r>
              <w:t>s. 75</w:t>
            </w:r>
          </w:p>
        </w:tc>
        <w:tc>
          <w:tcPr>
            <w:tcW w:w="1985" w:type="dxa"/>
          </w:tcPr>
          <w:p>
            <w:pPr>
              <w:pStyle w:val="TableAm"/>
              <w:rPr>
                <w:b/>
              </w:rPr>
            </w:pPr>
            <w:r>
              <w:rPr>
                <w:b/>
                <w:sz w:val="20"/>
              </w:rPr>
              <w:t>Charges for water supplied</w:t>
            </w:r>
          </w:p>
        </w:tc>
        <w:tc>
          <w:tcPr>
            <w:tcW w:w="1984" w:type="dxa"/>
          </w:tcPr>
          <w:p>
            <w:pPr>
              <w:pStyle w:val="TableAm"/>
            </w:pPr>
            <w:r>
              <w:t>Part 5 Division 4</w:t>
            </w:r>
          </w:p>
        </w:tc>
      </w:tr>
      <w:tr>
        <w:trPr>
          <w:cantSplit/>
        </w:trPr>
        <w:tc>
          <w:tcPr>
            <w:tcW w:w="1134" w:type="dxa"/>
          </w:tcPr>
          <w:p>
            <w:pPr>
              <w:pStyle w:val="TableAm"/>
              <w:spacing w:before="100"/>
            </w:pPr>
            <w:r>
              <w:t>s. 67</w:t>
            </w:r>
          </w:p>
        </w:tc>
        <w:tc>
          <w:tcPr>
            <w:tcW w:w="1559" w:type="dxa"/>
          </w:tcPr>
          <w:p>
            <w:pPr>
              <w:pStyle w:val="TableAm"/>
              <w:spacing w:before="100"/>
            </w:pPr>
            <w:r>
              <w:t>s. 76</w:t>
            </w:r>
          </w:p>
        </w:tc>
        <w:tc>
          <w:tcPr>
            <w:tcW w:w="1985" w:type="dxa"/>
          </w:tcPr>
          <w:p>
            <w:pPr>
              <w:pStyle w:val="TableAm"/>
              <w:spacing w:before="100"/>
              <w:rPr>
                <w:b/>
              </w:rPr>
            </w:pPr>
            <w:r>
              <w:rPr>
                <w:b/>
                <w:sz w:val="20"/>
              </w:rPr>
              <w:t xml:space="preserve">Water service charges under the </w:t>
            </w:r>
            <w:r>
              <w:rPr>
                <w:b/>
                <w:i/>
                <w:sz w:val="20"/>
              </w:rPr>
              <w:t>Water Services Act 2012</w:t>
            </w:r>
          </w:p>
        </w:tc>
        <w:tc>
          <w:tcPr>
            <w:tcW w:w="1984" w:type="dxa"/>
          </w:tcPr>
          <w:p>
            <w:pPr>
              <w:pStyle w:val="TableAm"/>
              <w:spacing w:before="100"/>
            </w:pPr>
            <w:r>
              <w:t>Part 5 Division 4</w:t>
            </w:r>
          </w:p>
        </w:tc>
      </w:tr>
      <w:tr>
        <w:trPr>
          <w:cantSplit/>
        </w:trPr>
        <w:tc>
          <w:tcPr>
            <w:tcW w:w="1134" w:type="dxa"/>
          </w:tcPr>
          <w:p>
            <w:pPr>
              <w:pStyle w:val="TableAm"/>
              <w:spacing w:before="100"/>
            </w:pPr>
            <w:r>
              <w:t>s. 122</w:t>
            </w:r>
          </w:p>
        </w:tc>
        <w:tc>
          <w:tcPr>
            <w:tcW w:w="1559" w:type="dxa"/>
          </w:tcPr>
          <w:p>
            <w:pPr>
              <w:pStyle w:val="TableAm"/>
              <w:spacing w:before="100"/>
            </w:pPr>
            <w:r>
              <w:t>s. 211</w:t>
            </w:r>
          </w:p>
        </w:tc>
        <w:tc>
          <w:tcPr>
            <w:tcW w:w="1985" w:type="dxa"/>
          </w:tcPr>
          <w:p>
            <w:pPr>
              <w:pStyle w:val="TableAm"/>
              <w:spacing w:before="100"/>
              <w:rPr>
                <w:b/>
              </w:rPr>
            </w:pPr>
            <w:r>
              <w:rPr>
                <w:b/>
                <w:sz w:val="20"/>
              </w:rPr>
              <w:t>Other rights and remedies not affected by this Act</w:t>
            </w:r>
          </w:p>
        </w:tc>
        <w:tc>
          <w:tcPr>
            <w:tcW w:w="1984" w:type="dxa"/>
          </w:tcPr>
          <w:p>
            <w:pPr>
              <w:pStyle w:val="TableAm"/>
              <w:spacing w:before="100"/>
            </w:pPr>
            <w:r>
              <w:t>Part 14</w:t>
            </w:r>
          </w:p>
        </w:tc>
      </w:tr>
      <w:tr>
        <w:trPr>
          <w:cantSplit/>
        </w:trPr>
        <w:tc>
          <w:tcPr>
            <w:tcW w:w="1134" w:type="dxa"/>
          </w:tcPr>
          <w:p>
            <w:pPr>
              <w:pStyle w:val="TableAm"/>
              <w:spacing w:before="100"/>
            </w:pPr>
            <w:r>
              <w:t>s. 122A</w:t>
            </w:r>
          </w:p>
        </w:tc>
        <w:tc>
          <w:tcPr>
            <w:tcW w:w="1559" w:type="dxa"/>
          </w:tcPr>
          <w:p>
            <w:pPr>
              <w:pStyle w:val="TableAm"/>
              <w:spacing w:before="100"/>
            </w:pPr>
            <w:r>
              <w:t>s. 212</w:t>
            </w:r>
          </w:p>
        </w:tc>
        <w:tc>
          <w:tcPr>
            <w:tcW w:w="1985" w:type="dxa"/>
          </w:tcPr>
          <w:p>
            <w:pPr>
              <w:pStyle w:val="TableAm"/>
              <w:spacing w:before="100"/>
              <w:rPr>
                <w:b/>
              </w:rPr>
            </w:pPr>
            <w:r>
              <w:rPr>
                <w:b/>
                <w:sz w:val="20"/>
              </w:rPr>
              <w:t>Caravan and camping areas not to be subdivided</w:t>
            </w:r>
          </w:p>
        </w:tc>
        <w:tc>
          <w:tcPr>
            <w:tcW w:w="1984" w:type="dxa"/>
          </w:tcPr>
          <w:p>
            <w:pPr>
              <w:pStyle w:val="TableAm"/>
              <w:spacing w:before="100"/>
            </w:pPr>
            <w:r>
              <w:t>Part 14</w:t>
            </w:r>
          </w:p>
        </w:tc>
      </w:tr>
      <w:tr>
        <w:trPr>
          <w:cantSplit/>
        </w:trPr>
        <w:tc>
          <w:tcPr>
            <w:tcW w:w="1134" w:type="dxa"/>
          </w:tcPr>
          <w:p>
            <w:pPr>
              <w:pStyle w:val="TableAm"/>
              <w:spacing w:before="100"/>
            </w:pPr>
            <w:r>
              <w:t>s. 123</w:t>
            </w:r>
          </w:p>
        </w:tc>
        <w:tc>
          <w:tcPr>
            <w:tcW w:w="1559" w:type="dxa"/>
          </w:tcPr>
          <w:p>
            <w:pPr>
              <w:pStyle w:val="TableAm"/>
              <w:spacing w:before="100"/>
            </w:pPr>
            <w:r>
              <w:t>s. 213</w:t>
            </w:r>
          </w:p>
        </w:tc>
        <w:tc>
          <w:tcPr>
            <w:tcW w:w="1985" w:type="dxa"/>
          </w:tcPr>
          <w:p>
            <w:pPr>
              <w:pStyle w:val="TableAm"/>
              <w:spacing w:before="100"/>
              <w:rPr>
                <w:b/>
              </w:rPr>
            </w:pPr>
            <w:r>
              <w:rPr>
                <w:b/>
                <w:sz w:val="20"/>
              </w:rPr>
              <w:t>Dividing fences</w:t>
            </w:r>
          </w:p>
        </w:tc>
        <w:tc>
          <w:tcPr>
            <w:tcW w:w="1984" w:type="dxa"/>
          </w:tcPr>
          <w:p>
            <w:pPr>
              <w:pStyle w:val="TableAm"/>
              <w:spacing w:before="100"/>
            </w:pPr>
            <w:r>
              <w:t>Part 14</w:t>
            </w:r>
          </w:p>
        </w:tc>
      </w:tr>
      <w:tr>
        <w:trPr>
          <w:cantSplit/>
        </w:trPr>
        <w:tc>
          <w:tcPr>
            <w:tcW w:w="1134" w:type="dxa"/>
          </w:tcPr>
          <w:p>
            <w:pPr>
              <w:pStyle w:val="TableAm"/>
              <w:spacing w:before="100"/>
            </w:pPr>
            <w:r>
              <w:t>s. 123B</w:t>
            </w:r>
          </w:p>
        </w:tc>
        <w:tc>
          <w:tcPr>
            <w:tcW w:w="1559" w:type="dxa"/>
          </w:tcPr>
          <w:p>
            <w:pPr>
              <w:pStyle w:val="TableAm"/>
              <w:spacing w:before="100"/>
            </w:pPr>
            <w:r>
              <w:t>s. 214</w:t>
            </w:r>
          </w:p>
        </w:tc>
        <w:tc>
          <w:tcPr>
            <w:tcW w:w="1985" w:type="dxa"/>
          </w:tcPr>
          <w:p>
            <w:pPr>
              <w:pStyle w:val="TableAm"/>
              <w:spacing w:before="100"/>
              <w:rPr>
                <w:b/>
              </w:rPr>
            </w:pPr>
            <w:r>
              <w:rPr>
                <w:b/>
                <w:sz w:val="20"/>
              </w:rPr>
              <w:t>Internal fencing</w:t>
            </w:r>
          </w:p>
        </w:tc>
        <w:tc>
          <w:tcPr>
            <w:tcW w:w="1984" w:type="dxa"/>
          </w:tcPr>
          <w:p>
            <w:pPr>
              <w:pStyle w:val="TableAm"/>
              <w:spacing w:before="100"/>
            </w:pPr>
            <w:r>
              <w:t>Part 14</w:t>
            </w:r>
          </w:p>
        </w:tc>
      </w:tr>
      <w:tr>
        <w:trPr>
          <w:cantSplit/>
        </w:trPr>
        <w:tc>
          <w:tcPr>
            <w:tcW w:w="1134" w:type="dxa"/>
          </w:tcPr>
          <w:p>
            <w:pPr>
              <w:pStyle w:val="TableAm"/>
              <w:spacing w:before="100"/>
            </w:pPr>
            <w:r>
              <w:t>s. 124</w:t>
            </w:r>
          </w:p>
        </w:tc>
        <w:tc>
          <w:tcPr>
            <w:tcW w:w="1559" w:type="dxa"/>
          </w:tcPr>
          <w:p>
            <w:pPr>
              <w:pStyle w:val="TableAm"/>
              <w:spacing w:before="100"/>
            </w:pPr>
            <w:r>
              <w:t>s. 170</w:t>
            </w:r>
          </w:p>
        </w:tc>
        <w:tc>
          <w:tcPr>
            <w:tcW w:w="1985" w:type="dxa"/>
          </w:tcPr>
          <w:p>
            <w:pPr>
              <w:pStyle w:val="TableAm"/>
              <w:spacing w:before="100"/>
              <w:rPr>
                <w:b/>
              </w:rPr>
            </w:pPr>
            <w:r>
              <w:rPr>
                <w:b/>
                <w:sz w:val="20"/>
              </w:rPr>
              <w:t>Notice of application for order under section 166, 167 or 168</w:t>
            </w:r>
          </w:p>
        </w:tc>
        <w:tc>
          <w:tcPr>
            <w:tcW w:w="1984" w:type="dxa"/>
          </w:tcPr>
          <w:p>
            <w:pPr>
              <w:pStyle w:val="TableAm"/>
              <w:spacing w:before="100"/>
            </w:pPr>
            <w:r>
              <w:t>Part 11 Division 3</w:t>
            </w:r>
          </w:p>
        </w:tc>
      </w:tr>
      <w:tr>
        <w:trPr>
          <w:cantSplit/>
        </w:trPr>
        <w:tc>
          <w:tcPr>
            <w:tcW w:w="1134" w:type="dxa"/>
          </w:tcPr>
          <w:p>
            <w:pPr>
              <w:pStyle w:val="TableAm"/>
              <w:spacing w:before="100"/>
            </w:pPr>
            <w:r>
              <w:t>s. 126</w:t>
            </w:r>
          </w:p>
        </w:tc>
        <w:tc>
          <w:tcPr>
            <w:tcW w:w="1559" w:type="dxa"/>
          </w:tcPr>
          <w:p>
            <w:pPr>
              <w:pStyle w:val="TableAm"/>
              <w:spacing w:before="100"/>
            </w:pPr>
            <w:r>
              <w:t>s. 217</w:t>
            </w:r>
          </w:p>
        </w:tc>
        <w:tc>
          <w:tcPr>
            <w:tcW w:w="1985" w:type="dxa"/>
          </w:tcPr>
          <w:p>
            <w:pPr>
              <w:pStyle w:val="TableAm"/>
              <w:spacing w:before="100"/>
              <w:rPr>
                <w:b/>
              </w:rPr>
            </w:pPr>
            <w:r>
              <w:rPr>
                <w:b/>
                <w:sz w:val="20"/>
              </w:rPr>
              <w:t>Powers of entry under written laws</w:t>
            </w:r>
          </w:p>
        </w:tc>
        <w:tc>
          <w:tcPr>
            <w:tcW w:w="1984" w:type="dxa"/>
          </w:tcPr>
          <w:p>
            <w:pPr>
              <w:pStyle w:val="TableAm"/>
              <w:spacing w:before="100"/>
            </w:pPr>
            <w:r>
              <w:t>Part 14</w:t>
            </w:r>
          </w:p>
        </w:tc>
      </w:tr>
      <w:tr>
        <w:trPr>
          <w:cantSplit/>
        </w:trPr>
        <w:tc>
          <w:tcPr>
            <w:tcW w:w="1134" w:type="dxa"/>
          </w:tcPr>
          <w:p>
            <w:pPr>
              <w:pStyle w:val="TableAm"/>
              <w:spacing w:before="100"/>
            </w:pPr>
            <w:r>
              <w:t>s. 129B</w:t>
            </w:r>
          </w:p>
        </w:tc>
        <w:tc>
          <w:tcPr>
            <w:tcW w:w="1559" w:type="dxa"/>
          </w:tcPr>
          <w:p>
            <w:pPr>
              <w:pStyle w:val="TableAm"/>
              <w:spacing w:before="100"/>
            </w:pPr>
            <w:r>
              <w:t>s. 219</w:t>
            </w:r>
          </w:p>
        </w:tc>
        <w:tc>
          <w:tcPr>
            <w:tcW w:w="1985" w:type="dxa"/>
          </w:tcPr>
          <w:p>
            <w:pPr>
              <w:pStyle w:val="TableAm"/>
              <w:spacing w:before="100"/>
              <w:rPr>
                <w:b/>
              </w:rPr>
            </w:pPr>
            <w:r>
              <w:rPr>
                <w:b/>
                <w:sz w:val="20"/>
              </w:rPr>
              <w:t>Delegation by Commissioner of Titles</w:t>
            </w:r>
          </w:p>
        </w:tc>
        <w:tc>
          <w:tcPr>
            <w:tcW w:w="1984" w:type="dxa"/>
          </w:tcPr>
          <w:p>
            <w:pPr>
              <w:pStyle w:val="TableAm"/>
              <w:spacing w:before="100"/>
            </w:pPr>
            <w:r>
              <w:t>Part 14</w:t>
            </w:r>
          </w:p>
        </w:tc>
      </w:tr>
      <w:tr>
        <w:trPr>
          <w:cantSplit/>
        </w:trPr>
        <w:tc>
          <w:tcPr>
            <w:tcW w:w="1134" w:type="dxa"/>
          </w:tcPr>
          <w:p>
            <w:pPr>
              <w:pStyle w:val="TableAm"/>
              <w:spacing w:before="100"/>
            </w:pPr>
            <w:r>
              <w:t>s. 129C</w:t>
            </w:r>
          </w:p>
        </w:tc>
        <w:tc>
          <w:tcPr>
            <w:tcW w:w="1559" w:type="dxa"/>
          </w:tcPr>
          <w:p>
            <w:pPr>
              <w:pStyle w:val="TableAm"/>
              <w:spacing w:before="100"/>
            </w:pPr>
            <w:r>
              <w:t>s. 220</w:t>
            </w:r>
          </w:p>
        </w:tc>
        <w:tc>
          <w:tcPr>
            <w:tcW w:w="1985" w:type="dxa"/>
          </w:tcPr>
          <w:p>
            <w:pPr>
              <w:pStyle w:val="TableAm"/>
              <w:spacing w:before="100"/>
              <w:rPr>
                <w:b/>
              </w:rPr>
            </w:pPr>
            <w:r>
              <w:rPr>
                <w:b/>
                <w:sz w:val="20"/>
              </w:rPr>
              <w:t>Delegation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129D</w:t>
            </w:r>
          </w:p>
        </w:tc>
        <w:tc>
          <w:tcPr>
            <w:tcW w:w="1559" w:type="dxa"/>
          </w:tcPr>
          <w:p>
            <w:pPr>
              <w:pStyle w:val="TableAm"/>
              <w:spacing w:before="100"/>
            </w:pPr>
            <w:r>
              <w:t>s. 221</w:t>
            </w:r>
          </w:p>
        </w:tc>
        <w:tc>
          <w:tcPr>
            <w:tcW w:w="1985" w:type="dxa"/>
          </w:tcPr>
          <w:p>
            <w:pPr>
              <w:pStyle w:val="TableAm"/>
              <w:spacing w:before="100"/>
              <w:rPr>
                <w:b/>
              </w:rPr>
            </w:pPr>
            <w:r>
              <w:rPr>
                <w:b/>
                <w:sz w:val="20"/>
              </w:rPr>
              <w:t>Money received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130</w:t>
            </w:r>
          </w:p>
        </w:tc>
        <w:tc>
          <w:tcPr>
            <w:tcW w:w="1559" w:type="dxa"/>
          </w:tcPr>
          <w:p>
            <w:pPr>
              <w:pStyle w:val="TableAm"/>
              <w:spacing w:before="100"/>
            </w:pPr>
            <w:r>
              <w:t>s. 224</w:t>
            </w:r>
          </w:p>
        </w:tc>
        <w:tc>
          <w:tcPr>
            <w:tcW w:w="1985" w:type="dxa"/>
          </w:tcPr>
          <w:p>
            <w:pPr>
              <w:pStyle w:val="TableAm"/>
              <w:spacing w:before="100"/>
              <w:rPr>
                <w:b/>
              </w:rPr>
            </w:pPr>
            <w:r>
              <w:rPr>
                <w:b/>
                <w:sz w:val="20"/>
              </w:rPr>
              <w:t>Regulations</w:t>
            </w:r>
          </w:p>
        </w:tc>
        <w:tc>
          <w:tcPr>
            <w:tcW w:w="1984" w:type="dxa"/>
          </w:tcPr>
          <w:p>
            <w:pPr>
              <w:pStyle w:val="TableAm"/>
              <w:spacing w:before="100"/>
            </w:pPr>
            <w:r>
              <w:t>Part 14</w:t>
            </w:r>
          </w:p>
        </w:tc>
      </w:tr>
      <w:tr>
        <w:trPr>
          <w:cantSplit/>
        </w:trPr>
        <w:tc>
          <w:tcPr>
            <w:tcW w:w="1134" w:type="dxa"/>
          </w:tcPr>
          <w:p>
            <w:pPr>
              <w:pStyle w:val="TableAm"/>
              <w:spacing w:before="100"/>
            </w:pPr>
            <w:r>
              <w:t>s. 131A</w:t>
            </w:r>
          </w:p>
        </w:tc>
        <w:tc>
          <w:tcPr>
            <w:tcW w:w="1559" w:type="dxa"/>
          </w:tcPr>
          <w:p>
            <w:pPr>
              <w:pStyle w:val="TableAm"/>
              <w:spacing w:before="100"/>
            </w:pPr>
            <w:r>
              <w:t>s. 225</w:t>
            </w:r>
          </w:p>
        </w:tc>
        <w:tc>
          <w:tcPr>
            <w:tcW w:w="1985" w:type="dxa"/>
          </w:tcPr>
          <w:p>
            <w:pPr>
              <w:pStyle w:val="TableAm"/>
              <w:spacing w:before="100"/>
              <w:rPr>
                <w:b/>
              </w:rPr>
            </w:pPr>
            <w:r>
              <w:rPr>
                <w:b/>
                <w:sz w:val="20"/>
              </w:rPr>
              <w:t>Certain prescribed fees may exceed cost recovery</w:t>
            </w:r>
          </w:p>
        </w:tc>
        <w:tc>
          <w:tcPr>
            <w:tcW w:w="1984" w:type="dxa"/>
          </w:tcPr>
          <w:p>
            <w:pPr>
              <w:pStyle w:val="TableAm"/>
              <w:spacing w:before="100"/>
            </w:pPr>
            <w:r>
              <w:t>Part 14</w:t>
            </w:r>
          </w:p>
        </w:tc>
      </w:tr>
      <w:tr>
        <w:trPr>
          <w:cantSplit/>
        </w:trPr>
        <w:tc>
          <w:tcPr>
            <w:tcW w:w="1134" w:type="dxa"/>
          </w:tcPr>
          <w:p>
            <w:pPr>
              <w:pStyle w:val="TableAm"/>
              <w:spacing w:before="100"/>
            </w:pPr>
            <w:r>
              <w:t>s. 131B</w:t>
            </w:r>
          </w:p>
        </w:tc>
        <w:tc>
          <w:tcPr>
            <w:tcW w:w="1559" w:type="dxa"/>
          </w:tcPr>
          <w:p>
            <w:pPr>
              <w:pStyle w:val="TableAm"/>
              <w:spacing w:before="100"/>
            </w:pPr>
            <w:r>
              <w:t>s. 226</w:t>
            </w:r>
          </w:p>
        </w:tc>
        <w:tc>
          <w:tcPr>
            <w:tcW w:w="1985" w:type="dxa"/>
          </w:tcPr>
          <w:p>
            <w:pPr>
              <w:pStyle w:val="TableAm"/>
              <w:spacing w:before="100"/>
              <w:rPr>
                <w:b/>
              </w:rPr>
            </w:pPr>
            <w:r>
              <w:rPr>
                <w:b/>
                <w:sz w:val="20"/>
              </w:rPr>
              <w:t>Expiry of section 225</w:t>
            </w:r>
          </w:p>
        </w:tc>
        <w:tc>
          <w:tcPr>
            <w:tcW w:w="1984" w:type="dxa"/>
          </w:tcPr>
          <w:p>
            <w:pPr>
              <w:pStyle w:val="TableAm"/>
              <w:spacing w:before="100"/>
            </w:pPr>
            <w:r>
              <w:t>Part 14</w:t>
            </w:r>
          </w:p>
        </w:tc>
      </w:tr>
    </w:tbl>
    <w:p>
      <w:pPr>
        <w:pStyle w:val="nzSectAltNote"/>
      </w:pPr>
      <w:r>
        <w:tab/>
        <w:t>Note:</w:t>
      </w:r>
      <w:r>
        <w:tab/>
        <w:t>The heading to section 129D is to read:</w:t>
      </w:r>
    </w:p>
    <w:p>
      <w:pPr>
        <w:pStyle w:val="nzSectAltHeading"/>
      </w:pPr>
      <w:r>
        <w:rPr>
          <w:b w:val="0"/>
        </w:rPr>
        <w:tab/>
      </w:r>
      <w:r>
        <w:rPr>
          <w:b w:val="0"/>
        </w:rPr>
        <w:tab/>
      </w:r>
      <w:r>
        <w:t>Money received by Registrar of Titles</w:t>
      </w:r>
    </w:p>
    <w:p>
      <w:pPr>
        <w:pStyle w:val="nzHeading5"/>
      </w:pPr>
      <w:bookmarkStart w:id="1937" w:name="_Toc530474587"/>
      <w:bookmarkStart w:id="1938" w:name="_Toc530475182"/>
      <w:r>
        <w:rPr>
          <w:rStyle w:val="CharSectno"/>
        </w:rPr>
        <w:t>85</w:t>
      </w:r>
      <w:r>
        <w:t>.</w:t>
      </w:r>
      <w:r>
        <w:tab/>
        <w:t>References to renumbered provisions in other laws or other documents</w:t>
      </w:r>
      <w:bookmarkEnd w:id="1937"/>
      <w:bookmarkEnd w:id="1938"/>
    </w:p>
    <w:p>
      <w:pPr>
        <w:pStyle w:val="nzSubsection"/>
      </w:pPr>
      <w:r>
        <w:tab/>
      </w:r>
      <w:r>
        <w:tab/>
        <w:t>A reference in another law or another document to a provision renumbered under this Division is a reference to the provision as renumbered unless the contrary intention appears.</w:t>
      </w:r>
    </w:p>
    <w:p>
      <w:pPr>
        <w:pStyle w:val="nzHeading3"/>
      </w:pPr>
      <w:bookmarkStart w:id="1939" w:name="_Toc517437789"/>
      <w:bookmarkStart w:id="1940" w:name="_Toc517438331"/>
      <w:bookmarkStart w:id="1941" w:name="_Toc517440668"/>
      <w:bookmarkStart w:id="1942" w:name="_Toc517447705"/>
      <w:bookmarkStart w:id="1943" w:name="_Toc517450183"/>
      <w:bookmarkStart w:id="1944" w:name="_Toc517450725"/>
      <w:bookmarkStart w:id="1945" w:name="_Toc517857181"/>
      <w:bookmarkStart w:id="1946" w:name="_Toc518293308"/>
      <w:bookmarkStart w:id="1947" w:name="_Toc522744536"/>
      <w:bookmarkStart w:id="1948" w:name="_Toc522747659"/>
      <w:bookmarkStart w:id="1949" w:name="_Toc529183497"/>
      <w:bookmarkStart w:id="1950" w:name="_Toc529188260"/>
      <w:bookmarkStart w:id="1951" w:name="_Toc529434773"/>
      <w:bookmarkStart w:id="1952" w:name="_Toc529524664"/>
      <w:bookmarkStart w:id="1953" w:name="_Toc530474588"/>
      <w:bookmarkStart w:id="1954" w:name="_Toc530475183"/>
      <w:r>
        <w:rPr>
          <w:rStyle w:val="CharDivNo"/>
        </w:rPr>
        <w:t>Division 5</w:t>
      </w:r>
      <w:r>
        <w:t> — </w:t>
      </w:r>
      <w:r>
        <w:rPr>
          <w:rStyle w:val="CharDivText"/>
        </w:rPr>
        <w:t>Amendment of Schedules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1955" w:name="_Toc530474589"/>
      <w:bookmarkStart w:id="1956" w:name="_Toc530475184"/>
      <w:r>
        <w:rPr>
          <w:rStyle w:val="CharSectno"/>
        </w:rPr>
        <w:t>86</w:t>
      </w:r>
      <w:r>
        <w:t>.</w:t>
      </w:r>
      <w:r>
        <w:tab/>
        <w:t>Schedule 1 heading replaced</w:t>
      </w:r>
      <w:bookmarkEnd w:id="1955"/>
      <w:bookmarkEnd w:id="1956"/>
    </w:p>
    <w:p>
      <w:pPr>
        <w:pStyle w:val="nzSubsection"/>
      </w:pPr>
      <w:r>
        <w:tab/>
      </w:r>
      <w:r>
        <w:tab/>
        <w:t>Delete the heading to Schedule 1 and the reference after it and insert:</w:t>
      </w:r>
    </w:p>
    <w:p>
      <w:pPr>
        <w:pStyle w:val="BlankOpen"/>
      </w:pPr>
    </w:p>
    <w:p>
      <w:pPr>
        <w:pStyle w:val="nzHeading2"/>
      </w:pPr>
      <w:bookmarkStart w:id="1957" w:name="_Toc517437791"/>
      <w:bookmarkStart w:id="1958" w:name="_Toc517438333"/>
      <w:bookmarkStart w:id="1959" w:name="_Toc517440670"/>
      <w:bookmarkStart w:id="1960" w:name="_Toc517447707"/>
      <w:bookmarkStart w:id="1961" w:name="_Toc517450185"/>
      <w:bookmarkStart w:id="1962" w:name="_Toc517450727"/>
      <w:bookmarkStart w:id="1963" w:name="_Toc517857183"/>
      <w:bookmarkStart w:id="1964" w:name="_Toc518293310"/>
      <w:bookmarkStart w:id="1965" w:name="_Toc522744538"/>
      <w:bookmarkStart w:id="1966" w:name="_Toc522747661"/>
      <w:bookmarkStart w:id="1967" w:name="_Toc529183499"/>
      <w:bookmarkStart w:id="1968" w:name="_Toc529188262"/>
      <w:bookmarkStart w:id="1969" w:name="_Toc529434775"/>
      <w:bookmarkStart w:id="1970" w:name="_Toc529524666"/>
      <w:bookmarkStart w:id="1971" w:name="_Toc530474590"/>
      <w:bookmarkStart w:id="1972" w:name="_Toc530475185"/>
      <w:r>
        <w:t>Schedule 1 — Governance by</w:t>
      </w:r>
      <w:r>
        <w:noBreakHyphen/>
        <w:t>laws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BlankClose"/>
      </w:pPr>
    </w:p>
    <w:p>
      <w:pPr>
        <w:pStyle w:val="nzHeading5"/>
      </w:pPr>
      <w:bookmarkStart w:id="1973" w:name="_Toc530474591"/>
      <w:bookmarkStart w:id="1974" w:name="_Toc530475186"/>
      <w:r>
        <w:rPr>
          <w:rStyle w:val="CharSectno"/>
        </w:rPr>
        <w:t>87</w:t>
      </w:r>
      <w:r>
        <w:t>.</w:t>
      </w:r>
      <w:r>
        <w:tab/>
        <w:t>Schedule 1 by</w:t>
      </w:r>
      <w:r>
        <w:noBreakHyphen/>
        <w:t>law 1 amended</w:t>
      </w:r>
      <w:bookmarkEnd w:id="1973"/>
      <w:bookmarkEnd w:id="1974"/>
    </w:p>
    <w:p>
      <w:pPr>
        <w:pStyle w:val="nzSubsection"/>
      </w:pPr>
      <w:r>
        <w:tab/>
        <w:t>(1)</w:t>
      </w:r>
      <w:r>
        <w:tab/>
        <w:t>In Schedule 1 by</w:t>
      </w:r>
      <w:r>
        <w:noBreakHyphen/>
        <w:t>law 1(1):</w:t>
      </w:r>
    </w:p>
    <w:p>
      <w:pPr>
        <w:pStyle w:val="nzIndenta"/>
      </w:pPr>
      <w:r>
        <w:tab/>
        <w:t>(a)</w:t>
      </w:r>
      <w:r>
        <w:tab/>
        <w:t>delete “</w:t>
      </w:r>
      <w:r>
        <w:rPr>
          <w:sz w:val="22"/>
        </w:rPr>
        <w:t>A proprietor shall —</w:t>
      </w:r>
      <w:r>
        <w:t>” and insert:</w:t>
      </w:r>
    </w:p>
    <w:p>
      <w:pPr>
        <w:pStyle w:val="BlankOpen"/>
      </w:pPr>
    </w:p>
    <w:p>
      <w:pPr>
        <w:pStyle w:val="nzIndenta"/>
      </w:pPr>
      <w:r>
        <w:tab/>
      </w:r>
      <w:r>
        <w:tab/>
      </w:r>
      <w:r>
        <w:rPr>
          <w:sz w:val="22"/>
          <w:szCs w:val="22"/>
        </w:rPr>
        <w:t xml:space="preserve">The owner of a lot must — </w:t>
      </w:r>
    </w:p>
    <w:p>
      <w:pPr>
        <w:pStyle w:val="BlankClose"/>
      </w:pPr>
    </w:p>
    <w:p>
      <w:pPr>
        <w:pStyle w:val="nzIndenta"/>
      </w:pPr>
      <w:r>
        <w:tab/>
        <w:t>(b)</w:t>
      </w:r>
      <w:r>
        <w:tab/>
        <w:t>in paragraph (a) delete “</w:t>
      </w:r>
      <w:r>
        <w:rPr>
          <w:sz w:val="22"/>
        </w:rPr>
        <w:t>forthwith</w:t>
      </w:r>
      <w:r>
        <w:t>” and insert:</w:t>
      </w:r>
    </w:p>
    <w:p>
      <w:pPr>
        <w:pStyle w:val="BlankOpen"/>
      </w:pPr>
    </w:p>
    <w:p>
      <w:pPr>
        <w:pStyle w:val="nzIndenta"/>
      </w:pPr>
      <w:r>
        <w:tab/>
      </w:r>
      <w:r>
        <w:tab/>
      </w:r>
      <w:r>
        <w:rPr>
          <w:sz w:val="22"/>
        </w:rPr>
        <w:t xml:space="preserve">immediately </w:t>
      </w:r>
    </w:p>
    <w:p>
      <w:pPr>
        <w:pStyle w:val="BlankClose"/>
      </w:pPr>
    </w:p>
    <w:p>
      <w:pPr>
        <w:pStyle w:val="nzIndenta"/>
      </w:pPr>
      <w:r>
        <w:tab/>
        <w:t>(c)</w:t>
      </w:r>
      <w:r>
        <w:tab/>
        <w:t>in paragraph (a) delete “</w:t>
      </w:r>
      <w:r>
        <w:rPr>
          <w:sz w:val="22"/>
        </w:rPr>
        <w:t>by any competent public authority or local government</w:t>
      </w:r>
      <w:r>
        <w:t>” and insert:</w:t>
      </w:r>
    </w:p>
    <w:p>
      <w:pPr>
        <w:pStyle w:val="BlankOpen"/>
      </w:pPr>
    </w:p>
    <w:p>
      <w:pPr>
        <w:pStyle w:val="nzIndenta"/>
      </w:pPr>
      <w:r>
        <w:tab/>
      </w:r>
      <w:r>
        <w:tab/>
      </w:r>
      <w:r>
        <w:rPr>
          <w:sz w:val="22"/>
        </w:rPr>
        <w:t>under a written law</w:t>
      </w:r>
    </w:p>
    <w:p>
      <w:pPr>
        <w:pStyle w:val="BlankClose"/>
      </w:pPr>
    </w:p>
    <w:p>
      <w:pPr>
        <w:pStyle w:val="nzIndenta"/>
      </w:pPr>
      <w:r>
        <w:tab/>
        <w:t>(d)</w:t>
      </w:r>
      <w:r>
        <w:tab/>
        <w:t>in paragraph (a) delete “</w:t>
      </w:r>
      <w:r>
        <w:rPr>
          <w:sz w:val="22"/>
        </w:rPr>
        <w:t>his</w:t>
      </w:r>
      <w:r>
        <w:t>” (each occurrence) and insert:</w:t>
      </w:r>
    </w:p>
    <w:p>
      <w:pPr>
        <w:pStyle w:val="BlankOpen"/>
      </w:pPr>
    </w:p>
    <w:p>
      <w:pPr>
        <w:pStyle w:val="nzIndenta"/>
      </w:pPr>
      <w:r>
        <w:tab/>
      </w:r>
      <w:r>
        <w:tab/>
      </w:r>
      <w:r>
        <w:rPr>
          <w:sz w:val="22"/>
        </w:rPr>
        <w:t xml:space="preserve">the </w:t>
      </w:r>
    </w:p>
    <w:p>
      <w:pPr>
        <w:pStyle w:val="BlankClose"/>
      </w:pPr>
    </w:p>
    <w:p>
      <w:pPr>
        <w:pStyle w:val="nzIndenta"/>
      </w:pPr>
      <w:r>
        <w:tab/>
        <w:t>(e)</w:t>
      </w:r>
      <w:r>
        <w:tab/>
        <w:t>in paragraph (b) delete “</w:t>
      </w:r>
      <w:r>
        <w:rPr>
          <w:sz w:val="22"/>
          <w:szCs w:val="22"/>
        </w:rPr>
        <w:t xml:space="preserve">repair </w:t>
      </w:r>
      <w:r>
        <w:rPr>
          <w:sz w:val="22"/>
        </w:rPr>
        <w:t>and maintain his</w:t>
      </w:r>
      <w:r>
        <w:t>” and insert:</w:t>
      </w:r>
    </w:p>
    <w:p>
      <w:pPr>
        <w:pStyle w:val="BlankOpen"/>
      </w:pPr>
    </w:p>
    <w:p>
      <w:pPr>
        <w:pStyle w:val="nzIndenta"/>
      </w:pPr>
      <w:r>
        <w:tab/>
      </w:r>
      <w:r>
        <w:tab/>
      </w:r>
      <w:r>
        <w:rPr>
          <w:sz w:val="22"/>
        </w:rPr>
        <w:t>maintain and repair the</w:t>
      </w:r>
    </w:p>
    <w:p>
      <w:pPr>
        <w:pStyle w:val="BlankClose"/>
      </w:pPr>
    </w:p>
    <w:p>
      <w:pPr>
        <w:pStyle w:val="nzIndenta"/>
      </w:pPr>
      <w:r>
        <w:tab/>
        <w:t>(f)</w:t>
      </w:r>
      <w:r>
        <w:tab/>
        <w:t>in paragraph (b) delete “</w:t>
      </w:r>
      <w:r>
        <w:rPr>
          <w:sz w:val="22"/>
          <w:szCs w:val="22"/>
        </w:rPr>
        <w:t>repair,” and insert:</w:t>
      </w:r>
    </w:p>
    <w:p>
      <w:pPr>
        <w:pStyle w:val="BlankOpen"/>
      </w:pPr>
    </w:p>
    <w:p>
      <w:pPr>
        <w:pStyle w:val="nzIndenta"/>
      </w:pPr>
      <w:r>
        <w:tab/>
      </w:r>
      <w:r>
        <w:tab/>
      </w:r>
      <w:r>
        <w:rPr>
          <w:sz w:val="22"/>
        </w:rPr>
        <w:t>condition,</w:t>
      </w:r>
    </w:p>
    <w:p>
      <w:pPr>
        <w:pStyle w:val="BlankClose"/>
      </w:pPr>
    </w:p>
    <w:p>
      <w:pPr>
        <w:pStyle w:val="nzSubsection"/>
      </w:pPr>
      <w:r>
        <w:tab/>
        <w:t>(2)</w:t>
      </w:r>
      <w:r>
        <w:tab/>
        <w:t>In Schedule 1 by</w:t>
      </w:r>
      <w:r>
        <w:noBreakHyphen/>
        <w:t>law 1(1a):</w:t>
      </w:r>
    </w:p>
    <w:p>
      <w:pPr>
        <w:pStyle w:val="nzIndenta"/>
      </w:pPr>
      <w:r>
        <w:tab/>
        <w:t>(a)</w:t>
      </w:r>
      <w:r>
        <w:tab/>
        <w:t>renumber sub</w:t>
      </w:r>
      <w:r>
        <w:noBreakHyphen/>
        <w:t>bylaw (1a) as sub</w:t>
      </w:r>
      <w:r>
        <w:noBreakHyphen/>
        <w:t>bylaw (1A);</w:t>
      </w:r>
    </w:p>
    <w:p>
      <w:pPr>
        <w:pStyle w:val="nzIndenta"/>
      </w:pPr>
      <w:r>
        <w:tab/>
        <w:t>(b)</w:t>
      </w:r>
      <w:r>
        <w:tab/>
        <w:t>delete “</w:t>
      </w:r>
      <w:r>
        <w:rPr>
          <w:sz w:val="22"/>
        </w:rPr>
        <w:t>A proprietor shall —</w:t>
      </w:r>
      <w:r>
        <w:t>” and insert:</w:t>
      </w:r>
    </w:p>
    <w:p>
      <w:pPr>
        <w:pStyle w:val="BlankOpen"/>
      </w:pPr>
    </w:p>
    <w:p>
      <w:pPr>
        <w:pStyle w:val="nzIndenta"/>
      </w:pPr>
      <w:r>
        <w:tab/>
      </w:r>
      <w:r>
        <w:tab/>
      </w:r>
      <w:r>
        <w:rPr>
          <w:sz w:val="22"/>
          <w:szCs w:val="22"/>
        </w:rPr>
        <w:t xml:space="preserve">The owner of a lot must — </w:t>
      </w:r>
    </w:p>
    <w:p>
      <w:pPr>
        <w:pStyle w:val="BlankClose"/>
      </w:pPr>
    </w:p>
    <w:p>
      <w:pPr>
        <w:pStyle w:val="nzIndenta"/>
      </w:pPr>
      <w:r>
        <w:tab/>
        <w:t>(c)</w:t>
      </w:r>
      <w:r>
        <w:tab/>
        <w:t>delete paragraph (a) and insert:</w:t>
      </w:r>
    </w:p>
    <w:p>
      <w:pPr>
        <w:pStyle w:val="BlankOpen"/>
      </w:pPr>
    </w:p>
    <w:p>
      <w:pPr>
        <w:pStyle w:val="nzIndenta"/>
      </w:pPr>
      <w:r>
        <w:tab/>
        <w:t>(a)</w:t>
      </w:r>
      <w:r>
        <w:tab/>
        <w:t>notify in writing the strata company immediately on becoming the owner of the lot, including in the notice the owner’s address for service for the purposes of this Act; and</w:t>
      </w:r>
    </w:p>
    <w:p>
      <w:pPr>
        <w:pStyle w:val="BlankClose"/>
      </w:pPr>
    </w:p>
    <w:p>
      <w:pPr>
        <w:pStyle w:val="nzIndenta"/>
      </w:pPr>
      <w:r>
        <w:tab/>
        <w:t>(d)</w:t>
      </w:r>
      <w:r>
        <w:tab/>
        <w:t>in paragraph (b) delete “</w:t>
      </w:r>
      <w:r>
        <w:rPr>
          <w:sz w:val="22"/>
        </w:rPr>
        <w:t>his</w:t>
      </w:r>
      <w:r>
        <w:t>” and insert:</w:t>
      </w:r>
    </w:p>
    <w:p>
      <w:pPr>
        <w:pStyle w:val="BlankOpen"/>
      </w:pPr>
    </w:p>
    <w:p>
      <w:pPr>
        <w:pStyle w:val="nzIndenta"/>
      </w:pPr>
      <w:r>
        <w:tab/>
      </w:r>
      <w:r>
        <w:tab/>
      </w:r>
      <w:r>
        <w:rPr>
          <w:sz w:val="22"/>
        </w:rPr>
        <w:t>the</w:t>
      </w:r>
    </w:p>
    <w:p>
      <w:pPr>
        <w:pStyle w:val="BlankClose"/>
      </w:pPr>
    </w:p>
    <w:p>
      <w:pPr>
        <w:pStyle w:val="nzSubsection"/>
      </w:pPr>
      <w:r>
        <w:tab/>
        <w:t>(3)</w:t>
      </w:r>
      <w:r>
        <w:tab/>
        <w:t>Delete Schedule 1 by</w:t>
      </w:r>
      <w:r>
        <w:noBreakHyphen/>
        <w:t>law 1(2).</w:t>
      </w:r>
    </w:p>
    <w:p>
      <w:pPr>
        <w:pStyle w:val="nzSectAltNote"/>
      </w:pPr>
      <w:r>
        <w:tab/>
        <w:t>Note:</w:t>
      </w:r>
      <w:r>
        <w:tab/>
        <w:t>The heading to amended by</w:t>
      </w:r>
      <w:r>
        <w:noBreakHyphen/>
        <w:t>law 1 is to read:</w:t>
      </w:r>
    </w:p>
    <w:p>
      <w:pPr>
        <w:pStyle w:val="nzSectAltHeading"/>
      </w:pPr>
      <w:r>
        <w:rPr>
          <w:b w:val="0"/>
        </w:rPr>
        <w:tab/>
      </w:r>
      <w:r>
        <w:rPr>
          <w:b w:val="0"/>
        </w:rPr>
        <w:tab/>
      </w:r>
      <w:r>
        <w:t>Duties of owner</w:t>
      </w:r>
    </w:p>
    <w:p>
      <w:pPr>
        <w:pStyle w:val="nzHeading5"/>
      </w:pPr>
      <w:bookmarkStart w:id="1975" w:name="_Toc530474592"/>
      <w:bookmarkStart w:id="1976" w:name="_Toc530475187"/>
      <w:r>
        <w:rPr>
          <w:rStyle w:val="CharSectno"/>
        </w:rPr>
        <w:t>88</w:t>
      </w:r>
      <w:r>
        <w:t>.</w:t>
      </w:r>
      <w:r>
        <w:tab/>
        <w:t>Schedule 1 by</w:t>
      </w:r>
      <w:r>
        <w:noBreakHyphen/>
        <w:t>law 2 deleted</w:t>
      </w:r>
      <w:bookmarkEnd w:id="1975"/>
      <w:bookmarkEnd w:id="1976"/>
    </w:p>
    <w:p>
      <w:pPr>
        <w:pStyle w:val="nzSubsection"/>
      </w:pPr>
      <w:r>
        <w:tab/>
      </w:r>
      <w:r>
        <w:tab/>
        <w:t>Delete Schedule 1 by</w:t>
      </w:r>
      <w:r>
        <w:noBreakHyphen/>
        <w:t>law 2.</w:t>
      </w:r>
    </w:p>
    <w:p>
      <w:pPr>
        <w:pStyle w:val="nzHeading5"/>
      </w:pPr>
      <w:bookmarkStart w:id="1977" w:name="_Toc530474593"/>
      <w:bookmarkStart w:id="1978" w:name="_Toc530475188"/>
      <w:r>
        <w:rPr>
          <w:rStyle w:val="CharSectno"/>
        </w:rPr>
        <w:t>89</w:t>
      </w:r>
      <w:r>
        <w:t>.</w:t>
      </w:r>
      <w:r>
        <w:tab/>
        <w:t>Schedule 1 by</w:t>
      </w:r>
      <w:r>
        <w:noBreakHyphen/>
        <w:t>law 3 amended</w:t>
      </w:r>
      <w:bookmarkEnd w:id="1977"/>
      <w:bookmarkEnd w:id="1978"/>
    </w:p>
    <w:p>
      <w:pPr>
        <w:pStyle w:val="nzSubsection"/>
      </w:pPr>
      <w:r>
        <w:tab/>
        <w:t>(1)</w:t>
      </w:r>
      <w:r>
        <w:tab/>
        <w:t>In Schedule 1 by</w:t>
      </w:r>
      <w:r>
        <w:noBreakHyphen/>
        <w:t>law 3(1):</w:t>
      </w:r>
    </w:p>
    <w:p>
      <w:pPr>
        <w:pStyle w:val="nzIndenta"/>
      </w:pPr>
      <w:r>
        <w:tab/>
        <w:t>(a)</w:t>
      </w:r>
      <w:r>
        <w:tab/>
        <w:t>delete “</w:t>
      </w:r>
      <w:r>
        <w:rPr>
          <w:sz w:val="22"/>
        </w:rPr>
        <w:t>Where</w:t>
      </w:r>
      <w:r>
        <w:t>” and insert:</w:t>
      </w:r>
    </w:p>
    <w:p>
      <w:pPr>
        <w:pStyle w:val="BlankOpen"/>
      </w:pPr>
    </w:p>
    <w:p>
      <w:pPr>
        <w:pStyle w:val="nzIndenta"/>
      </w:pPr>
      <w:r>
        <w:tab/>
      </w:r>
      <w:r>
        <w:tab/>
      </w:r>
      <w:r>
        <w:rPr>
          <w:sz w:val="22"/>
        </w:rPr>
        <w:t>If</w:t>
      </w:r>
    </w:p>
    <w:p>
      <w:pPr>
        <w:pStyle w:val="BlankClose"/>
      </w:pPr>
    </w:p>
    <w:p>
      <w:pPr>
        <w:pStyle w:val="nzIndenta"/>
      </w:pPr>
      <w:r>
        <w:tab/>
        <w:t>(b)</w:t>
      </w:r>
      <w:r>
        <w:tab/>
        <w:t>delete “</w:t>
      </w:r>
      <w:r>
        <w:rPr>
          <w:sz w:val="22"/>
        </w:rPr>
        <w:t>proprietor or other</w:t>
      </w:r>
      <w:r>
        <w:t>” and insert:</w:t>
      </w:r>
    </w:p>
    <w:p>
      <w:pPr>
        <w:pStyle w:val="BlankOpen"/>
      </w:pPr>
    </w:p>
    <w:p>
      <w:pPr>
        <w:pStyle w:val="nzIndenta"/>
      </w:pPr>
      <w:r>
        <w:tab/>
      </w:r>
      <w:r>
        <w:tab/>
      </w:r>
      <w:r>
        <w:rPr>
          <w:sz w:val="22"/>
        </w:rPr>
        <w:t>owner or</w:t>
      </w:r>
    </w:p>
    <w:p>
      <w:pPr>
        <w:pStyle w:val="BlankClose"/>
      </w:pPr>
    </w:p>
    <w:p>
      <w:pPr>
        <w:pStyle w:val="nzIndenta"/>
      </w:pPr>
      <w:r>
        <w:tab/>
        <w:t>(c)</w:t>
      </w:r>
      <w:r>
        <w:tab/>
        <w:t>delete “</w:t>
      </w:r>
      <w:r>
        <w:rPr>
          <w:sz w:val="22"/>
          <w:szCs w:val="22"/>
        </w:rPr>
        <w:t>sub</w:t>
      </w:r>
      <w:r>
        <w:rPr>
          <w:sz w:val="22"/>
          <w:szCs w:val="22"/>
        </w:rPr>
        <w:noBreakHyphen/>
        <w:t>bylaw (2),</w:t>
      </w:r>
      <w:r>
        <w:t>” and insert:</w:t>
      </w:r>
    </w:p>
    <w:p>
      <w:pPr>
        <w:pStyle w:val="BlankOpen"/>
      </w:pPr>
    </w:p>
    <w:p>
      <w:pPr>
        <w:pStyle w:val="nzIndenta"/>
      </w:pPr>
      <w:r>
        <w:tab/>
      </w:r>
      <w:r>
        <w:tab/>
      </w:r>
      <w:r>
        <w:rPr>
          <w:sz w:val="22"/>
          <w:szCs w:val="22"/>
        </w:rPr>
        <w:t>sub</w:t>
      </w:r>
      <w:r>
        <w:rPr>
          <w:sz w:val="22"/>
          <w:szCs w:val="22"/>
        </w:rPr>
        <w:noBreakHyphen/>
        <w:t>bylaw (3),</w:t>
      </w:r>
    </w:p>
    <w:p>
      <w:pPr>
        <w:pStyle w:val="BlankClose"/>
      </w:pPr>
    </w:p>
    <w:p>
      <w:pPr>
        <w:pStyle w:val="nzSubsection"/>
      </w:pPr>
      <w:r>
        <w:tab/>
        <w:t>(2)</w:t>
      </w:r>
      <w:r>
        <w:tab/>
        <w:t>In Schedule 1 by</w:t>
      </w:r>
      <w:r>
        <w:noBreakHyphen/>
        <w:t>law 3(2):</w:t>
      </w:r>
    </w:p>
    <w:p>
      <w:pPr>
        <w:pStyle w:val="nzIndenta"/>
      </w:pPr>
      <w:r>
        <w:tab/>
        <w:t>(a)</w:t>
      </w:r>
      <w:r>
        <w:tab/>
        <w:t>delete “</w:t>
      </w:r>
      <w:r>
        <w:rPr>
          <w:sz w:val="22"/>
        </w:rPr>
        <w:t>shall</w:t>
      </w:r>
      <w:r>
        <w:t>” and insert:</w:t>
      </w:r>
    </w:p>
    <w:p>
      <w:pPr>
        <w:pStyle w:val="BlankOpen"/>
      </w:pPr>
    </w:p>
    <w:p>
      <w:pPr>
        <w:pStyle w:val="nzIndenta"/>
      </w:pPr>
      <w:r>
        <w:tab/>
      </w:r>
      <w:r>
        <w:tab/>
      </w:r>
      <w:r>
        <w:rPr>
          <w:sz w:val="22"/>
        </w:rPr>
        <w:t>must</w:t>
      </w:r>
    </w:p>
    <w:p>
      <w:pPr>
        <w:pStyle w:val="BlankClose"/>
      </w:pPr>
    </w:p>
    <w:p>
      <w:pPr>
        <w:pStyle w:val="nzIndenta"/>
      </w:pPr>
      <w:r>
        <w:tab/>
        <w:t>(b)</w:t>
      </w:r>
      <w:r>
        <w:tab/>
        <w:t>delete “</w:t>
      </w:r>
      <w:r>
        <w:rPr>
          <w:sz w:val="22"/>
          <w:szCs w:val="22"/>
        </w:rPr>
        <w:t xml:space="preserve">account </w:t>
      </w:r>
      <w:r>
        <w:rPr>
          <w:sz w:val="22"/>
        </w:rPr>
        <w:t>with an ADI (authorised deposit</w:t>
      </w:r>
      <w:r>
        <w:rPr>
          <w:sz w:val="22"/>
        </w:rPr>
        <w:noBreakHyphen/>
        <w:t xml:space="preserve">taking institution) as defined in section 5 of the </w:t>
      </w:r>
      <w:r>
        <w:rPr>
          <w:i/>
          <w:sz w:val="22"/>
        </w:rPr>
        <w:t>Banking Act 1959</w:t>
      </w:r>
      <w:r>
        <w:rPr>
          <w:sz w:val="22"/>
        </w:rPr>
        <w:t xml:space="preserve"> of the Commonwealth</w:t>
      </w:r>
      <w:r>
        <w:t>” and insert:</w:t>
      </w:r>
    </w:p>
    <w:p>
      <w:pPr>
        <w:pStyle w:val="BlankOpen"/>
      </w:pPr>
    </w:p>
    <w:p>
      <w:pPr>
        <w:pStyle w:val="nzIndenta"/>
      </w:pPr>
      <w:r>
        <w:tab/>
      </w:r>
      <w:r>
        <w:tab/>
      </w:r>
      <w:r>
        <w:rPr>
          <w:sz w:val="22"/>
        </w:rPr>
        <w:t>ADI account</w:t>
      </w:r>
    </w:p>
    <w:p>
      <w:pPr>
        <w:pStyle w:val="BlankClose"/>
      </w:pPr>
    </w:p>
    <w:p>
      <w:pPr>
        <w:pStyle w:val="nzIndenta"/>
      </w:pPr>
      <w:r>
        <w:tab/>
        <w:t>(c)</w:t>
      </w:r>
      <w:r>
        <w:tab/>
        <w:t>delete “</w:t>
      </w:r>
      <w:r>
        <w:rPr>
          <w:sz w:val="22"/>
        </w:rPr>
        <w:t>shall,</w:t>
      </w:r>
      <w:r>
        <w:t>” and insert:</w:t>
      </w:r>
    </w:p>
    <w:p>
      <w:pPr>
        <w:pStyle w:val="BlankOpen"/>
      </w:pPr>
    </w:p>
    <w:p>
      <w:pPr>
        <w:pStyle w:val="nzIndenta"/>
      </w:pPr>
      <w:r>
        <w:tab/>
      </w:r>
      <w:r>
        <w:tab/>
      </w:r>
      <w:r>
        <w:rPr>
          <w:sz w:val="22"/>
        </w:rPr>
        <w:t>must,</w:t>
      </w:r>
    </w:p>
    <w:p>
      <w:pPr>
        <w:pStyle w:val="BlankClose"/>
      </w:pPr>
    </w:p>
    <w:p>
      <w:pPr>
        <w:pStyle w:val="nzIndenta"/>
      </w:pPr>
      <w:r>
        <w:tab/>
        <w:t>(d)</w:t>
      </w:r>
      <w:r>
        <w:tab/>
        <w:t>delete “</w:t>
      </w:r>
      <w:r>
        <w:rPr>
          <w:sz w:val="22"/>
        </w:rPr>
        <w:t>proprietor</w:t>
      </w:r>
      <w:r>
        <w:t>” and insert:</w:t>
      </w:r>
    </w:p>
    <w:p>
      <w:pPr>
        <w:pStyle w:val="BlankOpen"/>
      </w:pPr>
    </w:p>
    <w:p>
      <w:pPr>
        <w:pStyle w:val="nzIndenta"/>
      </w:pPr>
      <w:r>
        <w:tab/>
      </w:r>
      <w:r>
        <w:tab/>
      </w:r>
      <w:r>
        <w:rPr>
          <w:sz w:val="22"/>
        </w:rPr>
        <w:t>owner</w:t>
      </w:r>
    </w:p>
    <w:p>
      <w:pPr>
        <w:pStyle w:val="BlankClose"/>
      </w:pPr>
    </w:p>
    <w:p>
      <w:pPr>
        <w:pStyle w:val="nzSubsection"/>
      </w:pPr>
      <w:r>
        <w:tab/>
        <w:t>(3)</w:t>
      </w:r>
      <w:r>
        <w:tab/>
        <w:t>In Schedule 1 by</w:t>
      </w:r>
      <w:r>
        <w:noBreakHyphen/>
        <w:t>law 3(3):</w:t>
      </w:r>
    </w:p>
    <w:p>
      <w:pPr>
        <w:pStyle w:val="nzIndenta"/>
      </w:pPr>
      <w:r>
        <w:tab/>
        <w:t>(a)</w:t>
      </w:r>
      <w:r>
        <w:tab/>
        <w:t>delete “</w:t>
      </w:r>
      <w:r>
        <w:rPr>
          <w:sz w:val="22"/>
        </w:rPr>
        <w:t>proprietor or other</w:t>
      </w:r>
      <w:r>
        <w:t>” and insert:</w:t>
      </w:r>
    </w:p>
    <w:p>
      <w:pPr>
        <w:pStyle w:val="BlankOpen"/>
      </w:pPr>
    </w:p>
    <w:p>
      <w:pPr>
        <w:pStyle w:val="nzIndenta"/>
      </w:pPr>
      <w:r>
        <w:tab/>
      </w:r>
      <w:r>
        <w:tab/>
      </w:r>
      <w:r>
        <w:rPr>
          <w:sz w:val="22"/>
        </w:rPr>
        <w:t>owner or</w:t>
      </w:r>
    </w:p>
    <w:p>
      <w:pPr>
        <w:pStyle w:val="BlankClose"/>
      </w:pPr>
    </w:p>
    <w:p>
      <w:pPr>
        <w:pStyle w:val="nzIndenta"/>
      </w:pPr>
      <w:r>
        <w:tab/>
        <w:t>(b)</w:t>
      </w:r>
      <w:r>
        <w:tab/>
        <w:t>delete “</w:t>
      </w:r>
      <w:r>
        <w:rPr>
          <w:sz w:val="22"/>
        </w:rPr>
        <w:t>proprietor</w:t>
      </w:r>
      <w:r>
        <w:t>” and insert;</w:t>
      </w:r>
    </w:p>
    <w:p>
      <w:pPr>
        <w:pStyle w:val="BlankOpen"/>
      </w:pPr>
    </w:p>
    <w:p>
      <w:pPr>
        <w:pStyle w:val="nzIndenta"/>
      </w:pPr>
      <w:r>
        <w:tab/>
      </w:r>
      <w:r>
        <w:tab/>
      </w:r>
      <w:r>
        <w:rPr>
          <w:sz w:val="22"/>
        </w:rPr>
        <w:t>owner</w:t>
      </w:r>
    </w:p>
    <w:p>
      <w:pPr>
        <w:pStyle w:val="BlankClose"/>
      </w:pPr>
    </w:p>
    <w:p>
      <w:pPr>
        <w:pStyle w:val="nzSubsection"/>
      </w:pPr>
      <w:r>
        <w:tab/>
        <w:t>(4)</w:t>
      </w:r>
      <w:r>
        <w:tab/>
        <w:t>In Schedule 1 by</w:t>
      </w:r>
      <w:r>
        <w:noBreakHyphen/>
        <w:t>law 3(4):</w:t>
      </w:r>
    </w:p>
    <w:p>
      <w:pPr>
        <w:pStyle w:val="nzIndenta"/>
      </w:pPr>
      <w:r>
        <w:tab/>
        <w:t>(a)</w:t>
      </w:r>
      <w:r>
        <w:tab/>
        <w:t>delete “</w:t>
      </w:r>
      <w:r>
        <w:rPr>
          <w:sz w:val="22"/>
        </w:rPr>
        <w:t>Where</w:t>
      </w:r>
      <w:r>
        <w:t>” and insert:</w:t>
      </w:r>
    </w:p>
    <w:p>
      <w:pPr>
        <w:pStyle w:val="BlankOpen"/>
      </w:pPr>
    </w:p>
    <w:p>
      <w:pPr>
        <w:pStyle w:val="nzIndenta"/>
      </w:pPr>
      <w:r>
        <w:tab/>
      </w:r>
      <w:r>
        <w:tab/>
      </w:r>
      <w:r>
        <w:rPr>
          <w:sz w:val="22"/>
        </w:rPr>
        <w:t>If</w:t>
      </w:r>
    </w:p>
    <w:p>
      <w:pPr>
        <w:pStyle w:val="BlankClose"/>
      </w:pPr>
    </w:p>
    <w:p>
      <w:pPr>
        <w:pStyle w:val="nzIndenta"/>
      </w:pPr>
      <w:r>
        <w:tab/>
        <w:t>(b)</w:t>
      </w:r>
      <w:r>
        <w:tab/>
        <w:t>delete “</w:t>
      </w:r>
      <w:r>
        <w:rPr>
          <w:sz w:val="22"/>
        </w:rPr>
        <w:t xml:space="preserve">he </w:t>
      </w:r>
      <w:r>
        <w:rPr>
          <w:snapToGrid w:val="0"/>
          <w:sz w:val="22"/>
          <w:szCs w:val="22"/>
        </w:rPr>
        <w:t>is no longer the</w:t>
      </w:r>
      <w:r>
        <w:t xml:space="preserve"> </w:t>
      </w:r>
      <w:r>
        <w:rPr>
          <w:sz w:val="22"/>
        </w:rPr>
        <w:t>proprietor</w:t>
      </w:r>
      <w:r>
        <w:t>” and insert:</w:t>
      </w:r>
    </w:p>
    <w:p>
      <w:pPr>
        <w:pStyle w:val="BlankOpen"/>
      </w:pPr>
    </w:p>
    <w:p>
      <w:pPr>
        <w:pStyle w:val="nzIndenta"/>
      </w:pPr>
      <w:r>
        <w:tab/>
      </w:r>
      <w:r>
        <w:tab/>
      </w:r>
      <w:r>
        <w:rPr>
          <w:sz w:val="22"/>
          <w:szCs w:val="22"/>
        </w:rPr>
        <w:t xml:space="preserve">the person </w:t>
      </w:r>
      <w:r>
        <w:rPr>
          <w:sz w:val="22"/>
        </w:rPr>
        <w:t>is no longer the owner</w:t>
      </w:r>
    </w:p>
    <w:p>
      <w:pPr>
        <w:pStyle w:val="BlankClose"/>
      </w:pPr>
    </w:p>
    <w:p>
      <w:pPr>
        <w:pStyle w:val="nzIndenta"/>
      </w:pPr>
      <w:r>
        <w:tab/>
        <w:t>(c)</w:t>
      </w:r>
      <w:r>
        <w:tab/>
        <w:t>delete “</w:t>
      </w:r>
      <w:r>
        <w:rPr>
          <w:sz w:val="22"/>
          <w:szCs w:val="22"/>
        </w:rPr>
        <w:t>a</w:t>
      </w:r>
      <w:r>
        <w:t xml:space="preserve"> </w:t>
      </w:r>
      <w:r>
        <w:rPr>
          <w:sz w:val="22"/>
        </w:rPr>
        <w:t>proprietor</w:t>
      </w:r>
      <w:r>
        <w:t>” and insert;</w:t>
      </w:r>
    </w:p>
    <w:p>
      <w:pPr>
        <w:pStyle w:val="BlankOpen"/>
      </w:pPr>
    </w:p>
    <w:p>
      <w:pPr>
        <w:pStyle w:val="nzIndenta"/>
      </w:pPr>
      <w:r>
        <w:tab/>
      </w:r>
      <w:r>
        <w:tab/>
      </w:r>
      <w:r>
        <w:rPr>
          <w:sz w:val="22"/>
          <w:szCs w:val="22"/>
        </w:rPr>
        <w:t>an</w:t>
      </w:r>
      <w:r>
        <w:rPr>
          <w:sz w:val="22"/>
        </w:rPr>
        <w:t xml:space="preserve"> owner</w:t>
      </w:r>
    </w:p>
    <w:p>
      <w:pPr>
        <w:pStyle w:val="BlankClose"/>
      </w:pPr>
    </w:p>
    <w:p>
      <w:pPr>
        <w:pStyle w:val="nzIndenta"/>
      </w:pPr>
      <w:r>
        <w:tab/>
        <w:t>(d)</w:t>
      </w:r>
      <w:r>
        <w:tab/>
        <w:t>delete “</w:t>
      </w:r>
      <w:r>
        <w:rPr>
          <w:sz w:val="22"/>
        </w:rPr>
        <w:t>shall</w:t>
      </w:r>
      <w:r>
        <w:t>” and insert:</w:t>
      </w:r>
    </w:p>
    <w:p>
      <w:pPr>
        <w:pStyle w:val="BlankOpen"/>
      </w:pPr>
    </w:p>
    <w:p>
      <w:pPr>
        <w:pStyle w:val="nzIndenta"/>
      </w:pPr>
      <w:r>
        <w:tab/>
      </w:r>
      <w:r>
        <w:tab/>
      </w:r>
      <w:r>
        <w:rPr>
          <w:sz w:val="22"/>
        </w:rPr>
        <w:t>must</w:t>
      </w:r>
    </w:p>
    <w:p>
      <w:pPr>
        <w:pStyle w:val="BlankClose"/>
      </w:pPr>
    </w:p>
    <w:p>
      <w:pPr>
        <w:pStyle w:val="nzIndenta"/>
      </w:pPr>
      <w:r>
        <w:tab/>
        <w:t>(e)</w:t>
      </w:r>
      <w:r>
        <w:tab/>
        <w:t>delete “</w:t>
      </w:r>
      <w:r>
        <w:rPr>
          <w:sz w:val="22"/>
          <w:szCs w:val="22"/>
        </w:rPr>
        <w:t>his</w:t>
      </w:r>
      <w:r>
        <w:t>” and insert:</w:t>
      </w:r>
    </w:p>
    <w:p>
      <w:pPr>
        <w:pStyle w:val="BlankOpen"/>
      </w:pPr>
    </w:p>
    <w:p>
      <w:pPr>
        <w:pStyle w:val="nzIndenta"/>
      </w:pPr>
      <w:r>
        <w:tab/>
      </w:r>
      <w:r>
        <w:tab/>
      </w:r>
      <w:r>
        <w:rPr>
          <w:sz w:val="22"/>
        </w:rPr>
        <w:t>the person’s</w:t>
      </w:r>
    </w:p>
    <w:p>
      <w:pPr>
        <w:pStyle w:val="BlankClose"/>
      </w:pPr>
    </w:p>
    <w:p>
      <w:pPr>
        <w:pStyle w:val="nzHeading5"/>
      </w:pPr>
      <w:bookmarkStart w:id="1979" w:name="_Toc530474594"/>
      <w:bookmarkStart w:id="1980" w:name="_Toc530475189"/>
      <w:r>
        <w:rPr>
          <w:rStyle w:val="CharSectno"/>
        </w:rPr>
        <w:t>90</w:t>
      </w:r>
      <w:r>
        <w:t>.</w:t>
      </w:r>
      <w:r>
        <w:tab/>
        <w:t>Schedule 1 by</w:t>
      </w:r>
      <w:r>
        <w:noBreakHyphen/>
        <w:t>law 4 amended</w:t>
      </w:r>
      <w:bookmarkEnd w:id="1979"/>
      <w:bookmarkEnd w:id="1980"/>
    </w:p>
    <w:p>
      <w:pPr>
        <w:pStyle w:val="nzSubsection"/>
      </w:pPr>
      <w:r>
        <w:tab/>
        <w:t>(1)</w:t>
      </w:r>
      <w:r>
        <w:tab/>
        <w:t>In Schedule 1 by</w:t>
      </w:r>
      <w:r>
        <w:noBreakHyphen/>
        <w:t>law 4(1):</w:t>
      </w:r>
    </w:p>
    <w:p>
      <w:pPr>
        <w:pStyle w:val="nzIndenta"/>
      </w:pPr>
      <w:r>
        <w:tab/>
        <w:t>(a)</w:t>
      </w:r>
      <w:r>
        <w:tab/>
        <w:t>delete “</w:t>
      </w:r>
      <w:r>
        <w:rPr>
          <w:sz w:val="22"/>
          <w:szCs w:val="22"/>
        </w:rPr>
        <w:t>shall,</w:t>
      </w:r>
      <w:r>
        <w:t>” and insert:</w:t>
      </w:r>
    </w:p>
    <w:p>
      <w:pPr>
        <w:pStyle w:val="BlankOpen"/>
      </w:pPr>
    </w:p>
    <w:p>
      <w:pPr>
        <w:pStyle w:val="nzIndenta"/>
      </w:pPr>
      <w:r>
        <w:tab/>
      </w:r>
      <w:r>
        <w:tab/>
      </w:r>
      <w:r>
        <w:rPr>
          <w:sz w:val="22"/>
        </w:rPr>
        <w:t>must,</w:t>
      </w:r>
    </w:p>
    <w:p>
      <w:pPr>
        <w:pStyle w:val="BlankClose"/>
      </w:pPr>
    </w:p>
    <w:p>
      <w:pPr>
        <w:pStyle w:val="nzIndenta"/>
      </w:pPr>
      <w:r>
        <w:tab/>
        <w:t>(b)</w:t>
      </w:r>
      <w:r>
        <w:tab/>
        <w:t>delete “</w:t>
      </w:r>
      <w:r>
        <w:rPr>
          <w:sz w:val="22"/>
          <w:szCs w:val="22"/>
        </w:rPr>
        <w:t>shall be</w:t>
      </w:r>
      <w:r>
        <w:t>” and insert:</w:t>
      </w:r>
    </w:p>
    <w:p>
      <w:pPr>
        <w:pStyle w:val="BlankOpen"/>
      </w:pPr>
    </w:p>
    <w:p>
      <w:pPr>
        <w:pStyle w:val="nzIndenta"/>
      </w:pPr>
      <w:r>
        <w:tab/>
      </w:r>
      <w:r>
        <w:tab/>
      </w:r>
      <w:r>
        <w:rPr>
          <w:sz w:val="22"/>
          <w:szCs w:val="22"/>
        </w:rPr>
        <w:t>i</w:t>
      </w:r>
      <w:r>
        <w:rPr>
          <w:sz w:val="22"/>
        </w:rPr>
        <w:t>s</w:t>
      </w:r>
    </w:p>
    <w:p>
      <w:pPr>
        <w:pStyle w:val="BlankClose"/>
      </w:pPr>
    </w:p>
    <w:p>
      <w:pPr>
        <w:pStyle w:val="nzSubsection"/>
      </w:pPr>
      <w:r>
        <w:tab/>
        <w:t>(2)</w:t>
      </w:r>
      <w:r>
        <w:tab/>
        <w:t>In Schedule 1 by</w:t>
      </w:r>
      <w:r>
        <w:noBreakHyphen/>
        <w:t>law 4(2) delete “</w:t>
      </w:r>
      <w:r>
        <w:rPr>
          <w:sz w:val="22"/>
        </w:rPr>
        <w:t>proprietor of all the lots shall</w:t>
      </w:r>
      <w:r>
        <w:t>” and insert:</w:t>
      </w:r>
    </w:p>
    <w:p>
      <w:pPr>
        <w:pStyle w:val="BlankOpen"/>
      </w:pPr>
    </w:p>
    <w:p>
      <w:pPr>
        <w:pStyle w:val="nzSubsection"/>
      </w:pPr>
      <w:r>
        <w:tab/>
      </w:r>
      <w:r>
        <w:tab/>
      </w:r>
      <w:r>
        <w:rPr>
          <w:sz w:val="22"/>
        </w:rPr>
        <w:t>owners of all the lots</w:t>
      </w:r>
    </w:p>
    <w:p>
      <w:pPr>
        <w:pStyle w:val="BlankClose"/>
      </w:pPr>
    </w:p>
    <w:p>
      <w:pPr>
        <w:pStyle w:val="nzSubsection"/>
      </w:pPr>
      <w:r>
        <w:tab/>
        <w:t>(3)</w:t>
      </w:r>
      <w:r>
        <w:tab/>
        <w:t>Delete Schedule 1 by</w:t>
      </w:r>
      <w:r>
        <w:noBreakHyphen/>
        <w:t>law 4(3) and insert:</w:t>
      </w:r>
    </w:p>
    <w:p>
      <w:pPr>
        <w:pStyle w:val="BlankOpen"/>
      </w:pPr>
    </w:p>
    <w:p>
      <w:pPr>
        <w:pStyle w:val="nz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BlankClose"/>
      </w:pPr>
    </w:p>
    <w:p>
      <w:pPr>
        <w:pStyle w:val="nzSubsection"/>
      </w:pPr>
      <w:r>
        <w:tab/>
        <w:t>(4)</w:t>
      </w:r>
      <w:r>
        <w:tab/>
        <w:t>In Schedule 1 by</w:t>
      </w:r>
      <w:r>
        <w:noBreakHyphen/>
        <w:t>law 4(4):</w:t>
      </w:r>
    </w:p>
    <w:p>
      <w:pPr>
        <w:pStyle w:val="nzIndenta"/>
      </w:pPr>
      <w:r>
        <w:tab/>
        <w:t>(a)</w:t>
      </w:r>
      <w:r>
        <w:tab/>
        <w:t>delete “</w:t>
      </w:r>
      <w:r>
        <w:rPr>
          <w:sz w:val="22"/>
        </w:rPr>
        <w:t>Where</w:t>
      </w:r>
      <w:r>
        <w:t>” and insert:</w:t>
      </w:r>
    </w:p>
    <w:p>
      <w:pPr>
        <w:pStyle w:val="BlankOpen"/>
      </w:pPr>
    </w:p>
    <w:p>
      <w:pPr>
        <w:pStyle w:val="nzIndenta"/>
      </w:pPr>
      <w:r>
        <w:tab/>
      </w:r>
      <w:r>
        <w:tab/>
      </w:r>
      <w:r>
        <w:rPr>
          <w:sz w:val="22"/>
        </w:rPr>
        <w:t>If</w:t>
      </w:r>
    </w:p>
    <w:p>
      <w:pPr>
        <w:pStyle w:val="BlankClose"/>
      </w:pPr>
    </w:p>
    <w:p>
      <w:pPr>
        <w:pStyle w:val="nzIndenta"/>
      </w:pPr>
      <w:r>
        <w:tab/>
        <w:t>(b)</w:t>
      </w:r>
      <w:r>
        <w:tab/>
        <w:t>delete “</w:t>
      </w:r>
      <w:r>
        <w:rPr>
          <w:sz w:val="22"/>
        </w:rPr>
        <w:t>proprietors</w:t>
      </w:r>
      <w:r>
        <w:t>” and insert:</w:t>
      </w:r>
    </w:p>
    <w:p>
      <w:pPr>
        <w:pStyle w:val="BlankOpen"/>
      </w:pPr>
    </w:p>
    <w:p>
      <w:pPr>
        <w:pStyle w:val="nzIndenta"/>
      </w:pPr>
      <w:r>
        <w:tab/>
      </w:r>
      <w:r>
        <w:tab/>
      </w:r>
      <w:r>
        <w:rPr>
          <w:sz w:val="22"/>
          <w:szCs w:val="22"/>
        </w:rPr>
        <w:t>lots in the scheme,</w:t>
      </w:r>
    </w:p>
    <w:p>
      <w:pPr>
        <w:pStyle w:val="BlankClose"/>
      </w:pPr>
    </w:p>
    <w:p>
      <w:pPr>
        <w:pStyle w:val="nzIndenta"/>
      </w:pPr>
      <w:r>
        <w:tab/>
        <w:t>(c)</w:t>
      </w:r>
      <w:r>
        <w:tab/>
        <w:t>delete “</w:t>
      </w:r>
      <w:r>
        <w:rPr>
          <w:sz w:val="22"/>
        </w:rPr>
        <w:t>shall</w:t>
      </w:r>
      <w:r>
        <w:t>” and insert:</w:t>
      </w:r>
    </w:p>
    <w:p>
      <w:pPr>
        <w:pStyle w:val="BlankOpen"/>
      </w:pPr>
    </w:p>
    <w:p>
      <w:pPr>
        <w:pStyle w:val="nzIndenta"/>
      </w:pPr>
      <w:r>
        <w:tab/>
      </w:r>
      <w:r>
        <w:tab/>
      </w:r>
      <w:r>
        <w:rPr>
          <w:sz w:val="22"/>
        </w:rPr>
        <w:t>must</w:t>
      </w:r>
    </w:p>
    <w:p>
      <w:pPr>
        <w:pStyle w:val="BlankClose"/>
      </w:pPr>
    </w:p>
    <w:p>
      <w:pPr>
        <w:pStyle w:val="nzIndenta"/>
      </w:pPr>
      <w:r>
        <w:tab/>
        <w:t>(d)</w:t>
      </w:r>
      <w:r>
        <w:tab/>
        <w:t>delete “</w:t>
      </w:r>
      <w:r>
        <w:rPr>
          <w:sz w:val="22"/>
        </w:rPr>
        <w:t>proprietors</w:t>
      </w:r>
      <w:r>
        <w:t>” and insert:</w:t>
      </w:r>
    </w:p>
    <w:p>
      <w:pPr>
        <w:pStyle w:val="BlankOpen"/>
      </w:pPr>
    </w:p>
    <w:p>
      <w:pPr>
        <w:pStyle w:val="nzIndenta"/>
      </w:pPr>
      <w:r>
        <w:tab/>
      </w:r>
      <w:r>
        <w:tab/>
      </w:r>
      <w:r>
        <w:rPr>
          <w:sz w:val="22"/>
          <w:szCs w:val="22"/>
        </w:rPr>
        <w:t>lots in the scheme</w:t>
      </w:r>
    </w:p>
    <w:p>
      <w:pPr>
        <w:pStyle w:val="BlankClose"/>
      </w:pPr>
    </w:p>
    <w:p>
      <w:pPr>
        <w:pStyle w:val="nzSubsection"/>
      </w:pPr>
      <w:r>
        <w:tab/>
        <w:t>(5)</w:t>
      </w:r>
      <w:r>
        <w:tab/>
        <w:t>Delete Schedule 1 by</w:t>
      </w:r>
      <w:r>
        <w:noBreakHyphen/>
        <w:t>law 4(5), (6) and (7) and insert:</w:t>
      </w:r>
    </w:p>
    <w:p>
      <w:pPr>
        <w:pStyle w:val="BlankOpen"/>
      </w:pPr>
    </w:p>
    <w:p>
      <w:pPr>
        <w:pStyle w:val="nz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BlankClose"/>
      </w:pPr>
    </w:p>
    <w:p>
      <w:pPr>
        <w:pStyle w:val="nzSubsection"/>
      </w:pPr>
      <w:r>
        <w:tab/>
        <w:t>(6)</w:t>
      </w:r>
      <w:r>
        <w:tab/>
        <w:t>In Schedule 1 by</w:t>
      </w:r>
      <w:r>
        <w:noBreakHyphen/>
        <w:t>law 4(8):</w:t>
      </w:r>
    </w:p>
    <w:p>
      <w:pPr>
        <w:pStyle w:val="nzIndenta"/>
      </w:pPr>
      <w:r>
        <w:tab/>
        <w:t>(a)</w:t>
      </w:r>
      <w:r>
        <w:tab/>
        <w:t>delete “w</w:t>
      </w:r>
      <w:r>
        <w:rPr>
          <w:sz w:val="22"/>
        </w:rPr>
        <w:t>here</w:t>
      </w:r>
      <w:r>
        <w:t>” and insert:</w:t>
      </w:r>
    </w:p>
    <w:p>
      <w:pPr>
        <w:pStyle w:val="BlankOpen"/>
      </w:pPr>
    </w:p>
    <w:p>
      <w:pPr>
        <w:pStyle w:val="nzIndenta"/>
      </w:pPr>
      <w:r>
        <w:tab/>
      </w:r>
      <w:r>
        <w:tab/>
      </w:r>
      <w:r>
        <w:rPr>
          <w:sz w:val="22"/>
          <w:szCs w:val="22"/>
        </w:rPr>
        <w:t>i</w:t>
      </w:r>
      <w:r>
        <w:rPr>
          <w:spacing w:val="40"/>
          <w:sz w:val="22"/>
          <w:szCs w:val="22"/>
        </w:rPr>
        <w:t>f</w:t>
      </w:r>
    </w:p>
    <w:p>
      <w:pPr>
        <w:pStyle w:val="BlankClose"/>
      </w:pPr>
    </w:p>
    <w:p>
      <w:pPr>
        <w:pStyle w:val="nzIndenta"/>
      </w:pPr>
      <w:r>
        <w:tab/>
        <w:t>(b)</w:t>
      </w:r>
      <w:r>
        <w:tab/>
        <w:t>delete “</w:t>
      </w:r>
      <w:r>
        <w:rPr>
          <w:sz w:val="22"/>
        </w:rPr>
        <w:t>proprietors,</w:t>
      </w:r>
      <w:r>
        <w:t>” and insert:</w:t>
      </w:r>
    </w:p>
    <w:p>
      <w:pPr>
        <w:pStyle w:val="BlankOpen"/>
      </w:pPr>
    </w:p>
    <w:p>
      <w:pPr>
        <w:pStyle w:val="nzIndenta"/>
      </w:pPr>
      <w:r>
        <w:tab/>
      </w:r>
      <w:r>
        <w:tab/>
      </w:r>
      <w:r>
        <w:rPr>
          <w:sz w:val="22"/>
          <w:szCs w:val="22"/>
        </w:rPr>
        <w:t>owners of lots in the scheme,</w:t>
      </w:r>
    </w:p>
    <w:p>
      <w:pPr>
        <w:pStyle w:val="BlankClose"/>
      </w:pPr>
    </w:p>
    <w:p>
      <w:pPr>
        <w:pStyle w:val="nzIndenta"/>
      </w:pPr>
      <w:r>
        <w:tab/>
        <w:t>(c)</w:t>
      </w:r>
      <w:r>
        <w:tab/>
        <w:t>delete “</w:t>
      </w:r>
      <w:r>
        <w:rPr>
          <w:sz w:val="22"/>
          <w:szCs w:val="22"/>
        </w:rPr>
        <w:t>his</w:t>
      </w:r>
      <w:r>
        <w:t>” and insert:</w:t>
      </w:r>
    </w:p>
    <w:p>
      <w:pPr>
        <w:pStyle w:val="BlankOpen"/>
      </w:pPr>
    </w:p>
    <w:p>
      <w:pPr>
        <w:pStyle w:val="nzIndenta"/>
      </w:pPr>
      <w:r>
        <w:tab/>
      </w:r>
      <w:r>
        <w:tab/>
      </w:r>
      <w:r>
        <w:rPr>
          <w:sz w:val="22"/>
        </w:rPr>
        <w:t>the member’s</w:t>
      </w:r>
    </w:p>
    <w:p>
      <w:pPr>
        <w:pStyle w:val="BlankClose"/>
      </w:pPr>
    </w:p>
    <w:p>
      <w:pPr>
        <w:pStyle w:val="nzSubsection"/>
      </w:pPr>
      <w:r>
        <w:tab/>
        <w:t>(7)</w:t>
      </w:r>
      <w:r>
        <w:tab/>
        <w:t>In Schedule 1 by</w:t>
      </w:r>
      <w:r>
        <w:noBreakHyphen/>
        <w:t>law 4(9):</w:t>
      </w:r>
    </w:p>
    <w:p>
      <w:pPr>
        <w:pStyle w:val="nzIndenta"/>
      </w:pPr>
      <w:r>
        <w:tab/>
        <w:t>(a)</w:t>
      </w:r>
      <w:r>
        <w:tab/>
        <w:t>delete “</w:t>
      </w:r>
      <w:r>
        <w:rPr>
          <w:sz w:val="22"/>
        </w:rPr>
        <w:t>his</w:t>
      </w:r>
      <w:r>
        <w:t>”;</w:t>
      </w:r>
    </w:p>
    <w:p>
      <w:pPr>
        <w:pStyle w:val="nzIndenta"/>
      </w:pPr>
      <w:r>
        <w:tab/>
        <w:t>(b)</w:t>
      </w:r>
      <w:r>
        <w:tab/>
        <w:t>delete paragraphs (a) and (b) and insert:</w:t>
      </w:r>
    </w:p>
    <w:p>
      <w:pPr>
        <w:pStyle w:val="BlankOpen"/>
      </w:pPr>
    </w:p>
    <w:p>
      <w:pPr>
        <w:pStyle w:val="nzIndenta"/>
      </w:pPr>
      <w:r>
        <w:tab/>
        <w:t>(a)</w:t>
      </w:r>
      <w:r>
        <w:tab/>
        <w:t>if the member dies or ceases to be an owner or co</w:t>
      </w:r>
      <w:r>
        <w:noBreakHyphen/>
        <w:t>owner of a lot; or</w:t>
      </w:r>
    </w:p>
    <w:p>
      <w:pPr>
        <w:pStyle w:val="nzIndenta"/>
      </w:pPr>
      <w:r>
        <w:tab/>
        <w:t>(b)</w:t>
      </w:r>
      <w:r>
        <w:tab/>
        <w:t>on receipt by the strata company of a written notice of the member’s resignation from the office of member; or</w:t>
      </w:r>
    </w:p>
    <w:p>
      <w:pPr>
        <w:pStyle w:val="BlankClose"/>
      </w:pPr>
    </w:p>
    <w:p>
      <w:pPr>
        <w:pStyle w:val="nzIndenta"/>
      </w:pPr>
      <w:r>
        <w:tab/>
        <w:t>(c)</w:t>
      </w:r>
      <w:r>
        <w:tab/>
        <w:t>in paragraph (c) delete “</w:t>
      </w:r>
      <w:r>
        <w:rPr>
          <w:sz w:val="22"/>
        </w:rPr>
        <w:t>he</w:t>
      </w:r>
      <w:r>
        <w:t>” and insert:</w:t>
      </w:r>
    </w:p>
    <w:p>
      <w:pPr>
        <w:pStyle w:val="BlankOpen"/>
      </w:pPr>
    </w:p>
    <w:p>
      <w:pPr>
        <w:pStyle w:val="nzIndenta"/>
      </w:pPr>
      <w:r>
        <w:tab/>
      </w:r>
      <w:r>
        <w:tab/>
      </w:r>
      <w:r>
        <w:rPr>
          <w:sz w:val="22"/>
        </w:rPr>
        <w:t>the member</w:t>
      </w:r>
    </w:p>
    <w:p>
      <w:pPr>
        <w:pStyle w:val="BlankClose"/>
      </w:pPr>
    </w:p>
    <w:p>
      <w:pPr>
        <w:pStyle w:val="nzIndenta"/>
      </w:pPr>
      <w:r>
        <w:tab/>
        <w:t>(d)</w:t>
      </w:r>
      <w:r>
        <w:tab/>
        <w:t>delete paragraph (d) and insert:</w:t>
      </w:r>
    </w:p>
    <w:p>
      <w:pPr>
        <w:pStyle w:val="BlankOpen"/>
      </w:pPr>
    </w:p>
    <w:p>
      <w:pPr>
        <w:pStyle w:val="nz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BlankClose"/>
        <w:keepNext/>
      </w:pPr>
    </w:p>
    <w:p>
      <w:pPr>
        <w:pStyle w:val="nzIndenta"/>
      </w:pPr>
      <w:r>
        <w:tab/>
        <w:t>(e)</w:t>
      </w:r>
      <w:r>
        <w:tab/>
        <w:t>in paragraph (e) delete “</w:t>
      </w:r>
      <w:r>
        <w:rPr>
          <w:sz w:val="22"/>
          <w:szCs w:val="22"/>
        </w:rPr>
        <w:t xml:space="preserve">where </w:t>
      </w:r>
      <w:r>
        <w:rPr>
          <w:sz w:val="22"/>
        </w:rPr>
        <w:t>he</w:t>
      </w:r>
      <w:r>
        <w:t>” and insert:</w:t>
      </w:r>
    </w:p>
    <w:p>
      <w:pPr>
        <w:pStyle w:val="BlankOpen"/>
      </w:pPr>
    </w:p>
    <w:p>
      <w:pPr>
        <w:pStyle w:val="nzIndenta"/>
      </w:pPr>
      <w:r>
        <w:tab/>
      </w:r>
      <w:r>
        <w:tab/>
      </w:r>
      <w:r>
        <w:rPr>
          <w:sz w:val="22"/>
          <w:szCs w:val="22"/>
        </w:rPr>
        <w:t xml:space="preserve">if </w:t>
      </w:r>
      <w:r>
        <w:rPr>
          <w:sz w:val="22"/>
        </w:rPr>
        <w:t>the member</w:t>
      </w:r>
    </w:p>
    <w:p>
      <w:pPr>
        <w:pStyle w:val="BlankClose"/>
      </w:pPr>
    </w:p>
    <w:p>
      <w:pPr>
        <w:pStyle w:val="nzIndenta"/>
      </w:pPr>
      <w:r>
        <w:tab/>
        <w:t>(f)</w:t>
      </w:r>
      <w:r>
        <w:tab/>
        <w:t>in paragraph (e) delete “</w:t>
      </w:r>
      <w:r>
        <w:rPr>
          <w:sz w:val="22"/>
          <w:szCs w:val="22"/>
        </w:rPr>
        <w:t>sub</w:t>
      </w:r>
      <w:r>
        <w:rPr>
          <w:sz w:val="22"/>
          <w:szCs w:val="22"/>
        </w:rPr>
        <w:noBreakHyphen/>
        <w:t>bylaw (8).</w:t>
      </w:r>
      <w:r>
        <w:t>” and insert:</w:t>
      </w:r>
    </w:p>
    <w:p>
      <w:pPr>
        <w:pStyle w:val="BlankOpen"/>
      </w:pPr>
    </w:p>
    <w:p>
      <w:pPr>
        <w:pStyle w:val="nzIndenta"/>
      </w:pPr>
      <w:r>
        <w:rPr>
          <w:sz w:val="22"/>
          <w:szCs w:val="22"/>
        </w:rPr>
        <w:tab/>
      </w:r>
      <w:r>
        <w:rPr>
          <w:sz w:val="22"/>
          <w:szCs w:val="22"/>
        </w:rPr>
        <w:tab/>
        <w:t>sub</w:t>
      </w:r>
      <w:r>
        <w:rPr>
          <w:sz w:val="22"/>
          <w:szCs w:val="22"/>
        </w:rPr>
        <w:noBreakHyphen/>
        <w:t>bylaw (8); or</w:t>
      </w:r>
    </w:p>
    <w:p>
      <w:pPr>
        <w:pStyle w:val="BlankClose"/>
      </w:pPr>
    </w:p>
    <w:p>
      <w:pPr>
        <w:pStyle w:val="nzIndenta"/>
      </w:pPr>
      <w:r>
        <w:tab/>
        <w:t>(g)</w:t>
      </w:r>
      <w:r>
        <w:tab/>
        <w:t>after paragraph (e) insert:</w:t>
      </w:r>
    </w:p>
    <w:p>
      <w:pPr>
        <w:pStyle w:val="BlankOpen"/>
      </w:pPr>
    </w:p>
    <w:p>
      <w:pPr>
        <w:pStyle w:val="nzIndenta"/>
      </w:pPr>
      <w:r>
        <w:tab/>
        <w:t>(f)</w:t>
      </w:r>
      <w:r>
        <w:tab/>
        <w:t>if the Tribunal orders that the member’s appointment is revoked and the member is removed from office.</w:t>
      </w:r>
    </w:p>
    <w:p>
      <w:pPr>
        <w:pStyle w:val="BlankClose"/>
      </w:pPr>
    </w:p>
    <w:p>
      <w:pPr>
        <w:pStyle w:val="nzSubsection"/>
      </w:pPr>
      <w:r>
        <w:tab/>
        <w:t>(8)</w:t>
      </w:r>
      <w:r>
        <w:tab/>
        <w:t>Delete Schedule 1 by</w:t>
      </w:r>
      <w:r>
        <w:noBreakHyphen/>
        <w:t>law 4(10) and (11) and insert:</w:t>
      </w:r>
    </w:p>
    <w:p>
      <w:pPr>
        <w:pStyle w:val="BlankOpen"/>
      </w:pPr>
    </w:p>
    <w:p>
      <w:pPr>
        <w:pStyle w:val="nzSubsection"/>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nzPermNoteHeading"/>
      </w:pPr>
      <w:r>
        <w:tab/>
        <w:t>Note for this sub</w:t>
      </w:r>
      <w:r>
        <w:noBreakHyphen/>
        <w:t>bylaw:</w:t>
      </w:r>
    </w:p>
    <w:p>
      <w:pPr>
        <w:pStyle w:val="nzPermNoteText"/>
      </w:pPr>
      <w:r>
        <w:tab/>
      </w:r>
      <w:r>
        <w:tab/>
        <w:t>By</w:t>
      </w:r>
      <w:r>
        <w:noBreakHyphen/>
        <w:t>law 6(3A) provides for the filling of vacancies in the offices of chairperson, secretary and treasurer.</w:t>
      </w:r>
    </w:p>
    <w:p>
      <w:pPr>
        <w:pStyle w:val="nzSubsection"/>
      </w:pPr>
      <w:r>
        <w:tab/>
        <w:t>(11)</w:t>
      </w:r>
      <w:r>
        <w:tab/>
        <w:t>Except if 1 person is the owner of all of the lots in the scheme, a quorum of the council is 2 if the council consists of 3 or 4 members; 3, if it consists of 5 or 6 members; and 4, if it consists of 7 members.</w:t>
      </w:r>
    </w:p>
    <w:p>
      <w:pPr>
        <w:pStyle w:val="BlankClose"/>
      </w:pPr>
    </w:p>
    <w:p>
      <w:pPr>
        <w:pStyle w:val="nzSubsection"/>
      </w:pPr>
      <w:r>
        <w:tab/>
        <w:t>(9)</w:t>
      </w:r>
      <w:r>
        <w:tab/>
        <w:t>In Schedule 1 by</w:t>
      </w:r>
      <w:r>
        <w:noBreakHyphen/>
        <w:t>law 4(12) delete “</w:t>
      </w:r>
      <w:r>
        <w:rPr>
          <w:sz w:val="22"/>
        </w:rPr>
        <w:t>notwithstanding any</w:t>
      </w:r>
      <w:r>
        <w:t>” and insert:</w:t>
      </w:r>
    </w:p>
    <w:p>
      <w:pPr>
        <w:pStyle w:val="BlankOpen"/>
      </w:pPr>
    </w:p>
    <w:p>
      <w:pPr>
        <w:pStyle w:val="nzSubsection"/>
      </w:pPr>
      <w:r>
        <w:tab/>
      </w:r>
      <w:r>
        <w:tab/>
      </w:r>
      <w:r>
        <w:rPr>
          <w:sz w:val="22"/>
        </w:rPr>
        <w:t>even if there is a</w:t>
      </w:r>
    </w:p>
    <w:p>
      <w:pPr>
        <w:pStyle w:val="BlankClose"/>
      </w:pPr>
    </w:p>
    <w:p>
      <w:pPr>
        <w:pStyle w:val="nzSubsection"/>
      </w:pPr>
      <w:r>
        <w:tab/>
        <w:t>(10)</w:t>
      </w:r>
      <w:r>
        <w:tab/>
        <w:t>In Schedule 1 by</w:t>
      </w:r>
      <w:r>
        <w:noBreakHyphen/>
        <w:t>law 4(13):</w:t>
      </w:r>
    </w:p>
    <w:p>
      <w:pPr>
        <w:pStyle w:val="nzIndenta"/>
      </w:pPr>
      <w:r>
        <w:tab/>
        <w:t>(a)</w:t>
      </w:r>
      <w:r>
        <w:tab/>
        <w:t>delete “</w:t>
      </w:r>
      <w:r>
        <w:rPr>
          <w:snapToGrid w:val="0"/>
        </w:rPr>
        <w:t>council shall, notwithstanding that</w:t>
      </w:r>
      <w:r>
        <w:t>” and insert:</w:t>
      </w:r>
    </w:p>
    <w:p>
      <w:pPr>
        <w:pStyle w:val="BlankOpen"/>
      </w:pPr>
    </w:p>
    <w:p>
      <w:pPr>
        <w:pStyle w:val="nzIndenta"/>
      </w:pPr>
      <w:r>
        <w:tab/>
      </w:r>
      <w:r>
        <w:tab/>
      </w:r>
      <w:r>
        <w:rPr>
          <w:snapToGrid w:val="0"/>
          <w:szCs w:val="22"/>
        </w:rPr>
        <w:t>council,</w:t>
      </w:r>
      <w:r>
        <w:t xml:space="preserve"> even if </w:t>
      </w:r>
    </w:p>
    <w:p>
      <w:pPr>
        <w:pStyle w:val="BlankClose"/>
      </w:pPr>
    </w:p>
    <w:p>
      <w:pPr>
        <w:pStyle w:val="nzIndenta"/>
      </w:pPr>
      <w:r>
        <w:tab/>
        <w:t>(b)</w:t>
      </w:r>
      <w:r>
        <w:tab/>
        <w:t>delete “</w:t>
      </w:r>
      <w:r>
        <w:rPr>
          <w:sz w:val="22"/>
        </w:rPr>
        <w:t>be</w:t>
      </w:r>
      <w:r>
        <w:t>” and insert:</w:t>
      </w:r>
    </w:p>
    <w:p>
      <w:pPr>
        <w:pStyle w:val="BlankOpen"/>
      </w:pPr>
    </w:p>
    <w:p>
      <w:pPr>
        <w:pStyle w:val="nzIndenta"/>
      </w:pPr>
      <w:r>
        <w:tab/>
      </w:r>
      <w:r>
        <w:tab/>
      </w:r>
      <w:r>
        <w:rPr>
          <w:sz w:val="22"/>
        </w:rPr>
        <w:t>are</w:t>
      </w:r>
    </w:p>
    <w:p>
      <w:pPr>
        <w:pStyle w:val="BlankClose"/>
      </w:pPr>
    </w:p>
    <w:p>
      <w:pPr>
        <w:pStyle w:val="nzHeading5"/>
      </w:pPr>
      <w:bookmarkStart w:id="1981" w:name="_Toc530474595"/>
      <w:bookmarkStart w:id="1982" w:name="_Toc530475190"/>
      <w:r>
        <w:rPr>
          <w:rStyle w:val="CharSectno"/>
        </w:rPr>
        <w:t>91</w:t>
      </w:r>
      <w:r>
        <w:t>.</w:t>
      </w:r>
      <w:r>
        <w:tab/>
        <w:t>Schedule 1 by</w:t>
      </w:r>
      <w:r>
        <w:noBreakHyphen/>
        <w:t>law 5 amended</w:t>
      </w:r>
      <w:bookmarkEnd w:id="1981"/>
      <w:bookmarkEnd w:id="1982"/>
    </w:p>
    <w:p>
      <w:pPr>
        <w:pStyle w:val="nzSubsection"/>
      </w:pPr>
      <w:r>
        <w:tab/>
        <w:t>(1)</w:t>
      </w:r>
      <w:r>
        <w:tab/>
        <w:t>In Schedule 1 by</w:t>
      </w:r>
      <w:r>
        <w:noBreakHyphen/>
        <w:t>law 5 delete “</w:t>
      </w:r>
      <w:r>
        <w:rPr>
          <w:sz w:val="22"/>
          <w:szCs w:val="22"/>
        </w:rPr>
        <w:t>shall</w:t>
      </w:r>
      <w:r>
        <w:t>” and insert:</w:t>
      </w:r>
    </w:p>
    <w:p>
      <w:pPr>
        <w:pStyle w:val="BlankOpen"/>
      </w:pPr>
    </w:p>
    <w:p>
      <w:pPr>
        <w:pStyle w:val="nzSubsection"/>
      </w:pPr>
      <w:r>
        <w:tab/>
      </w:r>
      <w:r>
        <w:tab/>
      </w:r>
      <w:r>
        <w:rPr>
          <w:sz w:val="22"/>
          <w:szCs w:val="22"/>
        </w:rPr>
        <w:t>must</w:t>
      </w:r>
    </w:p>
    <w:p>
      <w:pPr>
        <w:pStyle w:val="BlankClose"/>
      </w:pPr>
    </w:p>
    <w:p>
      <w:pPr>
        <w:pStyle w:val="nzSubsection"/>
      </w:pPr>
      <w:r>
        <w:tab/>
        <w:t>(2)</w:t>
      </w:r>
      <w:r>
        <w:tab/>
        <w:t>In Schedule 1 by</w:t>
      </w:r>
      <w:r>
        <w:noBreakHyphen/>
        <w:t>law 5(1):</w:t>
      </w:r>
    </w:p>
    <w:p>
      <w:pPr>
        <w:pStyle w:val="nzIndenta"/>
      </w:pPr>
      <w:r>
        <w:tab/>
        <w:t>(a)</w:t>
      </w:r>
      <w:r>
        <w:tab/>
        <w:t>delete “</w:t>
      </w:r>
      <w:r>
        <w:rPr>
          <w:sz w:val="22"/>
          <w:szCs w:val="22"/>
        </w:rPr>
        <w:t>shall determine,</w:t>
      </w:r>
      <w:r>
        <w:t>” and insert:</w:t>
      </w:r>
    </w:p>
    <w:p>
      <w:pPr>
        <w:pStyle w:val="BlankOpen"/>
      </w:pPr>
    </w:p>
    <w:p>
      <w:pPr>
        <w:pStyle w:val="nzIndenta"/>
      </w:pPr>
      <w:r>
        <w:tab/>
      </w:r>
      <w:r>
        <w:tab/>
      </w:r>
      <w:r>
        <w:rPr>
          <w:sz w:val="22"/>
          <w:szCs w:val="22"/>
        </w:rPr>
        <w:t>must determine,</w:t>
      </w:r>
    </w:p>
    <w:p>
      <w:pPr>
        <w:pStyle w:val="BlankClose"/>
      </w:pPr>
    </w:p>
    <w:p>
      <w:pPr>
        <w:pStyle w:val="nzIndenta"/>
      </w:pPr>
      <w:r>
        <w:tab/>
        <w:t>(b)</w:t>
      </w:r>
      <w:r>
        <w:tab/>
        <w:t>delete “</w:t>
      </w:r>
      <w:r>
        <w:rPr>
          <w:sz w:val="22"/>
          <w:szCs w:val="22"/>
        </w:rPr>
        <w:t>shall consist.</w:t>
      </w:r>
      <w:r>
        <w:t>” and insert:</w:t>
      </w:r>
    </w:p>
    <w:p>
      <w:pPr>
        <w:pStyle w:val="BlankOpen"/>
      </w:pPr>
    </w:p>
    <w:p>
      <w:pPr>
        <w:pStyle w:val="nzIndenta"/>
      </w:pPr>
      <w:r>
        <w:tab/>
      </w:r>
      <w:r>
        <w:tab/>
      </w:r>
      <w:r>
        <w:rPr>
          <w:sz w:val="22"/>
          <w:szCs w:val="22"/>
        </w:rPr>
        <w:t>i</w:t>
      </w:r>
      <w:r>
        <w:rPr>
          <w:sz w:val="22"/>
        </w:rPr>
        <w:t>s to consist.</w:t>
      </w:r>
    </w:p>
    <w:p>
      <w:pPr>
        <w:pStyle w:val="BlankClose"/>
      </w:pPr>
    </w:p>
    <w:p>
      <w:pPr>
        <w:pStyle w:val="nzSubsection"/>
      </w:pPr>
      <w:r>
        <w:tab/>
        <w:t>(3)</w:t>
      </w:r>
      <w:r>
        <w:tab/>
        <w:t>In Schedule 1 by</w:t>
      </w:r>
      <w:r>
        <w:noBreakHyphen/>
        <w:t>law 5(2) delete “</w:t>
      </w:r>
      <w:r>
        <w:rPr>
          <w:sz w:val="22"/>
        </w:rPr>
        <w:t>chairman shall call upon those persons present</w:t>
      </w:r>
      <w:r>
        <w:t>” and insert:</w:t>
      </w:r>
    </w:p>
    <w:p>
      <w:pPr>
        <w:pStyle w:val="BlankOpen"/>
      </w:pPr>
    </w:p>
    <w:p>
      <w:pPr>
        <w:pStyle w:val="nzSubsection"/>
      </w:pPr>
      <w:r>
        <w:tab/>
      </w:r>
      <w:r>
        <w:tab/>
      </w:r>
      <w:r>
        <w:rPr>
          <w:sz w:val="22"/>
          <w:szCs w:val="22"/>
        </w:rPr>
        <w:t>chairperson must call on those persons who are present at the meeting in person or by proxy</w:t>
      </w:r>
    </w:p>
    <w:p>
      <w:pPr>
        <w:pStyle w:val="BlankClose"/>
      </w:pPr>
    </w:p>
    <w:p>
      <w:pPr>
        <w:pStyle w:val="nzSubsection"/>
      </w:pPr>
      <w:r>
        <w:tab/>
        <w:t>(4)</w:t>
      </w:r>
      <w:r>
        <w:tab/>
        <w:t>In Schedule 1 by</w:t>
      </w:r>
      <w:r>
        <w:noBreakHyphen/>
        <w:t>law 5(3):</w:t>
      </w:r>
    </w:p>
    <w:p>
      <w:pPr>
        <w:pStyle w:val="nzIndenta"/>
      </w:pPr>
      <w:r>
        <w:tab/>
        <w:t>(a)</w:t>
      </w:r>
      <w:r>
        <w:tab/>
        <w:t>delete “</w:t>
      </w:r>
      <w:r>
        <w:rPr>
          <w:sz w:val="22"/>
        </w:rPr>
        <w:t>his</w:t>
      </w:r>
      <w:r>
        <w:t>” and insert:</w:t>
      </w:r>
    </w:p>
    <w:p>
      <w:pPr>
        <w:pStyle w:val="BlankOpen"/>
      </w:pPr>
    </w:p>
    <w:p>
      <w:pPr>
        <w:pStyle w:val="nzIndenta"/>
      </w:pPr>
      <w:r>
        <w:tab/>
      </w:r>
      <w:r>
        <w:tab/>
      </w:r>
      <w:r>
        <w:rPr>
          <w:sz w:val="22"/>
        </w:rPr>
        <w:t>the</w:t>
      </w:r>
    </w:p>
    <w:p>
      <w:pPr>
        <w:pStyle w:val="BlankClose"/>
      </w:pPr>
    </w:p>
    <w:p>
      <w:pPr>
        <w:pStyle w:val="nzIndenta"/>
      </w:pPr>
      <w:r>
        <w:tab/>
        <w:t>(b)</w:t>
      </w:r>
      <w:r>
        <w:tab/>
        <w:t>in paragraph (a) delete “</w:t>
      </w:r>
      <w:r>
        <w:rPr>
          <w:sz w:val="22"/>
        </w:rPr>
        <w:t>chairman</w:t>
      </w:r>
      <w:r>
        <w:t>” and insert:</w:t>
      </w:r>
    </w:p>
    <w:p>
      <w:pPr>
        <w:pStyle w:val="BlankOpen"/>
      </w:pPr>
    </w:p>
    <w:p>
      <w:pPr>
        <w:pStyle w:val="nzIndenta"/>
      </w:pPr>
      <w:r>
        <w:tab/>
      </w:r>
      <w:r>
        <w:tab/>
      </w:r>
      <w:r>
        <w:rPr>
          <w:sz w:val="22"/>
        </w:rPr>
        <w:t>chairperson</w:t>
      </w:r>
    </w:p>
    <w:p>
      <w:pPr>
        <w:pStyle w:val="BlankClose"/>
      </w:pPr>
    </w:p>
    <w:p>
      <w:pPr>
        <w:pStyle w:val="nzIndenta"/>
      </w:pPr>
      <w:r>
        <w:tab/>
        <w:t>(c)</w:t>
      </w:r>
      <w:r>
        <w:tab/>
        <w:t>in paragraph (b) delete “</w:t>
      </w:r>
      <w:r>
        <w:rPr>
          <w:sz w:val="22"/>
        </w:rPr>
        <w:t>meeting.</w:t>
      </w:r>
      <w:r>
        <w:t>” and insert:</w:t>
      </w:r>
    </w:p>
    <w:p>
      <w:pPr>
        <w:pStyle w:val="BlankOpen"/>
      </w:pPr>
    </w:p>
    <w:p>
      <w:pPr>
        <w:pStyle w:val="nzIndenta"/>
      </w:pPr>
      <w:r>
        <w:tab/>
      </w:r>
      <w:r>
        <w:tab/>
      </w:r>
      <w:r>
        <w:rPr>
          <w:sz w:val="22"/>
        </w:rPr>
        <w:t>meeting in person or by proxy.</w:t>
      </w:r>
    </w:p>
    <w:p>
      <w:pPr>
        <w:pStyle w:val="BlankClose"/>
      </w:pPr>
    </w:p>
    <w:p>
      <w:pPr>
        <w:pStyle w:val="nzSubsection"/>
      </w:pPr>
      <w:r>
        <w:tab/>
        <w:t>(5)</w:t>
      </w:r>
      <w:r>
        <w:tab/>
        <w:t>In Schedule 1 by</w:t>
      </w:r>
      <w:r>
        <w:noBreakHyphen/>
        <w:t>law 5(4):</w:t>
      </w:r>
    </w:p>
    <w:p>
      <w:pPr>
        <w:pStyle w:val="nzIndenta"/>
      </w:pPr>
      <w:r>
        <w:tab/>
        <w:t>(a)</w:t>
      </w:r>
      <w:r>
        <w:tab/>
        <w:t>delete “</w:t>
      </w:r>
      <w:r>
        <w:rPr>
          <w:sz w:val="22"/>
        </w:rPr>
        <w:t xml:space="preserve">chairman — </w:t>
      </w:r>
      <w:r>
        <w:t>” and insert:</w:t>
      </w:r>
    </w:p>
    <w:p>
      <w:pPr>
        <w:pStyle w:val="BlankOpen"/>
      </w:pPr>
    </w:p>
    <w:p>
      <w:pPr>
        <w:pStyle w:val="nzIndenta"/>
      </w:pPr>
      <w:r>
        <w:tab/>
      </w:r>
      <w:r>
        <w:tab/>
      </w:r>
      <w:r>
        <w:rPr>
          <w:sz w:val="22"/>
        </w:rPr>
        <w:t xml:space="preserve">chairperson — </w:t>
      </w:r>
    </w:p>
    <w:p>
      <w:pPr>
        <w:pStyle w:val="BlankClose"/>
      </w:pPr>
    </w:p>
    <w:p>
      <w:pPr>
        <w:pStyle w:val="nzIndenta"/>
      </w:pPr>
      <w:r>
        <w:tab/>
        <w:t>(b)</w:t>
      </w:r>
      <w:r>
        <w:tab/>
        <w:t>in paragraph (a) delete “</w:t>
      </w:r>
      <w:r>
        <w:rPr>
          <w:sz w:val="22"/>
          <w:szCs w:val="22"/>
        </w:rPr>
        <w:t>w</w:t>
      </w:r>
      <w:r>
        <w:rPr>
          <w:sz w:val="22"/>
        </w:rPr>
        <w:t>here</w:t>
      </w:r>
      <w:r>
        <w:t>” and insert:</w:t>
      </w:r>
    </w:p>
    <w:p>
      <w:pPr>
        <w:pStyle w:val="BlankOpen"/>
      </w:pPr>
    </w:p>
    <w:p>
      <w:pPr>
        <w:pStyle w:val="nzIndenta"/>
      </w:pPr>
      <w:r>
        <w:tab/>
      </w:r>
      <w:r>
        <w:tab/>
      </w:r>
      <w:r>
        <w:rPr>
          <w:sz w:val="22"/>
          <w:szCs w:val="22"/>
        </w:rPr>
        <w:t>if</w:t>
      </w:r>
    </w:p>
    <w:p>
      <w:pPr>
        <w:pStyle w:val="BlankClose"/>
      </w:pPr>
    </w:p>
    <w:p>
      <w:pPr>
        <w:pStyle w:val="nzIndenta"/>
      </w:pPr>
      <w:r>
        <w:tab/>
        <w:t>(c)</w:t>
      </w:r>
      <w:r>
        <w:tab/>
        <w:t>in paragraph (a) delete “</w:t>
      </w:r>
      <w:r>
        <w:rPr>
          <w:sz w:val="22"/>
          <w:szCs w:val="22"/>
        </w:rPr>
        <w:t>shall</w:t>
      </w:r>
      <w:r>
        <w:t>” and insert:</w:t>
      </w:r>
    </w:p>
    <w:p>
      <w:pPr>
        <w:pStyle w:val="BlankOpen"/>
      </w:pPr>
    </w:p>
    <w:p>
      <w:pPr>
        <w:pStyle w:val="nzIndenta"/>
      </w:pPr>
      <w:r>
        <w:tab/>
      </w:r>
      <w:r>
        <w:tab/>
      </w:r>
      <w:r>
        <w:rPr>
          <w:sz w:val="22"/>
          <w:szCs w:val="22"/>
        </w:rPr>
        <w:t xml:space="preserve">must </w:t>
      </w:r>
    </w:p>
    <w:p>
      <w:pPr>
        <w:pStyle w:val="BlankClose"/>
      </w:pPr>
    </w:p>
    <w:p>
      <w:pPr>
        <w:pStyle w:val="nzIndenta"/>
      </w:pPr>
      <w:r>
        <w:tab/>
        <w:t>(d)</w:t>
      </w:r>
      <w:r>
        <w:tab/>
        <w:t>in paragraph (b) delete “w</w:t>
      </w:r>
      <w:r>
        <w:rPr>
          <w:sz w:val="22"/>
        </w:rPr>
        <w:t>here</w:t>
      </w:r>
      <w:r>
        <w:t>” and insert:</w:t>
      </w:r>
    </w:p>
    <w:p>
      <w:pPr>
        <w:pStyle w:val="BlankOpen"/>
      </w:pPr>
    </w:p>
    <w:p>
      <w:pPr>
        <w:pStyle w:val="nzIndenta"/>
      </w:pPr>
      <w:r>
        <w:tab/>
      </w:r>
      <w:r>
        <w:tab/>
      </w:r>
      <w:r>
        <w:rPr>
          <w:sz w:val="22"/>
          <w:szCs w:val="22"/>
        </w:rPr>
        <w:t>if</w:t>
      </w:r>
    </w:p>
    <w:p>
      <w:pPr>
        <w:pStyle w:val="BlankClose"/>
      </w:pPr>
    </w:p>
    <w:p>
      <w:pPr>
        <w:pStyle w:val="nzIndenta"/>
      </w:pPr>
      <w:r>
        <w:tab/>
        <w:t>(e)</w:t>
      </w:r>
      <w:r>
        <w:tab/>
        <w:t>in paragraph (b) delete “</w:t>
      </w:r>
      <w:r>
        <w:rPr>
          <w:sz w:val="22"/>
          <w:szCs w:val="22"/>
        </w:rPr>
        <w:t>shall</w:t>
      </w:r>
      <w:r>
        <w:t>” and insert:</w:t>
      </w:r>
    </w:p>
    <w:p>
      <w:pPr>
        <w:pStyle w:val="BlankOpen"/>
      </w:pPr>
    </w:p>
    <w:p>
      <w:pPr>
        <w:pStyle w:val="nzIndenta"/>
      </w:pPr>
      <w:r>
        <w:tab/>
      </w:r>
      <w:r>
        <w:tab/>
      </w:r>
      <w:r>
        <w:rPr>
          <w:sz w:val="22"/>
          <w:szCs w:val="22"/>
        </w:rPr>
        <w:t xml:space="preserve">must </w:t>
      </w:r>
    </w:p>
    <w:p>
      <w:pPr>
        <w:pStyle w:val="BlankClose"/>
      </w:pPr>
    </w:p>
    <w:p>
      <w:pPr>
        <w:pStyle w:val="nzSubsection"/>
      </w:pPr>
      <w:r>
        <w:tab/>
        <w:t>(6)</w:t>
      </w:r>
      <w:r>
        <w:tab/>
        <w:t>In Schedule 1 by</w:t>
      </w:r>
      <w:r>
        <w:noBreakHyphen/>
        <w:t>law 5(5):</w:t>
      </w:r>
    </w:p>
    <w:p>
      <w:pPr>
        <w:pStyle w:val="nzIndenta"/>
      </w:pPr>
      <w:r>
        <w:tab/>
        <w:t>(a)</w:t>
      </w:r>
      <w:r>
        <w:tab/>
        <w:t>delete “</w:t>
      </w:r>
      <w:r>
        <w:rPr>
          <w:sz w:val="22"/>
          <w:szCs w:val="22"/>
        </w:rPr>
        <w:t>chairman shall —</w:t>
      </w:r>
      <w:r>
        <w:t>” and insert:</w:t>
      </w:r>
    </w:p>
    <w:p>
      <w:pPr>
        <w:pStyle w:val="BlankOpen"/>
      </w:pPr>
    </w:p>
    <w:p>
      <w:pPr>
        <w:pStyle w:val="nzIndenta"/>
      </w:pPr>
      <w:r>
        <w:tab/>
      </w:r>
      <w:r>
        <w:tab/>
      </w:r>
      <w:r>
        <w:rPr>
          <w:sz w:val="22"/>
          <w:szCs w:val="22"/>
        </w:rPr>
        <w:t xml:space="preserve">chairperson must — </w:t>
      </w:r>
    </w:p>
    <w:p>
      <w:pPr>
        <w:pStyle w:val="BlankClose"/>
      </w:pPr>
    </w:p>
    <w:p>
      <w:pPr>
        <w:pStyle w:val="nzIndenta"/>
        <w:rPr>
          <w:snapToGrid w:val="0"/>
        </w:rPr>
      </w:pPr>
      <w:r>
        <w:tab/>
        <w:t>(b)</w:t>
      </w:r>
      <w:r>
        <w:tab/>
        <w:t>in paragraph (b) delete “</w:t>
      </w:r>
      <w:r>
        <w:rPr>
          <w:snapToGrid w:val="0"/>
          <w:sz w:val="22"/>
          <w:szCs w:val="22"/>
        </w:rPr>
        <w:t>present and entitled to vote a blank paper</w:t>
      </w:r>
      <w:r>
        <w:rPr>
          <w:snapToGrid w:val="0"/>
        </w:rPr>
        <w:t>” and insert:</w:t>
      </w:r>
    </w:p>
    <w:p>
      <w:pPr>
        <w:pStyle w:val="BlankOpen"/>
      </w:pPr>
    </w:p>
    <w:p>
      <w:pPr>
        <w:pStyle w:val="nzIndenta"/>
      </w:pPr>
      <w:r>
        <w:tab/>
      </w:r>
      <w:r>
        <w:tab/>
      </w:r>
      <w:r>
        <w:rPr>
          <w:snapToGrid w:val="0"/>
          <w:sz w:val="22"/>
          <w:szCs w:val="22"/>
        </w:rPr>
        <w:t xml:space="preserve">entitled to vote </w:t>
      </w:r>
      <w:r>
        <w:rPr>
          <w:sz w:val="22"/>
        </w:rPr>
        <w:t xml:space="preserve">and present in person or by proxy, </w:t>
      </w:r>
      <w:r>
        <w:rPr>
          <w:snapToGrid w:val="0"/>
          <w:sz w:val="22"/>
          <w:szCs w:val="22"/>
        </w:rPr>
        <w:t>a blank form</w:t>
      </w:r>
    </w:p>
    <w:p>
      <w:pPr>
        <w:pStyle w:val="BlankClose"/>
      </w:pPr>
    </w:p>
    <w:p>
      <w:pPr>
        <w:pStyle w:val="nzIndenta"/>
        <w:rPr>
          <w:snapToGrid w:val="0"/>
        </w:rPr>
      </w:pPr>
      <w:r>
        <w:tab/>
        <w:t>(c)</w:t>
      </w:r>
      <w:r>
        <w:tab/>
        <w:t>in paragraph (b) delete “</w:t>
      </w:r>
      <w:r>
        <w:rPr>
          <w:snapToGrid w:val="0"/>
          <w:sz w:val="22"/>
          <w:szCs w:val="22"/>
        </w:rPr>
        <w:t>he</w:t>
      </w:r>
      <w:r>
        <w:rPr>
          <w:snapToGrid w:val="0"/>
        </w:rPr>
        <w:t>” and insert:</w:t>
      </w:r>
    </w:p>
    <w:p>
      <w:pPr>
        <w:pStyle w:val="BlankOpen"/>
      </w:pPr>
    </w:p>
    <w:p>
      <w:pPr>
        <w:pStyle w:val="nzIndenta"/>
      </w:pPr>
      <w:r>
        <w:tab/>
      </w:r>
      <w:r>
        <w:tab/>
      </w:r>
      <w:r>
        <w:rPr>
          <w:snapToGrid w:val="0"/>
          <w:sz w:val="22"/>
          <w:szCs w:val="22"/>
        </w:rPr>
        <w:t>the</w:t>
      </w:r>
      <w:r>
        <w:rPr>
          <w:sz w:val="22"/>
        </w:rPr>
        <w:t xml:space="preserve"> person</w:t>
      </w:r>
    </w:p>
    <w:p>
      <w:pPr>
        <w:pStyle w:val="BlankClose"/>
      </w:pPr>
    </w:p>
    <w:p>
      <w:pPr>
        <w:pStyle w:val="nzIndenta"/>
        <w:rPr>
          <w:snapToGrid w:val="0"/>
        </w:rPr>
      </w:pPr>
      <w:r>
        <w:tab/>
        <w:t>(d)</w:t>
      </w:r>
      <w:r>
        <w:tab/>
        <w:t>in paragraph (b) delete “</w:t>
      </w:r>
      <w:r>
        <w:rPr>
          <w:snapToGrid w:val="0"/>
          <w:sz w:val="22"/>
          <w:szCs w:val="22"/>
        </w:rPr>
        <w:t>ballot</w:t>
      </w:r>
      <w:r>
        <w:rPr>
          <w:snapToGrid w:val="0"/>
          <w:sz w:val="22"/>
          <w:szCs w:val="22"/>
        </w:rPr>
        <w:noBreakHyphen/>
        <w:t>paper.</w:t>
      </w:r>
      <w:r>
        <w:rPr>
          <w:snapToGrid w:val="0"/>
        </w:rPr>
        <w:t>” and insert:</w:t>
      </w:r>
    </w:p>
    <w:p>
      <w:pPr>
        <w:pStyle w:val="BlankOpen"/>
      </w:pPr>
    </w:p>
    <w:p>
      <w:pPr>
        <w:pStyle w:val="nzIndenta"/>
      </w:pPr>
      <w:r>
        <w:tab/>
      </w:r>
      <w:r>
        <w:tab/>
      </w:r>
      <w:r>
        <w:rPr>
          <w:snapToGrid w:val="0"/>
          <w:sz w:val="22"/>
          <w:szCs w:val="22"/>
        </w:rPr>
        <w:t>ballot form.</w:t>
      </w:r>
    </w:p>
    <w:p>
      <w:pPr>
        <w:pStyle w:val="BlankClose"/>
      </w:pPr>
    </w:p>
    <w:p>
      <w:pPr>
        <w:pStyle w:val="nzSubsection"/>
      </w:pPr>
      <w:r>
        <w:tab/>
        <w:t>(7)</w:t>
      </w:r>
      <w:r>
        <w:tab/>
        <w:t>In Schedule 1 by</w:t>
      </w:r>
      <w:r>
        <w:noBreakHyphen/>
        <w:t>law 5(6):</w:t>
      </w:r>
    </w:p>
    <w:p>
      <w:pPr>
        <w:pStyle w:val="nzIndenta"/>
        <w:rPr>
          <w:snapToGrid w:val="0"/>
        </w:rPr>
      </w:pPr>
      <w:r>
        <w:tab/>
        <w:t>(a)</w:t>
      </w:r>
      <w:r>
        <w:tab/>
        <w:t>delete “shall complete a valid ballot-</w:t>
      </w:r>
      <w:r>
        <w:rPr>
          <w:snapToGrid w:val="0"/>
        </w:rPr>
        <w:t>paper” and insert:</w:t>
      </w:r>
    </w:p>
    <w:p>
      <w:pPr>
        <w:pStyle w:val="BlankOpen"/>
      </w:pPr>
    </w:p>
    <w:p>
      <w:pPr>
        <w:pStyle w:val="nzIndenta"/>
      </w:pPr>
      <w:r>
        <w:tab/>
      </w:r>
      <w:r>
        <w:tab/>
      </w:r>
      <w:r>
        <w:rPr>
          <w:sz w:val="22"/>
          <w:szCs w:val="22"/>
        </w:rPr>
        <w:t>must complete a valid ballot</w:t>
      </w:r>
      <w:r>
        <w:t xml:space="preserve"> </w:t>
      </w:r>
      <w:r>
        <w:rPr>
          <w:snapToGrid w:val="0"/>
          <w:sz w:val="22"/>
          <w:szCs w:val="22"/>
        </w:rPr>
        <w:t>form</w:t>
      </w:r>
    </w:p>
    <w:p>
      <w:pPr>
        <w:pStyle w:val="BlankClose"/>
      </w:pPr>
    </w:p>
    <w:p>
      <w:pPr>
        <w:pStyle w:val="nzIndenta"/>
        <w:rPr>
          <w:snapToGrid w:val="0"/>
        </w:rPr>
      </w:pPr>
      <w:r>
        <w:tab/>
        <w:t>(b)</w:t>
      </w:r>
      <w:r>
        <w:tab/>
        <w:t>in paragraphs (a) and (b) delete “</w:t>
      </w:r>
      <w:r>
        <w:rPr>
          <w:sz w:val="22"/>
          <w:szCs w:val="22"/>
        </w:rPr>
        <w:t>thereon</w:t>
      </w:r>
      <w:r>
        <w:rPr>
          <w:snapToGrid w:val="0"/>
        </w:rPr>
        <w:t>” and insert:</w:t>
      </w:r>
    </w:p>
    <w:p>
      <w:pPr>
        <w:pStyle w:val="BlankOpen"/>
      </w:pPr>
    </w:p>
    <w:p>
      <w:pPr>
        <w:pStyle w:val="nzIndenta"/>
      </w:pPr>
      <w:r>
        <w:tab/>
      </w:r>
      <w:r>
        <w:tab/>
      </w:r>
      <w:r>
        <w:rPr>
          <w:sz w:val="22"/>
          <w:szCs w:val="22"/>
        </w:rPr>
        <w:t>on the</w:t>
      </w:r>
      <w:r>
        <w:t xml:space="preserve"> </w:t>
      </w:r>
      <w:r>
        <w:rPr>
          <w:snapToGrid w:val="0"/>
          <w:sz w:val="22"/>
          <w:szCs w:val="22"/>
        </w:rPr>
        <w:t>form</w:t>
      </w:r>
    </w:p>
    <w:p>
      <w:pPr>
        <w:pStyle w:val="BlankClose"/>
      </w:pPr>
    </w:p>
    <w:p>
      <w:pPr>
        <w:pStyle w:val="nzIndenta"/>
        <w:rPr>
          <w:snapToGrid w:val="0"/>
        </w:rPr>
      </w:pPr>
      <w:r>
        <w:tab/>
        <w:t>(c)</w:t>
      </w:r>
      <w:r>
        <w:tab/>
        <w:t>in paragraph (b) delete “</w:t>
      </w:r>
      <w:r>
        <w:rPr>
          <w:sz w:val="22"/>
          <w:szCs w:val="22"/>
        </w:rPr>
        <w:t>his</w:t>
      </w:r>
      <w:r>
        <w:rPr>
          <w:snapToGrid w:val="0"/>
        </w:rPr>
        <w:t>” and insert:</w:t>
      </w:r>
    </w:p>
    <w:p>
      <w:pPr>
        <w:pStyle w:val="BlankOpen"/>
      </w:pPr>
    </w:p>
    <w:p>
      <w:pPr>
        <w:pStyle w:val="nzIndenta"/>
      </w:pPr>
      <w:r>
        <w:tab/>
      </w:r>
      <w:r>
        <w:tab/>
      </w:r>
      <w:r>
        <w:rPr>
          <w:snapToGrid w:val="0"/>
          <w:sz w:val="22"/>
          <w:szCs w:val="22"/>
        </w:rPr>
        <w:t>the</w:t>
      </w:r>
      <w:r>
        <w:rPr>
          <w:sz w:val="22"/>
        </w:rPr>
        <w:t xml:space="preserve"> person’s</w:t>
      </w:r>
    </w:p>
    <w:p>
      <w:pPr>
        <w:pStyle w:val="BlankClose"/>
      </w:pPr>
    </w:p>
    <w:p>
      <w:pPr>
        <w:pStyle w:val="nzIndenta"/>
        <w:rPr>
          <w:snapToGrid w:val="0"/>
        </w:rPr>
      </w:pPr>
      <w:r>
        <w:tab/>
        <w:t>(d)</w:t>
      </w:r>
      <w:r>
        <w:tab/>
        <w:t>in paragraph (b) delete “</w:t>
      </w:r>
      <w:r>
        <w:rPr>
          <w:sz w:val="22"/>
          <w:szCs w:val="22"/>
        </w:rPr>
        <w:t>he</w:t>
      </w:r>
      <w:r>
        <w:rPr>
          <w:snapToGrid w:val="0"/>
        </w:rPr>
        <w:t>” and insert:</w:t>
      </w:r>
    </w:p>
    <w:p>
      <w:pPr>
        <w:pStyle w:val="BlankOpen"/>
      </w:pPr>
    </w:p>
    <w:p>
      <w:pPr>
        <w:pStyle w:val="nzIndenta"/>
      </w:pPr>
      <w:r>
        <w:tab/>
      </w:r>
      <w:r>
        <w:tab/>
      </w:r>
      <w:r>
        <w:rPr>
          <w:snapToGrid w:val="0"/>
          <w:sz w:val="22"/>
          <w:szCs w:val="22"/>
        </w:rPr>
        <w:t>the</w:t>
      </w:r>
      <w:r>
        <w:rPr>
          <w:sz w:val="22"/>
        </w:rPr>
        <w:t xml:space="preserve"> person</w:t>
      </w:r>
    </w:p>
    <w:p>
      <w:pPr>
        <w:pStyle w:val="BlankClose"/>
      </w:pPr>
    </w:p>
    <w:p>
      <w:pPr>
        <w:pStyle w:val="nzIndenta"/>
      </w:pPr>
      <w:r>
        <w:tab/>
        <w:t>(e)</w:t>
      </w:r>
      <w:r>
        <w:tab/>
        <w:t>in paragraph (b) delete “</w:t>
      </w:r>
      <w:r>
        <w:rPr>
          <w:sz w:val="22"/>
        </w:rPr>
        <w:t>proprietor</w:t>
      </w:r>
      <w:r>
        <w:t>” (each occurrence) and insert;</w:t>
      </w:r>
    </w:p>
    <w:p>
      <w:pPr>
        <w:pStyle w:val="BlankOpen"/>
      </w:pPr>
    </w:p>
    <w:p>
      <w:pPr>
        <w:pStyle w:val="nzIndenta"/>
      </w:pPr>
      <w:r>
        <w:tab/>
      </w:r>
      <w:r>
        <w:tab/>
      </w:r>
      <w:r>
        <w:rPr>
          <w:sz w:val="22"/>
        </w:rPr>
        <w:t>owner</w:t>
      </w:r>
    </w:p>
    <w:p>
      <w:pPr>
        <w:pStyle w:val="BlankClose"/>
      </w:pPr>
    </w:p>
    <w:p>
      <w:pPr>
        <w:pStyle w:val="nzIndenta"/>
        <w:rPr>
          <w:snapToGrid w:val="0"/>
        </w:rPr>
      </w:pPr>
      <w:r>
        <w:tab/>
        <w:t>(f)</w:t>
      </w:r>
      <w:r>
        <w:tab/>
        <w:t>in paragraph (c) delete “</w:t>
      </w:r>
      <w:r>
        <w:rPr>
          <w:snapToGrid w:val="0"/>
          <w:sz w:val="22"/>
          <w:szCs w:val="22"/>
        </w:rPr>
        <w:t>ballot</w:t>
      </w:r>
      <w:r>
        <w:rPr>
          <w:snapToGrid w:val="0"/>
          <w:sz w:val="22"/>
          <w:szCs w:val="22"/>
        </w:rPr>
        <w:noBreakHyphen/>
        <w:t>paper; and</w:t>
      </w:r>
      <w:r>
        <w:rPr>
          <w:snapToGrid w:val="0"/>
        </w:rPr>
        <w:t>” and insert:</w:t>
      </w:r>
    </w:p>
    <w:p>
      <w:pPr>
        <w:pStyle w:val="BlankOpen"/>
      </w:pPr>
    </w:p>
    <w:p>
      <w:pPr>
        <w:pStyle w:val="nzIndenta"/>
      </w:pPr>
      <w:r>
        <w:tab/>
      </w:r>
      <w:r>
        <w:tab/>
      </w:r>
      <w:r>
        <w:rPr>
          <w:snapToGrid w:val="0"/>
          <w:sz w:val="22"/>
          <w:szCs w:val="22"/>
        </w:rPr>
        <w:t>ballot form; and</w:t>
      </w:r>
    </w:p>
    <w:p>
      <w:pPr>
        <w:pStyle w:val="BlankClose"/>
      </w:pPr>
    </w:p>
    <w:p>
      <w:pPr>
        <w:pStyle w:val="nzIndenta"/>
      </w:pPr>
      <w:r>
        <w:tab/>
        <w:t>(g)</w:t>
      </w:r>
      <w:r>
        <w:tab/>
        <w:t>in paragraph (d) delete “</w:t>
      </w:r>
      <w:r>
        <w:rPr>
          <w:sz w:val="22"/>
        </w:rPr>
        <w:t>chairman.</w:t>
      </w:r>
      <w:r>
        <w:t>” and insert:</w:t>
      </w:r>
    </w:p>
    <w:p>
      <w:pPr>
        <w:pStyle w:val="BlankOpen"/>
      </w:pPr>
    </w:p>
    <w:p>
      <w:pPr>
        <w:pStyle w:val="nzIndenta"/>
      </w:pPr>
      <w:r>
        <w:tab/>
      </w:r>
      <w:r>
        <w:tab/>
      </w:r>
      <w:r>
        <w:rPr>
          <w:sz w:val="22"/>
        </w:rPr>
        <w:t>chairperson.</w:t>
      </w:r>
    </w:p>
    <w:p>
      <w:pPr>
        <w:pStyle w:val="BlankClose"/>
      </w:pPr>
    </w:p>
    <w:p>
      <w:pPr>
        <w:pStyle w:val="nzSubsection"/>
      </w:pPr>
      <w:r>
        <w:tab/>
        <w:t>(8)</w:t>
      </w:r>
      <w:r>
        <w:tab/>
        <w:t>Delete Schedule 1 by</w:t>
      </w:r>
      <w:r>
        <w:noBreakHyphen/>
        <w:t>law 5(7) and insert:</w:t>
      </w:r>
    </w:p>
    <w:p>
      <w:pPr>
        <w:pStyle w:val="BlankOpen"/>
      </w:pPr>
    </w:p>
    <w:p>
      <w:pPr>
        <w:pStyle w:val="nzIndenta"/>
      </w:pPr>
      <w:r>
        <w:tab/>
        <w:t>(7)</w:t>
      </w:r>
      <w:r>
        <w:tab/>
        <w:t>The chairperson, or a person appointed by the chairperson, must count the votes recorded on valid ballot forms in favour of each candidate.</w:t>
      </w:r>
    </w:p>
    <w:p>
      <w:pPr>
        <w:pStyle w:val="BlankClose"/>
      </w:pPr>
    </w:p>
    <w:p>
      <w:pPr>
        <w:pStyle w:val="nzSubsection"/>
      </w:pPr>
      <w:r>
        <w:tab/>
        <w:t>(9)</w:t>
      </w:r>
      <w:r>
        <w:tab/>
        <w:t>In Schedule 1 by</w:t>
      </w:r>
      <w:r>
        <w:noBreakHyphen/>
        <w:t>law 5(8) delete “</w:t>
      </w:r>
      <w:r>
        <w:rPr>
          <w:snapToGrid w:val="0"/>
          <w:sz w:val="22"/>
          <w:szCs w:val="22"/>
        </w:rPr>
        <w:t>numbers of votes shall</w:t>
      </w:r>
      <w:r>
        <w:t>” and insert:</w:t>
      </w:r>
    </w:p>
    <w:p>
      <w:pPr>
        <w:pStyle w:val="BlankOpen"/>
      </w:pPr>
    </w:p>
    <w:p>
      <w:pPr>
        <w:pStyle w:val="nzSubsection"/>
      </w:pPr>
      <w:r>
        <w:tab/>
      </w:r>
      <w:r>
        <w:tab/>
      </w:r>
      <w:r>
        <w:rPr>
          <w:sz w:val="22"/>
          <w:szCs w:val="22"/>
        </w:rPr>
        <w:t xml:space="preserve">numbers (in terms of lots or unit entitlements as required under the </w:t>
      </w:r>
      <w:r>
        <w:rPr>
          <w:i/>
          <w:sz w:val="22"/>
          <w:szCs w:val="22"/>
        </w:rPr>
        <w:t>Strata Titles Act 1985</w:t>
      </w:r>
      <w:r>
        <w:rPr>
          <w:sz w:val="22"/>
          <w:szCs w:val="22"/>
        </w:rPr>
        <w:t xml:space="preserve"> section 122) of votes are to</w:t>
      </w:r>
    </w:p>
    <w:p>
      <w:pPr>
        <w:pStyle w:val="BlankClose"/>
      </w:pPr>
    </w:p>
    <w:p>
      <w:pPr>
        <w:pStyle w:val="nzSubsection"/>
      </w:pPr>
      <w:r>
        <w:tab/>
        <w:t>(10)</w:t>
      </w:r>
      <w:r>
        <w:tab/>
        <w:t>In Schedule 1 by</w:t>
      </w:r>
      <w:r>
        <w:noBreakHyphen/>
        <w:t>law 5(9):</w:t>
      </w:r>
    </w:p>
    <w:p>
      <w:pPr>
        <w:pStyle w:val="nzIndenta"/>
      </w:pPr>
      <w:r>
        <w:tab/>
        <w:t>(a)</w:t>
      </w:r>
      <w:r>
        <w:tab/>
        <w:t>delete “</w:t>
      </w:r>
      <w:r>
        <w:rPr>
          <w:sz w:val="22"/>
          <w:szCs w:val="22"/>
        </w:rPr>
        <w:t xml:space="preserve">Where </w:t>
      </w:r>
      <w:r>
        <w:rPr>
          <w:snapToGrid w:val="0"/>
          <w:sz w:val="22"/>
          <w:szCs w:val="22"/>
        </w:rPr>
        <w:t>the number</w:t>
      </w:r>
      <w:r>
        <w:t>” and insert:</w:t>
      </w:r>
    </w:p>
    <w:p>
      <w:pPr>
        <w:pStyle w:val="BlankOpen"/>
      </w:pPr>
    </w:p>
    <w:p>
      <w:pPr>
        <w:pStyle w:val="nzIndenta"/>
      </w:pPr>
      <w:r>
        <w:tab/>
      </w:r>
      <w:r>
        <w:tab/>
      </w:r>
      <w:r>
        <w:rPr>
          <w:sz w:val="22"/>
          <w:szCs w:val="22"/>
        </w:rPr>
        <w:t>If the</w:t>
      </w:r>
      <w:r>
        <w:t xml:space="preserve"> </w:t>
      </w:r>
      <w:r>
        <w:rPr>
          <w:sz w:val="22"/>
          <w:szCs w:val="22"/>
        </w:rPr>
        <w:t xml:space="preserve">number (in terms of lots or unit entitlements as required under the </w:t>
      </w:r>
      <w:r>
        <w:rPr>
          <w:i/>
          <w:sz w:val="22"/>
          <w:szCs w:val="22"/>
        </w:rPr>
        <w:t>Strata Titles Act 1985</w:t>
      </w:r>
      <w:r>
        <w:rPr>
          <w:sz w:val="22"/>
          <w:szCs w:val="22"/>
        </w:rPr>
        <w:t xml:space="preserve"> section 122) </w:t>
      </w:r>
    </w:p>
    <w:p>
      <w:pPr>
        <w:pStyle w:val="BlankClose"/>
      </w:pPr>
    </w:p>
    <w:p>
      <w:pPr>
        <w:pStyle w:val="nzIndenta"/>
      </w:pPr>
      <w:r>
        <w:tab/>
        <w:t>(b)</w:t>
      </w:r>
      <w:r>
        <w:tab/>
        <w:t>delete “</w:t>
      </w:r>
      <w:r>
        <w:rPr>
          <w:sz w:val="22"/>
          <w:szCs w:val="22"/>
        </w:rPr>
        <w:t>shall</w:t>
      </w:r>
      <w:r>
        <w:t>” and insert:</w:t>
      </w:r>
    </w:p>
    <w:p>
      <w:pPr>
        <w:pStyle w:val="BlankOpen"/>
      </w:pPr>
    </w:p>
    <w:p>
      <w:pPr>
        <w:pStyle w:val="nzIndenta"/>
      </w:pPr>
      <w:r>
        <w:tab/>
      </w:r>
      <w:r>
        <w:tab/>
      </w:r>
      <w:r>
        <w:rPr>
          <w:sz w:val="22"/>
          <w:szCs w:val="22"/>
        </w:rPr>
        <w:t xml:space="preserve">must </w:t>
      </w:r>
    </w:p>
    <w:p>
      <w:pPr>
        <w:pStyle w:val="BlankClose"/>
      </w:pPr>
    </w:p>
    <w:p>
      <w:pPr>
        <w:pStyle w:val="nzIndenta"/>
        <w:rPr>
          <w:snapToGrid w:val="0"/>
        </w:rPr>
      </w:pPr>
      <w:r>
        <w:tab/>
        <w:t>(c)</w:t>
      </w:r>
      <w:r>
        <w:tab/>
        <w:t>delete “</w:t>
      </w:r>
      <w:r>
        <w:rPr>
          <w:snapToGrid w:val="0"/>
          <w:sz w:val="22"/>
          <w:szCs w:val="22"/>
        </w:rPr>
        <w:t>present and entitled to vote.</w:t>
      </w:r>
      <w:r>
        <w:rPr>
          <w:snapToGrid w:val="0"/>
        </w:rPr>
        <w:t>” and insert:</w:t>
      </w:r>
    </w:p>
    <w:p>
      <w:pPr>
        <w:pStyle w:val="BlankOpen"/>
      </w:pPr>
    </w:p>
    <w:p>
      <w:pPr>
        <w:pStyle w:val="nzIndenta"/>
      </w:pPr>
      <w:r>
        <w:tab/>
      </w:r>
      <w:r>
        <w:tab/>
      </w:r>
      <w:r>
        <w:rPr>
          <w:snapToGrid w:val="0"/>
          <w:sz w:val="22"/>
          <w:szCs w:val="22"/>
        </w:rPr>
        <w:t xml:space="preserve">entitled to vote </w:t>
      </w:r>
      <w:r>
        <w:rPr>
          <w:sz w:val="22"/>
        </w:rPr>
        <w:t>and present in person or by proxy.</w:t>
      </w:r>
    </w:p>
    <w:p>
      <w:pPr>
        <w:pStyle w:val="BlankClose"/>
      </w:pPr>
    </w:p>
    <w:p>
      <w:pPr>
        <w:pStyle w:val="nzSectAltNote"/>
      </w:pPr>
      <w:r>
        <w:tab/>
        <w:t>Note:</w:t>
      </w:r>
      <w:r>
        <w:tab/>
        <w:t>The heading to amended by</w:t>
      </w:r>
      <w:r>
        <w:noBreakHyphen/>
        <w:t>law 5 is to read:</w:t>
      </w:r>
    </w:p>
    <w:p>
      <w:pPr>
        <w:pStyle w:val="nzSectAltHeading"/>
      </w:pPr>
      <w:r>
        <w:rPr>
          <w:b w:val="0"/>
        </w:rPr>
        <w:tab/>
      </w:r>
      <w:r>
        <w:rPr>
          <w:b w:val="0"/>
        </w:rPr>
        <w:tab/>
      </w:r>
      <w:r>
        <w:t>Election of council at general meeting</w:t>
      </w:r>
    </w:p>
    <w:p>
      <w:pPr>
        <w:pStyle w:val="nzHeading5"/>
      </w:pPr>
      <w:bookmarkStart w:id="1983" w:name="_Toc530474596"/>
      <w:bookmarkStart w:id="1984" w:name="_Toc530475191"/>
      <w:r>
        <w:rPr>
          <w:rStyle w:val="CharSectno"/>
        </w:rPr>
        <w:t>92</w:t>
      </w:r>
      <w:r>
        <w:t>.</w:t>
      </w:r>
      <w:r>
        <w:tab/>
        <w:t>Schedule 1 by</w:t>
      </w:r>
      <w:r>
        <w:noBreakHyphen/>
        <w:t>law 6 amended</w:t>
      </w:r>
      <w:bookmarkEnd w:id="1983"/>
      <w:bookmarkEnd w:id="1984"/>
    </w:p>
    <w:p>
      <w:pPr>
        <w:pStyle w:val="nzSubsection"/>
      </w:pPr>
      <w:r>
        <w:tab/>
        <w:t>(1)</w:t>
      </w:r>
      <w:r>
        <w:tab/>
        <w:t>In Schedule 1 by</w:t>
      </w:r>
      <w:r>
        <w:noBreakHyphen/>
        <w:t>law 6(1):</w:t>
      </w:r>
    </w:p>
    <w:p>
      <w:pPr>
        <w:pStyle w:val="nzIndenta"/>
      </w:pPr>
      <w:r>
        <w:tab/>
        <w:t>(a)</w:t>
      </w:r>
      <w:r>
        <w:tab/>
        <w:t>delete “</w:t>
      </w:r>
      <w:r>
        <w:rPr>
          <w:sz w:val="22"/>
          <w:szCs w:val="22"/>
        </w:rPr>
        <w:t>shall</w:t>
      </w:r>
      <w:r>
        <w:t>” and insert:</w:t>
      </w:r>
    </w:p>
    <w:p>
      <w:pPr>
        <w:pStyle w:val="BlankOpen"/>
      </w:pPr>
    </w:p>
    <w:p>
      <w:pPr>
        <w:pStyle w:val="nzIndenta"/>
      </w:pPr>
      <w:r>
        <w:tab/>
      </w:r>
      <w:r>
        <w:tab/>
      </w:r>
      <w:r>
        <w:rPr>
          <w:sz w:val="22"/>
          <w:szCs w:val="22"/>
        </w:rPr>
        <w:t xml:space="preserve">must </w:t>
      </w:r>
    </w:p>
    <w:p>
      <w:pPr>
        <w:pStyle w:val="BlankClose"/>
      </w:pPr>
    </w:p>
    <w:p>
      <w:pPr>
        <w:pStyle w:val="nzIndenta"/>
      </w:pPr>
      <w:r>
        <w:tab/>
        <w:t>(b)</w:t>
      </w:r>
      <w:r>
        <w:tab/>
        <w:t>delete “</w:t>
      </w:r>
      <w:r>
        <w:rPr>
          <w:sz w:val="22"/>
        </w:rPr>
        <w:t>chairman,</w:t>
      </w:r>
      <w:r>
        <w:t>” and insert:</w:t>
      </w:r>
    </w:p>
    <w:p>
      <w:pPr>
        <w:pStyle w:val="BlankOpen"/>
      </w:pPr>
    </w:p>
    <w:p>
      <w:pPr>
        <w:pStyle w:val="nzIndenta"/>
      </w:pPr>
      <w:r>
        <w:tab/>
      </w:r>
      <w:r>
        <w:tab/>
      </w:r>
      <w:r>
        <w:rPr>
          <w:sz w:val="22"/>
        </w:rPr>
        <w:t>chairperson,</w:t>
      </w:r>
    </w:p>
    <w:p>
      <w:pPr>
        <w:pStyle w:val="BlankClose"/>
      </w:pPr>
    </w:p>
    <w:p>
      <w:pPr>
        <w:pStyle w:val="nzSubsection"/>
      </w:pPr>
      <w:r>
        <w:tab/>
        <w:t>(2)</w:t>
      </w:r>
      <w:r>
        <w:tab/>
        <w:t>In Schedule 1 by</w:t>
      </w:r>
      <w:r>
        <w:noBreakHyphen/>
        <w:t>law 6(2):</w:t>
      </w:r>
    </w:p>
    <w:p>
      <w:pPr>
        <w:pStyle w:val="nzIndenta"/>
      </w:pPr>
      <w:r>
        <w:tab/>
        <w:t>(a)</w:t>
      </w:r>
      <w:r>
        <w:tab/>
        <w:t>in paragraph (a) delete “</w:t>
      </w:r>
      <w:r>
        <w:rPr>
          <w:sz w:val="22"/>
          <w:szCs w:val="22"/>
        </w:rPr>
        <w:t>shall</w:t>
      </w:r>
      <w:r>
        <w:t>” and insert:</w:t>
      </w:r>
    </w:p>
    <w:p>
      <w:pPr>
        <w:pStyle w:val="BlankOpen"/>
      </w:pPr>
    </w:p>
    <w:p>
      <w:pPr>
        <w:pStyle w:val="nzIndenta"/>
      </w:pPr>
      <w:r>
        <w:tab/>
      </w:r>
      <w:r>
        <w:tab/>
      </w:r>
      <w:r>
        <w:rPr>
          <w:sz w:val="22"/>
          <w:szCs w:val="22"/>
        </w:rPr>
        <w:t xml:space="preserve">must </w:t>
      </w:r>
    </w:p>
    <w:p>
      <w:pPr>
        <w:pStyle w:val="BlankClose"/>
      </w:pPr>
    </w:p>
    <w:p>
      <w:pPr>
        <w:pStyle w:val="nzIndenta"/>
        <w:rPr>
          <w:snapToGrid w:val="0"/>
        </w:rPr>
      </w:pPr>
      <w:r>
        <w:tab/>
        <w:t>(b)</w:t>
      </w:r>
      <w:r>
        <w:tab/>
        <w:t>in paragraph (a) delete “</w:t>
      </w:r>
      <w:r>
        <w:rPr>
          <w:sz w:val="22"/>
          <w:szCs w:val="22"/>
        </w:rPr>
        <w:t>he</w:t>
      </w:r>
      <w:r>
        <w:rPr>
          <w:snapToGrid w:val="0"/>
        </w:rPr>
        <w:t>” and insert:</w:t>
      </w:r>
    </w:p>
    <w:p>
      <w:pPr>
        <w:pStyle w:val="BlankOpen"/>
      </w:pPr>
    </w:p>
    <w:p>
      <w:pPr>
        <w:pStyle w:val="nzIndenta"/>
      </w:pPr>
      <w:r>
        <w:tab/>
      </w:r>
      <w:r>
        <w:tab/>
      </w:r>
      <w:r>
        <w:rPr>
          <w:snapToGrid w:val="0"/>
          <w:sz w:val="22"/>
          <w:szCs w:val="22"/>
        </w:rPr>
        <w:t>the</w:t>
      </w:r>
      <w:r>
        <w:rPr>
          <w:sz w:val="22"/>
        </w:rPr>
        <w:t xml:space="preserve"> person</w:t>
      </w:r>
    </w:p>
    <w:p>
      <w:pPr>
        <w:pStyle w:val="BlankClose"/>
      </w:pPr>
    </w:p>
    <w:p>
      <w:pPr>
        <w:pStyle w:val="nzIndenta"/>
        <w:rPr>
          <w:snapToGrid w:val="0"/>
        </w:rPr>
      </w:pPr>
      <w:r>
        <w:tab/>
        <w:t>(c)</w:t>
      </w:r>
      <w:r>
        <w:tab/>
        <w:t>in paragraph (b) delete “</w:t>
      </w:r>
      <w:r>
        <w:rPr>
          <w:sz w:val="22"/>
          <w:szCs w:val="22"/>
        </w:rPr>
        <w:t>one</w:t>
      </w:r>
      <w:r>
        <w:rPr>
          <w:snapToGrid w:val="0"/>
        </w:rPr>
        <w:t>” and insert:</w:t>
      </w:r>
    </w:p>
    <w:p>
      <w:pPr>
        <w:pStyle w:val="BlankOpen"/>
      </w:pPr>
    </w:p>
    <w:p>
      <w:pPr>
        <w:pStyle w:val="nzIndenta"/>
      </w:pPr>
      <w:r>
        <w:tab/>
      </w:r>
      <w:r>
        <w:tab/>
      </w:r>
      <w:r>
        <w:rPr>
          <w:snapToGrid w:val="0"/>
          <w:sz w:val="22"/>
          <w:szCs w:val="22"/>
        </w:rPr>
        <w:t>1</w:t>
      </w:r>
    </w:p>
    <w:p>
      <w:pPr>
        <w:pStyle w:val="BlankClose"/>
      </w:pPr>
    </w:p>
    <w:p>
      <w:pPr>
        <w:pStyle w:val="nzSubsection"/>
      </w:pPr>
      <w:r>
        <w:tab/>
        <w:t>(3)</w:t>
      </w:r>
      <w:r>
        <w:tab/>
        <w:t>Delete sub</w:t>
      </w:r>
      <w:r>
        <w:noBreakHyphen/>
        <w:t>bylaw (3) and (4) and insert:</w:t>
      </w:r>
    </w:p>
    <w:p>
      <w:pPr>
        <w:pStyle w:val="BlankOpen"/>
      </w:pPr>
    </w:p>
    <w:p>
      <w:pPr>
        <w:pStyle w:val="nzSubsection"/>
      </w:pPr>
      <w:r>
        <w:tab/>
        <w:t>(3)</w:t>
      </w:r>
      <w:r>
        <w:tab/>
        <w:t>A person appointed to an office referred to in sub</w:t>
      </w:r>
      <w:r>
        <w:noBreakHyphen/>
        <w:t>bylaw (1) holds office until the first of the following events happens —</w:t>
      </w:r>
    </w:p>
    <w:p>
      <w:pPr>
        <w:pStyle w:val="nzIndenta"/>
      </w:pPr>
      <w:r>
        <w:tab/>
        <w:t>(a)</w:t>
      </w:r>
      <w:r>
        <w:tab/>
        <w:t>the person ceases to be a member of the council under by</w:t>
      </w:r>
      <w:r>
        <w:noBreakHyphen/>
        <w:t>law 4(9);</w:t>
      </w:r>
    </w:p>
    <w:p>
      <w:pPr>
        <w:pStyle w:val="nzIndenta"/>
      </w:pPr>
      <w:r>
        <w:tab/>
        <w:t>(b)</w:t>
      </w:r>
      <w:r>
        <w:tab/>
        <w:t>receipt by the strata company of a written notice of the person’s resignation from that office;</w:t>
      </w:r>
    </w:p>
    <w:p>
      <w:pPr>
        <w:pStyle w:val="nzIndenta"/>
      </w:pPr>
      <w:r>
        <w:tab/>
        <w:t>(c)</w:t>
      </w:r>
      <w:r>
        <w:tab/>
        <w:t>another person is appointed by the council to hold that office.</w:t>
      </w:r>
    </w:p>
    <w:p>
      <w:pPr>
        <w:pStyle w:val="nz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nz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BlankClose"/>
      </w:pPr>
    </w:p>
    <w:p>
      <w:pPr>
        <w:pStyle w:val="nzSectAltNote"/>
      </w:pPr>
      <w:r>
        <w:tab/>
        <w:t>Note:</w:t>
      </w:r>
      <w:r>
        <w:tab/>
        <w:t>The heading to amended by</w:t>
      </w:r>
      <w:r>
        <w:noBreakHyphen/>
        <w:t>law 6 is to read:</w:t>
      </w:r>
    </w:p>
    <w:p>
      <w:pPr>
        <w:pStyle w:val="nzSectAltHeading"/>
      </w:pPr>
      <w:r>
        <w:rPr>
          <w:b w:val="0"/>
        </w:rPr>
        <w:tab/>
      </w:r>
      <w:r>
        <w:rPr>
          <w:b w:val="0"/>
        </w:rPr>
        <w:tab/>
      </w:r>
      <w:r>
        <w:t>Chairperson, secretary and treasurer of council</w:t>
      </w:r>
    </w:p>
    <w:p>
      <w:pPr>
        <w:pStyle w:val="nzHeading5"/>
      </w:pPr>
      <w:bookmarkStart w:id="1985" w:name="_Toc530474597"/>
      <w:bookmarkStart w:id="1986" w:name="_Toc530475192"/>
      <w:r>
        <w:rPr>
          <w:rStyle w:val="CharSectno"/>
        </w:rPr>
        <w:t>93</w:t>
      </w:r>
      <w:r>
        <w:t>.</w:t>
      </w:r>
      <w:r>
        <w:tab/>
        <w:t>Schedule 1 by</w:t>
      </w:r>
      <w:r>
        <w:noBreakHyphen/>
        <w:t>law 7 amended</w:t>
      </w:r>
      <w:bookmarkEnd w:id="1985"/>
      <w:bookmarkEnd w:id="1986"/>
    </w:p>
    <w:p>
      <w:pPr>
        <w:pStyle w:val="nzSubsection"/>
      </w:pPr>
      <w:r>
        <w:tab/>
        <w:t>(1)</w:t>
      </w:r>
      <w:r>
        <w:tab/>
        <w:t>In Schedule 1 by</w:t>
      </w:r>
      <w:r>
        <w:noBreakHyphen/>
        <w:t>law 7(1) delete “</w:t>
      </w:r>
      <w:r>
        <w:rPr>
          <w:sz w:val="22"/>
        </w:rPr>
        <w:t>chairman,</w:t>
      </w:r>
      <w:r>
        <w:t>” (each occurrence) and insert:</w:t>
      </w:r>
    </w:p>
    <w:p>
      <w:pPr>
        <w:pStyle w:val="BlankOpen"/>
      </w:pPr>
    </w:p>
    <w:p>
      <w:pPr>
        <w:pStyle w:val="nzSubsection"/>
      </w:pPr>
      <w:r>
        <w:tab/>
      </w:r>
      <w:r>
        <w:tab/>
      </w:r>
      <w:r>
        <w:rPr>
          <w:sz w:val="22"/>
        </w:rPr>
        <w:t>chairperson,</w:t>
      </w:r>
    </w:p>
    <w:p>
      <w:pPr>
        <w:pStyle w:val="BlankClose"/>
      </w:pPr>
    </w:p>
    <w:p>
      <w:pPr>
        <w:pStyle w:val="nzSubsection"/>
      </w:pPr>
      <w:r>
        <w:tab/>
        <w:t>(2)</w:t>
      </w:r>
      <w:r>
        <w:tab/>
        <w:t>In Schedule 1 by</w:t>
      </w:r>
      <w:r>
        <w:noBreakHyphen/>
        <w:t>law 7(2) delete “</w:t>
      </w:r>
      <w:r>
        <w:rPr>
          <w:sz w:val="22"/>
        </w:rPr>
        <w:t>a proprietor to act as the chairman</w:t>
      </w:r>
      <w:r>
        <w:t>” and insert:</w:t>
      </w:r>
    </w:p>
    <w:p>
      <w:pPr>
        <w:pStyle w:val="BlankOpen"/>
      </w:pPr>
    </w:p>
    <w:p>
      <w:pPr>
        <w:pStyle w:val="nzSubsection"/>
      </w:pPr>
      <w:r>
        <w:tab/>
      </w:r>
      <w:r>
        <w:tab/>
      </w:r>
      <w:r>
        <w:rPr>
          <w:sz w:val="22"/>
        </w:rPr>
        <w:t>an owner of a lot to act as the chairperson</w:t>
      </w:r>
    </w:p>
    <w:p>
      <w:pPr>
        <w:pStyle w:val="BlankClose"/>
      </w:pPr>
    </w:p>
    <w:p>
      <w:pPr>
        <w:pStyle w:val="nzSubsection"/>
      </w:pPr>
      <w:r>
        <w:tab/>
        <w:t>(3)</w:t>
      </w:r>
      <w:r>
        <w:tab/>
        <w:t>In Schedule 1 by</w:t>
      </w:r>
      <w:r>
        <w:noBreakHyphen/>
        <w:t>law 7(3) delete “</w:t>
      </w:r>
      <w:r>
        <w:rPr>
          <w:sz w:val="22"/>
        </w:rPr>
        <w:t>he</w:t>
      </w:r>
      <w:r>
        <w:t>” and insert:</w:t>
      </w:r>
    </w:p>
    <w:p>
      <w:pPr>
        <w:pStyle w:val="BlankOpen"/>
      </w:pPr>
    </w:p>
    <w:p>
      <w:pPr>
        <w:pStyle w:val="nzSubsection"/>
      </w:pPr>
      <w:r>
        <w:tab/>
      </w:r>
      <w:r>
        <w:tab/>
      </w:r>
      <w:r>
        <w:rPr>
          <w:sz w:val="22"/>
        </w:rPr>
        <w:t>the person</w:t>
      </w:r>
    </w:p>
    <w:p>
      <w:pPr>
        <w:pStyle w:val="BlankClose"/>
        <w:keepNext/>
      </w:pPr>
    </w:p>
    <w:p>
      <w:pPr>
        <w:pStyle w:val="nzSectAltNote"/>
      </w:pPr>
      <w:r>
        <w:tab/>
        <w:t>Note:</w:t>
      </w:r>
      <w:r>
        <w:tab/>
        <w:t>The heading to amended by</w:t>
      </w:r>
      <w:r>
        <w:noBreakHyphen/>
        <w:t>law 7 is to read:</w:t>
      </w:r>
    </w:p>
    <w:p>
      <w:pPr>
        <w:pStyle w:val="nzSectAltHeading"/>
      </w:pPr>
      <w:r>
        <w:rPr>
          <w:b w:val="0"/>
        </w:rPr>
        <w:tab/>
      </w:r>
      <w:r>
        <w:rPr>
          <w:b w:val="0"/>
        </w:rPr>
        <w:tab/>
      </w:r>
      <w:r>
        <w:t>Chairperson, secretary and treasurer of strata company</w:t>
      </w:r>
    </w:p>
    <w:p>
      <w:pPr>
        <w:pStyle w:val="nzHeading5"/>
      </w:pPr>
      <w:bookmarkStart w:id="1987" w:name="_Toc530474598"/>
      <w:bookmarkStart w:id="1988" w:name="_Toc530475193"/>
      <w:r>
        <w:rPr>
          <w:rStyle w:val="CharSectno"/>
        </w:rPr>
        <w:t>94</w:t>
      </w:r>
      <w:r>
        <w:t>.</w:t>
      </w:r>
      <w:r>
        <w:tab/>
        <w:t>Schedule 1 by</w:t>
      </w:r>
      <w:r>
        <w:noBreakHyphen/>
        <w:t>law 8 amended</w:t>
      </w:r>
      <w:bookmarkEnd w:id="1987"/>
      <w:bookmarkEnd w:id="1988"/>
    </w:p>
    <w:p>
      <w:pPr>
        <w:pStyle w:val="nzSubsection"/>
      </w:pPr>
      <w:r>
        <w:tab/>
        <w:t>(1)</w:t>
      </w:r>
      <w:r>
        <w:tab/>
        <w:t>In Schedule 1 by</w:t>
      </w:r>
      <w:r>
        <w:noBreakHyphen/>
        <w:t>law 8(1) delete “</w:t>
      </w:r>
      <w:r>
        <w:rPr>
          <w:sz w:val="22"/>
        </w:rPr>
        <w:t>shall</w:t>
      </w:r>
      <w:r>
        <w:t>” and insert:</w:t>
      </w:r>
    </w:p>
    <w:p>
      <w:pPr>
        <w:pStyle w:val="BlankOpen"/>
      </w:pPr>
    </w:p>
    <w:p>
      <w:pPr>
        <w:pStyle w:val="nzSubsection"/>
      </w:pPr>
      <w:r>
        <w:tab/>
      </w:r>
      <w:r>
        <w:tab/>
      </w:r>
      <w:r>
        <w:rPr>
          <w:sz w:val="22"/>
        </w:rPr>
        <w:t>must</w:t>
      </w:r>
    </w:p>
    <w:p>
      <w:pPr>
        <w:pStyle w:val="BlankClose"/>
      </w:pPr>
    </w:p>
    <w:p>
      <w:pPr>
        <w:pStyle w:val="nzSubsection"/>
      </w:pPr>
      <w:r>
        <w:tab/>
        <w:t>(2)</w:t>
      </w:r>
      <w:r>
        <w:tab/>
        <w:t>In Schedule 1 by</w:t>
      </w:r>
      <w:r>
        <w:noBreakHyphen/>
        <w:t>law 8(2):</w:t>
      </w:r>
    </w:p>
    <w:p>
      <w:pPr>
        <w:pStyle w:val="nzIndenta"/>
      </w:pPr>
      <w:r>
        <w:tab/>
        <w:t>(a)</w:t>
      </w:r>
      <w:r>
        <w:tab/>
        <w:t>in paragraph (a) delete “</w:t>
      </w:r>
      <w:r>
        <w:rPr>
          <w:sz w:val="22"/>
        </w:rPr>
        <w:t>shall</w:t>
      </w:r>
      <w:r>
        <w:t>” and insert:</w:t>
      </w:r>
    </w:p>
    <w:p>
      <w:pPr>
        <w:pStyle w:val="BlankOpen"/>
      </w:pPr>
    </w:p>
    <w:p>
      <w:pPr>
        <w:pStyle w:val="nzIndenta"/>
      </w:pPr>
      <w:r>
        <w:tab/>
      </w:r>
      <w:r>
        <w:tab/>
      </w:r>
      <w:r>
        <w:rPr>
          <w:sz w:val="22"/>
          <w:szCs w:val="22"/>
        </w:rPr>
        <w:t>must</w:t>
      </w:r>
    </w:p>
    <w:p>
      <w:pPr>
        <w:pStyle w:val="BlankClose"/>
      </w:pPr>
    </w:p>
    <w:p>
      <w:pPr>
        <w:pStyle w:val="nzIndenta"/>
      </w:pPr>
      <w:r>
        <w:tab/>
        <w:t>(b)</w:t>
      </w:r>
      <w:r>
        <w:tab/>
        <w:t>in paragraph (a) delete “</w:t>
      </w:r>
      <w:r>
        <w:rPr>
          <w:sz w:val="22"/>
        </w:rPr>
        <w:t>him,</w:t>
      </w:r>
      <w:r>
        <w:t>” and insert:</w:t>
      </w:r>
    </w:p>
    <w:p>
      <w:pPr>
        <w:pStyle w:val="BlankOpen"/>
      </w:pPr>
    </w:p>
    <w:p>
      <w:pPr>
        <w:pStyle w:val="nzIndenta"/>
      </w:pPr>
      <w:r>
        <w:tab/>
      </w:r>
      <w:r>
        <w:tab/>
      </w:r>
      <w:r>
        <w:rPr>
          <w:sz w:val="22"/>
          <w:szCs w:val="22"/>
        </w:rPr>
        <w:t>the member</w:t>
      </w:r>
    </w:p>
    <w:p>
      <w:pPr>
        <w:pStyle w:val="BlankClose"/>
      </w:pPr>
    </w:p>
    <w:p>
      <w:pPr>
        <w:pStyle w:val="nzIndenta"/>
      </w:pPr>
      <w:r>
        <w:tab/>
        <w:t>(c)</w:t>
      </w:r>
      <w:r>
        <w:tab/>
        <w:t>in paragraph (a) delete “</w:t>
      </w:r>
      <w:r>
        <w:rPr>
          <w:sz w:val="22"/>
        </w:rPr>
        <w:t>meeting;</w:t>
      </w:r>
      <w:r>
        <w:t>” and insert:</w:t>
      </w:r>
    </w:p>
    <w:p>
      <w:pPr>
        <w:pStyle w:val="BlankOpen"/>
      </w:pPr>
    </w:p>
    <w:p>
      <w:pPr>
        <w:pStyle w:val="nzIndenta"/>
      </w:pPr>
      <w:r>
        <w:tab/>
      </w:r>
      <w:r>
        <w:tab/>
      </w:r>
      <w:r>
        <w:rPr>
          <w:sz w:val="22"/>
        </w:rPr>
        <w:t>meeting; or</w:t>
      </w:r>
    </w:p>
    <w:p>
      <w:pPr>
        <w:pStyle w:val="BlankClose"/>
      </w:pPr>
    </w:p>
    <w:p>
      <w:pPr>
        <w:pStyle w:val="nzIndenta"/>
      </w:pPr>
      <w:r>
        <w:tab/>
        <w:t>(d)</w:t>
      </w:r>
      <w:r>
        <w:tab/>
        <w:t>delete paragraph (b) and insert:</w:t>
      </w:r>
    </w:p>
    <w:p>
      <w:pPr>
        <w:pStyle w:val="BlankOpen"/>
      </w:pPr>
    </w:p>
    <w:p>
      <w:pPr>
        <w:pStyle w:val="nzIndenta"/>
      </w:pPr>
      <w:r>
        <w:tab/>
        <w:t>(b)</w:t>
      </w:r>
      <w:r>
        <w:tab/>
        <w:t>employ or engage, on behalf of the strata company, any person as it thinks is necessary to provide any goods, amenity or service to the strata company; or</w:t>
      </w:r>
    </w:p>
    <w:p>
      <w:pPr>
        <w:pStyle w:val="BlankClose"/>
      </w:pPr>
    </w:p>
    <w:p>
      <w:pPr>
        <w:pStyle w:val="nzIndenta"/>
      </w:pPr>
      <w:r>
        <w:tab/>
        <w:t>(e)</w:t>
      </w:r>
      <w:r>
        <w:tab/>
        <w:t>in paragraph (c) delete “</w:t>
      </w:r>
      <w:r>
        <w:rPr>
          <w:sz w:val="22"/>
        </w:rPr>
        <w:t>one</w:t>
      </w:r>
      <w:r>
        <w:t>” and insert:</w:t>
      </w:r>
    </w:p>
    <w:p>
      <w:pPr>
        <w:pStyle w:val="BlankOpen"/>
      </w:pPr>
    </w:p>
    <w:p>
      <w:pPr>
        <w:pStyle w:val="nzIndenta"/>
      </w:pPr>
      <w:r>
        <w:tab/>
      </w:r>
      <w:r>
        <w:tab/>
      </w:r>
      <w:r>
        <w:rPr>
          <w:sz w:val="22"/>
        </w:rPr>
        <w:t>1</w:t>
      </w:r>
    </w:p>
    <w:p>
      <w:pPr>
        <w:pStyle w:val="BlankClose"/>
      </w:pPr>
    </w:p>
    <w:p>
      <w:pPr>
        <w:pStyle w:val="nzSubsection"/>
      </w:pPr>
      <w:r>
        <w:tab/>
        <w:t>(3)</w:t>
      </w:r>
      <w:r>
        <w:tab/>
        <w:t>Delete Schedule 1 by</w:t>
      </w:r>
      <w:r>
        <w:noBreakHyphen/>
        <w:t>law 8(3) and insert:</w:t>
      </w:r>
    </w:p>
    <w:p>
      <w:pPr>
        <w:pStyle w:val="BlankOpen"/>
      </w:pPr>
    </w:p>
    <w:p>
      <w:pPr>
        <w:pStyle w:val="nz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BlankClose"/>
      </w:pPr>
    </w:p>
    <w:p>
      <w:pPr>
        <w:pStyle w:val="nzSubsection"/>
      </w:pPr>
      <w:r>
        <w:tab/>
        <w:t>(4)</w:t>
      </w:r>
      <w:r>
        <w:tab/>
        <w:t>In Schedule 1 by</w:t>
      </w:r>
      <w:r>
        <w:noBreakHyphen/>
        <w:t>law 8(4):</w:t>
      </w:r>
    </w:p>
    <w:p>
      <w:pPr>
        <w:pStyle w:val="nzIndenta"/>
      </w:pPr>
      <w:r>
        <w:tab/>
        <w:t>(a)</w:t>
      </w:r>
      <w:r>
        <w:tab/>
        <w:t>delete “</w:t>
      </w:r>
      <w:r>
        <w:rPr>
          <w:sz w:val="22"/>
        </w:rPr>
        <w:t>A</w:t>
      </w:r>
      <w:r>
        <w:t xml:space="preserve"> </w:t>
      </w:r>
      <w:r>
        <w:rPr>
          <w:sz w:val="22"/>
        </w:rPr>
        <w:t>proprietor</w:t>
      </w:r>
      <w:r>
        <w:t>” and insert:</w:t>
      </w:r>
    </w:p>
    <w:p>
      <w:pPr>
        <w:pStyle w:val="BlankOpen"/>
      </w:pPr>
    </w:p>
    <w:p>
      <w:pPr>
        <w:pStyle w:val="nzIndenta"/>
      </w:pPr>
      <w:r>
        <w:tab/>
      </w:r>
      <w:r>
        <w:tab/>
      </w:r>
      <w:r>
        <w:rPr>
          <w:sz w:val="22"/>
          <w:szCs w:val="22"/>
        </w:rPr>
        <w:t>An owner of a lot</w:t>
      </w:r>
    </w:p>
    <w:p>
      <w:pPr>
        <w:pStyle w:val="BlankClose"/>
      </w:pPr>
    </w:p>
    <w:p>
      <w:pPr>
        <w:pStyle w:val="nzIndenta"/>
        <w:rPr>
          <w:snapToGrid w:val="0"/>
        </w:rPr>
      </w:pPr>
      <w:r>
        <w:tab/>
        <w:t>(b)</w:t>
      </w:r>
      <w:r>
        <w:tab/>
        <w:t>delete “</w:t>
      </w:r>
      <w:r>
        <w:rPr>
          <w:sz w:val="22"/>
          <w:szCs w:val="22"/>
        </w:rPr>
        <w:t>he</w:t>
      </w:r>
      <w:r>
        <w:rPr>
          <w:snapToGrid w:val="0"/>
        </w:rPr>
        <w:t>” and insert:</w:t>
      </w:r>
    </w:p>
    <w:p>
      <w:pPr>
        <w:pStyle w:val="BlankOpen"/>
      </w:pPr>
    </w:p>
    <w:p>
      <w:pPr>
        <w:pStyle w:val="nzIndenta"/>
      </w:pPr>
      <w:r>
        <w:tab/>
      </w:r>
      <w:r>
        <w:tab/>
      </w:r>
      <w:r>
        <w:rPr>
          <w:snapToGrid w:val="0"/>
          <w:sz w:val="22"/>
          <w:szCs w:val="22"/>
        </w:rPr>
        <w:t>that</w:t>
      </w:r>
      <w:r>
        <w:rPr>
          <w:sz w:val="22"/>
        </w:rPr>
        <w:t xml:space="preserve"> person</w:t>
      </w:r>
    </w:p>
    <w:p>
      <w:pPr>
        <w:pStyle w:val="BlankClose"/>
      </w:pPr>
    </w:p>
    <w:p>
      <w:pPr>
        <w:pStyle w:val="nzSubsection"/>
      </w:pPr>
      <w:r>
        <w:tab/>
        <w:t>(5)</w:t>
      </w:r>
      <w:r>
        <w:tab/>
        <w:t>In Schedule 1 by</w:t>
      </w:r>
      <w:r>
        <w:noBreakHyphen/>
        <w:t>law 8(5):</w:t>
      </w:r>
    </w:p>
    <w:p>
      <w:pPr>
        <w:pStyle w:val="nzIndenta"/>
        <w:rPr>
          <w:snapToGrid w:val="0"/>
        </w:rPr>
      </w:pPr>
      <w:r>
        <w:tab/>
        <w:t>(a)</w:t>
      </w:r>
      <w:r>
        <w:tab/>
        <w:t>delete “</w:t>
      </w:r>
      <w:r>
        <w:rPr>
          <w:sz w:val="22"/>
          <w:szCs w:val="22"/>
        </w:rPr>
        <w:t>he</w:t>
      </w:r>
      <w:r>
        <w:rPr>
          <w:snapToGrid w:val="0"/>
        </w:rPr>
        <w:t>” (each occurrence) and insert:</w:t>
      </w:r>
    </w:p>
    <w:p>
      <w:pPr>
        <w:pStyle w:val="BlankOpen"/>
      </w:pPr>
    </w:p>
    <w:p>
      <w:pPr>
        <w:pStyle w:val="nzIndenta"/>
      </w:pPr>
      <w:r>
        <w:tab/>
      </w:r>
      <w:r>
        <w:tab/>
      </w:r>
      <w:r>
        <w:rPr>
          <w:snapToGrid w:val="0"/>
          <w:sz w:val="22"/>
          <w:szCs w:val="22"/>
        </w:rPr>
        <w:t>the</w:t>
      </w:r>
      <w:r>
        <w:rPr>
          <w:sz w:val="22"/>
        </w:rPr>
        <w:t xml:space="preserve"> person</w:t>
      </w:r>
    </w:p>
    <w:p>
      <w:pPr>
        <w:pStyle w:val="BlankClose"/>
        <w:keepNext/>
      </w:pPr>
    </w:p>
    <w:p>
      <w:pPr>
        <w:pStyle w:val="nzIndenta"/>
        <w:rPr>
          <w:snapToGrid w:val="0"/>
        </w:rPr>
      </w:pPr>
      <w:r>
        <w:tab/>
        <w:t>(b)</w:t>
      </w:r>
      <w:r>
        <w:tab/>
        <w:t>delete “</w:t>
      </w:r>
      <w:r>
        <w:rPr>
          <w:sz w:val="22"/>
          <w:szCs w:val="22"/>
        </w:rPr>
        <w:t>his</w:t>
      </w:r>
      <w:r>
        <w:rPr>
          <w:snapToGrid w:val="0"/>
        </w:rPr>
        <w:t>” and insert:</w:t>
      </w:r>
    </w:p>
    <w:p>
      <w:pPr>
        <w:pStyle w:val="BlankOpen"/>
      </w:pPr>
    </w:p>
    <w:p>
      <w:pPr>
        <w:pStyle w:val="nzIndenta"/>
      </w:pPr>
      <w:r>
        <w:tab/>
      </w:r>
      <w:r>
        <w:tab/>
      </w:r>
      <w:r>
        <w:rPr>
          <w:snapToGrid w:val="0"/>
          <w:sz w:val="22"/>
          <w:szCs w:val="22"/>
        </w:rPr>
        <w:t>the</w:t>
      </w:r>
      <w:r>
        <w:rPr>
          <w:sz w:val="22"/>
        </w:rPr>
        <w:t xml:space="preserve"> person’s</w:t>
      </w:r>
    </w:p>
    <w:p>
      <w:pPr>
        <w:pStyle w:val="BlankClose"/>
        <w:keepNext/>
      </w:pPr>
    </w:p>
    <w:p>
      <w:pPr>
        <w:pStyle w:val="nzSubsection"/>
      </w:pPr>
      <w:r>
        <w:tab/>
        <w:t>(6)</w:t>
      </w:r>
      <w:r>
        <w:tab/>
        <w:t>Delete Schedule 1 by</w:t>
      </w:r>
      <w:r>
        <w:noBreakHyphen/>
        <w:t>law 8(6).</w:t>
      </w:r>
    </w:p>
    <w:p>
      <w:pPr>
        <w:pStyle w:val="nzHeading5"/>
      </w:pPr>
      <w:bookmarkStart w:id="1989" w:name="_Toc530474599"/>
      <w:bookmarkStart w:id="1990" w:name="_Toc530475194"/>
      <w:r>
        <w:rPr>
          <w:rStyle w:val="CharSectno"/>
        </w:rPr>
        <w:t>95</w:t>
      </w:r>
      <w:r>
        <w:t>.</w:t>
      </w:r>
      <w:r>
        <w:tab/>
        <w:t>Schedule 1 by</w:t>
      </w:r>
      <w:r>
        <w:noBreakHyphen/>
        <w:t>law 9 amended</w:t>
      </w:r>
      <w:bookmarkEnd w:id="1989"/>
      <w:bookmarkEnd w:id="1990"/>
    </w:p>
    <w:p>
      <w:pPr>
        <w:pStyle w:val="nzSubsection"/>
      </w:pPr>
      <w:r>
        <w:tab/>
      </w:r>
      <w:r>
        <w:tab/>
        <w:t>In Schedule 1 by</w:t>
      </w:r>
      <w:r>
        <w:noBreakHyphen/>
        <w:t>law 9:</w:t>
      </w:r>
    </w:p>
    <w:p>
      <w:pPr>
        <w:pStyle w:val="nzIndenta"/>
      </w:pPr>
      <w:r>
        <w:tab/>
        <w:t>(a)</w:t>
      </w:r>
      <w:r>
        <w:tab/>
        <w:t>delete paragraph (c) and insert:</w:t>
      </w:r>
    </w:p>
    <w:p>
      <w:pPr>
        <w:pStyle w:val="BlankOpen"/>
      </w:pPr>
    </w:p>
    <w:p>
      <w:pPr>
        <w:pStyle w:val="nzIndenta"/>
      </w:pPr>
      <w:r>
        <w:tab/>
        <w:t>(c)</w:t>
      </w:r>
      <w:r>
        <w:tab/>
        <w:t xml:space="preserve">the supply of information on behalf of the strata company in accordance with the </w:t>
      </w:r>
      <w:r>
        <w:rPr>
          <w:i/>
        </w:rPr>
        <w:t>Strata Titles Act 1985</w:t>
      </w:r>
      <w:r>
        <w:t xml:space="preserve"> sections 108 and 109; and</w:t>
      </w:r>
    </w:p>
    <w:p>
      <w:pPr>
        <w:pStyle w:val="BlankClose"/>
      </w:pPr>
    </w:p>
    <w:p>
      <w:pPr>
        <w:pStyle w:val="nzIndenta"/>
      </w:pPr>
      <w:r>
        <w:tab/>
        <w:t>(b)</w:t>
      </w:r>
      <w:r>
        <w:tab/>
        <w:t>delete paragraph (f) and insert:</w:t>
      </w:r>
    </w:p>
    <w:p>
      <w:pPr>
        <w:pStyle w:val="BlankOpen"/>
      </w:pPr>
    </w:p>
    <w:p>
      <w:pPr>
        <w:pStyle w:val="nzIndenta"/>
      </w:pPr>
      <w:r>
        <w:tab/>
        <w:t>(f)</w:t>
      </w:r>
      <w:r>
        <w:tab/>
        <w:t xml:space="preserve">subject to the </w:t>
      </w:r>
      <w:r>
        <w:rPr>
          <w:i/>
        </w:rPr>
        <w:t>Strata Titles Act 1985</w:t>
      </w:r>
      <w:r>
        <w:t xml:space="preserve"> sections 127, 128, 129, 200(2)(f) and (g) the convening of meetings of the strata company and of the council.</w:t>
      </w:r>
    </w:p>
    <w:p>
      <w:pPr>
        <w:pStyle w:val="BlankClose"/>
      </w:pPr>
    </w:p>
    <w:p>
      <w:pPr>
        <w:pStyle w:val="nzHeading5"/>
      </w:pPr>
      <w:bookmarkStart w:id="1991" w:name="_Toc530474600"/>
      <w:bookmarkStart w:id="1992" w:name="_Toc530475195"/>
      <w:r>
        <w:rPr>
          <w:rStyle w:val="CharSectno"/>
        </w:rPr>
        <w:t>96</w:t>
      </w:r>
      <w:r>
        <w:t>.</w:t>
      </w:r>
      <w:r>
        <w:tab/>
        <w:t>Schedule 1 by</w:t>
      </w:r>
      <w:r>
        <w:noBreakHyphen/>
        <w:t>law 10 amended</w:t>
      </w:r>
      <w:bookmarkEnd w:id="1991"/>
      <w:bookmarkEnd w:id="1992"/>
    </w:p>
    <w:p>
      <w:pPr>
        <w:pStyle w:val="nzSubsection"/>
      </w:pPr>
      <w:r>
        <w:tab/>
      </w:r>
      <w:r>
        <w:tab/>
        <w:t>In Schedule 1 by</w:t>
      </w:r>
      <w:r>
        <w:noBreakHyphen/>
        <w:t>law 10:</w:t>
      </w:r>
    </w:p>
    <w:p>
      <w:pPr>
        <w:pStyle w:val="nzIndenta"/>
      </w:pPr>
      <w:r>
        <w:tab/>
        <w:t>(a)</w:t>
      </w:r>
      <w:r>
        <w:tab/>
        <w:t>in paragraph (a) delete “</w:t>
      </w:r>
      <w:r>
        <w:rPr>
          <w:sz w:val="22"/>
        </w:rPr>
        <w:t>proprietors</w:t>
      </w:r>
      <w:r>
        <w:t>” and insert:</w:t>
      </w:r>
    </w:p>
    <w:p>
      <w:pPr>
        <w:pStyle w:val="BlankOpen"/>
      </w:pPr>
    </w:p>
    <w:p>
      <w:pPr>
        <w:pStyle w:val="nzIndenta"/>
      </w:pPr>
      <w:r>
        <w:tab/>
      </w:r>
      <w:r>
        <w:tab/>
      </w:r>
      <w:r>
        <w:rPr>
          <w:sz w:val="22"/>
        </w:rPr>
        <w:t>owners of lots</w:t>
      </w:r>
    </w:p>
    <w:p>
      <w:pPr>
        <w:pStyle w:val="BlankClose"/>
      </w:pPr>
    </w:p>
    <w:p>
      <w:pPr>
        <w:pStyle w:val="nzIndenta"/>
      </w:pPr>
      <w:r>
        <w:tab/>
        <w:t>(b)</w:t>
      </w:r>
      <w:r>
        <w:tab/>
        <w:t>in paragraph (a) delete “</w:t>
      </w:r>
      <w:r>
        <w:rPr>
          <w:sz w:val="22"/>
          <w:szCs w:val="22"/>
        </w:rPr>
        <w:t>pursuant to the Act; and</w:t>
      </w:r>
      <w:r>
        <w:t>” and insert:</w:t>
      </w:r>
    </w:p>
    <w:p>
      <w:pPr>
        <w:pStyle w:val="BlankOpen"/>
      </w:pPr>
    </w:p>
    <w:p>
      <w:pPr>
        <w:pStyle w:val="nzIndenta"/>
      </w:pPr>
      <w:r>
        <w:rPr>
          <w:sz w:val="22"/>
          <w:szCs w:val="22"/>
        </w:rPr>
        <w:tab/>
      </w:r>
      <w:r>
        <w:rPr>
          <w:sz w:val="22"/>
          <w:szCs w:val="22"/>
        </w:rPr>
        <w:tab/>
        <w:t xml:space="preserve">under the </w:t>
      </w:r>
      <w:r>
        <w:rPr>
          <w:i/>
          <w:sz w:val="22"/>
          <w:szCs w:val="22"/>
        </w:rPr>
        <w:t>Strata Titles Act 1985</w:t>
      </w:r>
      <w:r>
        <w:rPr>
          <w:sz w:val="22"/>
          <w:szCs w:val="22"/>
        </w:rPr>
        <w:t>; and</w:t>
      </w:r>
    </w:p>
    <w:p>
      <w:pPr>
        <w:pStyle w:val="BlankClose"/>
      </w:pPr>
    </w:p>
    <w:p>
      <w:pPr>
        <w:pStyle w:val="nzIndenta"/>
        <w:rPr>
          <w:snapToGrid w:val="0"/>
        </w:rPr>
      </w:pPr>
      <w:r>
        <w:tab/>
        <w:t>(c)</w:t>
      </w:r>
      <w:r>
        <w:tab/>
        <w:t>in paragraph (c) delete “</w:t>
      </w:r>
      <w:r>
        <w:rPr>
          <w:snapToGrid w:val="0"/>
        </w:rPr>
        <w:t>section 43 of the Act; and</w:t>
      </w:r>
      <w:r>
        <w:rPr>
          <w:snapToGrid w:val="0"/>
          <w:sz w:val="24"/>
          <w:szCs w:val="24"/>
        </w:rPr>
        <w:t>” and insert:</w:t>
      </w:r>
    </w:p>
    <w:p>
      <w:pPr>
        <w:pStyle w:val="BlankOpen"/>
        <w:rPr>
          <w:snapToGrid w:val="0"/>
        </w:rPr>
      </w:pPr>
    </w:p>
    <w:p>
      <w:pPr>
        <w:pStyle w:val="nzIndenta"/>
        <w:rPr>
          <w:snapToGrid w:val="0"/>
        </w:rPr>
      </w:pPr>
      <w:r>
        <w:rPr>
          <w:snapToGrid w:val="0"/>
          <w:szCs w:val="22"/>
        </w:rPr>
        <w:tab/>
      </w:r>
      <w:r>
        <w:rPr>
          <w:snapToGrid w:val="0"/>
          <w:szCs w:val="22"/>
        </w:rPr>
        <w:tab/>
        <w:t xml:space="preserve">the </w:t>
      </w:r>
      <w:r>
        <w:rPr>
          <w:i/>
          <w:snapToGrid w:val="0"/>
          <w:szCs w:val="22"/>
        </w:rPr>
        <w:t>Strata Titles Act 1985</w:t>
      </w:r>
      <w:r>
        <w:rPr>
          <w:snapToGrid w:val="0"/>
          <w:szCs w:val="22"/>
        </w:rPr>
        <w:t xml:space="preserve"> section 110; and</w:t>
      </w:r>
    </w:p>
    <w:p>
      <w:pPr>
        <w:pStyle w:val="BlankClose"/>
        <w:rPr>
          <w:snapToGrid w:val="0"/>
        </w:rPr>
      </w:pPr>
    </w:p>
    <w:p>
      <w:pPr>
        <w:pStyle w:val="nzIndenta"/>
      </w:pPr>
      <w:r>
        <w:tab/>
        <w:t>(d)</w:t>
      </w:r>
      <w:r>
        <w:tab/>
        <w:t>delete paragraph (d) and insert:</w:t>
      </w:r>
    </w:p>
    <w:p>
      <w:pPr>
        <w:pStyle w:val="BlankOpen"/>
      </w:pPr>
    </w:p>
    <w:p>
      <w:pPr>
        <w:pStyle w:val="nz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BlankClose"/>
      </w:pPr>
    </w:p>
    <w:p>
      <w:pPr>
        <w:pStyle w:val="nzHeading5"/>
      </w:pPr>
      <w:bookmarkStart w:id="1993" w:name="_Toc530474601"/>
      <w:bookmarkStart w:id="1994" w:name="_Toc530475196"/>
      <w:r>
        <w:rPr>
          <w:rStyle w:val="CharSectno"/>
        </w:rPr>
        <w:t>97</w:t>
      </w:r>
      <w:r>
        <w:t>.</w:t>
      </w:r>
      <w:r>
        <w:tab/>
        <w:t>Schedule 1 by</w:t>
      </w:r>
      <w:r>
        <w:noBreakHyphen/>
        <w:t>laws 11 to 15 deleted</w:t>
      </w:r>
      <w:bookmarkEnd w:id="1993"/>
      <w:bookmarkEnd w:id="1994"/>
    </w:p>
    <w:p>
      <w:pPr>
        <w:pStyle w:val="nzSubsection"/>
      </w:pPr>
      <w:r>
        <w:tab/>
      </w:r>
      <w:r>
        <w:tab/>
        <w:t>Delete Schedule 1 by</w:t>
      </w:r>
      <w:r>
        <w:noBreakHyphen/>
        <w:t>laws 11 to 15.</w:t>
      </w:r>
    </w:p>
    <w:p>
      <w:pPr>
        <w:pStyle w:val="nzHeading5"/>
      </w:pPr>
      <w:bookmarkStart w:id="1995" w:name="_Toc530474602"/>
      <w:bookmarkStart w:id="1996" w:name="_Toc530475197"/>
      <w:r>
        <w:rPr>
          <w:rStyle w:val="CharSectno"/>
        </w:rPr>
        <w:t>98</w:t>
      </w:r>
      <w:r>
        <w:t>.</w:t>
      </w:r>
      <w:r>
        <w:tab/>
        <w:t>Schedule 2 heading replaced</w:t>
      </w:r>
      <w:bookmarkEnd w:id="1995"/>
      <w:bookmarkEnd w:id="1996"/>
    </w:p>
    <w:p>
      <w:pPr>
        <w:pStyle w:val="nzSubsection"/>
      </w:pPr>
      <w:r>
        <w:tab/>
      </w:r>
      <w:r>
        <w:tab/>
        <w:t>Delete the heading to Schedule 2 and the reference after it and insert:</w:t>
      </w:r>
    </w:p>
    <w:p>
      <w:pPr>
        <w:pStyle w:val="BlankOpen"/>
      </w:pPr>
    </w:p>
    <w:p>
      <w:pPr>
        <w:pStyle w:val="nzHeading2"/>
      </w:pPr>
      <w:bookmarkStart w:id="1997" w:name="_Toc517437804"/>
      <w:bookmarkStart w:id="1998" w:name="_Toc517438346"/>
      <w:bookmarkStart w:id="1999" w:name="_Toc517440683"/>
      <w:bookmarkStart w:id="2000" w:name="_Toc517447720"/>
      <w:bookmarkStart w:id="2001" w:name="_Toc517450198"/>
      <w:bookmarkStart w:id="2002" w:name="_Toc517450740"/>
      <w:bookmarkStart w:id="2003" w:name="_Toc517857196"/>
      <w:bookmarkStart w:id="2004" w:name="_Toc518293323"/>
      <w:bookmarkStart w:id="2005" w:name="_Toc522744551"/>
      <w:bookmarkStart w:id="2006" w:name="_Toc522747674"/>
      <w:bookmarkStart w:id="2007" w:name="_Toc529183512"/>
      <w:bookmarkStart w:id="2008" w:name="_Toc529188275"/>
      <w:bookmarkStart w:id="2009" w:name="_Toc529434788"/>
      <w:bookmarkStart w:id="2010" w:name="_Toc529524679"/>
      <w:bookmarkStart w:id="2011" w:name="_Toc530474603"/>
      <w:bookmarkStart w:id="2012" w:name="_Toc530475198"/>
      <w:r>
        <w:t>Schedule 2 — Conduct by</w:t>
      </w:r>
      <w:r>
        <w:noBreakHyphen/>
        <w:t>laws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BlankClose"/>
        <w:keepNext/>
      </w:pPr>
    </w:p>
    <w:p>
      <w:pPr>
        <w:pStyle w:val="nzHeading5"/>
      </w:pPr>
      <w:bookmarkStart w:id="2013" w:name="_Toc530474604"/>
      <w:bookmarkStart w:id="2014" w:name="_Toc530475199"/>
      <w:r>
        <w:rPr>
          <w:rStyle w:val="CharSectno"/>
        </w:rPr>
        <w:t>99</w:t>
      </w:r>
      <w:r>
        <w:t>.</w:t>
      </w:r>
      <w:r>
        <w:tab/>
        <w:t>Schedule 2 by</w:t>
      </w:r>
      <w:r>
        <w:noBreakHyphen/>
        <w:t>law 1 replaced</w:t>
      </w:r>
      <w:bookmarkEnd w:id="2013"/>
      <w:bookmarkEnd w:id="2014"/>
    </w:p>
    <w:p>
      <w:pPr>
        <w:pStyle w:val="nzSubsection"/>
      </w:pPr>
      <w:r>
        <w:tab/>
      </w:r>
      <w:r>
        <w:tab/>
        <w:t>Delete Schedule 2 by</w:t>
      </w:r>
      <w:r>
        <w:noBreakHyphen/>
        <w:t>law 1 and insert:</w:t>
      </w:r>
    </w:p>
    <w:p>
      <w:pPr>
        <w:pStyle w:val="BlankOpen"/>
      </w:pPr>
    </w:p>
    <w:p>
      <w:pPr>
        <w:pStyle w:val="nzHeading5"/>
      </w:pPr>
      <w:bookmarkStart w:id="2015" w:name="_Toc530474605"/>
      <w:bookmarkStart w:id="2016" w:name="_Toc530475200"/>
      <w:r>
        <w:t>1.</w:t>
      </w:r>
      <w:r>
        <w:tab/>
        <w:t>Vehicles and parking</w:t>
      </w:r>
      <w:bookmarkEnd w:id="2015"/>
      <w:bookmarkEnd w:id="2016"/>
    </w:p>
    <w:p>
      <w:pPr>
        <w:pStyle w:val="nzSubsection"/>
      </w:pPr>
      <w:r>
        <w:tab/>
        <w:t>(1)</w:t>
      </w:r>
      <w:r>
        <w:tab/>
        <w:t>An owner or occupier of a lot must take all reasonable steps to ensure that the owner’s or occupier’s visitors comply with the scheme by</w:t>
      </w:r>
      <w:r>
        <w:noBreakHyphen/>
        <w:t>laws relating to the parking of motor vehicles.</w:t>
      </w:r>
    </w:p>
    <w:p>
      <w:pPr>
        <w:pStyle w:val="nzSubsection"/>
      </w:pPr>
      <w:r>
        <w:tab/>
        <w:t>(2)</w:t>
      </w:r>
      <w:r>
        <w:tab/>
        <w:t>An owner or occupier of a lot must not park or stand any motor or other vehicle on common property except with the written approval of the strata company.</w:t>
      </w:r>
    </w:p>
    <w:p>
      <w:pPr>
        <w:pStyle w:val="BlankClose"/>
      </w:pPr>
    </w:p>
    <w:p>
      <w:pPr>
        <w:pStyle w:val="nzHeading5"/>
      </w:pPr>
      <w:bookmarkStart w:id="2017" w:name="_Toc530474606"/>
      <w:bookmarkStart w:id="2018" w:name="_Toc530475201"/>
      <w:r>
        <w:rPr>
          <w:rStyle w:val="CharSectno"/>
        </w:rPr>
        <w:t>100</w:t>
      </w:r>
      <w:r>
        <w:t>.</w:t>
      </w:r>
      <w:r>
        <w:tab/>
        <w:t>Schedule 2 by</w:t>
      </w:r>
      <w:r>
        <w:noBreakHyphen/>
        <w:t>law 2 replaced</w:t>
      </w:r>
      <w:bookmarkEnd w:id="2017"/>
      <w:bookmarkEnd w:id="2018"/>
    </w:p>
    <w:p>
      <w:pPr>
        <w:pStyle w:val="nzSubsection"/>
      </w:pPr>
      <w:r>
        <w:tab/>
      </w:r>
      <w:r>
        <w:tab/>
        <w:t>Delete Schedule 2 by</w:t>
      </w:r>
      <w:r>
        <w:noBreakHyphen/>
        <w:t>law 2 and insert:</w:t>
      </w:r>
    </w:p>
    <w:p>
      <w:pPr>
        <w:pStyle w:val="BlankOpen"/>
      </w:pPr>
    </w:p>
    <w:p>
      <w:pPr>
        <w:pStyle w:val="nzHeading5"/>
      </w:pPr>
      <w:bookmarkStart w:id="2019" w:name="_Toc530474607"/>
      <w:bookmarkStart w:id="2020" w:name="_Toc530475202"/>
      <w:r>
        <w:t>2.</w:t>
      </w:r>
      <w:r>
        <w:tab/>
        <w:t>Use of common property</w:t>
      </w:r>
      <w:bookmarkEnd w:id="2019"/>
      <w:bookmarkEnd w:id="2020"/>
    </w:p>
    <w:p>
      <w:pPr>
        <w:pStyle w:val="nzSubsection"/>
      </w:pPr>
      <w:r>
        <w:rPr>
          <w:sz w:val="22"/>
        </w:rPr>
        <w:tab/>
      </w:r>
      <w:r>
        <w:rPr>
          <w:sz w:val="22"/>
        </w:rPr>
        <w:tab/>
        <w:t>An owner or occupier of a lot must —</w:t>
      </w:r>
    </w:p>
    <w:p>
      <w:pPr>
        <w:pStyle w:val="nzIndenta"/>
      </w:pPr>
      <w:r>
        <w:tab/>
        <w:t>(a)</w:t>
      </w:r>
      <w:r>
        <w:tab/>
        <w:t>use and enjoy the common property in such a manner as not unreasonably to interfere with the use and enjoyment of the common property by other owners or occupiers of lots or of their visitors; and</w:t>
      </w:r>
    </w:p>
    <w:p>
      <w:pPr>
        <w:pStyle w:val="nzIndenta"/>
      </w:pPr>
      <w:r>
        <w:tab/>
        <w:t>(b)</w:t>
      </w:r>
      <w:r>
        <w:tab/>
        <w:t>not use the lot or permit it to be used in such manner or for such purpose as causes a nuisance to an occupier of another lot (whether an owner or not) or the family of such an occupier; and</w:t>
      </w:r>
    </w:p>
    <w:p>
      <w:pPr>
        <w:pStyle w:val="nz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nzIndenta"/>
      </w:pPr>
      <w:r>
        <w:tab/>
        <w:t>(d)</w:t>
      </w:r>
      <w:r>
        <w:tab/>
        <w:t>not obstruct lawful use of common property by any person.</w:t>
      </w:r>
    </w:p>
    <w:p>
      <w:pPr>
        <w:pStyle w:val="BlankClose"/>
      </w:pPr>
    </w:p>
    <w:p>
      <w:pPr>
        <w:pStyle w:val="nzHeading5"/>
      </w:pPr>
      <w:bookmarkStart w:id="2021" w:name="_Toc530474608"/>
      <w:bookmarkStart w:id="2022" w:name="_Toc530475203"/>
      <w:r>
        <w:rPr>
          <w:rStyle w:val="CharSectno"/>
        </w:rPr>
        <w:t>101</w:t>
      </w:r>
      <w:r>
        <w:t>.</w:t>
      </w:r>
      <w:r>
        <w:tab/>
        <w:t>Schedule 2 by</w:t>
      </w:r>
      <w:r>
        <w:noBreakHyphen/>
        <w:t>law 3 amended</w:t>
      </w:r>
      <w:bookmarkEnd w:id="2021"/>
      <w:bookmarkEnd w:id="2022"/>
    </w:p>
    <w:p>
      <w:pPr>
        <w:pStyle w:val="nzSubsection"/>
      </w:pPr>
      <w:r>
        <w:tab/>
      </w:r>
      <w:r>
        <w:tab/>
        <w:t>In Schedule 2 by</w:t>
      </w:r>
      <w:r>
        <w:noBreakHyphen/>
        <w:t>law 3:</w:t>
      </w:r>
    </w:p>
    <w:p>
      <w:pPr>
        <w:pStyle w:val="nzIndenta"/>
      </w:pPr>
      <w:r>
        <w:tab/>
        <w:t>(a)</w:t>
      </w:r>
      <w:r>
        <w:tab/>
        <w:t>delete “</w:t>
      </w:r>
      <w:r>
        <w:rPr>
          <w:sz w:val="22"/>
        </w:rPr>
        <w:t>a proprietor, occupier, or other resident</w:t>
      </w:r>
      <w:r>
        <w:rPr>
          <w:snapToGrid w:val="0"/>
          <w:sz w:val="22"/>
          <w:szCs w:val="22"/>
        </w:rPr>
        <w:t xml:space="preserve"> of a lot</w:t>
      </w:r>
      <w:r>
        <w:rPr>
          <w:sz w:val="22"/>
          <w:szCs w:val="22"/>
        </w:rPr>
        <w:t xml:space="preserve">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rPr>
          <w:snapToGrid w:val="0"/>
        </w:rPr>
      </w:pPr>
      <w:r>
        <w:tab/>
        <w:t>(b)</w:t>
      </w:r>
      <w:r>
        <w:tab/>
        <w:t>in paragraph (a) delete “</w:t>
      </w:r>
      <w:r>
        <w:rPr>
          <w:snapToGrid w:val="0"/>
          <w:sz w:val="22"/>
          <w:szCs w:val="22"/>
        </w:rPr>
        <w:t>upon</w:t>
      </w:r>
      <w:r>
        <w:rPr>
          <w:snapToGrid w:val="0"/>
        </w:rPr>
        <w:t>” and insert:</w:t>
      </w:r>
    </w:p>
    <w:p>
      <w:pPr>
        <w:pStyle w:val="BlankOpen"/>
        <w:rPr>
          <w:snapToGrid w:val="0"/>
        </w:rPr>
      </w:pPr>
    </w:p>
    <w:p>
      <w:pPr>
        <w:pStyle w:val="nzIndenta"/>
        <w:rPr>
          <w:snapToGrid w:val="0"/>
        </w:rPr>
      </w:pPr>
      <w:r>
        <w:rPr>
          <w:snapToGrid w:val="0"/>
          <w:sz w:val="22"/>
          <w:szCs w:val="22"/>
        </w:rPr>
        <w:tab/>
      </w:r>
      <w:r>
        <w:rPr>
          <w:snapToGrid w:val="0"/>
          <w:sz w:val="22"/>
          <w:szCs w:val="22"/>
        </w:rPr>
        <w:tab/>
        <w:t>on</w:t>
      </w:r>
    </w:p>
    <w:p>
      <w:pPr>
        <w:pStyle w:val="BlankClose"/>
      </w:pPr>
    </w:p>
    <w:p>
      <w:pPr>
        <w:pStyle w:val="nzIndenta"/>
      </w:pPr>
      <w:r>
        <w:tab/>
        <w:t>(c)</w:t>
      </w:r>
      <w:r>
        <w:tab/>
        <w:t>in paragraph (b) delete “</w:t>
      </w:r>
      <w:r>
        <w:rPr>
          <w:sz w:val="22"/>
          <w:szCs w:val="22"/>
        </w:rPr>
        <w:t>his</w:t>
      </w:r>
      <w:r>
        <w:t>” and insert:</w:t>
      </w:r>
    </w:p>
    <w:p>
      <w:pPr>
        <w:pStyle w:val="BlankOpen"/>
      </w:pPr>
    </w:p>
    <w:p>
      <w:pPr>
        <w:pStyle w:val="nzIndenta"/>
      </w:pPr>
      <w:r>
        <w:tab/>
      </w:r>
      <w:r>
        <w:tab/>
      </w:r>
      <w:r>
        <w:rPr>
          <w:sz w:val="22"/>
        </w:rPr>
        <w:t xml:space="preserve">the owner’s or occupier’s </w:t>
      </w:r>
    </w:p>
    <w:p>
      <w:pPr>
        <w:pStyle w:val="BlankClose"/>
      </w:pPr>
    </w:p>
    <w:p>
      <w:pPr>
        <w:pStyle w:val="nzHeading5"/>
      </w:pPr>
      <w:bookmarkStart w:id="2023" w:name="_Toc530474609"/>
      <w:bookmarkStart w:id="2024" w:name="_Toc530475204"/>
      <w:r>
        <w:rPr>
          <w:rStyle w:val="CharSectno"/>
        </w:rPr>
        <w:t>102</w:t>
      </w:r>
      <w:r>
        <w:t>.</w:t>
      </w:r>
      <w:r>
        <w:tab/>
        <w:t>Schedule 2 by</w:t>
      </w:r>
      <w:r>
        <w:noBreakHyphen/>
        <w:t>law 4 amended</w:t>
      </w:r>
      <w:bookmarkEnd w:id="2023"/>
      <w:bookmarkEnd w:id="2024"/>
    </w:p>
    <w:p>
      <w:pPr>
        <w:pStyle w:val="nzSubsection"/>
      </w:pPr>
      <w:r>
        <w:tab/>
      </w:r>
      <w:r>
        <w:tab/>
        <w:t>In Schedule 2 by</w:t>
      </w:r>
      <w:r>
        <w:noBreakHyphen/>
        <w:t>law 4:</w:t>
      </w:r>
    </w:p>
    <w:p>
      <w:pPr>
        <w:pStyle w:val="nzIndenta"/>
      </w:pPr>
      <w:r>
        <w:tab/>
        <w:t>(a)</w:t>
      </w:r>
      <w:r>
        <w:tab/>
        <w:t>delete “</w:t>
      </w:r>
      <w:r>
        <w:rPr>
          <w:sz w:val="22"/>
        </w:rPr>
        <w:t>A proprietor, occupier, or other resident of a lot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pPr>
      <w:r>
        <w:tab/>
        <w:t>(b)</w:t>
      </w:r>
      <w:r>
        <w:tab/>
        <w:t>delete “</w:t>
      </w:r>
      <w:r>
        <w:rPr>
          <w:sz w:val="22"/>
        </w:rPr>
        <w:t>upon</w:t>
      </w:r>
      <w:r>
        <w:t>” and insert:</w:t>
      </w:r>
    </w:p>
    <w:p>
      <w:pPr>
        <w:pStyle w:val="BlankOpen"/>
      </w:pPr>
    </w:p>
    <w:p>
      <w:pPr>
        <w:pStyle w:val="nzIndenta"/>
      </w:pPr>
      <w:r>
        <w:tab/>
      </w:r>
      <w:r>
        <w:tab/>
      </w:r>
      <w:r>
        <w:rPr>
          <w:sz w:val="22"/>
        </w:rPr>
        <w:t>on</w:t>
      </w:r>
    </w:p>
    <w:p>
      <w:pPr>
        <w:pStyle w:val="BlankClose"/>
      </w:pPr>
    </w:p>
    <w:p>
      <w:pPr>
        <w:pStyle w:val="nzIndenta"/>
      </w:pPr>
      <w:r>
        <w:tab/>
        <w:t>(c)</w:t>
      </w:r>
      <w:r>
        <w:tab/>
        <w:t>delete “</w:t>
      </w:r>
      <w:r>
        <w:rPr>
          <w:sz w:val="22"/>
        </w:rPr>
        <w:t>shall</w:t>
      </w:r>
      <w:r>
        <w:t>” and insert:</w:t>
      </w:r>
    </w:p>
    <w:p>
      <w:pPr>
        <w:pStyle w:val="BlankOpen"/>
      </w:pPr>
    </w:p>
    <w:p>
      <w:pPr>
        <w:pStyle w:val="nzIndenta"/>
      </w:pPr>
      <w:r>
        <w:tab/>
      </w:r>
      <w:r>
        <w:tab/>
      </w:r>
      <w:r>
        <w:rPr>
          <w:sz w:val="22"/>
        </w:rPr>
        <w:t>must</w:t>
      </w:r>
    </w:p>
    <w:p>
      <w:pPr>
        <w:pStyle w:val="BlankClose"/>
      </w:pPr>
    </w:p>
    <w:p>
      <w:pPr>
        <w:pStyle w:val="nzIndenta"/>
      </w:pPr>
      <w:r>
        <w:tab/>
        <w:t>(d)</w:t>
      </w:r>
      <w:r>
        <w:tab/>
        <w:t>delete “</w:t>
      </w:r>
      <w:r>
        <w:rPr>
          <w:sz w:val="22"/>
          <w:szCs w:val="22"/>
        </w:rPr>
        <w:t>the</w:t>
      </w:r>
      <w:r>
        <w:rPr>
          <w:sz w:val="22"/>
        </w:rPr>
        <w:t xml:space="preserve"> proprietor, occupier, or other resident</w:t>
      </w:r>
      <w:r>
        <w:t>” and insert:</w:t>
      </w:r>
    </w:p>
    <w:p>
      <w:pPr>
        <w:pStyle w:val="BlankOpen"/>
      </w:pPr>
    </w:p>
    <w:p>
      <w:pPr>
        <w:pStyle w:val="nzIndenta"/>
      </w:pPr>
      <w:r>
        <w:tab/>
      </w:r>
      <w:r>
        <w:tab/>
        <w:t>a</w:t>
      </w:r>
      <w:r>
        <w:rPr>
          <w:sz w:val="22"/>
        </w:rPr>
        <w:t>n owner or occupier</w:t>
      </w:r>
    </w:p>
    <w:p>
      <w:pPr>
        <w:pStyle w:val="BlankClose"/>
      </w:pPr>
    </w:p>
    <w:p>
      <w:pPr>
        <w:pStyle w:val="nzSectAltNote"/>
      </w:pPr>
      <w:r>
        <w:tab/>
        <w:t>Note:</w:t>
      </w:r>
      <w:r>
        <w:tab/>
        <w:t>The heading to amended by</w:t>
      </w:r>
      <w:r>
        <w:noBreakHyphen/>
        <w:t>law 4 is to read:</w:t>
      </w:r>
    </w:p>
    <w:p>
      <w:pPr>
        <w:pStyle w:val="nzSectAltHeading"/>
      </w:pPr>
      <w:r>
        <w:rPr>
          <w:b w:val="0"/>
        </w:rPr>
        <w:tab/>
      </w:r>
      <w:r>
        <w:rPr>
          <w:b w:val="0"/>
        </w:rPr>
        <w:tab/>
      </w:r>
      <w:r>
        <w:t>Behaviour of owners and occupiers</w:t>
      </w:r>
    </w:p>
    <w:p>
      <w:pPr>
        <w:pStyle w:val="nzHeading5"/>
      </w:pPr>
      <w:bookmarkStart w:id="2025" w:name="_Toc530474610"/>
      <w:bookmarkStart w:id="2026" w:name="_Toc530475205"/>
      <w:r>
        <w:rPr>
          <w:rStyle w:val="CharSectno"/>
        </w:rPr>
        <w:t>103</w:t>
      </w:r>
      <w:r>
        <w:t>.</w:t>
      </w:r>
      <w:r>
        <w:tab/>
        <w:t>Schedule 2 by</w:t>
      </w:r>
      <w:r>
        <w:noBreakHyphen/>
        <w:t>law 5 deleted</w:t>
      </w:r>
      <w:bookmarkEnd w:id="2025"/>
      <w:bookmarkEnd w:id="2026"/>
    </w:p>
    <w:p>
      <w:pPr>
        <w:pStyle w:val="nzSubsection"/>
      </w:pPr>
      <w:r>
        <w:tab/>
      </w:r>
      <w:r>
        <w:tab/>
        <w:t>Delete Schedule 2 by</w:t>
      </w:r>
      <w:r>
        <w:noBreakHyphen/>
        <w:t>law 5</w:t>
      </w:r>
    </w:p>
    <w:p>
      <w:pPr>
        <w:pStyle w:val="nzHeading5"/>
      </w:pPr>
      <w:bookmarkStart w:id="2027" w:name="_Toc530474611"/>
      <w:bookmarkStart w:id="2028" w:name="_Toc530475206"/>
      <w:r>
        <w:rPr>
          <w:rStyle w:val="CharSectno"/>
        </w:rPr>
        <w:t>104</w:t>
      </w:r>
      <w:r>
        <w:t>.</w:t>
      </w:r>
      <w:r>
        <w:tab/>
        <w:t>Schedule 2 by</w:t>
      </w:r>
      <w:r>
        <w:noBreakHyphen/>
        <w:t>law 6 amended</w:t>
      </w:r>
      <w:bookmarkEnd w:id="2027"/>
      <w:bookmarkEnd w:id="2028"/>
    </w:p>
    <w:p>
      <w:pPr>
        <w:pStyle w:val="nzSubsection"/>
      </w:pPr>
      <w:r>
        <w:tab/>
      </w:r>
      <w:r>
        <w:tab/>
        <w:t>In Schedule 2 by</w:t>
      </w:r>
      <w:r>
        <w:noBreakHyphen/>
        <w:t>law 6:</w:t>
      </w:r>
    </w:p>
    <w:p>
      <w:pPr>
        <w:pStyle w:val="nzIndenta"/>
      </w:pPr>
      <w:r>
        <w:tab/>
        <w:t>(a)</w:t>
      </w:r>
      <w:r>
        <w:tab/>
        <w:t>delete “</w:t>
      </w:r>
      <w:r>
        <w:rPr>
          <w:sz w:val="22"/>
        </w:rPr>
        <w:t>A proprietor, occupier, or other resident of a lot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pPr>
      <w:r>
        <w:tab/>
        <w:t>(b)</w:t>
      </w:r>
      <w:r>
        <w:tab/>
        <w:t>delete “</w:t>
      </w:r>
      <w:r>
        <w:rPr>
          <w:sz w:val="22"/>
        </w:rPr>
        <w:t>upon</w:t>
      </w:r>
      <w:r>
        <w:t>” and insert:</w:t>
      </w:r>
    </w:p>
    <w:p>
      <w:pPr>
        <w:pStyle w:val="BlankOpen"/>
      </w:pPr>
    </w:p>
    <w:p>
      <w:pPr>
        <w:pStyle w:val="nzIndenta"/>
      </w:pPr>
      <w:r>
        <w:tab/>
      </w:r>
      <w:r>
        <w:tab/>
      </w:r>
      <w:r>
        <w:rPr>
          <w:sz w:val="22"/>
        </w:rPr>
        <w:t>on</w:t>
      </w:r>
    </w:p>
    <w:p>
      <w:pPr>
        <w:pStyle w:val="BlankClose"/>
      </w:pPr>
    </w:p>
    <w:p>
      <w:pPr>
        <w:pStyle w:val="nzIndenta"/>
      </w:pPr>
      <w:r>
        <w:tab/>
        <w:t>(c)</w:t>
      </w:r>
      <w:r>
        <w:tab/>
        <w:t>delete “</w:t>
      </w:r>
      <w:r>
        <w:rPr>
          <w:sz w:val="22"/>
          <w:szCs w:val="22"/>
        </w:rPr>
        <w:t>an</w:t>
      </w:r>
      <w:r>
        <w:rPr>
          <w:sz w:val="22"/>
        </w:rPr>
        <w:t>other proprietor, occupier or resident</w:t>
      </w:r>
      <w:r>
        <w:t>” and insert:</w:t>
      </w:r>
    </w:p>
    <w:p>
      <w:pPr>
        <w:pStyle w:val="BlankOpen"/>
      </w:pPr>
    </w:p>
    <w:p>
      <w:pPr>
        <w:pStyle w:val="nzIndenta"/>
      </w:pPr>
      <w:r>
        <w:tab/>
      </w:r>
      <w:r>
        <w:tab/>
      </w:r>
      <w:r>
        <w:rPr>
          <w:sz w:val="22"/>
        </w:rPr>
        <w:t>an owner or occupier of another lot</w:t>
      </w:r>
    </w:p>
    <w:p>
      <w:pPr>
        <w:pStyle w:val="BlankClose"/>
      </w:pPr>
    </w:p>
    <w:p>
      <w:pPr>
        <w:pStyle w:val="nzHeading5"/>
      </w:pPr>
      <w:bookmarkStart w:id="2029" w:name="_Toc530474612"/>
      <w:bookmarkStart w:id="2030" w:name="_Toc530475207"/>
      <w:r>
        <w:rPr>
          <w:rStyle w:val="CharSectno"/>
        </w:rPr>
        <w:t>105</w:t>
      </w:r>
      <w:r>
        <w:t>.</w:t>
      </w:r>
      <w:r>
        <w:tab/>
        <w:t>Schedule 2 by</w:t>
      </w:r>
      <w:r>
        <w:noBreakHyphen/>
        <w:t>law 7 amended</w:t>
      </w:r>
      <w:bookmarkEnd w:id="2029"/>
      <w:bookmarkEnd w:id="2030"/>
    </w:p>
    <w:p>
      <w:pPr>
        <w:pStyle w:val="nzSubsection"/>
      </w:pPr>
      <w:r>
        <w:tab/>
      </w:r>
      <w:r>
        <w:tab/>
        <w:t>In Schedule 2 by</w:t>
      </w:r>
      <w:r>
        <w:noBreakHyphen/>
        <w:t>law 7:</w:t>
      </w:r>
    </w:p>
    <w:p>
      <w:pPr>
        <w:pStyle w:val="nzIndenta"/>
      </w:pPr>
      <w:r>
        <w:tab/>
        <w:t>(a)</w:t>
      </w:r>
      <w:r>
        <w:tab/>
        <w:t>delete “</w:t>
      </w:r>
      <w:r>
        <w:rPr>
          <w:sz w:val="22"/>
        </w:rPr>
        <w:t>A proprietor, occupier, or other resident of a lot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pPr>
      <w:r>
        <w:tab/>
        <w:t>(b)</w:t>
      </w:r>
      <w:r>
        <w:tab/>
        <w:t>in paragraph (b) delete “</w:t>
      </w:r>
      <w:r>
        <w:rPr>
          <w:sz w:val="22"/>
        </w:rPr>
        <w:t>his</w:t>
      </w:r>
      <w:r>
        <w:t>” and insert:</w:t>
      </w:r>
    </w:p>
    <w:p>
      <w:pPr>
        <w:pStyle w:val="BlankOpen"/>
      </w:pPr>
    </w:p>
    <w:p>
      <w:pPr>
        <w:pStyle w:val="nzIndenta"/>
      </w:pPr>
      <w:r>
        <w:tab/>
      </w:r>
      <w:r>
        <w:tab/>
      </w:r>
      <w:r>
        <w:rPr>
          <w:sz w:val="22"/>
        </w:rPr>
        <w:t>their</w:t>
      </w:r>
    </w:p>
    <w:p>
      <w:pPr>
        <w:pStyle w:val="BlankClose"/>
      </w:pPr>
    </w:p>
    <w:p>
      <w:pPr>
        <w:pStyle w:val="nzSectAltNote"/>
      </w:pPr>
      <w:r>
        <w:tab/>
        <w:t>Note:</w:t>
      </w:r>
      <w:r>
        <w:tab/>
        <w:t>The heading to amended by</w:t>
      </w:r>
      <w:r>
        <w:noBreakHyphen/>
        <w:t>law 7 is to read:</w:t>
      </w:r>
    </w:p>
    <w:p>
      <w:pPr>
        <w:pStyle w:val="nzSectAltHeading"/>
      </w:pPr>
      <w:r>
        <w:rPr>
          <w:b w:val="0"/>
        </w:rPr>
        <w:tab/>
      </w:r>
      <w:r>
        <w:rPr>
          <w:b w:val="0"/>
        </w:rPr>
        <w:tab/>
      </w:r>
      <w:r>
        <w:t>Drying of laundry items and signage</w:t>
      </w:r>
    </w:p>
    <w:p>
      <w:pPr>
        <w:pStyle w:val="nzHeading5"/>
      </w:pPr>
      <w:bookmarkStart w:id="2031" w:name="_Toc530474613"/>
      <w:bookmarkStart w:id="2032" w:name="_Toc530475208"/>
      <w:r>
        <w:rPr>
          <w:rStyle w:val="CharSectno"/>
        </w:rPr>
        <w:t>106</w:t>
      </w:r>
      <w:r>
        <w:t>.</w:t>
      </w:r>
      <w:r>
        <w:tab/>
        <w:t>Schedule 2 by</w:t>
      </w:r>
      <w:r>
        <w:noBreakHyphen/>
        <w:t>law 8 amended</w:t>
      </w:r>
      <w:bookmarkEnd w:id="2031"/>
      <w:bookmarkEnd w:id="2032"/>
    </w:p>
    <w:p>
      <w:pPr>
        <w:pStyle w:val="nzSubsection"/>
      </w:pPr>
      <w:r>
        <w:tab/>
      </w:r>
      <w:r>
        <w:tab/>
        <w:t>In Schedule 2 by</w:t>
      </w:r>
      <w:r>
        <w:noBreakHyphen/>
        <w:t>law 8:</w:t>
      </w:r>
    </w:p>
    <w:p>
      <w:pPr>
        <w:pStyle w:val="nzIndenta"/>
      </w:pPr>
      <w:r>
        <w:tab/>
        <w:t>(a)</w:t>
      </w:r>
      <w:r>
        <w:tab/>
        <w:t>delete “</w:t>
      </w:r>
      <w:r>
        <w:rPr>
          <w:sz w:val="22"/>
        </w:rPr>
        <w:t>A proprietor, occupier, or other resident of a lot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pPr>
      <w:r>
        <w:tab/>
        <w:t>(b)</w:t>
      </w:r>
      <w:r>
        <w:tab/>
        <w:t>delete “</w:t>
      </w:r>
      <w:r>
        <w:rPr>
          <w:snapToGrid w:val="0"/>
          <w:sz w:val="22"/>
          <w:szCs w:val="22"/>
        </w:rPr>
        <w:t>approval</w:t>
      </w:r>
      <w:r>
        <w:rPr>
          <w:sz w:val="22"/>
          <w:szCs w:val="22"/>
        </w:rPr>
        <w:t xml:space="preserve"> </w:t>
      </w:r>
      <w:r>
        <w:rPr>
          <w:sz w:val="22"/>
        </w:rPr>
        <w:t>in writing</w:t>
      </w:r>
      <w:r>
        <w:t>” and insert:</w:t>
      </w:r>
    </w:p>
    <w:p>
      <w:pPr>
        <w:pStyle w:val="BlankOpen"/>
      </w:pPr>
    </w:p>
    <w:p>
      <w:pPr>
        <w:pStyle w:val="nzIndenta"/>
      </w:pPr>
      <w:r>
        <w:tab/>
      </w:r>
      <w:r>
        <w:tab/>
      </w:r>
      <w:r>
        <w:rPr>
          <w:sz w:val="22"/>
        </w:rPr>
        <w:t xml:space="preserve">written </w:t>
      </w:r>
      <w:r>
        <w:rPr>
          <w:snapToGrid w:val="0"/>
          <w:sz w:val="22"/>
          <w:szCs w:val="22"/>
        </w:rPr>
        <w:t>approval</w:t>
      </w:r>
    </w:p>
    <w:p>
      <w:pPr>
        <w:pStyle w:val="BlankClose"/>
      </w:pPr>
    </w:p>
    <w:p>
      <w:pPr>
        <w:pStyle w:val="nzIndenta"/>
      </w:pPr>
      <w:r>
        <w:tab/>
        <w:t>(c)</w:t>
      </w:r>
      <w:r>
        <w:tab/>
        <w:t>delete “</w:t>
      </w:r>
      <w:r>
        <w:rPr>
          <w:sz w:val="22"/>
        </w:rPr>
        <w:t>upon</w:t>
      </w:r>
      <w:r>
        <w:t>” (each occurrence) and insert:</w:t>
      </w:r>
    </w:p>
    <w:p>
      <w:pPr>
        <w:pStyle w:val="BlankOpen"/>
      </w:pPr>
    </w:p>
    <w:p>
      <w:pPr>
        <w:pStyle w:val="nzIndenta"/>
      </w:pPr>
      <w:r>
        <w:tab/>
      </w:r>
      <w:r>
        <w:tab/>
      </w:r>
      <w:r>
        <w:rPr>
          <w:sz w:val="22"/>
        </w:rPr>
        <w:t>on</w:t>
      </w:r>
    </w:p>
    <w:p>
      <w:pPr>
        <w:pStyle w:val="BlankClose"/>
      </w:pPr>
    </w:p>
    <w:p>
      <w:pPr>
        <w:pStyle w:val="nzHeading5"/>
      </w:pPr>
      <w:bookmarkStart w:id="2033" w:name="_Toc530474614"/>
      <w:bookmarkStart w:id="2034" w:name="_Toc530475209"/>
      <w:r>
        <w:rPr>
          <w:rStyle w:val="CharSectno"/>
        </w:rPr>
        <w:t>107</w:t>
      </w:r>
      <w:r>
        <w:t>.</w:t>
      </w:r>
      <w:r>
        <w:tab/>
        <w:t>Schedule 2 by</w:t>
      </w:r>
      <w:r>
        <w:noBreakHyphen/>
        <w:t>law 9 amended</w:t>
      </w:r>
      <w:bookmarkEnd w:id="2033"/>
      <w:bookmarkEnd w:id="2034"/>
    </w:p>
    <w:p>
      <w:pPr>
        <w:pStyle w:val="nzSubsection"/>
      </w:pPr>
      <w:r>
        <w:tab/>
      </w:r>
      <w:r>
        <w:tab/>
        <w:t>In Schedule 2 by</w:t>
      </w:r>
      <w:r>
        <w:noBreakHyphen/>
        <w:t>law 9:</w:t>
      </w:r>
    </w:p>
    <w:p>
      <w:pPr>
        <w:pStyle w:val="nzIndenta"/>
      </w:pPr>
      <w:r>
        <w:tab/>
        <w:t>(a)</w:t>
      </w:r>
      <w:r>
        <w:tab/>
        <w:t>delete “</w:t>
      </w:r>
      <w:r>
        <w:rPr>
          <w:sz w:val="22"/>
        </w:rPr>
        <w:t>A proprietor, occupier, or other resident of a lot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pPr>
      <w:r>
        <w:tab/>
        <w:t>(b)</w:t>
      </w:r>
      <w:r>
        <w:tab/>
        <w:t>delete “</w:t>
      </w:r>
      <w:r>
        <w:rPr>
          <w:sz w:val="22"/>
        </w:rPr>
        <w:t>upon</w:t>
      </w:r>
      <w:r>
        <w:t>” and insert:</w:t>
      </w:r>
    </w:p>
    <w:p>
      <w:pPr>
        <w:pStyle w:val="BlankOpen"/>
      </w:pPr>
    </w:p>
    <w:p>
      <w:pPr>
        <w:pStyle w:val="nzIndenta"/>
      </w:pPr>
      <w:r>
        <w:tab/>
      </w:r>
      <w:r>
        <w:tab/>
      </w:r>
      <w:r>
        <w:rPr>
          <w:sz w:val="22"/>
        </w:rPr>
        <w:t>on</w:t>
      </w:r>
    </w:p>
    <w:p>
      <w:pPr>
        <w:pStyle w:val="BlankClose"/>
      </w:pPr>
    </w:p>
    <w:p>
      <w:pPr>
        <w:pStyle w:val="nzIndenta"/>
      </w:pPr>
      <w:r>
        <w:tab/>
        <w:t>(c)</w:t>
      </w:r>
      <w:r>
        <w:tab/>
        <w:t>delete “</w:t>
      </w:r>
      <w:r>
        <w:rPr>
          <w:sz w:val="22"/>
        </w:rPr>
        <w:t>he</w:t>
      </w:r>
      <w:r>
        <w:t>” (each occurrence) and insert:</w:t>
      </w:r>
    </w:p>
    <w:p>
      <w:pPr>
        <w:pStyle w:val="BlankOpen"/>
      </w:pPr>
    </w:p>
    <w:p>
      <w:pPr>
        <w:pStyle w:val="nzIndenta"/>
      </w:pPr>
      <w:r>
        <w:tab/>
      </w:r>
      <w:r>
        <w:tab/>
      </w:r>
      <w:r>
        <w:rPr>
          <w:sz w:val="22"/>
          <w:szCs w:val="22"/>
        </w:rPr>
        <w:t>that person</w:t>
      </w:r>
    </w:p>
    <w:p>
      <w:pPr>
        <w:pStyle w:val="BlankClose"/>
      </w:pPr>
    </w:p>
    <w:p>
      <w:pPr>
        <w:pStyle w:val="nzIndenta"/>
      </w:pPr>
      <w:r>
        <w:tab/>
        <w:t>(d)</w:t>
      </w:r>
      <w:r>
        <w:tab/>
        <w:t>delete “</w:t>
      </w:r>
      <w:r>
        <w:rPr>
          <w:sz w:val="22"/>
        </w:rPr>
        <w:t>his</w:t>
      </w:r>
      <w:r>
        <w:t>” and insert:</w:t>
      </w:r>
    </w:p>
    <w:p>
      <w:pPr>
        <w:pStyle w:val="BlankOpen"/>
      </w:pPr>
    </w:p>
    <w:p>
      <w:pPr>
        <w:pStyle w:val="nzIndenta"/>
      </w:pPr>
      <w:r>
        <w:tab/>
      </w:r>
      <w:r>
        <w:tab/>
      </w:r>
      <w:r>
        <w:rPr>
          <w:sz w:val="22"/>
        </w:rPr>
        <w:t>their</w:t>
      </w:r>
    </w:p>
    <w:p>
      <w:pPr>
        <w:pStyle w:val="BlankClose"/>
      </w:pPr>
    </w:p>
    <w:p>
      <w:pPr>
        <w:pStyle w:val="nzHeading5"/>
      </w:pPr>
      <w:bookmarkStart w:id="2035" w:name="_Toc530474615"/>
      <w:bookmarkStart w:id="2036" w:name="_Toc530475210"/>
      <w:r>
        <w:rPr>
          <w:rStyle w:val="CharSectno"/>
        </w:rPr>
        <w:t>108</w:t>
      </w:r>
      <w:r>
        <w:t>.</w:t>
      </w:r>
      <w:r>
        <w:tab/>
        <w:t>Schedule 2 by</w:t>
      </w:r>
      <w:r>
        <w:noBreakHyphen/>
        <w:t>law 10 amended</w:t>
      </w:r>
      <w:bookmarkEnd w:id="2035"/>
      <w:bookmarkEnd w:id="2036"/>
    </w:p>
    <w:p>
      <w:pPr>
        <w:pStyle w:val="nzSubsection"/>
      </w:pPr>
      <w:r>
        <w:tab/>
      </w:r>
      <w:r>
        <w:tab/>
        <w:t>In Schedule 2 by</w:t>
      </w:r>
      <w:r>
        <w:noBreakHyphen/>
        <w:t>law 10:</w:t>
      </w:r>
    </w:p>
    <w:p>
      <w:pPr>
        <w:pStyle w:val="nzIndenta"/>
      </w:pPr>
      <w:r>
        <w:tab/>
        <w:t>(a)</w:t>
      </w:r>
      <w:r>
        <w:tab/>
        <w:t>delete “</w:t>
      </w:r>
      <w:r>
        <w:rPr>
          <w:sz w:val="22"/>
        </w:rPr>
        <w:t>A proprietor of a lot shall</w:t>
      </w:r>
      <w:r>
        <w:t>” and insert:</w:t>
      </w:r>
    </w:p>
    <w:p>
      <w:pPr>
        <w:pStyle w:val="BlankOpen"/>
      </w:pPr>
    </w:p>
    <w:p>
      <w:pPr>
        <w:pStyle w:val="nzIndenta"/>
      </w:pPr>
      <w:r>
        <w:tab/>
      </w:r>
      <w:r>
        <w:tab/>
      </w:r>
      <w:r>
        <w:rPr>
          <w:sz w:val="22"/>
        </w:rPr>
        <w:t xml:space="preserve">An owner </w:t>
      </w:r>
      <w:r>
        <w:rPr>
          <w:snapToGrid w:val="0"/>
          <w:sz w:val="22"/>
          <w:szCs w:val="22"/>
        </w:rPr>
        <w:t>of a lot must</w:t>
      </w:r>
    </w:p>
    <w:p>
      <w:pPr>
        <w:pStyle w:val="BlankClose"/>
      </w:pPr>
    </w:p>
    <w:p>
      <w:pPr>
        <w:pStyle w:val="nzIndenta"/>
      </w:pPr>
      <w:r>
        <w:tab/>
        <w:t>(b)</w:t>
      </w:r>
      <w:r>
        <w:tab/>
        <w:t>delete “</w:t>
      </w:r>
      <w:r>
        <w:rPr>
          <w:sz w:val="22"/>
          <w:szCs w:val="22"/>
        </w:rPr>
        <w:t>the</w:t>
      </w:r>
      <w:r>
        <w:rPr>
          <w:sz w:val="22"/>
        </w:rPr>
        <w:t xml:space="preserve"> proprietor, occupier, or other resident</w:t>
      </w:r>
      <w:r>
        <w:t>” and insert:</w:t>
      </w:r>
    </w:p>
    <w:p>
      <w:pPr>
        <w:pStyle w:val="BlankOpen"/>
      </w:pPr>
    </w:p>
    <w:p>
      <w:pPr>
        <w:pStyle w:val="nzIndenta"/>
      </w:pPr>
      <w:r>
        <w:tab/>
      </w:r>
      <w:r>
        <w:tab/>
        <w:t>a</w:t>
      </w:r>
      <w:r>
        <w:rPr>
          <w:sz w:val="22"/>
        </w:rPr>
        <w:t>n owner or occupier</w:t>
      </w:r>
    </w:p>
    <w:p>
      <w:pPr>
        <w:pStyle w:val="BlankClose"/>
      </w:pPr>
    </w:p>
    <w:p>
      <w:pPr>
        <w:pStyle w:val="nzHeading5"/>
      </w:pPr>
      <w:bookmarkStart w:id="2037" w:name="_Toc530474616"/>
      <w:bookmarkStart w:id="2038" w:name="_Toc530475211"/>
      <w:r>
        <w:rPr>
          <w:rStyle w:val="CharSectno"/>
        </w:rPr>
        <w:t>109</w:t>
      </w:r>
      <w:r>
        <w:t>.</w:t>
      </w:r>
      <w:r>
        <w:tab/>
        <w:t>Schedule 2 by</w:t>
      </w:r>
      <w:r>
        <w:noBreakHyphen/>
        <w:t>law 11 amended</w:t>
      </w:r>
      <w:bookmarkEnd w:id="2037"/>
      <w:bookmarkEnd w:id="2038"/>
    </w:p>
    <w:p>
      <w:pPr>
        <w:pStyle w:val="nzSubsection"/>
      </w:pPr>
      <w:r>
        <w:tab/>
      </w:r>
      <w:r>
        <w:tab/>
        <w:t>In Schedule 2 by</w:t>
      </w:r>
      <w:r>
        <w:noBreakHyphen/>
        <w:t>law 11:</w:t>
      </w:r>
    </w:p>
    <w:p>
      <w:pPr>
        <w:pStyle w:val="nzIndenta"/>
      </w:pPr>
      <w:r>
        <w:tab/>
        <w:t>(a)</w:t>
      </w:r>
      <w:r>
        <w:tab/>
        <w:t>delete “</w:t>
      </w:r>
      <w:r>
        <w:rPr>
          <w:sz w:val="22"/>
        </w:rPr>
        <w:t>A proprietor</w:t>
      </w:r>
      <w:r>
        <w:t>” and insert:</w:t>
      </w:r>
    </w:p>
    <w:p>
      <w:pPr>
        <w:pStyle w:val="BlankOpen"/>
      </w:pPr>
    </w:p>
    <w:p>
      <w:pPr>
        <w:pStyle w:val="nzIndenta"/>
      </w:pPr>
      <w:r>
        <w:tab/>
      </w:r>
      <w:r>
        <w:tab/>
      </w:r>
      <w:r>
        <w:rPr>
          <w:sz w:val="22"/>
        </w:rPr>
        <w:t xml:space="preserve">An owner </w:t>
      </w:r>
    </w:p>
    <w:p>
      <w:pPr>
        <w:pStyle w:val="BlankClose"/>
      </w:pPr>
    </w:p>
    <w:p>
      <w:pPr>
        <w:pStyle w:val="nzIndenta"/>
      </w:pPr>
      <w:r>
        <w:tab/>
        <w:t>(b)</w:t>
      </w:r>
      <w:r>
        <w:tab/>
        <w:t>after “</w:t>
      </w:r>
      <w:r>
        <w:rPr>
          <w:sz w:val="22"/>
        </w:rPr>
        <w:t>lot</w:t>
      </w:r>
      <w:r>
        <w:t>” insert:</w:t>
      </w:r>
    </w:p>
    <w:p>
      <w:pPr>
        <w:pStyle w:val="BlankOpen"/>
      </w:pPr>
    </w:p>
    <w:p>
      <w:pPr>
        <w:pStyle w:val="nzIndenta"/>
      </w:pPr>
      <w:r>
        <w:tab/>
      </w:r>
      <w:r>
        <w:tab/>
      </w:r>
      <w:r>
        <w:rPr>
          <w:sz w:val="22"/>
        </w:rPr>
        <w:t>must</w:t>
      </w:r>
    </w:p>
    <w:p>
      <w:pPr>
        <w:pStyle w:val="BlankClose"/>
      </w:pPr>
    </w:p>
    <w:p>
      <w:pPr>
        <w:pStyle w:val="nzIndenta"/>
      </w:pPr>
      <w:r>
        <w:tab/>
        <w:t>(c)</w:t>
      </w:r>
      <w:r>
        <w:tab/>
        <w:t>in paragraph (a) delete “</w:t>
      </w:r>
      <w:r>
        <w:rPr>
          <w:sz w:val="22"/>
          <w:szCs w:val="22"/>
        </w:rPr>
        <w:t xml:space="preserve">shall </w:t>
      </w:r>
      <w:r>
        <w:rPr>
          <w:snapToGrid w:val="0"/>
          <w:sz w:val="22"/>
          <w:szCs w:val="22"/>
        </w:rPr>
        <w:t xml:space="preserve">maintain within </w:t>
      </w:r>
      <w:r>
        <w:rPr>
          <w:sz w:val="22"/>
        </w:rPr>
        <w:t>his</w:t>
      </w:r>
      <w:r>
        <w:t>” and insert:</w:t>
      </w:r>
    </w:p>
    <w:p>
      <w:pPr>
        <w:pStyle w:val="BlankOpen"/>
      </w:pPr>
    </w:p>
    <w:p>
      <w:pPr>
        <w:pStyle w:val="nzIndenta"/>
      </w:pPr>
      <w:r>
        <w:tab/>
      </w:r>
      <w:r>
        <w:tab/>
      </w:r>
      <w:r>
        <w:rPr>
          <w:snapToGrid w:val="0"/>
          <w:sz w:val="22"/>
          <w:szCs w:val="22"/>
        </w:rPr>
        <w:t xml:space="preserve">maintain within </w:t>
      </w:r>
      <w:r>
        <w:rPr>
          <w:sz w:val="22"/>
          <w:szCs w:val="22"/>
        </w:rPr>
        <w:t xml:space="preserve">their </w:t>
      </w:r>
    </w:p>
    <w:p>
      <w:pPr>
        <w:pStyle w:val="BlankClose"/>
      </w:pPr>
    </w:p>
    <w:p>
      <w:pPr>
        <w:pStyle w:val="nzIndenta"/>
      </w:pPr>
      <w:r>
        <w:tab/>
        <w:t>(d)</w:t>
      </w:r>
      <w:r>
        <w:tab/>
        <w:t>in paragraph (c) delete “</w:t>
      </w:r>
      <w:r>
        <w:rPr>
          <w:sz w:val="22"/>
          <w:szCs w:val="22"/>
        </w:rPr>
        <w:t>the</w:t>
      </w:r>
      <w:r>
        <w:rPr>
          <w:sz w:val="22"/>
        </w:rPr>
        <w:t xml:space="preserve"> proprietor, occupier or other resident</w:t>
      </w:r>
      <w:r>
        <w:t>” and insert:</w:t>
      </w:r>
    </w:p>
    <w:p>
      <w:pPr>
        <w:pStyle w:val="BlankOpen"/>
      </w:pPr>
    </w:p>
    <w:p>
      <w:pPr>
        <w:pStyle w:val="nzIndenta"/>
      </w:pPr>
      <w:r>
        <w:tab/>
      </w:r>
      <w:r>
        <w:tab/>
      </w:r>
      <w:r>
        <w:rPr>
          <w:sz w:val="22"/>
        </w:rPr>
        <w:t>an owner or occupier</w:t>
      </w:r>
    </w:p>
    <w:p>
      <w:pPr>
        <w:pStyle w:val="BlankClose"/>
      </w:pPr>
    </w:p>
    <w:p>
      <w:pPr>
        <w:pStyle w:val="nzIndenta"/>
      </w:pPr>
      <w:r>
        <w:tab/>
        <w:t>(e)</w:t>
      </w:r>
      <w:r>
        <w:tab/>
        <w:t>delete “</w:t>
      </w:r>
      <w:r>
        <w:rPr>
          <w:sz w:val="22"/>
        </w:rPr>
        <w:t>his</w:t>
      </w:r>
      <w:r>
        <w:t>” and insert:</w:t>
      </w:r>
    </w:p>
    <w:p>
      <w:pPr>
        <w:pStyle w:val="BlankOpen"/>
      </w:pPr>
    </w:p>
    <w:p>
      <w:pPr>
        <w:pStyle w:val="nzIndenta"/>
      </w:pPr>
      <w:r>
        <w:tab/>
      </w:r>
      <w:r>
        <w:tab/>
      </w:r>
      <w:r>
        <w:rPr>
          <w:sz w:val="22"/>
        </w:rPr>
        <w:t>their</w:t>
      </w:r>
    </w:p>
    <w:p>
      <w:pPr>
        <w:pStyle w:val="BlankClose"/>
      </w:pPr>
    </w:p>
    <w:p>
      <w:pPr>
        <w:pStyle w:val="nzHeading5"/>
      </w:pPr>
      <w:bookmarkStart w:id="2039" w:name="_Toc530474617"/>
      <w:bookmarkStart w:id="2040" w:name="_Toc530475212"/>
      <w:r>
        <w:rPr>
          <w:rStyle w:val="CharSectno"/>
        </w:rPr>
        <w:t>110</w:t>
      </w:r>
      <w:r>
        <w:t>.</w:t>
      </w:r>
      <w:r>
        <w:tab/>
        <w:t>Schedule 2 by</w:t>
      </w:r>
      <w:r>
        <w:noBreakHyphen/>
        <w:t>law 12 amended</w:t>
      </w:r>
      <w:bookmarkEnd w:id="2039"/>
      <w:bookmarkEnd w:id="2040"/>
    </w:p>
    <w:p>
      <w:pPr>
        <w:pStyle w:val="nzSubsection"/>
      </w:pPr>
      <w:r>
        <w:tab/>
      </w:r>
      <w:r>
        <w:tab/>
        <w:t>In Schedule 2 by</w:t>
      </w:r>
      <w:r>
        <w:noBreakHyphen/>
        <w:t>law 12:</w:t>
      </w:r>
    </w:p>
    <w:p>
      <w:pPr>
        <w:pStyle w:val="nzIndenta"/>
      </w:pPr>
      <w:r>
        <w:tab/>
        <w:t>(a)</w:t>
      </w:r>
      <w:r>
        <w:tab/>
        <w:t>delete “</w:t>
      </w:r>
      <w:r>
        <w:rPr>
          <w:sz w:val="22"/>
        </w:rPr>
        <w:t>A proprietor, occupier or other resident shall</w:t>
      </w:r>
      <w:r>
        <w:t>” and insert:</w:t>
      </w:r>
    </w:p>
    <w:p>
      <w:pPr>
        <w:pStyle w:val="BlankOpen"/>
      </w:pPr>
    </w:p>
    <w:p>
      <w:pPr>
        <w:pStyle w:val="nzIndenta"/>
      </w:pPr>
      <w:r>
        <w:tab/>
      </w:r>
      <w:r>
        <w:tab/>
      </w:r>
      <w:r>
        <w:rPr>
          <w:sz w:val="22"/>
        </w:rPr>
        <w:t>An owner or occupier</w:t>
      </w:r>
      <w:r>
        <w:rPr>
          <w:snapToGrid w:val="0"/>
          <w:sz w:val="22"/>
          <w:szCs w:val="22"/>
        </w:rPr>
        <w:t xml:space="preserve"> of a lot must</w:t>
      </w:r>
    </w:p>
    <w:p>
      <w:pPr>
        <w:pStyle w:val="BlankClose"/>
      </w:pPr>
    </w:p>
    <w:p>
      <w:pPr>
        <w:pStyle w:val="nzIndenta"/>
      </w:pPr>
      <w:r>
        <w:tab/>
        <w:t>(b)</w:t>
      </w:r>
      <w:r>
        <w:tab/>
        <w:t>in paragraph (a) delete “</w:t>
      </w:r>
      <w:r>
        <w:rPr>
          <w:sz w:val="22"/>
        </w:rPr>
        <w:t>that he owns, occupies or resides in for any</w:t>
      </w:r>
      <w:r>
        <w:t>” and insert:</w:t>
      </w:r>
    </w:p>
    <w:p>
      <w:pPr>
        <w:pStyle w:val="BlankOpen"/>
      </w:pPr>
    </w:p>
    <w:p>
      <w:pPr>
        <w:pStyle w:val="nzIndenta"/>
      </w:pPr>
      <w:r>
        <w:tab/>
      </w:r>
      <w:r>
        <w:tab/>
      </w:r>
      <w:r>
        <w:rPr>
          <w:sz w:val="22"/>
          <w:szCs w:val="22"/>
        </w:rPr>
        <w:t>f</w:t>
      </w:r>
      <w:r>
        <w:rPr>
          <w:sz w:val="22"/>
        </w:rPr>
        <w:t>or a</w:t>
      </w:r>
    </w:p>
    <w:p>
      <w:pPr>
        <w:pStyle w:val="BlankClose"/>
      </w:pPr>
    </w:p>
    <w:p>
      <w:pPr>
        <w:pStyle w:val="nzIndenta"/>
      </w:pPr>
      <w:r>
        <w:tab/>
        <w:t>(c)</w:t>
      </w:r>
      <w:r>
        <w:tab/>
        <w:t>in paragraph (b) delete “</w:t>
      </w:r>
      <w:r>
        <w:rPr>
          <w:sz w:val="22"/>
        </w:rPr>
        <w:t>any</w:t>
      </w:r>
      <w:r>
        <w:t>” and insert:</w:t>
      </w:r>
    </w:p>
    <w:p>
      <w:pPr>
        <w:pStyle w:val="BlankOpen"/>
      </w:pPr>
    </w:p>
    <w:p>
      <w:pPr>
        <w:pStyle w:val="nzIndenta"/>
      </w:pPr>
      <w:r>
        <w:tab/>
      </w:r>
      <w:r>
        <w:tab/>
      </w:r>
      <w:r>
        <w:rPr>
          <w:sz w:val="22"/>
        </w:rPr>
        <w:t>the</w:t>
      </w:r>
    </w:p>
    <w:p>
      <w:pPr>
        <w:pStyle w:val="BlankClose"/>
      </w:pPr>
    </w:p>
    <w:p>
      <w:pPr>
        <w:pStyle w:val="nzIndenta"/>
      </w:pPr>
      <w:r>
        <w:tab/>
        <w:t>(d)</w:t>
      </w:r>
      <w:r>
        <w:tab/>
        <w:t>in paragraph (c) delete “</w:t>
      </w:r>
      <w:r>
        <w:rPr>
          <w:sz w:val="22"/>
        </w:rPr>
        <w:t>subject to section 42(15) of the Act, keep any</w:t>
      </w:r>
      <w:r>
        <w:t>” and insert:</w:t>
      </w:r>
    </w:p>
    <w:p>
      <w:pPr>
        <w:pStyle w:val="BlankOpen"/>
      </w:pPr>
    </w:p>
    <w:p>
      <w:pPr>
        <w:pStyle w:val="nzIndenta"/>
      </w:pPr>
      <w:r>
        <w:tab/>
      </w:r>
      <w:r>
        <w:tab/>
      </w:r>
      <w:r>
        <w:rPr>
          <w:sz w:val="22"/>
          <w:szCs w:val="22"/>
        </w:rPr>
        <w:t>keep</w:t>
      </w:r>
    </w:p>
    <w:p>
      <w:pPr>
        <w:pStyle w:val="BlankClose"/>
      </w:pPr>
    </w:p>
    <w:p>
      <w:pPr>
        <w:pStyle w:val="nzIndenta"/>
      </w:pPr>
      <w:r>
        <w:tab/>
        <w:t>(e)</w:t>
      </w:r>
      <w:r>
        <w:tab/>
        <w:t>in paragraph (c) after “lot” delete “</w:t>
      </w:r>
      <w:r>
        <w:rPr>
          <w:sz w:val="22"/>
        </w:rPr>
        <w:t>that he owns, occupies or resides in</w:t>
      </w:r>
      <w:r>
        <w:t>”;</w:t>
      </w:r>
    </w:p>
    <w:p>
      <w:pPr>
        <w:pStyle w:val="nzIndenta"/>
      </w:pPr>
      <w:r>
        <w:tab/>
        <w:t>(f)</w:t>
      </w:r>
      <w:r>
        <w:tab/>
        <w:t>in paragraph (c) delete “</w:t>
      </w:r>
      <w:r>
        <w:rPr>
          <w:sz w:val="22"/>
        </w:rPr>
        <w:t>him</w:t>
      </w:r>
      <w:r>
        <w:t>” and insert:</w:t>
      </w:r>
    </w:p>
    <w:p>
      <w:pPr>
        <w:pStyle w:val="BlankOpen"/>
      </w:pPr>
    </w:p>
    <w:p>
      <w:pPr>
        <w:pStyle w:val="nzIndenta"/>
      </w:pPr>
      <w:r>
        <w:tab/>
      </w:r>
      <w:r>
        <w:tab/>
      </w:r>
      <w:r>
        <w:rPr>
          <w:sz w:val="22"/>
        </w:rPr>
        <w:t>that person</w:t>
      </w:r>
    </w:p>
    <w:p>
      <w:pPr>
        <w:pStyle w:val="BlankClose"/>
      </w:pPr>
    </w:p>
    <w:p>
      <w:pPr>
        <w:pStyle w:val="nzSectAltNote"/>
      </w:pPr>
      <w:r>
        <w:tab/>
        <w:t>Note:</w:t>
      </w:r>
      <w:r>
        <w:tab/>
        <w:t>The heading to amended by</w:t>
      </w:r>
      <w:r>
        <w:noBreakHyphen/>
        <w:t>law 12 is to read:</w:t>
      </w:r>
    </w:p>
    <w:p>
      <w:pPr>
        <w:pStyle w:val="nzSectAltHeading"/>
      </w:pPr>
      <w:r>
        <w:rPr>
          <w:b w:val="0"/>
        </w:rPr>
        <w:tab/>
      </w:r>
      <w:r>
        <w:rPr>
          <w:b w:val="0"/>
        </w:rPr>
        <w:tab/>
      </w:r>
      <w:r>
        <w:t>Additional duties of owners and occupiers</w:t>
      </w:r>
    </w:p>
    <w:p>
      <w:pPr>
        <w:pStyle w:val="nzHeading5"/>
      </w:pPr>
      <w:bookmarkStart w:id="2041" w:name="_Toc530474618"/>
      <w:bookmarkStart w:id="2042" w:name="_Toc530475213"/>
      <w:r>
        <w:rPr>
          <w:rStyle w:val="CharSectno"/>
        </w:rPr>
        <w:t>111</w:t>
      </w:r>
      <w:r>
        <w:t>.</w:t>
      </w:r>
      <w:r>
        <w:tab/>
        <w:t>Schedule 2 by</w:t>
      </w:r>
      <w:r>
        <w:noBreakHyphen/>
        <w:t>law 13 amended</w:t>
      </w:r>
      <w:bookmarkEnd w:id="2041"/>
      <w:bookmarkEnd w:id="2042"/>
    </w:p>
    <w:p>
      <w:pPr>
        <w:pStyle w:val="nzSubsection"/>
      </w:pPr>
      <w:r>
        <w:tab/>
      </w:r>
      <w:r>
        <w:tab/>
        <w:t>In Schedule 2 by</w:t>
      </w:r>
      <w:r>
        <w:noBreakHyphen/>
        <w:t>law 13:</w:t>
      </w:r>
    </w:p>
    <w:p>
      <w:pPr>
        <w:pStyle w:val="nzIndenta"/>
      </w:pPr>
      <w:r>
        <w:tab/>
        <w:t>(a)</w:t>
      </w:r>
      <w:r>
        <w:tab/>
        <w:t>delete “</w:t>
      </w:r>
      <w:r>
        <w:rPr>
          <w:sz w:val="22"/>
        </w:rPr>
        <w:t>A proprietor of a lot shall not alter</w:t>
      </w:r>
      <w:r>
        <w:t>” and insert:</w:t>
      </w:r>
    </w:p>
    <w:p>
      <w:pPr>
        <w:pStyle w:val="BlankOpen"/>
      </w:pPr>
    </w:p>
    <w:p>
      <w:pPr>
        <w:pStyle w:val="nzIndenta"/>
      </w:pPr>
      <w:r>
        <w:tab/>
      </w:r>
      <w:r>
        <w:tab/>
      </w:r>
      <w:r>
        <w:rPr>
          <w:sz w:val="22"/>
        </w:rPr>
        <w:t xml:space="preserve">An owner of a lot must not alter or permit the alteration of </w:t>
      </w:r>
    </w:p>
    <w:p>
      <w:pPr>
        <w:pStyle w:val="BlankClose"/>
      </w:pPr>
    </w:p>
    <w:p>
      <w:pPr>
        <w:pStyle w:val="nzIndenta"/>
      </w:pPr>
      <w:r>
        <w:tab/>
        <w:t>(b)</w:t>
      </w:r>
      <w:r>
        <w:tab/>
        <w:t>delete “</w:t>
      </w:r>
      <w:r>
        <w:rPr>
          <w:sz w:val="22"/>
        </w:rPr>
        <w:t>shall</w:t>
      </w:r>
      <w:r>
        <w:t>” and insert:</w:t>
      </w:r>
    </w:p>
    <w:p>
      <w:pPr>
        <w:pStyle w:val="BlankOpen"/>
      </w:pPr>
    </w:p>
    <w:p>
      <w:pPr>
        <w:pStyle w:val="nzIndenta"/>
      </w:pPr>
      <w:r>
        <w:tab/>
      </w:r>
      <w:r>
        <w:tab/>
      </w:r>
      <w:r>
        <w:rPr>
          <w:sz w:val="22"/>
          <w:szCs w:val="22"/>
        </w:rPr>
        <w:t>must</w:t>
      </w:r>
    </w:p>
    <w:p>
      <w:pPr>
        <w:pStyle w:val="BlankClose"/>
      </w:pPr>
    </w:p>
    <w:p>
      <w:pPr>
        <w:pStyle w:val="nzHeading5"/>
      </w:pPr>
      <w:bookmarkStart w:id="2043" w:name="_Toc530474619"/>
      <w:bookmarkStart w:id="2044" w:name="_Toc530475214"/>
      <w:r>
        <w:rPr>
          <w:rStyle w:val="CharSectno"/>
        </w:rPr>
        <w:t>112</w:t>
      </w:r>
      <w:r>
        <w:t>.</w:t>
      </w:r>
      <w:r>
        <w:tab/>
        <w:t>Schedule 2 by</w:t>
      </w:r>
      <w:r>
        <w:noBreakHyphen/>
        <w:t>law 14 amended</w:t>
      </w:r>
      <w:bookmarkEnd w:id="2043"/>
      <w:bookmarkEnd w:id="2044"/>
    </w:p>
    <w:p>
      <w:pPr>
        <w:pStyle w:val="nzSubsection"/>
      </w:pPr>
      <w:r>
        <w:tab/>
      </w:r>
      <w:r>
        <w:tab/>
        <w:t>In Schedule 2 by</w:t>
      </w:r>
      <w:r>
        <w:noBreakHyphen/>
        <w:t>law 14 “</w:t>
      </w:r>
      <w:r>
        <w:rPr>
          <w:sz w:val="22"/>
          <w:szCs w:val="22"/>
        </w:rPr>
        <w:t>A proprietor, occupier or other resident of a lot shall</w:t>
      </w:r>
      <w:r>
        <w:t>” and insert:</w:t>
      </w:r>
    </w:p>
    <w:p>
      <w:pPr>
        <w:pStyle w:val="BlankOpen"/>
      </w:pPr>
    </w:p>
    <w:p>
      <w:pPr>
        <w:pStyle w:val="nzSubsection"/>
      </w:pPr>
      <w:r>
        <w:tab/>
      </w:r>
      <w:r>
        <w:tab/>
      </w:r>
      <w:r>
        <w:rPr>
          <w:sz w:val="22"/>
          <w:szCs w:val="22"/>
        </w:rPr>
        <w:t>An owner or occupier</w:t>
      </w:r>
      <w:r>
        <w:rPr>
          <w:snapToGrid w:val="0"/>
          <w:sz w:val="22"/>
          <w:szCs w:val="22"/>
        </w:rPr>
        <w:t xml:space="preserve"> of a lot must</w:t>
      </w:r>
    </w:p>
    <w:p>
      <w:pPr>
        <w:pStyle w:val="BlankClose"/>
      </w:pPr>
    </w:p>
    <w:p>
      <w:pPr>
        <w:pStyle w:val="nzHeading5"/>
      </w:pPr>
      <w:bookmarkStart w:id="2045" w:name="_Toc530474620"/>
      <w:bookmarkStart w:id="2046" w:name="_Toc530475215"/>
      <w:r>
        <w:rPr>
          <w:rStyle w:val="CharSectno"/>
        </w:rPr>
        <w:t>113</w:t>
      </w:r>
      <w:r>
        <w:t>.</w:t>
      </w:r>
      <w:r>
        <w:tab/>
        <w:t>Schedule 2 by</w:t>
      </w:r>
      <w:r>
        <w:noBreakHyphen/>
        <w:t>law 15 inserted</w:t>
      </w:r>
      <w:bookmarkEnd w:id="2045"/>
      <w:bookmarkEnd w:id="2046"/>
    </w:p>
    <w:p>
      <w:pPr>
        <w:pStyle w:val="nzSubsection"/>
      </w:pPr>
      <w:r>
        <w:tab/>
      </w:r>
      <w:r>
        <w:tab/>
        <w:t>After Schedule 2 by</w:t>
      </w:r>
      <w:r>
        <w:noBreakHyphen/>
        <w:t>law 14 insert:</w:t>
      </w:r>
    </w:p>
    <w:p>
      <w:pPr>
        <w:pStyle w:val="BlankOpen"/>
      </w:pPr>
    </w:p>
    <w:p>
      <w:pPr>
        <w:pStyle w:val="nzHeading5"/>
      </w:pPr>
      <w:bookmarkStart w:id="2047" w:name="_Toc530474621"/>
      <w:bookmarkStart w:id="2048" w:name="_Toc530475216"/>
      <w:r>
        <w:t>15.</w:t>
      </w:r>
      <w:r>
        <w:tab/>
        <w:t>Decoration of, and affixing items to, inner surface of lot</w:t>
      </w:r>
      <w:bookmarkEnd w:id="2047"/>
      <w:bookmarkEnd w:id="2048"/>
    </w:p>
    <w:p>
      <w:pPr>
        <w:pStyle w:val="nz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BlankClose"/>
      </w:pPr>
    </w:p>
    <w:p>
      <w:pPr>
        <w:pStyle w:val="nzHeading5"/>
      </w:pPr>
      <w:bookmarkStart w:id="2049" w:name="_Toc530474622"/>
      <w:bookmarkStart w:id="2050" w:name="_Toc530475217"/>
      <w:r>
        <w:rPr>
          <w:rStyle w:val="CharSectno"/>
        </w:rPr>
        <w:t>114</w:t>
      </w:r>
      <w:r>
        <w:t>.</w:t>
      </w:r>
      <w:r>
        <w:tab/>
        <w:t>Schedule 2A replaced</w:t>
      </w:r>
      <w:bookmarkEnd w:id="2049"/>
      <w:bookmarkEnd w:id="2050"/>
    </w:p>
    <w:p>
      <w:pPr>
        <w:pStyle w:val="nzSubsection"/>
      </w:pPr>
      <w:r>
        <w:tab/>
      </w:r>
      <w:r>
        <w:tab/>
        <w:t>Delete Schedule 2A and insert:</w:t>
      </w:r>
    </w:p>
    <w:p>
      <w:pPr>
        <w:pStyle w:val="BlankOpen"/>
      </w:pPr>
    </w:p>
    <w:p>
      <w:pPr>
        <w:pStyle w:val="nzHeading2"/>
      </w:pPr>
      <w:bookmarkStart w:id="2051" w:name="_Toc517437824"/>
      <w:bookmarkStart w:id="2052" w:name="_Toc517438366"/>
      <w:bookmarkStart w:id="2053" w:name="_Toc517440703"/>
      <w:bookmarkStart w:id="2054" w:name="_Toc517447740"/>
      <w:bookmarkStart w:id="2055" w:name="_Toc517450218"/>
      <w:bookmarkStart w:id="2056" w:name="_Toc517450760"/>
      <w:bookmarkStart w:id="2057" w:name="_Toc517857216"/>
      <w:bookmarkStart w:id="2058" w:name="_Toc518293343"/>
      <w:bookmarkStart w:id="2059" w:name="_Toc522744571"/>
      <w:bookmarkStart w:id="2060" w:name="_Toc522747694"/>
      <w:bookmarkStart w:id="2061" w:name="_Toc529183532"/>
      <w:bookmarkStart w:id="2062" w:name="_Toc529188295"/>
      <w:bookmarkStart w:id="2063" w:name="_Toc529434808"/>
      <w:bookmarkStart w:id="2064" w:name="_Toc529524699"/>
      <w:bookmarkStart w:id="2065" w:name="_Toc530474623"/>
      <w:bookmarkStart w:id="2066" w:name="_Toc530475218"/>
      <w:r>
        <w:t>Schedule 2A — Special provisions for single tier strata schemes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nzHeading3"/>
      </w:pPr>
      <w:bookmarkStart w:id="2067" w:name="_Toc517437825"/>
      <w:bookmarkStart w:id="2068" w:name="_Toc517438367"/>
      <w:bookmarkStart w:id="2069" w:name="_Toc517440704"/>
      <w:bookmarkStart w:id="2070" w:name="_Toc517447741"/>
      <w:bookmarkStart w:id="2071" w:name="_Toc517450219"/>
      <w:bookmarkStart w:id="2072" w:name="_Toc517450761"/>
      <w:bookmarkStart w:id="2073" w:name="_Toc517857217"/>
      <w:bookmarkStart w:id="2074" w:name="_Toc518293344"/>
      <w:bookmarkStart w:id="2075" w:name="_Toc522744572"/>
      <w:bookmarkStart w:id="2076" w:name="_Toc522747695"/>
      <w:bookmarkStart w:id="2077" w:name="_Toc529183533"/>
      <w:bookmarkStart w:id="2078" w:name="_Toc529188296"/>
      <w:bookmarkStart w:id="2079" w:name="_Toc529434809"/>
      <w:bookmarkStart w:id="2080" w:name="_Toc529524700"/>
      <w:bookmarkStart w:id="2081" w:name="_Toc530474624"/>
      <w:bookmarkStart w:id="2082" w:name="_Toc530475219"/>
      <w:r>
        <w:t>Part 1 — Introduction</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zHeading5"/>
      </w:pPr>
      <w:bookmarkStart w:id="2083" w:name="_Toc530474625"/>
      <w:bookmarkStart w:id="2084" w:name="_Toc530475220"/>
      <w:r>
        <w:t>1.</w:t>
      </w:r>
      <w:r>
        <w:tab/>
        <w:t>Application of Schedule</w:t>
      </w:r>
      <w:bookmarkEnd w:id="2083"/>
      <w:bookmarkEnd w:id="2084"/>
    </w:p>
    <w:p>
      <w:pPr>
        <w:pStyle w:val="nzSubsection"/>
      </w:pPr>
      <w:r>
        <w:tab/>
        <w:t>(1)</w:t>
      </w:r>
      <w:r>
        <w:tab/>
        <w:t>This Schedule contains special provisions that apply to a single tier strata scheme.</w:t>
      </w:r>
    </w:p>
    <w:p>
      <w:pPr>
        <w:pStyle w:val="nzSubsection"/>
      </w:pPr>
      <w:r>
        <w:tab/>
        <w:t>(2)</w:t>
      </w:r>
      <w:r>
        <w:tab/>
        <w:t>To the extent of any inconsistency between this Schedule and other provisions of this Act, this Schedule prevails.</w:t>
      </w:r>
    </w:p>
    <w:p>
      <w:pPr>
        <w:pStyle w:val="nzHeading5"/>
      </w:pPr>
      <w:bookmarkStart w:id="2085" w:name="_Toc530474626"/>
      <w:bookmarkStart w:id="2086" w:name="_Toc530475221"/>
      <w:r>
        <w:t>2.</w:t>
      </w:r>
      <w:r>
        <w:tab/>
        <w:t>Meaning of lot and structural cubic space</w:t>
      </w:r>
      <w:bookmarkEnd w:id="2085"/>
      <w:bookmarkEnd w:id="2086"/>
    </w:p>
    <w:p>
      <w:pPr>
        <w:pStyle w:val="nz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nzDefstart"/>
      </w:pPr>
      <w:r>
        <w:rPr>
          <w:b/>
        </w:rPr>
        <w:tab/>
      </w:r>
      <w:r>
        <w:rPr>
          <w:rStyle w:val="CharDefText"/>
        </w:rPr>
        <w:t>lot,</w:t>
      </w:r>
      <w:r>
        <w:t xml:space="preserve">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nzDefpara"/>
      </w:pPr>
      <w:r>
        <w:tab/>
        <w:t>(a)</w:t>
      </w:r>
      <w:r>
        <w:tab/>
        <w:t>the boundaries of the cubic space are fixed under clause 3AB; or</w:t>
      </w:r>
    </w:p>
    <w:p>
      <w:pPr>
        <w:pStyle w:val="nzDefpara"/>
      </w:pPr>
      <w:r>
        <w:tab/>
        <w:t>(b)</w:t>
      </w:r>
      <w:r>
        <w:tab/>
        <w:t>the boundaries are not so fixed and that structural cubic space —</w:t>
      </w:r>
    </w:p>
    <w:p>
      <w:pPr>
        <w:pStyle w:val="nzDefsubpara"/>
      </w:pPr>
      <w:r>
        <w:tab/>
        <w:t>(i)</w:t>
      </w:r>
      <w:r>
        <w:tab/>
        <w:t>has boundaries described in accordance with the regulations; and</w:t>
      </w:r>
    </w:p>
    <w:p>
      <w:pPr>
        <w:pStyle w:val="nzDefsubpara"/>
      </w:pPr>
      <w:r>
        <w:tab/>
        <w:t>(ii)</w:t>
      </w:r>
      <w:r>
        <w:tab/>
        <w:t>is shown in that floor plan as part of a lot;</w:t>
      </w:r>
    </w:p>
    <w:p>
      <w:pPr>
        <w:pStyle w:val="nzDefstart"/>
      </w:pPr>
      <w:r>
        <w:tab/>
      </w:r>
      <w:r>
        <w:rPr>
          <w:rStyle w:val="CharDefText"/>
        </w:rPr>
        <w:t>structural cubic space</w:t>
      </w:r>
      <w:r>
        <w:t xml:space="preserve"> means —</w:t>
      </w:r>
    </w:p>
    <w:p>
      <w:pPr>
        <w:pStyle w:val="nzDefpara"/>
      </w:pPr>
      <w:r>
        <w:tab/>
        <w:t>(a)</w:t>
      </w:r>
      <w:r>
        <w:tab/>
        <w:t>cubic space occupied by a vertical structural member, not being a wall, of a building; and</w:t>
      </w:r>
    </w:p>
    <w:p>
      <w:pPr>
        <w:pStyle w:val="nzDefpara"/>
      </w:pPr>
      <w:r>
        <w:tab/>
        <w:t>(b)</w:t>
      </w:r>
      <w:r>
        <w:tab/>
        <w:t>utility conduits in a building; and</w:t>
      </w:r>
    </w:p>
    <w:p>
      <w:pPr>
        <w:pStyle w:val="nzDefpara"/>
      </w:pPr>
      <w:r>
        <w:tab/>
        <w:t>(c)</w:t>
      </w:r>
      <w:r>
        <w:tab/>
        <w:t>cubic space enclosed by a structure enclosing utility conduits,</w:t>
      </w:r>
    </w:p>
    <w:p>
      <w:pPr>
        <w:pStyle w:val="nzDefstart"/>
      </w:pPr>
      <w:r>
        <w:tab/>
        <w:t>but, except if clause 3AB applies, does not include utility conduits that are for the exclusive use or enjoyment of 1 lot.</w:t>
      </w:r>
    </w:p>
    <w:p>
      <w:pPr>
        <w:pStyle w:val="nzHeading5"/>
      </w:pPr>
      <w:bookmarkStart w:id="2087" w:name="_Toc530474627"/>
      <w:bookmarkStart w:id="2088" w:name="_Toc530475222"/>
      <w:r>
        <w:t>2A.</w:t>
      </w:r>
      <w:r>
        <w:tab/>
        <w:t>Dividing fences</w:t>
      </w:r>
      <w:bookmarkEnd w:id="2087"/>
      <w:bookmarkEnd w:id="2088"/>
    </w:p>
    <w:p>
      <w:pPr>
        <w:pStyle w:val="nzSubsection"/>
      </w:pPr>
      <w:r>
        <w:tab/>
      </w:r>
      <w:r>
        <w:tab/>
        <w:t>Sections 213 and 214 apply to a single tier strata scheme as if it were a survey</w:t>
      </w:r>
      <w:r>
        <w:noBreakHyphen/>
        <w:t>strata scheme.</w:t>
      </w:r>
    </w:p>
    <w:p>
      <w:pPr>
        <w:pStyle w:val="nzHeading5"/>
      </w:pPr>
      <w:bookmarkStart w:id="2089" w:name="_Toc530474628"/>
      <w:bookmarkStart w:id="2090" w:name="_Toc530475223"/>
      <w:r>
        <w:t>3.</w:t>
      </w:r>
      <w:r>
        <w:tab/>
        <w:t>Terms used</w:t>
      </w:r>
      <w:bookmarkEnd w:id="2089"/>
      <w:bookmarkEnd w:id="2090"/>
    </w:p>
    <w:p>
      <w:pPr>
        <w:pStyle w:val="nzSubsection"/>
      </w:pPr>
      <w:r>
        <w:tab/>
      </w:r>
      <w:r>
        <w:tab/>
        <w:t>In this Schedule —</w:t>
      </w:r>
    </w:p>
    <w:p>
      <w:pPr>
        <w:pStyle w:val="nz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nzDefstart"/>
      </w:pPr>
      <w:r>
        <w:tab/>
      </w:r>
      <w:r>
        <w:rPr>
          <w:rStyle w:val="CharDefText"/>
        </w:rPr>
        <w:t>single tier strata scheme</w:t>
      </w:r>
      <w:r>
        <w:t xml:space="preserve"> means a strata scheme —</w:t>
      </w:r>
    </w:p>
    <w:p>
      <w:pPr>
        <w:pStyle w:val="nzDefpara"/>
      </w:pPr>
      <w:r>
        <w:tab/>
        <w:t>(a)</w:t>
      </w:r>
      <w:r>
        <w:tab/>
        <w:t>in which no lot or part of a lot is above or below another lot; or</w:t>
      </w:r>
    </w:p>
    <w:p>
      <w:pPr>
        <w:pStyle w:val="nzDefpara"/>
      </w:pPr>
      <w:r>
        <w:tab/>
        <w:t>(b)</w:t>
      </w:r>
      <w:r>
        <w:tab/>
        <w:t>that would come within paragraph (a) except for any lot that has a permitted boundary deviation.</w:t>
      </w:r>
    </w:p>
    <w:p>
      <w:pPr>
        <w:pStyle w:val="nzHeading2"/>
      </w:pPr>
      <w:bookmarkStart w:id="2091" w:name="_Toc517437830"/>
      <w:bookmarkStart w:id="2092" w:name="_Toc517438372"/>
      <w:bookmarkStart w:id="2093" w:name="_Toc517440709"/>
      <w:bookmarkStart w:id="2094" w:name="_Toc517447746"/>
      <w:bookmarkStart w:id="2095" w:name="_Toc517450224"/>
      <w:bookmarkStart w:id="2096" w:name="_Toc517450766"/>
      <w:bookmarkStart w:id="2097" w:name="_Toc517857222"/>
      <w:bookmarkStart w:id="2098" w:name="_Toc518293349"/>
      <w:bookmarkStart w:id="2099" w:name="_Toc522744577"/>
      <w:bookmarkStart w:id="2100" w:name="_Toc522747700"/>
      <w:bookmarkStart w:id="2101" w:name="_Toc529183538"/>
      <w:bookmarkStart w:id="2102" w:name="_Toc529188301"/>
      <w:bookmarkStart w:id="2103" w:name="_Toc529434814"/>
      <w:bookmarkStart w:id="2104" w:name="_Toc529524705"/>
      <w:bookmarkStart w:id="2105" w:name="_Toc530474629"/>
      <w:bookmarkStart w:id="2106" w:name="_Toc530475224"/>
      <w:r>
        <w:t>Part 2 — Lot boundaries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nzHeading5"/>
      </w:pPr>
      <w:bookmarkStart w:id="2107" w:name="_Toc530474630"/>
      <w:bookmarkStart w:id="2108" w:name="_Toc530475225"/>
      <w:r>
        <w:t>4.</w:t>
      </w:r>
      <w:r>
        <w:tab/>
        <w:t>Order for extension of period for reinstatement of building without affecting boundary</w:t>
      </w:r>
      <w:bookmarkEnd w:id="2107"/>
      <w:bookmarkEnd w:id="2108"/>
    </w:p>
    <w:p>
      <w:pPr>
        <w:pStyle w:val="nz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nzSubsection"/>
        <w:rPr>
          <w:snapToGrid w:val="0"/>
        </w:rPr>
      </w:pPr>
      <w:r>
        <w:rPr>
          <w:snapToGrid w:val="0"/>
        </w:rPr>
        <w:tab/>
        <w:t>(2)</w:t>
      </w:r>
      <w:r>
        <w:rPr>
          <w:snapToGrid w:val="0"/>
        </w:rPr>
        <w:tab/>
        <w:t>An application to the Tribunal for an order under this clause can be made by —</w:t>
      </w:r>
    </w:p>
    <w:p>
      <w:pPr>
        <w:pStyle w:val="nzIndenta"/>
        <w:rPr>
          <w:snapToGrid w:val="0"/>
        </w:rPr>
      </w:pPr>
      <w:r>
        <w:rPr>
          <w:snapToGrid w:val="0"/>
        </w:rPr>
        <w:tab/>
        <w:t>(a)</w:t>
      </w:r>
      <w:r>
        <w:rPr>
          <w:snapToGrid w:val="0"/>
        </w:rPr>
        <w:tab/>
        <w:t>the owner of the lot; or</w:t>
      </w:r>
    </w:p>
    <w:p>
      <w:pPr>
        <w:pStyle w:val="nzIndenta"/>
        <w:rPr>
          <w:snapToGrid w:val="0"/>
        </w:rPr>
      </w:pPr>
      <w:r>
        <w:rPr>
          <w:snapToGrid w:val="0"/>
        </w:rPr>
        <w:tab/>
        <w:t>(b)</w:t>
      </w:r>
      <w:r>
        <w:rPr>
          <w:snapToGrid w:val="0"/>
        </w:rPr>
        <w:tab/>
        <w:t>a registered mortgagee of the lot.</w:t>
      </w:r>
    </w:p>
    <w:p>
      <w:pPr>
        <w:pStyle w:val="nz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nzSubsection"/>
      </w:pPr>
      <w:r>
        <w:tab/>
        <w:t>(4)</w:t>
      </w:r>
      <w:r>
        <w:tab/>
        <w:t>An order under this clause is an order extending the period within which the destroyed part of the building may be reinstated.</w:t>
      </w:r>
    </w:p>
    <w:p>
      <w:pPr>
        <w:pStyle w:val="nzSubsection"/>
      </w:pPr>
      <w:r>
        <w:tab/>
        <w:t>(5)</w:t>
      </w:r>
      <w:r>
        <w:tab/>
        <w:t>The period is not to be extended so that the period is more than 5 years from the time the destruction occurred.</w:t>
      </w:r>
    </w:p>
    <w:p>
      <w:pPr>
        <w:pStyle w:val="nzSubsection"/>
      </w:pPr>
      <w:r>
        <w:tab/>
        <w:t>(6)</w:t>
      </w:r>
      <w:r>
        <w:tab/>
        <w:t>An order can only be made under this clause if the Tribunal is satisfied that there are reasonable grounds for the delay in completing the reinstatement.</w:t>
      </w:r>
    </w:p>
    <w:p>
      <w:pPr>
        <w:pStyle w:val="nzHeading3"/>
      </w:pPr>
      <w:bookmarkStart w:id="2109" w:name="_Toc517437832"/>
      <w:bookmarkStart w:id="2110" w:name="_Toc517438374"/>
      <w:bookmarkStart w:id="2111" w:name="_Toc517440711"/>
      <w:bookmarkStart w:id="2112" w:name="_Toc517447748"/>
      <w:bookmarkStart w:id="2113" w:name="_Toc517450226"/>
      <w:bookmarkStart w:id="2114" w:name="_Toc517450768"/>
      <w:bookmarkStart w:id="2115" w:name="_Toc517857224"/>
      <w:bookmarkStart w:id="2116" w:name="_Toc518293351"/>
      <w:bookmarkStart w:id="2117" w:name="_Toc522744579"/>
      <w:bookmarkStart w:id="2118" w:name="_Toc522747702"/>
      <w:bookmarkStart w:id="2119" w:name="_Toc529183540"/>
      <w:bookmarkStart w:id="2120" w:name="_Toc529188303"/>
      <w:bookmarkStart w:id="2121" w:name="_Toc529434816"/>
      <w:bookmarkStart w:id="2122" w:name="_Toc529524707"/>
      <w:bookmarkStart w:id="2123" w:name="_Toc530474631"/>
      <w:bookmarkStart w:id="2124" w:name="_Toc530475226"/>
      <w:r>
        <w:t>Part 3 — Statutory easement</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nzHeading3"/>
      </w:pPr>
      <w:bookmarkStart w:id="2125" w:name="_Toc517437833"/>
      <w:bookmarkStart w:id="2126" w:name="_Toc517438375"/>
      <w:bookmarkStart w:id="2127" w:name="_Toc517440712"/>
      <w:bookmarkStart w:id="2128" w:name="_Toc517447749"/>
      <w:bookmarkStart w:id="2129" w:name="_Toc517450227"/>
      <w:bookmarkStart w:id="2130" w:name="_Toc517450769"/>
      <w:bookmarkStart w:id="2131" w:name="_Toc517857225"/>
      <w:bookmarkStart w:id="2132" w:name="_Toc518293352"/>
      <w:bookmarkStart w:id="2133" w:name="_Toc522744580"/>
      <w:bookmarkStart w:id="2134" w:name="_Toc522747703"/>
      <w:bookmarkStart w:id="2135" w:name="_Toc529183541"/>
      <w:bookmarkStart w:id="2136" w:name="_Toc529188304"/>
      <w:bookmarkStart w:id="2137" w:name="_Toc529434817"/>
      <w:bookmarkStart w:id="2138" w:name="_Toc529524708"/>
      <w:bookmarkStart w:id="2139" w:name="_Toc530474632"/>
      <w:bookmarkStart w:id="2140" w:name="_Toc530475227"/>
      <w:r>
        <w:t>Part 4 — Subdivision</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nzHeading3"/>
      </w:pPr>
      <w:bookmarkStart w:id="2141" w:name="_Toc517437834"/>
      <w:bookmarkStart w:id="2142" w:name="_Toc517438376"/>
      <w:bookmarkStart w:id="2143" w:name="_Toc517440713"/>
      <w:bookmarkStart w:id="2144" w:name="_Toc517447750"/>
      <w:bookmarkStart w:id="2145" w:name="_Toc517450228"/>
      <w:bookmarkStart w:id="2146" w:name="_Toc517450770"/>
      <w:bookmarkStart w:id="2147" w:name="_Toc517857226"/>
      <w:bookmarkStart w:id="2148" w:name="_Toc518293353"/>
      <w:bookmarkStart w:id="2149" w:name="_Toc522744581"/>
      <w:bookmarkStart w:id="2150" w:name="_Toc522747704"/>
      <w:bookmarkStart w:id="2151" w:name="_Toc529183542"/>
      <w:bookmarkStart w:id="2152" w:name="_Toc529188305"/>
      <w:bookmarkStart w:id="2153" w:name="_Toc529434818"/>
      <w:bookmarkStart w:id="2154" w:name="_Toc529524709"/>
      <w:bookmarkStart w:id="2155" w:name="_Toc530474633"/>
      <w:bookmarkStart w:id="2156" w:name="_Toc530475228"/>
      <w:r>
        <w:t>Division 1 — Merger of common property into lots in certain strata schemes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nzHeading4"/>
      </w:pPr>
      <w:bookmarkStart w:id="2157" w:name="_Toc517437835"/>
      <w:bookmarkStart w:id="2158" w:name="_Toc517438377"/>
      <w:bookmarkStart w:id="2159" w:name="_Toc517440714"/>
      <w:bookmarkStart w:id="2160" w:name="_Toc517447751"/>
      <w:bookmarkStart w:id="2161" w:name="_Toc517450229"/>
      <w:bookmarkStart w:id="2162" w:name="_Toc517450771"/>
      <w:bookmarkStart w:id="2163" w:name="_Toc517857227"/>
      <w:bookmarkStart w:id="2164" w:name="_Toc518293354"/>
      <w:bookmarkStart w:id="2165" w:name="_Toc522744582"/>
      <w:bookmarkStart w:id="2166" w:name="_Toc522747705"/>
      <w:bookmarkStart w:id="2167" w:name="_Toc529183543"/>
      <w:bookmarkStart w:id="2168" w:name="_Toc529188306"/>
      <w:bookmarkStart w:id="2169" w:name="_Toc529434819"/>
      <w:bookmarkStart w:id="2170" w:name="_Toc529524710"/>
      <w:bookmarkStart w:id="2171" w:name="_Toc530474634"/>
      <w:bookmarkStart w:id="2172" w:name="_Toc530475229"/>
      <w:r>
        <w:t>Subdivision 1 — Preliminary</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nzHeading4"/>
      </w:pPr>
      <w:bookmarkStart w:id="2173" w:name="_Toc517437836"/>
      <w:bookmarkStart w:id="2174" w:name="_Toc517438378"/>
      <w:bookmarkStart w:id="2175" w:name="_Toc517440715"/>
      <w:bookmarkStart w:id="2176" w:name="_Toc517447752"/>
      <w:bookmarkStart w:id="2177" w:name="_Toc517450230"/>
      <w:bookmarkStart w:id="2178" w:name="_Toc517450772"/>
      <w:bookmarkStart w:id="2179" w:name="_Toc517857228"/>
      <w:bookmarkStart w:id="2180" w:name="_Toc518293355"/>
      <w:bookmarkStart w:id="2181" w:name="_Toc522744583"/>
      <w:bookmarkStart w:id="2182" w:name="_Toc522747706"/>
      <w:bookmarkStart w:id="2183" w:name="_Toc529183544"/>
      <w:bookmarkStart w:id="2184" w:name="_Toc529188307"/>
      <w:bookmarkStart w:id="2185" w:name="_Toc529434820"/>
      <w:bookmarkStart w:id="2186" w:name="_Toc529524711"/>
      <w:bookmarkStart w:id="2187" w:name="_Toc530474635"/>
      <w:bookmarkStart w:id="2188" w:name="_Toc530475230"/>
      <w:r>
        <w:t>Subdivision 2 — Merger by resolution of buildings that are common property</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nzHeading4"/>
      </w:pPr>
      <w:bookmarkStart w:id="2189" w:name="_Toc517437837"/>
      <w:bookmarkStart w:id="2190" w:name="_Toc517438379"/>
      <w:bookmarkStart w:id="2191" w:name="_Toc517440716"/>
      <w:bookmarkStart w:id="2192" w:name="_Toc517447753"/>
      <w:bookmarkStart w:id="2193" w:name="_Toc517450231"/>
      <w:bookmarkStart w:id="2194" w:name="_Toc517450773"/>
      <w:bookmarkStart w:id="2195" w:name="_Toc517857229"/>
      <w:bookmarkStart w:id="2196" w:name="_Toc518293356"/>
      <w:bookmarkStart w:id="2197" w:name="_Toc522744584"/>
      <w:bookmarkStart w:id="2198" w:name="_Toc522747707"/>
      <w:bookmarkStart w:id="2199" w:name="_Toc529183545"/>
      <w:bookmarkStart w:id="2200" w:name="_Toc529188308"/>
      <w:bookmarkStart w:id="2201" w:name="_Toc529434821"/>
      <w:bookmarkStart w:id="2202" w:name="_Toc529524712"/>
      <w:bookmarkStart w:id="2203" w:name="_Toc530474636"/>
      <w:bookmarkStart w:id="2204" w:name="_Toc530475231"/>
      <w:r>
        <w:t>Subdivision 3 — Merger by resolution of land that is common property</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nzHeading3"/>
      </w:pPr>
      <w:bookmarkStart w:id="2205" w:name="_Toc517437838"/>
      <w:bookmarkStart w:id="2206" w:name="_Toc517438380"/>
      <w:bookmarkStart w:id="2207" w:name="_Toc517440717"/>
      <w:bookmarkStart w:id="2208" w:name="_Toc517447754"/>
      <w:bookmarkStart w:id="2209" w:name="_Toc517450232"/>
      <w:bookmarkStart w:id="2210" w:name="_Toc517450774"/>
      <w:bookmarkStart w:id="2211" w:name="_Toc517857230"/>
      <w:bookmarkStart w:id="2212" w:name="_Toc518293357"/>
      <w:bookmarkStart w:id="2213" w:name="_Toc522744585"/>
      <w:bookmarkStart w:id="2214" w:name="_Toc522747708"/>
      <w:bookmarkStart w:id="2215" w:name="_Toc529183546"/>
      <w:bookmarkStart w:id="2216" w:name="_Toc529188309"/>
      <w:bookmarkStart w:id="2217" w:name="_Toc529434822"/>
      <w:bookmarkStart w:id="2218" w:name="_Toc529524713"/>
      <w:bookmarkStart w:id="2219" w:name="_Toc530474637"/>
      <w:bookmarkStart w:id="2220" w:name="_Toc530475232"/>
      <w:r>
        <w:t>Division 2 — Conversion of strata schemes to survey</w:t>
      </w:r>
      <w:r>
        <w:noBreakHyphen/>
        <w:t>strata schemes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nzHeading3"/>
      </w:pPr>
      <w:bookmarkStart w:id="2221" w:name="_Toc517437839"/>
      <w:bookmarkStart w:id="2222" w:name="_Toc517438381"/>
      <w:bookmarkStart w:id="2223" w:name="_Toc517440718"/>
      <w:bookmarkStart w:id="2224" w:name="_Toc517447755"/>
      <w:bookmarkStart w:id="2225" w:name="_Toc517450233"/>
      <w:bookmarkStart w:id="2226" w:name="_Toc517450775"/>
      <w:bookmarkStart w:id="2227" w:name="_Toc517857231"/>
      <w:bookmarkStart w:id="2228" w:name="_Toc518293358"/>
      <w:bookmarkStart w:id="2229" w:name="_Toc522744586"/>
      <w:bookmarkStart w:id="2230" w:name="_Toc522747709"/>
      <w:bookmarkStart w:id="2231" w:name="_Toc529183547"/>
      <w:bookmarkStart w:id="2232" w:name="_Toc529188310"/>
      <w:bookmarkStart w:id="2233" w:name="_Toc529434823"/>
      <w:bookmarkStart w:id="2234" w:name="_Toc529524714"/>
      <w:bookmarkStart w:id="2235" w:name="_Toc530474638"/>
      <w:bookmarkStart w:id="2236" w:name="_Toc530475233"/>
      <w:r>
        <w:t>Part 5 — Insurance</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BlankClose"/>
      </w:pPr>
    </w:p>
    <w:p>
      <w:pPr>
        <w:pStyle w:val="nzPermNoteHeading"/>
      </w:pPr>
      <w:r>
        <w:tab/>
        <w:t>Note:</w:t>
      </w:r>
    </w:p>
    <w:p>
      <w:pPr>
        <w:pStyle w:val="nzPermNoteText"/>
      </w:pPr>
      <w:r>
        <w:tab/>
      </w:r>
      <w:r>
        <w:tab/>
        <w:t>Clauses are inserted into Schedule 2A through renumbering and relocation of provisions by Division 6.</w:t>
      </w:r>
    </w:p>
    <w:p>
      <w:pPr>
        <w:pStyle w:val="nzHeading5"/>
      </w:pPr>
      <w:bookmarkStart w:id="2237" w:name="_Toc530474639"/>
      <w:bookmarkStart w:id="2238" w:name="_Toc530475234"/>
      <w:r>
        <w:rPr>
          <w:rStyle w:val="CharSectno"/>
        </w:rPr>
        <w:t>115</w:t>
      </w:r>
      <w:r>
        <w:t>.</w:t>
      </w:r>
      <w:r>
        <w:tab/>
        <w:t>Schedule 3 heading amended</w:t>
      </w:r>
      <w:bookmarkEnd w:id="2237"/>
      <w:bookmarkEnd w:id="2238"/>
    </w:p>
    <w:p>
      <w:pPr>
        <w:pStyle w:val="nzSubsection"/>
      </w:pPr>
      <w:r>
        <w:tab/>
        <w:t>(1)</w:t>
      </w:r>
      <w:r>
        <w:tab/>
        <w:t>In the heading to Schedule 3 after “</w:t>
      </w:r>
      <w:r>
        <w:rPr>
          <w:b/>
          <w:sz w:val="28"/>
          <w:szCs w:val="28"/>
        </w:rPr>
        <w:t>provisions</w:t>
      </w:r>
      <w:r>
        <w:rPr>
          <w:szCs w:val="24"/>
        </w:rPr>
        <w:t>” insert:</w:t>
      </w:r>
    </w:p>
    <w:p>
      <w:pPr>
        <w:pStyle w:val="BlankOpen"/>
      </w:pPr>
    </w:p>
    <w:p>
      <w:pPr>
        <w:pStyle w:val="nzSubsection"/>
      </w:pPr>
      <w:r>
        <w:rPr>
          <w:b/>
          <w:sz w:val="28"/>
          <w:szCs w:val="28"/>
        </w:rPr>
        <w:tab/>
      </w:r>
      <w:r>
        <w:rPr>
          <w:b/>
          <w:sz w:val="28"/>
          <w:szCs w:val="28"/>
        </w:rPr>
        <w:tab/>
        <w:t xml:space="preserve">for transition from </w:t>
      </w:r>
      <w:r>
        <w:rPr>
          <w:b/>
          <w:i/>
          <w:sz w:val="28"/>
          <w:szCs w:val="28"/>
        </w:rPr>
        <w:t>Strata Titles Act 1966</w:t>
      </w:r>
      <w:r>
        <w:rPr>
          <w:b/>
          <w:sz w:val="28"/>
          <w:szCs w:val="28"/>
        </w:rPr>
        <w:t xml:space="preserve"> to this Act</w:t>
      </w:r>
    </w:p>
    <w:p>
      <w:pPr>
        <w:pStyle w:val="BlankClose"/>
      </w:pPr>
    </w:p>
    <w:p>
      <w:pPr>
        <w:pStyle w:val="nzSubsection"/>
      </w:pPr>
      <w:r>
        <w:tab/>
        <w:t>(2)</w:t>
      </w:r>
      <w:r>
        <w:tab/>
        <w:t>Delete the reference after the heading to Schedule 3.</w:t>
      </w:r>
    </w:p>
    <w:p>
      <w:pPr>
        <w:pStyle w:val="nzHeading5"/>
      </w:pPr>
      <w:bookmarkStart w:id="2239" w:name="_Toc530474640"/>
      <w:bookmarkStart w:id="2240" w:name="_Toc530475235"/>
      <w:r>
        <w:rPr>
          <w:rStyle w:val="CharSectno"/>
        </w:rPr>
        <w:t>116</w:t>
      </w:r>
      <w:r>
        <w:t>.</w:t>
      </w:r>
      <w:r>
        <w:tab/>
        <w:t>Schedule 4 heading amended</w:t>
      </w:r>
      <w:bookmarkEnd w:id="2239"/>
      <w:bookmarkEnd w:id="2240"/>
    </w:p>
    <w:p>
      <w:pPr>
        <w:pStyle w:val="nzSubsection"/>
      </w:pPr>
      <w:r>
        <w:tab/>
        <w:t>(1)</w:t>
      </w:r>
      <w:r>
        <w:tab/>
        <w:t>In the heading to Schedule 4 after “</w:t>
      </w:r>
      <w:r>
        <w:rPr>
          <w:b/>
          <w:sz w:val="28"/>
          <w:szCs w:val="28"/>
        </w:rPr>
        <w:t>provisions</w:t>
      </w:r>
      <w:r>
        <w:rPr>
          <w:szCs w:val="24"/>
        </w:rPr>
        <w:t>” insert:</w:t>
      </w:r>
    </w:p>
    <w:p>
      <w:pPr>
        <w:pStyle w:val="BlankOpen"/>
      </w:pPr>
    </w:p>
    <w:p>
      <w:pPr>
        <w:pStyle w:val="nzSubsection"/>
      </w:pPr>
      <w:r>
        <w:rPr>
          <w:b/>
          <w:sz w:val="28"/>
          <w:szCs w:val="28"/>
        </w:rPr>
        <w:tab/>
      </w:r>
      <w:r>
        <w:rPr>
          <w:b/>
          <w:sz w:val="28"/>
          <w:szCs w:val="28"/>
        </w:rPr>
        <w:tab/>
        <w:t xml:space="preserve">for the </w:t>
      </w:r>
      <w:r>
        <w:rPr>
          <w:b/>
          <w:i/>
          <w:sz w:val="28"/>
          <w:szCs w:val="28"/>
        </w:rPr>
        <w:t>Strata Titles Amendment Act 1995</w:t>
      </w:r>
      <w:r>
        <w:rPr>
          <w:b/>
          <w:sz w:val="28"/>
          <w:szCs w:val="28"/>
        </w:rPr>
        <w:t xml:space="preserve"> </w:t>
      </w:r>
    </w:p>
    <w:p>
      <w:pPr>
        <w:pStyle w:val="BlankClose"/>
      </w:pPr>
    </w:p>
    <w:p>
      <w:pPr>
        <w:pStyle w:val="nzSubsection"/>
      </w:pPr>
      <w:r>
        <w:tab/>
        <w:t>(2)</w:t>
      </w:r>
      <w:r>
        <w:tab/>
        <w:t>Delete the reference after the heading to Schedule 4.</w:t>
      </w:r>
    </w:p>
    <w:p>
      <w:pPr>
        <w:pStyle w:val="nzHeading3"/>
      </w:pPr>
      <w:bookmarkStart w:id="2241" w:name="_Toc517437842"/>
      <w:bookmarkStart w:id="2242" w:name="_Toc517438384"/>
      <w:bookmarkStart w:id="2243" w:name="_Toc517440721"/>
      <w:bookmarkStart w:id="2244" w:name="_Toc517447758"/>
      <w:bookmarkStart w:id="2245" w:name="_Toc517450236"/>
      <w:bookmarkStart w:id="2246" w:name="_Toc517450778"/>
      <w:bookmarkStart w:id="2247" w:name="_Toc517857234"/>
      <w:bookmarkStart w:id="2248" w:name="_Toc518293361"/>
      <w:bookmarkStart w:id="2249" w:name="_Toc522744589"/>
      <w:bookmarkStart w:id="2250" w:name="_Toc522747712"/>
      <w:bookmarkStart w:id="2251" w:name="_Toc529183550"/>
      <w:bookmarkStart w:id="2252" w:name="_Toc529188313"/>
      <w:bookmarkStart w:id="2253" w:name="_Toc529434826"/>
      <w:bookmarkStart w:id="2254" w:name="_Toc529524717"/>
      <w:bookmarkStart w:id="2255" w:name="_Toc530474641"/>
      <w:bookmarkStart w:id="2256" w:name="_Toc530475236"/>
      <w:r>
        <w:rPr>
          <w:rStyle w:val="CharDivNo"/>
        </w:rPr>
        <w:t>Division 6</w:t>
      </w:r>
      <w:r>
        <w:t> — </w:t>
      </w:r>
      <w:r>
        <w:rPr>
          <w:rStyle w:val="CharDivText"/>
        </w:rPr>
        <w:t>Sections relocated to Schedule 2A</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nzHeading5"/>
      </w:pPr>
      <w:bookmarkStart w:id="2257" w:name="_Toc530474642"/>
      <w:bookmarkStart w:id="2258" w:name="_Toc530475237"/>
      <w:r>
        <w:rPr>
          <w:rStyle w:val="CharSectno"/>
        </w:rPr>
        <w:t>117</w:t>
      </w:r>
      <w:r>
        <w:t>.</w:t>
      </w:r>
      <w:r>
        <w:tab/>
        <w:t>Sections relocated to Schedule 2A</w:t>
      </w:r>
      <w:bookmarkEnd w:id="2257"/>
      <w:bookmarkEnd w:id="2258"/>
    </w:p>
    <w:p>
      <w:pPr>
        <w:pStyle w:val="nzSubsection"/>
      </w:pPr>
      <w:r>
        <w:tab/>
      </w:r>
      <w:r>
        <w:tab/>
        <w:t>The sections listed in column 1 of the Table below are, after their amendment by Part 2 Division 2 of this Act (if relevant), redesignated as clauses of Schedule 2A (as inserted by section 114 of this Act) and relocated (in the order in which they appear in the Table) to the Parts, Divisions and Subdivisions of that Schedule as set out in columns 2 and 4 of the Table.</w:t>
      </w:r>
    </w:p>
    <w:p>
      <w:pPr>
        <w:pStyle w:val="THeading"/>
      </w:pPr>
      <w:r>
        <w:t>Table</w:t>
      </w:r>
    </w:p>
    <w:tbl>
      <w:tblPr>
        <w:tblStyle w:val="TableGrid"/>
        <w:tblW w:w="0" w:type="auto"/>
        <w:tblInd w:w="675" w:type="dxa"/>
        <w:tblLayout w:type="fixed"/>
        <w:tblLook w:val="04A0" w:firstRow="1" w:lastRow="0" w:firstColumn="1" w:lastColumn="0" w:noHBand="0" w:noVBand="1"/>
      </w:tblPr>
      <w:tblGrid>
        <w:gridCol w:w="1127"/>
        <w:gridCol w:w="1610"/>
        <w:gridCol w:w="1918"/>
        <w:gridCol w:w="1866"/>
      </w:tblGrid>
      <w:tr>
        <w:trPr>
          <w:cantSplit/>
          <w:tblHeader/>
        </w:trPr>
        <w:tc>
          <w:tcPr>
            <w:tcW w:w="1127" w:type="dxa"/>
          </w:tcPr>
          <w:p>
            <w:pPr>
              <w:pStyle w:val="TableAm"/>
              <w:jc w:val="center"/>
              <w:rPr>
                <w:b/>
              </w:rPr>
            </w:pPr>
            <w:r>
              <w:rPr>
                <w:b/>
              </w:rPr>
              <w:t>Section number</w:t>
            </w:r>
          </w:p>
        </w:tc>
        <w:tc>
          <w:tcPr>
            <w:tcW w:w="1610" w:type="dxa"/>
          </w:tcPr>
          <w:p>
            <w:pPr>
              <w:pStyle w:val="TableAm"/>
              <w:jc w:val="center"/>
              <w:rPr>
                <w:b/>
              </w:rPr>
            </w:pPr>
            <w:r>
              <w:rPr>
                <w:b/>
              </w:rPr>
              <w:t>Redesignated clause number</w:t>
            </w:r>
          </w:p>
        </w:tc>
        <w:tc>
          <w:tcPr>
            <w:tcW w:w="1918" w:type="dxa"/>
          </w:tcPr>
          <w:p>
            <w:pPr>
              <w:pStyle w:val="TableAm"/>
              <w:jc w:val="center"/>
              <w:rPr>
                <w:b/>
              </w:rPr>
            </w:pPr>
            <w:r>
              <w:rPr>
                <w:b/>
              </w:rPr>
              <w:t>Clause heading</w:t>
            </w:r>
          </w:p>
        </w:tc>
        <w:tc>
          <w:tcPr>
            <w:tcW w:w="1866" w:type="dxa"/>
          </w:tcPr>
          <w:p>
            <w:pPr>
              <w:pStyle w:val="TableAm"/>
              <w:jc w:val="center"/>
              <w:rPr>
                <w:b/>
              </w:rPr>
            </w:pPr>
            <w:r>
              <w:rPr>
                <w:b/>
              </w:rPr>
              <w:t>Relocation of clause</w:t>
            </w:r>
          </w:p>
        </w:tc>
      </w:tr>
      <w:tr>
        <w:trPr>
          <w:cantSplit/>
        </w:trPr>
        <w:tc>
          <w:tcPr>
            <w:tcW w:w="1127" w:type="dxa"/>
          </w:tcPr>
          <w:p>
            <w:pPr>
              <w:pStyle w:val="TableAm"/>
            </w:pPr>
            <w:r>
              <w:t>s. 3A</w:t>
            </w:r>
          </w:p>
        </w:tc>
        <w:tc>
          <w:tcPr>
            <w:tcW w:w="1610" w:type="dxa"/>
          </w:tcPr>
          <w:p>
            <w:pPr>
              <w:pStyle w:val="TableAm"/>
            </w:pPr>
            <w:r>
              <w:t>cl. 3A</w:t>
            </w:r>
          </w:p>
        </w:tc>
        <w:tc>
          <w:tcPr>
            <w:tcW w:w="1918" w:type="dxa"/>
          </w:tcPr>
          <w:p>
            <w:pPr>
              <w:pStyle w:val="TableAm"/>
              <w:rPr>
                <w:b/>
              </w:rPr>
            </w:pPr>
            <w:r>
              <w:rPr>
                <w:b/>
                <w:sz w:val="20"/>
              </w:rPr>
              <w:t>Single tier strata schemes to which clause 3AB applies</w:t>
            </w:r>
          </w:p>
        </w:tc>
        <w:tc>
          <w:tcPr>
            <w:tcW w:w="1866" w:type="dxa"/>
          </w:tcPr>
          <w:p>
            <w:pPr>
              <w:pStyle w:val="TableAm"/>
            </w:pPr>
            <w:r>
              <w:t xml:space="preserve">Schedule 2A </w:t>
            </w:r>
          </w:p>
          <w:p>
            <w:pPr>
              <w:pStyle w:val="TableAm"/>
            </w:pPr>
            <w:r>
              <w:t>Part 2</w:t>
            </w:r>
          </w:p>
        </w:tc>
      </w:tr>
      <w:tr>
        <w:trPr>
          <w:cantSplit/>
        </w:trPr>
        <w:tc>
          <w:tcPr>
            <w:tcW w:w="1127" w:type="dxa"/>
          </w:tcPr>
          <w:p>
            <w:pPr>
              <w:pStyle w:val="TableAm"/>
            </w:pPr>
            <w:r>
              <w:t>s. 3AB</w:t>
            </w:r>
          </w:p>
        </w:tc>
        <w:tc>
          <w:tcPr>
            <w:tcW w:w="1610" w:type="dxa"/>
          </w:tcPr>
          <w:p>
            <w:pPr>
              <w:pStyle w:val="TableAm"/>
            </w:pPr>
            <w:r>
              <w:t>cl. 3AB</w:t>
            </w:r>
          </w:p>
        </w:tc>
        <w:tc>
          <w:tcPr>
            <w:tcW w:w="1918" w:type="dxa"/>
          </w:tcPr>
          <w:p>
            <w:pPr>
              <w:pStyle w:val="TableAm"/>
              <w:rPr>
                <w:b/>
                <w:sz w:val="20"/>
              </w:rPr>
            </w:pPr>
            <w:r>
              <w:rPr>
                <w:b/>
                <w:sz w:val="20"/>
              </w:rPr>
              <w:t>Alternative boundaries for lots in single tier strata schemes</w:t>
            </w:r>
          </w:p>
        </w:tc>
        <w:tc>
          <w:tcPr>
            <w:tcW w:w="1866" w:type="dxa"/>
          </w:tcPr>
          <w:p>
            <w:pPr>
              <w:pStyle w:val="TableAm"/>
            </w:pPr>
            <w:r>
              <w:t>Schedule 2A</w:t>
            </w:r>
          </w:p>
          <w:p>
            <w:pPr>
              <w:pStyle w:val="TableAm"/>
            </w:pPr>
            <w:r>
              <w:t>Part 2</w:t>
            </w:r>
          </w:p>
        </w:tc>
      </w:tr>
      <w:tr>
        <w:trPr>
          <w:cantSplit/>
        </w:trPr>
        <w:tc>
          <w:tcPr>
            <w:tcW w:w="1127" w:type="dxa"/>
          </w:tcPr>
          <w:p>
            <w:pPr>
              <w:pStyle w:val="TableAm"/>
            </w:pPr>
            <w:r>
              <w:t>s. 12A</w:t>
            </w:r>
          </w:p>
        </w:tc>
        <w:tc>
          <w:tcPr>
            <w:tcW w:w="1610" w:type="dxa"/>
          </w:tcPr>
          <w:p>
            <w:pPr>
              <w:pStyle w:val="TableAm"/>
            </w:pPr>
            <w:r>
              <w:t>cl. 12A</w:t>
            </w:r>
          </w:p>
        </w:tc>
        <w:tc>
          <w:tcPr>
            <w:tcW w:w="1918" w:type="dxa"/>
          </w:tcPr>
          <w:p>
            <w:pPr>
              <w:pStyle w:val="TableAm"/>
              <w:rPr>
                <w:b/>
                <w:sz w:val="20"/>
              </w:rPr>
            </w:pPr>
            <w:r>
              <w:rPr>
                <w:b/>
                <w:sz w:val="20"/>
              </w:rPr>
              <w:t>Easement for access for certain work</w:t>
            </w:r>
          </w:p>
        </w:tc>
        <w:tc>
          <w:tcPr>
            <w:tcW w:w="1866" w:type="dxa"/>
          </w:tcPr>
          <w:p>
            <w:pPr>
              <w:pStyle w:val="TableAm"/>
            </w:pPr>
            <w:r>
              <w:t>Schedule 2A</w:t>
            </w:r>
          </w:p>
          <w:p>
            <w:pPr>
              <w:pStyle w:val="TableAm"/>
            </w:pPr>
            <w:r>
              <w:t>Part 3</w:t>
            </w:r>
          </w:p>
        </w:tc>
      </w:tr>
      <w:tr>
        <w:trPr>
          <w:cantSplit/>
        </w:trPr>
        <w:tc>
          <w:tcPr>
            <w:tcW w:w="1127" w:type="dxa"/>
          </w:tcPr>
          <w:p>
            <w:pPr>
              <w:pStyle w:val="TableAm"/>
            </w:pPr>
            <w:r>
              <w:t>s. 21A</w:t>
            </w:r>
          </w:p>
        </w:tc>
        <w:tc>
          <w:tcPr>
            <w:tcW w:w="1610" w:type="dxa"/>
          </w:tcPr>
          <w:p>
            <w:pPr>
              <w:pStyle w:val="TableAm"/>
            </w:pPr>
            <w:r>
              <w:t>cl. 21A</w:t>
            </w:r>
          </w:p>
        </w:tc>
        <w:tc>
          <w:tcPr>
            <w:tcW w:w="1918" w:type="dxa"/>
          </w:tcPr>
          <w:p>
            <w:pPr>
              <w:pStyle w:val="TableAm"/>
              <w:rPr>
                <w:b/>
                <w:sz w:val="20"/>
              </w:rPr>
            </w:pPr>
            <w:r>
              <w:rPr>
                <w:b/>
                <w:sz w:val="20"/>
              </w:rPr>
              <w:t>Term used: existing small strata scheme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21B</w:t>
            </w:r>
          </w:p>
        </w:tc>
        <w:tc>
          <w:tcPr>
            <w:tcW w:w="1610" w:type="dxa"/>
          </w:tcPr>
          <w:p>
            <w:pPr>
              <w:pStyle w:val="TableAm"/>
            </w:pPr>
            <w:r>
              <w:t>cl. 21B</w:t>
            </w:r>
          </w:p>
        </w:tc>
        <w:tc>
          <w:tcPr>
            <w:tcW w:w="1918" w:type="dxa"/>
          </w:tcPr>
          <w:p>
            <w:pPr>
              <w:pStyle w:val="TableAm"/>
              <w:rPr>
                <w:b/>
                <w:sz w:val="20"/>
              </w:rPr>
            </w:pPr>
            <w:r>
              <w:rPr>
                <w:b/>
                <w:sz w:val="20"/>
              </w:rPr>
              <w:t>Division only applies to single tier strata schemes</w:t>
            </w:r>
          </w:p>
        </w:tc>
        <w:tc>
          <w:tcPr>
            <w:tcW w:w="1866" w:type="dxa"/>
          </w:tcPr>
          <w:p>
            <w:pPr>
              <w:pStyle w:val="TableAm"/>
            </w:pPr>
            <w:r>
              <w:t xml:space="preserve">Schedule 2A </w:t>
            </w:r>
          </w:p>
          <w:p>
            <w:pPr>
              <w:pStyle w:val="TableAm"/>
            </w:pPr>
            <w:r>
              <w:t>Part 4 Division 1</w:t>
            </w:r>
          </w:p>
          <w:p>
            <w:pPr>
              <w:pStyle w:val="TableAm"/>
            </w:pPr>
            <w:r>
              <w:t>Subdivision 1</w:t>
            </w:r>
          </w:p>
        </w:tc>
      </w:tr>
      <w:tr>
        <w:trPr>
          <w:cantSplit/>
        </w:trPr>
        <w:tc>
          <w:tcPr>
            <w:tcW w:w="1127" w:type="dxa"/>
          </w:tcPr>
          <w:p>
            <w:pPr>
              <w:pStyle w:val="TableAm"/>
            </w:pPr>
            <w:r>
              <w:t>s. 21C</w:t>
            </w:r>
          </w:p>
        </w:tc>
        <w:tc>
          <w:tcPr>
            <w:tcW w:w="1610" w:type="dxa"/>
          </w:tcPr>
          <w:p>
            <w:pPr>
              <w:pStyle w:val="TableAm"/>
            </w:pPr>
            <w:r>
              <w:t>cl. 21C</w:t>
            </w:r>
          </w:p>
        </w:tc>
        <w:tc>
          <w:tcPr>
            <w:tcW w:w="1918" w:type="dxa"/>
          </w:tcPr>
          <w:p>
            <w:pPr>
              <w:pStyle w:val="TableAm"/>
              <w:rPr>
                <w:b/>
                <w:sz w:val="20"/>
              </w:rPr>
            </w:pPr>
            <w:r>
              <w:rPr>
                <w:b/>
                <w:sz w:val="20"/>
              </w:rPr>
              <w:t>Procedures cannot be invoked more than once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21D</w:t>
            </w:r>
          </w:p>
        </w:tc>
        <w:tc>
          <w:tcPr>
            <w:tcW w:w="1610" w:type="dxa"/>
          </w:tcPr>
          <w:p>
            <w:pPr>
              <w:pStyle w:val="TableAm"/>
            </w:pPr>
            <w:r>
              <w:t>cl. 21D</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21E</w:t>
            </w:r>
          </w:p>
        </w:tc>
        <w:tc>
          <w:tcPr>
            <w:tcW w:w="1610" w:type="dxa"/>
          </w:tcPr>
          <w:p>
            <w:pPr>
              <w:pStyle w:val="TableAm"/>
            </w:pPr>
            <w:r>
              <w:t>cl. 21E</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21F</w:t>
            </w:r>
          </w:p>
        </w:tc>
        <w:tc>
          <w:tcPr>
            <w:tcW w:w="1610" w:type="dxa"/>
          </w:tcPr>
          <w:p>
            <w:pPr>
              <w:pStyle w:val="TableAm"/>
            </w:pPr>
            <w:r>
              <w:t>cl. 21F</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21G</w:t>
            </w:r>
          </w:p>
        </w:tc>
        <w:tc>
          <w:tcPr>
            <w:tcW w:w="1610" w:type="dxa"/>
          </w:tcPr>
          <w:p>
            <w:pPr>
              <w:pStyle w:val="TableAm"/>
            </w:pPr>
            <w:r>
              <w:t>cl. 21G</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21H</w:t>
            </w:r>
          </w:p>
        </w:tc>
        <w:tc>
          <w:tcPr>
            <w:tcW w:w="1610" w:type="dxa"/>
          </w:tcPr>
          <w:p>
            <w:pPr>
              <w:pStyle w:val="TableAm"/>
            </w:pPr>
            <w:r>
              <w:t>cl. 21H</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21I</w:t>
            </w:r>
          </w:p>
        </w:tc>
        <w:tc>
          <w:tcPr>
            <w:tcW w:w="1610" w:type="dxa"/>
          </w:tcPr>
          <w:p>
            <w:pPr>
              <w:pStyle w:val="TableAm"/>
            </w:pPr>
            <w:r>
              <w:t>cl. 21I</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21J</w:t>
            </w:r>
          </w:p>
        </w:tc>
        <w:tc>
          <w:tcPr>
            <w:tcW w:w="1610" w:type="dxa"/>
          </w:tcPr>
          <w:p>
            <w:pPr>
              <w:pStyle w:val="TableAm"/>
            </w:pPr>
            <w:r>
              <w:t>cl. 21J</w:t>
            </w:r>
          </w:p>
        </w:tc>
        <w:tc>
          <w:tcPr>
            <w:tcW w:w="1918" w:type="dxa"/>
          </w:tcPr>
          <w:p>
            <w:pPr>
              <w:pStyle w:val="TableAm"/>
              <w:rPr>
                <w:b/>
                <w:sz w:val="20"/>
              </w:rPr>
            </w:pPr>
            <w:r>
              <w:rPr>
                <w:b/>
                <w:sz w:val="20"/>
              </w:rPr>
              <w:t>Registrar of Titles to amend strata plan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21P</w:t>
            </w:r>
          </w:p>
        </w:tc>
        <w:tc>
          <w:tcPr>
            <w:tcW w:w="1610" w:type="dxa"/>
          </w:tcPr>
          <w:p>
            <w:pPr>
              <w:pStyle w:val="TableAm"/>
            </w:pPr>
            <w:r>
              <w:t>cl. 21P</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21Q</w:t>
            </w:r>
          </w:p>
        </w:tc>
        <w:tc>
          <w:tcPr>
            <w:tcW w:w="1610" w:type="dxa"/>
          </w:tcPr>
          <w:p>
            <w:pPr>
              <w:pStyle w:val="TableAm"/>
            </w:pPr>
            <w:r>
              <w:t>cl. 21Q</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21R</w:t>
            </w:r>
          </w:p>
        </w:tc>
        <w:tc>
          <w:tcPr>
            <w:tcW w:w="1610" w:type="dxa"/>
          </w:tcPr>
          <w:p>
            <w:pPr>
              <w:pStyle w:val="TableAm"/>
            </w:pPr>
            <w:r>
              <w:t>cl. 21R</w:t>
            </w:r>
          </w:p>
        </w:tc>
        <w:tc>
          <w:tcPr>
            <w:tcW w:w="1918" w:type="dxa"/>
          </w:tcPr>
          <w:p>
            <w:pPr>
              <w:pStyle w:val="TableAm"/>
              <w:rPr>
                <w:b/>
                <w:sz w:val="20"/>
              </w:rPr>
            </w:pPr>
            <w:r>
              <w:rPr>
                <w:b/>
                <w:sz w:val="20"/>
              </w:rPr>
              <w:t>Further provisions as to contents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21S</w:t>
            </w:r>
          </w:p>
        </w:tc>
        <w:tc>
          <w:tcPr>
            <w:tcW w:w="1610" w:type="dxa"/>
          </w:tcPr>
          <w:p>
            <w:pPr>
              <w:pStyle w:val="TableAm"/>
            </w:pPr>
            <w:r>
              <w:t>cl. 21S</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21T</w:t>
            </w:r>
          </w:p>
        </w:tc>
        <w:tc>
          <w:tcPr>
            <w:tcW w:w="1610" w:type="dxa"/>
          </w:tcPr>
          <w:p>
            <w:pPr>
              <w:pStyle w:val="TableAm"/>
            </w:pPr>
            <w:r>
              <w:t>cl. 21T</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21U</w:t>
            </w:r>
          </w:p>
        </w:tc>
        <w:tc>
          <w:tcPr>
            <w:tcW w:w="1610" w:type="dxa"/>
          </w:tcPr>
          <w:p>
            <w:pPr>
              <w:pStyle w:val="TableAm"/>
            </w:pPr>
            <w:r>
              <w:t>cl. 21U</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21V</w:t>
            </w:r>
          </w:p>
        </w:tc>
        <w:tc>
          <w:tcPr>
            <w:tcW w:w="1610" w:type="dxa"/>
          </w:tcPr>
          <w:p>
            <w:pPr>
              <w:pStyle w:val="TableAm"/>
            </w:pPr>
            <w:r>
              <w:t>cl. 21V</w:t>
            </w:r>
          </w:p>
        </w:tc>
        <w:tc>
          <w:tcPr>
            <w:tcW w:w="1918" w:type="dxa"/>
          </w:tcPr>
          <w:p>
            <w:pPr>
              <w:pStyle w:val="TableAm"/>
              <w:rPr>
                <w:b/>
                <w:sz w:val="20"/>
              </w:rPr>
            </w:pPr>
            <w:r>
              <w:rPr>
                <w:b/>
                <w:sz w:val="20"/>
              </w:rPr>
              <w:t>Transfers etc. to give effect to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21W</w:t>
            </w:r>
          </w:p>
        </w:tc>
        <w:tc>
          <w:tcPr>
            <w:tcW w:w="1610" w:type="dxa"/>
          </w:tcPr>
          <w:p>
            <w:pPr>
              <w:pStyle w:val="TableAm"/>
            </w:pPr>
            <w:r>
              <w:t>cl. 21W</w:t>
            </w:r>
          </w:p>
        </w:tc>
        <w:tc>
          <w:tcPr>
            <w:tcW w:w="1918" w:type="dxa"/>
          </w:tcPr>
          <w:p>
            <w:pPr>
              <w:pStyle w:val="TableAm"/>
              <w:rPr>
                <w:b/>
                <w:sz w:val="20"/>
              </w:rPr>
            </w:pPr>
            <w:r>
              <w:rPr>
                <w:b/>
                <w:sz w:val="20"/>
              </w:rPr>
              <w:t>Creation of easements for parking etc.</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21X</w:t>
            </w:r>
          </w:p>
        </w:tc>
        <w:tc>
          <w:tcPr>
            <w:tcW w:w="1610" w:type="dxa"/>
          </w:tcPr>
          <w:p>
            <w:pPr>
              <w:pStyle w:val="TableAm"/>
            </w:pPr>
            <w:r>
              <w:t>cl. 21X</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21Y</w:t>
            </w:r>
          </w:p>
        </w:tc>
        <w:tc>
          <w:tcPr>
            <w:tcW w:w="1610" w:type="dxa"/>
          </w:tcPr>
          <w:p>
            <w:pPr>
              <w:pStyle w:val="TableAm"/>
            </w:pPr>
            <w:r>
              <w:t>cl. 21Y</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21Z</w:t>
            </w:r>
          </w:p>
        </w:tc>
        <w:tc>
          <w:tcPr>
            <w:tcW w:w="1610" w:type="dxa"/>
          </w:tcPr>
          <w:p>
            <w:pPr>
              <w:pStyle w:val="TableAm"/>
            </w:pPr>
            <w:r>
              <w:t>cl. 21Z</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31A</w:t>
            </w:r>
          </w:p>
        </w:tc>
        <w:tc>
          <w:tcPr>
            <w:tcW w:w="1610" w:type="dxa"/>
          </w:tcPr>
          <w:p>
            <w:pPr>
              <w:pStyle w:val="TableAm"/>
            </w:pPr>
            <w:r>
              <w:t>cl. 31A</w:t>
            </w:r>
          </w:p>
        </w:tc>
        <w:tc>
          <w:tcPr>
            <w:tcW w:w="1918" w:type="dxa"/>
          </w:tcPr>
          <w:p>
            <w:pPr>
              <w:pStyle w:val="TableAm"/>
              <w:rPr>
                <w:b/>
                <w:sz w:val="20"/>
              </w:rPr>
            </w:pPr>
            <w:r>
              <w:rPr>
                <w:b/>
                <w:sz w:val="20"/>
              </w:rPr>
              <w:t>Division only applies to single tier strata schemes registered before 1 January 1998</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31B</w:t>
            </w:r>
          </w:p>
        </w:tc>
        <w:tc>
          <w:tcPr>
            <w:tcW w:w="1610" w:type="dxa"/>
          </w:tcPr>
          <w:p>
            <w:pPr>
              <w:pStyle w:val="TableAm"/>
            </w:pPr>
            <w:r>
              <w:t>cl. 31B</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31C</w:t>
            </w:r>
          </w:p>
        </w:tc>
        <w:tc>
          <w:tcPr>
            <w:tcW w:w="1610" w:type="dxa"/>
          </w:tcPr>
          <w:p>
            <w:pPr>
              <w:pStyle w:val="TableAm"/>
            </w:pPr>
            <w:r>
              <w:t>cl. 31C</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31D</w:t>
            </w:r>
          </w:p>
        </w:tc>
        <w:tc>
          <w:tcPr>
            <w:tcW w:w="1610" w:type="dxa"/>
          </w:tcPr>
          <w:p>
            <w:pPr>
              <w:pStyle w:val="TableAm"/>
            </w:pPr>
            <w:r>
              <w:t>cl. 31D</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31E</w:t>
            </w:r>
          </w:p>
        </w:tc>
        <w:tc>
          <w:tcPr>
            <w:tcW w:w="1610" w:type="dxa"/>
          </w:tcPr>
          <w:p>
            <w:pPr>
              <w:pStyle w:val="TableAm"/>
            </w:pPr>
            <w:r>
              <w:t>cl. 31E</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31F</w:t>
            </w:r>
          </w:p>
        </w:tc>
        <w:tc>
          <w:tcPr>
            <w:tcW w:w="1610" w:type="dxa"/>
          </w:tcPr>
          <w:p>
            <w:pPr>
              <w:pStyle w:val="TableAm"/>
            </w:pPr>
            <w:r>
              <w:t>cl. 31F</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31G</w:t>
            </w:r>
          </w:p>
        </w:tc>
        <w:tc>
          <w:tcPr>
            <w:tcW w:w="1610" w:type="dxa"/>
          </w:tcPr>
          <w:p>
            <w:pPr>
              <w:pStyle w:val="TableAm"/>
            </w:pPr>
            <w:r>
              <w:t>cl. 31G</w:t>
            </w:r>
          </w:p>
        </w:tc>
        <w:tc>
          <w:tcPr>
            <w:tcW w:w="1918" w:type="dxa"/>
          </w:tcPr>
          <w:p>
            <w:pPr>
              <w:pStyle w:val="TableAm"/>
              <w:rPr>
                <w:b/>
                <w:sz w:val="20"/>
              </w:rPr>
            </w:pPr>
            <w:r>
              <w:rPr>
                <w:b/>
                <w:sz w:val="20"/>
              </w:rPr>
              <w:t>Creation of easements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31H</w:t>
            </w:r>
          </w:p>
        </w:tc>
        <w:tc>
          <w:tcPr>
            <w:tcW w:w="1610" w:type="dxa"/>
          </w:tcPr>
          <w:p>
            <w:pPr>
              <w:pStyle w:val="TableAm"/>
            </w:pPr>
            <w:r>
              <w:t>cl. 31H</w:t>
            </w:r>
          </w:p>
        </w:tc>
        <w:tc>
          <w:tcPr>
            <w:tcW w:w="1918" w:type="dxa"/>
          </w:tcPr>
          <w:p>
            <w:pPr>
              <w:pStyle w:val="TableAm"/>
              <w:rPr>
                <w:b/>
                <w:sz w:val="20"/>
              </w:rPr>
            </w:pPr>
            <w:r>
              <w:rPr>
                <w:b/>
                <w:sz w:val="20"/>
              </w:rPr>
              <w:t>Transfers etc. to give effect to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31I</w:t>
            </w:r>
          </w:p>
        </w:tc>
        <w:tc>
          <w:tcPr>
            <w:tcW w:w="1610" w:type="dxa"/>
          </w:tcPr>
          <w:p>
            <w:pPr>
              <w:pStyle w:val="TableAm"/>
            </w:pPr>
            <w:r>
              <w:t>cl. 31I</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31J</w:t>
            </w:r>
          </w:p>
        </w:tc>
        <w:tc>
          <w:tcPr>
            <w:tcW w:w="1610" w:type="dxa"/>
          </w:tcPr>
          <w:p>
            <w:pPr>
              <w:pStyle w:val="TableAm"/>
            </w:pPr>
            <w:r>
              <w:t>cl. 31J</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31K</w:t>
            </w:r>
          </w:p>
        </w:tc>
        <w:tc>
          <w:tcPr>
            <w:tcW w:w="1610" w:type="dxa"/>
          </w:tcPr>
          <w:p>
            <w:pPr>
              <w:pStyle w:val="TableAm"/>
            </w:pPr>
            <w:r>
              <w:t>cl. 31K</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53A</w:t>
            </w:r>
          </w:p>
        </w:tc>
        <w:tc>
          <w:tcPr>
            <w:tcW w:w="1610" w:type="dxa"/>
          </w:tcPr>
          <w:p>
            <w:pPr>
              <w:pStyle w:val="TableAm"/>
            </w:pPr>
            <w:r>
              <w:t>cl. 53A</w:t>
            </w:r>
          </w:p>
        </w:tc>
        <w:tc>
          <w:tcPr>
            <w:tcW w:w="1918" w:type="dxa"/>
          </w:tcPr>
          <w:p>
            <w:pPr>
              <w:pStyle w:val="TableAm"/>
              <w:rPr>
                <w:b/>
                <w:sz w:val="20"/>
              </w:rPr>
            </w:pPr>
            <w:r>
              <w:rPr>
                <w:b/>
                <w:sz w:val="20"/>
              </w:rPr>
              <w:t>References in this Part</w:t>
            </w:r>
          </w:p>
        </w:tc>
        <w:tc>
          <w:tcPr>
            <w:tcW w:w="1866" w:type="dxa"/>
          </w:tcPr>
          <w:p>
            <w:pPr>
              <w:pStyle w:val="TableAm"/>
            </w:pPr>
            <w:r>
              <w:t>Schedule 2A</w:t>
            </w:r>
          </w:p>
          <w:p>
            <w:pPr>
              <w:pStyle w:val="TableAm"/>
            </w:pPr>
            <w:r>
              <w:t>Part 5</w:t>
            </w:r>
          </w:p>
        </w:tc>
      </w:tr>
      <w:tr>
        <w:trPr>
          <w:cantSplit/>
        </w:trPr>
        <w:tc>
          <w:tcPr>
            <w:tcW w:w="1127" w:type="dxa"/>
          </w:tcPr>
          <w:p>
            <w:pPr>
              <w:pStyle w:val="TableAm"/>
            </w:pPr>
            <w:r>
              <w:t>s. 53B</w:t>
            </w:r>
          </w:p>
        </w:tc>
        <w:tc>
          <w:tcPr>
            <w:tcW w:w="1610" w:type="dxa"/>
          </w:tcPr>
          <w:p>
            <w:pPr>
              <w:pStyle w:val="TableAm"/>
            </w:pPr>
            <w:r>
              <w:t>cl. 53B</w:t>
            </w:r>
          </w:p>
        </w:tc>
        <w:tc>
          <w:tcPr>
            <w:tcW w:w="1918" w:type="dxa"/>
          </w:tcPr>
          <w:p>
            <w:pPr>
              <w:pStyle w:val="TableAm"/>
              <w:rPr>
                <w:b/>
                <w:sz w:val="20"/>
              </w:rPr>
            </w:pPr>
            <w:r>
              <w:rPr>
                <w:b/>
                <w:sz w:val="20"/>
              </w:rPr>
              <w:t>Insurance for lots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53C</w:t>
            </w:r>
          </w:p>
        </w:tc>
        <w:tc>
          <w:tcPr>
            <w:tcW w:w="1610" w:type="dxa"/>
          </w:tcPr>
          <w:p>
            <w:pPr>
              <w:pStyle w:val="TableAm"/>
            </w:pPr>
            <w:r>
              <w:t>cl. 53C</w:t>
            </w:r>
          </w:p>
        </w:tc>
        <w:tc>
          <w:tcPr>
            <w:tcW w:w="1918" w:type="dxa"/>
          </w:tcPr>
          <w:p>
            <w:pPr>
              <w:pStyle w:val="TableAm"/>
              <w:rPr>
                <w:b/>
                <w:sz w:val="20"/>
              </w:rPr>
            </w:pPr>
            <w:r>
              <w:rPr>
                <w:b/>
                <w:sz w:val="20"/>
              </w:rPr>
              <w:t>Insurance for common property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53D</w:t>
            </w:r>
          </w:p>
        </w:tc>
        <w:tc>
          <w:tcPr>
            <w:tcW w:w="1610" w:type="dxa"/>
          </w:tcPr>
          <w:p>
            <w:pPr>
              <w:pStyle w:val="TableAm"/>
            </w:pPr>
            <w:r>
              <w:t>cl. 53D</w:t>
            </w:r>
          </w:p>
        </w:tc>
        <w:tc>
          <w:tcPr>
            <w:tcW w:w="1918" w:type="dxa"/>
          </w:tcPr>
          <w:p>
            <w:pPr>
              <w:pStyle w:val="TableAm"/>
              <w:rPr>
                <w:b/>
                <w:sz w:val="20"/>
              </w:rPr>
            </w:pPr>
            <w:r>
              <w:rPr>
                <w:b/>
                <w:sz w:val="20"/>
              </w:rPr>
              <w:t>Strata company’s obligations if it has insurance function in single tier strata scheme</w:t>
            </w:r>
          </w:p>
        </w:tc>
        <w:tc>
          <w:tcPr>
            <w:tcW w:w="1866" w:type="dxa"/>
          </w:tcPr>
          <w:p>
            <w:pPr>
              <w:pStyle w:val="TableAm"/>
            </w:pPr>
            <w:r>
              <w:t>Schedule 2A</w:t>
            </w:r>
          </w:p>
          <w:p>
            <w:pPr>
              <w:pStyle w:val="TableAm"/>
            </w:pPr>
            <w:r>
              <w:t>Part 5</w:t>
            </w:r>
          </w:p>
        </w:tc>
      </w:tr>
      <w:tr>
        <w:trPr>
          <w:cantSplit/>
        </w:trPr>
        <w:tc>
          <w:tcPr>
            <w:tcW w:w="1127" w:type="dxa"/>
          </w:tcPr>
          <w:p>
            <w:pPr>
              <w:pStyle w:val="TableAm"/>
            </w:pPr>
            <w:r>
              <w:t>s. 53E</w:t>
            </w:r>
          </w:p>
        </w:tc>
        <w:tc>
          <w:tcPr>
            <w:tcW w:w="1610" w:type="dxa"/>
          </w:tcPr>
          <w:p>
            <w:pPr>
              <w:pStyle w:val="TableAm"/>
            </w:pPr>
            <w:r>
              <w:t>cl. 53E</w:t>
            </w:r>
          </w:p>
        </w:tc>
        <w:tc>
          <w:tcPr>
            <w:tcW w:w="1918" w:type="dxa"/>
          </w:tcPr>
          <w:p>
            <w:pPr>
              <w:pStyle w:val="TableAm"/>
              <w:rPr>
                <w:b/>
                <w:sz w:val="20"/>
              </w:rPr>
            </w:pPr>
            <w:r>
              <w:rPr>
                <w:b/>
                <w:sz w:val="20"/>
              </w:rPr>
              <w:t>Recovery of premium by strata company or owner if no administrative fund in single tier strata schemes</w:t>
            </w:r>
          </w:p>
        </w:tc>
        <w:tc>
          <w:tcPr>
            <w:tcW w:w="1866" w:type="dxa"/>
          </w:tcPr>
          <w:p>
            <w:pPr>
              <w:pStyle w:val="TableAm"/>
            </w:pPr>
            <w:r>
              <w:t>Schedule 2A</w:t>
            </w:r>
          </w:p>
          <w:p>
            <w:pPr>
              <w:pStyle w:val="TableAm"/>
            </w:pPr>
            <w:r>
              <w:t>Part 5</w:t>
            </w:r>
          </w:p>
        </w:tc>
      </w:tr>
    </w:tbl>
    <w:p>
      <w:pPr>
        <w:pStyle w:val="nzHeading5"/>
      </w:pPr>
      <w:bookmarkStart w:id="2259" w:name="_Toc530474643"/>
      <w:bookmarkStart w:id="2260" w:name="_Toc530475238"/>
      <w:r>
        <w:rPr>
          <w:rStyle w:val="CharSectno"/>
        </w:rPr>
        <w:t>118</w:t>
      </w:r>
      <w:r>
        <w:t>.</w:t>
      </w:r>
      <w:r>
        <w:tab/>
        <w:t>References to redesignated provisions in other laws or other documents</w:t>
      </w:r>
      <w:bookmarkEnd w:id="2259"/>
      <w:bookmarkEnd w:id="2260"/>
    </w:p>
    <w:p>
      <w:pPr>
        <w:pStyle w:val="nzSubsection"/>
      </w:pPr>
      <w:r>
        <w:tab/>
      </w:r>
      <w:r>
        <w:tab/>
        <w:t>A reference in another law or another document to a provision redesignated under this Division is a reference to the provision as redesignated unless the contrary intention appears.</w:t>
      </w:r>
    </w:p>
    <w:p>
      <w:pPr>
        <w:pStyle w:val="nzHeading3"/>
      </w:pPr>
      <w:bookmarkStart w:id="2261" w:name="_Toc517437845"/>
      <w:bookmarkStart w:id="2262" w:name="_Toc517438387"/>
      <w:bookmarkStart w:id="2263" w:name="_Toc517440724"/>
      <w:bookmarkStart w:id="2264" w:name="_Toc517447761"/>
      <w:bookmarkStart w:id="2265" w:name="_Toc517450239"/>
      <w:bookmarkStart w:id="2266" w:name="_Toc517450781"/>
      <w:bookmarkStart w:id="2267" w:name="_Toc517857237"/>
      <w:bookmarkStart w:id="2268" w:name="_Toc518293364"/>
      <w:bookmarkStart w:id="2269" w:name="_Toc522744592"/>
      <w:bookmarkStart w:id="2270" w:name="_Toc522747715"/>
      <w:bookmarkStart w:id="2271" w:name="_Toc529183553"/>
      <w:bookmarkStart w:id="2272" w:name="_Toc529188316"/>
      <w:bookmarkStart w:id="2273" w:name="_Toc529434829"/>
      <w:bookmarkStart w:id="2274" w:name="_Toc529524720"/>
      <w:bookmarkStart w:id="2275" w:name="_Toc530474644"/>
      <w:bookmarkStart w:id="2276" w:name="_Toc530475239"/>
      <w:r>
        <w:rPr>
          <w:rStyle w:val="CharDivNo"/>
        </w:rPr>
        <w:t>Division 7</w:t>
      </w:r>
      <w:r>
        <w:t> — </w:t>
      </w:r>
      <w:r>
        <w:rPr>
          <w:rStyle w:val="CharDivText"/>
        </w:rPr>
        <w:t>Insertion of transitional provisions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nzHeading5"/>
      </w:pPr>
      <w:bookmarkStart w:id="2277" w:name="_Toc530474645"/>
      <w:bookmarkStart w:id="2278" w:name="_Toc530475240"/>
      <w:r>
        <w:rPr>
          <w:rStyle w:val="CharSectno"/>
        </w:rPr>
        <w:t>119</w:t>
      </w:r>
      <w:r>
        <w:t>.</w:t>
      </w:r>
      <w:r>
        <w:tab/>
        <w:t>Schedule 5 inserted</w:t>
      </w:r>
      <w:bookmarkEnd w:id="2277"/>
      <w:bookmarkEnd w:id="2278"/>
    </w:p>
    <w:p>
      <w:pPr>
        <w:pStyle w:val="nzSubsection"/>
      </w:pPr>
      <w:r>
        <w:tab/>
      </w:r>
      <w:r>
        <w:tab/>
        <w:t>After Schedule 4 insert:</w:t>
      </w:r>
    </w:p>
    <w:p>
      <w:pPr>
        <w:pStyle w:val="BlankOpen"/>
      </w:pPr>
    </w:p>
    <w:p>
      <w:pPr>
        <w:pStyle w:val="nzHeading2"/>
      </w:pPr>
      <w:bookmarkStart w:id="2279" w:name="_Toc517437847"/>
      <w:bookmarkStart w:id="2280" w:name="_Toc517438389"/>
      <w:bookmarkStart w:id="2281" w:name="_Toc517440726"/>
      <w:bookmarkStart w:id="2282" w:name="_Toc517447763"/>
      <w:bookmarkStart w:id="2283" w:name="_Toc517450241"/>
      <w:bookmarkStart w:id="2284" w:name="_Toc517450783"/>
      <w:bookmarkStart w:id="2285" w:name="_Toc517857239"/>
      <w:bookmarkStart w:id="2286" w:name="_Toc518293366"/>
      <w:bookmarkStart w:id="2287" w:name="_Toc522744594"/>
      <w:bookmarkStart w:id="2288" w:name="_Toc522747717"/>
      <w:bookmarkStart w:id="2289" w:name="_Toc529183555"/>
      <w:bookmarkStart w:id="2290" w:name="_Toc529188318"/>
      <w:bookmarkStart w:id="2291" w:name="_Toc529434831"/>
      <w:bookmarkStart w:id="2292" w:name="_Toc529524722"/>
      <w:bookmarkStart w:id="2293" w:name="_Toc530474646"/>
      <w:bookmarkStart w:id="2294" w:name="_Toc530475241"/>
      <w:r>
        <w:t xml:space="preserve">Schedule 5 — Transitional provisions for </w:t>
      </w:r>
      <w:r>
        <w:rPr>
          <w:i/>
        </w:rPr>
        <w:t>Strata Titles Amendment Act 2018</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nzHeading5"/>
        <w:rPr>
          <w:snapToGrid w:val="0"/>
        </w:rPr>
      </w:pPr>
      <w:bookmarkStart w:id="2295" w:name="_Toc530474647"/>
      <w:bookmarkStart w:id="2296" w:name="_Toc530475242"/>
      <w:r>
        <w:rPr>
          <w:snapToGrid w:val="0"/>
        </w:rPr>
        <w:t>1.</w:t>
      </w:r>
      <w:r>
        <w:rPr>
          <w:snapToGrid w:val="0"/>
        </w:rPr>
        <w:tab/>
        <w:t>Terms used</w:t>
      </w:r>
      <w:bookmarkEnd w:id="2295"/>
      <w:bookmarkEnd w:id="2296"/>
    </w:p>
    <w:p>
      <w:pPr>
        <w:pStyle w:val="nzSubsection"/>
        <w:rPr>
          <w:snapToGrid w:val="0"/>
        </w:rPr>
      </w:pPr>
      <w:r>
        <w:rPr>
          <w:snapToGrid w:val="0"/>
        </w:rPr>
        <w:tab/>
      </w:r>
      <w:r>
        <w:rPr>
          <w:snapToGrid w:val="0"/>
        </w:rPr>
        <w:tab/>
        <w:t>In this Schedule —</w:t>
      </w:r>
    </w:p>
    <w:p>
      <w:pPr>
        <w:pStyle w:val="nzDefstart"/>
        <w:rPr>
          <w:rStyle w:val="CharDefText"/>
          <w:b w:val="0"/>
        </w:rPr>
      </w:pPr>
      <w:r>
        <w:tab/>
      </w:r>
      <w:r>
        <w:rPr>
          <w:rStyle w:val="CharDefText"/>
        </w:rPr>
        <w:t>amending Act means the Strata Titles Amendment Act 2018;</w:t>
      </w:r>
    </w:p>
    <w:p>
      <w:pPr>
        <w:pStyle w:val="nzDefstart"/>
      </w:pPr>
      <w:r>
        <w:tab/>
      </w:r>
      <w:r>
        <w:rPr>
          <w:rStyle w:val="CharDefText"/>
        </w:rPr>
        <w:t>commencement day</w:t>
      </w:r>
      <w:r>
        <w:t xml:space="preserve"> means the day on which section 4 of the amending Act comes into operation.</w:t>
      </w:r>
    </w:p>
    <w:p>
      <w:pPr>
        <w:pStyle w:val="nzHeading5"/>
      </w:pPr>
      <w:bookmarkStart w:id="2297" w:name="_Toc530474648"/>
      <w:bookmarkStart w:id="2298" w:name="_Toc530475243"/>
      <w:r>
        <w:t>2.</w:t>
      </w:r>
      <w:r>
        <w:tab/>
        <w:t>Continuance of strata titles schemes</w:t>
      </w:r>
      <w:bookmarkEnd w:id="2297"/>
      <w:bookmarkEnd w:id="2298"/>
    </w:p>
    <w:p>
      <w:pPr>
        <w:pStyle w:val="nzSubsection"/>
      </w:pPr>
      <w:r>
        <w:tab/>
        <w:t>(1)</w:t>
      </w:r>
      <w:r>
        <w:tab/>
        <w:t>The coming into operation of the amending Act does not affect the continued existence of the following —</w:t>
      </w:r>
    </w:p>
    <w:p>
      <w:pPr>
        <w:pStyle w:val="nzIndenta"/>
      </w:pPr>
      <w:r>
        <w:tab/>
        <w:t>(a)</w:t>
      </w:r>
      <w:r>
        <w:tab/>
        <w:t>a strata scheme or survey</w:t>
      </w:r>
      <w:r>
        <w:noBreakHyphen/>
        <w:t>strata scheme;</w:t>
      </w:r>
    </w:p>
    <w:p>
      <w:pPr>
        <w:pStyle w:val="nzIndenta"/>
      </w:pPr>
      <w:r>
        <w:tab/>
        <w:t>(b)</w:t>
      </w:r>
      <w:r>
        <w:tab/>
        <w:t>a lot or common property in a strata scheme or survey</w:t>
      </w:r>
      <w:r>
        <w:noBreakHyphen/>
        <w:t>strata scheme;</w:t>
      </w:r>
    </w:p>
    <w:p>
      <w:pPr>
        <w:pStyle w:val="nzIndenta"/>
      </w:pPr>
      <w:r>
        <w:tab/>
        <w:t>(c)</w:t>
      </w:r>
      <w:r>
        <w:tab/>
        <w:t>an estate or interest in a lot or common property in a strata scheme or survey</w:t>
      </w:r>
      <w:r>
        <w:noBreakHyphen/>
        <w:t>strata scheme;</w:t>
      </w:r>
    </w:p>
    <w:p>
      <w:pPr>
        <w:pStyle w:val="nzIndenta"/>
      </w:pPr>
      <w:r>
        <w:tab/>
        <w:t>(d)</w:t>
      </w:r>
      <w:r>
        <w:tab/>
        <w:t>a strata company, its council or its officers.</w:t>
      </w:r>
    </w:p>
    <w:p>
      <w:pPr>
        <w:pStyle w:val="nz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nz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nzHeading5"/>
      </w:pPr>
      <w:bookmarkStart w:id="2299" w:name="_Toc530474649"/>
      <w:bookmarkStart w:id="2300" w:name="_Toc530475244"/>
      <w:r>
        <w:t>3.</w:t>
      </w:r>
      <w:r>
        <w:tab/>
        <w:t>Scheme notice</w:t>
      </w:r>
      <w:bookmarkEnd w:id="2299"/>
      <w:bookmarkEnd w:id="2300"/>
    </w:p>
    <w:p>
      <w:pPr>
        <w:pStyle w:val="nzSubsection"/>
      </w:pPr>
      <w:r>
        <w:tab/>
      </w:r>
      <w:r>
        <w:tab/>
        <w:t>The name of a strata titles scheme and the address for service of a strata company remains as it is immediately before commencement day and may be amended as if specified in a scheme notice.</w:t>
      </w:r>
    </w:p>
    <w:p>
      <w:pPr>
        <w:pStyle w:val="nzHeading5"/>
      </w:pPr>
      <w:bookmarkStart w:id="2301" w:name="_Toc530474650"/>
      <w:bookmarkStart w:id="2302" w:name="_Toc530475245"/>
      <w:r>
        <w:t>4.</w:t>
      </w:r>
      <w:r>
        <w:tab/>
        <w:t>Scheme by</w:t>
      </w:r>
      <w:r>
        <w:noBreakHyphen/>
        <w:t>laws</w:t>
      </w:r>
      <w:bookmarkEnd w:id="2301"/>
      <w:bookmarkEnd w:id="2302"/>
    </w:p>
    <w:p>
      <w:pPr>
        <w:pStyle w:val="nz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nz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nzSubsection"/>
      </w:pPr>
      <w:r>
        <w:tab/>
        <w:t>(3)</w:t>
      </w:r>
      <w:r>
        <w:tab/>
        <w:t>A by</w:t>
      </w:r>
      <w:r>
        <w:noBreakHyphen/>
        <w:t>law under section 42(8) as in force immediately before commencement day is taken to be an exclusive use by</w:t>
      </w:r>
      <w:r>
        <w:noBreakHyphen/>
        <w:t>law subject to this Act.</w:t>
      </w:r>
    </w:p>
    <w:p>
      <w:pPr>
        <w:pStyle w:val="nz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nzSubsection"/>
      </w:pPr>
      <w:r>
        <w:tab/>
        <w:t>(5)</w:t>
      </w:r>
      <w:r>
        <w:tab/>
        <w:t>By</w:t>
      </w:r>
      <w:r>
        <w:noBreakHyphen/>
        <w:t>laws made by a strata company before commencement day in accordance with the Act as in force when the by</w:t>
      </w:r>
      <w:r>
        <w:noBreakHyphen/>
        <w:t>laws were made —</w:t>
      </w:r>
    </w:p>
    <w:p>
      <w:pPr>
        <w:pStyle w:val="nz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nz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nzSubsection"/>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nz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nzHeading5"/>
      </w:pPr>
      <w:bookmarkStart w:id="2303" w:name="_Toc530474651"/>
      <w:bookmarkStart w:id="2304" w:name="_Toc530475246"/>
      <w:r>
        <w:t>5.</w:t>
      </w:r>
      <w:r>
        <w:tab/>
        <w:t>Schedule of unit entitlements</w:t>
      </w:r>
      <w:bookmarkEnd w:id="2303"/>
      <w:bookmarkEnd w:id="2304"/>
    </w:p>
    <w:p>
      <w:pPr>
        <w:pStyle w:val="nz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nzHeading5"/>
      </w:pPr>
      <w:bookmarkStart w:id="2305" w:name="_Toc530474652"/>
      <w:bookmarkStart w:id="2306" w:name="_Toc530475247"/>
      <w:r>
        <w:t>6.</w:t>
      </w:r>
      <w:r>
        <w:tab/>
        <w:t>Council members and officers</w:t>
      </w:r>
      <w:bookmarkEnd w:id="2305"/>
      <w:bookmarkEnd w:id="2306"/>
    </w:p>
    <w:p>
      <w:pPr>
        <w:pStyle w:val="nzSubsection"/>
      </w:pPr>
      <w:r>
        <w:tab/>
        <w:t>(1)</w:t>
      </w:r>
      <w:r>
        <w:tab/>
        <w:t>A member of the council or officer of a strata company who continues in that capacity on commencement day —</w:t>
      </w:r>
    </w:p>
    <w:p>
      <w:pPr>
        <w:pStyle w:val="nz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nzIndenta"/>
      </w:pPr>
      <w:r>
        <w:tab/>
        <w:t>(b)</w:t>
      </w:r>
      <w:r>
        <w:tab/>
        <w:t>in the case of a member of the council, must not vote on a matter in which the member has an interest required to be disclosed under paragraph (a).</w:t>
      </w:r>
    </w:p>
    <w:p>
      <w:pPr>
        <w:pStyle w:val="nzSubsection"/>
      </w:pPr>
      <w:r>
        <w:tab/>
        <w:t>(2)</w:t>
      </w:r>
      <w:r>
        <w:tab/>
        <w:t>Subclause (1) does not apply to an interest arising solely from the fact that the member or officer is the owner of a lot in the strata titles scheme.</w:t>
      </w:r>
    </w:p>
    <w:p>
      <w:pPr>
        <w:pStyle w:val="nzSubsection"/>
      </w:pPr>
      <w:r>
        <w:tab/>
        <w:t>(3)</w:t>
      </w:r>
      <w:r>
        <w:tab/>
        <w:t>Subclause (1)(a) does not apply to matters of which the member or officer has already informed the council in writing but subclause (1)(b) does apply to such matters.</w:t>
      </w:r>
    </w:p>
    <w:p>
      <w:pPr>
        <w:pStyle w:val="nzHeading5"/>
      </w:pPr>
      <w:bookmarkStart w:id="2307" w:name="_Toc530474653"/>
      <w:bookmarkStart w:id="2308" w:name="_Toc530475248"/>
      <w:r>
        <w:t>7.</w:t>
      </w:r>
      <w:r>
        <w:tab/>
        <w:t>Applications lodged with Registrar of Titles before commencement day</w:t>
      </w:r>
      <w:bookmarkEnd w:id="2307"/>
      <w:bookmarkEnd w:id="2308"/>
    </w:p>
    <w:p>
      <w:pPr>
        <w:pStyle w:val="nz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nzIndenta"/>
      </w:pPr>
      <w:r>
        <w:tab/>
        <w:t>(a)</w:t>
      </w:r>
      <w:r>
        <w:tab/>
        <w:t>application for registration of plan of re</w:t>
      </w:r>
      <w:r>
        <w:noBreakHyphen/>
        <w:t>subdivision under section 8A as in force immediately before commencement day;</w:t>
      </w:r>
    </w:p>
    <w:p>
      <w:pPr>
        <w:pStyle w:val="nzIndenta"/>
      </w:pPr>
      <w:r>
        <w:tab/>
        <w:t>(b)</w:t>
      </w:r>
      <w:r>
        <w:tab/>
        <w:t>application for registration of strata/survey</w:t>
      </w:r>
      <w:r>
        <w:noBreakHyphen/>
        <w:t>strata plan of consolidation under section 9 as in force immediately before commencement day;</w:t>
      </w:r>
    </w:p>
    <w:p>
      <w:pPr>
        <w:pStyle w:val="nzIndenta"/>
      </w:pPr>
      <w:r>
        <w:tab/>
        <w:t>(c)</w:t>
      </w:r>
      <w:r>
        <w:tab/>
        <w:t>application for registration of conversion of 1 or more lots into common property under section 10 as in force immediately before commencement day;</w:t>
      </w:r>
    </w:p>
    <w:p>
      <w:pPr>
        <w:pStyle w:val="nzIndenta"/>
      </w:pPr>
      <w:r>
        <w:tab/>
        <w:t>(d)</w:t>
      </w:r>
      <w:r>
        <w:tab/>
        <w:t>application for registration of a transfer of land under section 18 as in force immediately before commencement day;</w:t>
      </w:r>
    </w:p>
    <w:p>
      <w:pPr>
        <w:pStyle w:val="nz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nzIndenta"/>
      </w:pPr>
      <w:r>
        <w:tab/>
        <w:t>(f)</w:t>
      </w:r>
      <w:r>
        <w:tab/>
        <w:t>an application for registration of a transfer of common property under section 19 as in force immediately before commencement day;</w:t>
      </w:r>
    </w:p>
    <w:p>
      <w:pPr>
        <w:pStyle w:val="nzIndenta"/>
      </w:pPr>
      <w:r>
        <w:tab/>
        <w:t>(g)</w:t>
      </w:r>
      <w:r>
        <w:tab/>
        <w:t>an application for registration of the creation or surrendering of an easement or restrictive covenant under section 20 as in force immediately before commencement day.</w:t>
      </w:r>
    </w:p>
    <w:p>
      <w:pPr>
        <w:pStyle w:val="nz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nzHeading5"/>
      </w:pPr>
      <w:bookmarkStart w:id="2309" w:name="_Toc530474654"/>
      <w:bookmarkStart w:id="2310" w:name="_Toc530475249"/>
      <w:r>
        <w:t>8.</w:t>
      </w:r>
      <w:r>
        <w:tab/>
        <w:t>Approvals and certificates</w:t>
      </w:r>
      <w:bookmarkEnd w:id="2309"/>
      <w:bookmarkEnd w:id="2310"/>
    </w:p>
    <w:p>
      <w:pPr>
        <w:pStyle w:val="nzSubsection"/>
      </w:pPr>
      <w:r>
        <w:tab/>
        <w:t>(1)</w:t>
      </w:r>
      <w:r>
        <w:tab/>
        <w:t>For the purposes of an application to the Registrar of Titles involving registration of scheme documents or amendments of scheme documents prepared before commencement day —</w:t>
      </w:r>
    </w:p>
    <w:p>
      <w:pPr>
        <w:pStyle w:val="nz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nz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nz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nzHeading5"/>
      </w:pPr>
      <w:bookmarkStart w:id="2311" w:name="_Toc530474655"/>
      <w:bookmarkStart w:id="2312" w:name="_Toc530475250"/>
      <w:r>
        <w:t>9.</w:t>
      </w:r>
      <w:r>
        <w:tab/>
        <w:t>Utility service easement</w:t>
      </w:r>
      <w:bookmarkEnd w:id="2311"/>
      <w:bookmarkEnd w:id="2312"/>
    </w:p>
    <w:p>
      <w:pPr>
        <w:pStyle w:val="nzSubsection"/>
      </w:pPr>
      <w:r>
        <w:tab/>
      </w:r>
      <w:r>
        <w:tab/>
        <w:t>A utility service easement applies to utility conduits whether installed before, on or after commencement day.</w:t>
      </w:r>
    </w:p>
    <w:p>
      <w:pPr>
        <w:pStyle w:val="nzHeading5"/>
      </w:pPr>
      <w:bookmarkStart w:id="2313" w:name="_Toc530474656"/>
      <w:bookmarkStart w:id="2314" w:name="_Toc530475251"/>
      <w:r>
        <w:t>10.</w:t>
      </w:r>
      <w:r>
        <w:tab/>
        <w:t>Scheme developers</w:t>
      </w:r>
      <w:bookmarkEnd w:id="2313"/>
      <w:bookmarkEnd w:id="2314"/>
    </w:p>
    <w:p>
      <w:pPr>
        <w:pStyle w:val="nz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nzSubsection"/>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nz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nz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nzSubsection"/>
      </w:pPr>
      <w:r>
        <w:tab/>
        <w:t>(3)</w:t>
      </w:r>
      <w:r>
        <w:tab/>
        <w:t>Subclause (2) does not apply to —</w:t>
      </w:r>
    </w:p>
    <w:p>
      <w:pPr>
        <w:pStyle w:val="nzIndenta"/>
      </w:pPr>
      <w:r>
        <w:tab/>
        <w:t>(a)</w:t>
      </w:r>
      <w:r>
        <w:tab/>
        <w:t>matters of which the scheme developer has already informed the strata company in writing; or</w:t>
      </w:r>
    </w:p>
    <w:p>
      <w:pPr>
        <w:pStyle w:val="nzIndenta"/>
      </w:pPr>
      <w:r>
        <w:tab/>
        <w:t>(b)</w:t>
      </w:r>
      <w:r>
        <w:tab/>
        <w:t>a contract, lease or licence relating to a subdivision given effect by registration of a strata titles scheme or an amendment of a strata titles scheme before commencement day.</w:t>
      </w:r>
    </w:p>
    <w:p>
      <w:pPr>
        <w:pStyle w:val="nzHeading5"/>
      </w:pPr>
      <w:bookmarkStart w:id="2315" w:name="_Toc530474657"/>
      <w:bookmarkStart w:id="2316" w:name="_Toc530475252"/>
      <w:r>
        <w:t>11.</w:t>
      </w:r>
      <w:r>
        <w:tab/>
        <w:t>Structural alteration of lot</w:t>
      </w:r>
      <w:bookmarkEnd w:id="2315"/>
      <w:bookmarkEnd w:id="2316"/>
    </w:p>
    <w:p>
      <w:pPr>
        <w:pStyle w:val="nzSubsection"/>
      </w:pPr>
      <w:r>
        <w:tab/>
      </w:r>
      <w:r>
        <w:tab/>
        <w:t>An application to the Tribunal under section 90 may relate to a structural alteration made before commencement day.</w:t>
      </w:r>
    </w:p>
    <w:p>
      <w:pPr>
        <w:pStyle w:val="nzHeading5"/>
      </w:pPr>
      <w:bookmarkStart w:id="2317" w:name="_Toc530474658"/>
      <w:bookmarkStart w:id="2318" w:name="_Toc530475253"/>
      <w:r>
        <w:t>12.</w:t>
      </w:r>
      <w:r>
        <w:tab/>
        <w:t>Records and correspondence</w:t>
      </w:r>
      <w:bookmarkEnd w:id="2317"/>
      <w:bookmarkEnd w:id="2318"/>
    </w:p>
    <w:p>
      <w:pPr>
        <w:pStyle w:val="nz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nzHeading5"/>
      </w:pPr>
      <w:bookmarkStart w:id="2319" w:name="_Toc530474659"/>
      <w:bookmarkStart w:id="2320" w:name="_Toc530475254"/>
      <w:r>
        <w:t>13.</w:t>
      </w:r>
      <w:r>
        <w:tab/>
        <w:t>Strata managers</w:t>
      </w:r>
      <w:bookmarkEnd w:id="2319"/>
      <w:bookmarkEnd w:id="2320"/>
    </w:p>
    <w:p>
      <w:pPr>
        <w:pStyle w:val="nz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nzSubsection"/>
      </w:pPr>
      <w:r>
        <w:tab/>
        <w:t>(2)</w:t>
      </w:r>
      <w:r>
        <w:tab/>
        <w:t>Subclause (1) —</w:t>
      </w:r>
    </w:p>
    <w:p>
      <w:pPr>
        <w:pStyle w:val="nzIndenta"/>
      </w:pPr>
      <w:r>
        <w:tab/>
        <w:t>(a)</w:t>
      </w:r>
      <w:r>
        <w:tab/>
        <w:t>applies even if the functions could not be authorised under a strata management contract and even if the strata manager does not meet the requirements set out in section 144; and</w:t>
      </w:r>
    </w:p>
    <w:p>
      <w:pPr>
        <w:pStyle w:val="nzIndenta"/>
      </w:pPr>
      <w:r>
        <w:tab/>
        <w:t>(b)</w:t>
      </w:r>
      <w:r>
        <w:tab/>
        <w:t>is subject to the variation or termination of the contract or volunteer agreement.</w:t>
      </w:r>
    </w:p>
    <w:p>
      <w:pPr>
        <w:pStyle w:val="nz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nz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nzSubsection"/>
      </w:pPr>
      <w:r>
        <w:tab/>
        <w:t>(5)</w:t>
      </w:r>
      <w:r>
        <w:tab/>
        <w:t>A strata manager to whom this clause applies must inform the strata company in writing, as soon as practicable on or after commencement day, of —</w:t>
      </w:r>
    </w:p>
    <w:p>
      <w:pPr>
        <w:pStyle w:val="nzIndenta"/>
      </w:pPr>
      <w:r>
        <w:tab/>
        <w:t>(a)</w:t>
      </w:r>
      <w:r>
        <w:tab/>
        <w:t>any direct or indirect pecuniary or other interest that the strata manager has that conflicts or may conflict with the performance of the strata manager’s functions; and</w:t>
      </w:r>
    </w:p>
    <w:p>
      <w:pPr>
        <w:pStyle w:val="nz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nzSubsection"/>
      </w:pPr>
      <w:r>
        <w:tab/>
        <w:t>(6)</w:t>
      </w:r>
      <w:r>
        <w:tab/>
        <w:t>Subclause (5) does not apply to —</w:t>
      </w:r>
    </w:p>
    <w:p>
      <w:pPr>
        <w:pStyle w:val="nzIndenta"/>
      </w:pPr>
      <w:r>
        <w:tab/>
        <w:t>(a)</w:t>
      </w:r>
      <w:r>
        <w:tab/>
        <w:t>remuneration or any other benefit that is less than an amount or value specified in or calculated in accordance with the regulations; or</w:t>
      </w:r>
    </w:p>
    <w:p>
      <w:pPr>
        <w:pStyle w:val="nzIndenta"/>
      </w:pPr>
      <w:r>
        <w:tab/>
        <w:t>(b)</w:t>
      </w:r>
      <w:r>
        <w:tab/>
        <w:t>matters of which the strata manager has already informed the strata company in writing.</w:t>
      </w:r>
    </w:p>
    <w:p>
      <w:pPr>
        <w:pStyle w:val="nzHeading5"/>
      </w:pPr>
      <w:bookmarkStart w:id="2321" w:name="_Toc530474660"/>
      <w:bookmarkStart w:id="2322" w:name="_Toc530475255"/>
      <w:r>
        <w:t>14.</w:t>
      </w:r>
      <w:r>
        <w:tab/>
        <w:t>Scheme disputes</w:t>
      </w:r>
      <w:bookmarkEnd w:id="2321"/>
      <w:bookmarkEnd w:id="2322"/>
    </w:p>
    <w:p>
      <w:pPr>
        <w:pStyle w:val="nzSubsection"/>
      </w:pPr>
      <w:r>
        <w:tab/>
        <w:t>(1)</w:t>
      </w:r>
      <w:r>
        <w:tab/>
        <w:t>A scheme dispute may involve an event that occurred, or a matter that arose, before commencement day.</w:t>
      </w:r>
    </w:p>
    <w:p>
      <w:pPr>
        <w:pStyle w:val="nzSubsection"/>
      </w:pPr>
      <w:r>
        <w:tab/>
        <w:t>(2)</w:t>
      </w:r>
      <w:r>
        <w:tab/>
        <w:t>In determining a scheme dispute, the Tribunal may apply the objectives set out in section 119 as if that section had been in force when the event occurred or the matter arose.</w:t>
      </w:r>
    </w:p>
    <w:p>
      <w:pPr>
        <w:pStyle w:val="nzHeading5"/>
      </w:pPr>
      <w:bookmarkStart w:id="2323" w:name="_Toc530474661"/>
      <w:bookmarkStart w:id="2324" w:name="_Toc530475256"/>
      <w:r>
        <w:t>15.</w:t>
      </w:r>
      <w:r>
        <w:tab/>
        <w:t>Administrators</w:t>
      </w:r>
      <w:bookmarkEnd w:id="2323"/>
      <w:bookmarkEnd w:id="2324"/>
    </w:p>
    <w:p>
      <w:pPr>
        <w:pStyle w:val="nz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nzHeading5"/>
      </w:pPr>
      <w:bookmarkStart w:id="2325" w:name="_Toc530474662"/>
      <w:bookmarkStart w:id="2326" w:name="_Toc530475257"/>
      <w:r>
        <w:t>16.</w:t>
      </w:r>
      <w:r>
        <w:tab/>
        <w:t>Schedule 2A</w:t>
      </w:r>
      <w:bookmarkEnd w:id="2325"/>
      <w:bookmarkEnd w:id="2326"/>
    </w:p>
    <w:p>
      <w:pPr>
        <w:pStyle w:val="nz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nzHeading5"/>
      </w:pPr>
      <w:bookmarkStart w:id="2327" w:name="_Toc530474663"/>
      <w:bookmarkStart w:id="2328" w:name="_Toc530475258"/>
      <w:r>
        <w:t>17.</w:t>
      </w:r>
      <w:r>
        <w:tab/>
        <w:t>Short form easements and restrictive covenants</w:t>
      </w:r>
      <w:bookmarkEnd w:id="2327"/>
      <w:bookmarkEnd w:id="2328"/>
    </w:p>
    <w:p>
      <w:pPr>
        <w:pStyle w:val="nz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nzIndenta"/>
      </w:pPr>
      <w:r>
        <w:tab/>
        <w:t>(a)</w:t>
      </w:r>
      <w:r>
        <w:tab/>
        <w:t>an easement of that class that is in force immediately before commencement day is taken to be a short form easement or restrictive covenant of the specified kind; and</w:t>
      </w:r>
    </w:p>
    <w:p>
      <w:pPr>
        <w:pStyle w:val="nzIndenta"/>
      </w:pPr>
      <w:r>
        <w:tab/>
        <w:t>(b)</w:t>
      </w:r>
      <w:r>
        <w:tab/>
        <w:t>the rights and obligations under the easement are those applicable to the specified short form easement or restrictive covenant.</w:t>
      </w:r>
    </w:p>
    <w:p>
      <w:pPr>
        <w:pStyle w:val="nzSubsection"/>
      </w:pPr>
      <w:r>
        <w:tab/>
        <w:t>(2)</w:t>
      </w:r>
      <w:r>
        <w:tab/>
        <w:t>An easement created under section 5D to which subclause (1) does not apply and in force immediately before commencement day —</w:t>
      </w:r>
    </w:p>
    <w:p>
      <w:pPr>
        <w:pStyle w:val="nzIndenta"/>
      </w:pPr>
      <w:r>
        <w:tab/>
        <w:t>(a)</w:t>
      </w:r>
      <w:r>
        <w:tab/>
        <w:t>continues in force on the same terms and conditions as if the amending Act had not been enacted; but</w:t>
      </w:r>
    </w:p>
    <w:p>
      <w:pPr>
        <w:pStyle w:val="nzIndenta"/>
      </w:pPr>
      <w:r>
        <w:tab/>
        <w:t>(b)</w:t>
      </w:r>
      <w:r>
        <w:tab/>
        <w:t>may be discharged by amendment to the scheme plan as if it were a short form easement or restrictive covenant.</w:t>
      </w:r>
    </w:p>
    <w:p>
      <w:pPr>
        <w:pStyle w:val="nzHeading5"/>
      </w:pPr>
      <w:bookmarkStart w:id="2329" w:name="_Toc530474664"/>
      <w:bookmarkStart w:id="2330" w:name="_Toc530475259"/>
      <w:r>
        <w:t>18.</w:t>
      </w:r>
      <w:r>
        <w:tab/>
        <w:t>Restricted use conditions</w:t>
      </w:r>
      <w:bookmarkEnd w:id="2329"/>
      <w:bookmarkEnd w:id="2330"/>
    </w:p>
    <w:p>
      <w:pPr>
        <w:pStyle w:val="nzSubsection"/>
      </w:pPr>
      <w:r>
        <w:tab/>
        <w:t>(1)</w:t>
      </w:r>
      <w:r>
        <w:tab/>
        <w:t>A restriction on the use to which a parcel or part of a parcel may be put under section 6 as in force immediately before commencement day is taken to be a restricted use condition.</w:t>
      </w:r>
    </w:p>
    <w:p>
      <w:pPr>
        <w:pStyle w:val="nzSubsection"/>
      </w:pPr>
      <w:r>
        <w:tab/>
        <w:t>(2)</w:t>
      </w:r>
      <w:r>
        <w:tab/>
        <w:t>A reference to a retired person in such a restricted use condition is a reference to that term within the meaning of section 6A as in force immediately before commencement day.</w:t>
      </w:r>
    </w:p>
    <w:p>
      <w:pPr>
        <w:pStyle w:val="nzHeading5"/>
      </w:pPr>
      <w:bookmarkStart w:id="2331" w:name="_Toc530474665"/>
      <w:bookmarkStart w:id="2332" w:name="_Toc530475260"/>
      <w:r>
        <w:t>19.</w:t>
      </w:r>
      <w:r>
        <w:tab/>
        <w:t>Approvals for structural alterations</w:t>
      </w:r>
      <w:bookmarkEnd w:id="2331"/>
      <w:bookmarkEnd w:id="2332"/>
    </w:p>
    <w:p>
      <w:pPr>
        <w:pStyle w:val="nzSubsection"/>
      </w:pPr>
      <w:r>
        <w:tab/>
      </w:r>
      <w:r>
        <w:tab/>
        <w:t>An approval under section 7 or 7A as in force immediately before commencement day is taken to be an approval under section 87 or 88 respectively.</w:t>
      </w:r>
    </w:p>
    <w:p>
      <w:pPr>
        <w:pStyle w:val="nzHeading5"/>
      </w:pPr>
      <w:bookmarkStart w:id="2333" w:name="_Toc530474666"/>
      <w:bookmarkStart w:id="2334" w:name="_Toc530475261"/>
      <w:r>
        <w:t>20.</w:t>
      </w:r>
      <w:r>
        <w:tab/>
        <w:t>Temporary common property</w:t>
      </w:r>
      <w:bookmarkEnd w:id="2333"/>
      <w:bookmarkEnd w:id="2334"/>
    </w:p>
    <w:p>
      <w:pPr>
        <w:pStyle w:val="nzSubsection"/>
      </w:pPr>
      <w:r>
        <w:tab/>
        <w:t>(1)</w:t>
      </w:r>
      <w:r>
        <w:tab/>
        <w:t>Land leased under section 18 as in force immediately before commencement day is taken to be leased under section 92.</w:t>
      </w:r>
    </w:p>
    <w:p>
      <w:pPr>
        <w:pStyle w:val="nz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nzHeading5"/>
      </w:pPr>
      <w:bookmarkStart w:id="2335" w:name="_Toc530474667"/>
      <w:bookmarkStart w:id="2336" w:name="_Toc530475262"/>
      <w:r>
        <w:t>21.</w:t>
      </w:r>
      <w:r>
        <w:tab/>
        <w:t>Termination of strata scheme by unanimous resolution</w:t>
      </w:r>
      <w:bookmarkEnd w:id="2335"/>
      <w:bookmarkEnd w:id="2336"/>
    </w:p>
    <w:p>
      <w:pPr>
        <w:pStyle w:val="nz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nzHeading5"/>
      </w:pPr>
      <w:bookmarkStart w:id="2337" w:name="_Toc530474668"/>
      <w:bookmarkStart w:id="2338" w:name="_Toc530475263"/>
      <w:r>
        <w:t>22.</w:t>
      </w:r>
      <w:r>
        <w:tab/>
        <w:t>Roll</w:t>
      </w:r>
      <w:bookmarkEnd w:id="2337"/>
      <w:bookmarkEnd w:id="2338"/>
    </w:p>
    <w:p>
      <w:pPr>
        <w:pStyle w:val="nzSubsection"/>
      </w:pPr>
      <w:r>
        <w:tab/>
      </w:r>
      <w:r>
        <w:tab/>
        <w:t>A roll kept by a strata company under section 35A as in force immediately before commencement day is taken to be a roll kept under section 105.</w:t>
      </w:r>
    </w:p>
    <w:p>
      <w:pPr>
        <w:pStyle w:val="nzHeading5"/>
      </w:pPr>
      <w:bookmarkStart w:id="2339" w:name="_Toc530474669"/>
      <w:bookmarkStart w:id="2340" w:name="_Toc530475264"/>
      <w:r>
        <w:t>23.</w:t>
      </w:r>
      <w:r>
        <w:tab/>
        <w:t>Financial management</w:t>
      </w:r>
      <w:bookmarkEnd w:id="2339"/>
      <w:bookmarkEnd w:id="2340"/>
    </w:p>
    <w:p>
      <w:pPr>
        <w:pStyle w:val="nzSubsection"/>
      </w:pPr>
      <w:r>
        <w:tab/>
        <w:t>(1)</w:t>
      </w:r>
      <w:r>
        <w:tab/>
        <w:t>An administrative fund of a strata company established under section 36 as in force immediately before commencement day is taken to be an administrative fund established under section 100.</w:t>
      </w:r>
    </w:p>
    <w:p>
      <w:pPr>
        <w:pStyle w:val="nzSubsection"/>
      </w:pPr>
      <w:r>
        <w:tab/>
        <w:t>(2)</w:t>
      </w:r>
      <w:r>
        <w:tab/>
        <w:t>A reserve fund of a strata company established under section 36 as in force immediately before commencement day is taken to be a reserve fund established under section 100.</w:t>
      </w:r>
    </w:p>
    <w:p>
      <w:pPr>
        <w:pStyle w:val="nz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nzSubsection"/>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nzHeading5"/>
      </w:pPr>
      <w:bookmarkStart w:id="2341" w:name="_Toc530474670"/>
      <w:bookmarkStart w:id="2342" w:name="_Toc530475265"/>
      <w:r>
        <w:t>24.</w:t>
      </w:r>
      <w:r>
        <w:tab/>
        <w:t>Extension of contract termination period</w:t>
      </w:r>
      <w:bookmarkEnd w:id="2341"/>
      <w:bookmarkEnd w:id="2342"/>
    </w:p>
    <w:p>
      <w:pPr>
        <w:pStyle w:val="nzSubsection"/>
      </w:pPr>
      <w:r>
        <w:tab/>
      </w:r>
      <w:r>
        <w:tab/>
        <w:t>Any extension of a period applying to a contract under section 39A as in force immediately before commencement day is taken to have been made under section 115.</w:t>
      </w:r>
    </w:p>
    <w:p>
      <w:pPr>
        <w:pStyle w:val="nzHeading5"/>
      </w:pPr>
      <w:bookmarkStart w:id="2343" w:name="_Toc530474671"/>
      <w:bookmarkStart w:id="2344" w:name="_Toc530475266"/>
      <w:r>
        <w:t>25.</w:t>
      </w:r>
      <w:r>
        <w:tab/>
        <w:t>Provision of information</w:t>
      </w:r>
      <w:bookmarkEnd w:id="2343"/>
      <w:bookmarkEnd w:id="2344"/>
    </w:p>
    <w:p>
      <w:pPr>
        <w:pStyle w:val="nz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nzHeading5"/>
      </w:pPr>
      <w:bookmarkStart w:id="2345" w:name="_Toc530474672"/>
      <w:bookmarkStart w:id="2346" w:name="_Toc530475267"/>
      <w:r>
        <w:t>26.</w:t>
      </w:r>
      <w:r>
        <w:tab/>
        <w:t>Authorisation of body corporate</w:t>
      </w:r>
      <w:bookmarkEnd w:id="2345"/>
      <w:bookmarkEnd w:id="2346"/>
    </w:p>
    <w:p>
      <w:pPr>
        <w:pStyle w:val="nzSubsection"/>
      </w:pPr>
      <w:r>
        <w:tab/>
      </w:r>
      <w:r>
        <w:tab/>
        <w:t>An authorisation of an individual under section 45 as in force immediately before commencement day is taken to have been given under section 136.</w:t>
      </w:r>
    </w:p>
    <w:p>
      <w:pPr>
        <w:pStyle w:val="nzHeading5"/>
      </w:pPr>
      <w:bookmarkStart w:id="2347" w:name="_Toc530474673"/>
      <w:bookmarkStart w:id="2348" w:name="_Toc530475268"/>
      <w:r>
        <w:t>27.</w:t>
      </w:r>
      <w:r>
        <w:tab/>
        <w:t>Restrictions on powers of expenditure</w:t>
      </w:r>
      <w:bookmarkEnd w:id="2347"/>
      <w:bookmarkEnd w:id="2348"/>
    </w:p>
    <w:p>
      <w:pPr>
        <w:pStyle w:val="nzSubsection"/>
      </w:pPr>
      <w:r>
        <w:tab/>
      </w:r>
      <w:r>
        <w:tab/>
        <w:t>A special resolution under section 47(1)(a) as in force immediately before commencement day is taken to be a special resolution under section 102(6)(a)(i).</w:t>
      </w:r>
    </w:p>
    <w:p>
      <w:pPr>
        <w:pStyle w:val="nzHeading5"/>
      </w:pPr>
      <w:bookmarkStart w:id="2349" w:name="_Toc530474674"/>
      <w:bookmarkStart w:id="2350" w:name="_Toc530475269"/>
      <w:r>
        <w:t>28.</w:t>
      </w:r>
      <w:r>
        <w:tab/>
        <w:t>Insurance in transitional period</w:t>
      </w:r>
      <w:bookmarkEnd w:id="2349"/>
      <w:bookmarkEnd w:id="2350"/>
    </w:p>
    <w:p>
      <w:pPr>
        <w:pStyle w:val="nz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nzHeading5"/>
      </w:pPr>
      <w:bookmarkStart w:id="2351" w:name="_Toc530474675"/>
      <w:bookmarkStart w:id="2352" w:name="_Toc530475270"/>
      <w:r>
        <w:t>29.</w:t>
      </w:r>
      <w:r>
        <w:tab/>
        <w:t>Protection of buyers</w:t>
      </w:r>
      <w:bookmarkEnd w:id="2351"/>
      <w:bookmarkEnd w:id="2352"/>
    </w:p>
    <w:p>
      <w:pPr>
        <w:pStyle w:val="nzSubsection"/>
      </w:pPr>
      <w:r>
        <w:tab/>
      </w:r>
      <w:r>
        <w:tab/>
        <w:t>Part 5 of the Act as in force immediately before commencement day continues to apply, as if the amending Act had not been enacted, to —</w:t>
      </w:r>
    </w:p>
    <w:p>
      <w:pPr>
        <w:pStyle w:val="nzIndenta"/>
      </w:pPr>
      <w:r>
        <w:tab/>
        <w:t>(a)</w:t>
      </w:r>
      <w:r>
        <w:tab/>
        <w:t>a contract for the sale and purchase of a lot in a strata titles scheme entered into before commencement day; and</w:t>
      </w:r>
    </w:p>
    <w:p>
      <w:pPr>
        <w:pStyle w:val="nzIndenta"/>
      </w:pPr>
      <w:r>
        <w:tab/>
        <w:t>(b)</w:t>
      </w:r>
      <w:r>
        <w:tab/>
        <w:t>the buyer and seller for the contract; and</w:t>
      </w:r>
    </w:p>
    <w:p>
      <w:pPr>
        <w:pStyle w:val="nzIndenta"/>
      </w:pPr>
      <w:r>
        <w:tab/>
        <w:t>(c)</w:t>
      </w:r>
      <w:r>
        <w:tab/>
        <w:t>any person who has been paid money in relation to that contract.</w:t>
      </w:r>
    </w:p>
    <w:p>
      <w:pPr>
        <w:pStyle w:val="nzHeading5"/>
      </w:pPr>
      <w:bookmarkStart w:id="2353" w:name="_Toc530474676"/>
      <w:bookmarkStart w:id="2354" w:name="_Toc530475271"/>
      <w:r>
        <w:t>30.</w:t>
      </w:r>
      <w:r>
        <w:tab/>
        <w:t>Proceedings</w:t>
      </w:r>
      <w:bookmarkEnd w:id="2353"/>
      <w:bookmarkEnd w:id="2354"/>
    </w:p>
    <w:p>
      <w:pPr>
        <w:pStyle w:val="nzSubsection"/>
      </w:pPr>
      <w:r>
        <w:tab/>
        <w:t>(1)</w:t>
      </w:r>
      <w:r>
        <w:tab/>
        <w:t>A proceeding in the District Court or Tribunal under this Act commenced before commencement day must be dealt with as if the amending Act had not been enacted.</w:t>
      </w:r>
    </w:p>
    <w:p>
      <w:pPr>
        <w:pStyle w:val="nz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nSubsection"/>
      </w:pPr>
      <w:r>
        <w:rPr>
          <w:vertAlign w:val="superscript"/>
        </w:rPr>
        <w:t>21</w:t>
      </w:r>
      <w:r>
        <w:tab/>
        <w:t xml:space="preserve">The </w:t>
      </w:r>
      <w:r>
        <w:rPr>
          <w:i/>
        </w:rPr>
        <w:t>Land Legislation (Postponement of Expiry) Proclamation 2018</w:t>
      </w:r>
      <w:r>
        <w:t xml:space="preserve"> published by </w:t>
      </w:r>
      <w:r>
        <w:rPr>
          <w:i/>
        </w:rPr>
        <w:t>Gazette</w:t>
      </w:r>
      <w:r>
        <w:t xml:space="preserve"> 21 Dec 2018 p. 4845-6 provides that the expiry of section 131A is postponed until the end of 31 December 2024.</w:t>
      </w:r>
    </w:p>
    <w:p>
      <w:pPr>
        <w:pStyle w:val="nSubsection"/>
        <w:spacing w:before="60"/>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356" w:name="_Toc525288733"/>
      <w:bookmarkStart w:id="2357" w:name="_Toc530554769"/>
      <w:bookmarkStart w:id="2358" w:name="_Toc530555105"/>
      <w:r>
        <w:rPr>
          <w:sz w:val="28"/>
        </w:rPr>
        <w:t>Defined terms</w:t>
      </w:r>
      <w:bookmarkEnd w:id="2356"/>
      <w:bookmarkEnd w:id="2357"/>
      <w:bookmarkEnd w:id="2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acquiring authority</w:t>
      </w:r>
      <w:r>
        <w:tab/>
        <w:t>29B(4)</w:t>
      </w:r>
    </w:p>
    <w:p>
      <w:pPr>
        <w:pStyle w:val="DefinedTerms"/>
      </w:pPr>
      <w:r>
        <w:t>administrator</w:t>
      </w:r>
      <w:r>
        <w:tab/>
        <w:t>3(1)</w:t>
      </w:r>
    </w:p>
    <w:p>
      <w:pPr>
        <w:pStyle w:val="DefinedTerms"/>
      </w:pPr>
      <w:r>
        <w:t>allowed period</w:t>
      </w:r>
      <w:r>
        <w:tab/>
        <w:t>7B(2)</w:t>
      </w:r>
    </w:p>
    <w:p>
      <w:pPr>
        <w:pStyle w:val="DefinedTerms"/>
      </w:pPr>
      <w:r>
        <w:t>amendments</w:t>
      </w:r>
      <w:r>
        <w:tab/>
        <w:t>133</w:t>
      </w:r>
    </w:p>
    <w:p>
      <w:pPr>
        <w:pStyle w:val="DefinedTerms"/>
      </w:pPr>
      <w:r>
        <w:t>application</w:t>
      </w:r>
      <w:r>
        <w:tab/>
        <w:t>26(1), 27(1), 136(1)</w:t>
      </w:r>
    </w:p>
    <w:p>
      <w:pPr>
        <w:pStyle w:val="DefinedTerms"/>
      </w:pPr>
      <w:r>
        <w:t>appointed day</w:t>
      </w:r>
      <w:r>
        <w:tab/>
        <w:t>Sch. 3 cl. 1(1)</w:t>
      </w:r>
    </w:p>
    <w:p>
      <w:pPr>
        <w:pStyle w:val="DefinedTerms"/>
      </w:pPr>
      <w:r>
        <w:t>Authority</w:t>
      </w:r>
      <w:r>
        <w:tab/>
        <w:t>3(1)</w:t>
      </w:r>
    </w:p>
    <w:p>
      <w:pPr>
        <w:pStyle w:val="DefinedTerms"/>
      </w:pPr>
      <w:r>
        <w:t>base lines</w:t>
      </w:r>
      <w:r>
        <w:tab/>
        <w:t>3(1)</w:t>
      </w:r>
    </w:p>
    <w:p>
      <w:pPr>
        <w:pStyle w:val="DefinedTerms"/>
      </w:pPr>
      <w:r>
        <w:t>building</w:t>
      </w:r>
      <w:r>
        <w:tab/>
        <w:t>3(1), 53</w:t>
      </w:r>
    </w:p>
    <w:p>
      <w:pPr>
        <w:pStyle w:val="DefinedTerms"/>
      </w:pPr>
      <w:r>
        <w:t>camping ground</w:t>
      </w:r>
      <w:r>
        <w:tab/>
        <w:t>122A(3)</w:t>
      </w:r>
    </w:p>
    <w:p>
      <w:pPr>
        <w:pStyle w:val="DefinedTerms"/>
      </w:pPr>
      <w:r>
        <w:t>caravan park</w:t>
      </w:r>
      <w:r>
        <w:tab/>
        <w:t>122A(3)</w:t>
      </w:r>
    </w:p>
    <w:p>
      <w:pPr>
        <w:pStyle w:val="DefinedTerms"/>
      </w:pPr>
      <w:r>
        <w:t>change</w:t>
      </w:r>
      <w:r>
        <w:noBreakHyphen/>
        <w:t>over day</w:t>
      </w:r>
      <w:r>
        <w:tab/>
        <w:t>21K</w:t>
      </w:r>
    </w:p>
    <w:p>
      <w:pPr>
        <w:pStyle w:val="DefinedTerms"/>
      </w:pPr>
      <w:r>
        <w:t>commencement day</w:t>
      </w:r>
      <w:r>
        <w:tab/>
        <w:t>21K, 133</w:t>
      </w:r>
    </w:p>
    <w:p>
      <w:pPr>
        <w:pStyle w:val="DefinedTerms"/>
      </w:pPr>
      <w:r>
        <w:t>Commission</w:t>
      </w:r>
      <w:r>
        <w:tab/>
        <w:t>3(1)</w:t>
      </w:r>
    </w:p>
    <w:p>
      <w:pPr>
        <w:pStyle w:val="DefinedTerms"/>
      </w:pPr>
      <w:r>
        <w:t>Commissioner of Titles</w:t>
      </w:r>
      <w:r>
        <w:tab/>
        <w:t>129A(5), 129B(6)</w:t>
      </w:r>
    </w:p>
    <w:p>
      <w:pPr>
        <w:pStyle w:val="DefinedTerms"/>
      </w:pPr>
      <w:r>
        <w:t>common property</w:t>
      </w:r>
      <w:r>
        <w:tab/>
        <w:t>3(1)</w:t>
      </w:r>
    </w:p>
    <w:p>
      <w:pPr>
        <w:pStyle w:val="DefinedTerms"/>
      </w:pPr>
      <w:r>
        <w:t>company</w:t>
      </w:r>
      <w:r>
        <w:tab/>
        <w:t>Sch. 3 cl. 1(1)</w:t>
      </w:r>
    </w:p>
    <w:p>
      <w:pPr>
        <w:pStyle w:val="DefinedTerms"/>
      </w:pPr>
      <w:r>
        <w:t>contract</w:t>
      </w:r>
      <w:r>
        <w:tab/>
        <w:t>68</w:t>
      </w:r>
    </w:p>
    <w:p>
      <w:pPr>
        <w:pStyle w:val="DefinedTerms"/>
      </w:pPr>
      <w:r>
        <w:t>council</w:t>
      </w:r>
      <w:r>
        <w:tab/>
        <w:t>3(1)</w:t>
      </w:r>
    </w:p>
    <w:p>
      <w:pPr>
        <w:pStyle w:val="DefinedTerms"/>
      </w:pPr>
      <w:r>
        <w:t>date of the contract</w:t>
      </w:r>
      <w:r>
        <w:tab/>
        <w:t>70(8)</w:t>
      </w:r>
    </w:p>
    <w:p>
      <w:pPr>
        <w:pStyle w:val="DefinedTerms"/>
      </w:pPr>
      <w:r>
        <w:t>disposition statement</w:t>
      </w:r>
      <w:r>
        <w:tab/>
        <w:t>8B(2), 21V(2), 31H(2)</w:t>
      </w:r>
    </w:p>
    <w:p>
      <w:pPr>
        <w:pStyle w:val="DefinedTerms"/>
      </w:pPr>
      <w:r>
        <w:t>dominant lot</w:t>
      </w:r>
      <w:r>
        <w:tab/>
        <w:t>5D(2)</w:t>
      </w:r>
    </w:p>
    <w:p>
      <w:pPr>
        <w:pStyle w:val="DefinedTerms"/>
      </w:pPr>
      <w:r>
        <w:t>existing small strata scheme</w:t>
      </w:r>
      <w:r>
        <w:tab/>
        <w:t>21A</w:t>
      </w:r>
    </w:p>
    <w:p>
      <w:pPr>
        <w:pStyle w:val="DefinedTerms"/>
      </w:pPr>
      <w:r>
        <w:t>floor</w:t>
      </w:r>
      <w:r>
        <w:tab/>
        <w:t>3(1)</w:t>
      </w:r>
    </w:p>
    <w:p>
      <w:pPr>
        <w:pStyle w:val="DefinedTerms"/>
      </w:pPr>
      <w:r>
        <w:t>floor area</w:t>
      </w:r>
      <w:r>
        <w:tab/>
        <w:t>3(1)</w:t>
      </w:r>
    </w:p>
    <w:p>
      <w:pPr>
        <w:pStyle w:val="DefinedTerms"/>
      </w:pPr>
      <w:r>
        <w:t>floor plan</w:t>
      </w:r>
      <w:r>
        <w:tab/>
        <w:t>3(1)</w:t>
      </w:r>
    </w:p>
    <w:p>
      <w:pPr>
        <w:pStyle w:val="DefinedTerms"/>
      </w:pPr>
      <w:r>
        <w:t>former Act</w:t>
      </w:r>
      <w:r>
        <w:tab/>
        <w:t>Sch. 3 cl. 1(1)</w:t>
      </w:r>
    </w:p>
    <w:p>
      <w:pPr>
        <w:pStyle w:val="DefinedTerms"/>
      </w:pPr>
      <w:r>
        <w:t>former by</w:t>
      </w:r>
      <w:r>
        <w:noBreakHyphen/>
        <w:t>law</w:t>
      </w:r>
      <w:r>
        <w:tab/>
        <w:t>Sch. 3 cl. 1(1)</w:t>
      </w:r>
    </w:p>
    <w:p>
      <w:pPr>
        <w:pStyle w:val="DefinedTerms"/>
      </w:pPr>
      <w:r>
        <w:t>former common property</w:t>
      </w:r>
      <w:r>
        <w:tab/>
        <w:t>Sch. 3 cl. 1(1)</w:t>
      </w:r>
    </w:p>
    <w:p>
      <w:pPr>
        <w:pStyle w:val="DefinedTerms"/>
      </w:pPr>
      <w:r>
        <w:t>former lot</w:t>
      </w:r>
      <w:r>
        <w:tab/>
        <w:t>Sch. 3 cl. 1(1)</w:t>
      </w:r>
    </w:p>
    <w:p>
      <w:pPr>
        <w:pStyle w:val="DefinedTerms"/>
      </w:pPr>
      <w:r>
        <w:t>former parcel</w:t>
      </w:r>
      <w:r>
        <w:tab/>
        <w:t>Sch. 3 cl. 1(1)</w:t>
      </w:r>
    </w:p>
    <w:p>
      <w:pPr>
        <w:pStyle w:val="DefinedTerms"/>
      </w:pPr>
      <w:r>
        <w:t>former proprietor</w:t>
      </w:r>
      <w:r>
        <w:tab/>
        <w:t>Sch. 3 cl. 1(1)</w:t>
      </w:r>
    </w:p>
    <w:p>
      <w:pPr>
        <w:pStyle w:val="DefinedTerms"/>
      </w:pPr>
      <w:r>
        <w:t>former strata scheme</w:t>
      </w:r>
      <w:r>
        <w:tab/>
        <w:t>Sch. 3 cl. 1(1)</w:t>
      </w:r>
    </w:p>
    <w:p>
      <w:pPr>
        <w:pStyle w:val="DefinedTerms"/>
      </w:pPr>
      <w:r>
        <w:t>interim order</w:t>
      </w:r>
      <w:r>
        <w:tab/>
        <w:t>82(1)</w:t>
      </w:r>
    </w:p>
    <w:p>
      <w:pPr>
        <w:pStyle w:val="DefinedTerms"/>
      </w:pPr>
      <w:r>
        <w:t>land</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location plan</w:t>
      </w:r>
      <w:r>
        <w:tab/>
        <w:t>3(1)</w:t>
      </w:r>
    </w:p>
    <w:p>
      <w:pPr>
        <w:pStyle w:val="DefinedTerms"/>
      </w:pPr>
      <w:r>
        <w:t>lot</w:t>
      </w:r>
      <w:r>
        <w:tab/>
        <w:t>3(1), 3(1), 3B(8), 36B(2), 103D(5)</w:t>
      </w:r>
    </w:p>
    <w:p>
      <w:pPr>
        <w:pStyle w:val="DefinedTerms"/>
      </w:pPr>
      <w:r>
        <w:t>management contract or arrangement</w:t>
      </w:r>
      <w:r>
        <w:tab/>
        <w:t>50A(5)</w:t>
      </w:r>
    </w:p>
    <w:p>
      <w:pPr>
        <w:pStyle w:val="DefinedTerms"/>
      </w:pPr>
      <w:r>
        <w:t>Minister for Lands</w:t>
      </w:r>
      <w:r>
        <w:tab/>
        <w:t>29C(3)</w:t>
      </w:r>
    </w:p>
    <w:p>
      <w:pPr>
        <w:pStyle w:val="DefinedTerms"/>
      </w:pPr>
      <w:r>
        <w:t>mortgage</w:t>
      </w:r>
      <w:r>
        <w:tab/>
        <w:t>3(1)</w:t>
      </w:r>
    </w:p>
    <w:p>
      <w:pPr>
        <w:pStyle w:val="DefinedTerms"/>
      </w:pPr>
      <w:r>
        <w:t>occupier</w:t>
      </w:r>
      <w:r>
        <w:tab/>
        <w:t>3(1)</w:t>
      </w:r>
    </w:p>
    <w:p>
      <w:pPr>
        <w:pStyle w:val="DefinedTerms"/>
      </w:pPr>
      <w:r>
        <w:t>open space</w:t>
      </w:r>
      <w:r>
        <w:tab/>
        <w:t>3(1)</w:t>
      </w:r>
    </w:p>
    <w:p>
      <w:pPr>
        <w:pStyle w:val="DefinedTerms"/>
      </w:pPr>
      <w:r>
        <w:t>order</w:t>
      </w:r>
      <w:r>
        <w:tab/>
        <w:t>104(3)</w:t>
      </w:r>
    </w:p>
    <w:p>
      <w:pPr>
        <w:pStyle w:val="DefinedTerms"/>
      </w:pPr>
      <w:r>
        <w:t>original proprietor</w:t>
      </w:r>
      <w:r>
        <w:tab/>
        <w:t>3(1), 68</w:t>
      </w:r>
    </w:p>
    <w:p>
      <w:pPr>
        <w:pStyle w:val="DefinedTerms"/>
      </w:pPr>
      <w:r>
        <w:t>parcel</w:t>
      </w:r>
      <w:r>
        <w:tab/>
        <w:t>3(1)</w:t>
      </w:r>
    </w:p>
    <w:p>
      <w:pPr>
        <w:pStyle w:val="DefinedTerms"/>
      </w:pPr>
      <w:r>
        <w:t>permitted boundary deviation</w:t>
      </w:r>
      <w:r>
        <w:tab/>
        <w:t>3(1)</w:t>
      </w:r>
    </w:p>
    <w:p>
      <w:pPr>
        <w:pStyle w:val="DefinedTerms"/>
      </w:pPr>
      <w:r>
        <w:t>person concerned</w:t>
      </w:r>
      <w:r>
        <w:tab/>
        <w:t>3(1)</w:t>
      </w:r>
    </w:p>
    <w:p>
      <w:pPr>
        <w:pStyle w:val="DefinedTerms"/>
      </w:pPr>
      <w:r>
        <w:t>plot ratio</w:t>
      </w:r>
      <w:r>
        <w:tab/>
        <w:t>3(1)</w:t>
      </w:r>
    </w:p>
    <w:p>
      <w:pPr>
        <w:pStyle w:val="DefinedTerms"/>
      </w:pPr>
      <w:r>
        <w:t>post</w:t>
      </w:r>
      <w:r>
        <w:noBreakHyphen/>
        <w:t>1985 company</w:t>
      </w:r>
      <w:r>
        <w:tab/>
        <w:t>Sch. 4 cl. 1</w:t>
      </w:r>
    </w:p>
    <w:p>
      <w:pPr>
        <w:pStyle w:val="DefinedTerms"/>
      </w:pPr>
      <w:r>
        <w:t>prescribed</w:t>
      </w:r>
      <w:r>
        <w:tab/>
        <w:t>3(1)</w:t>
      </w:r>
    </w:p>
    <w:p>
      <w:pPr>
        <w:pStyle w:val="DefinedTerms"/>
      </w:pPr>
      <w:r>
        <w:t>proprietor</w:t>
      </w:r>
      <w:r>
        <w:tab/>
        <w:t>3(1), 53A</w:t>
      </w:r>
    </w:p>
    <w:p>
      <w:pPr>
        <w:pStyle w:val="DefinedTerms"/>
      </w:pPr>
      <w:r>
        <w:t>proprietor in default</w:t>
      </w:r>
      <w:r>
        <w:tab/>
        <w:t>103B(1)</w:t>
      </w:r>
    </w:p>
    <w:p>
      <w:pPr>
        <w:pStyle w:val="DefinedTerms"/>
      </w:pPr>
      <w:r>
        <w:t>proxy</w:t>
      </w:r>
      <w:r>
        <w:tab/>
        <w:t>50A(1)</w:t>
      </w:r>
    </w:p>
    <w:p>
      <w:pPr>
        <w:pStyle w:val="DefinedTerms"/>
      </w:pPr>
      <w:r>
        <w:t>purchaser</w:t>
      </w:r>
      <w:r>
        <w:tab/>
        <w:t>68</w:t>
      </w:r>
    </w:p>
    <w:p>
      <w:pPr>
        <w:pStyle w:val="DefinedTerms"/>
      </w:pPr>
      <w:r>
        <w:t>real estate agent</w:t>
      </w:r>
      <w:r>
        <w:tab/>
        <w:t>70(8)</w:t>
      </w:r>
    </w:p>
    <w:p>
      <w:pPr>
        <w:pStyle w:val="DefinedTerms"/>
      </w:pPr>
      <w:r>
        <w:t>Register</w:t>
      </w:r>
      <w:r>
        <w:tab/>
        <w:t>3(1)</w:t>
      </w:r>
    </w:p>
    <w:p>
      <w:pPr>
        <w:pStyle w:val="DefinedTerms"/>
      </w:pPr>
      <w:r>
        <w:t>registered interest</w:t>
      </w:r>
      <w:r>
        <w:tab/>
        <w:t>15(5)</w:t>
      </w:r>
    </w:p>
    <w:p>
      <w:pPr>
        <w:pStyle w:val="DefinedTerms"/>
      </w:pPr>
      <w:r>
        <w:t>Registrar of Titles</w:t>
      </w:r>
      <w:r>
        <w:tab/>
        <w:t>3(1), 129C(6)</w:t>
      </w:r>
    </w:p>
    <w:p>
      <w:pPr>
        <w:pStyle w:val="DefinedTerms"/>
      </w:pPr>
      <w:r>
        <w:t>replacement value</w:t>
      </w:r>
      <w:r>
        <w:tab/>
        <w:t>53</w:t>
      </w:r>
    </w:p>
    <w:p>
      <w:pPr>
        <w:pStyle w:val="DefinedTerms"/>
      </w:pPr>
      <w:r>
        <w:t>resolution without dissent</w:t>
      </w:r>
      <w:r>
        <w:tab/>
        <w:t>3(1)</w:t>
      </w:r>
    </w:p>
    <w:p>
      <w:pPr>
        <w:pStyle w:val="DefinedTerms"/>
      </w:pPr>
      <w:r>
        <w:t>re</w:t>
      </w:r>
      <w:r>
        <w:noBreakHyphen/>
        <w:t>subdivision</w:t>
      </w:r>
      <w:r>
        <w:tab/>
        <w:t>3(1)</w:t>
      </w:r>
    </w:p>
    <w:p>
      <w:pPr>
        <w:pStyle w:val="DefinedTerms"/>
      </w:pPr>
      <w:r>
        <w:t>retired person</w:t>
      </w:r>
      <w:r>
        <w:tab/>
        <w:t>6A(3)</w:t>
      </w:r>
    </w:p>
    <w:p>
      <w:pPr>
        <w:pStyle w:val="DefinedTerms"/>
      </w:pPr>
      <w:r>
        <w:t>scheme</w:t>
      </w:r>
      <w:r>
        <w:tab/>
        <w:t>3(1), 53A, 131A(2)</w:t>
      </w:r>
    </w:p>
    <w:p>
      <w:pPr>
        <w:pStyle w:val="DefinedTerms"/>
      </w:pPr>
      <w:r>
        <w:t>servient lot</w:t>
      </w:r>
      <w:r>
        <w:tab/>
        <w:t>5D(2)</w:t>
      </w:r>
    </w:p>
    <w:p>
      <w:pPr>
        <w:pStyle w:val="DefinedTerms"/>
      </w:pPr>
      <w:r>
        <w:t>settlement</w:t>
      </w:r>
      <w:r>
        <w:tab/>
        <w:t>69D(6)</w:t>
      </w:r>
    </w:p>
    <w:p>
      <w:pPr>
        <w:pStyle w:val="DefinedTerms"/>
      </w:pPr>
      <w:r>
        <w:t>settlement agent</w:t>
      </w:r>
      <w:r>
        <w:tab/>
        <w:t>70(8)</w:t>
      </w:r>
    </w:p>
    <w:p>
      <w:pPr>
        <w:pStyle w:val="DefinedTerms"/>
      </w:pPr>
      <w:r>
        <w:t>single tier strata scheme</w:t>
      </w:r>
      <w:r>
        <w:tab/>
        <w:t>3(1)</w:t>
      </w:r>
    </w:p>
    <w:p>
      <w:pPr>
        <w:pStyle w:val="DefinedTerms"/>
      </w:pPr>
      <w:r>
        <w:t>site value</w:t>
      </w:r>
      <w:r>
        <w:tab/>
        <w:t>14(2a)</w:t>
      </w:r>
    </w:p>
    <w:p>
      <w:pPr>
        <w:pStyle w:val="DefinedTerms"/>
      </w:pPr>
      <w:r>
        <w:t>sketch plan</w:t>
      </w:r>
      <w:r>
        <w:tab/>
        <w:t>21T(1)</w:t>
      </w:r>
    </w:p>
    <w:p>
      <w:pPr>
        <w:pStyle w:val="DefinedTerms"/>
      </w:pPr>
      <w:r>
        <w:t>special resolution</w:t>
      </w:r>
      <w:r>
        <w:tab/>
        <w:t>3(1)</w:t>
      </w:r>
    </w:p>
    <w:p>
      <w:pPr>
        <w:pStyle w:val="DefinedTerms"/>
      </w:pPr>
      <w:r>
        <w:t>strata company</w:t>
      </w:r>
      <w:r>
        <w:tab/>
        <w:t>3(1), 53A, 54(1)</w:t>
      </w:r>
    </w:p>
    <w:p>
      <w:pPr>
        <w:pStyle w:val="DefinedTerms"/>
      </w:pPr>
      <w:r>
        <w:t>strata plan</w:t>
      </w:r>
      <w:r>
        <w:tab/>
        <w:t>3(1)</w:t>
      </w:r>
    </w:p>
    <w:p>
      <w:pPr>
        <w:pStyle w:val="DefinedTerms"/>
      </w:pPr>
      <w:r>
        <w:t>strata scheme</w:t>
      </w:r>
      <w:r>
        <w:tab/>
        <w:t>3(1)</w:t>
      </w:r>
    </w:p>
    <w:p>
      <w:pPr>
        <w:pStyle w:val="DefinedTerms"/>
      </w:pPr>
      <w:r>
        <w:t>strata/survey</w:t>
      </w:r>
      <w:r>
        <w:noBreakHyphen/>
        <w:t>strata plan</w:t>
      </w:r>
      <w:r>
        <w:tab/>
        <w:t>3(1)</w:t>
      </w:r>
    </w:p>
    <w:p>
      <w:pPr>
        <w:pStyle w:val="DefinedTerms"/>
      </w:pPr>
      <w:r>
        <w:t>structural cubic space</w:t>
      </w:r>
      <w:r>
        <w:tab/>
        <w:t>3(1)</w:t>
      </w:r>
    </w:p>
    <w:p>
      <w:pPr>
        <w:pStyle w:val="DefinedTerms"/>
      </w:pPr>
      <w:r>
        <w:t>structure</w:t>
      </w:r>
      <w:r>
        <w:tab/>
        <w:t>7(6), 7A(4)</w:t>
      </w:r>
    </w:p>
    <w:p>
      <w:pPr>
        <w:pStyle w:val="DefinedTerms"/>
      </w:pPr>
      <w:r>
        <w:t>survey</w:t>
      </w:r>
      <w:r>
        <w:noBreakHyphen/>
        <w:t>strata plan</w:t>
      </w:r>
      <w:r>
        <w:tab/>
        <w:t>3(1)</w:t>
      </w:r>
    </w:p>
    <w:p>
      <w:pPr>
        <w:pStyle w:val="DefinedTerms"/>
      </w:pPr>
      <w:r>
        <w:t>survey</w:t>
      </w:r>
      <w:r>
        <w:noBreakHyphen/>
        <w:t>strata scheme</w:t>
      </w:r>
      <w:r>
        <w:tab/>
        <w:t>3(1)</w:t>
      </w:r>
    </w:p>
    <w:p>
      <w:pPr>
        <w:pStyle w:val="DefinedTerms"/>
      </w:pPr>
      <w:r>
        <w:t>take</w:t>
      </w:r>
      <w:r>
        <w:tab/>
        <w:t>3(1)</w:t>
      </w:r>
    </w:p>
    <w:p>
      <w:pPr>
        <w:pStyle w:val="DefinedTerms"/>
      </w:pPr>
      <w:r>
        <w:t>taken</w:t>
      </w:r>
      <w:r>
        <w:tab/>
        <w:t>3(1)</w:t>
      </w:r>
    </w:p>
    <w:p>
      <w:pPr>
        <w:pStyle w:val="DefinedTerms"/>
      </w:pPr>
      <w:r>
        <w:t>taking</w:t>
      </w:r>
      <w:r>
        <w:tab/>
        <w:t>3(1)</w:t>
      </w:r>
    </w:p>
    <w:p>
      <w:pPr>
        <w:pStyle w:val="DefinedTerms"/>
      </w:pPr>
      <w:r>
        <w:t>taking order</w:t>
      </w:r>
      <w:r>
        <w:tab/>
        <w:t>29C(3)</w:t>
      </w:r>
    </w:p>
    <w:p>
      <w:pPr>
        <w:pStyle w:val="DefinedTerms"/>
      </w:pPr>
      <w:r>
        <w:t>termination day</w:t>
      </w:r>
      <w:r>
        <w:tab/>
        <w:t>Sch. 3 cl. 12(2)</w:t>
      </w:r>
    </w:p>
    <w:p>
      <w:pPr>
        <w:pStyle w:val="DefinedTerms"/>
      </w:pPr>
      <w:r>
        <w:t>transition period</w:t>
      </w:r>
      <w:r>
        <w:tab/>
        <w:t>123A(2), 123C(2), Sch. 4 cl. 1</w:t>
      </w:r>
    </w:p>
    <w:p>
      <w:pPr>
        <w:pStyle w:val="DefinedTerms"/>
      </w:pPr>
      <w:r>
        <w:t>two</w:t>
      </w:r>
      <w:r>
        <w:noBreakHyphen/>
        <w:t>lot scheme</w:t>
      </w:r>
      <w:r>
        <w:tab/>
        <w:t>3(1)</w:t>
      </w:r>
    </w:p>
    <w:p>
      <w:pPr>
        <w:pStyle w:val="DefinedTerms"/>
      </w:pPr>
      <w:r>
        <w:t>unanimous resolution</w:t>
      </w:r>
      <w:r>
        <w:tab/>
        <w:t>3(1)</w:t>
      </w:r>
    </w:p>
    <w:p>
      <w:pPr>
        <w:pStyle w:val="DefinedTerms"/>
      </w:pPr>
      <w:r>
        <w:t>unit entitlement</w:t>
      </w:r>
      <w:r>
        <w:tab/>
        <w:t>3(1)</w:t>
      </w:r>
    </w:p>
    <w:p>
      <w:pPr>
        <w:pStyle w:val="DefinedTerms"/>
      </w:pPr>
      <w:r>
        <w:t>vacant lot</w:t>
      </w:r>
      <w:r>
        <w:tab/>
        <w:t>7(6)</w:t>
      </w:r>
    </w:p>
    <w:p>
      <w:pPr>
        <w:pStyle w:val="DefinedTerms"/>
      </w:pPr>
      <w:r>
        <w:t>value</w:t>
      </w:r>
      <w:r>
        <w:tab/>
        <w:t>14(2a), 15(5), 16(7), 103H(4)</w:t>
      </w:r>
    </w:p>
    <w:p>
      <w:pPr>
        <w:pStyle w:val="DefinedTerms"/>
      </w:pPr>
      <w:r>
        <w:t>vendor</w:t>
      </w:r>
      <w:r>
        <w:tab/>
        <w:t>68</w:t>
      </w:r>
    </w:p>
    <w:p>
      <w:pPr>
        <w:pStyle w:val="DefinedTerms"/>
      </w:pPr>
      <w:r>
        <w:t>wall</w:t>
      </w:r>
      <w:r>
        <w:tab/>
        <w:t>3(1)</w:t>
      </w:r>
    </w:p>
    <w:p>
      <w:pPr>
        <w:pStyle w:val="DefinedTerms"/>
      </w:pPr>
      <w:r>
        <w:t>working days</w:t>
      </w:r>
      <w:r>
        <w:tab/>
        <w:t>69D(6)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70" w:name="Schedule"/>
    <w:bookmarkEnd w:id="3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Schedule 2 by-laws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Schedule 2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55" w:name="Compilation"/>
    <w:bookmarkEnd w:id="23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59" w:name="DefinedTerms"/>
    <w:bookmarkEnd w:id="23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0" w:name="Coversheet"/>
    <w:bookmarkEnd w:id="2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0D7B74"/>
    <w:multiLevelType w:val="hybridMultilevel"/>
    <w:tmpl w:val="B134BF1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14"/>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947C2-71B3-4A09-B5C8-653BAFAED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542</Pages>
  <Words>148054</Words>
  <Characters>698815</Characters>
  <Application>Microsoft Office Word</Application>
  <DocSecurity>0</DocSecurity>
  <Lines>19966</Lines>
  <Paragraphs>10857</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836012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1985 - 07-f0-03</dc:title>
  <dc:subject/>
  <dc:creator/>
  <cp:keywords/>
  <dc:description/>
  <cp:lastModifiedBy>svcMRProcess</cp:lastModifiedBy>
  <cp:revision>4</cp:revision>
  <cp:lastPrinted>2018-09-21T02:17:00Z</cp:lastPrinted>
  <dcterms:created xsi:type="dcterms:W3CDTF">2019-05-11T01:32:00Z</dcterms:created>
  <dcterms:modified xsi:type="dcterms:W3CDTF">2019-05-11T01:32:00Z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AsAtDate">
    <vt:lpwstr>19 Nov 2018</vt:lpwstr>
  </property>
  <property fmtid="{D5CDD505-2E9C-101B-9397-08002B2CF9AE}" pid="8" name="Suffix">
    <vt:lpwstr>07-f0-03</vt:lpwstr>
  </property>
  <property fmtid="{D5CDD505-2E9C-101B-9397-08002B2CF9AE}" pid="9" name="CommencementDate">
    <vt:lpwstr>20181119</vt:lpwstr>
  </property>
</Properties>
</file>