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Home Building Contracts Act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_Toc530558328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_Toc530558329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_Toc530558330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Home building work contracts</w:t>
      </w:r>
    </w:p>
    <w:p>
      <w:pPr>
        <w:pStyle w:val="TOC8"/>
        <w:rPr>
          <w:rFonts w:asciiTheme="minorHAnsi" w:eastAsiaTheme="minorEastAsia" w:hAnsiTheme="minorHAnsi" w:cstheme="minorBidi"/>
          <w:szCs w:val="22"/>
        </w:rPr>
      </w:pPr>
      <w:r>
        <w:t>4</w:t>
      </w:r>
      <w:r>
        <w:rPr>
          <w:snapToGrid w:val="0"/>
        </w:rPr>
        <w:t>.</w:t>
      </w:r>
      <w:r>
        <w:rPr>
          <w:snapToGrid w:val="0"/>
        </w:rPr>
        <w:tab/>
        <w:t>Contracts to be in writing; prescribed explanatory notice to be given</w:t>
      </w:r>
      <w:r>
        <w:tab/>
      </w:r>
      <w:r>
        <w:fldChar w:fldCharType="begin"/>
      </w:r>
      <w:r>
        <w:instrText xml:space="preserve"> PAGEREF _Toc530558332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Owner to be given copy of contract</w:t>
      </w:r>
      <w:r>
        <w:tab/>
      </w:r>
      <w:r>
        <w:fldChar w:fldCharType="begin"/>
      </w:r>
      <w:r>
        <w:instrText xml:space="preserve"> PAGEREF _Toc530558333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 of documents by owner, proof of</w:t>
      </w:r>
      <w:r>
        <w:tab/>
      </w:r>
      <w:r>
        <w:fldChar w:fldCharType="begin"/>
      </w:r>
      <w:r>
        <w:instrText xml:space="preserve"> PAGEREF _Toc530558334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Variation of contract to be in writing and given to owner</w:t>
      </w:r>
      <w:r>
        <w:tab/>
      </w:r>
      <w:r>
        <w:fldChar w:fldCharType="begin"/>
      </w:r>
      <w:r>
        <w:instrText xml:space="preserve"> PAGEREF _Toc530558335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7 and related provisions</w:t>
      </w:r>
      <w:r>
        <w:tab/>
      </w:r>
      <w:r>
        <w:fldChar w:fldCharType="begin"/>
      </w:r>
      <w:r>
        <w:instrText xml:space="preserve"> PAGEREF _Toc530558336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Building permit etc., implied conditions and terms as to</w:t>
      </w:r>
      <w:r>
        <w:tab/>
      </w:r>
      <w:r>
        <w:fldChar w:fldCharType="begin"/>
      </w:r>
      <w:r>
        <w:instrText xml:space="preserve"> PAGEREF _Toc530558337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Deposits and progress payments, limits on terms as to</w:t>
      </w:r>
      <w:r>
        <w:tab/>
      </w:r>
      <w:r>
        <w:fldChar w:fldCharType="begin"/>
      </w:r>
      <w:r>
        <w:instrText xml:space="preserve"> PAGEREF _Toc530558338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Defects, implied condition as to liability for</w:t>
      </w:r>
      <w:r>
        <w:tab/>
      </w:r>
      <w:r>
        <w:fldChar w:fldCharType="begin"/>
      </w:r>
      <w:r>
        <w:instrText xml:space="preserve"> PAGEREF _Toc530558339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Understatement of prime cost items etc. by builder, offence</w:t>
      </w:r>
      <w:r>
        <w:tab/>
      </w:r>
      <w:r>
        <w:fldChar w:fldCharType="begin"/>
      </w:r>
      <w:r>
        <w:instrText xml:space="preserve"> PAGEREF _Toc530558340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_Toc530558341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 plus contracts, requirements as to</w:t>
      </w:r>
      <w:r>
        <w:tab/>
      </w:r>
      <w:r>
        <w:fldChar w:fldCharType="begin"/>
      </w:r>
      <w:r>
        <w:instrText xml:space="preserve"> PAGEREF _Toc530558342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Unconscionable etc. conduct by builder as to contract etc.</w:t>
      </w:r>
      <w:r>
        <w:tab/>
      </w:r>
      <w:r>
        <w:fldChar w:fldCharType="begin"/>
      </w:r>
      <w:r>
        <w:instrText xml:space="preserve"> PAGEREF _Toc530558343 \h </w:instrText>
      </w:r>
      <w:r>
        <w:fldChar w:fldCharType="separate"/>
      </w:r>
      <w:r>
        <w:t>15</w:t>
      </w:r>
      <w:r>
        <w:fldChar w:fldCharType="end"/>
      </w:r>
    </w:p>
    <w:p>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_Toc530558344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Remedies</w:t>
      </w:r>
    </w:p>
    <w:p>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_Toc530558346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contract terminated</w:t>
      </w:r>
      <w:r>
        <w:tab/>
      </w:r>
      <w:r>
        <w:fldChar w:fldCharType="begin"/>
      </w:r>
      <w:r>
        <w:instrText xml:space="preserve"> PAGEREF _Toc530558347 \h </w:instrText>
      </w:r>
      <w:r>
        <w:fldChar w:fldCharType="separate"/>
      </w:r>
      <w:r>
        <w:t>18</w:t>
      </w:r>
      <w:r>
        <w:fldChar w:fldCharType="end"/>
      </w:r>
    </w:p>
    <w:p>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_Toc530558348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25A</w:t>
      </w:r>
      <w:r>
        <w:rPr>
          <w:snapToGrid w:val="0"/>
        </w:rPr>
        <w:t>.</w:t>
      </w:r>
      <w:r>
        <w:rPr>
          <w:snapToGrid w:val="0"/>
        </w:rPr>
        <w:tab/>
        <w:t>Terms used</w:t>
      </w:r>
      <w:r>
        <w:tab/>
      </w:r>
      <w:r>
        <w:fldChar w:fldCharType="begin"/>
      </w:r>
      <w:r>
        <w:instrText xml:space="preserve"> PAGEREF _Toc530558351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Builders</w:t>
      </w:r>
    </w:p>
    <w:p>
      <w:pPr>
        <w:pStyle w:val="TOC8"/>
        <w:rPr>
          <w:rFonts w:asciiTheme="minorHAnsi" w:eastAsiaTheme="minorEastAsia" w:hAnsiTheme="minorHAnsi" w:cstheme="minorBidi"/>
          <w:szCs w:val="22"/>
        </w:rPr>
      </w:pPr>
      <w:r>
        <w:t>25B</w:t>
      </w:r>
      <w:r>
        <w:rPr>
          <w:snapToGrid w:val="0"/>
        </w:rPr>
        <w:t xml:space="preserve">. </w:t>
      </w:r>
      <w:r>
        <w:rPr>
          <w:snapToGrid w:val="0"/>
        </w:rPr>
        <w:tab/>
        <w:t>Application of this Division</w:t>
      </w:r>
      <w:r>
        <w:tab/>
      </w:r>
      <w:r>
        <w:fldChar w:fldCharType="begin"/>
      </w:r>
      <w:r>
        <w:instrText xml:space="preserve"> PAGEREF _Toc530558353 \h </w:instrText>
      </w:r>
      <w:r>
        <w:fldChar w:fldCharType="separate"/>
      </w:r>
      <w:r>
        <w:t>24</w:t>
      </w:r>
      <w:r>
        <w:fldChar w:fldCharType="end"/>
      </w:r>
    </w:p>
    <w:p>
      <w:pPr>
        <w:pStyle w:val="TOC8"/>
        <w:rPr>
          <w:rFonts w:asciiTheme="minorHAnsi" w:eastAsiaTheme="minorEastAsia" w:hAnsiTheme="minorHAnsi" w:cstheme="minorBidi"/>
          <w:szCs w:val="22"/>
        </w:rPr>
      </w:pPr>
      <w:r>
        <w:t>25C</w:t>
      </w:r>
      <w:r>
        <w:rPr>
          <w:snapToGrid w:val="0"/>
        </w:rPr>
        <w:t xml:space="preserve">. </w:t>
      </w:r>
      <w:r>
        <w:rPr>
          <w:snapToGrid w:val="0"/>
        </w:rPr>
        <w:tab/>
        <w:t>Builder doing residential building work without insurance or corresponding cover, offence</w:t>
      </w:r>
      <w:r>
        <w:tab/>
      </w:r>
      <w:r>
        <w:fldChar w:fldCharType="begin"/>
      </w:r>
      <w:r>
        <w:instrText xml:space="preserve"> PAGEREF _Toc530558354 \h </w:instrText>
      </w:r>
      <w:r>
        <w:fldChar w:fldCharType="separate"/>
      </w:r>
      <w:r>
        <w:t>25</w:t>
      </w:r>
      <w:r>
        <w:fldChar w:fldCharType="end"/>
      </w:r>
    </w:p>
    <w:p>
      <w:pPr>
        <w:pStyle w:val="TOC8"/>
        <w:rPr>
          <w:rFonts w:asciiTheme="minorHAnsi" w:eastAsiaTheme="minorEastAsia" w:hAnsiTheme="minorHAnsi" w:cstheme="minorBidi"/>
          <w:szCs w:val="22"/>
        </w:rPr>
      </w:pPr>
      <w:r>
        <w:t>25D</w:t>
      </w:r>
      <w:r>
        <w:rPr>
          <w:snapToGrid w:val="0"/>
        </w:rPr>
        <w:t xml:space="preserve">. </w:t>
      </w:r>
      <w:r>
        <w:rPr>
          <w:snapToGrid w:val="0"/>
        </w:rPr>
        <w:tab/>
        <w:t>Insurance policy for this Division, terms of</w:t>
      </w:r>
      <w:r>
        <w:tab/>
      </w:r>
      <w:r>
        <w:fldChar w:fldCharType="begin"/>
      </w:r>
      <w:r>
        <w:instrText xml:space="preserve"> PAGEREF _Toc530558355 \h </w:instrText>
      </w:r>
      <w:r>
        <w:fldChar w:fldCharType="separate"/>
      </w:r>
      <w:r>
        <w:t>26</w:t>
      </w:r>
      <w:r>
        <w:fldChar w:fldCharType="end"/>
      </w:r>
    </w:p>
    <w:p>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_Toc530558356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Owner</w:t>
      </w:r>
      <w:r>
        <w:noBreakHyphen/>
        <w:t>builders</w:t>
      </w:r>
    </w:p>
    <w:p>
      <w:pPr>
        <w:pStyle w:val="TOC8"/>
        <w:rPr>
          <w:rFonts w:asciiTheme="minorHAnsi" w:eastAsiaTheme="minorEastAsia" w:hAnsiTheme="minorHAnsi" w:cstheme="minorBidi"/>
          <w:szCs w:val="22"/>
        </w:rPr>
      </w:pPr>
      <w:r>
        <w:t>25E</w:t>
      </w:r>
      <w:r>
        <w:rPr>
          <w:snapToGrid w:val="0"/>
        </w:rPr>
        <w:t xml:space="preserve">. </w:t>
      </w:r>
      <w:r>
        <w:rPr>
          <w:snapToGrid w:val="0"/>
        </w:rPr>
        <w:tab/>
        <w:t>Application of this Division</w:t>
      </w:r>
      <w:r>
        <w:tab/>
      </w:r>
      <w:r>
        <w:fldChar w:fldCharType="begin"/>
      </w:r>
      <w:r>
        <w:instrText xml:space="preserve"> PAGEREF _Toc530558358 \h </w:instrText>
      </w:r>
      <w:r>
        <w:fldChar w:fldCharType="separate"/>
      </w:r>
      <w:r>
        <w:t>29</w:t>
      </w:r>
      <w:r>
        <w:fldChar w:fldCharType="end"/>
      </w:r>
    </w:p>
    <w:p>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_Toc530558359 \h </w:instrText>
      </w:r>
      <w:r>
        <w:fldChar w:fldCharType="separate"/>
      </w:r>
      <w:r>
        <w:t>29</w:t>
      </w:r>
      <w:r>
        <w:fldChar w:fldCharType="end"/>
      </w:r>
    </w:p>
    <w:p>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_Toc530558360 \h </w:instrText>
      </w:r>
      <w:r>
        <w:fldChar w:fldCharType="separate"/>
      </w:r>
      <w:r>
        <w:t>30</w:t>
      </w:r>
      <w:r>
        <w:fldChar w:fldCharType="end"/>
      </w:r>
    </w:p>
    <w:p>
      <w:pPr>
        <w:pStyle w:val="TOC8"/>
        <w:rPr>
          <w:rFonts w:asciiTheme="minorHAnsi" w:eastAsiaTheme="minorEastAsia" w:hAnsiTheme="minorHAnsi" w:cstheme="minorBidi"/>
          <w:szCs w:val="22"/>
        </w:rPr>
      </w:pPr>
      <w:r>
        <w:t>25G</w:t>
      </w:r>
      <w:r>
        <w:rPr>
          <w:snapToGrid w:val="0"/>
        </w:rPr>
        <w:t xml:space="preserve">. </w:t>
      </w:r>
      <w:r>
        <w:rPr>
          <w:snapToGrid w:val="0"/>
        </w:rPr>
        <w:tab/>
        <w:t>Insurance policy for this Division, terms of</w:t>
      </w:r>
      <w:r>
        <w:tab/>
      </w:r>
      <w:r>
        <w:fldChar w:fldCharType="begin"/>
      </w:r>
      <w:r>
        <w:instrText xml:space="preserve"> PAGEREF _Toc530558361 \h </w:instrText>
      </w:r>
      <w:r>
        <w:fldChar w:fldCharType="separate"/>
      </w:r>
      <w:r>
        <w:t>31</w:t>
      </w:r>
      <w:r>
        <w:fldChar w:fldCharType="end"/>
      </w:r>
    </w:p>
    <w:p>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_Toc530558362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3A — Approved funds</w:t>
      </w:r>
    </w:p>
    <w:p>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_Toc530558364 \h </w:instrText>
      </w:r>
      <w:r>
        <w:fldChar w:fldCharType="separate"/>
      </w:r>
      <w:r>
        <w:t>33</w:t>
      </w:r>
      <w:r>
        <w:fldChar w:fldCharType="end"/>
      </w:r>
    </w:p>
    <w:p>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_Toc530558365 \h </w:instrText>
      </w:r>
      <w:r>
        <w:fldChar w:fldCharType="separate"/>
      </w:r>
      <w:r>
        <w:t>34</w:t>
      </w:r>
      <w:r>
        <w:fldChar w:fldCharType="end"/>
      </w:r>
    </w:p>
    <w:p>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_Toc530558366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25H</w:t>
      </w:r>
      <w:r>
        <w:rPr>
          <w:snapToGrid w:val="0"/>
        </w:rPr>
        <w:t xml:space="preserve">. </w:t>
      </w:r>
      <w:r>
        <w:rPr>
          <w:snapToGrid w:val="0"/>
        </w:rPr>
        <w:tab/>
        <w:t>Review of this Part by Minister</w:t>
      </w:r>
      <w:r>
        <w:tab/>
      </w:r>
      <w:r>
        <w:fldChar w:fldCharType="begin"/>
      </w:r>
      <w:r>
        <w:instrText xml:space="preserve"> PAGEREF _Toc530558368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_Toc530558370 \h </w:instrText>
      </w:r>
      <w:r>
        <w:fldChar w:fldCharType="separate"/>
      </w:r>
      <w:r>
        <w:t>35</w:t>
      </w:r>
      <w:r>
        <w:fldChar w:fldCharType="end"/>
      </w:r>
    </w:p>
    <w:p>
      <w:pPr>
        <w:pStyle w:val="TOC8"/>
        <w:rPr>
          <w:rFonts w:asciiTheme="minorHAnsi" w:eastAsiaTheme="minorEastAsia" w:hAnsiTheme="minorHAnsi" w:cstheme="minorBidi"/>
          <w:szCs w:val="22"/>
        </w:rPr>
      </w:pPr>
      <w:r>
        <w:t>25J.</w:t>
      </w:r>
      <w:r>
        <w:tab/>
        <w:t>Contracts with builders, builders to give prescribed notice to other party</w:t>
      </w:r>
      <w:r>
        <w:tab/>
      </w:r>
      <w:r>
        <w:fldChar w:fldCharType="begin"/>
      </w:r>
      <w:r>
        <w:instrText xml:space="preserve"> PAGEREF _Toc530558371 \h </w:instrText>
      </w:r>
      <w:r>
        <w:fldChar w:fldCharType="separate"/>
      </w:r>
      <w:r>
        <w:t>35</w:t>
      </w:r>
      <w:r>
        <w:fldChar w:fldCharType="end"/>
      </w:r>
    </w:p>
    <w:p>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_Toc530558372 \h </w:instrText>
      </w:r>
      <w:r>
        <w:fldChar w:fldCharType="separate"/>
      </w:r>
      <w:r>
        <w:t>37</w:t>
      </w:r>
      <w:r>
        <w:fldChar w:fldCharType="end"/>
      </w:r>
    </w:p>
    <w:p>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_Toc530558373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rPr>
          <w:snapToGrid w:val="0"/>
        </w:rPr>
        <w:t>.</w:t>
      </w:r>
      <w:r>
        <w:rPr>
          <w:snapToGrid w:val="0"/>
        </w:rPr>
        <w:tab/>
        <w:t>Inspection by owner etc. of building work, prevention of etc.</w:t>
      </w:r>
      <w:r>
        <w:tab/>
      </w:r>
      <w:r>
        <w:fldChar w:fldCharType="begin"/>
      </w:r>
      <w:r>
        <w:instrText xml:space="preserve"> PAGEREF _Toc530558375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Breach of Act, effect of on contract</w:t>
      </w:r>
      <w:r>
        <w:tab/>
      </w:r>
      <w:r>
        <w:fldChar w:fldCharType="begin"/>
      </w:r>
      <w:r>
        <w:instrText xml:space="preserve"> PAGEREF _Toc530558376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Contracting out prohibited</w:t>
      </w:r>
      <w:r>
        <w:tab/>
      </w:r>
      <w:r>
        <w:fldChar w:fldCharType="begin"/>
      </w:r>
      <w:r>
        <w:instrText xml:space="preserve"> PAGEREF _Toc530558377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Other laws not affected</w:t>
      </w:r>
      <w:r>
        <w:tab/>
      </w:r>
      <w:r>
        <w:fldChar w:fldCharType="begin"/>
      </w:r>
      <w:r>
        <w:instrText xml:space="preserve"> PAGEREF _Toc530558378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 by body corporate, liability of officers for</w:t>
      </w:r>
      <w:r>
        <w:tab/>
      </w:r>
      <w:r>
        <w:fldChar w:fldCharType="begin"/>
      </w:r>
      <w:r>
        <w:instrText xml:space="preserve"> PAGEREF _Toc530558379 \h </w:instrText>
      </w:r>
      <w:r>
        <w:fldChar w:fldCharType="separate"/>
      </w:r>
      <w:r>
        <w:t>39</w:t>
      </w:r>
      <w:r>
        <w:fldChar w:fldCharType="end"/>
      </w:r>
    </w:p>
    <w:p>
      <w:pPr>
        <w:pStyle w:val="TOC8"/>
        <w:rPr>
          <w:rFonts w:asciiTheme="minorHAnsi" w:eastAsiaTheme="minorEastAsia" w:hAnsiTheme="minorHAnsi" w:cstheme="minorBidi"/>
          <w:szCs w:val="22"/>
        </w:rPr>
      </w:pPr>
      <w:r>
        <w:t>31.</w:t>
      </w:r>
      <w:r>
        <w:tab/>
        <w:t>Prosecutions</w:t>
      </w:r>
      <w:r>
        <w:tab/>
      </w:r>
      <w:r>
        <w:fldChar w:fldCharType="begin"/>
      </w:r>
      <w:r>
        <w:instrText xml:space="preserve"> PAGEREF _Toc530558380 \h </w:instrText>
      </w:r>
      <w:r>
        <w:fldChar w:fldCharType="separate"/>
      </w:r>
      <w:r>
        <w:t>39</w:t>
      </w:r>
      <w:r>
        <w:fldChar w:fldCharType="end"/>
      </w:r>
    </w:p>
    <w:p>
      <w:pPr>
        <w:pStyle w:val="TOC8"/>
        <w:rPr>
          <w:rFonts w:asciiTheme="minorHAnsi" w:eastAsiaTheme="minorEastAsia" w:hAnsiTheme="minorHAnsi" w:cstheme="minorBidi"/>
          <w:szCs w:val="22"/>
        </w:rPr>
      </w:pPr>
      <w:r>
        <w:t>31B.</w:t>
      </w:r>
      <w:r>
        <w:tab/>
      </w:r>
      <w:r>
        <w:rPr>
          <w:snapToGrid w:val="0"/>
        </w:rPr>
        <w:t>Infringement notices</w:t>
      </w:r>
      <w:r>
        <w:tab/>
      </w:r>
      <w:r>
        <w:fldChar w:fldCharType="begin"/>
      </w:r>
      <w:r>
        <w:instrText xml:space="preserve"> PAGEREF _Toc530558381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_Toc530558382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Retrospectivity of Act</w:t>
      </w:r>
      <w:r>
        <w:tab/>
      </w:r>
      <w:r>
        <w:fldChar w:fldCharType="begin"/>
      </w:r>
      <w:r>
        <w:instrText xml:space="preserve"> PAGEREF _Toc530558383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_Toc530558384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pPr>
        <w:pStyle w:val="TOC8"/>
        <w:rPr>
          <w:rFonts w:asciiTheme="minorHAnsi" w:eastAsiaTheme="minorEastAsia" w:hAnsiTheme="minorHAnsi" w:cstheme="minorBidi"/>
          <w:szCs w:val="22"/>
        </w:rPr>
      </w:pPr>
      <w:r>
        <w:t>1</w:t>
      </w:r>
      <w:r>
        <w:rPr>
          <w:snapToGrid w:val="0"/>
        </w:rPr>
        <w:t>.</w:t>
      </w:r>
      <w:r>
        <w:rPr>
          <w:snapToGrid w:val="0"/>
        </w:rPr>
        <w:tab/>
        <w:t>Condition in s. 9(1), non-fulfilment of by builder</w:t>
      </w:r>
      <w:r>
        <w:tab/>
      </w:r>
      <w:r>
        <w:fldChar w:fldCharType="begin"/>
      </w:r>
      <w:r>
        <w:instrText xml:space="preserve"> PAGEREF _Toc530558386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Condition in s. 9(1), non-fulfilment of by owner</w:t>
      </w:r>
      <w:r>
        <w:tab/>
      </w:r>
      <w:r>
        <w:fldChar w:fldCharType="begin"/>
      </w:r>
      <w:r>
        <w:instrText xml:space="preserve"> PAGEREF _Toc530558387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Condition in s. 9(1), non-fulfilment of by builder and owner</w:t>
      </w:r>
      <w:r>
        <w:tab/>
      </w:r>
      <w:r>
        <w:fldChar w:fldCharType="begin"/>
      </w:r>
      <w:r>
        <w:instrText xml:space="preserve"> PAGEREF _Toc530558388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builder and owner if cl. 2 or 3 or s. 13(4)(c) applies</w:t>
      </w:r>
      <w:r>
        <w:tab/>
      </w:r>
      <w:r>
        <w:fldChar w:fldCharType="begin"/>
      </w:r>
      <w:r>
        <w:instrText xml:space="preserve"> PAGEREF _Toc530558389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Price increase, review of</w:t>
      </w:r>
      <w:r>
        <w:tab/>
      </w:r>
      <w:r>
        <w:fldChar w:fldCharType="begin"/>
      </w:r>
      <w:r>
        <w:instrText xml:space="preserve"> PAGEREF _Toc530558390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_Toc530558392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_Toc530558393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3" w:name="_Toc530488393"/>
      <w:bookmarkStart w:id="4" w:name="_Toc530489378"/>
      <w:bookmarkStart w:id="5" w:name="_Toc53055832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rPr>
          <w:snapToGrid w:val="0"/>
        </w:rPr>
      </w:pPr>
      <w:bookmarkStart w:id="6" w:name="_Toc530558328"/>
      <w:r>
        <w:rPr>
          <w:rStyle w:val="CharSectno"/>
        </w:rPr>
        <w:t>1</w:t>
      </w:r>
      <w:r>
        <w:rPr>
          <w:snapToGrid w:val="0"/>
        </w:rPr>
        <w:t>.</w:t>
      </w:r>
      <w:r>
        <w:rPr>
          <w:snapToGrid w:val="0"/>
        </w:rPr>
        <w:tab/>
        <w:t>Short title</w:t>
      </w:r>
      <w:bookmarkEnd w:id="6"/>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7" w:name="_Toc530558329"/>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8" w:name="_Toc530558330"/>
      <w:r>
        <w:rPr>
          <w:rStyle w:val="CharSectno"/>
        </w:rPr>
        <w:t>3</w:t>
      </w:r>
      <w:r>
        <w:rPr>
          <w:snapToGrid w:val="0"/>
        </w:rPr>
        <w:t>.</w:t>
      </w:r>
      <w:r>
        <w:rPr>
          <w:snapToGrid w:val="0"/>
        </w:rPr>
        <w:tab/>
        <w:t>Terms used</w:t>
      </w:r>
      <w:bookmarkEnd w:id="8"/>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9" w:name="_Toc530488397"/>
      <w:bookmarkStart w:id="10" w:name="_Toc530489382"/>
      <w:bookmarkStart w:id="11" w:name="_Toc530558331"/>
      <w:r>
        <w:rPr>
          <w:rStyle w:val="CharPartNo"/>
        </w:rPr>
        <w:t>Part 2</w:t>
      </w:r>
      <w:r>
        <w:rPr>
          <w:rStyle w:val="CharDivNo"/>
        </w:rPr>
        <w:t> </w:t>
      </w:r>
      <w:r>
        <w:t>—</w:t>
      </w:r>
      <w:r>
        <w:rPr>
          <w:rStyle w:val="CharDivText"/>
        </w:rPr>
        <w:t> </w:t>
      </w:r>
      <w:r>
        <w:rPr>
          <w:rStyle w:val="CharPartText"/>
        </w:rPr>
        <w:t>Home building work contracts</w:t>
      </w:r>
      <w:bookmarkEnd w:id="9"/>
      <w:bookmarkEnd w:id="10"/>
      <w:bookmarkEnd w:id="11"/>
    </w:p>
    <w:p>
      <w:pPr>
        <w:pStyle w:val="Heading5"/>
        <w:spacing w:before="160"/>
        <w:rPr>
          <w:snapToGrid w:val="0"/>
        </w:rPr>
      </w:pPr>
      <w:bookmarkStart w:id="12" w:name="_Toc530558332"/>
      <w:r>
        <w:rPr>
          <w:rStyle w:val="CharSectno"/>
        </w:rPr>
        <w:t>4</w:t>
      </w:r>
      <w:r>
        <w:rPr>
          <w:snapToGrid w:val="0"/>
        </w:rPr>
        <w:t>.</w:t>
      </w:r>
      <w:r>
        <w:rPr>
          <w:snapToGrid w:val="0"/>
        </w:rPr>
        <w:tab/>
        <w:t>Contracts to be in writing; prescribed explanatory notice to be given</w:t>
      </w:r>
      <w:bookmarkEnd w:id="12"/>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3" w:name="_Toc530558333"/>
      <w:r>
        <w:rPr>
          <w:rStyle w:val="CharSectno"/>
        </w:rPr>
        <w:t>5</w:t>
      </w:r>
      <w:r>
        <w:rPr>
          <w:snapToGrid w:val="0"/>
        </w:rPr>
        <w:t>.</w:t>
      </w:r>
      <w:r>
        <w:rPr>
          <w:snapToGrid w:val="0"/>
        </w:rPr>
        <w:tab/>
        <w:t>Owner to be given copy of contract</w:t>
      </w:r>
      <w:bookmarkEnd w:id="13"/>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4" w:name="_Toc530558334"/>
      <w:r>
        <w:rPr>
          <w:rStyle w:val="CharSectno"/>
        </w:rPr>
        <w:t>6</w:t>
      </w:r>
      <w:r>
        <w:rPr>
          <w:snapToGrid w:val="0"/>
        </w:rPr>
        <w:t>.</w:t>
      </w:r>
      <w:r>
        <w:rPr>
          <w:snapToGrid w:val="0"/>
        </w:rPr>
        <w:tab/>
        <w:t>Receipt of documents by owner, proof of</w:t>
      </w:r>
      <w:bookmarkEnd w:id="14"/>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5" w:name="_Toc530558335"/>
      <w:r>
        <w:rPr>
          <w:rStyle w:val="CharSectno"/>
        </w:rPr>
        <w:t>7</w:t>
      </w:r>
      <w:r>
        <w:rPr>
          <w:snapToGrid w:val="0"/>
        </w:rPr>
        <w:t>.</w:t>
      </w:r>
      <w:r>
        <w:rPr>
          <w:snapToGrid w:val="0"/>
        </w:rPr>
        <w:tab/>
        <w:t>Variation of contract to be in writing and given to owner</w:t>
      </w:r>
      <w:bookmarkEnd w:id="15"/>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6" w:name="_Toc530558336"/>
      <w:r>
        <w:rPr>
          <w:rStyle w:val="CharSectno"/>
        </w:rPr>
        <w:t>8</w:t>
      </w:r>
      <w:r>
        <w:rPr>
          <w:snapToGrid w:val="0"/>
        </w:rPr>
        <w:t>.</w:t>
      </w:r>
      <w:r>
        <w:rPr>
          <w:snapToGrid w:val="0"/>
        </w:rPr>
        <w:tab/>
        <w:t>Exceptions to s. 7 and related provisions</w:t>
      </w:r>
      <w:bookmarkEnd w:id="16"/>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17" w:name="_Toc530558337"/>
      <w:r>
        <w:rPr>
          <w:rStyle w:val="CharSectno"/>
        </w:rPr>
        <w:t>9</w:t>
      </w:r>
      <w:r>
        <w:rPr>
          <w:snapToGrid w:val="0"/>
        </w:rPr>
        <w:t>.</w:t>
      </w:r>
      <w:r>
        <w:rPr>
          <w:snapToGrid w:val="0"/>
        </w:rPr>
        <w:tab/>
        <w:t>Building permit etc., implied conditions and terms as to</w:t>
      </w:r>
      <w:bookmarkEnd w:id="17"/>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by No. 73 of 1995 s. 188; No. 14 of 1996 s. 4; No. 76 of 2000 s. 47; No. 37 of 2002 s. 6; No. 24 of 2011 s. 163(4) and (5); No. 25 of 2012 s. 217.]</w:t>
      </w:r>
    </w:p>
    <w:p>
      <w:pPr>
        <w:pStyle w:val="Heading5"/>
        <w:spacing w:before="240"/>
        <w:rPr>
          <w:snapToGrid w:val="0"/>
        </w:rPr>
      </w:pPr>
      <w:bookmarkStart w:id="18" w:name="_Toc530558338"/>
      <w:r>
        <w:rPr>
          <w:rStyle w:val="CharSectno"/>
        </w:rPr>
        <w:t>10</w:t>
      </w:r>
      <w:r>
        <w:rPr>
          <w:snapToGrid w:val="0"/>
        </w:rPr>
        <w:t>.</w:t>
      </w:r>
      <w:r>
        <w:rPr>
          <w:snapToGrid w:val="0"/>
        </w:rPr>
        <w:tab/>
        <w:t>Deposits and progress payments, limits on terms as to</w:t>
      </w:r>
      <w:bookmarkEnd w:id="18"/>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9" w:name="_Toc530558339"/>
      <w:r>
        <w:rPr>
          <w:rStyle w:val="CharSectno"/>
        </w:rPr>
        <w:t>11</w:t>
      </w:r>
      <w:r>
        <w:rPr>
          <w:snapToGrid w:val="0"/>
        </w:rPr>
        <w:t>.</w:t>
      </w:r>
      <w:r>
        <w:rPr>
          <w:snapToGrid w:val="0"/>
        </w:rPr>
        <w:tab/>
        <w:t>Defects, implied condition as to liability for</w:t>
      </w:r>
      <w:bookmarkEnd w:id="19"/>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20" w:name="_Toc530558340"/>
      <w:r>
        <w:rPr>
          <w:rStyle w:val="CharSectno"/>
        </w:rPr>
        <w:t>12</w:t>
      </w:r>
      <w:r>
        <w:rPr>
          <w:snapToGrid w:val="0"/>
        </w:rPr>
        <w:t>.</w:t>
      </w:r>
      <w:r>
        <w:rPr>
          <w:snapToGrid w:val="0"/>
        </w:rPr>
        <w:tab/>
        <w:t>Understatement of prime cost items etc. by builder, offence</w:t>
      </w:r>
      <w:bookmarkEnd w:id="20"/>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21" w:name="_Toc530558341"/>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1"/>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22" w:name="_Toc530558342"/>
      <w:r>
        <w:rPr>
          <w:rStyle w:val="CharSectno"/>
        </w:rPr>
        <w:t>14</w:t>
      </w:r>
      <w:r>
        <w:rPr>
          <w:snapToGrid w:val="0"/>
        </w:rPr>
        <w:t>.</w:t>
      </w:r>
      <w:r>
        <w:rPr>
          <w:snapToGrid w:val="0"/>
        </w:rPr>
        <w:tab/>
        <w:t>Cost plus contracts, requirements as to</w:t>
      </w:r>
      <w:bookmarkEnd w:id="22"/>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23" w:name="_Toc530558343"/>
      <w:r>
        <w:rPr>
          <w:rStyle w:val="CharSectno"/>
        </w:rPr>
        <w:t>15</w:t>
      </w:r>
      <w:r>
        <w:rPr>
          <w:snapToGrid w:val="0"/>
        </w:rPr>
        <w:t>.</w:t>
      </w:r>
      <w:r>
        <w:rPr>
          <w:snapToGrid w:val="0"/>
        </w:rPr>
        <w:tab/>
        <w:t>Unconscionable etc. conduct by builder as to contract etc.</w:t>
      </w:r>
      <w:bookmarkEnd w:id="23"/>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24" w:name="_Toc530558344"/>
      <w:r>
        <w:rPr>
          <w:rStyle w:val="CharSectno"/>
        </w:rPr>
        <w:t>15A</w:t>
      </w:r>
      <w:r>
        <w:t>.</w:t>
      </w:r>
      <w:r>
        <w:tab/>
        <w:t>Misleading or deceptive conduct by builder or owner as to contract</w:t>
      </w:r>
      <w:bookmarkEnd w:id="24"/>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25" w:name="_Toc530488411"/>
      <w:bookmarkStart w:id="26" w:name="_Toc530489396"/>
      <w:bookmarkStart w:id="27" w:name="_Toc530558345"/>
      <w:r>
        <w:rPr>
          <w:rStyle w:val="CharPartNo"/>
        </w:rPr>
        <w:t>Part 3</w:t>
      </w:r>
      <w:r>
        <w:rPr>
          <w:rStyle w:val="CharDivNo"/>
        </w:rPr>
        <w:t> </w:t>
      </w:r>
      <w:r>
        <w:t>—</w:t>
      </w:r>
      <w:r>
        <w:rPr>
          <w:rStyle w:val="CharDivText"/>
        </w:rPr>
        <w:t> </w:t>
      </w:r>
      <w:r>
        <w:rPr>
          <w:rStyle w:val="CharPartText"/>
        </w:rPr>
        <w:t>Remedies</w:t>
      </w:r>
      <w:bookmarkEnd w:id="25"/>
      <w:bookmarkEnd w:id="26"/>
      <w:bookmarkEnd w:id="27"/>
    </w:p>
    <w:p>
      <w:pPr>
        <w:pStyle w:val="Ednotesection"/>
      </w:pPr>
      <w:r>
        <w:t>[</w:t>
      </w:r>
      <w:r>
        <w:rPr>
          <w:b/>
        </w:rPr>
        <w:t>16.</w:t>
      </w:r>
      <w:r>
        <w:tab/>
        <w:t>Deleted by No. 16 of 2011 s. 116]</w:t>
      </w:r>
    </w:p>
    <w:p>
      <w:pPr>
        <w:pStyle w:val="Heading5"/>
      </w:pPr>
      <w:bookmarkStart w:id="28" w:name="_Toc530558346"/>
      <w:r>
        <w:rPr>
          <w:rStyle w:val="CharSectno"/>
        </w:rPr>
        <w:t>17</w:t>
      </w:r>
      <w:r>
        <w:t>.</w:t>
      </w:r>
      <w:r>
        <w:tab/>
        <w:t>Breach of contract or Part 2, or entitlement to compensation, procedure in case of</w:t>
      </w:r>
      <w:bookmarkEnd w:id="28"/>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p>
      <w:pPr>
        <w:pStyle w:val="Ednotesection"/>
      </w:pPr>
      <w:r>
        <w:t>[</w:t>
      </w:r>
      <w:r>
        <w:rPr>
          <w:b/>
        </w:rPr>
        <w:t>18.</w:t>
      </w:r>
      <w:r>
        <w:tab/>
        <w:t>Deleted by No. 16 of 2011 s. 118]</w:t>
      </w:r>
    </w:p>
    <w:p>
      <w:pPr>
        <w:pStyle w:val="Heading5"/>
        <w:rPr>
          <w:snapToGrid w:val="0"/>
        </w:rPr>
      </w:pPr>
      <w:bookmarkStart w:id="29" w:name="_Toc530558347"/>
      <w:r>
        <w:rPr>
          <w:rStyle w:val="CharSectno"/>
        </w:rPr>
        <w:t>19</w:t>
      </w:r>
      <w:r>
        <w:rPr>
          <w:snapToGrid w:val="0"/>
        </w:rPr>
        <w:t>.</w:t>
      </w:r>
      <w:r>
        <w:rPr>
          <w:snapToGrid w:val="0"/>
        </w:rPr>
        <w:tab/>
        <w:t>How contract terminated</w:t>
      </w:r>
      <w:bookmarkEnd w:id="29"/>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30" w:name="_Toc530558348"/>
      <w:r>
        <w:rPr>
          <w:rStyle w:val="CharSectno"/>
        </w:rPr>
        <w:t>20</w:t>
      </w:r>
      <w:r>
        <w:t>.</w:t>
      </w:r>
      <w:r>
        <w:tab/>
        <w:t>Adjustment of rights in certain cases</w:t>
      </w:r>
      <w:bookmarkEnd w:id="30"/>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31" w:name="_Toc530488415"/>
      <w:bookmarkStart w:id="32" w:name="_Toc530489400"/>
      <w:bookmarkStart w:id="33" w:name="_Toc530558349"/>
      <w:r>
        <w:rPr>
          <w:rStyle w:val="CharPartNo"/>
        </w:rPr>
        <w:t>Part 3A</w:t>
      </w:r>
      <w:r>
        <w:t> — </w:t>
      </w:r>
      <w:r>
        <w:rPr>
          <w:rStyle w:val="CharPartText"/>
        </w:rPr>
        <w:t>Home indemnity insurance and corresponding cover</w:t>
      </w:r>
      <w:bookmarkEnd w:id="31"/>
      <w:bookmarkEnd w:id="32"/>
      <w:bookmarkEnd w:id="33"/>
    </w:p>
    <w:p>
      <w:pPr>
        <w:pStyle w:val="Footnoteheading"/>
        <w:rPr>
          <w:snapToGrid w:val="0"/>
        </w:rPr>
      </w:pPr>
      <w:r>
        <w:rPr>
          <w:snapToGrid w:val="0"/>
        </w:rPr>
        <w:tab/>
        <w:t>[Heading inserted by No. 72 of 1996 s. 5; amended by No. 37 of 2002 s. 8.]</w:t>
      </w:r>
    </w:p>
    <w:p>
      <w:pPr>
        <w:pStyle w:val="Heading3"/>
      </w:pPr>
      <w:bookmarkStart w:id="34" w:name="_Toc530488416"/>
      <w:bookmarkStart w:id="35" w:name="_Toc530489401"/>
      <w:bookmarkStart w:id="36" w:name="_Toc530558350"/>
      <w:r>
        <w:rPr>
          <w:rStyle w:val="CharDivNo"/>
        </w:rPr>
        <w:t>Division 1</w:t>
      </w:r>
      <w:r>
        <w:rPr>
          <w:snapToGrid w:val="0"/>
        </w:rPr>
        <w:t> — </w:t>
      </w:r>
      <w:r>
        <w:rPr>
          <w:rStyle w:val="CharDivText"/>
        </w:rPr>
        <w:t>Introduction</w:t>
      </w:r>
      <w:bookmarkEnd w:id="34"/>
      <w:bookmarkEnd w:id="35"/>
      <w:bookmarkEnd w:id="36"/>
    </w:p>
    <w:p>
      <w:pPr>
        <w:pStyle w:val="Footnoteheading"/>
        <w:rPr>
          <w:snapToGrid w:val="0"/>
        </w:rPr>
      </w:pPr>
      <w:r>
        <w:rPr>
          <w:snapToGrid w:val="0"/>
        </w:rPr>
        <w:tab/>
        <w:t>[Heading inserted by No. 72 of 1996 s. 5.]</w:t>
      </w:r>
    </w:p>
    <w:p>
      <w:pPr>
        <w:pStyle w:val="Heading5"/>
        <w:rPr>
          <w:snapToGrid w:val="0"/>
        </w:rPr>
      </w:pPr>
      <w:bookmarkStart w:id="37" w:name="_Toc530558351"/>
      <w:r>
        <w:rPr>
          <w:rStyle w:val="CharSectno"/>
        </w:rPr>
        <w:t>25A</w:t>
      </w:r>
      <w:r>
        <w:rPr>
          <w:snapToGrid w:val="0"/>
        </w:rPr>
        <w:t>.</w:t>
      </w:r>
      <w:r>
        <w:rPr>
          <w:snapToGrid w:val="0"/>
        </w:rPr>
        <w:tab/>
        <w:t>Terms used</w:t>
      </w:r>
      <w:bookmarkEnd w:id="3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38" w:name="_Toc530488418"/>
      <w:bookmarkStart w:id="39" w:name="_Toc530489403"/>
      <w:bookmarkStart w:id="40" w:name="_Toc530558352"/>
      <w:r>
        <w:rPr>
          <w:rStyle w:val="CharDivNo"/>
        </w:rPr>
        <w:t>Division 2</w:t>
      </w:r>
      <w:r>
        <w:rPr>
          <w:snapToGrid w:val="0"/>
        </w:rPr>
        <w:t> — </w:t>
      </w:r>
      <w:r>
        <w:rPr>
          <w:rStyle w:val="CharDivText"/>
        </w:rPr>
        <w:t>Builders</w:t>
      </w:r>
      <w:bookmarkEnd w:id="38"/>
      <w:bookmarkEnd w:id="39"/>
      <w:bookmarkEnd w:id="40"/>
    </w:p>
    <w:p>
      <w:pPr>
        <w:pStyle w:val="Footnoteheading"/>
        <w:rPr>
          <w:snapToGrid w:val="0"/>
        </w:rPr>
      </w:pPr>
      <w:r>
        <w:rPr>
          <w:snapToGrid w:val="0"/>
        </w:rPr>
        <w:tab/>
        <w:t>[Heading inserted by No. 72 of 1996 s. 5.]</w:t>
      </w:r>
    </w:p>
    <w:p>
      <w:pPr>
        <w:pStyle w:val="Heading5"/>
        <w:rPr>
          <w:snapToGrid w:val="0"/>
        </w:rPr>
      </w:pPr>
      <w:bookmarkStart w:id="41" w:name="_Toc530558353"/>
      <w:r>
        <w:rPr>
          <w:rStyle w:val="CharSectno"/>
        </w:rPr>
        <w:t>25B</w:t>
      </w:r>
      <w:r>
        <w:rPr>
          <w:snapToGrid w:val="0"/>
        </w:rPr>
        <w:t xml:space="preserve">. </w:t>
      </w:r>
      <w:r>
        <w:rPr>
          <w:snapToGrid w:val="0"/>
        </w:rPr>
        <w:tab/>
        <w:t>Application of this Division</w:t>
      </w:r>
      <w:bookmarkEnd w:id="41"/>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42" w:name="_Toc530558354"/>
      <w:r>
        <w:rPr>
          <w:rStyle w:val="CharSectno"/>
        </w:rPr>
        <w:t>25C</w:t>
      </w:r>
      <w:r>
        <w:rPr>
          <w:snapToGrid w:val="0"/>
        </w:rPr>
        <w:t xml:space="preserve">. </w:t>
      </w:r>
      <w:r>
        <w:rPr>
          <w:snapToGrid w:val="0"/>
        </w:rPr>
        <w:tab/>
        <w:t>Builder doing residential building work without insurance or corresponding cover, offence</w:t>
      </w:r>
      <w:bookmarkEnd w:id="4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43" w:name="_Toc530558355"/>
      <w:r>
        <w:rPr>
          <w:rStyle w:val="CharSectno"/>
        </w:rPr>
        <w:t>25D</w:t>
      </w:r>
      <w:r>
        <w:rPr>
          <w:snapToGrid w:val="0"/>
        </w:rPr>
        <w:t xml:space="preserve">. </w:t>
      </w:r>
      <w:r>
        <w:rPr>
          <w:snapToGrid w:val="0"/>
        </w:rPr>
        <w:tab/>
        <w:t>Insurance policy for this Division, terms of</w:t>
      </w:r>
      <w:bookmarkEnd w:id="43"/>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44" w:name="_Toc530558356"/>
      <w:r>
        <w:rPr>
          <w:rStyle w:val="CharSectno"/>
        </w:rPr>
        <w:t>25DA</w:t>
      </w:r>
      <w:r>
        <w:t>.</w:t>
      </w:r>
      <w:r>
        <w:tab/>
        <w:t>Corresponding cover by an approved fund for builders</w:t>
      </w:r>
      <w:bookmarkEnd w:id="44"/>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45" w:name="_Toc530488423"/>
      <w:bookmarkStart w:id="46" w:name="_Toc530489408"/>
      <w:bookmarkStart w:id="47" w:name="_Toc530558357"/>
      <w:r>
        <w:rPr>
          <w:rStyle w:val="CharDivNo"/>
        </w:rPr>
        <w:t>Division 3</w:t>
      </w:r>
      <w:r>
        <w:rPr>
          <w:snapToGrid w:val="0"/>
        </w:rPr>
        <w:t> — </w:t>
      </w:r>
      <w:r>
        <w:rPr>
          <w:rStyle w:val="CharDivText"/>
        </w:rPr>
        <w:t>Owner</w:t>
      </w:r>
      <w:r>
        <w:rPr>
          <w:rStyle w:val="CharDivText"/>
        </w:rPr>
        <w:noBreakHyphen/>
        <w:t>builders</w:t>
      </w:r>
      <w:bookmarkEnd w:id="45"/>
      <w:bookmarkEnd w:id="46"/>
      <w:bookmarkEnd w:id="47"/>
    </w:p>
    <w:p>
      <w:pPr>
        <w:pStyle w:val="Footnoteheading"/>
        <w:keepNext/>
        <w:rPr>
          <w:snapToGrid w:val="0"/>
        </w:rPr>
      </w:pPr>
      <w:r>
        <w:rPr>
          <w:snapToGrid w:val="0"/>
        </w:rPr>
        <w:tab/>
        <w:t>[Heading inserted by No. 72 of 1996 s. 5.]</w:t>
      </w:r>
    </w:p>
    <w:p>
      <w:pPr>
        <w:pStyle w:val="Heading5"/>
        <w:rPr>
          <w:snapToGrid w:val="0"/>
        </w:rPr>
      </w:pPr>
      <w:bookmarkStart w:id="48" w:name="_Toc530558358"/>
      <w:r>
        <w:rPr>
          <w:rStyle w:val="CharSectno"/>
        </w:rPr>
        <w:t>25E</w:t>
      </w:r>
      <w:r>
        <w:rPr>
          <w:snapToGrid w:val="0"/>
        </w:rPr>
        <w:t xml:space="preserve">. </w:t>
      </w:r>
      <w:r>
        <w:rPr>
          <w:snapToGrid w:val="0"/>
        </w:rPr>
        <w:tab/>
        <w:t>Application of this Division</w:t>
      </w:r>
      <w:bookmarkEnd w:id="48"/>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49" w:name="_Toc530558359"/>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49"/>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50" w:name="_Toc530558360"/>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50"/>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51" w:name="_Toc530558361"/>
      <w:r>
        <w:rPr>
          <w:rStyle w:val="CharSectno"/>
        </w:rPr>
        <w:t>25G</w:t>
      </w:r>
      <w:r>
        <w:rPr>
          <w:snapToGrid w:val="0"/>
        </w:rPr>
        <w:t xml:space="preserve">. </w:t>
      </w:r>
      <w:r>
        <w:rPr>
          <w:snapToGrid w:val="0"/>
        </w:rPr>
        <w:tab/>
        <w:t>Insurance policy for this Division, terms of</w:t>
      </w:r>
      <w:bookmarkEnd w:id="51"/>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52" w:name="_Toc530558362"/>
      <w:r>
        <w:rPr>
          <w:rStyle w:val="CharSectno"/>
        </w:rPr>
        <w:t>25GA</w:t>
      </w:r>
      <w:r>
        <w:t>.</w:t>
      </w:r>
      <w:r>
        <w:tab/>
        <w:t>Corresponding cover by an approved fund for owner</w:t>
      </w:r>
      <w:r>
        <w:noBreakHyphen/>
        <w:t>builders</w:t>
      </w:r>
      <w:bookmarkEnd w:id="5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53" w:name="_Toc530488429"/>
      <w:bookmarkStart w:id="54" w:name="_Toc530489414"/>
      <w:bookmarkStart w:id="55" w:name="_Toc530558363"/>
      <w:r>
        <w:rPr>
          <w:rStyle w:val="CharDivNo"/>
        </w:rPr>
        <w:t>Division 3A</w:t>
      </w:r>
      <w:r>
        <w:t> — </w:t>
      </w:r>
      <w:r>
        <w:rPr>
          <w:rStyle w:val="CharDivText"/>
        </w:rPr>
        <w:t>Approved funds</w:t>
      </w:r>
      <w:bookmarkEnd w:id="53"/>
      <w:bookmarkEnd w:id="54"/>
      <w:bookmarkEnd w:id="55"/>
    </w:p>
    <w:p>
      <w:pPr>
        <w:pStyle w:val="Footnoteheading"/>
        <w:keepNext/>
        <w:rPr>
          <w:snapToGrid w:val="0"/>
        </w:rPr>
      </w:pPr>
      <w:r>
        <w:rPr>
          <w:snapToGrid w:val="0"/>
        </w:rPr>
        <w:tab/>
        <w:t>[Heading inserted by No. 37 of 2002 s. 16.]</w:t>
      </w:r>
    </w:p>
    <w:p>
      <w:pPr>
        <w:pStyle w:val="Heading5"/>
      </w:pPr>
      <w:bookmarkStart w:id="56" w:name="_Toc530558364"/>
      <w:r>
        <w:rPr>
          <w:rStyle w:val="CharSectno"/>
        </w:rPr>
        <w:t>25GB</w:t>
      </w:r>
      <w:r>
        <w:t>.</w:t>
      </w:r>
      <w:r>
        <w:tab/>
        <w:t>Approval of fund by Minister</w:t>
      </w:r>
      <w:bookmarkEnd w:id="56"/>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57" w:name="_Toc530558365"/>
      <w:r>
        <w:rPr>
          <w:rStyle w:val="CharSectno"/>
        </w:rPr>
        <w:t>25GC</w:t>
      </w:r>
      <w:r>
        <w:t>.</w:t>
      </w:r>
      <w:r>
        <w:tab/>
        <w:t>Certain changes to approved fund require Minister’s consent</w:t>
      </w:r>
      <w:bookmarkEnd w:id="57"/>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58" w:name="_Toc530558366"/>
      <w:r>
        <w:rPr>
          <w:rStyle w:val="CharSectno"/>
        </w:rPr>
        <w:t>25GD</w:t>
      </w:r>
      <w:r>
        <w:t>.</w:t>
      </w:r>
      <w:r>
        <w:tab/>
        <w:t>Approval of fund, revoking</w:t>
      </w:r>
      <w:bookmarkEnd w:id="58"/>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59" w:name="_Toc530488433"/>
      <w:bookmarkStart w:id="60" w:name="_Toc530489418"/>
      <w:bookmarkStart w:id="61" w:name="_Toc530558367"/>
      <w:r>
        <w:rPr>
          <w:rStyle w:val="CharDivNo"/>
        </w:rPr>
        <w:t>Division 4</w:t>
      </w:r>
      <w:r>
        <w:rPr>
          <w:snapToGrid w:val="0"/>
        </w:rPr>
        <w:t> — </w:t>
      </w:r>
      <w:r>
        <w:rPr>
          <w:rStyle w:val="CharDivText"/>
        </w:rPr>
        <w:t>Review</w:t>
      </w:r>
      <w:bookmarkEnd w:id="59"/>
      <w:bookmarkEnd w:id="60"/>
      <w:bookmarkEnd w:id="61"/>
    </w:p>
    <w:p>
      <w:pPr>
        <w:pStyle w:val="Footnoteheading"/>
        <w:keepNext/>
        <w:rPr>
          <w:snapToGrid w:val="0"/>
        </w:rPr>
      </w:pPr>
      <w:r>
        <w:rPr>
          <w:snapToGrid w:val="0"/>
        </w:rPr>
        <w:tab/>
        <w:t>[Heading inserted by No. 72 of 1996 s. 5.]</w:t>
      </w:r>
    </w:p>
    <w:p>
      <w:pPr>
        <w:pStyle w:val="Heading5"/>
        <w:rPr>
          <w:snapToGrid w:val="0"/>
        </w:rPr>
      </w:pPr>
      <w:bookmarkStart w:id="62" w:name="_Toc530558368"/>
      <w:r>
        <w:rPr>
          <w:rStyle w:val="CharSectno"/>
        </w:rPr>
        <w:t>25H</w:t>
      </w:r>
      <w:r>
        <w:rPr>
          <w:snapToGrid w:val="0"/>
        </w:rPr>
        <w:t xml:space="preserve">. </w:t>
      </w:r>
      <w:r>
        <w:rPr>
          <w:snapToGrid w:val="0"/>
        </w:rPr>
        <w:tab/>
        <w:t>Review of this Part by Minister</w:t>
      </w:r>
      <w:bookmarkEnd w:id="6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63" w:name="_Toc530488435"/>
      <w:bookmarkStart w:id="64" w:name="_Toc530489420"/>
      <w:bookmarkStart w:id="65" w:name="_Toc530558369"/>
      <w:r>
        <w:rPr>
          <w:rStyle w:val="CharDivNo"/>
        </w:rPr>
        <w:t>Division 5</w:t>
      </w:r>
      <w:r>
        <w:t> — </w:t>
      </w:r>
      <w:r>
        <w:rPr>
          <w:rStyle w:val="CharDivText"/>
        </w:rPr>
        <w:t>Provisions about non</w:t>
      </w:r>
      <w:r>
        <w:rPr>
          <w:rStyle w:val="CharDivText"/>
        </w:rPr>
        <w:noBreakHyphen/>
        <w:t>application of sections 25C(1) and (2) and 25F(1)</w:t>
      </w:r>
      <w:bookmarkEnd w:id="63"/>
      <w:bookmarkEnd w:id="64"/>
      <w:bookmarkEnd w:id="65"/>
    </w:p>
    <w:p>
      <w:pPr>
        <w:pStyle w:val="Footnoteheading"/>
        <w:keepNext/>
        <w:rPr>
          <w:snapToGrid w:val="0"/>
        </w:rPr>
      </w:pPr>
      <w:r>
        <w:rPr>
          <w:snapToGrid w:val="0"/>
        </w:rPr>
        <w:tab/>
        <w:t>[Heading inserted by No. 37 of 2002 s. 17.]</w:t>
      </w:r>
    </w:p>
    <w:p>
      <w:pPr>
        <w:pStyle w:val="Heading5"/>
      </w:pPr>
      <w:bookmarkStart w:id="66" w:name="_Toc530558370"/>
      <w:r>
        <w:rPr>
          <w:rStyle w:val="CharSectno"/>
        </w:rPr>
        <w:t>25I</w:t>
      </w:r>
      <w:r>
        <w:t>.</w:t>
      </w:r>
      <w:r>
        <w:tab/>
        <w:t>Periods for s. 25C(3) and 25F(2), Minister may specify</w:t>
      </w:r>
      <w:bookmarkEnd w:id="66"/>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67" w:name="_Toc530558371"/>
      <w:r>
        <w:rPr>
          <w:rStyle w:val="CharSectno"/>
        </w:rPr>
        <w:t>25J</w:t>
      </w:r>
      <w:r>
        <w:t>.</w:t>
      </w:r>
      <w:r>
        <w:tab/>
        <w:t>Contracts with builders, builders to give prescribed notice to other party</w:t>
      </w:r>
      <w:bookmarkEnd w:id="6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68" w:name="_Toc530558372"/>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68"/>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69" w:name="_Toc530558373"/>
      <w:r>
        <w:rPr>
          <w:rStyle w:val="CharSectno"/>
        </w:rPr>
        <w:t>25L</w:t>
      </w:r>
      <w:r>
        <w:t>.</w:t>
      </w:r>
      <w:r>
        <w:tab/>
        <w:t>Subsequent purchaser to be given notice given under s. 25J in some cases</w:t>
      </w:r>
      <w:bookmarkEnd w:id="69"/>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70" w:name="_Toc530488440"/>
      <w:bookmarkStart w:id="71" w:name="_Toc530489425"/>
      <w:bookmarkStart w:id="72" w:name="_Toc530558374"/>
      <w:r>
        <w:rPr>
          <w:rStyle w:val="CharPartNo"/>
        </w:rPr>
        <w:t>Part 4</w:t>
      </w:r>
      <w:r>
        <w:rPr>
          <w:rStyle w:val="CharDivNo"/>
        </w:rPr>
        <w:t> </w:t>
      </w:r>
      <w:r>
        <w:t>—</w:t>
      </w:r>
      <w:r>
        <w:rPr>
          <w:rStyle w:val="CharDivText"/>
        </w:rPr>
        <w:t> </w:t>
      </w:r>
      <w:r>
        <w:rPr>
          <w:rStyle w:val="CharPartText"/>
        </w:rPr>
        <w:t>General</w:t>
      </w:r>
      <w:bookmarkEnd w:id="70"/>
      <w:bookmarkEnd w:id="71"/>
      <w:bookmarkEnd w:id="72"/>
    </w:p>
    <w:p>
      <w:pPr>
        <w:pStyle w:val="Heading5"/>
        <w:rPr>
          <w:snapToGrid w:val="0"/>
        </w:rPr>
      </w:pPr>
      <w:bookmarkStart w:id="73" w:name="_Toc530558375"/>
      <w:r>
        <w:rPr>
          <w:rStyle w:val="CharSectno"/>
        </w:rPr>
        <w:t>26</w:t>
      </w:r>
      <w:r>
        <w:rPr>
          <w:snapToGrid w:val="0"/>
        </w:rPr>
        <w:t>.</w:t>
      </w:r>
      <w:r>
        <w:rPr>
          <w:snapToGrid w:val="0"/>
        </w:rPr>
        <w:tab/>
        <w:t>Inspection by owner etc. of building work, prevention of etc.</w:t>
      </w:r>
      <w:bookmarkEnd w:id="7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74" w:name="_Toc530558376"/>
      <w:r>
        <w:rPr>
          <w:rStyle w:val="CharSectno"/>
        </w:rPr>
        <w:t>27</w:t>
      </w:r>
      <w:r>
        <w:rPr>
          <w:snapToGrid w:val="0"/>
        </w:rPr>
        <w:t>.</w:t>
      </w:r>
      <w:r>
        <w:rPr>
          <w:snapToGrid w:val="0"/>
        </w:rPr>
        <w:tab/>
        <w:t>Breach of Act, effect of on contract</w:t>
      </w:r>
      <w:bookmarkEnd w:id="74"/>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75" w:name="_Toc530558377"/>
      <w:r>
        <w:rPr>
          <w:rStyle w:val="CharSectno"/>
        </w:rPr>
        <w:t>28</w:t>
      </w:r>
      <w:r>
        <w:rPr>
          <w:snapToGrid w:val="0"/>
        </w:rPr>
        <w:t>.</w:t>
      </w:r>
      <w:r>
        <w:rPr>
          <w:snapToGrid w:val="0"/>
        </w:rPr>
        <w:tab/>
        <w:t>Contracting out prohibited</w:t>
      </w:r>
      <w:bookmarkEnd w:id="7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76" w:name="_Toc530558378"/>
      <w:r>
        <w:rPr>
          <w:rStyle w:val="CharSectno"/>
        </w:rPr>
        <w:t>29</w:t>
      </w:r>
      <w:r>
        <w:rPr>
          <w:snapToGrid w:val="0"/>
        </w:rPr>
        <w:t>.</w:t>
      </w:r>
      <w:r>
        <w:rPr>
          <w:snapToGrid w:val="0"/>
        </w:rPr>
        <w:tab/>
        <w:t>Other laws not affected</w:t>
      </w:r>
      <w:bookmarkEnd w:id="76"/>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77" w:name="_Toc530558379"/>
      <w:r>
        <w:rPr>
          <w:rStyle w:val="CharSectno"/>
        </w:rPr>
        <w:t>30</w:t>
      </w:r>
      <w:r>
        <w:rPr>
          <w:snapToGrid w:val="0"/>
        </w:rPr>
        <w:t>.</w:t>
      </w:r>
      <w:r>
        <w:rPr>
          <w:snapToGrid w:val="0"/>
        </w:rPr>
        <w:tab/>
        <w:t>Offences by body corporate, liability of officers for</w:t>
      </w:r>
      <w:bookmarkEnd w:id="7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78" w:name="_Toc530558380"/>
      <w:r>
        <w:rPr>
          <w:rStyle w:val="CharSectno"/>
        </w:rPr>
        <w:t>31</w:t>
      </w:r>
      <w:r>
        <w:t>.</w:t>
      </w:r>
      <w:r>
        <w:tab/>
        <w:t>Prosecutions</w:t>
      </w:r>
      <w:bookmarkEnd w:id="7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p>
      <w:pPr>
        <w:pStyle w:val="Ednotesection"/>
      </w:pPr>
      <w:r>
        <w:t>[</w:t>
      </w:r>
      <w:r>
        <w:rPr>
          <w:b/>
        </w:rPr>
        <w:t>31A.</w:t>
      </w:r>
      <w:r>
        <w:tab/>
        <w:t>Deleted by No. 16 of 2011 s. 125]</w:t>
      </w:r>
    </w:p>
    <w:p>
      <w:pPr>
        <w:pStyle w:val="Heading5"/>
        <w:rPr>
          <w:snapToGrid w:val="0"/>
        </w:rPr>
      </w:pPr>
      <w:bookmarkStart w:id="79" w:name="_Toc530558381"/>
      <w:r>
        <w:rPr>
          <w:rStyle w:val="CharSectno"/>
        </w:rPr>
        <w:t>31B</w:t>
      </w:r>
      <w:r>
        <w:t>.</w:t>
      </w:r>
      <w:r>
        <w:tab/>
      </w:r>
      <w:r>
        <w:rPr>
          <w:snapToGrid w:val="0"/>
        </w:rPr>
        <w:t>Infringement notices</w:t>
      </w:r>
      <w:bookmarkEnd w:id="79"/>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80" w:name="_Toc530558382"/>
      <w:r>
        <w:rPr>
          <w:rStyle w:val="CharSectno"/>
        </w:rPr>
        <w:t>32</w:t>
      </w:r>
      <w:r>
        <w:rPr>
          <w:snapToGrid w:val="0"/>
        </w:rPr>
        <w:t>.</w:t>
      </w:r>
      <w:r>
        <w:rPr>
          <w:snapToGrid w:val="0"/>
        </w:rPr>
        <w:tab/>
        <w:t>Regulations</w:t>
      </w:r>
      <w:bookmarkEnd w:id="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81" w:name="_Toc530558383"/>
      <w:r>
        <w:rPr>
          <w:rStyle w:val="CharSectno"/>
        </w:rPr>
        <w:t>33</w:t>
      </w:r>
      <w:r>
        <w:rPr>
          <w:snapToGrid w:val="0"/>
        </w:rPr>
        <w:t>.</w:t>
      </w:r>
      <w:r>
        <w:rPr>
          <w:snapToGrid w:val="0"/>
        </w:rPr>
        <w:tab/>
        <w:t>Retrospectivity of Act</w:t>
      </w:r>
      <w:bookmarkEnd w:id="81"/>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82" w:name="_Toc530558384"/>
      <w:r>
        <w:rPr>
          <w:rStyle w:val="CharSectno"/>
        </w:rPr>
        <w:t>34</w:t>
      </w:r>
      <w:r>
        <w:rPr>
          <w:snapToGrid w:val="0"/>
        </w:rPr>
        <w:t>.</w:t>
      </w:r>
      <w:r>
        <w:rPr>
          <w:snapToGrid w:val="0"/>
        </w:rPr>
        <w:tab/>
        <w:t>Review of Act</w:t>
      </w:r>
      <w:bookmarkEnd w:id="8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3" w:name="_Toc530488451"/>
      <w:bookmarkStart w:id="84" w:name="_Toc530489436"/>
      <w:bookmarkStart w:id="85" w:name="_Toc530558385"/>
      <w:r>
        <w:rPr>
          <w:rStyle w:val="CharSchNo"/>
        </w:rPr>
        <w:t>Schedule 1</w:t>
      </w:r>
      <w:r>
        <w:t xml:space="preserve"> — </w:t>
      </w:r>
      <w:r>
        <w:rPr>
          <w:rStyle w:val="CharSchText"/>
        </w:rPr>
        <w:t>Consequences of non</w:t>
      </w:r>
      <w:r>
        <w:rPr>
          <w:rStyle w:val="CharSchText"/>
        </w:rPr>
        <w:noBreakHyphen/>
        <w:t>fulfilment of conditions</w:t>
      </w:r>
      <w:bookmarkEnd w:id="83"/>
      <w:bookmarkEnd w:id="84"/>
      <w:bookmarkEnd w:id="8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86" w:name="_Toc530558386"/>
      <w:r>
        <w:rPr>
          <w:rStyle w:val="CharSClsNo"/>
        </w:rPr>
        <w:t>1</w:t>
      </w:r>
      <w:r>
        <w:rPr>
          <w:snapToGrid w:val="0"/>
        </w:rPr>
        <w:t>.</w:t>
      </w:r>
      <w:r>
        <w:rPr>
          <w:snapToGrid w:val="0"/>
        </w:rPr>
        <w:tab/>
        <w:t>Condition in s. 9(1), non-fulfilment of by builder</w:t>
      </w:r>
      <w:bookmarkEnd w:id="8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87" w:name="_Toc530558387"/>
      <w:r>
        <w:rPr>
          <w:rStyle w:val="CharSClsNo"/>
        </w:rPr>
        <w:t>2</w:t>
      </w:r>
      <w:r>
        <w:rPr>
          <w:snapToGrid w:val="0"/>
        </w:rPr>
        <w:t>.</w:t>
      </w:r>
      <w:r>
        <w:rPr>
          <w:snapToGrid w:val="0"/>
        </w:rPr>
        <w:tab/>
        <w:t>Condition in s. 9(1), non-fulfilment of by owner</w:t>
      </w:r>
      <w:bookmarkEnd w:id="8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88" w:name="_Toc530558388"/>
      <w:r>
        <w:rPr>
          <w:rStyle w:val="CharSClsNo"/>
        </w:rPr>
        <w:t>3</w:t>
      </w:r>
      <w:r>
        <w:rPr>
          <w:snapToGrid w:val="0"/>
        </w:rPr>
        <w:t>.</w:t>
      </w:r>
      <w:r>
        <w:rPr>
          <w:snapToGrid w:val="0"/>
        </w:rPr>
        <w:tab/>
        <w:t>Condition in s. 9(1), non-fulfilment of by builder and owner</w:t>
      </w:r>
      <w:bookmarkEnd w:id="8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89" w:name="_Toc530558389"/>
      <w:r>
        <w:rPr>
          <w:rStyle w:val="CharSClsNo"/>
        </w:rPr>
        <w:t>4</w:t>
      </w:r>
      <w:r>
        <w:rPr>
          <w:snapToGrid w:val="0"/>
        </w:rPr>
        <w:t>.</w:t>
      </w:r>
      <w:r>
        <w:rPr>
          <w:snapToGrid w:val="0"/>
        </w:rPr>
        <w:tab/>
        <w:t>Rights of builder and owner if cl. 2 or 3 or s. 13(4)(c) applies</w:t>
      </w:r>
      <w:bookmarkEnd w:id="8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90" w:name="_Toc530558390"/>
      <w:r>
        <w:rPr>
          <w:rStyle w:val="CharSClsNo"/>
        </w:rPr>
        <w:t>5</w:t>
      </w:r>
      <w:r>
        <w:rPr>
          <w:snapToGrid w:val="0"/>
        </w:rPr>
        <w:t>.</w:t>
      </w:r>
      <w:r>
        <w:rPr>
          <w:snapToGrid w:val="0"/>
        </w:rPr>
        <w:tab/>
        <w:t>Price increase, review of</w:t>
      </w:r>
      <w:bookmarkEnd w:id="9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92" w:name="_Toc530488457"/>
      <w:bookmarkStart w:id="93" w:name="_Toc530489442"/>
      <w:bookmarkStart w:id="94" w:name="_Toc530558391"/>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snapToGrid w:val="0"/>
          <w:vertAlign w:val="superscript"/>
        </w:rPr>
        <w:t> 1a,</w:t>
      </w:r>
      <w:r>
        <w:rPr>
          <w:caps/>
          <w:snapToGrid w:val="0"/>
          <w:vertAlign w:val="superscript"/>
        </w:rPr>
        <w:t> </w:t>
      </w:r>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95" w:name="_Toc530558392"/>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 w:name="_Toc530558393"/>
      <w:r>
        <w:t>Provisions that have not come into operation</w:t>
      </w:r>
      <w:bookmarkEnd w:id="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Community Titles Act 2018</w:t>
            </w:r>
            <w:r>
              <w:t xml:space="preserve"> Pt. 14 Div. 10</w:t>
            </w:r>
            <w:r>
              <w:rPr>
                <w:vertAlign w:val="superscript"/>
              </w:rPr>
              <w:t> 4</w:t>
            </w:r>
          </w:p>
        </w:tc>
        <w:tc>
          <w:tcPr>
            <w:tcW w:w="1134" w:type="dxa"/>
          </w:tcPr>
          <w:p>
            <w:pPr>
              <w:pStyle w:val="nTable"/>
              <w:spacing w:after="40"/>
            </w:pPr>
            <w:r>
              <w:t>32 of 2018</w:t>
            </w:r>
          </w:p>
        </w:tc>
        <w:tc>
          <w:tcPr>
            <w:tcW w:w="1134" w:type="dxa"/>
          </w:tcPr>
          <w:p>
            <w:pPr>
              <w:pStyle w:val="nTable"/>
              <w:spacing w:after="40"/>
            </w:pPr>
            <w:r>
              <w:t>19 Nov 2018</w:t>
            </w:r>
          </w:p>
        </w:tc>
        <w:tc>
          <w:tcPr>
            <w:tcW w:w="2552" w:type="dxa"/>
          </w:tcPr>
          <w:p>
            <w:pPr>
              <w:pStyle w:val="nTable"/>
              <w:spacing w:after="40"/>
            </w:pPr>
            <w:r>
              <w:t>To be proclaimed (see s. 2(b))</w:t>
            </w:r>
          </w:p>
        </w:tc>
      </w:tr>
    </w:tbl>
    <w:p>
      <w:pPr>
        <w:pStyle w:val="nSubsection"/>
        <w:keepNext/>
        <w:keepLines/>
        <w:rPr>
          <w:vertAlign w:val="superscript"/>
        </w:rPr>
      </w:pPr>
    </w:p>
    <w:p>
      <w:pPr>
        <w:pStyle w:val="nSubsection"/>
        <w:keepNext/>
        <w:keepLines/>
      </w:pPr>
      <w:r>
        <w:rPr>
          <w:vertAlign w:val="superscript"/>
        </w:rPr>
        <w:t>2</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pPr>
      <w:r>
        <w:rPr>
          <w:vertAlign w:val="superscript"/>
        </w:rPr>
        <w:t>4</w:t>
      </w:r>
      <w:r>
        <w:rPr>
          <w:vertAlign w:val="superscript"/>
        </w:rPr>
        <w:tab/>
      </w:r>
      <w:r>
        <w:rPr>
          <w:snapToGrid w:val="0"/>
        </w:rPr>
        <w:t xml:space="preserve">On the date as at which this compilation was prepared, the </w:t>
      </w:r>
      <w:r>
        <w:rPr>
          <w:i/>
        </w:rPr>
        <w:t>Community Titles Act 2018</w:t>
      </w:r>
      <w:r>
        <w:t xml:space="preserve"> Pt. 14 Div. 10 had not come into operation.  It reads as follows:</w:t>
      </w:r>
    </w:p>
    <w:p>
      <w:pPr>
        <w:pStyle w:val="BlankOpen"/>
      </w:pPr>
    </w:p>
    <w:p>
      <w:pPr>
        <w:pStyle w:val="nzHeading2"/>
      </w:pPr>
      <w:bookmarkStart w:id="97" w:name="_Toc517684206"/>
      <w:bookmarkStart w:id="98" w:name="_Toc517684547"/>
      <w:bookmarkStart w:id="99" w:name="_Toc517696497"/>
      <w:bookmarkStart w:id="100" w:name="_Toc517790969"/>
      <w:bookmarkStart w:id="101" w:name="_Toc529355691"/>
      <w:bookmarkStart w:id="102" w:name="_Toc529356368"/>
      <w:bookmarkStart w:id="103" w:name="_Toc529360169"/>
      <w:bookmarkStart w:id="104" w:name="_Toc529361409"/>
      <w:bookmarkStart w:id="105" w:name="_Toc529526534"/>
      <w:bookmarkStart w:id="106" w:name="_Toc529857039"/>
      <w:bookmarkStart w:id="107" w:name="_Toc530473550"/>
      <w:bookmarkStart w:id="108" w:name="_Toc530474909"/>
      <w:bookmarkStart w:id="109" w:name="_Toc517684238"/>
      <w:bookmarkStart w:id="110" w:name="_Toc517684579"/>
      <w:bookmarkStart w:id="111" w:name="_Toc517687578"/>
      <w:bookmarkStart w:id="112" w:name="_Toc517688810"/>
      <w:bookmarkStart w:id="113" w:name="_Toc517696529"/>
      <w:bookmarkStart w:id="114" w:name="_Toc517791001"/>
      <w:bookmarkStart w:id="115" w:name="_Toc529355723"/>
      <w:bookmarkStart w:id="116" w:name="_Toc529356400"/>
      <w:bookmarkStart w:id="117" w:name="_Toc529360201"/>
      <w:bookmarkStart w:id="118" w:name="_Toc529361441"/>
      <w:bookmarkStart w:id="119" w:name="_Toc529526566"/>
      <w:bookmarkStart w:id="120" w:name="_Toc529857071"/>
      <w:bookmarkStart w:id="121" w:name="_Toc530473582"/>
      <w:bookmarkStart w:id="122" w:name="_Toc530474941"/>
      <w:r>
        <w:rPr>
          <w:rStyle w:val="CharPartNo"/>
        </w:rPr>
        <w:t>Part 14</w:t>
      </w:r>
      <w:r>
        <w:t> — </w:t>
      </w:r>
      <w:r>
        <w:rPr>
          <w:rStyle w:val="CharPartText"/>
        </w:rPr>
        <w:t>Other Acts amended</w:t>
      </w:r>
      <w:bookmarkEnd w:id="97"/>
      <w:bookmarkEnd w:id="98"/>
      <w:bookmarkEnd w:id="99"/>
      <w:bookmarkEnd w:id="100"/>
      <w:bookmarkEnd w:id="101"/>
      <w:bookmarkEnd w:id="102"/>
      <w:bookmarkEnd w:id="103"/>
      <w:bookmarkEnd w:id="104"/>
      <w:bookmarkEnd w:id="105"/>
      <w:bookmarkEnd w:id="106"/>
      <w:bookmarkEnd w:id="107"/>
      <w:bookmarkEnd w:id="108"/>
    </w:p>
    <w:p>
      <w:pPr>
        <w:pStyle w:val="nzHeading3"/>
      </w:pPr>
      <w:r>
        <w:rPr>
          <w:rStyle w:val="CharDivNo"/>
        </w:rPr>
        <w:t>Division 10</w:t>
      </w:r>
      <w:r>
        <w:t> — </w:t>
      </w:r>
      <w:r>
        <w:rPr>
          <w:rStyle w:val="CharDivText"/>
          <w:i/>
        </w:rPr>
        <w:t>Home Building Contracts Act 1991</w:t>
      </w:r>
      <w:r>
        <w:rPr>
          <w:rStyle w:val="CharDivText"/>
        </w:rPr>
        <w:t xml:space="preserve"> amended</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zHeading5"/>
        <w:rPr>
          <w:snapToGrid w:val="0"/>
        </w:rPr>
      </w:pPr>
      <w:bookmarkStart w:id="123" w:name="_Toc530473583"/>
      <w:bookmarkStart w:id="124" w:name="_Toc530474942"/>
      <w:r>
        <w:rPr>
          <w:rStyle w:val="CharSectno"/>
        </w:rPr>
        <w:t>213</w:t>
      </w:r>
      <w:r>
        <w:rPr>
          <w:snapToGrid w:val="0"/>
        </w:rPr>
        <w:t>.</w:t>
      </w:r>
      <w:r>
        <w:rPr>
          <w:snapToGrid w:val="0"/>
        </w:rPr>
        <w:tab/>
        <w:t>Act amended</w:t>
      </w:r>
      <w:bookmarkEnd w:id="123"/>
      <w:bookmarkEnd w:id="124"/>
    </w:p>
    <w:p>
      <w:pPr>
        <w:pStyle w:val="nzSubsection"/>
      </w:pPr>
      <w:r>
        <w:tab/>
      </w:r>
      <w:r>
        <w:tab/>
        <w:t xml:space="preserve">This Division amends the </w:t>
      </w:r>
      <w:r>
        <w:rPr>
          <w:i/>
        </w:rPr>
        <w:t>Home Building Contracts Act 1991</w:t>
      </w:r>
      <w:r>
        <w:t>.</w:t>
      </w:r>
    </w:p>
    <w:p>
      <w:pPr>
        <w:pStyle w:val="nzHeading5"/>
      </w:pPr>
      <w:bookmarkStart w:id="125" w:name="_Toc530473584"/>
      <w:bookmarkStart w:id="126" w:name="_Toc530474943"/>
      <w:r>
        <w:rPr>
          <w:rStyle w:val="CharSectno"/>
        </w:rPr>
        <w:t>214</w:t>
      </w:r>
      <w:r>
        <w:t>.</w:t>
      </w:r>
      <w:r>
        <w:tab/>
        <w:t>Section 3 amended</w:t>
      </w:r>
      <w:bookmarkEnd w:id="125"/>
      <w:bookmarkEnd w:id="126"/>
    </w:p>
    <w:p>
      <w:pPr>
        <w:pStyle w:val="nzSubsection"/>
      </w:pPr>
      <w:r>
        <w:tab/>
        <w:t>(1)</w:t>
      </w:r>
      <w:r>
        <w:tab/>
        <w:t xml:space="preserve">In section 3(1) delete the definition of </w:t>
      </w:r>
      <w:r>
        <w:rPr>
          <w:b/>
          <w:i/>
        </w:rPr>
        <w:t>strata</w:t>
      </w:r>
      <w:r>
        <w:rPr>
          <w:b/>
          <w:i/>
        </w:rPr>
        <w:noBreakHyphen/>
        <w:t>titled dwelling</w:t>
      </w:r>
      <w:r>
        <w:t>.</w:t>
      </w:r>
    </w:p>
    <w:p>
      <w:pPr>
        <w:pStyle w:val="nzSubsection"/>
      </w:pPr>
      <w:r>
        <w:tab/>
        <w:t>(2)</w:t>
      </w:r>
      <w:r>
        <w:tab/>
        <w:t>In section 3(1) insert in alphabetical order:</w:t>
      </w:r>
    </w:p>
    <w:p>
      <w:pPr>
        <w:pStyle w:val="BlankOpen"/>
      </w:pPr>
    </w:p>
    <w:p>
      <w:pPr>
        <w:pStyle w:val="n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nz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nzSubsection"/>
      </w:pPr>
      <w:r>
        <w:tab/>
      </w:r>
      <w:r>
        <w:tab/>
        <w:t>strata/community title dwelling</w:t>
      </w:r>
    </w:p>
    <w:p>
      <w:pPr>
        <w:pStyle w:val="BlankClose"/>
      </w:pP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28" w:name="_Toc530488460"/>
      <w:bookmarkStart w:id="129" w:name="_Toc530489445"/>
      <w:bookmarkStart w:id="130" w:name="_Toc530558394"/>
      <w:r>
        <w:rPr>
          <w:sz w:val="28"/>
        </w:rPr>
        <w:t>Defined terms</w:t>
      </w:r>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1344"/>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ity"/>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09EB6-3412-422B-9A31-3582CF5C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13409</Words>
  <Characters>62759</Characters>
  <Application>Microsoft Office Word</Application>
  <DocSecurity>0</DocSecurity>
  <Lines>1793</Lines>
  <Paragraphs>1029</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1991 - 04-d0-01</dc:title>
  <dc:subject/>
  <dc:creator/>
  <cp:keywords/>
  <dc:description/>
  <cp:lastModifiedBy>svcMRProcess</cp:lastModifiedBy>
  <cp:revision>4</cp:revision>
  <cp:lastPrinted>2012-06-01T02:25:00Z</cp:lastPrinted>
  <dcterms:created xsi:type="dcterms:W3CDTF">2019-01-22T01:54:00Z</dcterms:created>
  <dcterms:modified xsi:type="dcterms:W3CDTF">2019-01-22T01:54:00Z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AsAtDate">
    <vt:lpwstr>19 Nov 2018</vt:lpwstr>
  </property>
  <property fmtid="{D5CDD505-2E9C-101B-9397-08002B2CF9AE}" pid="8" name="Suffix">
    <vt:lpwstr>04-d0-01</vt:lpwstr>
  </property>
  <property fmtid="{D5CDD505-2E9C-101B-9397-08002B2CF9AE}" pid="9" name="CommencementDate">
    <vt:lpwstr>20181119</vt:lpwstr>
  </property>
</Properties>
</file>