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_Toc134521126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_Toc134521127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_Toc134521128 \h </w:instrText>
      </w:r>
      <w:r>
        <w:fldChar w:fldCharType="separate"/>
      </w:r>
      <w:r>
        <w:t>1</w:t>
      </w:r>
      <w:r>
        <w:fldChar w:fldCharType="end"/>
      </w:r>
    </w:p>
    <w:p>
      <w:pPr>
        <w:pStyle w:val="TOC2"/>
        <w:tabs>
          <w:tab w:val="right" w:leader="dot" w:pos="7086"/>
        </w:tabs>
        <w:rPr>
          <w:b w:val="0"/>
          <w:sz w:val="24"/>
          <w:szCs w:val="24"/>
        </w:rPr>
      </w:pPr>
      <w:r>
        <w:rPr>
          <w:szCs w:val="30"/>
        </w:rPr>
        <w:t>Part 2 — Licensing of directors</w:t>
      </w:r>
    </w:p>
    <w:p>
      <w:pPr>
        <w:pStyle w:val="TOC8"/>
        <w:rPr>
          <w:sz w:val="24"/>
          <w:szCs w:val="24"/>
        </w:rPr>
      </w:pPr>
      <w:r>
        <w:rPr>
          <w:szCs w:val="24"/>
        </w:rPr>
        <w:t>4.</w:t>
      </w:r>
      <w:r>
        <w:rPr>
          <w:szCs w:val="24"/>
        </w:rPr>
        <w:tab/>
        <w:t>Notifications by RWWA to Commission</w:t>
      </w:r>
      <w:r>
        <w:tab/>
      </w:r>
      <w:r>
        <w:fldChar w:fldCharType="begin"/>
      </w:r>
      <w:r>
        <w:instrText xml:space="preserve"> PAGEREF _Toc134521130 \h </w:instrText>
      </w:r>
      <w:r>
        <w:fldChar w:fldCharType="separate"/>
      </w:r>
      <w:r>
        <w:t>5</w:t>
      </w:r>
      <w:r>
        <w:fldChar w:fldCharType="end"/>
      </w:r>
    </w:p>
    <w:p>
      <w:pPr>
        <w:pStyle w:val="TOC8"/>
        <w:rPr>
          <w:sz w:val="24"/>
          <w:szCs w:val="24"/>
        </w:rPr>
      </w:pPr>
      <w:r>
        <w:rPr>
          <w:szCs w:val="24"/>
        </w:rPr>
        <w:t>5.</w:t>
      </w:r>
      <w:r>
        <w:rPr>
          <w:szCs w:val="24"/>
        </w:rPr>
        <w:tab/>
        <w:t>Application for licence</w:t>
      </w:r>
      <w:r>
        <w:tab/>
      </w:r>
      <w:r>
        <w:fldChar w:fldCharType="begin"/>
      </w:r>
      <w:r>
        <w:instrText xml:space="preserve"> PAGEREF _Toc134521131 \h </w:instrText>
      </w:r>
      <w:r>
        <w:fldChar w:fldCharType="separate"/>
      </w:r>
      <w:r>
        <w:t>5</w:t>
      </w:r>
      <w:r>
        <w:fldChar w:fldCharType="end"/>
      </w:r>
    </w:p>
    <w:p>
      <w:pPr>
        <w:pStyle w:val="TOC8"/>
        <w:rPr>
          <w:sz w:val="24"/>
          <w:szCs w:val="24"/>
        </w:rPr>
      </w:pPr>
      <w:r>
        <w:rPr>
          <w:szCs w:val="24"/>
        </w:rPr>
        <w:t>6.</w:t>
      </w:r>
      <w:r>
        <w:rPr>
          <w:szCs w:val="24"/>
        </w:rPr>
        <w:tab/>
        <w:t>Form of application</w:t>
      </w:r>
      <w:r>
        <w:tab/>
      </w:r>
      <w:r>
        <w:fldChar w:fldCharType="begin"/>
      </w:r>
      <w:r>
        <w:instrText xml:space="preserve"> PAGEREF _Toc134521132 \h </w:instrText>
      </w:r>
      <w:r>
        <w:fldChar w:fldCharType="separate"/>
      </w:r>
      <w:r>
        <w:t>5</w:t>
      </w:r>
      <w:r>
        <w:fldChar w:fldCharType="end"/>
      </w:r>
    </w:p>
    <w:p>
      <w:pPr>
        <w:pStyle w:val="TOC8"/>
        <w:rPr>
          <w:sz w:val="24"/>
          <w:szCs w:val="24"/>
        </w:rPr>
      </w:pPr>
      <w:r>
        <w:rPr>
          <w:szCs w:val="24"/>
        </w:rPr>
        <w:t>7.</w:t>
      </w:r>
      <w:r>
        <w:rPr>
          <w:szCs w:val="24"/>
        </w:rPr>
        <w:tab/>
        <w:t>Investigation by police</w:t>
      </w:r>
      <w:r>
        <w:tab/>
      </w:r>
      <w:r>
        <w:fldChar w:fldCharType="begin"/>
      </w:r>
      <w:r>
        <w:instrText xml:space="preserve"> PAGEREF _Toc134521133 \h </w:instrText>
      </w:r>
      <w:r>
        <w:fldChar w:fldCharType="separate"/>
      </w:r>
      <w:r>
        <w:t>6</w:t>
      </w:r>
      <w:r>
        <w:fldChar w:fldCharType="end"/>
      </w:r>
    </w:p>
    <w:p>
      <w:pPr>
        <w:pStyle w:val="TOC8"/>
        <w:rPr>
          <w:sz w:val="24"/>
          <w:szCs w:val="24"/>
        </w:rPr>
      </w:pPr>
      <w:r>
        <w:rPr>
          <w:szCs w:val="24"/>
        </w:rPr>
        <w:t>8.</w:t>
      </w:r>
      <w:r>
        <w:rPr>
          <w:szCs w:val="24"/>
        </w:rPr>
        <w:tab/>
        <w:t>Commission may licence, or refuse to licence, director</w:t>
      </w:r>
      <w:r>
        <w:tab/>
      </w:r>
      <w:r>
        <w:fldChar w:fldCharType="begin"/>
      </w:r>
      <w:r>
        <w:instrText xml:space="preserve"> PAGEREF _Toc134521134 \h </w:instrText>
      </w:r>
      <w:r>
        <w:fldChar w:fldCharType="separate"/>
      </w:r>
      <w:r>
        <w:t>6</w:t>
      </w:r>
      <w:r>
        <w:fldChar w:fldCharType="end"/>
      </w:r>
    </w:p>
    <w:p>
      <w:pPr>
        <w:pStyle w:val="TOC8"/>
        <w:rPr>
          <w:sz w:val="24"/>
          <w:szCs w:val="24"/>
        </w:rPr>
      </w:pPr>
      <w:r>
        <w:rPr>
          <w:szCs w:val="24"/>
        </w:rPr>
        <w:t>9.</w:t>
      </w:r>
      <w:r>
        <w:rPr>
          <w:szCs w:val="24"/>
        </w:rPr>
        <w:tab/>
        <w:t>Duration of director’s licence</w:t>
      </w:r>
      <w:r>
        <w:tab/>
      </w:r>
      <w:r>
        <w:fldChar w:fldCharType="begin"/>
      </w:r>
      <w:r>
        <w:instrText xml:space="preserve"> PAGEREF _Toc134521135 \h </w:instrText>
      </w:r>
      <w:r>
        <w:fldChar w:fldCharType="separate"/>
      </w:r>
      <w:r>
        <w:t>7</w:t>
      </w:r>
      <w:r>
        <w:fldChar w:fldCharType="end"/>
      </w:r>
    </w:p>
    <w:p>
      <w:pPr>
        <w:pStyle w:val="TOC8"/>
        <w:rPr>
          <w:sz w:val="24"/>
          <w:szCs w:val="24"/>
        </w:rPr>
      </w:pPr>
      <w:r>
        <w:rPr>
          <w:szCs w:val="24"/>
        </w:rPr>
        <w:t>10.</w:t>
      </w:r>
      <w:r>
        <w:rPr>
          <w:szCs w:val="24"/>
        </w:rPr>
        <w:tab/>
        <w:t>Renewal of licence</w:t>
      </w:r>
      <w:r>
        <w:tab/>
      </w:r>
      <w:r>
        <w:fldChar w:fldCharType="begin"/>
      </w:r>
      <w:r>
        <w:instrText xml:space="preserve"> PAGEREF _Toc134521136 \h </w:instrText>
      </w:r>
      <w:r>
        <w:fldChar w:fldCharType="separate"/>
      </w:r>
      <w:r>
        <w:t>7</w:t>
      </w:r>
      <w:r>
        <w:fldChar w:fldCharType="end"/>
      </w:r>
    </w:p>
    <w:p>
      <w:pPr>
        <w:pStyle w:val="TOC8"/>
        <w:rPr>
          <w:sz w:val="24"/>
          <w:szCs w:val="24"/>
        </w:rPr>
      </w:pPr>
      <w:r>
        <w:rPr>
          <w:szCs w:val="24"/>
        </w:rPr>
        <w:t>11.</w:t>
      </w:r>
      <w:r>
        <w:rPr>
          <w:szCs w:val="24"/>
        </w:rPr>
        <w:tab/>
        <w:t>Further investigation</w:t>
      </w:r>
      <w:r>
        <w:tab/>
      </w:r>
      <w:r>
        <w:fldChar w:fldCharType="begin"/>
      </w:r>
      <w:r>
        <w:instrText xml:space="preserve"> PAGEREF _Toc134521137 \h </w:instrText>
      </w:r>
      <w:r>
        <w:fldChar w:fldCharType="separate"/>
      </w:r>
      <w:r>
        <w:t>7</w:t>
      </w:r>
      <w:r>
        <w:fldChar w:fldCharType="end"/>
      </w:r>
    </w:p>
    <w:p>
      <w:pPr>
        <w:pStyle w:val="TOC2"/>
        <w:tabs>
          <w:tab w:val="right" w:leader="dot" w:pos="7086"/>
        </w:tabs>
        <w:rPr>
          <w:b w:val="0"/>
          <w:sz w:val="24"/>
          <w:szCs w:val="24"/>
        </w:rPr>
      </w:pPr>
      <w:r>
        <w:rPr>
          <w:szCs w:val="30"/>
        </w:rPr>
        <w:t>Part 3 — Licensing of RWWA key employees</w:t>
      </w:r>
    </w:p>
    <w:p>
      <w:pPr>
        <w:pStyle w:val="TOC8"/>
        <w:rPr>
          <w:sz w:val="24"/>
          <w:szCs w:val="24"/>
        </w:rPr>
      </w:pPr>
      <w:r>
        <w:rPr>
          <w:szCs w:val="24"/>
        </w:rPr>
        <w:t>12.</w:t>
      </w:r>
      <w:r>
        <w:rPr>
          <w:szCs w:val="24"/>
        </w:rPr>
        <w:tab/>
        <w:t>RWWA key employees taken to hold provisional licence</w:t>
      </w:r>
      <w:r>
        <w:tab/>
      </w:r>
      <w:r>
        <w:fldChar w:fldCharType="begin"/>
      </w:r>
      <w:r>
        <w:instrText xml:space="preserve"> PAGEREF _Toc134521139 \h </w:instrText>
      </w:r>
      <w:r>
        <w:fldChar w:fldCharType="separate"/>
      </w:r>
      <w:r>
        <w:t>9</w:t>
      </w:r>
      <w:r>
        <w:fldChar w:fldCharType="end"/>
      </w:r>
    </w:p>
    <w:p>
      <w:pPr>
        <w:pStyle w:val="TOC8"/>
        <w:rPr>
          <w:sz w:val="24"/>
          <w:szCs w:val="24"/>
        </w:rPr>
      </w:pPr>
      <w:r>
        <w:rPr>
          <w:szCs w:val="24"/>
        </w:rPr>
        <w:t>13.</w:t>
      </w:r>
      <w:r>
        <w:rPr>
          <w:szCs w:val="24"/>
        </w:rPr>
        <w:tab/>
        <w:t>Application for employee’s licence</w:t>
      </w:r>
      <w:r>
        <w:tab/>
      </w:r>
      <w:r>
        <w:fldChar w:fldCharType="begin"/>
      </w:r>
      <w:r>
        <w:instrText xml:space="preserve"> PAGEREF _Toc134521140 \h </w:instrText>
      </w:r>
      <w:r>
        <w:fldChar w:fldCharType="separate"/>
      </w:r>
      <w:r>
        <w:t>9</w:t>
      </w:r>
      <w:r>
        <w:fldChar w:fldCharType="end"/>
      </w:r>
    </w:p>
    <w:p>
      <w:pPr>
        <w:pStyle w:val="TOC8"/>
        <w:rPr>
          <w:sz w:val="24"/>
          <w:szCs w:val="24"/>
        </w:rPr>
      </w:pPr>
      <w:r>
        <w:rPr>
          <w:szCs w:val="24"/>
        </w:rPr>
        <w:t>14.</w:t>
      </w:r>
      <w:r>
        <w:rPr>
          <w:szCs w:val="24"/>
        </w:rPr>
        <w:tab/>
        <w:t>Investigation by police</w:t>
      </w:r>
      <w:r>
        <w:tab/>
      </w:r>
      <w:r>
        <w:fldChar w:fldCharType="begin"/>
      </w:r>
      <w:r>
        <w:instrText xml:space="preserve"> PAGEREF _Toc134521141 \h </w:instrText>
      </w:r>
      <w:r>
        <w:fldChar w:fldCharType="separate"/>
      </w:r>
      <w:r>
        <w:t>10</w:t>
      </w:r>
      <w:r>
        <w:fldChar w:fldCharType="end"/>
      </w:r>
    </w:p>
    <w:p>
      <w:pPr>
        <w:pStyle w:val="TOC8"/>
        <w:rPr>
          <w:sz w:val="24"/>
          <w:szCs w:val="24"/>
        </w:rPr>
      </w:pPr>
      <w:r>
        <w:rPr>
          <w:szCs w:val="24"/>
        </w:rPr>
        <w:t>15.</w:t>
      </w:r>
      <w:r>
        <w:rPr>
          <w:szCs w:val="24"/>
        </w:rPr>
        <w:tab/>
        <w:t>Commission may licence, or refuse to licence, employee</w:t>
      </w:r>
      <w:r>
        <w:tab/>
      </w:r>
      <w:r>
        <w:fldChar w:fldCharType="begin"/>
      </w:r>
      <w:r>
        <w:instrText xml:space="preserve"> PAGEREF _Toc134521142 \h </w:instrText>
      </w:r>
      <w:r>
        <w:fldChar w:fldCharType="separate"/>
      </w:r>
      <w:r>
        <w:t>10</w:t>
      </w:r>
      <w:r>
        <w:fldChar w:fldCharType="end"/>
      </w:r>
    </w:p>
    <w:p>
      <w:pPr>
        <w:pStyle w:val="TOC8"/>
        <w:rPr>
          <w:sz w:val="24"/>
          <w:szCs w:val="24"/>
        </w:rPr>
      </w:pPr>
      <w:r>
        <w:rPr>
          <w:szCs w:val="24"/>
        </w:rPr>
        <w:t>16.</w:t>
      </w:r>
      <w:r>
        <w:rPr>
          <w:szCs w:val="24"/>
        </w:rPr>
        <w:tab/>
        <w:t>Person may reapply for licence</w:t>
      </w:r>
      <w:r>
        <w:tab/>
      </w:r>
      <w:r>
        <w:fldChar w:fldCharType="begin"/>
      </w:r>
      <w:r>
        <w:instrText xml:space="preserve"> PAGEREF _Toc134521143 \h </w:instrText>
      </w:r>
      <w:r>
        <w:fldChar w:fldCharType="separate"/>
      </w:r>
      <w:r>
        <w:t>11</w:t>
      </w:r>
      <w:r>
        <w:fldChar w:fldCharType="end"/>
      </w:r>
    </w:p>
    <w:p>
      <w:pPr>
        <w:pStyle w:val="TOC8"/>
        <w:rPr>
          <w:sz w:val="24"/>
          <w:szCs w:val="24"/>
        </w:rPr>
      </w:pPr>
      <w:r>
        <w:rPr>
          <w:szCs w:val="24"/>
        </w:rPr>
        <w:lastRenderedPageBreak/>
        <w:t>17.</w:t>
      </w:r>
      <w:r>
        <w:rPr>
          <w:szCs w:val="24"/>
        </w:rPr>
        <w:tab/>
        <w:t>RWWA must not employ person who has been refused an employee’s licence</w:t>
      </w:r>
      <w:r>
        <w:tab/>
      </w:r>
      <w:r>
        <w:fldChar w:fldCharType="begin"/>
      </w:r>
      <w:r>
        <w:instrText xml:space="preserve"> PAGEREF _Toc134521144 \h </w:instrText>
      </w:r>
      <w:r>
        <w:fldChar w:fldCharType="separate"/>
      </w:r>
      <w:r>
        <w:t>11</w:t>
      </w:r>
      <w:r>
        <w:fldChar w:fldCharType="end"/>
      </w:r>
    </w:p>
    <w:p>
      <w:pPr>
        <w:pStyle w:val="TOC8"/>
        <w:rPr>
          <w:sz w:val="24"/>
          <w:szCs w:val="24"/>
        </w:rPr>
      </w:pPr>
      <w:r>
        <w:rPr>
          <w:szCs w:val="24"/>
        </w:rPr>
        <w:t>18.</w:t>
      </w:r>
      <w:r>
        <w:rPr>
          <w:szCs w:val="24"/>
        </w:rPr>
        <w:tab/>
        <w:t>Duration of employee’s licence</w:t>
      </w:r>
      <w:r>
        <w:tab/>
      </w:r>
      <w:r>
        <w:fldChar w:fldCharType="begin"/>
      </w:r>
      <w:r>
        <w:instrText xml:space="preserve"> PAGEREF _Toc134521145 \h </w:instrText>
      </w:r>
      <w:r>
        <w:fldChar w:fldCharType="separate"/>
      </w:r>
      <w:r>
        <w:t>12</w:t>
      </w:r>
      <w:r>
        <w:fldChar w:fldCharType="end"/>
      </w:r>
    </w:p>
    <w:p>
      <w:pPr>
        <w:pStyle w:val="TOC8"/>
        <w:rPr>
          <w:sz w:val="24"/>
          <w:szCs w:val="24"/>
        </w:rPr>
      </w:pPr>
      <w:r>
        <w:rPr>
          <w:szCs w:val="24"/>
        </w:rPr>
        <w:t>19.</w:t>
      </w:r>
      <w:r>
        <w:rPr>
          <w:szCs w:val="24"/>
        </w:rPr>
        <w:tab/>
        <w:t>Disciplinary action</w:t>
      </w:r>
      <w:r>
        <w:tab/>
      </w:r>
      <w:r>
        <w:fldChar w:fldCharType="begin"/>
      </w:r>
      <w:r>
        <w:instrText xml:space="preserve"> PAGEREF _Toc134521146 \h </w:instrText>
      </w:r>
      <w:r>
        <w:fldChar w:fldCharType="separate"/>
      </w:r>
      <w:r>
        <w:t>12</w:t>
      </w:r>
      <w:r>
        <w:fldChar w:fldCharType="end"/>
      </w:r>
    </w:p>
    <w:p>
      <w:pPr>
        <w:pStyle w:val="TOC8"/>
        <w:rPr>
          <w:sz w:val="24"/>
          <w:szCs w:val="24"/>
        </w:rPr>
      </w:pPr>
      <w:r>
        <w:rPr>
          <w:szCs w:val="24"/>
        </w:rPr>
        <w:t>20.</w:t>
      </w:r>
      <w:r>
        <w:rPr>
          <w:szCs w:val="24"/>
        </w:rPr>
        <w:tab/>
        <w:t>Surrender of licence</w:t>
      </w:r>
      <w:r>
        <w:tab/>
      </w:r>
      <w:r>
        <w:fldChar w:fldCharType="begin"/>
      </w:r>
      <w:r>
        <w:instrText xml:space="preserve"> PAGEREF _Toc134521147 \h </w:instrText>
      </w:r>
      <w:r>
        <w:fldChar w:fldCharType="separate"/>
      </w:r>
      <w:r>
        <w:t>13</w:t>
      </w:r>
      <w:r>
        <w:fldChar w:fldCharType="end"/>
      </w:r>
    </w:p>
    <w:p>
      <w:pPr>
        <w:pStyle w:val="TOC8"/>
        <w:rPr>
          <w:sz w:val="24"/>
          <w:szCs w:val="24"/>
        </w:rPr>
      </w:pPr>
      <w:r>
        <w:rPr>
          <w:szCs w:val="24"/>
        </w:rPr>
        <w:t>21.</w:t>
      </w:r>
      <w:r>
        <w:rPr>
          <w:szCs w:val="24"/>
        </w:rPr>
        <w:tab/>
        <w:t>Notification of termination of employment</w:t>
      </w:r>
      <w:r>
        <w:tab/>
      </w:r>
      <w:r>
        <w:fldChar w:fldCharType="begin"/>
      </w:r>
      <w:r>
        <w:instrText xml:space="preserve"> PAGEREF _Toc134521148 \h </w:instrText>
      </w:r>
      <w:r>
        <w:fldChar w:fldCharType="separate"/>
      </w:r>
      <w:r>
        <w:t>13</w:t>
      </w:r>
      <w:r>
        <w:fldChar w:fldCharType="end"/>
      </w:r>
    </w:p>
    <w:p>
      <w:pPr>
        <w:pStyle w:val="TOC8"/>
        <w:rPr>
          <w:sz w:val="24"/>
          <w:szCs w:val="24"/>
        </w:rPr>
      </w:pPr>
      <w:r>
        <w:rPr>
          <w:szCs w:val="24"/>
        </w:rPr>
        <w:t>22.</w:t>
      </w:r>
      <w:r>
        <w:rPr>
          <w:szCs w:val="24"/>
        </w:rPr>
        <w:tab/>
        <w:t>Further investigation</w:t>
      </w:r>
      <w:r>
        <w:tab/>
      </w:r>
      <w:r>
        <w:fldChar w:fldCharType="begin"/>
      </w:r>
      <w:r>
        <w:instrText xml:space="preserve"> PAGEREF _Toc134521149 \h </w:instrText>
      </w:r>
      <w:r>
        <w:fldChar w:fldCharType="separate"/>
      </w:r>
      <w:r>
        <w:t>14</w:t>
      </w:r>
      <w:r>
        <w:fldChar w:fldCharType="end"/>
      </w:r>
    </w:p>
    <w:p>
      <w:pPr>
        <w:pStyle w:val="TOC2"/>
        <w:tabs>
          <w:tab w:val="right" w:leader="dot" w:pos="7086"/>
        </w:tabs>
        <w:rPr>
          <w:b w:val="0"/>
          <w:sz w:val="24"/>
          <w:szCs w:val="24"/>
        </w:rPr>
      </w:pPr>
      <w:r>
        <w:rPr>
          <w:szCs w:val="30"/>
        </w:rPr>
        <w:t>Part 4 — Offences</w:t>
      </w:r>
    </w:p>
    <w:p>
      <w:pPr>
        <w:pStyle w:val="TOC8"/>
        <w:rPr>
          <w:sz w:val="24"/>
          <w:szCs w:val="24"/>
        </w:rPr>
      </w:pPr>
      <w:r>
        <w:rPr>
          <w:szCs w:val="24"/>
        </w:rPr>
        <w:t>23.</w:t>
      </w:r>
      <w:r>
        <w:rPr>
          <w:szCs w:val="24"/>
        </w:rPr>
        <w:tab/>
        <w:t>Offence relating to misleading information</w:t>
      </w:r>
      <w:r>
        <w:tab/>
      </w:r>
      <w:r>
        <w:fldChar w:fldCharType="begin"/>
      </w:r>
      <w:r>
        <w:instrText xml:space="preserve"> PAGEREF _Toc134521151 \h </w:instrText>
      </w:r>
      <w:r>
        <w:fldChar w:fldCharType="separate"/>
      </w:r>
      <w:r>
        <w:t>15</w:t>
      </w:r>
      <w:r>
        <w:fldChar w:fldCharType="end"/>
      </w:r>
    </w:p>
    <w:p>
      <w:pPr>
        <w:pStyle w:val="TOC8"/>
        <w:rPr>
          <w:sz w:val="24"/>
          <w:szCs w:val="24"/>
        </w:rPr>
      </w:pPr>
      <w:r>
        <w:rPr>
          <w:szCs w:val="24"/>
        </w:rPr>
        <w:t>24.</w:t>
      </w:r>
      <w:r>
        <w:rPr>
          <w:szCs w:val="24"/>
        </w:rPr>
        <w:tab/>
        <w:t>Notification of conviction</w:t>
      </w:r>
      <w:r>
        <w:tab/>
      </w:r>
      <w:r>
        <w:fldChar w:fldCharType="begin"/>
      </w:r>
      <w:r>
        <w:instrText xml:space="preserve"> PAGEREF _Toc134521152 \h </w:instrText>
      </w:r>
      <w:r>
        <w:fldChar w:fldCharType="separate"/>
      </w:r>
      <w:r>
        <w:t>15</w:t>
      </w:r>
      <w:r>
        <w:fldChar w:fldCharType="end"/>
      </w:r>
    </w:p>
    <w:p>
      <w:pPr>
        <w:pStyle w:val="TOC8"/>
        <w:rPr>
          <w:sz w:val="24"/>
          <w:szCs w:val="24"/>
        </w:rPr>
      </w:pPr>
      <w:r>
        <w:rPr>
          <w:szCs w:val="24"/>
        </w:rPr>
        <w:t>24A.</w:t>
      </w:r>
      <w:r>
        <w:rPr>
          <w:szCs w:val="24"/>
        </w:rPr>
        <w:tab/>
        <w:t>Offences relating to making and accepting wagers</w:t>
      </w:r>
      <w:r>
        <w:tab/>
      </w:r>
      <w:r>
        <w:fldChar w:fldCharType="begin"/>
      </w:r>
      <w:r>
        <w:instrText xml:space="preserve"> PAGEREF _Toc134521153 \h </w:instrText>
      </w:r>
      <w:r>
        <w:fldChar w:fldCharType="separate"/>
      </w:r>
      <w:r>
        <w:t>16</w:t>
      </w:r>
      <w:r>
        <w:fldChar w:fldCharType="end"/>
      </w:r>
    </w:p>
    <w:p>
      <w:pPr>
        <w:pStyle w:val="TOC2"/>
        <w:tabs>
          <w:tab w:val="right" w:leader="dot" w:pos="7086"/>
        </w:tabs>
        <w:rPr>
          <w:b w:val="0"/>
          <w:sz w:val="24"/>
          <w:szCs w:val="24"/>
        </w:rPr>
      </w:pPr>
      <w:r>
        <w:rPr>
          <w:szCs w:val="30"/>
        </w:rPr>
        <w:t>Part 5 — Fees and taxes</w:t>
      </w:r>
    </w:p>
    <w:p>
      <w:pPr>
        <w:pStyle w:val="TOC8"/>
        <w:rPr>
          <w:sz w:val="24"/>
          <w:szCs w:val="24"/>
        </w:rPr>
      </w:pPr>
      <w:r>
        <w:rPr>
          <w:szCs w:val="24"/>
        </w:rPr>
        <w:t>25.</w:t>
      </w:r>
      <w:r>
        <w:rPr>
          <w:szCs w:val="24"/>
        </w:rPr>
        <w:tab/>
        <w:t>Section 53 fee</w:t>
      </w:r>
      <w:r>
        <w:tab/>
      </w:r>
      <w:r>
        <w:fldChar w:fldCharType="begin"/>
      </w:r>
      <w:r>
        <w:instrText xml:space="preserve"> PAGEREF _Toc134521155 \h </w:instrText>
      </w:r>
      <w:r>
        <w:fldChar w:fldCharType="separate"/>
      </w:r>
      <w:r>
        <w:t>18</w:t>
      </w:r>
      <w:r>
        <w:fldChar w:fldCharType="end"/>
      </w:r>
    </w:p>
    <w:p>
      <w:pPr>
        <w:pStyle w:val="TOC8"/>
        <w:rPr>
          <w:sz w:val="24"/>
          <w:szCs w:val="24"/>
        </w:rPr>
      </w:pPr>
      <w:r>
        <w:rPr>
          <w:szCs w:val="24"/>
        </w:rPr>
        <w:t>26.</w:t>
      </w:r>
      <w:r>
        <w:rPr>
          <w:szCs w:val="24"/>
        </w:rPr>
        <w:tab/>
        <w:t>RWWA wagering tax</w:t>
      </w:r>
      <w:r>
        <w:tab/>
      </w:r>
      <w:r>
        <w:fldChar w:fldCharType="begin"/>
      </w:r>
      <w:r>
        <w:instrText xml:space="preserve"> PAGEREF _Toc134521156 \h </w:instrText>
      </w:r>
      <w:r>
        <w:fldChar w:fldCharType="separate"/>
      </w:r>
      <w:r>
        <w:t>18</w:t>
      </w:r>
      <w:r>
        <w:fldChar w:fldCharType="end"/>
      </w:r>
    </w:p>
    <w:p>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pPr>
        <w:pStyle w:val="TOC8"/>
        <w:rPr>
          <w:sz w:val="24"/>
          <w:szCs w:val="24"/>
        </w:rPr>
      </w:pPr>
      <w:r>
        <w:rPr>
          <w:szCs w:val="24"/>
        </w:rPr>
        <w:t>27.</w:t>
      </w:r>
      <w:r>
        <w:rPr>
          <w:szCs w:val="24"/>
        </w:rPr>
        <w:tab/>
        <w:t>Persons excluded from totalisator agencies</w:t>
      </w:r>
      <w:r>
        <w:tab/>
      </w:r>
      <w:r>
        <w:fldChar w:fldCharType="begin"/>
      </w:r>
      <w:r>
        <w:instrText xml:space="preserve"> PAGEREF _Toc134521158 \h </w:instrText>
      </w:r>
      <w:r>
        <w:fldChar w:fldCharType="separate"/>
      </w:r>
      <w:r>
        <w:t>19</w:t>
      </w:r>
      <w:r>
        <w:fldChar w:fldCharType="end"/>
      </w:r>
    </w:p>
    <w:p>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_Toc134521159 \h </w:instrText>
      </w:r>
      <w:r>
        <w:fldChar w:fldCharType="separate"/>
      </w:r>
      <w:r>
        <w:t>20</w:t>
      </w:r>
      <w:r>
        <w:fldChar w:fldCharType="end"/>
      </w:r>
    </w:p>
    <w:p>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_Toc134521160 \h </w:instrText>
      </w:r>
      <w:r>
        <w:fldChar w:fldCharType="separate"/>
      </w:r>
      <w:r>
        <w:t>20</w:t>
      </w:r>
      <w:r>
        <w:fldChar w:fldCharType="end"/>
      </w:r>
    </w:p>
    <w:p>
      <w:pPr>
        <w:pStyle w:val="TOC8"/>
        <w:rPr>
          <w:sz w:val="24"/>
          <w:szCs w:val="24"/>
        </w:rPr>
      </w:pPr>
      <w:r>
        <w:rPr>
          <w:szCs w:val="24"/>
        </w:rPr>
        <w:t>30.</w:t>
      </w:r>
      <w:r>
        <w:rPr>
          <w:szCs w:val="24"/>
        </w:rPr>
        <w:tab/>
        <w:t>All wagers to be 50 cents or multiples of 50 cents</w:t>
      </w:r>
      <w:r>
        <w:tab/>
      </w:r>
      <w:r>
        <w:fldChar w:fldCharType="begin"/>
      </w:r>
      <w:r>
        <w:instrText xml:space="preserve"> PAGEREF _Toc134521161 \h </w:instrText>
      </w:r>
      <w:r>
        <w:fldChar w:fldCharType="separate"/>
      </w:r>
      <w:r>
        <w:t>21</w:t>
      </w:r>
      <w:r>
        <w:fldChar w:fldCharType="end"/>
      </w:r>
    </w:p>
    <w:p>
      <w:pPr>
        <w:pStyle w:val="TOC8"/>
        <w:rPr>
          <w:sz w:val="24"/>
          <w:szCs w:val="24"/>
        </w:rPr>
      </w:pPr>
      <w:r>
        <w:rPr>
          <w:szCs w:val="24"/>
        </w:rPr>
        <w:t>31.</w:t>
      </w:r>
      <w:r>
        <w:rPr>
          <w:szCs w:val="24"/>
        </w:rPr>
        <w:tab/>
        <w:t>Dividend as declared</w:t>
      </w:r>
      <w:r>
        <w:tab/>
      </w:r>
      <w:r>
        <w:fldChar w:fldCharType="begin"/>
      </w:r>
      <w:r>
        <w:instrText xml:space="preserve"> PAGEREF _Toc134521162 \h </w:instrText>
      </w:r>
      <w:r>
        <w:fldChar w:fldCharType="separate"/>
      </w:r>
      <w:r>
        <w:t>21</w:t>
      </w:r>
      <w:r>
        <w:fldChar w:fldCharType="end"/>
      </w:r>
    </w:p>
    <w:p>
      <w:pPr>
        <w:pStyle w:val="TOC8"/>
        <w:rPr>
          <w:sz w:val="24"/>
          <w:szCs w:val="24"/>
        </w:rPr>
      </w:pPr>
      <w:r>
        <w:rPr>
          <w:szCs w:val="24"/>
        </w:rPr>
        <w:t>32.</w:t>
      </w:r>
      <w:r>
        <w:rPr>
          <w:szCs w:val="24"/>
        </w:rPr>
        <w:tab/>
        <w:t>Wagers may be refused</w:t>
      </w:r>
      <w:r>
        <w:tab/>
      </w:r>
      <w:r>
        <w:fldChar w:fldCharType="begin"/>
      </w:r>
      <w:r>
        <w:instrText xml:space="preserve"> PAGEREF _Toc134521163 \h </w:instrText>
      </w:r>
      <w:r>
        <w:fldChar w:fldCharType="separate"/>
      </w:r>
      <w:r>
        <w:t>22</w:t>
      </w:r>
      <w:r>
        <w:fldChar w:fldCharType="end"/>
      </w:r>
    </w:p>
    <w:p>
      <w:pPr>
        <w:pStyle w:val="TOC8"/>
        <w:rPr>
          <w:sz w:val="24"/>
          <w:szCs w:val="24"/>
        </w:rPr>
      </w:pPr>
      <w:r>
        <w:rPr>
          <w:szCs w:val="24"/>
        </w:rPr>
        <w:t>33.</w:t>
      </w:r>
      <w:r>
        <w:rPr>
          <w:szCs w:val="24"/>
        </w:rPr>
        <w:tab/>
        <w:t>Only authorised wagers to be accepted</w:t>
      </w:r>
      <w:r>
        <w:tab/>
      </w:r>
      <w:r>
        <w:fldChar w:fldCharType="begin"/>
      </w:r>
      <w:r>
        <w:instrText xml:space="preserve"> PAGEREF _Toc134521164 \h </w:instrText>
      </w:r>
      <w:r>
        <w:fldChar w:fldCharType="separate"/>
      </w:r>
      <w:r>
        <w:t>23</w:t>
      </w:r>
      <w:r>
        <w:fldChar w:fldCharType="end"/>
      </w:r>
    </w:p>
    <w:p>
      <w:pPr>
        <w:pStyle w:val="TOC8"/>
        <w:rPr>
          <w:sz w:val="24"/>
          <w:szCs w:val="24"/>
        </w:rPr>
      </w:pPr>
      <w:r>
        <w:rPr>
          <w:szCs w:val="24"/>
        </w:rPr>
        <w:t>34.</w:t>
      </w:r>
      <w:r>
        <w:rPr>
          <w:szCs w:val="24"/>
        </w:rPr>
        <w:tab/>
        <w:t>Hours for opening</w:t>
      </w:r>
      <w:r>
        <w:tab/>
      </w:r>
      <w:r>
        <w:fldChar w:fldCharType="begin"/>
      </w:r>
      <w:r>
        <w:instrText xml:space="preserve"> PAGEREF _Toc134521165 \h </w:instrText>
      </w:r>
      <w:r>
        <w:fldChar w:fldCharType="separate"/>
      </w:r>
      <w:r>
        <w:t>23</w:t>
      </w:r>
      <w:r>
        <w:fldChar w:fldCharType="end"/>
      </w:r>
    </w:p>
    <w:p>
      <w:pPr>
        <w:pStyle w:val="TOC8"/>
        <w:rPr>
          <w:sz w:val="24"/>
          <w:szCs w:val="24"/>
        </w:rPr>
      </w:pPr>
      <w:r>
        <w:rPr>
          <w:szCs w:val="24"/>
        </w:rPr>
        <w:t>35.</w:t>
      </w:r>
      <w:r>
        <w:rPr>
          <w:szCs w:val="24"/>
        </w:rPr>
        <w:tab/>
        <w:t>Wagers may be made by various methods</w:t>
      </w:r>
      <w:r>
        <w:tab/>
      </w:r>
      <w:r>
        <w:fldChar w:fldCharType="begin"/>
      </w:r>
      <w:r>
        <w:instrText xml:space="preserve"> PAGEREF _Toc134521166 \h </w:instrText>
      </w:r>
      <w:r>
        <w:fldChar w:fldCharType="separate"/>
      </w:r>
      <w:r>
        <w:t>23</w:t>
      </w:r>
      <w:r>
        <w:fldChar w:fldCharType="end"/>
      </w:r>
    </w:p>
    <w:p>
      <w:pPr>
        <w:pStyle w:val="TOC8"/>
        <w:rPr>
          <w:sz w:val="24"/>
          <w:szCs w:val="24"/>
        </w:rPr>
      </w:pPr>
      <w:r>
        <w:rPr>
          <w:szCs w:val="24"/>
        </w:rPr>
        <w:t>36.</w:t>
      </w:r>
      <w:r>
        <w:rPr>
          <w:szCs w:val="24"/>
        </w:rPr>
        <w:tab/>
        <w:t>Wagers to be properly marked</w:t>
      </w:r>
      <w:r>
        <w:tab/>
      </w:r>
      <w:r>
        <w:fldChar w:fldCharType="begin"/>
      </w:r>
      <w:r>
        <w:instrText xml:space="preserve"> PAGEREF _Toc134521167 \h </w:instrText>
      </w:r>
      <w:r>
        <w:fldChar w:fldCharType="separate"/>
      </w:r>
      <w:r>
        <w:t>25</w:t>
      </w:r>
      <w:r>
        <w:fldChar w:fldCharType="end"/>
      </w:r>
    </w:p>
    <w:p>
      <w:pPr>
        <w:pStyle w:val="TOC8"/>
        <w:rPr>
          <w:sz w:val="24"/>
          <w:szCs w:val="24"/>
        </w:rPr>
      </w:pPr>
      <w:r>
        <w:rPr>
          <w:szCs w:val="24"/>
        </w:rPr>
        <w:t>37.</w:t>
      </w:r>
      <w:r>
        <w:rPr>
          <w:szCs w:val="24"/>
        </w:rPr>
        <w:tab/>
        <w:t>RWWA may decide particulars of wagers</w:t>
      </w:r>
      <w:r>
        <w:tab/>
      </w:r>
      <w:r>
        <w:fldChar w:fldCharType="begin"/>
      </w:r>
      <w:r>
        <w:instrText xml:space="preserve"> PAGEREF _Toc134521168 \h </w:instrText>
      </w:r>
      <w:r>
        <w:fldChar w:fldCharType="separate"/>
      </w:r>
      <w:r>
        <w:t>25</w:t>
      </w:r>
      <w:r>
        <w:fldChar w:fldCharType="end"/>
      </w:r>
    </w:p>
    <w:p>
      <w:pPr>
        <w:pStyle w:val="TOC8"/>
        <w:rPr>
          <w:sz w:val="24"/>
          <w:szCs w:val="24"/>
        </w:rPr>
      </w:pPr>
      <w:r>
        <w:rPr>
          <w:szCs w:val="24"/>
        </w:rPr>
        <w:t>38.</w:t>
      </w:r>
      <w:r>
        <w:rPr>
          <w:szCs w:val="24"/>
        </w:rPr>
        <w:tab/>
        <w:t>Tickets to be properly marked</w:t>
      </w:r>
      <w:r>
        <w:tab/>
      </w:r>
      <w:r>
        <w:fldChar w:fldCharType="begin"/>
      </w:r>
      <w:r>
        <w:instrText xml:space="preserve"> PAGEREF _Toc134521169 \h </w:instrText>
      </w:r>
      <w:r>
        <w:fldChar w:fldCharType="separate"/>
      </w:r>
      <w:r>
        <w:t>26</w:t>
      </w:r>
      <w:r>
        <w:fldChar w:fldCharType="end"/>
      </w:r>
    </w:p>
    <w:p>
      <w:pPr>
        <w:pStyle w:val="TOC8"/>
        <w:rPr>
          <w:sz w:val="24"/>
          <w:szCs w:val="24"/>
        </w:rPr>
      </w:pPr>
      <w:r>
        <w:rPr>
          <w:szCs w:val="24"/>
        </w:rPr>
        <w:t>39.</w:t>
      </w:r>
      <w:r>
        <w:rPr>
          <w:szCs w:val="24"/>
        </w:rPr>
        <w:tab/>
        <w:t>RWWA to exhibit notices</w:t>
      </w:r>
      <w:r>
        <w:tab/>
      </w:r>
      <w:r>
        <w:fldChar w:fldCharType="begin"/>
      </w:r>
      <w:r>
        <w:instrText xml:space="preserve"> PAGEREF _Toc134521170 \h </w:instrText>
      </w:r>
      <w:r>
        <w:fldChar w:fldCharType="separate"/>
      </w:r>
      <w:r>
        <w:t>26</w:t>
      </w:r>
      <w:r>
        <w:fldChar w:fldCharType="end"/>
      </w:r>
    </w:p>
    <w:p>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_Toc134521171 \h </w:instrText>
      </w:r>
      <w:r>
        <w:fldChar w:fldCharType="separate"/>
      </w:r>
      <w:r>
        <w:t>27</w:t>
      </w:r>
      <w:r>
        <w:fldChar w:fldCharType="end"/>
      </w:r>
    </w:p>
    <w:p>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_Toc134521172 \h </w:instrText>
      </w:r>
      <w:r>
        <w:fldChar w:fldCharType="separate"/>
      </w:r>
      <w:r>
        <w:t>29</w:t>
      </w:r>
      <w:r>
        <w:fldChar w:fldCharType="end"/>
      </w:r>
    </w:p>
    <w:p>
      <w:pPr>
        <w:pStyle w:val="TOC8"/>
        <w:rPr>
          <w:sz w:val="24"/>
          <w:szCs w:val="24"/>
        </w:rPr>
      </w:pPr>
      <w:r>
        <w:rPr>
          <w:szCs w:val="24"/>
        </w:rPr>
        <w:t>42.</w:t>
      </w:r>
      <w:r>
        <w:rPr>
          <w:szCs w:val="24"/>
        </w:rPr>
        <w:tab/>
        <w:t>Presentation of tickets or claims</w:t>
      </w:r>
      <w:r>
        <w:tab/>
      </w:r>
      <w:r>
        <w:fldChar w:fldCharType="begin"/>
      </w:r>
      <w:r>
        <w:instrText xml:space="preserve"> PAGEREF _Toc134521173 \h </w:instrText>
      </w:r>
      <w:r>
        <w:fldChar w:fldCharType="separate"/>
      </w:r>
      <w:r>
        <w:t>29</w:t>
      </w:r>
      <w:r>
        <w:fldChar w:fldCharType="end"/>
      </w:r>
    </w:p>
    <w:p>
      <w:pPr>
        <w:pStyle w:val="TOC8"/>
        <w:rPr>
          <w:sz w:val="24"/>
          <w:szCs w:val="24"/>
        </w:rPr>
      </w:pPr>
      <w:r>
        <w:rPr>
          <w:szCs w:val="24"/>
        </w:rPr>
        <w:t>43.</w:t>
      </w:r>
      <w:r>
        <w:rPr>
          <w:szCs w:val="24"/>
        </w:rPr>
        <w:tab/>
        <w:t>When refunds of wagers are payable</w:t>
      </w:r>
      <w:r>
        <w:tab/>
      </w:r>
      <w:r>
        <w:fldChar w:fldCharType="begin"/>
      </w:r>
      <w:r>
        <w:instrText xml:space="preserve"> PAGEREF _Toc134521174 \h </w:instrText>
      </w:r>
      <w:r>
        <w:fldChar w:fldCharType="separate"/>
      </w:r>
      <w:r>
        <w:t>31</w:t>
      </w:r>
      <w:r>
        <w:fldChar w:fldCharType="end"/>
      </w:r>
    </w:p>
    <w:p>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pPr>
        <w:pStyle w:val="TOC8"/>
        <w:rPr>
          <w:sz w:val="24"/>
          <w:szCs w:val="24"/>
        </w:rPr>
      </w:pPr>
      <w:r>
        <w:rPr>
          <w:szCs w:val="24"/>
        </w:rPr>
        <w:t>44.</w:t>
      </w:r>
      <w:r>
        <w:rPr>
          <w:szCs w:val="24"/>
        </w:rPr>
        <w:tab/>
        <w:t>Authorised racing club may transmit wagers</w:t>
      </w:r>
      <w:r>
        <w:tab/>
      </w:r>
      <w:r>
        <w:fldChar w:fldCharType="begin"/>
      </w:r>
      <w:r>
        <w:instrText xml:space="preserve"> PAGEREF _Toc134521176 \h </w:instrText>
      </w:r>
      <w:r>
        <w:fldChar w:fldCharType="separate"/>
      </w:r>
      <w:r>
        <w:t>33</w:t>
      </w:r>
      <w:r>
        <w:fldChar w:fldCharType="end"/>
      </w:r>
    </w:p>
    <w:p>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_Toc134521177 \h </w:instrText>
      </w:r>
      <w:r>
        <w:fldChar w:fldCharType="separate"/>
      </w:r>
      <w:r>
        <w:t>33</w:t>
      </w:r>
      <w:r>
        <w:fldChar w:fldCharType="end"/>
      </w:r>
    </w:p>
    <w:p>
      <w:pPr>
        <w:pStyle w:val="TOC8"/>
        <w:rPr>
          <w:sz w:val="24"/>
          <w:szCs w:val="24"/>
        </w:rPr>
      </w:pPr>
      <w:r>
        <w:rPr>
          <w:szCs w:val="24"/>
        </w:rPr>
        <w:t>46.</w:t>
      </w:r>
      <w:r>
        <w:rPr>
          <w:szCs w:val="24"/>
        </w:rPr>
        <w:tab/>
        <w:t>Only authorised wagering to be accepted</w:t>
      </w:r>
      <w:r>
        <w:tab/>
      </w:r>
      <w:r>
        <w:fldChar w:fldCharType="begin"/>
      </w:r>
      <w:r>
        <w:instrText xml:space="preserve"> PAGEREF _Toc134521178 \h </w:instrText>
      </w:r>
      <w:r>
        <w:fldChar w:fldCharType="separate"/>
      </w:r>
      <w:r>
        <w:t>33</w:t>
      </w:r>
      <w:r>
        <w:fldChar w:fldCharType="end"/>
      </w:r>
    </w:p>
    <w:p>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_Toc134521179 \h </w:instrText>
      </w:r>
      <w:r>
        <w:fldChar w:fldCharType="separate"/>
      </w:r>
      <w:r>
        <w:t>34</w:t>
      </w:r>
      <w:r>
        <w:fldChar w:fldCharType="end"/>
      </w:r>
    </w:p>
    <w:p>
      <w:pPr>
        <w:pStyle w:val="TOC8"/>
        <w:rPr>
          <w:sz w:val="24"/>
          <w:szCs w:val="24"/>
        </w:rPr>
      </w:pPr>
      <w:r>
        <w:rPr>
          <w:szCs w:val="24"/>
        </w:rPr>
        <w:t>48.</w:t>
      </w:r>
      <w:r>
        <w:rPr>
          <w:szCs w:val="24"/>
        </w:rPr>
        <w:tab/>
        <w:t>Apportionment of profit or loss</w:t>
      </w:r>
      <w:r>
        <w:tab/>
      </w:r>
      <w:r>
        <w:fldChar w:fldCharType="begin"/>
      </w:r>
      <w:r>
        <w:instrText xml:space="preserve"> PAGEREF _Toc134521180 \h </w:instrText>
      </w:r>
      <w:r>
        <w:fldChar w:fldCharType="separate"/>
      </w:r>
      <w:r>
        <w:t>34</w:t>
      </w:r>
      <w:r>
        <w:fldChar w:fldCharType="end"/>
      </w:r>
    </w:p>
    <w:p>
      <w:pPr>
        <w:pStyle w:val="TOC8"/>
        <w:rPr>
          <w:sz w:val="24"/>
          <w:szCs w:val="24"/>
        </w:rPr>
      </w:pPr>
      <w:r>
        <w:rPr>
          <w:szCs w:val="24"/>
        </w:rPr>
        <w:t>49.</w:t>
      </w:r>
      <w:r>
        <w:rPr>
          <w:szCs w:val="24"/>
        </w:rPr>
        <w:tab/>
        <w:t>References to pool conducted by RWWA</w:t>
      </w:r>
      <w:r>
        <w:tab/>
      </w:r>
      <w:r>
        <w:fldChar w:fldCharType="begin"/>
      </w:r>
      <w:r>
        <w:instrText xml:space="preserve"> PAGEREF _Toc134521181 \h </w:instrText>
      </w:r>
      <w:r>
        <w:fldChar w:fldCharType="separate"/>
      </w:r>
      <w:r>
        <w:t>34</w:t>
      </w:r>
      <w:r>
        <w:fldChar w:fldCharType="end"/>
      </w:r>
    </w:p>
    <w:p>
      <w:pPr>
        <w:pStyle w:val="TOC2"/>
        <w:tabs>
          <w:tab w:val="right" w:leader="dot" w:pos="7086"/>
        </w:tabs>
        <w:rPr>
          <w:b w:val="0"/>
          <w:sz w:val="24"/>
          <w:szCs w:val="24"/>
        </w:rPr>
      </w:pPr>
      <w:r>
        <w:rPr>
          <w:szCs w:val="30"/>
        </w:rPr>
        <w:t>Part 8 — Wagering accounts</w:t>
      </w:r>
    </w:p>
    <w:p>
      <w:pPr>
        <w:pStyle w:val="TOC8"/>
        <w:rPr>
          <w:sz w:val="24"/>
          <w:szCs w:val="24"/>
        </w:rPr>
      </w:pPr>
      <w:r>
        <w:rPr>
          <w:szCs w:val="24"/>
        </w:rPr>
        <w:t>50.</w:t>
      </w:r>
      <w:r>
        <w:rPr>
          <w:szCs w:val="24"/>
        </w:rPr>
        <w:tab/>
        <w:t>Procedure for establishing wagering account</w:t>
      </w:r>
      <w:r>
        <w:tab/>
      </w:r>
      <w:r>
        <w:fldChar w:fldCharType="begin"/>
      </w:r>
      <w:r>
        <w:instrText xml:space="preserve"> PAGEREF _Toc134521183 \h </w:instrText>
      </w:r>
      <w:r>
        <w:fldChar w:fldCharType="separate"/>
      </w:r>
      <w:r>
        <w:t>36</w:t>
      </w:r>
      <w:r>
        <w:fldChar w:fldCharType="end"/>
      </w:r>
    </w:p>
    <w:p>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_Toc134521184 \h </w:instrText>
      </w:r>
      <w:r>
        <w:fldChar w:fldCharType="separate"/>
      </w:r>
      <w:r>
        <w:t>37</w:t>
      </w:r>
      <w:r>
        <w:fldChar w:fldCharType="end"/>
      </w:r>
    </w:p>
    <w:p>
      <w:pPr>
        <w:pStyle w:val="TOC8"/>
        <w:rPr>
          <w:sz w:val="24"/>
          <w:szCs w:val="24"/>
        </w:rPr>
      </w:pPr>
      <w:r>
        <w:rPr>
          <w:szCs w:val="24"/>
        </w:rPr>
        <w:t>52.</w:t>
      </w:r>
      <w:r>
        <w:rPr>
          <w:szCs w:val="24"/>
        </w:rPr>
        <w:tab/>
        <w:t>Recording of wagers against a wagering account</w:t>
      </w:r>
      <w:r>
        <w:tab/>
      </w:r>
      <w:r>
        <w:fldChar w:fldCharType="begin"/>
      </w:r>
      <w:r>
        <w:instrText xml:space="preserve"> PAGEREF _Toc134521185 \h </w:instrText>
      </w:r>
      <w:r>
        <w:fldChar w:fldCharType="separate"/>
      </w:r>
      <w:r>
        <w:t>37</w:t>
      </w:r>
      <w:r>
        <w:fldChar w:fldCharType="end"/>
      </w:r>
    </w:p>
    <w:p>
      <w:pPr>
        <w:pStyle w:val="TOC8"/>
        <w:rPr>
          <w:sz w:val="24"/>
          <w:szCs w:val="24"/>
        </w:rPr>
      </w:pPr>
      <w:r>
        <w:rPr>
          <w:szCs w:val="24"/>
        </w:rPr>
        <w:t>53.</w:t>
      </w:r>
      <w:r>
        <w:rPr>
          <w:szCs w:val="24"/>
        </w:rPr>
        <w:tab/>
        <w:t>Crediting of dividends against a wagering account</w:t>
      </w:r>
      <w:r>
        <w:tab/>
      </w:r>
      <w:r>
        <w:fldChar w:fldCharType="begin"/>
      </w:r>
      <w:r>
        <w:instrText xml:space="preserve"> PAGEREF _Toc134521186 \h </w:instrText>
      </w:r>
      <w:r>
        <w:fldChar w:fldCharType="separate"/>
      </w:r>
      <w:r>
        <w:t>38</w:t>
      </w:r>
      <w:r>
        <w:fldChar w:fldCharType="end"/>
      </w:r>
    </w:p>
    <w:p>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_Toc134521187 \h </w:instrText>
      </w:r>
      <w:r>
        <w:fldChar w:fldCharType="separate"/>
      </w:r>
      <w:r>
        <w:t>38</w:t>
      </w:r>
      <w:r>
        <w:fldChar w:fldCharType="end"/>
      </w:r>
    </w:p>
    <w:p>
      <w:pPr>
        <w:pStyle w:val="TOC8"/>
        <w:rPr>
          <w:sz w:val="24"/>
          <w:szCs w:val="24"/>
        </w:rPr>
      </w:pPr>
      <w:r>
        <w:rPr>
          <w:szCs w:val="24"/>
        </w:rPr>
        <w:t>55.</w:t>
      </w:r>
      <w:r>
        <w:rPr>
          <w:szCs w:val="24"/>
        </w:rPr>
        <w:tab/>
        <w:t>General conditions applicable to wagering accounts</w:t>
      </w:r>
      <w:r>
        <w:tab/>
      </w:r>
      <w:r>
        <w:fldChar w:fldCharType="begin"/>
      </w:r>
      <w:r>
        <w:instrText xml:space="preserve"> PAGEREF _Toc134521188 \h </w:instrText>
      </w:r>
      <w:r>
        <w:fldChar w:fldCharType="separate"/>
      </w:r>
      <w:r>
        <w:t>38</w:t>
      </w:r>
      <w:r>
        <w:fldChar w:fldCharType="end"/>
      </w:r>
    </w:p>
    <w:p>
      <w:pPr>
        <w:pStyle w:val="TOC8"/>
        <w:rPr>
          <w:sz w:val="24"/>
          <w:szCs w:val="24"/>
        </w:rPr>
      </w:pPr>
      <w:r>
        <w:rPr>
          <w:szCs w:val="24"/>
        </w:rPr>
        <w:t>56.</w:t>
      </w:r>
      <w:r>
        <w:rPr>
          <w:szCs w:val="24"/>
        </w:rPr>
        <w:tab/>
        <w:t>General conditions on statements of account</w:t>
      </w:r>
      <w:r>
        <w:tab/>
      </w:r>
      <w:r>
        <w:fldChar w:fldCharType="begin"/>
      </w:r>
      <w:r>
        <w:instrText xml:space="preserve"> PAGEREF _Toc134521189 \h </w:instrText>
      </w:r>
      <w:r>
        <w:fldChar w:fldCharType="separate"/>
      </w:r>
      <w:r>
        <w:t>39</w:t>
      </w:r>
      <w:r>
        <w:fldChar w:fldCharType="end"/>
      </w:r>
    </w:p>
    <w:p>
      <w:pPr>
        <w:pStyle w:val="TOC8"/>
        <w:rPr>
          <w:sz w:val="24"/>
          <w:szCs w:val="24"/>
        </w:rPr>
      </w:pPr>
      <w:r>
        <w:rPr>
          <w:szCs w:val="24"/>
        </w:rPr>
        <w:t>57.</w:t>
      </w:r>
      <w:r>
        <w:rPr>
          <w:szCs w:val="24"/>
        </w:rPr>
        <w:tab/>
        <w:t>General provisions relating to wagers made by post</w:t>
      </w:r>
      <w:r>
        <w:tab/>
      </w:r>
      <w:r>
        <w:fldChar w:fldCharType="begin"/>
      </w:r>
      <w:r>
        <w:instrText xml:space="preserve"> PAGEREF _Toc134521190 \h </w:instrText>
      </w:r>
      <w:r>
        <w:fldChar w:fldCharType="separate"/>
      </w:r>
      <w:r>
        <w:t>40</w:t>
      </w:r>
      <w:r>
        <w:fldChar w:fldCharType="end"/>
      </w:r>
    </w:p>
    <w:p>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_Toc134521191 \h </w:instrText>
      </w:r>
      <w:r>
        <w:fldChar w:fldCharType="separate"/>
      </w:r>
      <w:r>
        <w:t>41</w:t>
      </w:r>
      <w:r>
        <w:fldChar w:fldCharType="end"/>
      </w:r>
    </w:p>
    <w:p>
      <w:pPr>
        <w:pStyle w:val="TOC8"/>
        <w:rPr>
          <w:sz w:val="24"/>
          <w:szCs w:val="24"/>
        </w:rPr>
      </w:pPr>
      <w:r>
        <w:rPr>
          <w:szCs w:val="24"/>
        </w:rPr>
        <w:t>59.</w:t>
      </w:r>
      <w:r>
        <w:rPr>
          <w:szCs w:val="24"/>
        </w:rPr>
        <w:tab/>
        <w:t>Wagers by telephone or other electronic means</w:t>
      </w:r>
      <w:r>
        <w:tab/>
      </w:r>
      <w:r>
        <w:fldChar w:fldCharType="begin"/>
      </w:r>
      <w:r>
        <w:instrText xml:space="preserve"> PAGEREF _Toc134521192 \h </w:instrText>
      </w:r>
      <w:r>
        <w:fldChar w:fldCharType="separate"/>
      </w:r>
      <w:r>
        <w:t>42</w:t>
      </w:r>
      <w:r>
        <w:fldChar w:fldCharType="end"/>
      </w:r>
    </w:p>
    <w:p>
      <w:pPr>
        <w:pStyle w:val="TOC8"/>
        <w:rPr>
          <w:sz w:val="24"/>
          <w:szCs w:val="24"/>
        </w:rPr>
      </w:pPr>
      <w:r>
        <w:rPr>
          <w:szCs w:val="24"/>
        </w:rPr>
        <w:t>60.</w:t>
      </w:r>
      <w:r>
        <w:rPr>
          <w:szCs w:val="24"/>
        </w:rPr>
        <w:tab/>
        <w:t>Errors in wagers by telephone or other electronic means</w:t>
      </w:r>
      <w:r>
        <w:tab/>
      </w:r>
      <w:r>
        <w:fldChar w:fldCharType="begin"/>
      </w:r>
      <w:r>
        <w:instrText xml:space="preserve"> PAGEREF _Toc134521193 \h </w:instrText>
      </w:r>
      <w:r>
        <w:fldChar w:fldCharType="separate"/>
      </w:r>
      <w:r>
        <w:t>43</w:t>
      </w:r>
      <w:r>
        <w:fldChar w:fldCharType="end"/>
      </w:r>
    </w:p>
    <w:p>
      <w:pPr>
        <w:pStyle w:val="TOC2"/>
        <w:tabs>
          <w:tab w:val="right" w:leader="dot" w:pos="7086"/>
        </w:tabs>
        <w:rPr>
          <w:b w:val="0"/>
          <w:sz w:val="24"/>
          <w:szCs w:val="24"/>
        </w:rPr>
      </w:pPr>
      <w:r>
        <w:rPr>
          <w:szCs w:val="30"/>
        </w:rPr>
        <w:t>Part 9 — General provisions on wagering</w:t>
      </w:r>
    </w:p>
    <w:p>
      <w:pPr>
        <w:pStyle w:val="TOC8"/>
        <w:rPr>
          <w:sz w:val="24"/>
          <w:szCs w:val="24"/>
        </w:rPr>
      </w:pPr>
      <w:r>
        <w:rPr>
          <w:szCs w:val="24"/>
        </w:rPr>
        <w:t>61.</w:t>
      </w:r>
      <w:r>
        <w:rPr>
          <w:szCs w:val="24"/>
        </w:rPr>
        <w:tab/>
        <w:t>Closing time for acceptance of wagers</w:t>
      </w:r>
      <w:r>
        <w:tab/>
      </w:r>
      <w:r>
        <w:fldChar w:fldCharType="begin"/>
      </w:r>
      <w:r>
        <w:instrText xml:space="preserve"> PAGEREF _Toc134521195 \h </w:instrText>
      </w:r>
      <w:r>
        <w:fldChar w:fldCharType="separate"/>
      </w:r>
      <w:r>
        <w:t>45</w:t>
      </w:r>
      <w:r>
        <w:fldChar w:fldCharType="end"/>
      </w:r>
    </w:p>
    <w:p>
      <w:pPr>
        <w:pStyle w:val="TOC8"/>
        <w:rPr>
          <w:sz w:val="24"/>
          <w:szCs w:val="24"/>
        </w:rPr>
      </w:pPr>
      <w:r>
        <w:rPr>
          <w:szCs w:val="24"/>
        </w:rPr>
        <w:t>62.</w:t>
      </w:r>
      <w:r>
        <w:rPr>
          <w:szCs w:val="24"/>
        </w:rPr>
        <w:tab/>
        <w:t>Totalisator pools — generally</w:t>
      </w:r>
      <w:r>
        <w:tab/>
      </w:r>
      <w:r>
        <w:fldChar w:fldCharType="begin"/>
      </w:r>
      <w:r>
        <w:instrText xml:space="preserve"> PAGEREF _Toc134521196 \h </w:instrText>
      </w:r>
      <w:r>
        <w:fldChar w:fldCharType="separate"/>
      </w:r>
      <w:r>
        <w:t>45</w:t>
      </w:r>
      <w:r>
        <w:fldChar w:fldCharType="end"/>
      </w:r>
    </w:p>
    <w:p>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_Toc134521197 \h </w:instrText>
      </w:r>
      <w:r>
        <w:fldChar w:fldCharType="separate"/>
      </w:r>
      <w:r>
        <w:t>45</w:t>
      </w:r>
      <w:r>
        <w:fldChar w:fldCharType="end"/>
      </w:r>
    </w:p>
    <w:p>
      <w:pPr>
        <w:pStyle w:val="TOC2"/>
        <w:tabs>
          <w:tab w:val="right" w:leader="dot" w:pos="7086"/>
        </w:tabs>
        <w:rPr>
          <w:b w:val="0"/>
          <w:sz w:val="24"/>
          <w:szCs w:val="24"/>
        </w:rPr>
      </w:pPr>
      <w:r>
        <w:rPr>
          <w:szCs w:val="30"/>
        </w:rPr>
        <w:t>Part 10 — Sporting events</w:t>
      </w:r>
    </w:p>
    <w:p>
      <w:pPr>
        <w:pStyle w:val="TOC8"/>
        <w:rPr>
          <w:sz w:val="24"/>
          <w:szCs w:val="24"/>
        </w:rPr>
      </w:pPr>
      <w:r>
        <w:rPr>
          <w:szCs w:val="24"/>
        </w:rPr>
        <w:t>64.</w:t>
      </w:r>
      <w:r>
        <w:rPr>
          <w:szCs w:val="24"/>
        </w:rPr>
        <w:tab/>
        <w:t>RWWA may specify aspects of sporting events</w:t>
      </w:r>
      <w:r>
        <w:tab/>
      </w:r>
      <w:r>
        <w:fldChar w:fldCharType="begin"/>
      </w:r>
      <w:r>
        <w:instrText xml:space="preserve"> PAGEREF _Toc134521199 \h </w:instrText>
      </w:r>
      <w:r>
        <w:fldChar w:fldCharType="separate"/>
      </w:r>
      <w:r>
        <w:t>47</w:t>
      </w:r>
      <w:r>
        <w:fldChar w:fldCharType="end"/>
      </w:r>
    </w:p>
    <w:p>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_Toc134521200 \h </w:instrText>
      </w:r>
      <w:r>
        <w:fldChar w:fldCharType="separate"/>
      </w:r>
      <w:r>
        <w:t>48</w:t>
      </w:r>
      <w:r>
        <w:fldChar w:fldCharType="end"/>
      </w:r>
    </w:p>
    <w:p>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_Toc134521201 \h </w:instrText>
      </w:r>
      <w:r>
        <w:fldChar w:fldCharType="separate"/>
      </w:r>
      <w:r>
        <w:t>49</w:t>
      </w:r>
      <w:r>
        <w:fldChar w:fldCharType="end"/>
      </w:r>
    </w:p>
    <w:p>
      <w:pPr>
        <w:pStyle w:val="TOC2"/>
        <w:tabs>
          <w:tab w:val="right" w:leader="dot" w:pos="7086"/>
        </w:tabs>
        <w:rPr>
          <w:b w:val="0"/>
          <w:sz w:val="24"/>
          <w:szCs w:val="24"/>
        </w:rPr>
      </w:pPr>
      <w:r>
        <w:rPr>
          <w:szCs w:val="30"/>
        </w:rPr>
        <w:t>Part 11 — Totalisator agencies</w:t>
      </w:r>
    </w:p>
    <w:p>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_Toc134521203 \h </w:instrText>
      </w:r>
      <w:r>
        <w:fldChar w:fldCharType="separate"/>
      </w:r>
      <w:r>
        <w:t>50</w:t>
      </w:r>
      <w:r>
        <w:fldChar w:fldCharType="end"/>
      </w:r>
    </w:p>
    <w:p>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_Toc134521204 \h </w:instrText>
      </w:r>
      <w:r>
        <w:fldChar w:fldCharType="separate"/>
      </w:r>
      <w:r>
        <w:t>50</w:t>
      </w:r>
      <w:r>
        <w:fldChar w:fldCharType="end"/>
      </w:r>
    </w:p>
    <w:p>
      <w:pPr>
        <w:pStyle w:val="TOC8"/>
        <w:rPr>
          <w:sz w:val="24"/>
          <w:szCs w:val="24"/>
        </w:rPr>
      </w:pPr>
      <w:r>
        <w:rPr>
          <w:szCs w:val="24"/>
        </w:rPr>
        <w:t>69.</w:t>
      </w:r>
      <w:r>
        <w:rPr>
          <w:szCs w:val="24"/>
        </w:rPr>
        <w:tab/>
        <w:t>Information on totalisator agencies</w:t>
      </w:r>
      <w:r>
        <w:tab/>
      </w:r>
      <w:r>
        <w:fldChar w:fldCharType="begin"/>
      </w:r>
      <w:r>
        <w:instrText xml:space="preserve"> PAGEREF _Toc134521205 \h </w:instrText>
      </w:r>
      <w:r>
        <w:fldChar w:fldCharType="separate"/>
      </w:r>
      <w:r>
        <w:t>51</w:t>
      </w:r>
      <w:r>
        <w:fldChar w:fldCharType="end"/>
      </w:r>
    </w:p>
    <w:p>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_Toc134521206 \h </w:instrText>
      </w:r>
      <w:r>
        <w:fldChar w:fldCharType="separate"/>
      </w:r>
      <w:r>
        <w:t>51</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pPr>
        <w:pStyle w:val="TOC8"/>
        <w:rPr>
          <w:sz w:val="24"/>
          <w:szCs w:val="24"/>
        </w:rPr>
      </w:pPr>
      <w:r>
        <w:rPr>
          <w:szCs w:val="24"/>
        </w:rPr>
        <w:t>71.</w:t>
      </w:r>
      <w:r>
        <w:rPr>
          <w:szCs w:val="24"/>
        </w:rPr>
        <w:tab/>
        <w:t>Consultation (s. 82)</w:t>
      </w:r>
      <w:r>
        <w:tab/>
      </w:r>
      <w:r>
        <w:fldChar w:fldCharType="begin"/>
      </w:r>
      <w:r>
        <w:instrText xml:space="preserve"> PAGEREF _Toc134521208 \h </w:instrText>
      </w:r>
      <w:r>
        <w:fldChar w:fldCharType="separate"/>
      </w:r>
      <w:r>
        <w:t>52</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pPr>
        <w:pStyle w:val="TOC8"/>
        <w:rPr>
          <w:sz w:val="24"/>
          <w:szCs w:val="24"/>
        </w:rPr>
      </w:pPr>
      <w:r>
        <w:rPr>
          <w:szCs w:val="24"/>
        </w:rPr>
        <w:t>72.</w:t>
      </w:r>
      <w:r>
        <w:rPr>
          <w:szCs w:val="24"/>
        </w:rPr>
        <w:tab/>
        <w:t>Warning off</w:t>
      </w:r>
      <w:r>
        <w:tab/>
      </w:r>
      <w:r>
        <w:fldChar w:fldCharType="begin"/>
      </w:r>
      <w:r>
        <w:instrText xml:space="preserve"> PAGEREF _Toc134521210 \h </w:instrText>
      </w:r>
      <w:r>
        <w:fldChar w:fldCharType="separate"/>
      </w:r>
      <w:r>
        <w:t>54</w:t>
      </w:r>
      <w:r>
        <w:fldChar w:fldCharType="end"/>
      </w:r>
    </w:p>
    <w:p>
      <w:pPr>
        <w:pStyle w:val="TOC8"/>
        <w:rPr>
          <w:sz w:val="24"/>
          <w:szCs w:val="24"/>
        </w:rPr>
      </w:pPr>
      <w:r>
        <w:rPr>
          <w:szCs w:val="24"/>
        </w:rPr>
        <w:t>73.</w:t>
      </w:r>
      <w:r>
        <w:rPr>
          <w:szCs w:val="24"/>
        </w:rPr>
        <w:tab/>
        <w:t>Failure to comply with a warning off</w:t>
      </w:r>
      <w:r>
        <w:tab/>
      </w:r>
      <w:r>
        <w:fldChar w:fldCharType="begin"/>
      </w:r>
      <w:r>
        <w:instrText xml:space="preserve"> PAGEREF _Toc134521211 \h </w:instrText>
      </w:r>
      <w:r>
        <w:fldChar w:fldCharType="separate"/>
      </w:r>
      <w:r>
        <w:t>55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_Toc134521214 \h </w:instrText>
      </w:r>
      <w:r>
        <w:fldChar w:fldCharType="separate"/>
      </w:r>
      <w:r>
        <w:t>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spacing w:before="240"/>
      </w:pPr>
      <w:bookmarkStart w:id="1" w:name="_Toc116990465"/>
      <w:bookmarkStart w:id="2" w:name="_Toc117047648"/>
      <w:bookmarkStart w:id="3" w:name="_Toc124141905"/>
      <w:bookmarkStart w:id="4" w:name="_Toc124142031"/>
      <w:bookmarkStart w:id="5" w:name="_Toc1345211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423332722"/>
      <w:bookmarkStart w:id="7" w:name="_Toc425219441"/>
      <w:bookmarkStart w:id="8" w:name="_Toc426249308"/>
      <w:bookmarkStart w:id="9" w:name="_Toc449924704"/>
      <w:bookmarkStart w:id="10" w:name="_Toc449947722"/>
      <w:bookmarkStart w:id="11" w:name="_Toc454185713"/>
      <w:bookmarkStart w:id="12" w:name="_Toc44995631"/>
      <w:bookmarkStart w:id="13" w:name="_Toc124141906"/>
      <w:bookmarkStart w:id="14" w:name="_Toc134521126"/>
      <w:r>
        <w:rPr>
          <w:rStyle w:val="CharSectno"/>
        </w:rPr>
        <w:t>1</w:t>
      </w:r>
      <w:r>
        <w:t>.</w:t>
      </w:r>
      <w:r>
        <w:tab/>
        <w:t>Citation</w:t>
      </w:r>
      <w:bookmarkEnd w:id="6"/>
      <w:bookmarkEnd w:id="7"/>
      <w:bookmarkEnd w:id="8"/>
      <w:bookmarkEnd w:id="9"/>
      <w:bookmarkEnd w:id="10"/>
      <w:bookmarkEnd w:id="11"/>
      <w:bookmarkEnd w:id="12"/>
      <w:bookmarkEnd w:id="13"/>
      <w:bookmarkEnd w:id="14"/>
    </w:p>
    <w:p>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44995632"/>
      <w:bookmarkStart w:id="22" w:name="_Toc124141907"/>
      <w:bookmarkStart w:id="23" w:name="_Toc134521127"/>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p>
    <w:p>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pPr>
      <w:bookmarkStart w:id="24" w:name="_Toc44995633"/>
      <w:bookmarkStart w:id="25" w:name="_Toc124141908"/>
      <w:bookmarkStart w:id="26" w:name="_Toc134521128"/>
      <w:r>
        <w:rPr>
          <w:rStyle w:val="CharSectno"/>
        </w:rPr>
        <w:t>3</w:t>
      </w:r>
      <w:r>
        <w:t>.</w:t>
      </w:r>
      <w:r>
        <w:tab/>
        <w:t>Meaning of terms used in these regulations</w:t>
      </w:r>
      <w:bookmarkEnd w:id="24"/>
      <w:bookmarkEnd w:id="25"/>
      <w:bookmarkEnd w:id="26"/>
    </w:p>
    <w:p>
      <w:pPr>
        <w:pStyle w:val="Subsection"/>
      </w:pPr>
      <w:r>
        <w:tab/>
        <w:t>(1)</w:t>
      </w:r>
      <w:r>
        <w:tab/>
        <w:t xml:space="preserve">In these regulations, unless the contrary intention appears — </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 Act</w:t>
      </w:r>
      <w:r>
        <w:rPr>
          <w:b/>
        </w:rPr>
        <w:t>”</w:t>
      </w:r>
      <w:r>
        <w:t xml:space="preserve"> means — </w:t>
      </w:r>
    </w:p>
    <w:p>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t>“</w:t>
      </w:r>
      <w:r>
        <w:rPr>
          <w:rStyle w:val="CharDefText"/>
        </w:rPr>
        <w:t>depositor</w:t>
      </w:r>
      <w:r>
        <w:rPr>
          <w:b/>
        </w:rPr>
        <w:t>”</w:t>
      </w:r>
      <w:r>
        <w:t xml:space="preserve"> means a person who establishes a wagering account with RWWA for the purpose of wagering with or through RWWA;</w:t>
      </w:r>
    </w:p>
    <w:p>
      <w:pPr>
        <w:pStyle w:val="Defstart"/>
      </w:pPr>
      <w:r>
        <w:rPr>
          <w:b/>
        </w:rPr>
        <w:tab/>
        <w:t>“</w:t>
      </w:r>
      <w:r>
        <w:rPr>
          <w:rStyle w:val="CharDefText"/>
        </w:rPr>
        <w:t>director</w:t>
      </w:r>
      <w:r>
        <w:rPr>
          <w:b/>
        </w:rPr>
        <w:t>”</w:t>
      </w:r>
      <w:r>
        <w:t xml:space="preserve"> includes an alternate director nominated or selected under Schedule 1 clause 4 of the Act;</w:t>
      </w:r>
    </w:p>
    <w:p>
      <w:pPr>
        <w:pStyle w:val="Defstart"/>
      </w:pPr>
      <w:r>
        <w:rPr>
          <w:b/>
        </w:rPr>
        <w:tab/>
        <w:t>“</w:t>
      </w:r>
      <w:r>
        <w:rPr>
          <w:rStyle w:val="CharDefText"/>
        </w:rPr>
        <w:t>director’s licence</w:t>
      </w:r>
      <w:r>
        <w:rPr>
          <w:b/>
        </w:rPr>
        <w:t>”</w:t>
      </w:r>
      <w:r>
        <w:t xml:space="preserve"> means a licence of a director granted under section 14 of the Act;</w:t>
      </w:r>
    </w:p>
    <w:p>
      <w:pPr>
        <w:pStyle w:val="Defstart"/>
      </w:pPr>
      <w:r>
        <w:rPr>
          <w:b/>
        </w:rPr>
        <w:tab/>
        <w:t>“</w:t>
      </w:r>
      <w:r>
        <w:rPr>
          <w:rStyle w:val="CharDefText"/>
        </w:rPr>
        <w:t>employ</w:t>
      </w:r>
      <w:r>
        <w:rPr>
          <w:b/>
        </w:rPr>
        <w:t>”</w:t>
      </w:r>
      <w:r>
        <w:t xml:space="preserve"> includes engage under a contract for services;</w:t>
      </w:r>
    </w:p>
    <w:p>
      <w:pPr>
        <w:pStyle w:val="Defstart"/>
      </w:pPr>
      <w:r>
        <w:rPr>
          <w:b/>
        </w:rPr>
        <w:tab/>
        <w:t>“</w:t>
      </w:r>
      <w:r>
        <w:rPr>
          <w:rStyle w:val="CharDefText"/>
        </w:rPr>
        <w:t>employee’s licence</w:t>
      </w:r>
      <w:r>
        <w:rPr>
          <w:b/>
        </w:rPr>
        <w:t>”</w:t>
      </w:r>
      <w:r>
        <w:t xml:space="preserve"> means a licence of a RWWA key employee granted under regulation 15;</w:t>
      </w:r>
    </w:p>
    <w:p>
      <w:pPr>
        <w:pStyle w:val="Defstart"/>
      </w:pPr>
      <w:r>
        <w:rPr>
          <w:b/>
        </w:rPr>
        <w:tab/>
        <w:t>“</w:t>
      </w:r>
      <w:r>
        <w:rPr>
          <w:rStyle w:val="CharDefText"/>
        </w:rPr>
        <w:t>investor</w:t>
      </w:r>
      <w:r>
        <w:rPr>
          <w:b/>
        </w:rPr>
        <w:t>”</w:t>
      </w:r>
      <w:r>
        <w:t xml:space="preserve"> means a person who makes or offers to make or attempts to make a wager with or through RWWA and includes a depositor;</w:t>
      </w:r>
    </w:p>
    <w:p>
      <w:pPr>
        <w:pStyle w:val="Defstart"/>
      </w:pPr>
      <w:r>
        <w:rPr>
          <w:b/>
        </w:rPr>
        <w:tab/>
        <w:t>“</w:t>
      </w:r>
      <w:r>
        <w:rPr>
          <w:rStyle w:val="CharDefText"/>
        </w:rPr>
        <w:t>licence</w:t>
      </w:r>
      <w:r>
        <w:rPr>
          <w:b/>
        </w:rPr>
        <w:t>”</w:t>
      </w:r>
      <w:r>
        <w:t xml:space="preserve"> means a director’s licence or an employee’s licence;</w:t>
      </w:r>
    </w:p>
    <w:p>
      <w:pPr>
        <w:pStyle w:val="Defstart"/>
      </w:pPr>
      <w:r>
        <w:rPr>
          <w:b/>
        </w:rPr>
        <w:tab/>
        <w:t>“</w:t>
      </w:r>
      <w:r>
        <w:rPr>
          <w:rStyle w:val="CharDefText"/>
        </w:rPr>
        <w:t>multi</w:t>
      </w:r>
      <w:r>
        <w:rPr>
          <w:rStyle w:val="CharDefText"/>
        </w:rPr>
        <w:noBreakHyphen/>
        <w:t>bet</w:t>
      </w:r>
      <w:r>
        <w:rPr>
          <w:b/>
        </w:rPr>
        <w: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t>“</w:t>
      </w:r>
      <w:r>
        <w:rPr>
          <w:rStyle w:val="CharDefText"/>
        </w:rPr>
        <w:t>participant</w:t>
      </w:r>
      <w:r>
        <w:rPr>
          <w:b/>
        </w:rPr>
        <w:t>”</w:t>
      </w:r>
      <w:r>
        <w:t>, in relation to a sporting event, means an individual or a team contesting the outcome of that sporting event, but does not include a horse or a greyhound;</w:t>
      </w:r>
    </w:p>
    <w:p>
      <w:pPr>
        <w:pStyle w:val="Defstart"/>
      </w:pPr>
      <w:r>
        <w:rPr>
          <w:b/>
        </w:rPr>
        <w:tab/>
        <w:t>“</w:t>
      </w:r>
      <w:r>
        <w:rPr>
          <w:rStyle w:val="CharDefText"/>
        </w:rPr>
        <w:t>prescribed commission</w:t>
      </w:r>
      <w:r>
        <w:rPr>
          <w:b/>
        </w:rPr>
        <w:t>”</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t>“</w:t>
      </w:r>
      <w:r>
        <w:rPr>
          <w:rStyle w:val="CharDefText"/>
        </w:rPr>
        <w:t>runner</w:t>
      </w:r>
      <w:r>
        <w:rPr>
          <w:b/>
        </w:rPr>
        <w:t>”</w:t>
      </w:r>
      <w:r>
        <w:t>, in relation to race, means a horse or greyhound participating in that race;</w:t>
      </w:r>
    </w:p>
    <w:p>
      <w:pPr>
        <w:pStyle w:val="Defstart"/>
      </w:pPr>
      <w:r>
        <w:rPr>
          <w:b/>
        </w:rPr>
        <w:tab/>
        <w:t>“</w:t>
      </w:r>
      <w:r>
        <w:rPr>
          <w:rStyle w:val="CharDefText"/>
        </w:rPr>
        <w:t>RWWA key employee</w:t>
      </w:r>
      <w:r>
        <w:rPr>
          <w:b/>
        </w:rPr>
        <w:t>”</w:t>
      </w:r>
      <w:r>
        <w:t xml:space="preserve"> has the same meaning as in section 24 of the Act;</w:t>
      </w:r>
    </w:p>
    <w:p>
      <w:pPr>
        <w:pStyle w:val="Defstart"/>
      </w:pPr>
      <w:r>
        <w:rPr>
          <w:b/>
        </w:rPr>
        <w:tab/>
        <w:t>“</w:t>
      </w:r>
      <w:r>
        <w:rPr>
          <w:rStyle w:val="CharDefText"/>
        </w:rPr>
        <w:t>scheduled starting time</w:t>
      </w:r>
      <w:r>
        <w:rPr>
          <w:b/>
        </w:rPr>
        <w:t>”</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t>“</w:t>
      </w:r>
      <w:r>
        <w:rPr>
          <w:rStyle w:val="CharDefText"/>
        </w:rPr>
        <w:t>sporting event</w:t>
      </w:r>
      <w:r>
        <w:rPr>
          <w:b/>
        </w:rPr>
        <w:t>”</w:t>
      </w:r>
      <w:r>
        <w:t xml:space="preserve"> means an event set out in paragraph (a) or (b) of the definition of “sporting event” in section 3 of the Act, or prescribed in these regulations or the rules of wagering for the purposes of paragraph (c) of that definition;</w:t>
      </w:r>
    </w:p>
    <w:p>
      <w:pPr>
        <w:pStyle w:val="Defstart"/>
      </w:pPr>
      <w:r>
        <w:rPr>
          <w:b/>
        </w:rPr>
        <w:tab/>
        <w:t>“</w:t>
      </w:r>
      <w:r>
        <w:rPr>
          <w:rStyle w:val="CharDefText"/>
        </w:rPr>
        <w:t>ticket</w:t>
      </w:r>
      <w:r>
        <w:rPr>
          <w:b/>
        </w:rPr>
        <w:t>”</w:t>
      </w:r>
      <w:r>
        <w:t xml:space="preserve"> means a ticket issued to an investor and on which is recorded details of the wager or wagers made by that investor;</w:t>
      </w:r>
    </w:p>
    <w:p>
      <w:pPr>
        <w:pStyle w:val="Defstart"/>
      </w:pPr>
      <w:r>
        <w:rPr>
          <w:b/>
        </w:rPr>
        <w:tab/>
        <w:t>“</w:t>
      </w:r>
      <w:r>
        <w:rPr>
          <w:rStyle w:val="CharDefText"/>
        </w:rPr>
        <w:t>unit</w:t>
      </w:r>
      <w:r>
        <w:rPr>
          <w:b/>
        </w:rPr>
        <w:t>”</w:t>
      </w:r>
      <w:r>
        <w:t xml:space="preserve"> means a unit of an investment;</w:t>
      </w:r>
    </w:p>
    <w:p>
      <w:pPr>
        <w:pStyle w:val="Defstart"/>
      </w:pPr>
      <w:r>
        <w:rPr>
          <w:b/>
        </w:rPr>
        <w:tab/>
        <w:t>“</w:t>
      </w:r>
      <w:r>
        <w:rPr>
          <w:rStyle w:val="CharDefText"/>
        </w:rPr>
        <w:t>wagering account</w:t>
      </w:r>
      <w:r>
        <w:rPr>
          <w:b/>
        </w:rPr>
        <w: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2569-70.]</w:t>
      </w:r>
    </w:p>
    <w:p>
      <w:pPr>
        <w:pStyle w:val="Heading2"/>
      </w:pPr>
      <w:bookmarkStart w:id="27" w:name="_Toc116990469"/>
      <w:bookmarkStart w:id="28" w:name="_Toc117047652"/>
      <w:bookmarkStart w:id="29" w:name="_Toc124141909"/>
      <w:bookmarkStart w:id="30" w:name="_Toc124142035"/>
      <w:bookmarkStart w:id="31" w:name="_Toc134521129"/>
      <w:r>
        <w:rPr>
          <w:rStyle w:val="CharPartNo"/>
        </w:rPr>
        <w:t>Part 2</w:t>
      </w:r>
      <w:r>
        <w:rPr>
          <w:rStyle w:val="CharDivNo"/>
        </w:rPr>
        <w:t> </w:t>
      </w:r>
      <w:r>
        <w:t>—</w:t>
      </w:r>
      <w:r>
        <w:rPr>
          <w:rStyle w:val="CharDivText"/>
        </w:rPr>
        <w:t> </w:t>
      </w:r>
      <w:r>
        <w:rPr>
          <w:rStyle w:val="CharPartText"/>
        </w:rPr>
        <w:t>Licensing of directors</w:t>
      </w:r>
      <w:bookmarkEnd w:id="27"/>
      <w:bookmarkEnd w:id="28"/>
      <w:bookmarkEnd w:id="29"/>
      <w:bookmarkEnd w:id="30"/>
      <w:bookmarkEnd w:id="31"/>
    </w:p>
    <w:p>
      <w:pPr>
        <w:pStyle w:val="Heading5"/>
      </w:pPr>
      <w:bookmarkStart w:id="32" w:name="_Toc44995634"/>
      <w:bookmarkStart w:id="33" w:name="_Toc124141910"/>
      <w:bookmarkStart w:id="34" w:name="_Toc134521130"/>
      <w:r>
        <w:rPr>
          <w:rStyle w:val="CharSectno"/>
        </w:rPr>
        <w:t>4</w:t>
      </w:r>
      <w:r>
        <w:t>.</w:t>
      </w:r>
      <w:r>
        <w:tab/>
        <w:t>Notifications by RWWA to Commission</w:t>
      </w:r>
      <w:bookmarkEnd w:id="32"/>
      <w:bookmarkEnd w:id="33"/>
      <w:bookmarkEnd w:id="34"/>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5" w:name="_Hlt44816361"/>
      <w:bookmarkStart w:id="36" w:name="_Toc44995635"/>
      <w:bookmarkStart w:id="37" w:name="_Toc124141911"/>
      <w:bookmarkStart w:id="38" w:name="_Toc134521131"/>
      <w:bookmarkEnd w:id="35"/>
      <w:r>
        <w:rPr>
          <w:rStyle w:val="CharSectno"/>
        </w:rPr>
        <w:t>5</w:t>
      </w:r>
      <w:r>
        <w:t>.</w:t>
      </w:r>
      <w:r>
        <w:tab/>
        <w:t>Application for licence</w:t>
      </w:r>
      <w:bookmarkEnd w:id="36"/>
      <w:bookmarkEnd w:id="37"/>
      <w:bookmarkEnd w:id="38"/>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9" w:name="_Toc44995636"/>
      <w:bookmarkStart w:id="40" w:name="_Toc124141912"/>
      <w:bookmarkStart w:id="41" w:name="_Toc134521132"/>
      <w:r>
        <w:rPr>
          <w:rStyle w:val="CharSectno"/>
        </w:rPr>
        <w:t>6</w:t>
      </w:r>
      <w:r>
        <w:t>.</w:t>
      </w:r>
      <w:r>
        <w:tab/>
        <w:t>Form of application</w:t>
      </w:r>
      <w:bookmarkEnd w:id="39"/>
      <w:bookmarkEnd w:id="40"/>
      <w:bookmarkEnd w:id="41"/>
    </w:p>
    <w:p>
      <w:pPr>
        <w:pStyle w:val="Subsection"/>
      </w:pPr>
      <w:r>
        <w:tab/>
      </w:r>
      <w:bookmarkStart w:id="42" w:name="_Hlt44815682"/>
      <w:bookmarkEnd w:id="42"/>
      <w:r>
        <w:t>(1)</w:t>
      </w:r>
      <w:r>
        <w:tab/>
        <w:t xml:space="preserve">An application for a director’s licence or renewal of a director’s licence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w:t>
      </w:r>
      <w:bookmarkStart w:id="43" w:name="_Hlt44815639"/>
      <w:r>
        <w:t>1</w:t>
      </w:r>
      <w:bookmarkEnd w:id="43"/>
      <w:r>
        <w:t>; and</w:t>
      </w:r>
    </w:p>
    <w:p>
      <w:pPr>
        <w:pStyle w:val="Indenti"/>
      </w:pPr>
      <w:r>
        <w:tab/>
        <w:t>(ii)</w:t>
      </w:r>
      <w:r>
        <w:tab/>
        <w:t>any records that the Commission may require either generally or in relation to a specific person or matter.</w:t>
      </w:r>
    </w:p>
    <w:p>
      <w:pPr>
        <w:pStyle w:val="Subsection"/>
      </w:pPr>
      <w:r>
        <w:tab/>
      </w:r>
      <w:bookmarkStart w:id="44" w:name="_Hlt44815686"/>
      <w:bookmarkEnd w:id="44"/>
      <w:r>
        <w:t>(2)</w:t>
      </w:r>
      <w:r>
        <w:tab/>
        <w:t>The Commission may at any time request an applicant to provide further information or further records and the applicant must comply with that request.</w:t>
      </w:r>
    </w:p>
    <w:p>
      <w:pPr>
        <w:pStyle w:val="Heading5"/>
      </w:pPr>
      <w:bookmarkStart w:id="45" w:name="_Toc44995637"/>
      <w:bookmarkStart w:id="46" w:name="_Toc124141913"/>
      <w:bookmarkStart w:id="47" w:name="_Toc134521133"/>
      <w:r>
        <w:rPr>
          <w:rStyle w:val="CharSectno"/>
        </w:rPr>
        <w:t>7</w:t>
      </w:r>
      <w:r>
        <w:t>.</w:t>
      </w:r>
      <w:r>
        <w:tab/>
        <w:t>Investigation by police</w:t>
      </w:r>
      <w:bookmarkEnd w:id="45"/>
      <w:bookmarkEnd w:id="46"/>
      <w:bookmarkEnd w:id="47"/>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8" w:name="_Toc44995638"/>
      <w:bookmarkStart w:id="49" w:name="_Toc124141914"/>
      <w:bookmarkStart w:id="50" w:name="_Toc134521134"/>
      <w:r>
        <w:rPr>
          <w:rStyle w:val="CharSectno"/>
        </w:rPr>
        <w:t>8</w:t>
      </w:r>
      <w:r>
        <w:t>.</w:t>
      </w:r>
      <w:r>
        <w:tab/>
        <w:t>Commission may licence, or refuse to licence, director</w:t>
      </w:r>
      <w:bookmarkEnd w:id="48"/>
      <w:bookmarkEnd w:id="49"/>
      <w:bookmarkEnd w:id="50"/>
    </w:p>
    <w:p>
      <w:pPr>
        <w:pStyle w:val="Subsection"/>
      </w:pPr>
      <w:r>
        <w:tab/>
        <w:t>(1)</w:t>
      </w:r>
      <w:r>
        <w:tab/>
        <w:t xml:space="preserve">If a director refuses or fails — </w:t>
      </w:r>
    </w:p>
    <w:p>
      <w:pPr>
        <w:pStyle w:val="Indenta"/>
      </w:pPr>
      <w:r>
        <w:tab/>
        <w:t>(a)</w:t>
      </w:r>
      <w:r>
        <w:tab/>
        <w:t>to apply for a licence under regulation </w:t>
      </w:r>
      <w:bookmarkStart w:id="51" w:name="_Hlt44816359"/>
      <w:r>
        <w:t>5</w:t>
      </w:r>
      <w:bookmarkEnd w:id="51"/>
      <w:r>
        <w:t xml:space="preserve"> or for renewal of a licence under regulation </w:t>
      </w:r>
      <w:bookmarkStart w:id="52" w:name="_Hlt44815689"/>
      <w:r>
        <w:t>10</w:t>
      </w:r>
      <w:bookmarkEnd w:id="52"/>
      <w:r>
        <w:t>;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53" w:name="_Toc44995639"/>
      <w:bookmarkStart w:id="54" w:name="_Toc124141915"/>
      <w:bookmarkStart w:id="55" w:name="_Toc134521135"/>
      <w:r>
        <w:rPr>
          <w:rStyle w:val="CharSectno"/>
        </w:rPr>
        <w:t>9</w:t>
      </w:r>
      <w:r>
        <w:t>.</w:t>
      </w:r>
      <w:r>
        <w:tab/>
        <w:t>Duration of director’s licence</w:t>
      </w:r>
      <w:bookmarkEnd w:id="53"/>
      <w:bookmarkEnd w:id="54"/>
      <w:bookmarkEnd w:id="55"/>
    </w:p>
    <w:p>
      <w:pPr>
        <w:pStyle w:val="Subsection"/>
      </w:pPr>
      <w:r>
        <w:tab/>
      </w:r>
      <w:r>
        <w:tab/>
        <w:t>Subject to these regulations and section 109K(3) of the Commission Act, a director’s licence remains in force for so long as the director holds office as a director.</w:t>
      </w:r>
    </w:p>
    <w:p>
      <w:pPr>
        <w:pStyle w:val="Heading5"/>
      </w:pPr>
      <w:bookmarkStart w:id="56" w:name="_Hlt44815691"/>
      <w:bookmarkStart w:id="57" w:name="_Toc44995640"/>
      <w:bookmarkStart w:id="58" w:name="_Toc124141916"/>
      <w:bookmarkStart w:id="59" w:name="_Toc134521136"/>
      <w:bookmarkEnd w:id="56"/>
      <w:r>
        <w:rPr>
          <w:rStyle w:val="CharSectno"/>
        </w:rPr>
        <w:t>10</w:t>
      </w:r>
      <w:r>
        <w:t>.</w:t>
      </w:r>
      <w:r>
        <w:tab/>
        <w:t>Renewal of licence</w:t>
      </w:r>
      <w:bookmarkEnd w:id="57"/>
      <w:bookmarkEnd w:id="58"/>
      <w:bookmarkEnd w:id="5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pPr>
      <w:bookmarkStart w:id="60" w:name="_Toc44995641"/>
      <w:bookmarkStart w:id="61" w:name="_Toc124141917"/>
      <w:bookmarkStart w:id="62" w:name="_Toc134521137"/>
      <w:r>
        <w:rPr>
          <w:rStyle w:val="CharSectno"/>
        </w:rPr>
        <w:t>11</w:t>
      </w:r>
      <w:r>
        <w:t>.</w:t>
      </w:r>
      <w:r>
        <w:tab/>
        <w:t>Further investigation</w:t>
      </w:r>
      <w:bookmarkEnd w:id="60"/>
      <w:bookmarkEnd w:id="61"/>
      <w:bookmarkEnd w:id="62"/>
    </w:p>
    <w:p>
      <w:pPr>
        <w:pStyle w:val="Subsection"/>
      </w:pPr>
      <w:r>
        <w:tab/>
        <w:t>(1)</w:t>
      </w:r>
      <w:r>
        <w:tab/>
        <w:t>The Commission may at any time make further inquiries about the holder of a director’s licence.</w:t>
      </w:r>
    </w:p>
    <w:p>
      <w:pPr>
        <w:pStyle w:val="Subsection"/>
      </w:pPr>
      <w:r>
        <w:tab/>
        <w:t>(2)</w:t>
      </w:r>
      <w:r>
        <w:tab/>
        <w:t>The Commission may at any time request the holder of a director’s licence to provide further information or further records.</w:t>
      </w:r>
    </w:p>
    <w:p>
      <w:pPr>
        <w:pStyle w:val="Heading2"/>
      </w:pPr>
      <w:bookmarkStart w:id="63" w:name="_Toc116990478"/>
      <w:bookmarkStart w:id="64" w:name="_Toc117047661"/>
      <w:bookmarkStart w:id="65" w:name="_Toc124141918"/>
      <w:bookmarkStart w:id="66" w:name="_Toc124142044"/>
      <w:bookmarkStart w:id="67" w:name="_Toc134521138"/>
      <w:r>
        <w:rPr>
          <w:rStyle w:val="CharPartNo"/>
        </w:rPr>
        <w:t>Part 3</w:t>
      </w:r>
      <w:r>
        <w:rPr>
          <w:rStyle w:val="CharDivNo"/>
        </w:rPr>
        <w:t> </w:t>
      </w:r>
      <w:r>
        <w:t>—</w:t>
      </w:r>
      <w:r>
        <w:rPr>
          <w:rStyle w:val="CharDivText"/>
        </w:rPr>
        <w:t> </w:t>
      </w:r>
      <w:r>
        <w:rPr>
          <w:rStyle w:val="CharPartText"/>
        </w:rPr>
        <w:t>Licensing of RWWA key employees</w:t>
      </w:r>
      <w:bookmarkEnd w:id="63"/>
      <w:bookmarkEnd w:id="64"/>
      <w:bookmarkEnd w:id="65"/>
      <w:bookmarkEnd w:id="66"/>
      <w:bookmarkEnd w:id="67"/>
    </w:p>
    <w:p>
      <w:pPr>
        <w:pStyle w:val="Heading5"/>
      </w:pPr>
      <w:bookmarkStart w:id="68" w:name="_Toc44995642"/>
      <w:bookmarkStart w:id="69" w:name="_Toc124141919"/>
      <w:bookmarkStart w:id="70" w:name="_Toc134521139"/>
      <w:r>
        <w:rPr>
          <w:rStyle w:val="CharSectno"/>
        </w:rPr>
        <w:t>12</w:t>
      </w:r>
      <w:r>
        <w:t>.</w:t>
      </w:r>
      <w:r>
        <w:tab/>
        <w:t>RWWA key employees taken to hold provisional licence</w:t>
      </w:r>
      <w:bookmarkEnd w:id="68"/>
      <w:bookmarkEnd w:id="69"/>
      <w:bookmarkEnd w:id="7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71" w:name="_Toc44995643"/>
      <w:bookmarkStart w:id="72" w:name="_Toc124141920"/>
      <w:bookmarkStart w:id="73" w:name="_Toc134521140"/>
      <w:r>
        <w:rPr>
          <w:rStyle w:val="CharSectno"/>
        </w:rPr>
        <w:t>13</w:t>
      </w:r>
      <w:r>
        <w:t>.</w:t>
      </w:r>
      <w:r>
        <w:tab/>
        <w:t>Application for employee’s licence</w:t>
      </w:r>
      <w:bookmarkEnd w:id="71"/>
      <w:bookmarkEnd w:id="72"/>
      <w:bookmarkEnd w:id="73"/>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r>
      <w:bookmarkStart w:id="74" w:name="_Hlt44757577"/>
      <w:bookmarkEnd w:id="74"/>
      <w:r>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5" w:name="_Toc44995644"/>
      <w:bookmarkStart w:id="76" w:name="_Toc124141921"/>
      <w:bookmarkStart w:id="77" w:name="_Toc134521141"/>
      <w:r>
        <w:rPr>
          <w:rStyle w:val="CharSectno"/>
        </w:rPr>
        <w:t>14</w:t>
      </w:r>
      <w:r>
        <w:t>.</w:t>
      </w:r>
      <w:r>
        <w:tab/>
        <w:t>Investigation by police</w:t>
      </w:r>
      <w:bookmarkEnd w:id="75"/>
      <w:bookmarkEnd w:id="76"/>
      <w:bookmarkEnd w:id="77"/>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w:t>
      </w:r>
    </w:p>
    <w:p>
      <w:pPr>
        <w:pStyle w:val="Indenta"/>
      </w:pPr>
      <w:r>
        <w:tab/>
        <w:t>(b)</w:t>
      </w:r>
      <w:r>
        <w:tab/>
        <w:t>the reputation of the applicant;</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8" w:name="_Hlt44816333"/>
      <w:bookmarkStart w:id="79" w:name="_Toc44995645"/>
      <w:bookmarkStart w:id="80" w:name="_Toc124141922"/>
      <w:bookmarkStart w:id="81" w:name="_Toc134521142"/>
      <w:bookmarkEnd w:id="78"/>
      <w:r>
        <w:rPr>
          <w:rStyle w:val="CharSectno"/>
        </w:rPr>
        <w:t>15</w:t>
      </w:r>
      <w:r>
        <w:t>.</w:t>
      </w:r>
      <w:r>
        <w:tab/>
        <w:t>Commission may licence, or refuse to licence, employee</w:t>
      </w:r>
      <w:bookmarkEnd w:id="79"/>
      <w:bookmarkEnd w:id="80"/>
      <w:bookmarkEnd w:id="8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pPr>
      <w:r>
        <w:tab/>
        <w:t>(2)</w:t>
      </w:r>
      <w:r>
        <w:tab/>
        <w:t xml:space="preserve">Upon consideration of — </w:t>
      </w:r>
    </w:p>
    <w:p>
      <w:pPr>
        <w:pStyle w:val="Indenta"/>
      </w:pPr>
      <w:r>
        <w:tab/>
        <w:t>(a)</w:t>
      </w:r>
      <w:r>
        <w:tab/>
        <w:t xml:space="preserve">an application for an employee’s licence or renewal of an employee’s licence; </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82" w:name="_Toc44995646"/>
      <w:bookmarkStart w:id="83" w:name="_Toc124141923"/>
      <w:bookmarkStart w:id="84" w:name="_Toc134521143"/>
      <w:r>
        <w:rPr>
          <w:rStyle w:val="CharSectno"/>
        </w:rPr>
        <w:t>16</w:t>
      </w:r>
      <w:r>
        <w:t>.</w:t>
      </w:r>
      <w:r>
        <w:tab/>
        <w:t>Person may reapply for licence</w:t>
      </w:r>
      <w:bookmarkEnd w:id="82"/>
      <w:bookmarkEnd w:id="83"/>
      <w:bookmarkEnd w:id="84"/>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5" w:name="_Toc44995647"/>
      <w:bookmarkStart w:id="86" w:name="_Toc124141924"/>
      <w:bookmarkStart w:id="87" w:name="_Toc134521144"/>
      <w:r>
        <w:rPr>
          <w:rStyle w:val="CharSectno"/>
        </w:rPr>
        <w:t>17</w:t>
      </w:r>
      <w:r>
        <w:t>.</w:t>
      </w:r>
      <w:r>
        <w:tab/>
        <w:t>RWWA must not employ person who has been refused an employee’s licence</w:t>
      </w:r>
      <w:bookmarkEnd w:id="85"/>
      <w:bookmarkEnd w:id="86"/>
      <w:bookmarkEnd w:id="8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8" w:name="_Toc44995648"/>
      <w:bookmarkStart w:id="89" w:name="_Toc124141925"/>
      <w:bookmarkStart w:id="90" w:name="_Toc134521145"/>
      <w:r>
        <w:rPr>
          <w:rStyle w:val="CharSectno"/>
        </w:rPr>
        <w:t>18</w:t>
      </w:r>
      <w:r>
        <w:t>.</w:t>
      </w:r>
      <w:r>
        <w:tab/>
        <w:t>Duration of employee’s licence</w:t>
      </w:r>
      <w:bookmarkEnd w:id="88"/>
      <w:bookmarkEnd w:id="89"/>
      <w:bookmarkEnd w:id="9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w:t>
      </w:r>
    </w:p>
    <w:p>
      <w:pPr>
        <w:pStyle w:val="Indenta"/>
      </w:pPr>
      <w:r>
        <w:tab/>
        <w:t>(b)</w:t>
      </w:r>
      <w:r>
        <w:tab/>
        <w:t>it is surrendered by the holder;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91" w:name="_Toc44995649"/>
      <w:bookmarkStart w:id="92" w:name="_Toc124141926"/>
      <w:bookmarkStart w:id="93" w:name="_Toc134521146"/>
      <w:r>
        <w:rPr>
          <w:rStyle w:val="CharSectno"/>
        </w:rPr>
        <w:t>19</w:t>
      </w:r>
      <w:r>
        <w:t>.</w:t>
      </w:r>
      <w:r>
        <w:tab/>
        <w:t>Disciplinary action</w:t>
      </w:r>
      <w:bookmarkEnd w:id="91"/>
      <w:bookmarkEnd w:id="92"/>
      <w:bookmarkEnd w:id="93"/>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w:t>
      </w:r>
    </w:p>
    <w:p>
      <w:pPr>
        <w:pStyle w:val="Indenta"/>
      </w:pPr>
      <w:r>
        <w:tab/>
        <w:t>(b)</w:t>
      </w:r>
      <w:r>
        <w:tab/>
        <w:t>is not a fit and proper person to hold an employee’s licence;</w:t>
      </w:r>
    </w:p>
    <w:p>
      <w:pPr>
        <w:pStyle w:val="Indenta"/>
      </w:pPr>
      <w:r>
        <w:tab/>
        <w:t>(c)</w:t>
      </w:r>
      <w:r>
        <w:tab/>
        <w:t>has failed to comply with any of these regulations or any term, condition or restriction to which the employee’s licence is subject; or</w:t>
      </w:r>
    </w:p>
    <w:p>
      <w:pPr>
        <w:pStyle w:val="Indenta"/>
      </w:pPr>
      <w:r>
        <w:tab/>
        <w:t>(d)</w:t>
      </w:r>
      <w:r>
        <w:tab/>
        <w:t>has provided false or misleading information, or omitted material particulars, in an application for an employee’s licence or the renewal of an employee’s licence,</w:t>
      </w:r>
    </w:p>
    <w:p>
      <w:pPr>
        <w:pStyle w:val="Subsection"/>
      </w:pPr>
      <w:r>
        <w:tab/>
      </w:r>
      <w:r>
        <w:tab/>
        <w:t>the Commission may take disciplinary action.</w:t>
      </w:r>
    </w:p>
    <w:p>
      <w:pPr>
        <w:pStyle w:val="Subsection"/>
      </w:pPr>
      <w:r>
        <w:tab/>
        <w:t>(3)</w:t>
      </w:r>
      <w:r>
        <w:tab/>
        <w:t xml:space="preserve">For the purposes of subregulation (2) the Commission may take disciplinary action by doing any one or more of the following — </w:t>
      </w:r>
    </w:p>
    <w:p>
      <w:pPr>
        <w:pStyle w:val="Indenta"/>
      </w:pPr>
      <w:r>
        <w:tab/>
        <w:t>(a)</w:t>
      </w:r>
      <w:r>
        <w:tab/>
        <w:t>cancelling the employee’s licence;</w:t>
      </w:r>
    </w:p>
    <w:p>
      <w:pPr>
        <w:pStyle w:val="Indenta"/>
      </w:pPr>
      <w:r>
        <w:tab/>
        <w:t>(b)</w:t>
      </w:r>
      <w:r>
        <w:tab/>
        <w:t>suspending the employee’s licence for a period specified by the Commission;</w:t>
      </w:r>
    </w:p>
    <w:p>
      <w:pPr>
        <w:pStyle w:val="Indenta"/>
      </w:pPr>
      <w:r>
        <w:tab/>
        <w:t>(c)</w:t>
      </w:r>
      <w:r>
        <w:tab/>
        <w:t>serving a letter of censure on the holder of the employee’s licence;</w:t>
      </w:r>
    </w:p>
    <w:p>
      <w:pPr>
        <w:pStyle w:val="Indenta"/>
      </w:pPr>
      <w:r>
        <w:tab/>
        <w:t>(d)</w:t>
      </w:r>
      <w:r>
        <w:tab/>
        <w:t>imposing a fine not exceeding $1 000 on the holder of the employee’s licence.</w:t>
      </w:r>
    </w:p>
    <w:p>
      <w:pPr>
        <w:pStyle w:val="Subsection"/>
      </w:pPr>
      <w:r>
        <w:tab/>
        <w:t>(4)</w:t>
      </w:r>
      <w:r>
        <w:tab/>
        <w:t xml:space="preserve">The Commission may at any time — </w:t>
      </w:r>
    </w:p>
    <w:p>
      <w:pPr>
        <w:pStyle w:val="Indenta"/>
      </w:pPr>
      <w:r>
        <w:tab/>
        <w:t>(a)</w:t>
      </w:r>
      <w:r>
        <w:tab/>
        <w:t>revoke a decision to suspend an employee’s licence; or</w:t>
      </w:r>
    </w:p>
    <w:p>
      <w:pPr>
        <w:pStyle w:val="Indenta"/>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94" w:name="_Toc44995650"/>
      <w:bookmarkStart w:id="95" w:name="_Toc124141927"/>
      <w:bookmarkStart w:id="96" w:name="_Toc134521147"/>
      <w:r>
        <w:rPr>
          <w:rStyle w:val="CharSectno"/>
        </w:rPr>
        <w:t>20</w:t>
      </w:r>
      <w:r>
        <w:t>.</w:t>
      </w:r>
      <w:r>
        <w:tab/>
        <w:t>Surrender of licence</w:t>
      </w:r>
      <w:bookmarkEnd w:id="94"/>
      <w:bookmarkEnd w:id="95"/>
      <w:bookmarkEnd w:id="96"/>
    </w:p>
    <w:p>
      <w:pPr>
        <w:pStyle w:val="Subsection"/>
      </w:pPr>
      <w:r>
        <w:tab/>
      </w:r>
      <w:r>
        <w:tab/>
        <w:t>The holder of an employee’s licence may, by written notice given to the Commission, surrender the licence.</w:t>
      </w:r>
    </w:p>
    <w:p>
      <w:pPr>
        <w:pStyle w:val="Heading5"/>
      </w:pPr>
      <w:bookmarkStart w:id="97" w:name="_Toc44995651"/>
      <w:bookmarkStart w:id="98" w:name="_Toc124141928"/>
      <w:bookmarkStart w:id="99" w:name="_Toc134521148"/>
      <w:r>
        <w:rPr>
          <w:rStyle w:val="CharSectno"/>
        </w:rPr>
        <w:t>21</w:t>
      </w:r>
      <w:r>
        <w:t>.</w:t>
      </w:r>
      <w:r>
        <w:tab/>
        <w:t>Notification of termination of employment</w:t>
      </w:r>
      <w:bookmarkEnd w:id="97"/>
      <w:bookmarkEnd w:id="98"/>
      <w:bookmarkEnd w:id="99"/>
    </w:p>
    <w:p>
      <w:pPr>
        <w:pStyle w:val="Subsection"/>
      </w:pPr>
      <w:r>
        <w:tab/>
      </w:r>
      <w:r>
        <w:tab/>
        <w:t xml:space="preserve">If — </w:t>
      </w:r>
    </w:p>
    <w:p>
      <w:pPr>
        <w:pStyle w:val="Indenta"/>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00" w:name="_Toc44995652"/>
      <w:bookmarkStart w:id="101" w:name="_Toc124141929"/>
      <w:bookmarkStart w:id="102" w:name="_Toc134521149"/>
      <w:r>
        <w:rPr>
          <w:rStyle w:val="CharSectno"/>
        </w:rPr>
        <w:t>22</w:t>
      </w:r>
      <w:r>
        <w:t>.</w:t>
      </w:r>
      <w:r>
        <w:tab/>
        <w:t>Further investigation</w:t>
      </w:r>
      <w:bookmarkEnd w:id="100"/>
      <w:bookmarkEnd w:id="101"/>
      <w:bookmarkEnd w:id="102"/>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03" w:name="_Toc116990490"/>
      <w:bookmarkStart w:id="104" w:name="_Toc117047673"/>
      <w:bookmarkStart w:id="105" w:name="_Toc124141930"/>
      <w:bookmarkStart w:id="106" w:name="_Toc124142056"/>
      <w:bookmarkStart w:id="107" w:name="_Toc134521150"/>
      <w:r>
        <w:rPr>
          <w:rStyle w:val="CharPartNo"/>
        </w:rPr>
        <w:t>Part 4</w:t>
      </w:r>
      <w:r>
        <w:rPr>
          <w:rStyle w:val="CharDivNo"/>
        </w:rPr>
        <w:t> </w:t>
      </w:r>
      <w:r>
        <w:t>—</w:t>
      </w:r>
      <w:r>
        <w:rPr>
          <w:rStyle w:val="CharDivText"/>
        </w:rPr>
        <w:t> </w:t>
      </w:r>
      <w:r>
        <w:rPr>
          <w:rStyle w:val="CharPartText"/>
        </w:rPr>
        <w:t>Offences</w:t>
      </w:r>
      <w:bookmarkEnd w:id="103"/>
      <w:bookmarkEnd w:id="104"/>
      <w:bookmarkEnd w:id="105"/>
      <w:bookmarkEnd w:id="106"/>
      <w:bookmarkEnd w:id="107"/>
    </w:p>
    <w:p>
      <w:pPr>
        <w:pStyle w:val="Footnoteheading"/>
        <w:tabs>
          <w:tab w:val="left" w:pos="851"/>
        </w:tabs>
      </w:pPr>
      <w:r>
        <w:tab/>
        <w:t>[Heading inserted in Gazette 30 Jan 2004 p. 360.]</w:t>
      </w:r>
    </w:p>
    <w:p>
      <w:pPr>
        <w:pStyle w:val="Heading5"/>
      </w:pPr>
      <w:bookmarkStart w:id="108" w:name="_Toc44995653"/>
      <w:bookmarkStart w:id="109" w:name="_Toc124141931"/>
      <w:bookmarkStart w:id="110" w:name="_Toc134521151"/>
      <w:r>
        <w:rPr>
          <w:rStyle w:val="CharSectno"/>
        </w:rPr>
        <w:t>23</w:t>
      </w:r>
      <w:r>
        <w:t>.</w:t>
      </w:r>
      <w:r>
        <w:tab/>
        <w:t>Offence relating to misleading information</w:t>
      </w:r>
      <w:bookmarkEnd w:id="108"/>
      <w:bookmarkEnd w:id="109"/>
      <w:bookmarkEnd w:id="110"/>
    </w:p>
    <w:p>
      <w:pPr>
        <w:pStyle w:val="Subsection"/>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w:t>
      </w:r>
    </w:p>
    <w:p>
      <w:pPr>
        <w:pStyle w:val="Indenta"/>
      </w:pPr>
      <w:r>
        <w:tab/>
        <w:t>(b)</w:t>
      </w:r>
      <w:r>
        <w:tab/>
        <w:t>make a statement which is false or misleading in a material particular, with reckless disregard as to whether or not the statement is false or misleading in a material particular;</w:t>
      </w:r>
    </w:p>
    <w:p>
      <w:pPr>
        <w:pStyle w:val="Indenta"/>
      </w:pPr>
      <w:r>
        <w:tab/>
        <w:t>(c)</w:t>
      </w:r>
      <w:r>
        <w:tab/>
        <w:t>provide information that the person knows is false or misleading in a material particular;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pPr>
      <w:bookmarkStart w:id="111" w:name="_Toc44995654"/>
      <w:bookmarkStart w:id="112" w:name="_Toc124141932"/>
      <w:bookmarkStart w:id="113" w:name="_Toc134521152"/>
      <w:r>
        <w:rPr>
          <w:rStyle w:val="CharSectno"/>
        </w:rPr>
        <w:t>24</w:t>
      </w:r>
      <w:r>
        <w:t>.</w:t>
      </w:r>
      <w:r>
        <w:tab/>
        <w:t>Notification of conviction</w:t>
      </w:r>
      <w:bookmarkEnd w:id="111"/>
      <w:bookmarkEnd w:id="112"/>
      <w:bookmarkEnd w:id="113"/>
    </w:p>
    <w:p>
      <w:pPr>
        <w:pStyle w:val="Subsection"/>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pPr>
      <w:r>
        <w:tab/>
        <w:t>(2)</w:t>
      </w:r>
      <w:r>
        <w:tab/>
        <w:t>If RWWA becomes aware that the holder of a licence has been convicted of an offence, RWWA must give the Commission written notice of the conviction within 7 days of becoming aware of the conviction.</w:t>
      </w:r>
    </w:p>
    <w:p>
      <w:pPr>
        <w:pStyle w:val="Penstart"/>
      </w:pPr>
      <w:r>
        <w:tab/>
        <w:t>Penalty: $500.</w:t>
      </w:r>
    </w:p>
    <w:p>
      <w:pPr>
        <w:pStyle w:val="Heading5"/>
      </w:pPr>
      <w:bookmarkStart w:id="114" w:name="_Toc134521153"/>
      <w:r>
        <w:rPr>
          <w:rStyle w:val="CharSectno"/>
        </w:rPr>
        <w:t>24A</w:t>
      </w:r>
      <w:r>
        <w:t>.</w:t>
      </w:r>
      <w:r>
        <w:tab/>
        <w:t>Offences relating to making and accepting wagers</w:t>
      </w:r>
      <w:bookmarkEnd w:id="11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5" w:name="_Toc116990493"/>
      <w:bookmarkStart w:id="116" w:name="_Toc117047676"/>
      <w:bookmarkStart w:id="117" w:name="_Toc124141933"/>
      <w:bookmarkStart w:id="118" w:name="_Toc124142059"/>
      <w:bookmarkStart w:id="119" w:name="_Toc134521154"/>
      <w:bookmarkStart w:id="120" w:name="_Toc44995655"/>
      <w:r>
        <w:rPr>
          <w:rStyle w:val="CharPartNo"/>
        </w:rPr>
        <w:t>Part 5</w:t>
      </w:r>
      <w:r>
        <w:rPr>
          <w:rStyle w:val="CharDivNo"/>
        </w:rPr>
        <w:t> </w:t>
      </w:r>
      <w:r>
        <w:t>—</w:t>
      </w:r>
      <w:r>
        <w:rPr>
          <w:rStyle w:val="CharDivText"/>
        </w:rPr>
        <w:t> </w:t>
      </w:r>
      <w:r>
        <w:rPr>
          <w:rStyle w:val="CharPartText"/>
        </w:rPr>
        <w:t>Fees and taxes</w:t>
      </w:r>
      <w:bookmarkEnd w:id="115"/>
      <w:bookmarkEnd w:id="116"/>
      <w:bookmarkEnd w:id="117"/>
      <w:bookmarkEnd w:id="118"/>
      <w:bookmarkEnd w:id="119"/>
    </w:p>
    <w:p>
      <w:pPr>
        <w:pStyle w:val="Footnoteheading"/>
        <w:tabs>
          <w:tab w:val="left" w:pos="851"/>
        </w:tabs>
      </w:pPr>
      <w:r>
        <w:tab/>
        <w:t>[Heading inserted in Gazette 30 Jan 2004 p. 360.]</w:t>
      </w:r>
    </w:p>
    <w:p>
      <w:pPr>
        <w:pStyle w:val="Heading5"/>
      </w:pPr>
      <w:bookmarkStart w:id="121" w:name="_Toc124141934"/>
      <w:bookmarkStart w:id="122" w:name="_Toc134521155"/>
      <w:r>
        <w:rPr>
          <w:rStyle w:val="CharSectno"/>
        </w:rPr>
        <w:t>25</w:t>
      </w:r>
      <w:r>
        <w:t>.</w:t>
      </w:r>
      <w:r>
        <w:tab/>
        <w:t>Section 53 fee</w:t>
      </w:r>
      <w:bookmarkEnd w:id="120"/>
      <w:bookmarkEnd w:id="121"/>
      <w:bookmarkEnd w:id="12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23" w:name="_Toc124141935"/>
      <w:bookmarkStart w:id="124" w:name="_Toc134521156"/>
      <w:r>
        <w:rPr>
          <w:rStyle w:val="CharSectno"/>
        </w:rPr>
        <w:t>26</w:t>
      </w:r>
      <w:r>
        <w:t>.</w:t>
      </w:r>
      <w:r>
        <w:tab/>
        <w:t>RWWA wagering tax</w:t>
      </w:r>
      <w:bookmarkEnd w:id="123"/>
      <w:bookmarkEnd w:id="12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2"/>
        <w:rPr>
          <w:b w:val="0"/>
        </w:rPr>
      </w:pPr>
      <w:bookmarkStart w:id="125" w:name="_Toc116990496"/>
      <w:bookmarkStart w:id="126" w:name="_Toc117047679"/>
      <w:bookmarkStart w:id="127" w:name="_Toc124141936"/>
      <w:bookmarkStart w:id="128" w:name="_Toc124142062"/>
      <w:bookmarkStart w:id="129" w:name="_Toc13452115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25"/>
      <w:bookmarkEnd w:id="126"/>
      <w:bookmarkEnd w:id="127"/>
      <w:bookmarkEnd w:id="128"/>
      <w:bookmarkEnd w:id="129"/>
    </w:p>
    <w:p>
      <w:pPr>
        <w:pStyle w:val="Footnoteheading"/>
        <w:tabs>
          <w:tab w:val="left" w:pos="851"/>
        </w:tabs>
      </w:pPr>
      <w:r>
        <w:tab/>
        <w:t>[Heading inserted in Gazette 30 Jan 2004 p. 361.]</w:t>
      </w:r>
    </w:p>
    <w:p>
      <w:pPr>
        <w:pStyle w:val="Heading5"/>
      </w:pPr>
      <w:bookmarkStart w:id="130" w:name="_Toc124141937"/>
      <w:bookmarkStart w:id="131" w:name="_Toc134521158"/>
      <w:r>
        <w:rPr>
          <w:rStyle w:val="CharSectno"/>
        </w:rPr>
        <w:t>27</w:t>
      </w:r>
      <w:r>
        <w:t>.</w:t>
      </w:r>
      <w:r>
        <w:tab/>
        <w:t>Persons excluded from totalisator agencies</w:t>
      </w:r>
      <w:bookmarkEnd w:id="130"/>
      <w:bookmarkEnd w:id="131"/>
    </w:p>
    <w:p>
      <w:pPr>
        <w:pStyle w:val="Subsection"/>
      </w:pPr>
      <w:r>
        <w:tab/>
        <w:t>(1)</w:t>
      </w:r>
      <w:r>
        <w:tab/>
        <w:t xml:space="preserve">The following classes of persons are excluded from entering or remaining in a totalisator agency — </w:t>
      </w:r>
    </w:p>
    <w:p>
      <w:pPr>
        <w:pStyle w:val="Indenta"/>
      </w:pPr>
      <w:r>
        <w:tab/>
        <w:t>(a)</w:t>
      </w:r>
      <w:r>
        <w:tab/>
        <w:t xml:space="preserve">persons under disqualification imposed under — </w:t>
      </w:r>
    </w:p>
    <w:p>
      <w:pPr>
        <w:pStyle w:val="Indenti"/>
      </w:pPr>
      <w:r>
        <w:tab/>
        <w:t>(i)</w:t>
      </w:r>
      <w:r>
        <w:tab/>
        <w:t>the rules of racing; or</w:t>
      </w:r>
    </w:p>
    <w:p>
      <w:pPr>
        <w:pStyle w:val="Indenti"/>
      </w:pPr>
      <w:r>
        <w:tab/>
        <w:t>(ii)</w:t>
      </w:r>
      <w:r>
        <w:tab/>
        <w:t>the rules of thoroughbred racing, the rules of harness racing or the rules of greyhound racing made by the thoroughbred racing, harness racing or greyhound racing authority in any State or Territory;</w:t>
      </w:r>
    </w:p>
    <w:p>
      <w:pPr>
        <w:pStyle w:val="Indenta"/>
      </w:pPr>
      <w:r>
        <w:tab/>
        <w:t>(b)</w:t>
      </w:r>
      <w:r>
        <w:tab/>
        <w:t xml:space="preserve">persons in respect of whom an order has been made under section 25 of the </w:t>
      </w:r>
      <w:r>
        <w:rPr>
          <w:i/>
        </w:rPr>
        <w:t>Betting Control Act 1954</w:t>
      </w:r>
      <w:r>
        <w:t>;</w:t>
      </w:r>
    </w:p>
    <w:p>
      <w:pPr>
        <w:pStyle w:val="Indenta"/>
      </w:pPr>
      <w:r>
        <w:tab/>
        <w:t>(ba)</w:t>
      </w:r>
      <w:r>
        <w:tab/>
        <w:t>persons to whom a “warning of</w:t>
      </w:r>
      <w:r>
        <w:rPr>
          <w:rFonts w:ascii="Times" w:hAnsi="Times"/>
          <w:spacing w:val="40"/>
        </w:rPr>
        <w:t>f</w:t>
      </w:r>
      <w:r>
        <w:t>” notice has been given under regulation 72(1), while that notice is in force;</w:t>
      </w:r>
    </w:p>
    <w:p>
      <w:pPr>
        <w:pStyle w:val="Indenta"/>
      </w:pPr>
      <w:r>
        <w:tab/>
        <w:t>(c)</w:t>
      </w:r>
      <w:r>
        <w:tab/>
        <w:t>persons apparently under the influence of intoxicating liquor; and</w:t>
      </w:r>
    </w:p>
    <w:p>
      <w:pPr>
        <w:pStyle w:val="Indenta"/>
      </w:pPr>
      <w:r>
        <w:tab/>
        <w:t>(d)</w:t>
      </w:r>
      <w:r>
        <w:tab/>
        <w:t>persons who behave in an undesirable, offensive or disorderly manner.</w:t>
      </w:r>
    </w:p>
    <w:p>
      <w:pPr>
        <w:pStyle w:val="Subsection"/>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pPr>
      <w:r>
        <w:tab/>
        <w:t>(3)</w:t>
      </w:r>
      <w:r>
        <w:tab/>
        <w:t>A person who is in a totalisator agency in contravention of subregulation (1) or (2) may be removed by a member, officer, employee or agent of RWWA or by a member of the police force of the State.</w:t>
      </w:r>
    </w:p>
    <w:p>
      <w:pPr>
        <w:pStyle w:val="Footnotesection"/>
      </w:pPr>
      <w:r>
        <w:tab/>
        <w:t>[Regulation 27 inserted in Gazette 30 Jan 2004 p. 361</w:t>
      </w:r>
      <w:r>
        <w:noBreakHyphen/>
        <w:t>2; amended in Gazette 5 May 2006 p. 1738.]</w:t>
      </w:r>
    </w:p>
    <w:p>
      <w:pPr>
        <w:pStyle w:val="Heading5"/>
      </w:pPr>
      <w:bookmarkStart w:id="132" w:name="_Toc124141938"/>
      <w:bookmarkStart w:id="133" w:name="_Toc134521159"/>
      <w:r>
        <w:rPr>
          <w:rStyle w:val="CharSectno"/>
        </w:rPr>
        <w:t>28</w:t>
      </w:r>
      <w:r>
        <w:t>.</w:t>
      </w:r>
      <w:r>
        <w:tab/>
        <w:t>Person making wager bound by these regulations, the rules of wagering and instructions</w:t>
      </w:r>
      <w:bookmarkEnd w:id="132"/>
      <w:bookmarkEnd w:id="133"/>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34" w:name="_Toc124141939"/>
      <w:bookmarkStart w:id="135" w:name="_Toc134521160"/>
      <w:r>
        <w:rPr>
          <w:rStyle w:val="CharSectno"/>
        </w:rPr>
        <w:t>29</w:t>
      </w:r>
      <w:r>
        <w:t>.</w:t>
      </w:r>
      <w:r>
        <w:tab/>
        <w:t>Wagers accepted subject to the rules and these regulations</w:t>
      </w:r>
      <w:bookmarkEnd w:id="134"/>
      <w:bookmarkEnd w:id="135"/>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pPr>
        <w:pStyle w:val="Indenta"/>
      </w:pPr>
      <w:r>
        <w:tab/>
        <w:t>(c)</w:t>
      </w:r>
      <w:r>
        <w:tab/>
        <w:t>in relation to a sporting event, the rules of the sporting authority recognised by RWWA as responsible for the conduct of that sporting event;</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36" w:name="_Toc124141940"/>
      <w:bookmarkStart w:id="137" w:name="_Toc134521161"/>
      <w:r>
        <w:rPr>
          <w:rStyle w:val="CharSectno"/>
        </w:rPr>
        <w:t>30</w:t>
      </w:r>
      <w:r>
        <w:t>.</w:t>
      </w:r>
      <w:r>
        <w:tab/>
        <w:t>All wagers to be 50 cents or multiples of 50 cents</w:t>
      </w:r>
      <w:bookmarkEnd w:id="136"/>
      <w:bookmarkEnd w:id="137"/>
    </w:p>
    <w:p>
      <w:pPr>
        <w:pStyle w:val="Subsection"/>
      </w:pPr>
      <w:r>
        <w:tab/>
        <w:t>(1)</w:t>
      </w:r>
      <w:r>
        <w:tab/>
        <w:t>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Footnotesection"/>
      </w:pPr>
      <w:r>
        <w:tab/>
        <w:t>[Regulation 30 inserted in Gazette 30 Jan 2004 p. 363</w:t>
      </w:r>
      <w:r>
        <w:noBreakHyphen/>
        <w:t>4; amended in Gazette 5 May 2006 p. 1738.]</w:t>
      </w:r>
    </w:p>
    <w:p>
      <w:pPr>
        <w:pStyle w:val="Heading5"/>
      </w:pPr>
      <w:bookmarkStart w:id="138" w:name="_Toc124141941"/>
      <w:bookmarkStart w:id="139" w:name="_Toc134521162"/>
      <w:r>
        <w:rPr>
          <w:rStyle w:val="CharSectno"/>
        </w:rPr>
        <w:t>31</w:t>
      </w:r>
      <w:r>
        <w:t>.</w:t>
      </w:r>
      <w:r>
        <w:tab/>
        <w:t>Dividend as declared</w:t>
      </w:r>
      <w:bookmarkEnd w:id="138"/>
      <w:bookmarkEnd w:id="139"/>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wagers included in the totalisator pool;</w:t>
      </w:r>
    </w:p>
    <w:p>
      <w:pPr>
        <w:pStyle w:val="Indenta"/>
      </w:pPr>
      <w:r>
        <w:tab/>
        <w:t>(b)</w:t>
      </w:r>
      <w:r>
        <w:tab/>
        <w:t>add any jackpot under these regulations or the rules of wagering, or any supplementary amount set aside for that purpose under section 103 of the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40" w:name="_Toc124141942"/>
      <w:bookmarkStart w:id="141" w:name="_Toc134521163"/>
      <w:r>
        <w:rPr>
          <w:rStyle w:val="CharSectno"/>
        </w:rPr>
        <w:t>32</w:t>
      </w:r>
      <w:r>
        <w:t>.</w:t>
      </w:r>
      <w:r>
        <w:tab/>
        <w:t>Wagers may be refused</w:t>
      </w:r>
      <w:bookmarkEnd w:id="140"/>
      <w:bookmarkEnd w:id="14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42" w:name="_Toc124141943"/>
      <w:bookmarkStart w:id="143" w:name="_Toc134521164"/>
      <w:r>
        <w:rPr>
          <w:rStyle w:val="CharSectno"/>
        </w:rPr>
        <w:t>33</w:t>
      </w:r>
      <w:r>
        <w:t>.</w:t>
      </w:r>
      <w:r>
        <w:tab/>
        <w:t>Only authorised wagers to be accepted</w:t>
      </w:r>
      <w:bookmarkEnd w:id="142"/>
      <w:bookmarkEnd w:id="14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44" w:name="_Toc124141944"/>
      <w:bookmarkStart w:id="145" w:name="_Toc134521165"/>
      <w:r>
        <w:rPr>
          <w:rStyle w:val="CharSectno"/>
        </w:rPr>
        <w:t>34</w:t>
      </w:r>
      <w:r>
        <w:t>.</w:t>
      </w:r>
      <w:r>
        <w:tab/>
        <w:t>Hours for opening</w:t>
      </w:r>
      <w:bookmarkEnd w:id="144"/>
      <w:bookmarkEnd w:id="145"/>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accepts wagers or wagers of a particular kind.</w:t>
      </w:r>
    </w:p>
    <w:p>
      <w:pPr>
        <w:pStyle w:val="Footnotesection"/>
      </w:pPr>
      <w:r>
        <w:tab/>
        <w:t>[Regulation 34 inserted in Gazette 30 Jan 2004 p. 365</w:t>
      </w:r>
      <w:r>
        <w:noBreakHyphen/>
        <w:t>6.]</w:t>
      </w:r>
    </w:p>
    <w:p>
      <w:pPr>
        <w:pStyle w:val="Heading5"/>
      </w:pPr>
      <w:bookmarkStart w:id="146" w:name="_Toc124141945"/>
      <w:bookmarkStart w:id="147" w:name="_Toc134521166"/>
      <w:r>
        <w:rPr>
          <w:rStyle w:val="CharSectno"/>
        </w:rPr>
        <w:t>35</w:t>
      </w:r>
      <w:r>
        <w:t>.</w:t>
      </w:r>
      <w:r>
        <w:tab/>
        <w:t>Wagers may be made by various methods</w:t>
      </w:r>
      <w:bookmarkEnd w:id="146"/>
      <w:bookmarkEnd w:id="14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w:t>
      </w:r>
    </w:p>
    <w:p>
      <w:pPr>
        <w:pStyle w:val="Indenta"/>
      </w:pPr>
      <w:r>
        <w:tab/>
        <w:t>(b)</w:t>
      </w:r>
      <w:r>
        <w:tab/>
        <w:t>the cheque has not been altered in a material particular;</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48" w:name="_Toc124141946"/>
      <w:bookmarkStart w:id="149" w:name="_Toc134521167"/>
      <w:r>
        <w:rPr>
          <w:rStyle w:val="CharSectno"/>
        </w:rPr>
        <w:t>36</w:t>
      </w:r>
      <w:r>
        <w:t>.</w:t>
      </w:r>
      <w:r>
        <w:tab/>
        <w:t>Wagers to be properly marked</w:t>
      </w:r>
      <w:bookmarkEnd w:id="148"/>
      <w:bookmarkEnd w:id="14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50" w:name="_Toc124141947"/>
      <w:bookmarkStart w:id="151" w:name="_Toc134521168"/>
      <w:r>
        <w:rPr>
          <w:rStyle w:val="CharSectno"/>
        </w:rPr>
        <w:t>37</w:t>
      </w:r>
      <w:r>
        <w:t>.</w:t>
      </w:r>
      <w:r>
        <w:tab/>
        <w:t>RWWA may decide particulars of wagers</w:t>
      </w:r>
      <w:bookmarkEnd w:id="150"/>
      <w:bookmarkEnd w:id="151"/>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52" w:name="_Toc124141948"/>
      <w:bookmarkStart w:id="153" w:name="_Toc134521169"/>
      <w:r>
        <w:rPr>
          <w:rStyle w:val="CharSectno"/>
        </w:rPr>
        <w:t>38</w:t>
      </w:r>
      <w:r>
        <w:t>.</w:t>
      </w:r>
      <w:r>
        <w:tab/>
        <w:t>Tickets to be properly marked</w:t>
      </w:r>
      <w:bookmarkEnd w:id="152"/>
      <w:bookmarkEnd w:id="153"/>
    </w:p>
    <w:p>
      <w:pPr>
        <w:pStyle w:val="Subsection"/>
      </w:pPr>
      <w:r>
        <w:tab/>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 and the amount of the wager expressed in units of 50 cents.</w:t>
      </w:r>
    </w:p>
    <w:p>
      <w:pPr>
        <w:pStyle w:val="Footnotesection"/>
      </w:pPr>
      <w:r>
        <w:tab/>
        <w:t>[Regulation 38 inserted in Gazette 30 Jan 2004 p. 368</w:t>
      </w:r>
      <w:r>
        <w:noBreakHyphen/>
        <w:t>9.]</w:t>
      </w:r>
    </w:p>
    <w:p>
      <w:pPr>
        <w:pStyle w:val="Heading5"/>
      </w:pPr>
      <w:bookmarkStart w:id="154" w:name="_Toc124141949"/>
      <w:bookmarkStart w:id="155" w:name="_Toc134521170"/>
      <w:r>
        <w:rPr>
          <w:rStyle w:val="CharSectno"/>
        </w:rPr>
        <w:t>39</w:t>
      </w:r>
      <w:r>
        <w:t>.</w:t>
      </w:r>
      <w:r>
        <w:tab/>
        <w:t>RWWA to exhibit notices</w:t>
      </w:r>
      <w:bookmarkEnd w:id="154"/>
      <w:bookmarkEnd w:id="155"/>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56" w:name="_Toc124141950"/>
      <w:bookmarkStart w:id="157" w:name="_Toc134521171"/>
      <w:r>
        <w:rPr>
          <w:rStyle w:val="CharSectno"/>
        </w:rPr>
        <w:t>40</w:t>
      </w:r>
      <w:r>
        <w:t>.</w:t>
      </w:r>
      <w:r>
        <w:tab/>
        <w:t>Correction of errors and omissions, and the giving of certain refunds</w:t>
      </w:r>
      <w:bookmarkEnd w:id="156"/>
      <w:bookmarkEnd w:id="15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58" w:name="_Toc124141951"/>
      <w:bookmarkStart w:id="159" w:name="_Toc134521172"/>
      <w:r>
        <w:rPr>
          <w:rStyle w:val="CharSectno"/>
        </w:rPr>
        <w:t>41</w:t>
      </w:r>
      <w:r>
        <w:t>.</w:t>
      </w:r>
      <w:r>
        <w:tab/>
        <w:t>Time for payment of dividends or refunds for cash wagers</w:t>
      </w:r>
      <w:bookmarkEnd w:id="158"/>
      <w:bookmarkEnd w:id="159"/>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60" w:name="_Toc124141952"/>
      <w:bookmarkStart w:id="161" w:name="_Toc134521173"/>
      <w:r>
        <w:rPr>
          <w:rStyle w:val="CharSectno"/>
        </w:rPr>
        <w:t>42</w:t>
      </w:r>
      <w:r>
        <w:t>.</w:t>
      </w:r>
      <w:r>
        <w:tab/>
        <w:t>Presentation of tickets or claims</w:t>
      </w:r>
      <w:bookmarkEnd w:id="160"/>
      <w:bookmarkEnd w:id="16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w:t>
      </w:r>
    </w:p>
    <w:p>
      <w:pPr>
        <w:pStyle w:val="Indenta"/>
      </w:pPr>
      <w:r>
        <w:tab/>
        <w:t>(b)</w:t>
      </w:r>
      <w:r>
        <w:tab/>
        <w:t>pay the dividend or refund to which a claim made under paragraph (a) relates at such time as RWWA determines; and</w:t>
      </w:r>
    </w:p>
    <w:p>
      <w:pPr>
        <w:pStyle w:val="Indenta"/>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62" w:name="_Toc124141953"/>
      <w:bookmarkStart w:id="163" w:name="_Toc134521174"/>
      <w:r>
        <w:rPr>
          <w:rStyle w:val="CharSectno"/>
        </w:rPr>
        <w:t>43</w:t>
      </w:r>
      <w:r>
        <w:t>.</w:t>
      </w:r>
      <w:r>
        <w:tab/>
        <w:t>When refunds of wagers are payable</w:t>
      </w:r>
      <w:bookmarkEnd w:id="162"/>
      <w:bookmarkEnd w:id="163"/>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w:t>
      </w:r>
    </w:p>
    <w:p>
      <w:pPr>
        <w:pStyle w:val="Indenta"/>
      </w:pPr>
      <w:r>
        <w:tab/>
        <w:t>(b)</w:t>
      </w:r>
      <w:r>
        <w:tab/>
        <w:t>sweepstakes wagers;</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64" w:name="_Toc116990514"/>
      <w:bookmarkStart w:id="165" w:name="_Toc117047697"/>
      <w:bookmarkStart w:id="166" w:name="_Toc124141954"/>
      <w:bookmarkStart w:id="167" w:name="_Toc124142080"/>
      <w:bookmarkStart w:id="168" w:name="_Toc13452117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64"/>
      <w:bookmarkEnd w:id="165"/>
      <w:bookmarkEnd w:id="166"/>
      <w:bookmarkEnd w:id="167"/>
      <w:bookmarkEnd w:id="168"/>
    </w:p>
    <w:p>
      <w:pPr>
        <w:pStyle w:val="Footnoteheading"/>
        <w:tabs>
          <w:tab w:val="left" w:pos="851"/>
        </w:tabs>
      </w:pPr>
      <w:r>
        <w:tab/>
        <w:t>[Heading inserted in Gazette 30 Jan 2004 p. 375.]</w:t>
      </w:r>
    </w:p>
    <w:p>
      <w:pPr>
        <w:pStyle w:val="Heading5"/>
      </w:pPr>
      <w:bookmarkStart w:id="169" w:name="_Toc124141955"/>
      <w:bookmarkStart w:id="170" w:name="_Toc134521176"/>
      <w:r>
        <w:rPr>
          <w:rStyle w:val="CharSectno"/>
        </w:rPr>
        <w:t>44</w:t>
      </w:r>
      <w:r>
        <w:t>.</w:t>
      </w:r>
      <w:r>
        <w:tab/>
        <w:t>Authorised racing club may transmit wagers</w:t>
      </w:r>
      <w:bookmarkEnd w:id="169"/>
      <w:bookmarkEnd w:id="17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71" w:name="_Toc124141956"/>
      <w:bookmarkStart w:id="172" w:name="_Toc134521177"/>
      <w:r>
        <w:rPr>
          <w:rStyle w:val="CharSectno"/>
        </w:rPr>
        <w:t>45</w:t>
      </w:r>
      <w:r>
        <w:t>.</w:t>
      </w:r>
      <w:r>
        <w:tab/>
        <w:t>Person making wager bound by these regulations and rules of wagering</w:t>
      </w:r>
      <w:bookmarkEnd w:id="171"/>
      <w:bookmarkEnd w:id="17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73" w:name="_Toc124141957"/>
      <w:bookmarkStart w:id="174" w:name="_Toc134521178"/>
      <w:r>
        <w:rPr>
          <w:rStyle w:val="CharSectno"/>
        </w:rPr>
        <w:t>46</w:t>
      </w:r>
      <w:r>
        <w:t>.</w:t>
      </w:r>
      <w:r>
        <w:tab/>
        <w:t>Only authorised wagering to be accepted</w:t>
      </w:r>
      <w:bookmarkEnd w:id="173"/>
      <w:bookmarkEnd w:id="17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75" w:name="_Toc124141958"/>
      <w:bookmarkStart w:id="176" w:name="_Toc134521179"/>
      <w:r>
        <w:rPr>
          <w:rStyle w:val="CharSectno"/>
        </w:rPr>
        <w:t>47</w:t>
      </w:r>
      <w:r>
        <w:t>.</w:t>
      </w:r>
      <w:r>
        <w:tab/>
        <w:t>Wagers transmitted by racing club to be registered on RWWA’s totalisator</w:t>
      </w:r>
      <w:bookmarkEnd w:id="175"/>
      <w:bookmarkEnd w:id="17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77" w:name="_Toc124141959"/>
      <w:bookmarkStart w:id="178" w:name="_Toc134521180"/>
      <w:r>
        <w:rPr>
          <w:rStyle w:val="CharSectno"/>
        </w:rPr>
        <w:t>48</w:t>
      </w:r>
      <w:r>
        <w:t>.</w:t>
      </w:r>
      <w:r>
        <w:tab/>
        <w:t>Apportionment of profit or loss</w:t>
      </w:r>
      <w:bookmarkEnd w:id="177"/>
      <w:bookmarkEnd w:id="17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79" w:name="_Toc124141960"/>
      <w:bookmarkStart w:id="180" w:name="_Toc134521181"/>
      <w:r>
        <w:rPr>
          <w:rStyle w:val="CharSectno"/>
        </w:rPr>
        <w:t>49</w:t>
      </w:r>
      <w:r>
        <w:t>.</w:t>
      </w:r>
      <w:r>
        <w:tab/>
        <w:t>References to pool conducted by RWWA</w:t>
      </w:r>
      <w:bookmarkEnd w:id="179"/>
      <w:bookmarkEnd w:id="18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81" w:name="_Toc116990521"/>
      <w:bookmarkStart w:id="182" w:name="_Toc117047704"/>
      <w:bookmarkStart w:id="183" w:name="_Toc124141961"/>
      <w:bookmarkStart w:id="184" w:name="_Toc124142087"/>
      <w:bookmarkStart w:id="185" w:name="_Toc134521182"/>
      <w:r>
        <w:rPr>
          <w:rStyle w:val="CharPartNo"/>
        </w:rPr>
        <w:t>Part 8</w:t>
      </w:r>
      <w:r>
        <w:rPr>
          <w:rStyle w:val="CharDivNo"/>
        </w:rPr>
        <w:t> </w:t>
      </w:r>
      <w:r>
        <w:t>—</w:t>
      </w:r>
      <w:r>
        <w:rPr>
          <w:rStyle w:val="CharDivText"/>
        </w:rPr>
        <w:t> </w:t>
      </w:r>
      <w:r>
        <w:rPr>
          <w:rStyle w:val="CharPartText"/>
        </w:rPr>
        <w:t>Wagering accounts</w:t>
      </w:r>
      <w:bookmarkEnd w:id="181"/>
      <w:bookmarkEnd w:id="182"/>
      <w:bookmarkEnd w:id="183"/>
      <w:bookmarkEnd w:id="184"/>
      <w:bookmarkEnd w:id="185"/>
    </w:p>
    <w:p>
      <w:pPr>
        <w:pStyle w:val="Footnoteheading"/>
        <w:tabs>
          <w:tab w:val="left" w:pos="851"/>
        </w:tabs>
      </w:pPr>
      <w:r>
        <w:tab/>
        <w:t>[Heading inserted in Gazette 30 Jan 2004 p. 377.]</w:t>
      </w:r>
    </w:p>
    <w:p>
      <w:pPr>
        <w:pStyle w:val="Heading5"/>
      </w:pPr>
      <w:bookmarkStart w:id="186" w:name="_Toc124141962"/>
      <w:bookmarkStart w:id="187" w:name="_Toc134521183"/>
      <w:r>
        <w:rPr>
          <w:rStyle w:val="CharSectno"/>
        </w:rPr>
        <w:t>50</w:t>
      </w:r>
      <w:r>
        <w:t>.</w:t>
      </w:r>
      <w:r>
        <w:tab/>
        <w:t>Procedure for establishing wagering account</w:t>
      </w:r>
      <w:bookmarkEnd w:id="186"/>
      <w:bookmarkEnd w:id="187"/>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pPr>
      <w:bookmarkStart w:id="188" w:name="_Toc124141963"/>
      <w:bookmarkStart w:id="189" w:name="_Toc134521184"/>
      <w:r>
        <w:rPr>
          <w:rStyle w:val="CharSectno"/>
        </w:rPr>
        <w:t>51</w:t>
      </w:r>
      <w:r>
        <w:t>.</w:t>
      </w:r>
      <w:r>
        <w:tab/>
        <w:t>Procedure for keeping, maintaining, increasing or renewing a wagering account</w:t>
      </w:r>
      <w:bookmarkEnd w:id="188"/>
      <w:bookmarkEnd w:id="189"/>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90" w:name="_Toc124141964"/>
      <w:bookmarkStart w:id="191" w:name="_Toc134521185"/>
      <w:r>
        <w:rPr>
          <w:rStyle w:val="CharSectno"/>
        </w:rPr>
        <w:t>52</w:t>
      </w:r>
      <w:r>
        <w:t>.</w:t>
      </w:r>
      <w:r>
        <w:tab/>
        <w:t>Recording of wagers against a wagering account</w:t>
      </w:r>
      <w:bookmarkEnd w:id="190"/>
      <w:bookmarkEnd w:id="191"/>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92" w:name="_Toc124141965"/>
      <w:bookmarkStart w:id="193" w:name="_Toc134521186"/>
      <w:r>
        <w:rPr>
          <w:rStyle w:val="CharSectno"/>
        </w:rPr>
        <w:t>53</w:t>
      </w:r>
      <w:r>
        <w:t>.</w:t>
      </w:r>
      <w:r>
        <w:tab/>
        <w:t>Crediting of dividends against a wagering account</w:t>
      </w:r>
      <w:bookmarkEnd w:id="192"/>
      <w:bookmarkEnd w:id="193"/>
    </w:p>
    <w:p>
      <w:pPr>
        <w:pStyle w:val="Subsection"/>
      </w:pPr>
      <w:r>
        <w:tab/>
      </w:r>
      <w:r>
        <w:tab/>
        <w:t>All dividends due and payable to the depositor are taken to be credited to the depositor’s wagering account with RWWA immediately such dividends are known to RWWA.</w:t>
      </w:r>
    </w:p>
    <w:p>
      <w:pPr>
        <w:pStyle w:val="Footnotesection"/>
      </w:pPr>
      <w:r>
        <w:tab/>
        <w:t>[Regulation 53 inserted in Gazette 30 Jan 2004 p. 379.]</w:t>
      </w:r>
    </w:p>
    <w:p>
      <w:pPr>
        <w:pStyle w:val="Heading5"/>
      </w:pPr>
      <w:bookmarkStart w:id="194" w:name="_Toc124141966"/>
      <w:bookmarkStart w:id="195" w:name="_Toc134521187"/>
      <w:r>
        <w:rPr>
          <w:rStyle w:val="CharSectno"/>
        </w:rPr>
        <w:t>54</w:t>
      </w:r>
      <w:r>
        <w:t>.</w:t>
      </w:r>
      <w:r>
        <w:tab/>
        <w:t>Wagering accounts to be disposed of in accordance with the instructions</w:t>
      </w:r>
      <w:bookmarkEnd w:id="194"/>
      <w:bookmarkEnd w:id="195"/>
    </w:p>
    <w:p>
      <w:pPr>
        <w:pStyle w:val="Subsection"/>
      </w:pPr>
      <w:r>
        <w:tab/>
        <w:t>(1)</w:t>
      </w:r>
      <w:r>
        <w:tab/>
        <w:t>The amount standing to the credit of the wagering account of the depositor at any time is to be disposed of by RWWA in accordance with the instructions of the depositor.</w:t>
      </w:r>
    </w:p>
    <w:p>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pPr>
      <w:r>
        <w:tab/>
        <w:t>[Regulation 54 inserted in Gazette 30 Jan 2004 p. 379.]</w:t>
      </w:r>
    </w:p>
    <w:p>
      <w:pPr>
        <w:pStyle w:val="Heading5"/>
      </w:pPr>
      <w:bookmarkStart w:id="196" w:name="_Toc124141967"/>
      <w:bookmarkStart w:id="197" w:name="_Toc134521188"/>
      <w:r>
        <w:rPr>
          <w:rStyle w:val="CharSectno"/>
        </w:rPr>
        <w:t>55</w:t>
      </w:r>
      <w:r>
        <w:t>.</w:t>
      </w:r>
      <w:r>
        <w:tab/>
        <w:t>General conditions applicable to wagering accounts</w:t>
      </w:r>
      <w:bookmarkEnd w:id="196"/>
      <w:bookmarkEnd w:id="197"/>
    </w:p>
    <w:p>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pPr>
      <w:r>
        <w:tab/>
        <w:t>(2)</w:t>
      </w:r>
      <w:r>
        <w:tab/>
        <w:t>Any exchange, poundage or postage payable on any moneys relating to a wagering account may be charged to the person entitled to the moneys, and may be deducted by RWWA from the account.</w:t>
      </w:r>
    </w:p>
    <w:p>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98" w:name="_Toc124141968"/>
      <w:bookmarkStart w:id="199" w:name="_Toc134521189"/>
      <w:r>
        <w:rPr>
          <w:rStyle w:val="CharSectno"/>
        </w:rPr>
        <w:t>56</w:t>
      </w:r>
      <w:r>
        <w:t>.</w:t>
      </w:r>
      <w:r>
        <w:tab/>
        <w:t>General conditions on statements of account</w:t>
      </w:r>
      <w:bookmarkEnd w:id="198"/>
      <w:bookmarkEnd w:id="199"/>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00" w:name="_Toc124141969"/>
      <w:bookmarkStart w:id="201" w:name="_Toc134521190"/>
      <w:r>
        <w:rPr>
          <w:rStyle w:val="CharSectno"/>
        </w:rPr>
        <w:t>57</w:t>
      </w:r>
      <w:r>
        <w:t>.</w:t>
      </w:r>
      <w:r>
        <w:tab/>
        <w:t>General provisions relating to wagers made by post</w:t>
      </w:r>
      <w:bookmarkEnd w:id="200"/>
      <w:bookmarkEnd w:id="201"/>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02" w:name="_Toc124141970"/>
      <w:bookmarkStart w:id="203" w:name="_Toc134521191"/>
      <w:r>
        <w:rPr>
          <w:rStyle w:val="CharSectno"/>
        </w:rPr>
        <w:t>58</w:t>
      </w:r>
      <w:r>
        <w:t>.</w:t>
      </w:r>
      <w:r>
        <w:tab/>
        <w:t>Crediting and payment of dividends and refunds on wagering accounts and wagers made by post</w:t>
      </w:r>
      <w:bookmarkEnd w:id="202"/>
      <w:bookmarkEnd w:id="20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pPr>
      <w:r>
        <w:tab/>
        <w:t>(b)</w:t>
      </w:r>
      <w:r>
        <w:tab/>
        <w:t>include in the application all relevant information supporting the claim.</w:t>
      </w:r>
    </w:p>
    <w:p>
      <w:pPr>
        <w:pStyle w:val="Subsection"/>
      </w:pPr>
      <w:r>
        <w:tab/>
        <w:t>(5)</w:t>
      </w:r>
      <w:r>
        <w:tab/>
        <w:t>RWWA is to notify the claimant of its decision on the claim and the decision of RWWA is final.</w:t>
      </w:r>
    </w:p>
    <w:p>
      <w:pPr>
        <w:pStyle w:val="Footnotesection"/>
      </w:pPr>
      <w:r>
        <w:tab/>
        <w:t>[Regulation 58 inserted in Gazette 30 Jan 2004 p. 383</w:t>
      </w:r>
      <w:r>
        <w:noBreakHyphen/>
        <w:t>4.]</w:t>
      </w:r>
    </w:p>
    <w:p>
      <w:pPr>
        <w:pStyle w:val="Heading5"/>
      </w:pPr>
      <w:bookmarkStart w:id="204" w:name="_Toc124141971"/>
      <w:bookmarkStart w:id="205" w:name="_Toc134521192"/>
      <w:r>
        <w:rPr>
          <w:rStyle w:val="CharSectno"/>
        </w:rPr>
        <w:t>59</w:t>
      </w:r>
      <w:r>
        <w:t>.</w:t>
      </w:r>
      <w:r>
        <w:tab/>
        <w:t>Wagers by telephone or other electronic means</w:t>
      </w:r>
      <w:bookmarkEnd w:id="204"/>
      <w:bookmarkEnd w:id="205"/>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pPr>
      <w:r>
        <w:tab/>
        <w:t>(4)</w:t>
      </w:r>
      <w:r>
        <w:tab/>
        <w:t xml:space="preserve">When making a wager by telephone or other electronic means against a wagering account the depositor is to provide — </w:t>
      </w:r>
    </w:p>
    <w:p>
      <w:pPr>
        <w:pStyle w:val="Indenta"/>
      </w:pPr>
      <w:r>
        <w:tab/>
        <w:t>(a)</w:t>
      </w:r>
      <w:r>
        <w:tab/>
        <w:t>his or her account number and account name and one or more of his or her codes, if required by RWWA; and</w:t>
      </w:r>
    </w:p>
    <w:p>
      <w:pPr>
        <w:pStyle w:val="Indenta"/>
      </w:pPr>
      <w:r>
        <w:tab/>
        <w:t>(b)</w:t>
      </w:r>
      <w:r>
        <w:tab/>
        <w:t>such information to identify the wager to be made (of the type set out in regulation 36) as is required by RWWA.</w:t>
      </w:r>
    </w:p>
    <w:p>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06" w:name="_Toc124141972"/>
      <w:bookmarkStart w:id="207" w:name="_Toc134521193"/>
      <w:r>
        <w:rPr>
          <w:rStyle w:val="CharSectno"/>
        </w:rPr>
        <w:t>60</w:t>
      </w:r>
      <w:r>
        <w:t>.</w:t>
      </w:r>
      <w:r>
        <w:tab/>
        <w:t>Errors in wagers by telephone or other electronic means</w:t>
      </w:r>
      <w:bookmarkEnd w:id="206"/>
      <w:bookmarkEnd w:id="207"/>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08" w:name="_Toc116990533"/>
      <w:bookmarkStart w:id="209" w:name="_Toc117047716"/>
      <w:bookmarkStart w:id="210" w:name="_Toc124141973"/>
      <w:bookmarkStart w:id="211" w:name="_Toc124142099"/>
      <w:bookmarkStart w:id="212" w:name="_Toc134521194"/>
      <w:r>
        <w:rPr>
          <w:rStyle w:val="CharPartNo"/>
        </w:rPr>
        <w:t>Part 9</w:t>
      </w:r>
      <w:r>
        <w:rPr>
          <w:rStyle w:val="CharDivNo"/>
        </w:rPr>
        <w:t> </w:t>
      </w:r>
      <w:r>
        <w:t>—</w:t>
      </w:r>
      <w:r>
        <w:rPr>
          <w:rStyle w:val="CharDivText"/>
        </w:rPr>
        <w:t> </w:t>
      </w:r>
      <w:r>
        <w:rPr>
          <w:rStyle w:val="CharPartText"/>
        </w:rPr>
        <w:t>General provisions on wagering</w:t>
      </w:r>
      <w:bookmarkEnd w:id="208"/>
      <w:bookmarkEnd w:id="209"/>
      <w:bookmarkEnd w:id="210"/>
      <w:bookmarkEnd w:id="211"/>
      <w:bookmarkEnd w:id="212"/>
    </w:p>
    <w:p>
      <w:pPr>
        <w:pStyle w:val="Footnoteheading"/>
        <w:tabs>
          <w:tab w:val="left" w:pos="851"/>
        </w:tabs>
      </w:pPr>
      <w:r>
        <w:tab/>
        <w:t>[Heading inserted in Gazette 30 Jan 2004 p. 386.]</w:t>
      </w:r>
    </w:p>
    <w:p>
      <w:pPr>
        <w:pStyle w:val="Heading5"/>
      </w:pPr>
      <w:bookmarkStart w:id="213" w:name="_Toc124141974"/>
      <w:bookmarkStart w:id="214" w:name="_Toc134521195"/>
      <w:r>
        <w:rPr>
          <w:rStyle w:val="CharSectno"/>
        </w:rPr>
        <w:t>61</w:t>
      </w:r>
      <w:r>
        <w:t>.</w:t>
      </w:r>
      <w:r>
        <w:tab/>
        <w:t>Closing time for acceptance of wagers</w:t>
      </w:r>
      <w:bookmarkEnd w:id="213"/>
      <w:bookmarkEnd w:id="21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pPr>
      <w:bookmarkStart w:id="215" w:name="_Toc124141975"/>
      <w:bookmarkStart w:id="216" w:name="_Toc134521196"/>
      <w:r>
        <w:rPr>
          <w:rStyle w:val="CharSectno"/>
        </w:rPr>
        <w:t>62</w:t>
      </w:r>
      <w:r>
        <w:t>.</w:t>
      </w:r>
      <w:r>
        <w:tab/>
        <w:t>Totalisator pools — generally</w:t>
      </w:r>
      <w:bookmarkEnd w:id="215"/>
      <w:bookmarkEnd w:id="216"/>
    </w:p>
    <w:p>
      <w:pPr>
        <w:pStyle w:val="Subsection"/>
      </w:pPr>
      <w:r>
        <w:tab/>
        <w:t>(1)</w:t>
      </w:r>
      <w:r>
        <w:tab/>
        <w:t xml:space="preserve">RWWA may conduct separate totalisator pools — </w:t>
      </w:r>
    </w:p>
    <w:p>
      <w:pPr>
        <w:pStyle w:val="Indenta"/>
      </w:pPr>
      <w:r>
        <w:tab/>
        <w:t>(a)</w:t>
      </w:r>
      <w:r>
        <w:tab/>
        <w:t>for different kinds of wagers;</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pPr>
      <w:bookmarkStart w:id="217" w:name="_Toc124141976"/>
      <w:bookmarkStart w:id="218" w:name="_Toc134521197"/>
      <w:r>
        <w:rPr>
          <w:rStyle w:val="CharSectno"/>
        </w:rPr>
        <w:t>63</w:t>
      </w:r>
      <w:r>
        <w:t>.</w:t>
      </w:r>
      <w:r>
        <w:tab/>
        <w:t>Communication failure where a combined totalisator pool scheme is conducted</w:t>
      </w:r>
      <w:bookmarkEnd w:id="217"/>
      <w:bookmarkEnd w:id="218"/>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pPr>
      <w:r>
        <w:tab/>
        <w:t>[Regulation 63 inserted in Gazette 30 Jan 2004 p. 387.]</w:t>
      </w:r>
    </w:p>
    <w:p>
      <w:pPr>
        <w:pStyle w:val="Heading2"/>
      </w:pPr>
      <w:bookmarkStart w:id="219" w:name="_Toc116990537"/>
      <w:bookmarkStart w:id="220" w:name="_Toc117047720"/>
      <w:bookmarkStart w:id="221" w:name="_Toc124141977"/>
      <w:bookmarkStart w:id="222" w:name="_Toc124142103"/>
      <w:bookmarkStart w:id="223" w:name="_Toc134521198"/>
      <w:r>
        <w:rPr>
          <w:rStyle w:val="CharPartNo"/>
        </w:rPr>
        <w:t>Part 10</w:t>
      </w:r>
      <w:r>
        <w:rPr>
          <w:rStyle w:val="CharDivNo"/>
        </w:rPr>
        <w:t> </w:t>
      </w:r>
      <w:r>
        <w:t>—</w:t>
      </w:r>
      <w:r>
        <w:rPr>
          <w:rStyle w:val="CharDivText"/>
        </w:rPr>
        <w:t> </w:t>
      </w:r>
      <w:r>
        <w:rPr>
          <w:rStyle w:val="CharPartText"/>
        </w:rPr>
        <w:t>Sporting events</w:t>
      </w:r>
      <w:bookmarkEnd w:id="219"/>
      <w:bookmarkEnd w:id="220"/>
      <w:bookmarkEnd w:id="221"/>
      <w:bookmarkEnd w:id="222"/>
      <w:bookmarkEnd w:id="223"/>
    </w:p>
    <w:p>
      <w:pPr>
        <w:pStyle w:val="Footnoteheading"/>
        <w:tabs>
          <w:tab w:val="left" w:pos="851"/>
        </w:tabs>
      </w:pPr>
      <w:r>
        <w:tab/>
        <w:t>[Heading inserted in Gazette 30 Jan 2004 p. 387.]</w:t>
      </w:r>
    </w:p>
    <w:p>
      <w:pPr>
        <w:pStyle w:val="Heading5"/>
      </w:pPr>
      <w:bookmarkStart w:id="224" w:name="_Toc124141978"/>
      <w:bookmarkStart w:id="225" w:name="_Toc134521199"/>
      <w:r>
        <w:rPr>
          <w:rStyle w:val="CharSectno"/>
        </w:rPr>
        <w:t>64</w:t>
      </w:r>
      <w:r>
        <w:t>.</w:t>
      </w:r>
      <w:r>
        <w:tab/>
        <w:t>RWWA may specify aspects of sporting events</w:t>
      </w:r>
      <w:bookmarkEnd w:id="224"/>
      <w:bookmarkEnd w:id="225"/>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b/>
        </w:rPr>
        <w:t>“</w:t>
      </w:r>
      <w:r>
        <w:rPr>
          <w:rStyle w:val="CharDefText"/>
        </w:rPr>
        <w:t>game</w:t>
      </w:r>
      <w:r>
        <w:rPr>
          <w:b/>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26" w:name="_Toc124141979"/>
      <w:bookmarkStart w:id="227" w:name="_Toc134521200"/>
      <w:r>
        <w:rPr>
          <w:rStyle w:val="CharSectno"/>
        </w:rPr>
        <w:t>65</w:t>
      </w:r>
      <w:r>
        <w:t>.</w:t>
      </w:r>
      <w:r>
        <w:tab/>
        <w:t>General conditions relating to the conduct of totalisator pools</w:t>
      </w:r>
      <w:bookmarkEnd w:id="226"/>
      <w:bookmarkEnd w:id="227"/>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w:t>
      </w:r>
    </w:p>
    <w:p>
      <w:pPr>
        <w:pStyle w:val="Indenta"/>
      </w:pPr>
      <w:r>
        <w:tab/>
        <w:t>(b)</w:t>
      </w:r>
      <w:r>
        <w:tab/>
        <w:t>the scheduled starting time for an event; and</w:t>
      </w:r>
    </w:p>
    <w:p>
      <w:pPr>
        <w:pStyle w:val="Indenta"/>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28" w:name="_Toc124141980"/>
      <w:bookmarkStart w:id="229" w:name="_Toc134521201"/>
      <w:r>
        <w:rPr>
          <w:rStyle w:val="CharSectno"/>
        </w:rPr>
        <w:t>66</w:t>
      </w:r>
      <w:r>
        <w:t>.</w:t>
      </w:r>
      <w:r>
        <w:tab/>
        <w:t>General conditions relating to wagering on games and pools of games</w:t>
      </w:r>
      <w:bookmarkEnd w:id="228"/>
      <w:bookmarkEnd w:id="22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30" w:name="_Toc116990541"/>
      <w:bookmarkStart w:id="231" w:name="_Toc117047724"/>
      <w:bookmarkStart w:id="232" w:name="_Toc124141981"/>
      <w:bookmarkStart w:id="233" w:name="_Toc124142107"/>
      <w:bookmarkStart w:id="234" w:name="_Toc134521202"/>
      <w:r>
        <w:rPr>
          <w:rStyle w:val="CharPartNo"/>
        </w:rPr>
        <w:t>Part 11</w:t>
      </w:r>
      <w:r>
        <w:rPr>
          <w:rStyle w:val="CharDivNo"/>
        </w:rPr>
        <w:t> </w:t>
      </w:r>
      <w:r>
        <w:t>—</w:t>
      </w:r>
      <w:r>
        <w:rPr>
          <w:rStyle w:val="CharDivText"/>
        </w:rPr>
        <w:t> </w:t>
      </w:r>
      <w:r>
        <w:rPr>
          <w:rStyle w:val="CharPartText"/>
        </w:rPr>
        <w:t>Totalisator agencies</w:t>
      </w:r>
      <w:bookmarkEnd w:id="230"/>
      <w:bookmarkEnd w:id="231"/>
      <w:bookmarkEnd w:id="232"/>
      <w:bookmarkEnd w:id="233"/>
      <w:bookmarkEnd w:id="234"/>
    </w:p>
    <w:p>
      <w:pPr>
        <w:pStyle w:val="Footnoteheading"/>
        <w:tabs>
          <w:tab w:val="left" w:pos="851"/>
        </w:tabs>
      </w:pPr>
      <w:r>
        <w:tab/>
        <w:t>[Heading inserted in Gazette 30 Jan 2004 p. 390.]</w:t>
      </w:r>
    </w:p>
    <w:p>
      <w:pPr>
        <w:pStyle w:val="Heading5"/>
      </w:pPr>
      <w:bookmarkStart w:id="235" w:name="_Toc124141982"/>
      <w:bookmarkStart w:id="236" w:name="_Toc134521203"/>
      <w:r>
        <w:rPr>
          <w:rStyle w:val="CharSectno"/>
        </w:rPr>
        <w:t>67</w:t>
      </w:r>
      <w:r>
        <w:t>.</w:t>
      </w:r>
      <w:r>
        <w:tab/>
        <w:t>Notice of intention to establish long term totalisator agency (s. 52(2))</w:t>
      </w:r>
      <w:bookmarkEnd w:id="235"/>
      <w:bookmarkEnd w:id="23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date on which it is proposed to commence operation;</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37" w:name="_Toc124141983"/>
      <w:bookmarkStart w:id="238" w:name="_Toc134521204"/>
      <w:r>
        <w:rPr>
          <w:rStyle w:val="CharSectno"/>
        </w:rPr>
        <w:t>68</w:t>
      </w:r>
      <w:r>
        <w:t>.</w:t>
      </w:r>
      <w:r>
        <w:tab/>
        <w:t>Notice of intention to establish temporary totalisator agency (s. 52(2))</w:t>
      </w:r>
      <w:bookmarkEnd w:id="237"/>
      <w:bookmarkEnd w:id="23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39" w:name="_Toc124141984"/>
      <w:bookmarkStart w:id="240" w:name="_Toc134521205"/>
      <w:r>
        <w:rPr>
          <w:rStyle w:val="CharSectno"/>
        </w:rPr>
        <w:t>69</w:t>
      </w:r>
      <w:r>
        <w:t>.</w:t>
      </w:r>
      <w:r>
        <w:tab/>
        <w:t>Information on totalisator agencies</w:t>
      </w:r>
      <w:bookmarkEnd w:id="239"/>
      <w:bookmarkEnd w:id="24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41" w:name="UpToHere"/>
      <w:bookmarkStart w:id="242" w:name="_Toc124141985"/>
      <w:bookmarkStart w:id="243" w:name="_Toc134521206"/>
      <w:bookmarkEnd w:id="241"/>
      <w:r>
        <w:rPr>
          <w:rStyle w:val="CharSectno"/>
        </w:rPr>
        <w:t>70</w:t>
      </w:r>
      <w:r>
        <w:t>.</w:t>
      </w:r>
      <w:r>
        <w:tab/>
        <w:t>Direction to close or not to establish totalisator agency (s. 52(3))</w:t>
      </w:r>
      <w:bookmarkEnd w:id="242"/>
      <w:bookmarkEnd w:id="243"/>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rPr>
          <w:rStyle w:val="CharPartText"/>
        </w:rPr>
      </w:pPr>
      <w:bookmarkStart w:id="244" w:name="_Toc116990546"/>
      <w:bookmarkStart w:id="245" w:name="_Toc117047729"/>
      <w:bookmarkStart w:id="246" w:name="_Toc124141986"/>
      <w:bookmarkStart w:id="247" w:name="_Toc124142112"/>
      <w:bookmarkStart w:id="248" w:name="_Toc134521207"/>
      <w:r>
        <w:rPr>
          <w:rStyle w:val="CharPartNo"/>
        </w:rPr>
        <w:t>Part 12</w:t>
      </w:r>
      <w:r>
        <w:rPr>
          <w:b w:val="0"/>
        </w:rPr>
        <w:t> </w:t>
      </w:r>
      <w:r>
        <w:t>—</w:t>
      </w:r>
      <w:r>
        <w:rPr>
          <w:b w:val="0"/>
        </w:rPr>
        <w:t> </w:t>
      </w:r>
      <w:r>
        <w:rPr>
          <w:rStyle w:val="CharPartText"/>
        </w:rPr>
        <w:t>Consultation</w:t>
      </w:r>
      <w:bookmarkEnd w:id="244"/>
      <w:bookmarkEnd w:id="245"/>
      <w:bookmarkEnd w:id="246"/>
      <w:bookmarkEnd w:id="247"/>
      <w:bookmarkEnd w:id="248"/>
    </w:p>
    <w:p>
      <w:pPr>
        <w:pStyle w:val="Footnoteheading"/>
        <w:tabs>
          <w:tab w:val="left" w:pos="851"/>
        </w:tabs>
      </w:pPr>
      <w:r>
        <w:tab/>
        <w:t>[Heading inserted in Gazette 30 Jan 2004 p. 392.]</w:t>
      </w:r>
    </w:p>
    <w:p>
      <w:pPr>
        <w:pStyle w:val="Heading5"/>
      </w:pPr>
      <w:bookmarkStart w:id="249" w:name="_Toc124141987"/>
      <w:bookmarkStart w:id="250" w:name="_Toc134521208"/>
      <w:r>
        <w:rPr>
          <w:rStyle w:val="CharSectno"/>
        </w:rPr>
        <w:t>71</w:t>
      </w:r>
      <w:r>
        <w:t>.</w:t>
      </w:r>
      <w:r>
        <w:tab/>
        <w:t>Consultation (s. 82)</w:t>
      </w:r>
      <w:bookmarkEnd w:id="249"/>
      <w:bookmarkEnd w:id="25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trPr>
          <w:cantSplit/>
        </w:trPr>
        <w:tc>
          <w:tcPr>
            <w:tcW w:w="709" w:type="dxa"/>
          </w:tcPr>
          <w:p>
            <w:pPr>
              <w:pStyle w:val="Table"/>
              <w:rPr>
                <w:b/>
              </w:rPr>
            </w:pPr>
            <w:r>
              <w:rPr>
                <w:b/>
              </w:rPr>
              <w:t>Item</w:t>
            </w:r>
          </w:p>
        </w:tc>
        <w:tc>
          <w:tcPr>
            <w:tcW w:w="2835"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835"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835"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835"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835"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835"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835"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835"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835"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9.</w:t>
            </w:r>
          </w:p>
        </w:tc>
        <w:tc>
          <w:tcPr>
            <w:tcW w:w="2835" w:type="dxa"/>
          </w:tcPr>
          <w:p>
            <w:pPr>
              <w:pStyle w:val="Table"/>
            </w:pPr>
            <w:r>
              <w:t>Fremantle Trotting Club (Inc.)</w:t>
            </w:r>
          </w:p>
        </w:tc>
        <w:tc>
          <w:tcPr>
            <w:tcW w:w="2835" w:type="dxa"/>
          </w:tcPr>
          <w:p>
            <w:pPr>
              <w:pStyle w:val="Table"/>
            </w:pPr>
            <w:r>
              <w:t>Racing and supervision of on</w:t>
            </w:r>
            <w:r>
              <w:noBreakHyphen/>
              <w:t>course wagering</w:t>
            </w:r>
          </w:p>
        </w:tc>
      </w:tr>
      <w:tr>
        <w:trPr>
          <w:cantSplit/>
        </w:trPr>
        <w:tc>
          <w:tcPr>
            <w:tcW w:w="709" w:type="dxa"/>
          </w:tcPr>
          <w:p>
            <w:pPr>
              <w:pStyle w:val="Table"/>
            </w:pPr>
            <w:r>
              <w:t>10.</w:t>
            </w:r>
          </w:p>
        </w:tc>
        <w:tc>
          <w:tcPr>
            <w:tcW w:w="2835"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835"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835"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835"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835"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835"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835"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835"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835"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835"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835"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835"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835"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835"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835" w:type="dxa"/>
          </w:tcPr>
          <w:p>
            <w:pPr>
              <w:pStyle w:val="Table"/>
              <w:keepNext/>
              <w:keepLines/>
            </w:pPr>
            <w:r>
              <w:t>Unions WA</w:t>
            </w:r>
          </w:p>
        </w:tc>
        <w:tc>
          <w:tcPr>
            <w:tcW w:w="2835" w:type="dxa"/>
          </w:tcPr>
          <w:p>
            <w:pPr>
              <w:pStyle w:val="Table"/>
              <w:keepNext/>
              <w:keepLines/>
            </w:pPr>
            <w:r>
              <w:t>Racing</w:t>
            </w:r>
          </w:p>
        </w:tc>
      </w:tr>
      <w:tr>
        <w:trPr>
          <w:cantSplit/>
        </w:trPr>
        <w:tc>
          <w:tcPr>
            <w:tcW w:w="709" w:type="dxa"/>
            <w:tcBorders>
              <w:bottom w:val="single" w:sz="4" w:space="0" w:color="auto"/>
            </w:tcBorders>
          </w:tcPr>
          <w:p>
            <w:pPr>
              <w:pStyle w:val="Table"/>
              <w:keepNext/>
              <w:keepLines/>
            </w:pPr>
            <w:r>
              <w:t>25.</w:t>
            </w:r>
          </w:p>
        </w:tc>
        <w:tc>
          <w:tcPr>
            <w:tcW w:w="2835" w:type="dxa"/>
            <w:tcBorders>
              <w:bottom w:val="single" w:sz="4" w:space="0" w:color="auto"/>
            </w:tcBorders>
          </w:tcPr>
          <w:p>
            <w:pPr>
              <w:pStyle w:val="Table"/>
              <w:keepNext/>
              <w:keepLines/>
            </w:pPr>
            <w:r>
              <w:t>WA Racing Media Guild</w:t>
            </w:r>
          </w:p>
        </w:tc>
        <w:tc>
          <w:tcPr>
            <w:tcW w:w="2835" w:type="dxa"/>
            <w:tcBorders>
              <w:bottom w:val="single" w:sz="4" w:space="0" w:color="auto"/>
            </w:tcBorders>
          </w:tcPr>
          <w:p>
            <w:pPr>
              <w:pStyle w:val="Table"/>
              <w:keepNext/>
              <w:keepLines/>
            </w:pPr>
            <w:r>
              <w:t>Promotion of racing</w:t>
            </w:r>
          </w:p>
        </w:tc>
      </w:tr>
    </w:tbl>
    <w:p>
      <w:pPr>
        <w:pStyle w:val="Footnotesection"/>
      </w:pPr>
      <w:r>
        <w:tab/>
        <w:t>[Regulation 71 inserted in Gazette 30 Jan 2004 p. 392</w:t>
      </w:r>
      <w:r>
        <w:noBreakHyphen/>
        <w:t>4.]</w:t>
      </w:r>
    </w:p>
    <w:p>
      <w:pPr>
        <w:pStyle w:val="Heading2"/>
      </w:pPr>
      <w:bookmarkStart w:id="251" w:name="_Toc116990548"/>
      <w:bookmarkStart w:id="252" w:name="_Toc117047731"/>
      <w:bookmarkStart w:id="253" w:name="_Toc124141988"/>
      <w:bookmarkStart w:id="254" w:name="_Toc124142114"/>
      <w:bookmarkStart w:id="255" w:name="_Toc134521209"/>
      <w:bookmarkStart w:id="256" w:name="_Toc44995656"/>
      <w:r>
        <w:rPr>
          <w:rStyle w:val="CharPartNo"/>
        </w:rPr>
        <w:t>Part 13</w:t>
      </w:r>
      <w:r>
        <w:rPr>
          <w:b w:val="0"/>
        </w:rPr>
        <w:t> </w:t>
      </w:r>
      <w:r>
        <w:t>—</w:t>
      </w:r>
      <w:r>
        <w:rPr>
          <w:b w:val="0"/>
        </w:rPr>
        <w:t> </w:t>
      </w:r>
      <w:r>
        <w:rPr>
          <w:rStyle w:val="CharPartText"/>
        </w:rPr>
        <w:t>Disciplinary action — Racing</w:t>
      </w:r>
      <w:bookmarkEnd w:id="251"/>
      <w:bookmarkEnd w:id="252"/>
      <w:bookmarkEnd w:id="253"/>
      <w:bookmarkEnd w:id="254"/>
      <w:bookmarkEnd w:id="255"/>
    </w:p>
    <w:p>
      <w:pPr>
        <w:pStyle w:val="Footnoteheading"/>
        <w:tabs>
          <w:tab w:val="left" w:pos="851"/>
        </w:tabs>
      </w:pPr>
      <w:r>
        <w:tab/>
        <w:t>[Heading inserted in Gazette 5 Nov 2004 p. 4984.]</w:t>
      </w:r>
    </w:p>
    <w:p>
      <w:pPr>
        <w:pStyle w:val="Heading5"/>
      </w:pPr>
      <w:bookmarkStart w:id="257" w:name="_Toc124141989"/>
      <w:bookmarkStart w:id="258" w:name="_Toc134521210"/>
      <w:r>
        <w:rPr>
          <w:rStyle w:val="CharSectno"/>
        </w:rPr>
        <w:t>72</w:t>
      </w:r>
      <w:r>
        <w:t>.</w:t>
      </w:r>
      <w:r>
        <w:tab/>
        <w:t>Warning off</w:t>
      </w:r>
      <w:bookmarkEnd w:id="257"/>
      <w:bookmarkEnd w:id="25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b/>
          <w:bCs/>
        </w:rPr>
        <w:t>“</w:t>
      </w:r>
      <w:r>
        <w:rPr>
          <w:rStyle w:val="CharDefText"/>
        </w:rPr>
        <w:t>warning off notice</w:t>
      </w:r>
      <w:r>
        <w:rPr>
          <w:b/>
          <w:bCs/>
        </w:rPr>
        <w:t>”</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b/>
          <w:bCs/>
        </w:rPr>
        <w:t>“</w:t>
      </w:r>
      <w:r>
        <w:rPr>
          <w:rStyle w:val="CharDefText"/>
        </w:rPr>
        <w:t>show cause notice</w:t>
      </w:r>
      <w:r>
        <w:rPr>
          <w:b/>
          <w:bCs/>
        </w:rPr>
        <w:t>”</w:t>
      </w:r>
      <w:r>
        <w:t xml:space="preserve">) setting out — </w:t>
      </w:r>
    </w:p>
    <w:p>
      <w:pPr>
        <w:pStyle w:val="Indenta"/>
      </w:pPr>
      <w:r>
        <w:tab/>
        <w:t>(a)</w:t>
      </w:r>
      <w:r>
        <w:tab/>
        <w:t>that RWWA proposes to exercise its powers under section 44(1)(e) of the Act against the person;</w:t>
      </w:r>
    </w:p>
    <w:p>
      <w:pPr>
        <w:pStyle w:val="Indenta"/>
      </w:pPr>
      <w:r>
        <w:tab/>
        <w:t>(b)</w:t>
      </w:r>
      <w:r>
        <w:tab/>
        <w:t>the grounds upon which RWWA proposes to exercise those powers against the person; and</w:t>
      </w:r>
    </w:p>
    <w:p>
      <w:pPr>
        <w:pStyle w:val="Indenta"/>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pPr>
      <w:r>
        <w:tab/>
        <w:t>(7)</w:t>
      </w:r>
      <w:r>
        <w:tab/>
        <w:t>Nothing in this regulation is to be taken to prevent RWWA delegating any function under this regulation.</w:t>
      </w:r>
    </w:p>
    <w:p>
      <w:pPr>
        <w:pStyle w:val="Footnotesection"/>
      </w:pPr>
      <w:r>
        <w:tab/>
        <w:t>[Regulation 72 inserted in Gazette 5 Nov 2004 p. 4984-5.]</w:t>
      </w:r>
    </w:p>
    <w:p>
      <w:pPr>
        <w:pStyle w:val="Heading5"/>
      </w:pPr>
      <w:bookmarkStart w:id="259" w:name="_Toc124141990"/>
      <w:bookmarkStart w:id="260" w:name="_Toc134521211"/>
      <w:r>
        <w:rPr>
          <w:rStyle w:val="CharSectno"/>
        </w:rPr>
        <w:t>73</w:t>
      </w:r>
      <w:r>
        <w:t>.</w:t>
      </w:r>
      <w:r>
        <w:tab/>
        <w:t>Failure to comply with a warning off</w:t>
      </w:r>
      <w:bookmarkEnd w:id="259"/>
      <w:bookmarkEnd w:id="26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1" w:name="_Toc124141991"/>
      <w:bookmarkStart w:id="262" w:name="_Toc124142117"/>
      <w:bookmarkStart w:id="263" w:name="_Toc134521212"/>
      <w:bookmarkEnd w:id="256"/>
      <w:r>
        <w:rPr>
          <w:rStyle w:val="CharSchNo"/>
        </w:rPr>
        <w:t>Schedule 1</w:t>
      </w:r>
      <w:r>
        <w:t> — </w:t>
      </w:r>
      <w:r>
        <w:rPr>
          <w:rStyle w:val="CharSchText"/>
        </w:rPr>
        <w:t>Fees</w:t>
      </w:r>
      <w:bookmarkEnd w:id="261"/>
      <w:bookmarkEnd w:id="262"/>
      <w:bookmarkEnd w:id="263"/>
    </w:p>
    <w:p>
      <w:pPr>
        <w:pStyle w:val="yShoulderClause"/>
      </w:pPr>
      <w:r>
        <w:t>[r. 6(1), 13(4)]</w:t>
      </w:r>
    </w:p>
    <w:p>
      <w:pPr>
        <w:pStyle w:val="yFootnoteheading"/>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111"/>
        <w:gridCol w:w="992"/>
      </w:tblGrid>
      <w:tr>
        <w:tc>
          <w:tcPr>
            <w:tcW w:w="1134" w:type="dxa"/>
            <w:tcBorders>
              <w:left w:val="nil"/>
              <w:bottom w:val="single" w:sz="4" w:space="0" w:color="auto"/>
              <w:right w:val="nil"/>
            </w:tcBorders>
          </w:tcPr>
          <w:p>
            <w:pPr>
              <w:pStyle w:val="yTable"/>
              <w:jc w:val="center"/>
              <w:rPr>
                <w:b/>
              </w:rPr>
            </w:pPr>
            <w:r>
              <w:rPr>
                <w:b/>
              </w:rPr>
              <w:t>Item</w:t>
            </w:r>
          </w:p>
        </w:tc>
        <w:tc>
          <w:tcPr>
            <w:tcW w:w="4111" w:type="dxa"/>
            <w:tcBorders>
              <w:left w:val="nil"/>
              <w:bottom w:val="single" w:sz="4" w:space="0" w:color="auto"/>
              <w:right w:val="nil"/>
            </w:tcBorders>
          </w:tcPr>
          <w:p>
            <w:pPr>
              <w:pStyle w:val="yTable"/>
              <w:jc w:val="center"/>
              <w:rPr>
                <w:b/>
              </w:rPr>
            </w:pPr>
            <w:r>
              <w:rPr>
                <w:b/>
              </w:rPr>
              <w:t>Subject</w:t>
            </w:r>
          </w:p>
        </w:tc>
        <w:tc>
          <w:tcPr>
            <w:tcW w:w="992" w:type="dxa"/>
            <w:tcBorders>
              <w:left w:val="nil"/>
              <w:bottom w:val="single" w:sz="4" w:space="0" w:color="auto"/>
              <w:right w:val="nil"/>
            </w:tcBorders>
          </w:tcPr>
          <w:p>
            <w:pPr>
              <w:pStyle w:val="yTable"/>
              <w:jc w:val="center"/>
              <w:rPr>
                <w:b/>
              </w:rPr>
            </w:pPr>
            <w:r>
              <w:rPr>
                <w:b/>
              </w:rPr>
              <w:t>$</w:t>
            </w:r>
          </w:p>
        </w:tc>
      </w:tr>
      <w:tr>
        <w:tc>
          <w:tcPr>
            <w:tcW w:w="1134" w:type="dxa"/>
            <w:tcBorders>
              <w:top w:val="nil"/>
              <w:left w:val="nil"/>
              <w:bottom w:val="nil"/>
              <w:right w:val="nil"/>
            </w:tcBorders>
          </w:tcPr>
          <w:p>
            <w:pPr>
              <w:pStyle w:val="yTable"/>
              <w:jc w:val="center"/>
            </w:pPr>
            <w:r>
              <w:t>1</w:t>
            </w:r>
          </w:p>
        </w:tc>
        <w:tc>
          <w:tcPr>
            <w:tcW w:w="4111" w:type="dxa"/>
            <w:tcBorders>
              <w:top w:val="nil"/>
              <w:left w:val="nil"/>
              <w:bottom w:val="nil"/>
              <w:right w:val="nil"/>
            </w:tcBorders>
          </w:tcPr>
          <w:p>
            <w:pPr>
              <w:pStyle w:val="yTable"/>
            </w:pPr>
            <w:r>
              <w:t>Application fee for licence (r. 6(1)(c)(i);13(4)(c)(i))</w:t>
            </w:r>
          </w:p>
        </w:tc>
        <w:tc>
          <w:tcPr>
            <w:tcW w:w="992" w:type="dxa"/>
            <w:tcBorders>
              <w:top w:val="nil"/>
              <w:left w:val="nil"/>
              <w:bottom w:val="nil"/>
              <w:right w:val="nil"/>
            </w:tcBorders>
          </w:tcPr>
          <w:p>
            <w:pPr>
              <w:pStyle w:val="yTable"/>
              <w:tabs>
                <w:tab w:val="right" w:pos="600"/>
              </w:tabs>
              <w:ind w:right="34"/>
            </w:pPr>
            <w:r>
              <w:br/>
            </w:r>
            <w:r>
              <w:tab/>
              <w:t>345</w:t>
            </w:r>
          </w:p>
        </w:tc>
      </w:tr>
      <w:tr>
        <w:tc>
          <w:tcPr>
            <w:tcW w:w="1134" w:type="dxa"/>
            <w:tcBorders>
              <w:top w:val="nil"/>
              <w:left w:val="nil"/>
              <w:bottom w:val="single" w:sz="4" w:space="0" w:color="auto"/>
              <w:right w:val="nil"/>
            </w:tcBorders>
          </w:tcPr>
          <w:p>
            <w:pPr>
              <w:pStyle w:val="yTable"/>
              <w:jc w:val="center"/>
            </w:pPr>
            <w:r>
              <w:t>2</w:t>
            </w:r>
          </w:p>
        </w:tc>
        <w:tc>
          <w:tcPr>
            <w:tcW w:w="4111" w:type="dxa"/>
            <w:tcBorders>
              <w:top w:val="nil"/>
              <w:left w:val="nil"/>
              <w:bottom w:val="single" w:sz="4" w:space="0" w:color="auto"/>
              <w:right w:val="nil"/>
            </w:tcBorders>
          </w:tcPr>
          <w:p>
            <w:pPr>
              <w:pStyle w:val="yTable"/>
            </w:pPr>
            <w:r>
              <w:t>Application fee for renewal of licence (r. 6(1)(c)(i);13(4)(c)(i))</w:t>
            </w:r>
          </w:p>
        </w:tc>
        <w:tc>
          <w:tcPr>
            <w:tcW w:w="992" w:type="dxa"/>
            <w:tcBorders>
              <w:top w:val="nil"/>
              <w:left w:val="nil"/>
              <w:bottom w:val="single" w:sz="4" w:space="0" w:color="auto"/>
              <w:right w:val="nil"/>
            </w:tcBorders>
          </w:tcPr>
          <w:p>
            <w:pPr>
              <w:pStyle w:val="yTable"/>
              <w:tabs>
                <w:tab w:val="right" w:pos="600"/>
              </w:tabs>
              <w:ind w:right="34"/>
            </w:pPr>
            <w:r>
              <w:br/>
            </w:r>
            <w:r>
              <w:tab/>
              <w:t>95</w:t>
            </w:r>
          </w:p>
        </w:tc>
      </w:tr>
    </w:tbl>
    <w:p>
      <w:pPr>
        <w:pStyle w:val="yFootnotesection"/>
      </w:pPr>
      <w:r>
        <w:tab/>
        <w:t>[Schedule 1 inserted in Gazette 14 Oct 2005 p. 4568.]</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64" w:name="_Toc116990552"/>
      <w:bookmarkStart w:id="265" w:name="_Toc117047735"/>
      <w:bookmarkStart w:id="266" w:name="_Toc124141992"/>
      <w:bookmarkStart w:id="267" w:name="_Toc124142118"/>
      <w:bookmarkStart w:id="268" w:name="_Toc134521213"/>
      <w:r>
        <w:t>Notes</w:t>
      </w:r>
      <w:bookmarkEnd w:id="264"/>
      <w:bookmarkEnd w:id="265"/>
      <w:bookmarkEnd w:id="266"/>
      <w:bookmarkEnd w:id="267"/>
      <w:bookmarkEnd w:id="268"/>
    </w:p>
    <w:p>
      <w:pPr>
        <w:pStyle w:val="nSubsection"/>
        <w:rPr>
          <w:snapToGrid w:val="0"/>
        </w:rPr>
      </w:pPr>
      <w:bookmarkStart w:id="269" w:name="_Toc511102520"/>
      <w:bookmarkStart w:id="27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p>
    <w:p>
      <w:pPr>
        <w:pStyle w:val="nHeading3"/>
      </w:pPr>
      <w:bookmarkStart w:id="271" w:name="_Toc124141993"/>
      <w:bookmarkStart w:id="272" w:name="_Toc134521214"/>
      <w:r>
        <w:t>Compilation table</w:t>
      </w:r>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9" w:type="dxa"/>
            <w:tcBorders>
              <w:top w:val="single" w:sz="4" w:space="0" w:color="auto"/>
            </w:tcBorders>
          </w:tcPr>
          <w:p>
            <w:pPr>
              <w:pStyle w:val="nTable"/>
              <w:rPr>
                <w:sz w:val="19"/>
              </w:rPr>
            </w:pPr>
            <w:r>
              <w:rPr>
                <w:i/>
                <w:sz w:val="19"/>
              </w:rPr>
              <w:t>Racing and Wagering Western Australia Regulations 2003</w:t>
            </w:r>
          </w:p>
        </w:tc>
        <w:tc>
          <w:tcPr>
            <w:tcW w:w="1276" w:type="dxa"/>
            <w:tcBorders>
              <w:top w:val="single" w:sz="4" w:space="0" w:color="auto"/>
            </w:tcBorders>
          </w:tcPr>
          <w:p>
            <w:pPr>
              <w:pStyle w:val="nTable"/>
              <w:rPr>
                <w:sz w:val="19"/>
              </w:rPr>
            </w:pPr>
            <w:r>
              <w:rPr>
                <w:sz w:val="19"/>
              </w:rPr>
              <w:t>29 Jul 2003 p. 3273-91</w:t>
            </w:r>
          </w:p>
        </w:tc>
        <w:tc>
          <w:tcPr>
            <w:tcW w:w="2693" w:type="dxa"/>
            <w:tcBorders>
              <w:top w:val="single" w:sz="4" w:space="0" w:color="auto"/>
            </w:tcBorders>
          </w:tcPr>
          <w:p>
            <w:pPr>
              <w:pStyle w:val="nTable"/>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rPr>
                <w:i/>
                <w:sz w:val="19"/>
              </w:rPr>
            </w:pPr>
            <w:r>
              <w:rPr>
                <w:i/>
                <w:sz w:val="19"/>
              </w:rPr>
              <w:t>Racing and Wagering Western Australia Amendment Regulations 2004</w:t>
            </w:r>
          </w:p>
        </w:tc>
        <w:tc>
          <w:tcPr>
            <w:tcW w:w="1276" w:type="dxa"/>
          </w:tcPr>
          <w:p>
            <w:pPr>
              <w:pStyle w:val="nTable"/>
              <w:rPr>
                <w:sz w:val="19"/>
              </w:rPr>
            </w:pPr>
            <w:r>
              <w:rPr>
                <w:sz w:val="19"/>
              </w:rPr>
              <w:t>30 Jan 2004 p. 355</w:t>
            </w:r>
            <w:r>
              <w:rPr>
                <w:sz w:val="19"/>
              </w:rPr>
              <w:noBreakHyphen/>
              <w:t>394</w:t>
            </w:r>
          </w:p>
        </w:tc>
        <w:tc>
          <w:tcPr>
            <w:tcW w:w="2693" w:type="dxa"/>
          </w:tcPr>
          <w:p>
            <w:pPr>
              <w:pStyle w:val="nTable"/>
              <w:rPr>
                <w:sz w:val="19"/>
              </w:rPr>
            </w:pPr>
            <w:r>
              <w:rPr>
                <w:sz w:val="19"/>
              </w:rPr>
              <w:t>30 Jan 2004 (see r. 2)</w:t>
            </w:r>
          </w:p>
        </w:tc>
      </w:tr>
      <w:tr>
        <w:tc>
          <w:tcPr>
            <w:tcW w:w="3119" w:type="dxa"/>
          </w:tcPr>
          <w:p>
            <w:pPr>
              <w:pStyle w:val="nTable"/>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pPr>
              <w:pStyle w:val="nTable"/>
              <w:rPr>
                <w:sz w:val="19"/>
              </w:rPr>
            </w:pPr>
            <w:r>
              <w:rPr>
                <w:sz w:val="19"/>
              </w:rPr>
              <w:t>5 Nov 2004 p. 4984-6</w:t>
            </w:r>
          </w:p>
        </w:tc>
        <w:tc>
          <w:tcPr>
            <w:tcW w:w="2693" w:type="dxa"/>
          </w:tcPr>
          <w:p>
            <w:pPr>
              <w:pStyle w:val="nTable"/>
              <w:rPr>
                <w:sz w:val="19"/>
              </w:rPr>
            </w:pPr>
            <w:r>
              <w:rPr>
                <w:sz w:val="19"/>
              </w:rPr>
              <w:t>5 Nov 2004 (see r. 2)</w:t>
            </w:r>
          </w:p>
        </w:tc>
      </w:tr>
      <w:tr>
        <w:tc>
          <w:tcPr>
            <w:tcW w:w="3119" w:type="dxa"/>
          </w:tcPr>
          <w:p>
            <w:pPr>
              <w:pStyle w:val="nTable"/>
              <w:rPr>
                <w:i/>
                <w:sz w:val="19"/>
              </w:rPr>
            </w:pPr>
            <w:r>
              <w:rPr>
                <w:i/>
                <w:sz w:val="19"/>
              </w:rPr>
              <w:t>Racing and Wagering Western Australia Amendment Regulations 2005</w:t>
            </w:r>
          </w:p>
        </w:tc>
        <w:tc>
          <w:tcPr>
            <w:tcW w:w="1276" w:type="dxa"/>
          </w:tcPr>
          <w:p>
            <w:pPr>
              <w:pStyle w:val="nTable"/>
              <w:rPr>
                <w:sz w:val="19"/>
              </w:rPr>
            </w:pPr>
            <w:r>
              <w:rPr>
                <w:sz w:val="19"/>
              </w:rPr>
              <w:t>14 Oct 2005 p. 4567-8</w:t>
            </w:r>
          </w:p>
        </w:tc>
        <w:tc>
          <w:tcPr>
            <w:tcW w:w="2693" w:type="dxa"/>
          </w:tcPr>
          <w:p>
            <w:pPr>
              <w:pStyle w:val="nTable"/>
              <w:rPr>
                <w:sz w:val="19"/>
              </w:rPr>
            </w:pPr>
            <w:r>
              <w:rPr>
                <w:sz w:val="19"/>
              </w:rPr>
              <w:t>1 Jan 2006 (see r. 2)</w:t>
            </w:r>
          </w:p>
        </w:tc>
      </w:tr>
      <w:tr>
        <w:tc>
          <w:tcPr>
            <w:tcW w:w="3119" w:type="dxa"/>
          </w:tcPr>
          <w:p>
            <w:pPr>
              <w:pStyle w:val="nTable"/>
              <w:rPr>
                <w:i/>
                <w:sz w:val="19"/>
              </w:rPr>
            </w:pPr>
            <w:r>
              <w:rPr>
                <w:i/>
                <w:sz w:val="19"/>
              </w:rPr>
              <w:t>Racing and Wagering Western Australia Amendment Regulations 2006</w:t>
            </w:r>
          </w:p>
        </w:tc>
        <w:tc>
          <w:tcPr>
            <w:tcW w:w="1276" w:type="dxa"/>
          </w:tcPr>
          <w:p>
            <w:pPr>
              <w:pStyle w:val="nTable"/>
              <w:rPr>
                <w:sz w:val="19"/>
              </w:rPr>
            </w:pPr>
            <w:r>
              <w:rPr>
                <w:sz w:val="19"/>
              </w:rPr>
              <w:t>5 May 2006 p. 1737</w:t>
            </w:r>
            <w:r>
              <w:rPr>
                <w:sz w:val="19"/>
              </w:rPr>
              <w:noBreakHyphen/>
              <w:t>40</w:t>
            </w:r>
          </w:p>
        </w:tc>
        <w:tc>
          <w:tcPr>
            <w:tcW w:w="2693" w:type="dxa"/>
          </w:tcPr>
          <w:p>
            <w:pPr>
              <w:pStyle w:val="nTable"/>
              <w:rPr>
                <w:sz w:val="19"/>
              </w:rPr>
            </w:pPr>
            <w:r>
              <w:rPr>
                <w:sz w:val="19"/>
              </w:rPr>
              <w:t>5 May 2006</w:t>
            </w:r>
          </w:p>
        </w:tc>
      </w:tr>
      <w:tr>
        <w:tc>
          <w:tcPr>
            <w:tcW w:w="3119" w:type="dxa"/>
            <w:tcBorders>
              <w:bottom w:val="single" w:sz="8" w:space="0" w:color="auto"/>
            </w:tcBorders>
          </w:tcPr>
          <w:p>
            <w:pPr>
              <w:pStyle w:val="nTable"/>
              <w:rPr>
                <w:i/>
                <w:sz w:val="19"/>
              </w:rPr>
            </w:pPr>
            <w:r>
              <w:rPr>
                <w:i/>
                <w:sz w:val="19"/>
              </w:rPr>
              <w:t>Racing and Wagering Western Australia Amendment Regulations (No. 2) 2006</w:t>
            </w:r>
          </w:p>
        </w:tc>
        <w:tc>
          <w:tcPr>
            <w:tcW w:w="1276" w:type="dxa"/>
            <w:tcBorders>
              <w:bottom w:val="single" w:sz="8" w:space="0" w:color="auto"/>
            </w:tcBorders>
          </w:tcPr>
          <w:p>
            <w:pPr>
              <w:pStyle w:val="nTable"/>
              <w:rPr>
                <w:sz w:val="19"/>
              </w:rPr>
            </w:pPr>
            <w:r>
              <w:rPr>
                <w:sz w:val="19"/>
              </w:rPr>
              <w:t>14 Jul 2006 p. 2569</w:t>
            </w:r>
            <w:r>
              <w:rPr>
                <w:sz w:val="19"/>
              </w:rPr>
              <w:noBreakHyphen/>
              <w:t>70</w:t>
            </w:r>
          </w:p>
        </w:tc>
        <w:tc>
          <w:tcPr>
            <w:tcW w:w="2693" w:type="dxa"/>
            <w:tcBorders>
              <w:bottom w:val="single" w:sz="8" w:space="0" w:color="auto"/>
            </w:tcBorders>
          </w:tcPr>
          <w:p>
            <w:pPr>
              <w:pStyle w:val="nTable"/>
              <w:rPr>
                <w:sz w:val="19"/>
              </w:rPr>
            </w:pPr>
            <w:r>
              <w:rPr>
                <w:sz w:val="19"/>
              </w:rPr>
              <w:t>14 Jul 2006</w:t>
            </w:r>
          </w:p>
        </w:tc>
      </w:tr>
    </w:tbl>
    <w:p>
      <w:pPr>
        <w:pStyle w:val="nSubsection"/>
        <w:rPr>
          <w:iCs/>
        </w:rPr>
      </w:pPr>
      <w:r>
        <w:rPr>
          <w:vertAlign w:val="superscript"/>
        </w:rPr>
        <w:t>2</w:t>
      </w:r>
      <w:r>
        <w:tab/>
        <w:t xml:space="preserve">The </w:t>
      </w:r>
      <w:r>
        <w:rPr>
          <w:i/>
        </w:rPr>
        <w:t>Racing and Wagering Western Australia Amendment Regulations (No. 2) 2004</w:t>
      </w:r>
      <w:r>
        <w:rPr>
          <w:iCs/>
        </w:rPr>
        <w:t xml:space="preserve"> r. 5 reads as follows:</w:t>
      </w:r>
    </w:p>
    <w:p>
      <w:pPr>
        <w:pStyle w:val="MiscOpen"/>
      </w:pPr>
      <w:r>
        <w:t>“</w:t>
      </w:r>
    </w:p>
    <w:p>
      <w:pPr>
        <w:pStyle w:val="nzHeading5"/>
      </w:pPr>
      <w:r>
        <w:rPr>
          <w:rStyle w:val="CharSectno"/>
        </w:rPr>
        <w:t>5</w:t>
      </w:r>
      <w:r>
        <w:t>.</w:t>
      </w:r>
      <w:r>
        <w:tab/>
        <w:t>Transitional provision</w:t>
      </w:r>
    </w:p>
    <w:p>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pPr>
      <w:r>
        <w:tab/>
        <w:t>(2)</w:t>
      </w:r>
      <w:r>
        <w:tab/>
        <w:t xml:space="preserve">In this regulation — </w:t>
      </w:r>
    </w:p>
    <w:p>
      <w:pPr>
        <w:pStyle w:val="nzDefstart"/>
      </w:pPr>
      <w:r>
        <w:rPr>
          <w:b/>
        </w:rPr>
        <w:tab/>
        <w:t>“</w:t>
      </w:r>
      <w:r>
        <w:rPr>
          <w:rStyle w:val="CharDefText"/>
        </w:rPr>
        <w:t>old Greyhound Racing Rules</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w:t>
      </w:r>
      <w:r>
        <w:rPr>
          <w:b/>
        </w:rPr>
        <w:t>”</w:t>
      </w:r>
      <w:r>
        <w:t xml:space="preserve"> means the </w:t>
      </w:r>
      <w:r>
        <w:rPr>
          <w:iCs/>
        </w:rPr>
        <w:t>old Greyhound Racing Rules, the old Rules of Harness Racing and the old Rules of Racing;</w:t>
      </w:r>
    </w:p>
    <w:p>
      <w:pPr>
        <w:pStyle w:val="nzDefstart"/>
      </w:pPr>
      <w:r>
        <w:rPr>
          <w:b/>
        </w:rPr>
        <w:tab/>
        <w:t>“</w:t>
      </w:r>
      <w:r>
        <w:rPr>
          <w:rStyle w:val="CharDefText"/>
        </w:rPr>
        <w:t>old Rules of Harness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Rules of Racing</w:t>
      </w:r>
      <w:r>
        <w:rPr>
          <w:b/>
        </w:rPr>
        <w:t>”</w:t>
      </w:r>
      <w:r>
        <w:t xml:space="preserve"> has the meaning given to that term in section 4 of the </w:t>
      </w:r>
      <w:r>
        <w:rPr>
          <w:i/>
          <w:iCs/>
        </w:rPr>
        <w:t>Racing and Gambling Legislation Amendment and Repeal Act 2003</w:t>
      </w:r>
      <w:r>
        <w:t>;</w:t>
      </w:r>
    </w:p>
    <w:p>
      <w:pPr>
        <w:pStyle w:val="nzDefstart"/>
      </w:pPr>
      <w:r>
        <w:rPr>
          <w:b/>
        </w:rPr>
        <w:tab/>
        <w:t>“</w:t>
      </w:r>
      <w:r>
        <w:rPr>
          <w:rStyle w:val="CharDefText"/>
        </w:rPr>
        <w:t>old warning off notice</w:t>
      </w:r>
      <w:r>
        <w:rPr>
          <w:b/>
        </w:rPr>
        <w:t>”</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t>“</w:t>
      </w:r>
      <w:r>
        <w:rPr>
          <w:rStyle w:val="CharDefText"/>
        </w:rPr>
        <w:t>RWWA</w:t>
      </w:r>
      <w:r>
        <w:rPr>
          <w:b/>
        </w:rPr>
        <w:t>”</w:t>
      </w:r>
      <w:r>
        <w:t xml:space="preserve"> has the meaning given to that term in section 3(1) of the </w:t>
      </w:r>
      <w:r>
        <w:rPr>
          <w:i/>
          <w:iCs/>
        </w:rPr>
        <w:t>Racing and Wagering Western Australia Act 2003</w:t>
      </w:r>
      <w:r>
        <w:t>.</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Racing and Wagering Western Australia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625E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CA42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815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7A64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044E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16F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7DCF1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E3E38A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CC2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1A23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866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95652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28"/>
    <w:docVar w:name="WAFER_20151209113928" w:val="RemoveTrackChanges"/>
    <w:docVar w:name="WAFER_20151209113928_GUID" w:val="63351ab4-d3fc-4919-816e-e02aaa235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14325</Words>
  <Characters>67618</Characters>
  <Application>Microsoft Office Word</Application>
  <DocSecurity>0</DocSecurity>
  <Lines>1878</Lines>
  <Paragraphs>999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Manager/>
  <Company/>
  <LinksUpToDate>false</LinksUpToDate>
  <CharactersWithSpaces>80944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2003 - 00-g0-03</dc:title>
  <dc:subject/>
  <dc:creator/>
  <cp:keywords/>
  <dc:description/>
  <cp:lastModifiedBy>svcMRProcess</cp:lastModifiedBy>
  <cp:revision>4</cp:revision>
  <cp:lastPrinted>2003-07-30T06:14:00Z</cp:lastPrinted>
  <dcterms:created xsi:type="dcterms:W3CDTF">2015-12-15T04:09:00Z</dcterms:created>
  <dcterms:modified xsi:type="dcterms:W3CDTF">2015-12-15T04:09:00Z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33853</vt:i4>
  </property>
  <property fmtid="{D5CDD505-2E9C-101B-9397-08002B2CF9AE}" pid="6" name="AsAtDate">
    <vt:lpwstr>14 Jul 2006</vt:lpwstr>
  </property>
  <property fmtid="{D5CDD505-2E9C-101B-9397-08002B2CF9AE}" pid="7" name="Suffix">
    <vt:lpwstr>00-g0-03</vt:lpwstr>
  </property>
</Properties>
</file>