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Products Pricing Act 1983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Products Pricing Regulations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_Toc531083810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_Toc531083811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_Toc531083812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Special provisions about motor fuel</w:t>
      </w:r>
    </w:p>
    <w:p>
      <w:pPr>
        <w:pStyle w:val="TOC4"/>
        <w:tabs>
          <w:tab w:val="right" w:leader="dot" w:pos="7077"/>
        </w:tabs>
        <w:rPr>
          <w:rFonts w:asciiTheme="minorHAnsi" w:eastAsiaTheme="minorEastAsia" w:hAnsiTheme="minorHAnsi" w:cstheme="minorBidi"/>
          <w:b w:val="0"/>
          <w:szCs w:val="22"/>
        </w:rPr>
      </w:pPr>
      <w:r>
        <w:t>Division 1 — Retail sale</w:t>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_Toc531083815 \h </w:instrText>
      </w:r>
      <w:r>
        <w:fldChar w:fldCharType="separate"/>
      </w:r>
      <w:r>
        <w:t>2</w:t>
      </w:r>
      <w:r>
        <w:fldChar w:fldCharType="end"/>
      </w:r>
    </w:p>
    <w:p>
      <w:pPr>
        <w:pStyle w:val="TOC8"/>
        <w:rPr>
          <w:rFonts w:asciiTheme="minorHAnsi" w:eastAsiaTheme="minorEastAsia" w:hAnsiTheme="minorHAnsi" w:cstheme="minorBidi"/>
          <w:szCs w:val="22"/>
        </w:rPr>
      </w:pPr>
      <w:r>
        <w:t>3.</w:t>
      </w:r>
      <w:r>
        <w:tab/>
        <w:t>Standard retail price to be as notified</w:t>
      </w:r>
      <w:r>
        <w:tab/>
      </w:r>
      <w:r>
        <w:fldChar w:fldCharType="begin"/>
      </w:r>
      <w:r>
        <w:instrText xml:space="preserve"> PAGEREF _Toc531083816 \h </w:instrText>
      </w:r>
      <w:r>
        <w:fldChar w:fldCharType="separate"/>
      </w:r>
      <w:r>
        <w:t>2</w:t>
      </w:r>
      <w:r>
        <w:fldChar w:fldCharType="end"/>
      </w:r>
    </w:p>
    <w:p>
      <w:pPr>
        <w:pStyle w:val="TOC8"/>
        <w:rPr>
          <w:rFonts w:asciiTheme="minorHAnsi" w:eastAsiaTheme="minorEastAsia" w:hAnsiTheme="minorHAnsi" w:cstheme="minorBidi"/>
          <w:szCs w:val="22"/>
        </w:rPr>
      </w:pPr>
      <w:r>
        <w:t>3A.</w:t>
      </w:r>
      <w:r>
        <w:tab/>
        <w:t>Requirements for giving notification</w:t>
      </w:r>
      <w:r>
        <w:tab/>
      </w:r>
      <w:r>
        <w:fldChar w:fldCharType="begin"/>
      </w:r>
      <w:r>
        <w:instrText xml:space="preserve"> PAGEREF _Toc531083817 \h </w:instrText>
      </w:r>
      <w:r>
        <w:fldChar w:fldCharType="separate"/>
      </w:r>
      <w:r>
        <w:t>3</w:t>
      </w:r>
      <w:r>
        <w:fldChar w:fldCharType="end"/>
      </w:r>
    </w:p>
    <w:p>
      <w:pPr>
        <w:pStyle w:val="TOC8"/>
        <w:rPr>
          <w:rFonts w:asciiTheme="minorHAnsi" w:eastAsiaTheme="minorEastAsia" w:hAnsiTheme="minorHAnsi" w:cstheme="minorBidi"/>
          <w:szCs w:val="22"/>
        </w:rPr>
      </w:pPr>
      <w:r>
        <w:t>4.</w:t>
      </w:r>
      <w:r>
        <w:tab/>
        <w:t>Price changes in certain places need not be notified</w:t>
      </w:r>
      <w:r>
        <w:tab/>
      </w:r>
      <w:r>
        <w:fldChar w:fldCharType="begin"/>
      </w:r>
      <w:r>
        <w:instrText xml:space="preserve"> PAGEREF _Toc531083818 \h </w:instrText>
      </w:r>
      <w:r>
        <w:fldChar w:fldCharType="separate"/>
      </w:r>
      <w:r>
        <w:t>3</w:t>
      </w:r>
      <w:r>
        <w:fldChar w:fldCharType="end"/>
      </w:r>
    </w:p>
    <w:p>
      <w:pPr>
        <w:pStyle w:val="TOC8"/>
        <w:rPr>
          <w:rFonts w:asciiTheme="minorHAnsi" w:eastAsiaTheme="minorEastAsia" w:hAnsiTheme="minorHAnsi" w:cstheme="minorBidi"/>
          <w:szCs w:val="22"/>
        </w:rPr>
      </w:pPr>
      <w:r>
        <w:t>5.</w:t>
      </w:r>
      <w:r>
        <w:tab/>
        <w:t>Places where regulation 6 applies</w:t>
      </w:r>
      <w:r>
        <w:tab/>
      </w:r>
      <w:r>
        <w:fldChar w:fldCharType="begin"/>
      </w:r>
      <w:r>
        <w:instrText xml:space="preserve"> PAGEREF _Toc531083819 \h </w:instrText>
      </w:r>
      <w:r>
        <w:fldChar w:fldCharType="separate"/>
      </w:r>
      <w:r>
        <w:t>4</w:t>
      </w:r>
      <w:r>
        <w:fldChar w:fldCharType="end"/>
      </w:r>
    </w:p>
    <w:p>
      <w:pPr>
        <w:pStyle w:val="TOC8"/>
        <w:rPr>
          <w:rFonts w:asciiTheme="minorHAnsi" w:eastAsiaTheme="minorEastAsia" w:hAnsiTheme="minorHAnsi" w:cstheme="minorBidi"/>
          <w:szCs w:val="22"/>
        </w:rPr>
      </w:pPr>
      <w:r>
        <w:t>6.</w:t>
      </w:r>
      <w:r>
        <w:tab/>
        <w:t>Retailer to display standard retail prices</w:t>
      </w:r>
      <w:r>
        <w:tab/>
      </w:r>
      <w:r>
        <w:fldChar w:fldCharType="begin"/>
      </w:r>
      <w:r>
        <w:instrText xml:space="preserve"> PAGEREF _Toc531083820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Before retail sale</w:t>
      </w:r>
    </w:p>
    <w:p>
      <w:pPr>
        <w:pStyle w:val="TOC8"/>
        <w:rPr>
          <w:rFonts w:asciiTheme="minorHAnsi" w:eastAsiaTheme="minorEastAsia" w:hAnsiTheme="minorHAnsi" w:cstheme="minorBidi"/>
          <w:szCs w:val="22"/>
        </w:rPr>
      </w:pPr>
      <w:r>
        <w:t>7.</w:t>
      </w:r>
      <w:r>
        <w:tab/>
        <w:t>How to notify Commissioner of price changes</w:t>
      </w:r>
      <w:r>
        <w:tab/>
      </w:r>
      <w:r>
        <w:fldChar w:fldCharType="begin"/>
      </w:r>
      <w:r>
        <w:instrText xml:space="preserve"> PAGEREF _Toc531083822 \h </w:instrText>
      </w:r>
      <w:r>
        <w:fldChar w:fldCharType="separate"/>
      </w:r>
      <w:r>
        <w:t>6</w:t>
      </w:r>
      <w:r>
        <w:fldChar w:fldCharType="end"/>
      </w:r>
    </w:p>
    <w:p>
      <w:pPr>
        <w:pStyle w:val="TOC8"/>
        <w:rPr>
          <w:rFonts w:asciiTheme="minorHAnsi" w:eastAsiaTheme="minorEastAsia" w:hAnsiTheme="minorHAnsi" w:cstheme="minorBidi"/>
          <w:szCs w:val="22"/>
        </w:rPr>
      </w:pPr>
      <w:r>
        <w:t>9.</w:t>
      </w:r>
      <w:r>
        <w:tab/>
        <w:t>Details of price differences</w:t>
      </w:r>
      <w:r>
        <w:tab/>
      </w:r>
      <w:r>
        <w:fldChar w:fldCharType="begin"/>
      </w:r>
      <w:r>
        <w:instrText xml:space="preserve"> PAGEREF _Toc531083823 \h </w:instrText>
      </w:r>
      <w:r>
        <w:fldChar w:fldCharType="separate"/>
      </w:r>
      <w:r>
        <w:t>6</w:t>
      </w:r>
      <w:r>
        <w:fldChar w:fldCharType="end"/>
      </w:r>
    </w:p>
    <w:p>
      <w:pPr>
        <w:pStyle w:val="TOC8"/>
        <w:rPr>
          <w:rFonts w:asciiTheme="minorHAnsi" w:eastAsiaTheme="minorEastAsia" w:hAnsiTheme="minorHAnsi" w:cstheme="minorBidi"/>
          <w:szCs w:val="22"/>
        </w:rPr>
      </w:pPr>
      <w:r>
        <w:t>10.</w:t>
      </w:r>
      <w:r>
        <w:tab/>
        <w:t>Notifying Commissioner of price differences</w:t>
      </w:r>
      <w:r>
        <w:tab/>
      </w:r>
      <w:r>
        <w:fldChar w:fldCharType="begin"/>
      </w:r>
      <w:r>
        <w:instrText xml:space="preserve"> PAGEREF _Toc531083824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Infringement notices and modified penalties</w:t>
      </w:r>
    </w:p>
    <w:p>
      <w:pPr>
        <w:pStyle w:val="TOC8"/>
        <w:rPr>
          <w:rFonts w:asciiTheme="minorHAnsi" w:eastAsiaTheme="minorEastAsia" w:hAnsiTheme="minorHAnsi" w:cstheme="minorBidi"/>
          <w:szCs w:val="22"/>
        </w:rPr>
      </w:pPr>
      <w:r>
        <w:t>11.</w:t>
      </w:r>
      <w:r>
        <w:tab/>
        <w:t>Prescribed offences (s. 31B)</w:t>
      </w:r>
      <w:r>
        <w:tab/>
      </w:r>
      <w:r>
        <w:fldChar w:fldCharType="begin"/>
      </w:r>
      <w:r>
        <w:instrText xml:space="preserve"> PAGEREF _Toc531083826 \h </w:instrText>
      </w:r>
      <w:r>
        <w:fldChar w:fldCharType="separate"/>
      </w:r>
      <w:r>
        <w:t>8</w:t>
      </w:r>
      <w:r>
        <w:fldChar w:fldCharType="end"/>
      </w:r>
    </w:p>
    <w:p>
      <w:pPr>
        <w:pStyle w:val="TOC8"/>
        <w:rPr>
          <w:rFonts w:asciiTheme="minorHAnsi" w:eastAsiaTheme="minorEastAsia" w:hAnsiTheme="minorHAnsi" w:cstheme="minorBidi"/>
          <w:szCs w:val="22"/>
        </w:rPr>
      </w:pPr>
      <w:r>
        <w:t>12.</w:t>
      </w:r>
      <w:r>
        <w:tab/>
        <w:t>Prescribed modified penalties (s. 31C)</w:t>
      </w:r>
      <w:r>
        <w:tab/>
      </w:r>
      <w:r>
        <w:fldChar w:fldCharType="begin"/>
      </w:r>
      <w:r>
        <w:instrText xml:space="preserve"> PAGEREF _Toc531083827 \h </w:instrText>
      </w:r>
      <w:r>
        <w:fldChar w:fldCharType="separate"/>
      </w:r>
      <w:r>
        <w:t>8</w:t>
      </w:r>
      <w:r>
        <w:fldChar w:fldCharType="end"/>
      </w:r>
    </w:p>
    <w:p>
      <w:pPr>
        <w:pStyle w:val="TOC8"/>
        <w:rPr>
          <w:rFonts w:asciiTheme="minorHAnsi" w:eastAsiaTheme="minorEastAsia" w:hAnsiTheme="minorHAnsi" w:cstheme="minorBidi"/>
          <w:szCs w:val="22"/>
        </w:rPr>
      </w:pPr>
      <w:r>
        <w:t>13.</w:t>
      </w:r>
      <w:r>
        <w:tab/>
        <w:t>Prescribed form of infringement notice (s. 31C)</w:t>
      </w:r>
      <w:r>
        <w:tab/>
      </w:r>
      <w:r>
        <w:fldChar w:fldCharType="begin"/>
      </w:r>
      <w:r>
        <w:instrText xml:space="preserve"> PAGEREF _Toc531083828 \h </w:instrText>
      </w:r>
      <w:r>
        <w:fldChar w:fldCharType="separate"/>
      </w:r>
      <w:r>
        <w:t>8</w:t>
      </w:r>
      <w:r>
        <w:fldChar w:fldCharType="end"/>
      </w:r>
    </w:p>
    <w:p>
      <w:pPr>
        <w:pStyle w:val="TOC8"/>
        <w:rPr>
          <w:rFonts w:asciiTheme="minorHAnsi" w:eastAsiaTheme="minorEastAsia" w:hAnsiTheme="minorHAnsi" w:cstheme="minorBidi"/>
          <w:szCs w:val="22"/>
        </w:rPr>
      </w:pPr>
      <w:r>
        <w:t>14.</w:t>
      </w:r>
      <w:r>
        <w:tab/>
        <w:t>Prescribed form of withdrawal of notice (s. 31E)</w:t>
      </w:r>
      <w:r>
        <w:tab/>
      </w:r>
      <w:r>
        <w:fldChar w:fldCharType="begin"/>
      </w:r>
      <w:r>
        <w:instrText xml:space="preserve"> PAGEREF _Toc531083829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Places where regulations 3(1) and 6 apply</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_Toc531083834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3" w:name="_Toc512934636"/>
      <w:bookmarkStart w:id="4" w:name="_Toc512946278"/>
      <w:bookmarkStart w:id="5" w:name="_Toc53108380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Footnoteheading"/>
      </w:pPr>
      <w:r>
        <w:tab/>
        <w:t>[Heading inserted: Gazette 11 Jul 2001 p. 3459.]</w:t>
      </w:r>
    </w:p>
    <w:p>
      <w:pPr>
        <w:pStyle w:val="Heading5"/>
      </w:pPr>
      <w:bookmarkStart w:id="6" w:name="_Toc531083810"/>
      <w:r>
        <w:rPr>
          <w:rStyle w:val="CharSectno"/>
        </w:rPr>
        <w:t>1</w:t>
      </w:r>
      <w:r>
        <w:t>.</w:t>
      </w:r>
      <w:r>
        <w:tab/>
        <w:t>Citation</w:t>
      </w:r>
      <w:bookmarkEnd w:id="6"/>
    </w:p>
    <w:p>
      <w:pPr>
        <w:pStyle w:val="Subsection"/>
        <w:rPr>
          <w:i/>
        </w:rPr>
      </w:pPr>
      <w:r>
        <w:tab/>
      </w:r>
      <w:r>
        <w:tab/>
      </w:r>
      <w:r>
        <w:rPr>
          <w:spacing w:val="-2"/>
        </w:rPr>
        <w:t>These regulations</w:t>
      </w:r>
      <w:r>
        <w:t xml:space="preserve"> may be cited as the </w:t>
      </w:r>
      <w:r>
        <w:rPr>
          <w:i/>
        </w:rPr>
        <w:t>Petroleum Products Pricing Regulations 2000</w:t>
      </w:r>
      <w:r>
        <w:rPr>
          <w:vertAlign w:val="superscript"/>
        </w:rPr>
        <w:t> 1</w:t>
      </w:r>
      <w:r>
        <w:t>.</w:t>
      </w:r>
    </w:p>
    <w:p>
      <w:pPr>
        <w:pStyle w:val="Heading5"/>
        <w:rPr>
          <w:spacing w:val="-2"/>
        </w:rPr>
      </w:pPr>
      <w:bookmarkStart w:id="7" w:name="_Toc531083811"/>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vertAlign w:val="superscript"/>
        </w:rPr>
        <w:t> 1</w:t>
      </w:r>
      <w:r>
        <w:rPr>
          <w:spacing w:val="-2"/>
        </w:rPr>
        <w:t>.</w:t>
      </w:r>
    </w:p>
    <w:p>
      <w:pPr>
        <w:pStyle w:val="Heading5"/>
      </w:pPr>
      <w:bookmarkStart w:id="8" w:name="_Toc531083812"/>
      <w:r>
        <w:rPr>
          <w:rStyle w:val="CharSectno"/>
        </w:rPr>
        <w:t>2AA</w:t>
      </w:r>
      <w:r>
        <w:t>.</w:t>
      </w:r>
      <w:r>
        <w:tab/>
        <w:t>Terms used</w:t>
      </w:r>
      <w:bookmarkEnd w:id="8"/>
    </w:p>
    <w:p>
      <w:pPr>
        <w:pStyle w:val="Subsection"/>
      </w:pPr>
      <w:r>
        <w:tab/>
      </w:r>
      <w:r>
        <w:tab/>
        <w:t xml:space="preserve">In these regulations — </w:t>
      </w:r>
    </w:p>
    <w:p>
      <w:pPr>
        <w:pStyle w:val="Defstart"/>
      </w:pPr>
      <w:r>
        <w:tab/>
      </w:r>
      <w:r>
        <w:rPr>
          <w:rStyle w:val="CharDefText"/>
        </w:rPr>
        <w:t>Perth 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townsite</w:t>
      </w:r>
      <w:r>
        <w:t xml:space="preserve"> means an area that, under the </w:t>
      </w:r>
      <w:r>
        <w:rPr>
          <w:i/>
        </w:rPr>
        <w:t>Land Administration Act 1997</w:t>
      </w:r>
      <w:r>
        <w:t>, has been or is to be treated as having been constituted a townsite.</w:t>
      </w:r>
    </w:p>
    <w:p>
      <w:pPr>
        <w:pStyle w:val="Footnotesection"/>
      </w:pPr>
      <w:r>
        <w:tab/>
        <w:t>[Regulation 2AA inserted: Gazette 17 Oct 2017 p. 5335.]</w:t>
      </w:r>
    </w:p>
    <w:p>
      <w:pPr>
        <w:pStyle w:val="Heading2"/>
      </w:pPr>
      <w:bookmarkStart w:id="9" w:name="_Toc512934640"/>
      <w:bookmarkStart w:id="10" w:name="_Toc512946282"/>
      <w:bookmarkStart w:id="11" w:name="_Toc531083813"/>
      <w:r>
        <w:rPr>
          <w:rStyle w:val="CharPartNo"/>
        </w:rPr>
        <w:t>Part 2</w:t>
      </w:r>
      <w:r>
        <w:t> — </w:t>
      </w:r>
      <w:r>
        <w:rPr>
          <w:rStyle w:val="CharPartText"/>
        </w:rPr>
        <w:t>Special provisions about motor fuel</w:t>
      </w:r>
      <w:bookmarkEnd w:id="9"/>
      <w:bookmarkEnd w:id="10"/>
      <w:bookmarkEnd w:id="11"/>
    </w:p>
    <w:p>
      <w:pPr>
        <w:pStyle w:val="Footnoteheading"/>
      </w:pPr>
      <w:r>
        <w:tab/>
        <w:t>[Heading inserted: Gazette 11 Jul 2001 p. 3459.]</w:t>
      </w:r>
    </w:p>
    <w:p>
      <w:pPr>
        <w:pStyle w:val="Heading3"/>
      </w:pPr>
      <w:bookmarkStart w:id="12" w:name="_Toc512934641"/>
      <w:bookmarkStart w:id="13" w:name="_Toc512946283"/>
      <w:bookmarkStart w:id="14" w:name="_Toc531083814"/>
      <w:r>
        <w:rPr>
          <w:rStyle w:val="CharDivNo"/>
        </w:rPr>
        <w:t>Division 1</w:t>
      </w:r>
      <w:r>
        <w:t> — </w:t>
      </w:r>
      <w:r>
        <w:rPr>
          <w:rStyle w:val="CharDivText"/>
        </w:rPr>
        <w:t>Retail sale</w:t>
      </w:r>
      <w:bookmarkEnd w:id="12"/>
      <w:bookmarkEnd w:id="13"/>
      <w:bookmarkEnd w:id="14"/>
    </w:p>
    <w:p>
      <w:pPr>
        <w:pStyle w:val="Footnoteheading"/>
      </w:pPr>
      <w:r>
        <w:tab/>
        <w:t>[Heading inserted: Gazette 11 Jul 2001 p. 3459.]</w:t>
      </w:r>
    </w:p>
    <w:p>
      <w:pPr>
        <w:pStyle w:val="Heading5"/>
      </w:pPr>
      <w:bookmarkStart w:id="15" w:name="_Toc531083815"/>
      <w:r>
        <w:rPr>
          <w:rStyle w:val="CharSectno"/>
        </w:rPr>
        <w:t>2A</w:t>
      </w:r>
      <w:r>
        <w:t>.</w:t>
      </w:r>
      <w:r>
        <w:tab/>
        <w:t>Terms used</w:t>
      </w:r>
      <w:bookmarkEnd w:id="15"/>
    </w:p>
    <w:p>
      <w:pPr>
        <w:pStyle w:val="Subsection"/>
      </w:pPr>
      <w:r>
        <w:tab/>
      </w:r>
      <w:r>
        <w:tab/>
        <w:t xml:space="preserve">In regulations 3 and 3A — </w:t>
      </w:r>
    </w:p>
    <w:p>
      <w:pPr>
        <w:pStyle w:val="Defstart"/>
      </w:pPr>
      <w:r>
        <w:tab/>
      </w:r>
      <w:r>
        <w:rPr>
          <w:rStyle w:val="CharDefText"/>
        </w:rPr>
        <w:t>day</w:t>
      </w:r>
      <w:r>
        <w:t xml:space="preserve"> means a period of 24 hours beginning immediately after 6.00 a.m.;</w:t>
      </w:r>
    </w:p>
    <w:p>
      <w:pPr>
        <w:pStyle w:val="Defstart"/>
      </w:pPr>
      <w:r>
        <w:tab/>
      </w:r>
      <w:r>
        <w:rPr>
          <w:rStyle w:val="CharDefText"/>
        </w:rPr>
        <w:t>retail sale</w:t>
      </w:r>
      <w:r>
        <w:t xml:space="preserve"> does not include a sale in accordance with an existing agreement or arrangement between the customer and the retailer.</w:t>
      </w:r>
    </w:p>
    <w:p>
      <w:pPr>
        <w:pStyle w:val="Footnotesection"/>
      </w:pPr>
      <w:r>
        <w:tab/>
        <w:t>[Regulation 2A inserted: Gazette 23 Aug 2001 p. 4379.]</w:t>
      </w:r>
    </w:p>
    <w:p>
      <w:pPr>
        <w:pStyle w:val="Heading5"/>
      </w:pPr>
      <w:bookmarkStart w:id="16" w:name="_Toc531083816"/>
      <w:r>
        <w:rPr>
          <w:rStyle w:val="CharSectno"/>
        </w:rPr>
        <w:t>3</w:t>
      </w:r>
      <w:r>
        <w:t>.</w:t>
      </w:r>
      <w:r>
        <w:tab/>
        <w:t>Standard retail price to be as notified</w:t>
      </w:r>
      <w:bookmarkEnd w:id="16"/>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Gazette 23 Aug 2001 p. 4379; amended: Gazette 31 Dec 2001 p. 6764.]</w:t>
      </w:r>
    </w:p>
    <w:p>
      <w:pPr>
        <w:pStyle w:val="Heading5"/>
      </w:pPr>
      <w:bookmarkStart w:id="17" w:name="_Toc531083817"/>
      <w:r>
        <w:rPr>
          <w:rStyle w:val="CharSectno"/>
        </w:rPr>
        <w:t>3A</w:t>
      </w:r>
      <w:r>
        <w:t>.</w:t>
      </w:r>
      <w:r>
        <w:tab/>
        <w:t>Requirements for giving notification</w:t>
      </w:r>
      <w:bookmarkEnd w:id="17"/>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a message sent to fuelwatch@docep.wa.gov.au by email.</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Gazette 23 Aug 2001 p. 4380; amended: Gazette 12 Aug 2008 p. 3535.]</w:t>
      </w:r>
    </w:p>
    <w:p>
      <w:pPr>
        <w:pStyle w:val="Heading5"/>
      </w:pPr>
      <w:bookmarkStart w:id="18" w:name="_Toc531083818"/>
      <w:r>
        <w:rPr>
          <w:rStyle w:val="CharSectno"/>
        </w:rPr>
        <w:t>4</w:t>
      </w:r>
      <w:r>
        <w:t>.</w:t>
      </w:r>
      <w:r>
        <w:tab/>
        <w:t>Price changes in certain places need not be notified</w:t>
      </w:r>
      <w:bookmarkEnd w:id="18"/>
    </w:p>
    <w:p>
      <w:pPr>
        <w:pStyle w:val="Subsection"/>
      </w:pPr>
      <w:r>
        <w:tab/>
      </w:r>
      <w:r>
        <w:tab/>
        <w:t xml:space="preserve">Regulation 3(1) does not apply to a place that — </w:t>
      </w:r>
    </w:p>
    <w:p>
      <w:pPr>
        <w:pStyle w:val="Indenta"/>
      </w:pPr>
      <w:r>
        <w:tab/>
        <w:t>(a)</w:t>
      </w:r>
      <w:r>
        <w:tab/>
        <w:t>is outside the Perth metropolitan region; and</w:t>
      </w:r>
    </w:p>
    <w:p>
      <w:pPr>
        <w:pStyle w:val="Indenta"/>
      </w:pPr>
      <w:r>
        <w:tab/>
        <w:t>(b)</w:t>
      </w:r>
      <w:r>
        <w:tab/>
        <w:t>is not in a local government district, locality or townsite listed in Schedule 1.</w:t>
      </w:r>
    </w:p>
    <w:p>
      <w:pPr>
        <w:pStyle w:val="Footnotesection"/>
      </w:pPr>
      <w:r>
        <w:tab/>
        <w:t>[Regulation 4 inserted: Gazette 17 Oct 2017 p. 5336.]</w:t>
      </w:r>
    </w:p>
    <w:p>
      <w:pPr>
        <w:pStyle w:val="Heading5"/>
        <w:spacing w:before="180"/>
      </w:pPr>
      <w:bookmarkStart w:id="19" w:name="_Toc531083819"/>
      <w:r>
        <w:rPr>
          <w:rStyle w:val="CharSectno"/>
        </w:rPr>
        <w:t>5</w:t>
      </w:r>
      <w:r>
        <w:t>.</w:t>
      </w:r>
      <w:r>
        <w:tab/>
        <w:t>Places where regulation 6 applies</w:t>
      </w:r>
      <w:bookmarkEnd w:id="19"/>
    </w:p>
    <w:p>
      <w:pPr>
        <w:pStyle w:val="Subsection"/>
        <w:spacing w:before="120"/>
      </w:pPr>
      <w:r>
        <w:tab/>
      </w:r>
      <w:r>
        <w:tab/>
        <w:t>Regulation 6 applies to a place that is in a local government district, locality or townsite listed in Schedule 1.</w:t>
      </w:r>
    </w:p>
    <w:p>
      <w:pPr>
        <w:pStyle w:val="Footnotesection"/>
      </w:pPr>
      <w:r>
        <w:tab/>
        <w:t>[Regulation 5 inserted: Gazette 16 Nov 2001 p. 5981; amended: Gazette 17 Oct 2017 p. 5336.]</w:t>
      </w:r>
    </w:p>
    <w:p>
      <w:pPr>
        <w:pStyle w:val="Heading5"/>
        <w:spacing w:before="180"/>
      </w:pPr>
      <w:bookmarkStart w:id="20" w:name="_Toc531083820"/>
      <w:r>
        <w:rPr>
          <w:rStyle w:val="CharSectno"/>
        </w:rPr>
        <w:t>6</w:t>
      </w:r>
      <w:r>
        <w:t>.</w:t>
      </w:r>
      <w:r>
        <w:tab/>
        <w:t>Retailer to display standard retail prices</w:t>
      </w:r>
      <w:bookmarkEnd w:id="20"/>
    </w:p>
    <w:p>
      <w:pPr>
        <w:pStyle w:val="Subsection"/>
        <w:spacing w:before="120"/>
      </w:pPr>
      <w:r>
        <w:tab/>
        <w:t>(1)</w:t>
      </w:r>
      <w:r>
        <w:tab/>
        <w:t>A person who offers motor fuel for standard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spacing w:before="120"/>
      </w:pPr>
      <w:r>
        <w:tab/>
        <w:t>(2)</w:t>
      </w:r>
      <w:r>
        <w:tab/>
        <w:t xml:space="preserve">The price display has at least to show — </w:t>
      </w:r>
    </w:p>
    <w:p>
      <w:pPr>
        <w:pStyle w:val="Indenta"/>
      </w:pPr>
      <w:r>
        <w:tab/>
        <w:t>(a)</w:t>
      </w:r>
      <w:r>
        <w:tab/>
        <w:t>whenever not more than 3 kinds of motor fuel are currently offered for standard retail sale at the place, the standard retail price for each of those kinds of motor fuel;</w:t>
      </w:r>
    </w:p>
    <w:p>
      <w:pPr>
        <w:pStyle w:val="Indenta"/>
      </w:pPr>
      <w:r>
        <w:tab/>
        <w:t>(b)</w:t>
      </w:r>
      <w:r>
        <w:tab/>
        <w:t xml:space="preserve">whenever more than 3 kinds of motor fuel (the </w:t>
      </w:r>
      <w:r>
        <w:rPr>
          <w:rStyle w:val="CharDefText"/>
        </w:rPr>
        <w:t>kinds offered</w:t>
      </w:r>
      <w:r>
        <w:t xml:space="preserve">) are currently offered for standard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8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standard retail sale.</w:t>
      </w:r>
    </w:p>
    <w:p>
      <w:pPr>
        <w:pStyle w:val="Subsection"/>
        <w:spacing w:before="180"/>
      </w:pPr>
      <w:r>
        <w:tab/>
        <w:t>(4)</w:t>
      </w:r>
      <w:r>
        <w:tab/>
        <w:t>The price display may consist of more than one sign or other thing.</w:t>
      </w:r>
    </w:p>
    <w:p>
      <w:pPr>
        <w:pStyle w:val="Subsection"/>
        <w:spacing w:before="180"/>
      </w:pPr>
      <w:r>
        <w:tab/>
        <w:t>(5)</w:t>
      </w:r>
      <w:r>
        <w:tab/>
        <w:t>Subregulation (1) does not apply to a place of sale while it is exempt under subregulation (6) from the requirements of this regulation.</w:t>
      </w:r>
    </w:p>
    <w:p>
      <w:pPr>
        <w:pStyle w:val="Subsection"/>
        <w:spacing w:before="18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80"/>
      </w:pPr>
      <w:r>
        <w:tab/>
        <w:t>(7)</w:t>
      </w:r>
      <w:r>
        <w:tab/>
        <w:t xml:space="preserve">In this regulation — </w:t>
      </w:r>
    </w:p>
    <w:p>
      <w:pPr>
        <w:pStyle w:val="Defstart"/>
      </w:pPr>
      <w:r>
        <w:tab/>
      </w:r>
      <w:r>
        <w:rPr>
          <w:rStyle w:val="CharDefText"/>
        </w:rPr>
        <w:t>regular unleaded petrol</w:t>
      </w:r>
      <w:r>
        <w:t xml:space="preserve"> means petrol sold as regular unleaded petrol (91 to 93 RON), however described;</w:t>
      </w:r>
    </w:p>
    <w:p>
      <w:pPr>
        <w:pStyle w:val="Defstart"/>
        <w:keepNext/>
      </w:pPr>
      <w:r>
        <w:tab/>
      </w:r>
      <w:r>
        <w:rPr>
          <w:rStyle w:val="CharDefText"/>
        </w:rPr>
        <w:t>standard retail sale</w:t>
      </w:r>
      <w:r>
        <w:t xml:space="preserve"> means retail sale not subject to an existing agreement or arrangement between the customer and the retailer.</w:t>
      </w:r>
    </w:p>
    <w:p>
      <w:pPr>
        <w:pStyle w:val="Footnotesection"/>
        <w:ind w:left="890" w:hanging="890"/>
      </w:pPr>
      <w:r>
        <w:tab/>
        <w:t>[Regulation 6 inserted: Gazette 11 Jul 2001 p. 3460</w:t>
      </w:r>
      <w:r>
        <w:noBreakHyphen/>
        <w:t>1; amended: Gazette 16 Nov 2001 p. 5981; 31 Dec 2001 p. 6764</w:t>
      </w:r>
      <w:r>
        <w:noBreakHyphen/>
        <w:t>5; 9 Dec 2005 p. 5875</w:t>
      </w:r>
      <w:r>
        <w:noBreakHyphen/>
        <w:t>6.]</w:t>
      </w:r>
    </w:p>
    <w:p>
      <w:pPr>
        <w:pStyle w:val="Heading3"/>
      </w:pPr>
      <w:bookmarkStart w:id="21" w:name="_Toc512934648"/>
      <w:bookmarkStart w:id="22" w:name="_Toc512946290"/>
      <w:bookmarkStart w:id="23" w:name="_Toc531083821"/>
      <w:r>
        <w:rPr>
          <w:rStyle w:val="CharDivNo"/>
        </w:rPr>
        <w:t>Division 2</w:t>
      </w:r>
      <w:r>
        <w:t> — </w:t>
      </w:r>
      <w:r>
        <w:rPr>
          <w:rStyle w:val="CharDivText"/>
        </w:rPr>
        <w:t>Before retail sale</w:t>
      </w:r>
      <w:bookmarkEnd w:id="21"/>
      <w:bookmarkEnd w:id="22"/>
      <w:bookmarkEnd w:id="23"/>
    </w:p>
    <w:p>
      <w:pPr>
        <w:pStyle w:val="Footnoteheading"/>
        <w:keepNext/>
      </w:pPr>
      <w:r>
        <w:tab/>
        <w:t>[Heading inserted: Gazette 11 Jul 2001 p. 3461.]</w:t>
      </w:r>
    </w:p>
    <w:p>
      <w:pPr>
        <w:pStyle w:val="Heading5"/>
      </w:pPr>
      <w:bookmarkStart w:id="24" w:name="_Toc531083822"/>
      <w:r>
        <w:rPr>
          <w:rStyle w:val="CharSectno"/>
        </w:rPr>
        <w:t>7</w:t>
      </w:r>
      <w:r>
        <w:t>.</w:t>
      </w:r>
      <w:r>
        <w:tab/>
        <w:t>How to notify Commissioner of price changes</w:t>
      </w:r>
      <w:bookmarkEnd w:id="24"/>
    </w:p>
    <w:p>
      <w:pPr>
        <w:pStyle w:val="Subsection"/>
      </w:pPr>
      <w:r>
        <w:tab/>
      </w:r>
      <w:r>
        <w:tab/>
        <w:t xml:space="preserve">If section 22B of the Act requires a supplier to notify the Commissioner of a proposed price change, the way in which notification is to be given is by directly uploading information about the price change using the Commissioner’s Fuel Watch website at the address </w:t>
      </w:r>
      <w:r>
        <w:rPr>
          <w:u w:val="single"/>
        </w:rPr>
        <w:t>www.fuelwatch.wa.gov.au</w:t>
      </w:r>
      <w:r>
        <w:t xml:space="preserve"> on the internet.</w:t>
      </w:r>
    </w:p>
    <w:p>
      <w:pPr>
        <w:pStyle w:val="Footnotesection"/>
      </w:pPr>
      <w:r>
        <w:tab/>
        <w:t>[Regulation 7 inserted: Gazette 11 Jul 2001 p. 3461; amended: Gazette 18 Nov 2014 p. 4323.]</w:t>
      </w:r>
    </w:p>
    <w:p>
      <w:pPr>
        <w:pStyle w:val="Ednotesection"/>
      </w:pPr>
      <w:r>
        <w:t>[</w:t>
      </w:r>
      <w:r>
        <w:rPr>
          <w:b/>
        </w:rPr>
        <w:t>8.</w:t>
      </w:r>
      <w:r>
        <w:tab/>
        <w:t>Deleted: Gazette 18 Nov 2014 p. 4323.]</w:t>
      </w:r>
    </w:p>
    <w:p>
      <w:pPr>
        <w:pStyle w:val="Heading5"/>
        <w:spacing w:before="240"/>
      </w:pPr>
      <w:bookmarkStart w:id="25" w:name="_Toc531083823"/>
      <w:r>
        <w:rPr>
          <w:rStyle w:val="CharSectno"/>
        </w:rPr>
        <w:t>9</w:t>
      </w:r>
      <w:r>
        <w:t>.</w:t>
      </w:r>
      <w:r>
        <w:tab/>
        <w:t>Details of price differences</w:t>
      </w:r>
      <w:bookmarkEnd w:id="25"/>
    </w:p>
    <w:p>
      <w:pPr>
        <w:pStyle w:val="Subsection"/>
        <w:spacing w:before="180"/>
      </w:pPr>
      <w:r>
        <w:tab/>
        <w:t>(1)</w:t>
      </w:r>
      <w:r>
        <w:tab/>
        <w:t>If section 22E(2) of the Act requires that an invoice for a supply of motor fuel from a declared terminal show details as to the difference between the relevant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spacing w:before="180"/>
      </w:pPr>
      <w:r>
        <w:tab/>
        <w:t>(2)</w:t>
      </w:r>
      <w:r>
        <w:tab/>
        <w:t>A component needs to be described with sufficient particularity to clearly identify the expense or other item concerned.</w:t>
      </w:r>
    </w:p>
    <w:p>
      <w:pPr>
        <w:pStyle w:val="Subsection"/>
        <w:spacing w:before="180"/>
      </w:pPr>
      <w:r>
        <w:tab/>
        <w:t>(3)</w:t>
      </w:r>
      <w:r>
        <w:tab/>
        <w:t>The amounts attributed to the components identified need to be expressed in terms that enable their cumulative effect to be readily quantified.</w:t>
      </w:r>
    </w:p>
    <w:p>
      <w:pPr>
        <w:pStyle w:val="Footnotesection"/>
      </w:pPr>
      <w:r>
        <w:tab/>
        <w:t>[Regulation 9 inserted: Gazette 11 Jul 2001 p. 3461</w:t>
      </w:r>
      <w:r>
        <w:noBreakHyphen/>
        <w:t>2; amended: Gazette 18 Nov 2014 p. 4323.]</w:t>
      </w:r>
    </w:p>
    <w:p>
      <w:pPr>
        <w:pStyle w:val="Heading5"/>
        <w:spacing w:before="240"/>
      </w:pPr>
      <w:bookmarkStart w:id="26" w:name="_Toc531083824"/>
      <w:r>
        <w:rPr>
          <w:rStyle w:val="CharSectno"/>
        </w:rPr>
        <w:t>10</w:t>
      </w:r>
      <w:r>
        <w:t>.</w:t>
      </w:r>
      <w:r>
        <w:tab/>
        <w:t>Notifying Commissioner of price differences</w:t>
      </w:r>
      <w:bookmarkEnd w:id="26"/>
    </w:p>
    <w:p>
      <w:pPr>
        <w:pStyle w:val="Subsection"/>
        <w:spacing w:before="180"/>
      </w:pPr>
      <w:r>
        <w:tab/>
        <w:t>(1)</w:t>
      </w:r>
      <w:r>
        <w:tab/>
        <w:t xml:space="preserve">Details that section 22E(4) of the Act requires a supplier to give to the Commissioner are to be given by directly uploading those details using the Commissioner’s Fuel Watch website at the address </w:t>
      </w:r>
      <w:hyperlink r:id="rId21" w:history="1">
        <w:r>
          <w:rPr>
            <w:rStyle w:val="Hyperlink"/>
            <w:color w:val="auto"/>
          </w:rPr>
          <w:t>www.fuelwatch.wa.gov.au</w:t>
        </w:r>
      </w:hyperlink>
      <w:r>
        <w:t xml:space="preserve"> on the internet.</w:t>
      </w:r>
    </w:p>
    <w:p>
      <w:pPr>
        <w:pStyle w:val="Subsection"/>
        <w:spacing w:before="180"/>
      </w:pPr>
      <w:r>
        <w:tab/>
        <w:t>(2)</w:t>
      </w:r>
      <w:r>
        <w:tab/>
        <w:t>Details relating to supplies made during a particular calendar month are to be given within a period of 14 days after the end of that month.</w:t>
      </w:r>
    </w:p>
    <w:p>
      <w:pPr>
        <w:pStyle w:val="Subsection"/>
        <w:keepNext/>
        <w:spacing w:before="180"/>
      </w:pPr>
      <w:r>
        <w:tab/>
        <w:t>(3)</w:t>
      </w:r>
      <w:r>
        <w:tab/>
        <w:t xml:space="preserve">In subregulation (2) — </w:t>
      </w:r>
    </w:p>
    <w:p>
      <w:pPr>
        <w:pStyle w:val="Defstart"/>
      </w:pPr>
      <w:r>
        <w:tab/>
      </w:r>
      <w:r>
        <w:rPr>
          <w:rStyle w:val="CharDefText"/>
        </w:rPr>
        <w:t>calendar month</w:t>
      </w:r>
      <w:r>
        <w:t xml:space="preserve"> means January, February, or any of the 10 other named months of the calendar year.</w:t>
      </w:r>
    </w:p>
    <w:p>
      <w:pPr>
        <w:pStyle w:val="Footnotesection"/>
      </w:pPr>
      <w:r>
        <w:tab/>
        <w:t>[Regulation 10 inserted: Gazette 11 Jul 2001 p. 3462.]</w:t>
      </w:r>
    </w:p>
    <w:p>
      <w:pPr>
        <w:pStyle w:val="Heading2"/>
      </w:pPr>
      <w:bookmarkStart w:id="27" w:name="_Toc512934652"/>
      <w:bookmarkStart w:id="28" w:name="_Toc512946294"/>
      <w:bookmarkStart w:id="29" w:name="_Toc531083825"/>
      <w:r>
        <w:rPr>
          <w:rStyle w:val="CharPartNo"/>
        </w:rPr>
        <w:t>Part 3</w:t>
      </w:r>
      <w:r>
        <w:rPr>
          <w:rStyle w:val="CharDivNo"/>
        </w:rPr>
        <w:t xml:space="preserve"> </w:t>
      </w:r>
      <w:r>
        <w:t>—</w:t>
      </w:r>
      <w:r>
        <w:rPr>
          <w:rStyle w:val="CharDivText"/>
        </w:rPr>
        <w:t xml:space="preserve"> </w:t>
      </w:r>
      <w:r>
        <w:rPr>
          <w:rStyle w:val="CharPartText"/>
        </w:rPr>
        <w:t>Infringement notices and modified penalties</w:t>
      </w:r>
      <w:bookmarkEnd w:id="27"/>
      <w:bookmarkEnd w:id="28"/>
      <w:bookmarkEnd w:id="29"/>
    </w:p>
    <w:p>
      <w:pPr>
        <w:pStyle w:val="Footnoteheading"/>
      </w:pPr>
      <w:r>
        <w:tab/>
        <w:t>[Heading inserted: Gazette 9 Nov 2001 p. 5925.]</w:t>
      </w:r>
    </w:p>
    <w:p>
      <w:pPr>
        <w:pStyle w:val="Heading5"/>
      </w:pPr>
      <w:bookmarkStart w:id="30" w:name="_Toc531083826"/>
      <w:r>
        <w:rPr>
          <w:rStyle w:val="CharSectno"/>
        </w:rPr>
        <w:t>11</w:t>
      </w:r>
      <w:r>
        <w:t>.</w:t>
      </w:r>
      <w:r>
        <w:tab/>
        <w:t>Prescribed offences (s. 31B)</w:t>
      </w:r>
      <w:bookmarkEnd w:id="30"/>
    </w:p>
    <w:p>
      <w:pPr>
        <w:pStyle w:val="Subsection"/>
      </w:pPr>
      <w:r>
        <w:tab/>
      </w:r>
      <w:r>
        <w:tab/>
        <w:t>The offences specified in Schedule 2 are the offences for which an infringement notice may be given under section 31B of the Act.</w:t>
      </w:r>
    </w:p>
    <w:p>
      <w:pPr>
        <w:pStyle w:val="Footnotesection"/>
      </w:pPr>
      <w:r>
        <w:tab/>
        <w:t>[Regulation 11 inserted: Gazette 9 Nov 2001 p. 5925.]</w:t>
      </w:r>
    </w:p>
    <w:p>
      <w:pPr>
        <w:pStyle w:val="Heading5"/>
      </w:pPr>
      <w:bookmarkStart w:id="31" w:name="_Toc531083827"/>
      <w:r>
        <w:rPr>
          <w:rStyle w:val="CharSectno"/>
        </w:rPr>
        <w:t>12</w:t>
      </w:r>
      <w:r>
        <w:t>.</w:t>
      </w:r>
      <w:r>
        <w:tab/>
        <w:t>Prescribed modified penalties (s. 31C)</w:t>
      </w:r>
      <w:bookmarkEnd w:id="31"/>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Gazette 9 Nov 2001 p. 5925.]</w:t>
      </w:r>
    </w:p>
    <w:p>
      <w:pPr>
        <w:pStyle w:val="Heading5"/>
      </w:pPr>
      <w:bookmarkStart w:id="32" w:name="_Toc531083828"/>
      <w:r>
        <w:rPr>
          <w:rStyle w:val="CharSectno"/>
        </w:rPr>
        <w:t>13</w:t>
      </w:r>
      <w:r>
        <w:t>.</w:t>
      </w:r>
      <w:r>
        <w:tab/>
        <w:t>Prescribed form of infringement notice (s. 31C)</w:t>
      </w:r>
      <w:bookmarkEnd w:id="32"/>
    </w:p>
    <w:p>
      <w:pPr>
        <w:pStyle w:val="Subsection"/>
      </w:pPr>
      <w:r>
        <w:tab/>
      </w:r>
      <w:r>
        <w:tab/>
        <w:t>The form of an infringement notice is set out in Schedule 3 Form 1 for the purposes of section 31C(1) of the Act.</w:t>
      </w:r>
    </w:p>
    <w:p>
      <w:pPr>
        <w:pStyle w:val="Footnotesection"/>
      </w:pPr>
      <w:r>
        <w:tab/>
        <w:t>[Regulation 13 inserted: Gazette 9 Nov 2001 p. 5926.]</w:t>
      </w:r>
    </w:p>
    <w:p>
      <w:pPr>
        <w:pStyle w:val="Heading5"/>
      </w:pPr>
      <w:bookmarkStart w:id="33" w:name="_Toc531083829"/>
      <w:r>
        <w:rPr>
          <w:rStyle w:val="CharSectno"/>
        </w:rPr>
        <w:t>14</w:t>
      </w:r>
      <w:r>
        <w:t>.</w:t>
      </w:r>
      <w:r>
        <w:tab/>
        <w:t>Prescribed form of withdrawal of notice (s. 31E)</w:t>
      </w:r>
      <w:bookmarkEnd w:id="33"/>
    </w:p>
    <w:p>
      <w:pPr>
        <w:pStyle w:val="Subsection"/>
      </w:pPr>
      <w:r>
        <w:tab/>
      </w:r>
      <w:r>
        <w:tab/>
        <w:t>The form of a notice to withdraw an infringement notice is set out in Schedule 3 Form 2 for the purposes of section 31E(1) of the Act.</w:t>
      </w:r>
    </w:p>
    <w:p>
      <w:pPr>
        <w:pStyle w:val="Footnotesection"/>
      </w:pPr>
      <w:r>
        <w:tab/>
        <w:t>[Regulation 14 inserted: Gazette 9 Nov 2001 p. 5926.]</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4" w:name="_Toc512934657"/>
      <w:bookmarkStart w:id="35" w:name="_Toc512946299"/>
      <w:bookmarkStart w:id="36" w:name="_Toc531083830"/>
      <w:r>
        <w:rPr>
          <w:rStyle w:val="CharSchNo"/>
        </w:rPr>
        <w:t>Schedule 1</w:t>
      </w:r>
      <w:r>
        <w:t> — </w:t>
      </w:r>
      <w:r>
        <w:rPr>
          <w:rStyle w:val="CharSchText"/>
        </w:rPr>
        <w:t>Places where regulations 3(1) and 6 apply</w:t>
      </w:r>
      <w:bookmarkEnd w:id="34"/>
      <w:bookmarkEnd w:id="35"/>
      <w:bookmarkEnd w:id="36"/>
    </w:p>
    <w:p>
      <w:pPr>
        <w:pStyle w:val="yShoulderClause"/>
      </w:pPr>
      <w:r>
        <w:tab/>
      </w:r>
      <w:r>
        <w:tab/>
        <w:t>[r. 4(b), 5]</w:t>
      </w:r>
    </w:p>
    <w:p>
      <w:pPr>
        <w:pStyle w:val="yFootnotesection"/>
      </w:pPr>
      <w:r>
        <w:tab/>
        <w:t>[Heading inserted: Gazette 13 May 2003 p. 1665; amended: Gazette 17 Oct 2017 p. 5336.]</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Albany</w:t>
            </w:r>
          </w:p>
        </w:tc>
        <w:tc>
          <w:tcPr>
            <w:tcW w:w="2410" w:type="dxa"/>
          </w:tcPr>
          <w:p>
            <w:pPr>
              <w:pStyle w:val="yTableNAm"/>
            </w:pPr>
            <w:r>
              <w:t>Donnybrook</w:t>
            </w:r>
            <w:r>
              <w:noBreakHyphen/>
              <w:t>Balingup</w:t>
            </w:r>
          </w:p>
        </w:tc>
      </w:tr>
      <w:tr>
        <w:trPr>
          <w:cantSplit/>
          <w:trHeight w:val="276"/>
        </w:trPr>
        <w:tc>
          <w:tcPr>
            <w:tcW w:w="2552" w:type="dxa"/>
          </w:tcPr>
          <w:p>
            <w:pPr>
              <w:pStyle w:val="yTableNAm"/>
            </w:pPr>
            <w:r>
              <w:t>Augusta</w:t>
            </w:r>
            <w:r>
              <w:noBreakHyphen/>
              <w:t>Margaret River</w:t>
            </w:r>
          </w:p>
        </w:tc>
        <w:tc>
          <w:tcPr>
            <w:tcW w:w="2410" w:type="dxa"/>
          </w:tcPr>
          <w:p>
            <w:pPr>
              <w:pStyle w:val="yTableNAm"/>
            </w:pPr>
            <w:r>
              <w:t>Greater Geraldton</w:t>
            </w:r>
          </w:p>
        </w:tc>
      </w:tr>
      <w:tr>
        <w:trPr>
          <w:cantSplit/>
          <w:trHeight w:val="276"/>
        </w:trPr>
        <w:tc>
          <w:tcPr>
            <w:tcW w:w="2552" w:type="dxa"/>
          </w:tcPr>
          <w:p>
            <w:pPr>
              <w:pStyle w:val="yTableNAm"/>
            </w:pPr>
            <w:r>
              <w:t>Bridgetown</w:t>
            </w:r>
            <w:r>
              <w:noBreakHyphen/>
              <w:t>Greenbushes</w:t>
            </w:r>
          </w:p>
        </w:tc>
        <w:tc>
          <w:tcPr>
            <w:tcW w:w="2410" w:type="dxa"/>
          </w:tcPr>
          <w:p>
            <w:pPr>
              <w:pStyle w:val="yTableNAm"/>
            </w:pPr>
            <w:r>
              <w:t>Harvey</w:t>
            </w:r>
          </w:p>
        </w:tc>
      </w:tr>
      <w:tr>
        <w:trPr>
          <w:cantSplit/>
          <w:trHeight w:val="276"/>
        </w:trPr>
        <w:tc>
          <w:tcPr>
            <w:tcW w:w="2552" w:type="dxa"/>
          </w:tcPr>
          <w:p>
            <w:pPr>
              <w:pStyle w:val="yTableNAm"/>
            </w:pPr>
            <w:r>
              <w:t>Bunbury</w:t>
            </w:r>
          </w:p>
        </w:tc>
        <w:tc>
          <w:tcPr>
            <w:tcW w:w="2410" w:type="dxa"/>
          </w:tcPr>
          <w:p>
            <w:pPr>
              <w:pStyle w:val="yTableNAm"/>
            </w:pPr>
            <w:r>
              <w:t>Mandurah</w:t>
            </w:r>
          </w:p>
        </w:tc>
      </w:tr>
      <w:tr>
        <w:trPr>
          <w:cantSplit/>
          <w:trHeight w:val="276"/>
        </w:trPr>
        <w:tc>
          <w:tcPr>
            <w:tcW w:w="2552" w:type="dxa"/>
          </w:tcPr>
          <w:p>
            <w:pPr>
              <w:pStyle w:val="yTableNAm"/>
            </w:pPr>
            <w:r>
              <w:t>Busselton</w:t>
            </w:r>
          </w:p>
        </w:tc>
        <w:tc>
          <w:tcPr>
            <w:tcW w:w="2410" w:type="dxa"/>
          </w:tcPr>
          <w:p>
            <w:pPr>
              <w:pStyle w:val="yTableNAm"/>
            </w:pPr>
            <w:r>
              <w:t>Manjimup</w:t>
            </w:r>
          </w:p>
        </w:tc>
      </w:tr>
      <w:tr>
        <w:trPr>
          <w:cantSplit/>
          <w:trHeight w:val="276"/>
        </w:trPr>
        <w:tc>
          <w:tcPr>
            <w:tcW w:w="2552" w:type="dxa"/>
          </w:tcPr>
          <w:p>
            <w:pPr>
              <w:pStyle w:val="yTableNAm"/>
            </w:pPr>
            <w:r>
              <w:t>Capel</w:t>
            </w:r>
          </w:p>
        </w:tc>
        <w:tc>
          <w:tcPr>
            <w:tcW w:w="2410" w:type="dxa"/>
          </w:tcPr>
          <w:p>
            <w:pPr>
              <w:pStyle w:val="yTableNAm"/>
            </w:pPr>
            <w:r>
              <w:t>Murray</w:t>
            </w:r>
          </w:p>
        </w:tc>
      </w:tr>
      <w:tr>
        <w:trPr>
          <w:cantSplit/>
          <w:trHeight w:val="276"/>
        </w:trPr>
        <w:tc>
          <w:tcPr>
            <w:tcW w:w="2552" w:type="dxa"/>
          </w:tcPr>
          <w:p>
            <w:pPr>
              <w:pStyle w:val="yTableNAm"/>
            </w:pPr>
            <w:r>
              <w:t>Dardanup</w:t>
            </w:r>
          </w:p>
        </w:tc>
        <w:tc>
          <w:tcPr>
            <w:tcW w:w="2410" w:type="dxa"/>
          </w:tcPr>
          <w:p>
            <w:pPr>
              <w:pStyle w:val="yTableNAm"/>
            </w:pPr>
            <w:r>
              <w:t>Waroona</w:t>
            </w:r>
          </w:p>
        </w:tc>
      </w:tr>
    </w:tbl>
    <w:p>
      <w:pPr>
        <w:pStyle w:val="ySubsection"/>
        <w:rPr>
          <w:i/>
        </w:rPr>
      </w:pPr>
      <w:r>
        <w:rPr>
          <w:i/>
        </w:rPr>
        <w:t>Localities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Brown Range</w:t>
            </w:r>
          </w:p>
        </w:tc>
        <w:tc>
          <w:tcPr>
            <w:tcW w:w="2410" w:type="dxa"/>
          </w:tcPr>
          <w:p>
            <w:pPr>
              <w:pStyle w:val="yTableNAm"/>
            </w:pPr>
            <w:r>
              <w:t>Kambalda West</w:t>
            </w:r>
          </w:p>
        </w:tc>
      </w:tr>
      <w:tr>
        <w:trPr>
          <w:cantSplit/>
          <w:trHeight w:val="276"/>
        </w:trPr>
        <w:tc>
          <w:tcPr>
            <w:tcW w:w="2552" w:type="dxa"/>
          </w:tcPr>
          <w:p>
            <w:pPr>
              <w:pStyle w:val="yTableNAm"/>
            </w:pPr>
            <w:r>
              <w:t>Capricorn</w:t>
            </w:r>
          </w:p>
        </w:tc>
        <w:tc>
          <w:tcPr>
            <w:tcW w:w="2410" w:type="dxa"/>
          </w:tcPr>
          <w:p>
            <w:pPr>
              <w:pStyle w:val="yTableNAm"/>
            </w:pPr>
            <w:r>
              <w:t>Kingsford</w:t>
            </w:r>
          </w:p>
        </w:tc>
      </w:tr>
      <w:tr>
        <w:trPr>
          <w:cantSplit/>
          <w:trHeight w:val="276"/>
        </w:trPr>
        <w:tc>
          <w:tcPr>
            <w:tcW w:w="2552" w:type="dxa"/>
          </w:tcPr>
          <w:p>
            <w:pPr>
              <w:pStyle w:val="yTableNAm"/>
            </w:pPr>
            <w:r>
              <w:t>Cataby</w:t>
            </w:r>
          </w:p>
        </w:tc>
        <w:tc>
          <w:tcPr>
            <w:tcW w:w="2410" w:type="dxa"/>
          </w:tcPr>
          <w:p>
            <w:pPr>
              <w:pStyle w:val="yTableNAm"/>
            </w:pPr>
            <w:r>
              <w:t>Munglinup</w:t>
            </w:r>
          </w:p>
        </w:tc>
      </w:tr>
      <w:tr>
        <w:trPr>
          <w:cantSplit/>
          <w:trHeight w:val="276"/>
        </w:trPr>
        <w:tc>
          <w:tcPr>
            <w:tcW w:w="2552" w:type="dxa"/>
          </w:tcPr>
          <w:p>
            <w:pPr>
              <w:pStyle w:val="yTableNAm"/>
            </w:pPr>
            <w:r>
              <w:t>Dongara</w:t>
            </w:r>
          </w:p>
        </w:tc>
        <w:tc>
          <w:tcPr>
            <w:tcW w:w="2410" w:type="dxa"/>
          </w:tcPr>
          <w:p>
            <w:pPr>
              <w:pStyle w:val="yTableNAm"/>
            </w:pPr>
            <w:r>
              <w:rPr>
                <w:szCs w:val="22"/>
              </w:rPr>
              <w:t>North Bannister</w:t>
            </w:r>
            <w:r>
              <w:t xml:space="preserve"> </w:t>
            </w:r>
          </w:p>
        </w:tc>
      </w:tr>
      <w:tr>
        <w:trPr>
          <w:cantSplit/>
          <w:trHeight w:val="276"/>
        </w:trPr>
        <w:tc>
          <w:tcPr>
            <w:tcW w:w="2552" w:type="dxa"/>
          </w:tcPr>
          <w:p>
            <w:pPr>
              <w:pStyle w:val="yTableNAm"/>
            </w:pPr>
            <w:r>
              <w:t>Fitzroy Crossing</w:t>
            </w:r>
          </w:p>
        </w:tc>
        <w:tc>
          <w:tcPr>
            <w:tcW w:w="2410" w:type="dxa"/>
          </w:tcPr>
          <w:p>
            <w:pPr>
              <w:pStyle w:val="yTableNAm"/>
              <w:rPr>
                <w:b/>
              </w:rPr>
            </w:pPr>
            <w:r>
              <w:t xml:space="preserve">Port Denison </w:t>
            </w:r>
          </w:p>
        </w:tc>
      </w:tr>
      <w:tr>
        <w:trPr>
          <w:cantSplit/>
          <w:trHeight w:val="276"/>
        </w:trPr>
        <w:tc>
          <w:tcPr>
            <w:tcW w:w="2552" w:type="dxa"/>
          </w:tcPr>
          <w:p>
            <w:pPr>
              <w:pStyle w:val="yTableNAm"/>
            </w:pPr>
            <w:r>
              <w:t>Gap Ridge</w:t>
            </w:r>
          </w:p>
        </w:tc>
        <w:tc>
          <w:tcPr>
            <w:tcW w:w="2410" w:type="dxa"/>
          </w:tcPr>
          <w:p>
            <w:pPr>
              <w:pStyle w:val="yTableNAm"/>
            </w:pPr>
            <w:r>
              <w:t xml:space="preserve">Wundowie </w:t>
            </w:r>
          </w:p>
        </w:tc>
      </w:tr>
      <w:tr>
        <w:trPr>
          <w:cantSplit/>
          <w:trHeight w:val="276"/>
        </w:trPr>
        <w:tc>
          <w:tcPr>
            <w:tcW w:w="2552" w:type="dxa"/>
          </w:tcPr>
          <w:p>
            <w:pPr>
              <w:pStyle w:val="yTableNAm"/>
            </w:pPr>
            <w:r>
              <w:t>Greys Plain</w:t>
            </w:r>
          </w:p>
        </w:tc>
        <w:tc>
          <w:tcPr>
            <w:tcW w:w="2410" w:type="dxa"/>
          </w:tcPr>
          <w:p>
            <w:pPr>
              <w:pStyle w:val="yTableNAm"/>
            </w:pPr>
            <w:r>
              <w:t>Yilkari</w:t>
            </w:r>
          </w:p>
        </w:tc>
      </w:tr>
      <w:tr>
        <w:trPr>
          <w:cantSplit/>
          <w:trHeight w:val="276"/>
        </w:trPr>
        <w:tc>
          <w:tcPr>
            <w:tcW w:w="2552" w:type="dxa"/>
          </w:tcPr>
          <w:p>
            <w:pPr>
              <w:pStyle w:val="yTableNAm"/>
            </w:pPr>
            <w:r>
              <w:t>Kambalda East</w:t>
            </w:r>
          </w:p>
        </w:tc>
        <w:tc>
          <w:tcPr>
            <w:tcW w:w="2410" w:type="dxa"/>
          </w:tcPr>
          <w:p>
            <w:pPr>
              <w:pStyle w:val="yTableNAm"/>
            </w:pP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Boulder</w:t>
            </w:r>
          </w:p>
        </w:tc>
        <w:tc>
          <w:tcPr>
            <w:tcW w:w="2410" w:type="dxa"/>
          </w:tcPr>
          <w:p>
            <w:pPr>
              <w:pStyle w:val="yTableNAm"/>
            </w:pPr>
            <w:r>
              <w:t>Kojonup</w:t>
            </w:r>
          </w:p>
        </w:tc>
      </w:tr>
      <w:tr>
        <w:trPr>
          <w:cantSplit/>
          <w:trHeight w:val="276"/>
        </w:trPr>
        <w:tc>
          <w:tcPr>
            <w:tcW w:w="2552" w:type="dxa"/>
          </w:tcPr>
          <w:p>
            <w:pPr>
              <w:pStyle w:val="yTableNAm"/>
            </w:pPr>
            <w:r>
              <w:t>Broome</w:t>
            </w:r>
          </w:p>
        </w:tc>
        <w:tc>
          <w:tcPr>
            <w:tcW w:w="2410" w:type="dxa"/>
          </w:tcPr>
          <w:p>
            <w:pPr>
              <w:pStyle w:val="yTableNAm"/>
            </w:pPr>
            <w:r>
              <w:t>Kununurra</w:t>
            </w:r>
          </w:p>
        </w:tc>
      </w:tr>
      <w:tr>
        <w:trPr>
          <w:cantSplit/>
          <w:trHeight w:val="276"/>
        </w:trPr>
        <w:tc>
          <w:tcPr>
            <w:tcW w:w="2552" w:type="dxa"/>
          </w:tcPr>
          <w:p>
            <w:pPr>
              <w:pStyle w:val="yTableNAm"/>
            </w:pPr>
            <w:r>
              <w:t>Carnarvon</w:t>
            </w:r>
          </w:p>
        </w:tc>
        <w:tc>
          <w:tcPr>
            <w:tcW w:w="2410" w:type="dxa"/>
          </w:tcPr>
          <w:p>
            <w:pPr>
              <w:pStyle w:val="yTableNAm"/>
            </w:pPr>
            <w:r>
              <w:t>Meckering</w:t>
            </w:r>
          </w:p>
        </w:tc>
      </w:tr>
      <w:tr>
        <w:trPr>
          <w:cantSplit/>
          <w:trHeight w:val="276"/>
        </w:trPr>
        <w:tc>
          <w:tcPr>
            <w:tcW w:w="2552" w:type="dxa"/>
          </w:tcPr>
          <w:p>
            <w:pPr>
              <w:pStyle w:val="yTableNAm"/>
            </w:pPr>
            <w:r>
              <w:t>Collie</w:t>
            </w:r>
          </w:p>
        </w:tc>
        <w:tc>
          <w:tcPr>
            <w:tcW w:w="2410" w:type="dxa"/>
          </w:tcPr>
          <w:p>
            <w:pPr>
              <w:pStyle w:val="yTableNAm"/>
            </w:pPr>
            <w:r>
              <w:t>Meekatharra</w:t>
            </w:r>
          </w:p>
        </w:tc>
      </w:tr>
      <w:tr>
        <w:trPr>
          <w:cantSplit/>
          <w:trHeight w:val="276"/>
        </w:trPr>
        <w:tc>
          <w:tcPr>
            <w:tcW w:w="2552" w:type="dxa"/>
          </w:tcPr>
          <w:p>
            <w:pPr>
              <w:pStyle w:val="yTableNAm"/>
            </w:pPr>
            <w:r>
              <w:t>Coolgardie</w:t>
            </w:r>
          </w:p>
        </w:tc>
        <w:tc>
          <w:tcPr>
            <w:tcW w:w="2410" w:type="dxa"/>
          </w:tcPr>
          <w:p>
            <w:pPr>
              <w:pStyle w:val="yTableNAm"/>
            </w:pPr>
            <w:r>
              <w:t>Moora</w:t>
            </w:r>
          </w:p>
        </w:tc>
      </w:tr>
      <w:tr>
        <w:trPr>
          <w:cantSplit/>
          <w:trHeight w:val="276"/>
        </w:trPr>
        <w:tc>
          <w:tcPr>
            <w:tcW w:w="2552" w:type="dxa"/>
          </w:tcPr>
          <w:p>
            <w:pPr>
              <w:pStyle w:val="yTableNAm"/>
            </w:pPr>
            <w:r>
              <w:t>Cunderdin</w:t>
            </w:r>
          </w:p>
        </w:tc>
        <w:tc>
          <w:tcPr>
            <w:tcW w:w="2410" w:type="dxa"/>
          </w:tcPr>
          <w:p>
            <w:pPr>
              <w:pStyle w:val="yTableNAm"/>
            </w:pPr>
            <w:r>
              <w:t>Mt Barker</w:t>
            </w:r>
          </w:p>
        </w:tc>
      </w:tr>
      <w:tr>
        <w:trPr>
          <w:cantSplit/>
          <w:trHeight w:val="276"/>
        </w:trPr>
        <w:tc>
          <w:tcPr>
            <w:tcW w:w="2552" w:type="dxa"/>
          </w:tcPr>
          <w:p>
            <w:pPr>
              <w:pStyle w:val="yTableNAm"/>
            </w:pPr>
            <w:r>
              <w:t>Dalwallinu</w:t>
            </w:r>
          </w:p>
        </w:tc>
        <w:tc>
          <w:tcPr>
            <w:tcW w:w="2410" w:type="dxa"/>
          </w:tcPr>
          <w:p>
            <w:pPr>
              <w:pStyle w:val="yTableNAm"/>
            </w:pPr>
            <w:r>
              <w:t>Narrogin</w:t>
            </w:r>
          </w:p>
        </w:tc>
      </w:tr>
      <w:tr>
        <w:trPr>
          <w:cantSplit/>
          <w:trHeight w:val="276"/>
        </w:trPr>
        <w:tc>
          <w:tcPr>
            <w:tcW w:w="2552" w:type="dxa"/>
          </w:tcPr>
          <w:p>
            <w:pPr>
              <w:pStyle w:val="yTableNAm"/>
            </w:pPr>
            <w:r>
              <w:t>Dampier</w:t>
            </w:r>
          </w:p>
        </w:tc>
        <w:tc>
          <w:tcPr>
            <w:tcW w:w="2410" w:type="dxa"/>
          </w:tcPr>
          <w:p>
            <w:pPr>
              <w:pStyle w:val="yTableNAm"/>
            </w:pPr>
            <w:r>
              <w:t>Newman</w:t>
            </w:r>
          </w:p>
        </w:tc>
      </w:tr>
      <w:tr>
        <w:trPr>
          <w:cantSplit/>
          <w:trHeight w:val="276"/>
        </w:trPr>
        <w:tc>
          <w:tcPr>
            <w:tcW w:w="2552" w:type="dxa"/>
          </w:tcPr>
          <w:p>
            <w:pPr>
              <w:pStyle w:val="yTableNAm"/>
            </w:pPr>
            <w:r>
              <w:t>Denmark</w:t>
            </w:r>
          </w:p>
        </w:tc>
        <w:tc>
          <w:tcPr>
            <w:tcW w:w="2410" w:type="dxa"/>
          </w:tcPr>
          <w:p>
            <w:pPr>
              <w:pStyle w:val="yTableNAm"/>
            </w:pPr>
            <w:r>
              <w:t>Norseman</w:t>
            </w:r>
          </w:p>
        </w:tc>
      </w:tr>
      <w:tr>
        <w:trPr>
          <w:cantSplit/>
          <w:trHeight w:val="276"/>
        </w:trPr>
        <w:tc>
          <w:tcPr>
            <w:tcW w:w="2552" w:type="dxa"/>
          </w:tcPr>
          <w:p>
            <w:pPr>
              <w:pStyle w:val="yTableNAm"/>
            </w:pPr>
            <w:r>
              <w:t>Derby</w:t>
            </w:r>
          </w:p>
        </w:tc>
        <w:tc>
          <w:tcPr>
            <w:tcW w:w="2410" w:type="dxa"/>
          </w:tcPr>
          <w:p>
            <w:pPr>
              <w:pStyle w:val="yTableNAm"/>
            </w:pPr>
            <w:r>
              <w:t>Northam</w:t>
            </w:r>
          </w:p>
        </w:tc>
      </w:tr>
      <w:tr>
        <w:trPr>
          <w:cantSplit/>
          <w:trHeight w:val="276"/>
        </w:trPr>
        <w:tc>
          <w:tcPr>
            <w:tcW w:w="2552" w:type="dxa"/>
          </w:tcPr>
          <w:p>
            <w:pPr>
              <w:pStyle w:val="yTableNAm"/>
            </w:pPr>
            <w:r>
              <w:t>Dongara</w:t>
            </w:r>
          </w:p>
        </w:tc>
        <w:tc>
          <w:tcPr>
            <w:tcW w:w="2410" w:type="dxa"/>
          </w:tcPr>
          <w:p>
            <w:pPr>
              <w:pStyle w:val="yTableNAm"/>
            </w:pPr>
            <w:r>
              <w:t>Port Hedland</w:t>
            </w:r>
          </w:p>
        </w:tc>
      </w:tr>
      <w:tr>
        <w:trPr>
          <w:cantSplit/>
          <w:trHeight w:val="276"/>
        </w:trPr>
        <w:tc>
          <w:tcPr>
            <w:tcW w:w="2552" w:type="dxa"/>
          </w:tcPr>
          <w:p>
            <w:pPr>
              <w:pStyle w:val="yTableNAm"/>
            </w:pPr>
            <w:r>
              <w:t>Esperance</w:t>
            </w:r>
          </w:p>
        </w:tc>
        <w:tc>
          <w:tcPr>
            <w:tcW w:w="2410" w:type="dxa"/>
          </w:tcPr>
          <w:p>
            <w:pPr>
              <w:pStyle w:val="yTableNAm"/>
            </w:pPr>
            <w:r>
              <w:t>Ravensthorpe</w:t>
            </w:r>
          </w:p>
        </w:tc>
      </w:tr>
      <w:tr>
        <w:trPr>
          <w:cantSplit/>
          <w:trHeight w:val="276"/>
        </w:trPr>
        <w:tc>
          <w:tcPr>
            <w:tcW w:w="2552" w:type="dxa"/>
          </w:tcPr>
          <w:p>
            <w:pPr>
              <w:pStyle w:val="yTableNAm"/>
            </w:pPr>
            <w:r>
              <w:t>Exmouth</w:t>
            </w:r>
          </w:p>
        </w:tc>
        <w:tc>
          <w:tcPr>
            <w:tcW w:w="2410" w:type="dxa"/>
          </w:tcPr>
          <w:p>
            <w:pPr>
              <w:pStyle w:val="yTableNAm"/>
            </w:pPr>
            <w:r>
              <w:t>Regans Ford</w:t>
            </w:r>
          </w:p>
        </w:tc>
      </w:tr>
      <w:tr>
        <w:trPr>
          <w:cantSplit/>
          <w:trHeight w:val="276"/>
        </w:trPr>
        <w:tc>
          <w:tcPr>
            <w:tcW w:w="2552" w:type="dxa"/>
          </w:tcPr>
          <w:p>
            <w:pPr>
              <w:pStyle w:val="yTableNAm"/>
            </w:pPr>
            <w:r>
              <w:t>Fitzroy Crossing</w:t>
            </w:r>
          </w:p>
        </w:tc>
        <w:tc>
          <w:tcPr>
            <w:tcW w:w="2410" w:type="dxa"/>
          </w:tcPr>
          <w:p>
            <w:pPr>
              <w:pStyle w:val="yTableNAm"/>
            </w:pPr>
            <w:r>
              <w:t>Tammin</w:t>
            </w:r>
          </w:p>
        </w:tc>
      </w:tr>
      <w:tr>
        <w:trPr>
          <w:cantSplit/>
          <w:trHeight w:val="276"/>
        </w:trPr>
        <w:tc>
          <w:tcPr>
            <w:tcW w:w="2552" w:type="dxa"/>
          </w:tcPr>
          <w:p>
            <w:pPr>
              <w:pStyle w:val="yTableNAm"/>
            </w:pPr>
            <w:r>
              <w:t>Jurien</w:t>
            </w:r>
          </w:p>
        </w:tc>
        <w:tc>
          <w:tcPr>
            <w:tcW w:w="2410" w:type="dxa"/>
          </w:tcPr>
          <w:p>
            <w:pPr>
              <w:pStyle w:val="yTableNAm"/>
            </w:pPr>
            <w:r>
              <w:t>Williams</w:t>
            </w:r>
          </w:p>
        </w:tc>
      </w:tr>
      <w:tr>
        <w:trPr>
          <w:cantSplit/>
          <w:trHeight w:val="276"/>
        </w:trPr>
        <w:tc>
          <w:tcPr>
            <w:tcW w:w="2552" w:type="dxa"/>
          </w:tcPr>
          <w:p>
            <w:pPr>
              <w:pStyle w:val="yTableNAm"/>
            </w:pPr>
            <w:r>
              <w:t>Kalgoorlie</w:t>
            </w:r>
          </w:p>
        </w:tc>
        <w:tc>
          <w:tcPr>
            <w:tcW w:w="2410" w:type="dxa"/>
          </w:tcPr>
          <w:p>
            <w:pPr>
              <w:pStyle w:val="yTableNAm"/>
            </w:pPr>
            <w:r>
              <w:t>Wubin</w:t>
            </w:r>
          </w:p>
        </w:tc>
      </w:tr>
      <w:tr>
        <w:trPr>
          <w:cantSplit/>
          <w:trHeight w:val="276"/>
        </w:trPr>
        <w:tc>
          <w:tcPr>
            <w:tcW w:w="2552" w:type="dxa"/>
          </w:tcPr>
          <w:p>
            <w:pPr>
              <w:pStyle w:val="yTableNAm"/>
            </w:pPr>
            <w:r>
              <w:t>Karratha</w:t>
            </w:r>
          </w:p>
        </w:tc>
        <w:tc>
          <w:tcPr>
            <w:tcW w:w="2410" w:type="dxa"/>
          </w:tcPr>
          <w:p>
            <w:pPr>
              <w:pStyle w:val="yTableNAm"/>
            </w:pPr>
            <w:r>
              <w:t>York</w:t>
            </w:r>
          </w:p>
        </w:tc>
      </w:tr>
      <w:tr>
        <w:trPr>
          <w:cantSplit/>
          <w:trHeight w:val="276"/>
        </w:trPr>
        <w:tc>
          <w:tcPr>
            <w:tcW w:w="2552" w:type="dxa"/>
          </w:tcPr>
          <w:p>
            <w:pPr>
              <w:pStyle w:val="yTableNAm"/>
            </w:pPr>
            <w:r>
              <w:t>Kellerberrin</w:t>
            </w:r>
          </w:p>
        </w:tc>
        <w:tc>
          <w:tcPr>
            <w:tcW w:w="2410" w:type="dxa"/>
          </w:tcPr>
          <w:p>
            <w:pPr>
              <w:pStyle w:val="yTableNAm"/>
            </w:pPr>
          </w:p>
        </w:tc>
      </w:tr>
    </w:tbl>
    <w:p>
      <w:pPr>
        <w:pStyle w:val="yFootnotesection"/>
      </w:pPr>
      <w:r>
        <w:tab/>
        <w:t>[Schedule 1 inserted: Gazette 13 May 2003 p. 1665</w:t>
      </w:r>
      <w:r>
        <w:noBreakHyphen/>
        <w:t>6; amended: Gazette 3 Oct 2006 p. 4337; 15 May 2015 p. 1720; 21 Oct 2016 p. 4782; 17 Oct 2017 p. 5336</w:t>
      </w:r>
      <w:r>
        <w:noBreakHyphen/>
        <w:t>7; 22 Dec 2017 p. 5977; 1 May 2018 p. 1432; 27 Nov 2018 p. 4575.]</w:t>
      </w:r>
    </w:p>
    <w:p>
      <w:pPr>
        <w:pStyle w:val="yScheduleHeading"/>
      </w:pPr>
      <w:bookmarkStart w:id="37" w:name="_Toc512934658"/>
      <w:bookmarkStart w:id="38" w:name="_Toc512946300"/>
      <w:bookmarkStart w:id="39" w:name="_Toc531083831"/>
      <w:r>
        <w:rPr>
          <w:rStyle w:val="CharSchNo"/>
        </w:rPr>
        <w:t>Schedule 2</w:t>
      </w:r>
      <w:r>
        <w:t> — </w:t>
      </w:r>
      <w:r>
        <w:rPr>
          <w:rStyle w:val="CharSchText"/>
        </w:rPr>
        <w:t>Prescribed offences and modified penalties</w:t>
      </w:r>
      <w:bookmarkEnd w:id="37"/>
      <w:bookmarkEnd w:id="38"/>
      <w:bookmarkEnd w:id="39"/>
    </w:p>
    <w:p>
      <w:pPr>
        <w:pStyle w:val="yShoulderClause"/>
      </w:pPr>
      <w:r>
        <w:t>[r. 11, 12]</w:t>
      </w:r>
    </w:p>
    <w:p>
      <w:pPr>
        <w:pStyle w:val="yFootnoteheading"/>
      </w:pPr>
      <w:r>
        <w:tab/>
        <w:t>[Heading inserted: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540"/>
        <w:gridCol w:w="992"/>
      </w:tblGrid>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11(1)</w:t>
            </w:r>
          </w:p>
        </w:tc>
        <w:tc>
          <w:tcPr>
            <w:tcW w:w="4540"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tcPr>
          <w:p>
            <w:pPr>
              <w:pStyle w:val="yTable"/>
            </w:pPr>
            <w:r>
              <w:t>s. 14(1)</w:t>
            </w:r>
          </w:p>
        </w:tc>
        <w:tc>
          <w:tcPr>
            <w:tcW w:w="4540"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tcPr>
          <w:p>
            <w:pPr>
              <w:pStyle w:val="yTable"/>
            </w:pPr>
            <w:r>
              <w:t>s. 14(2)</w:t>
            </w:r>
          </w:p>
        </w:tc>
        <w:tc>
          <w:tcPr>
            <w:tcW w:w="4540"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tcPr>
          <w:p>
            <w:pPr>
              <w:pStyle w:val="yTable"/>
            </w:pPr>
            <w:r>
              <w:t>s. 17</w:t>
            </w:r>
          </w:p>
        </w:tc>
        <w:tc>
          <w:tcPr>
            <w:tcW w:w="4540"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tcPr>
          <w:p>
            <w:pPr>
              <w:pStyle w:val="yTable"/>
            </w:pPr>
            <w:r>
              <w:t>s. 21</w:t>
            </w:r>
          </w:p>
        </w:tc>
        <w:tc>
          <w:tcPr>
            <w:tcW w:w="4540"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tcPr>
          <w:p>
            <w:pPr>
              <w:pStyle w:val="yTable"/>
            </w:pPr>
            <w:r>
              <w:rPr>
                <w:szCs w:val="22"/>
              </w:rPr>
              <w:t>s. 22B</w:t>
            </w:r>
          </w:p>
        </w:tc>
        <w:tc>
          <w:tcPr>
            <w:tcW w:w="4540" w:type="dxa"/>
          </w:tcPr>
          <w:p>
            <w:pPr>
              <w:pStyle w:val="yTable"/>
            </w:pPr>
            <w:r>
              <w:t xml:space="preserve">Failing to notify Commissioner of </w:t>
            </w:r>
            <w:r>
              <w:rPr>
                <w:szCs w:val="22"/>
              </w:rPr>
              <w:t>proposed price change</w:t>
            </w:r>
            <w:r>
              <w:t xml:space="preserve"> at declared terminal .....................</w:t>
            </w:r>
          </w:p>
        </w:tc>
        <w:tc>
          <w:tcPr>
            <w:tcW w:w="992" w:type="dxa"/>
          </w:tcPr>
          <w:p>
            <w:pPr>
              <w:pStyle w:val="yTable"/>
            </w:pPr>
            <w:r>
              <w:br/>
              <w:t>$4 000</w:t>
            </w:r>
          </w:p>
        </w:tc>
      </w:tr>
      <w:tr>
        <w:trPr>
          <w:cantSplit/>
          <w:trHeight w:val="21"/>
        </w:trPr>
        <w:tc>
          <w:tcPr>
            <w:tcW w:w="1276" w:type="dxa"/>
          </w:tcPr>
          <w:p>
            <w:pPr>
              <w:pStyle w:val="yTable"/>
            </w:pPr>
            <w:r>
              <w:t>s. 22E(1)</w:t>
            </w:r>
          </w:p>
        </w:tc>
        <w:tc>
          <w:tcPr>
            <w:tcW w:w="4540" w:type="dxa"/>
          </w:tcPr>
          <w:p>
            <w:pPr>
              <w:pStyle w:val="yTable"/>
            </w:pPr>
            <w:r>
              <w:t xml:space="preserve">Failing to show in invoice </w:t>
            </w:r>
            <w:r>
              <w:rPr>
                <w:szCs w:val="22"/>
              </w:rPr>
              <w:t>relevant</w:t>
            </w:r>
            <w:r>
              <w:t xml:space="preserve"> and maximum prices ....................................................</w:t>
            </w:r>
          </w:p>
        </w:tc>
        <w:tc>
          <w:tcPr>
            <w:tcW w:w="992" w:type="dxa"/>
          </w:tcPr>
          <w:p>
            <w:pPr>
              <w:pStyle w:val="yTable"/>
            </w:pPr>
            <w:r>
              <w:br/>
              <w:t>$4 000</w:t>
            </w:r>
          </w:p>
        </w:tc>
      </w:tr>
      <w:tr>
        <w:trPr>
          <w:cantSplit/>
          <w:trHeight w:val="21"/>
        </w:trPr>
        <w:tc>
          <w:tcPr>
            <w:tcW w:w="1276" w:type="dxa"/>
          </w:tcPr>
          <w:p>
            <w:pPr>
              <w:pStyle w:val="yTable"/>
            </w:pPr>
            <w:r>
              <w:t>s. 22E(2)</w:t>
            </w:r>
          </w:p>
        </w:tc>
        <w:tc>
          <w:tcPr>
            <w:tcW w:w="4540" w:type="dxa"/>
          </w:tcPr>
          <w:p>
            <w:pPr>
              <w:pStyle w:val="yTable"/>
            </w:pPr>
            <w:r>
              <w:t xml:space="preserve">Failing to show in invoice </w:t>
            </w:r>
            <w:r>
              <w:rPr>
                <w:szCs w:val="22"/>
              </w:rPr>
              <w:t>relevant</w:t>
            </w:r>
            <w:r>
              <w:t xml:space="preserve"> and maximum prices and details of any difference in prices .....................................................................</w:t>
            </w:r>
          </w:p>
        </w:tc>
        <w:tc>
          <w:tcPr>
            <w:tcW w:w="992" w:type="dxa"/>
          </w:tcPr>
          <w:p>
            <w:pPr>
              <w:pStyle w:val="yTable"/>
            </w:pPr>
            <w:r>
              <w:br/>
            </w:r>
            <w:r>
              <w:br/>
              <w:t>$4 000</w:t>
            </w:r>
          </w:p>
        </w:tc>
      </w:tr>
      <w:tr>
        <w:trPr>
          <w:cantSplit/>
          <w:trHeight w:val="21"/>
        </w:trPr>
        <w:tc>
          <w:tcPr>
            <w:tcW w:w="1276" w:type="dxa"/>
          </w:tcPr>
          <w:p>
            <w:pPr>
              <w:pStyle w:val="yTable"/>
            </w:pPr>
            <w:r>
              <w:t>s. 22E(4)</w:t>
            </w:r>
          </w:p>
        </w:tc>
        <w:tc>
          <w:tcPr>
            <w:tcW w:w="4540"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tcPr>
          <w:p>
            <w:pPr>
              <w:pStyle w:val="yTable"/>
            </w:pPr>
            <w:r>
              <w:t>s. 22F(2)</w:t>
            </w:r>
          </w:p>
        </w:tc>
        <w:tc>
          <w:tcPr>
            <w:tcW w:w="4540"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tcPr>
          <w:p>
            <w:pPr>
              <w:pStyle w:val="yTable"/>
            </w:pPr>
            <w:r>
              <w:t>s. 27(5)(a)</w:t>
            </w:r>
          </w:p>
        </w:tc>
        <w:tc>
          <w:tcPr>
            <w:tcW w:w="4540"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tcPr>
          <w:p>
            <w:pPr>
              <w:pStyle w:val="yTable"/>
            </w:pPr>
            <w:r>
              <w:t>s. 27A(5)(a)</w:t>
            </w:r>
          </w:p>
        </w:tc>
        <w:tc>
          <w:tcPr>
            <w:tcW w:w="4540"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276" w:type="dxa"/>
          </w:tcPr>
          <w:p>
            <w:pPr>
              <w:pStyle w:val="yTable"/>
            </w:pPr>
            <w:r>
              <w:t>r. 3(1)</w:t>
            </w:r>
          </w:p>
        </w:tc>
        <w:tc>
          <w:tcPr>
            <w:tcW w:w="4540" w:type="dxa"/>
          </w:tcPr>
          <w:p>
            <w:pPr>
              <w:pStyle w:val="yTable"/>
            </w:pPr>
            <w:r>
              <w:t>Offering motor fuel for sale at other than standard retail price notified to Commissioner .....</w:t>
            </w:r>
          </w:p>
        </w:tc>
        <w:tc>
          <w:tcPr>
            <w:tcW w:w="992" w:type="dxa"/>
          </w:tcPr>
          <w:p>
            <w:pPr>
              <w:pStyle w:val="yTable"/>
            </w:pPr>
            <w:r>
              <w:br/>
              <w:t>$1 000</w:t>
            </w:r>
          </w:p>
        </w:tc>
      </w:tr>
      <w:tr>
        <w:trPr>
          <w:cantSplit/>
          <w:trHeight w:val="21"/>
        </w:trPr>
        <w:tc>
          <w:tcPr>
            <w:tcW w:w="1276" w:type="dxa"/>
            <w:tcBorders>
              <w:bottom w:val="single" w:sz="4" w:space="0" w:color="auto"/>
            </w:tcBorders>
          </w:tcPr>
          <w:p>
            <w:pPr>
              <w:pStyle w:val="yTable"/>
            </w:pPr>
            <w:r>
              <w:t>r. 6(1)</w:t>
            </w:r>
          </w:p>
        </w:tc>
        <w:tc>
          <w:tcPr>
            <w:tcW w:w="4540" w:type="dxa"/>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t>$1 000</w:t>
            </w:r>
          </w:p>
        </w:tc>
      </w:tr>
    </w:tbl>
    <w:p>
      <w:pPr>
        <w:pStyle w:val="yFootnotesection"/>
      </w:pPr>
      <w:r>
        <w:tab/>
        <w:t>[Schedule 2 inserted: Gazette 22 Sep 2006 p. 4125</w:t>
      </w:r>
      <w:r>
        <w:noBreakHyphen/>
        <w:t>6; amended: Gazette 18 Nov 2014 p. 4323.]</w:t>
      </w:r>
    </w:p>
    <w:p>
      <w:pPr>
        <w:pStyle w:val="yScheduleHeading"/>
      </w:pPr>
      <w:bookmarkStart w:id="40" w:name="_Toc512934659"/>
      <w:bookmarkStart w:id="41" w:name="_Toc512946301"/>
      <w:bookmarkStart w:id="42" w:name="_Toc531083832"/>
      <w:r>
        <w:rPr>
          <w:rStyle w:val="CharSchNo"/>
        </w:rPr>
        <w:t>Schedule 3</w:t>
      </w:r>
      <w:r>
        <w:t> — </w:t>
      </w:r>
      <w:r>
        <w:rPr>
          <w:rStyle w:val="CharSchText"/>
        </w:rPr>
        <w:t>Forms</w:t>
      </w:r>
      <w:bookmarkEnd w:id="40"/>
      <w:bookmarkEnd w:id="41"/>
      <w:bookmarkEnd w:id="42"/>
    </w:p>
    <w:p>
      <w:pPr>
        <w:pStyle w:val="yShoulderClause"/>
      </w:pPr>
      <w:r>
        <w:t>[r. 13 and 14]</w:t>
      </w:r>
    </w:p>
    <w:p>
      <w:pPr>
        <w:pStyle w:val="yFootnoteheading"/>
      </w:pPr>
      <w:r>
        <w:tab/>
        <w:t>[Heading inserted: Gazette 15 Aug 2014 p. 2934.]</w:t>
      </w:r>
    </w:p>
    <w:p>
      <w:pPr>
        <w:pStyle w:val="yMiscellaneousHeading"/>
        <w:rPr>
          <w:b/>
          <w:i/>
        </w:rPr>
      </w:pPr>
      <w:r>
        <w:rPr>
          <w:b/>
        </w:rPr>
        <w:t xml:space="preserve">Form 1 — Infringement notice relating to offence under </w:t>
      </w:r>
      <w:r>
        <w:rPr>
          <w:b/>
          <w:i/>
        </w:rPr>
        <w:t>Petroleum Products Pricing Act 1983</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425"/>
        <w:gridCol w:w="1419"/>
        <w:gridCol w:w="566"/>
        <w:gridCol w:w="426"/>
        <w:gridCol w:w="1560"/>
      </w:tblGrid>
      <w:tr>
        <w:trPr>
          <w:cantSplit/>
          <w:trHeight w:val="282"/>
        </w:trPr>
        <w:tc>
          <w:tcPr>
            <w:tcW w:w="4820" w:type="dxa"/>
            <w:gridSpan w:val="5"/>
          </w:tcPr>
          <w:p>
            <w:pPr>
              <w:pStyle w:val="yTableNAm"/>
              <w:rPr>
                <w:i/>
              </w:rPr>
            </w:pPr>
            <w:r>
              <w:rPr>
                <w:b/>
              </w:rPr>
              <w:br w:type="page"/>
            </w:r>
            <w:r>
              <w:rPr>
                <w:i/>
              </w:rPr>
              <w:t>Petroleum Products Pricing Act 1983</w:t>
            </w:r>
          </w:p>
          <w:p>
            <w:pPr>
              <w:pStyle w:val="yTableNAm"/>
              <w:rPr>
                <w:b/>
                <w:sz w:val="28"/>
              </w:rPr>
            </w:pPr>
            <w:r>
              <w:rPr>
                <w:b/>
                <w:sz w:val="28"/>
              </w:rPr>
              <w:t>INFRINGEMENT NOTICE</w:t>
            </w:r>
          </w:p>
        </w:tc>
        <w:tc>
          <w:tcPr>
            <w:tcW w:w="198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pPr>
            <w:r>
              <w:t>Name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3971"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3971" w:type="dxa"/>
            <w:gridSpan w:val="4"/>
          </w:tcPr>
          <w:p>
            <w:pPr>
              <w:pStyle w:val="yTableNAm"/>
            </w:pPr>
          </w:p>
        </w:tc>
      </w:tr>
      <w:tr>
        <w:trPr>
          <w:cantSplit/>
          <w:trHeight w:val="31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Pr>
        <w:tc>
          <w:tcPr>
            <w:tcW w:w="1418" w:type="dxa"/>
          </w:tcPr>
          <w:p>
            <w:pPr>
              <w:pStyle w:val="yTableNAm"/>
              <w:rPr>
                <w:b/>
              </w:rPr>
            </w:pPr>
            <w:r>
              <w:rPr>
                <w:b/>
              </w:rPr>
              <w:t>Date</w:t>
            </w:r>
          </w:p>
        </w:tc>
        <w:tc>
          <w:tcPr>
            <w:tcW w:w="1417" w:type="dxa"/>
            <w:gridSpan w:val="2"/>
          </w:tcPr>
          <w:p>
            <w:pPr>
              <w:pStyle w:val="yTableNAm"/>
            </w:pPr>
            <w:r>
              <w:t>Date of notice</w:t>
            </w:r>
          </w:p>
        </w:tc>
        <w:tc>
          <w:tcPr>
            <w:tcW w:w="3971" w:type="dxa"/>
            <w:gridSpan w:val="4"/>
          </w:tcPr>
          <w:p>
            <w:pPr>
              <w:pStyle w:val="yTableNAm"/>
            </w:pPr>
          </w:p>
        </w:tc>
      </w:tr>
      <w:tr>
        <w:trPr>
          <w:cantSplit/>
        </w:trPr>
        <w:tc>
          <w:tcPr>
            <w:tcW w:w="1418" w:type="dxa"/>
            <w:vMerge w:val="restart"/>
          </w:tcPr>
          <w:p>
            <w:pPr>
              <w:pStyle w:val="yTableNAm"/>
              <w:rPr>
                <w:b/>
              </w:rPr>
            </w:pPr>
            <w:r>
              <w:rPr>
                <w:b/>
              </w:rPr>
              <w:t>Authorised person giving notice</w:t>
            </w:r>
          </w:p>
        </w:tc>
        <w:tc>
          <w:tcPr>
            <w:tcW w:w="1417" w:type="dxa"/>
            <w:gridSpan w:val="2"/>
          </w:tcPr>
          <w:p>
            <w:pPr>
              <w:pStyle w:val="yTableNAm"/>
            </w:pPr>
            <w:r>
              <w:t>Name</w:t>
            </w:r>
          </w:p>
        </w:tc>
        <w:tc>
          <w:tcPr>
            <w:tcW w:w="3971" w:type="dxa"/>
            <w:gridSpan w:val="4"/>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3971" w:type="dxa"/>
            <w:gridSpan w:val="4"/>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3971" w:type="dxa"/>
            <w:gridSpan w:val="4"/>
          </w:tcPr>
          <w:p>
            <w:pPr>
              <w:pStyle w:val="yTableNAm"/>
            </w:pPr>
          </w:p>
        </w:tc>
      </w:tr>
      <w:tr>
        <w:trPr>
          <w:trHeight w:val="604"/>
        </w:trPr>
        <w:tc>
          <w:tcPr>
            <w:tcW w:w="1418" w:type="dxa"/>
          </w:tcPr>
          <w:p>
            <w:pPr>
              <w:pStyle w:val="yTableNAm"/>
              <w:rPr>
                <w:b/>
              </w:rPr>
            </w:pPr>
            <w:r>
              <w:rPr>
                <w:b/>
              </w:rPr>
              <w:t>Modified penalty</w:t>
            </w:r>
          </w:p>
        </w:tc>
        <w:tc>
          <w:tcPr>
            <w:tcW w:w="5388" w:type="dxa"/>
            <w:gridSpan w:val="6"/>
          </w:tcPr>
          <w:p>
            <w:pPr>
              <w:pStyle w:val="yTableNAm"/>
            </w:pPr>
            <w:r>
              <w:t>$_________</w:t>
            </w:r>
          </w:p>
        </w:tc>
      </w:tr>
      <w:tr>
        <w:trPr>
          <w:trHeight w:val="1385"/>
        </w:trPr>
        <w:tc>
          <w:tcPr>
            <w:tcW w:w="1418" w:type="dxa"/>
          </w:tcPr>
          <w:p>
            <w:pPr>
              <w:pStyle w:val="yTableNAm"/>
              <w:rPr>
                <w:b/>
              </w:rPr>
            </w:pPr>
            <w:r>
              <w:rPr>
                <w:b/>
              </w:rPr>
              <w:t>Penalty</w:t>
            </w:r>
          </w:p>
        </w:tc>
        <w:tc>
          <w:tcPr>
            <w:tcW w:w="1417" w:type="dxa"/>
            <w:gridSpan w:val="2"/>
          </w:tcPr>
          <w:p>
            <w:pPr>
              <w:pStyle w:val="yTableNAm"/>
            </w:pPr>
            <w:r>
              <w:t>$_________</w:t>
            </w:r>
          </w:p>
        </w:tc>
        <w:tc>
          <w:tcPr>
            <w:tcW w:w="3971" w:type="dxa"/>
            <w:gridSpan w:val="4"/>
          </w:tcPr>
          <w:p>
            <w:pPr>
              <w:pStyle w:val="yTableNAm"/>
            </w:pPr>
            <w:r>
              <w:t>You do not have to pay this amount. This is the maximum fine that can be imposed if you are prosecuted in a court and convicted of this offence.</w:t>
            </w:r>
          </w:p>
        </w:tc>
      </w:tr>
      <w:tr>
        <w:trPr>
          <w:trHeight w:val="401"/>
        </w:trPr>
        <w:tc>
          <w:tcPr>
            <w:tcW w:w="1418" w:type="dxa"/>
          </w:tcPr>
          <w:p>
            <w:pPr>
              <w:pStyle w:val="yTableNAm"/>
              <w:rPr>
                <w:b/>
              </w:rPr>
            </w:pPr>
            <w:r>
              <w:rPr>
                <w:b/>
              </w:rPr>
              <w:t xml:space="preserve">TAKE NOTICE </w:t>
            </w:r>
          </w:p>
        </w:tc>
        <w:tc>
          <w:tcPr>
            <w:tcW w:w="5388" w:type="dxa"/>
            <w:gridSpan w:val="6"/>
          </w:tcPr>
          <w:p>
            <w:pPr>
              <w:pStyle w:val="yTableNAm"/>
            </w:pPr>
            <w:r>
              <w:t>It is alleged that you have committed the above offence.</w:t>
            </w:r>
          </w:p>
          <w:p>
            <w:pPr>
              <w:pStyle w:val="yTableNAm"/>
              <w:spacing w:before="80"/>
            </w:pPr>
            <w:r>
              <w:rPr>
                <w:b/>
              </w:rPr>
              <w:t>If you do not want to be prosecuted in court for the offence</w:t>
            </w:r>
            <w:r>
              <w:t>, pay the modified penalty within 28 days after the date of this notice.</w:t>
            </w:r>
          </w:p>
          <w:p>
            <w:pPr>
              <w:pStyle w:val="yTableNAm"/>
              <w:spacing w:before="8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80"/>
            </w:pPr>
            <w:r>
              <w:rPr>
                <w:b/>
              </w:rPr>
              <w:t>If you need more time</w:t>
            </w:r>
            <w:r>
              <w:t xml:space="preserve"> to pay the modified penalty, you should contact the authorised person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 xml:space="preserve">If you want this matter to be dealt with by prosecution in court, </w:t>
            </w:r>
            <w:r>
              <w:t xml:space="preserve">sign and date here: </w:t>
            </w:r>
          </w:p>
          <w:p>
            <w:pPr>
              <w:pStyle w:val="yTableNAm"/>
            </w:pPr>
            <w:r>
              <w:t xml:space="preserve">__________________________________               /    /20   </w:t>
            </w:r>
            <w:r>
              <w:br/>
              <w:t>and post this notice to the authorised person at the address below within 28 days after the date of this notice.</w:t>
            </w:r>
          </w:p>
          <w:p>
            <w:pPr>
              <w:pStyle w:val="yTableNAm"/>
            </w:pPr>
            <w:r>
              <w:t>If you consider that you have good reason to have this notice withdrawn, you can write to the authorised person at the address below requesting that this notice be withdrawn and setting out the reasons why you consider that this notice should be withdrawn. Your letter must be received not later than 28 days after the date of this notice.</w:t>
            </w:r>
          </w:p>
        </w:tc>
      </w:tr>
      <w:tr>
        <w:trPr>
          <w:trHeight w:val="401"/>
        </w:trPr>
        <w:tc>
          <w:tcPr>
            <w:tcW w:w="1418" w:type="dxa"/>
            <w:vMerge w:val="restart"/>
          </w:tcPr>
          <w:p>
            <w:pPr>
              <w:pStyle w:val="yTableNAm"/>
              <w:keepNext/>
              <w:rPr>
                <w:b/>
              </w:rPr>
            </w:pPr>
            <w:r>
              <w:rPr>
                <w:b/>
              </w:rPr>
              <w:t>How to pay</w:t>
            </w:r>
          </w:p>
        </w:tc>
        <w:tc>
          <w:tcPr>
            <w:tcW w:w="992" w:type="dxa"/>
          </w:tcPr>
          <w:p>
            <w:pPr>
              <w:pStyle w:val="yTableNAm"/>
              <w:keepNext/>
            </w:pPr>
            <w:r>
              <w:t>By post</w:t>
            </w:r>
          </w:p>
        </w:tc>
        <w:tc>
          <w:tcPr>
            <w:tcW w:w="4396" w:type="dxa"/>
            <w:gridSpan w:val="5"/>
          </w:tcPr>
          <w:p>
            <w:pPr>
              <w:pStyle w:val="yTableNAm"/>
              <w:keepNext/>
            </w:pPr>
            <w:r>
              <w:t>Tick the relevant box below and post this notice to:</w:t>
            </w:r>
          </w:p>
          <w:p>
            <w:pPr>
              <w:pStyle w:val="yTableNAm"/>
              <w:keepNext/>
            </w:pPr>
            <w:r>
              <w:t>Commissioner for Consumer Protection</w:t>
            </w:r>
            <w:r>
              <w:br/>
              <w:t>Department of Commerce</w:t>
            </w:r>
            <w:r>
              <w:br/>
              <w:t>Locked Bag 14</w:t>
            </w:r>
            <w:r>
              <w:br/>
              <w:t>CLOISTERS SQUARE   WA   6850</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A cheque or money order (payable to ‘Commissioner for Consumer Protection’) for the modified penalty is enclosed.</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pPr>
              <w:pStyle w:val="yTableNAm"/>
              <w:keepNext/>
            </w:pPr>
            <w:r>
              <w:t>Card type _____________________________</w:t>
            </w:r>
          </w:p>
          <w:p>
            <w:pPr>
              <w:pStyle w:val="yTableNAm"/>
              <w:keepNext/>
            </w:pPr>
            <w:r>
              <w:t>Cardholder name _______________________</w:t>
            </w:r>
          </w:p>
          <w:p>
            <w:pPr>
              <w:pStyle w:val="yTableNAm"/>
              <w:keepNext/>
            </w:pPr>
            <w:r>
              <w:t>Card number</w:t>
            </w:r>
          </w:p>
          <w:p>
            <w:pPr>
              <w:pStyle w:val="yTableNAm"/>
              <w:keepNext/>
            </w:pPr>
            <w:r>
              <w:t>[ ] [ ] [ ] [ ] [ ] [ ] [ ] [ ] [ ] [ ] [ ] [ ] [ ] [ ] [ ] [ ]</w:t>
            </w:r>
          </w:p>
          <w:p>
            <w:pPr>
              <w:pStyle w:val="yTableNAm"/>
              <w:keepNext/>
            </w:pPr>
            <w:r>
              <w:t>Expiry date of card _____/_____</w:t>
            </w:r>
          </w:p>
          <w:p>
            <w:pPr>
              <w:pStyle w:val="yTableNAm"/>
              <w:keepNext/>
            </w:pPr>
            <w:r>
              <w:t>Amount $__________</w:t>
            </w:r>
          </w:p>
          <w:p>
            <w:pPr>
              <w:pStyle w:val="yTableNAm"/>
              <w:keepNext/>
            </w:pPr>
            <w:r>
              <w:t>Signature ____________________</w:t>
            </w:r>
          </w:p>
          <w:p>
            <w:pPr>
              <w:pStyle w:val="yTableNAm"/>
              <w:keepNext/>
            </w:pPr>
            <w:r>
              <w:rPr>
                <w:b/>
              </w:rPr>
              <w:t>Complete all details</w:t>
            </w:r>
          </w:p>
        </w:tc>
      </w:tr>
      <w:tr>
        <w:trPr>
          <w:trHeight w:val="401"/>
        </w:trPr>
        <w:tc>
          <w:tcPr>
            <w:tcW w:w="1418" w:type="dxa"/>
            <w:vMerge/>
          </w:tcPr>
          <w:p>
            <w:pPr>
              <w:pStyle w:val="yTableNAm"/>
              <w:rPr>
                <w:b/>
              </w:rPr>
            </w:pPr>
          </w:p>
        </w:tc>
        <w:tc>
          <w:tcPr>
            <w:tcW w:w="992" w:type="dxa"/>
          </w:tcPr>
          <w:p>
            <w:pPr>
              <w:pStyle w:val="yTableNAm"/>
            </w:pPr>
            <w:r>
              <w:t>In person</w:t>
            </w:r>
          </w:p>
        </w:tc>
        <w:tc>
          <w:tcPr>
            <w:tcW w:w="4396" w:type="dxa"/>
            <w:gridSpan w:val="5"/>
          </w:tcPr>
          <w:p>
            <w:pPr>
              <w:pStyle w:val="yTableNAm"/>
            </w:pPr>
            <w:r>
              <w:t>Pay the cashier at:</w:t>
            </w:r>
          </w:p>
          <w:p>
            <w:pPr>
              <w:pStyle w:val="yTableNAm"/>
            </w:pPr>
            <w:r>
              <w:t>Department of Commerce</w:t>
            </w:r>
            <w:r>
              <w:br/>
            </w:r>
            <w:r>
              <w:rPr>
                <w:i/>
                <w:szCs w:val="22"/>
              </w:rPr>
              <w:t>[street address to be inserted]</w:t>
            </w:r>
          </w:p>
          <w:p>
            <w:pPr>
              <w:pStyle w:val="yTableNAm"/>
            </w:pPr>
          </w:p>
        </w:tc>
      </w:tr>
      <w:tr>
        <w:trPr>
          <w:trHeight w:val="310"/>
        </w:trPr>
        <w:tc>
          <w:tcPr>
            <w:tcW w:w="1418" w:type="dxa"/>
          </w:tcPr>
          <w:p>
            <w:pPr>
              <w:pStyle w:val="yTableNAm"/>
              <w:rPr>
                <w:b/>
              </w:rPr>
            </w:pPr>
            <w:r>
              <w:rPr>
                <w:b/>
              </w:rPr>
              <w:t>Method of service</w:t>
            </w:r>
          </w:p>
        </w:tc>
        <w:tc>
          <w:tcPr>
            <w:tcW w:w="2836" w:type="dxa"/>
            <w:gridSpan w:val="3"/>
          </w:tcPr>
          <w:p>
            <w:pPr>
              <w:pStyle w:val="yTableNAm"/>
            </w:pPr>
          </w:p>
        </w:tc>
        <w:tc>
          <w:tcPr>
            <w:tcW w:w="992" w:type="dxa"/>
            <w:gridSpan w:val="2"/>
            <w:shd w:val="clear" w:color="auto" w:fill="auto"/>
          </w:tcPr>
          <w:p>
            <w:pPr>
              <w:pStyle w:val="yTableNAm"/>
              <w:rPr>
                <w:b/>
              </w:rPr>
            </w:pPr>
            <w:r>
              <w:rPr>
                <w:b/>
              </w:rPr>
              <w:t>Date of service</w:t>
            </w:r>
          </w:p>
        </w:tc>
        <w:tc>
          <w:tcPr>
            <w:tcW w:w="1560" w:type="dxa"/>
            <w:shd w:val="clear" w:color="auto" w:fill="auto"/>
          </w:tcPr>
          <w:p>
            <w:pPr>
              <w:pStyle w:val="yTableNAm"/>
            </w:pPr>
          </w:p>
        </w:tc>
      </w:tr>
    </w:tbl>
    <w:p>
      <w:pPr>
        <w:pStyle w:val="yFootnotesection"/>
      </w:pPr>
      <w:r>
        <w:tab/>
        <w:t>[Form 1 inserted: Gazette 15 Aug 2014 p. 2934</w:t>
      </w:r>
      <w:r>
        <w:noBreakHyphen/>
        <w:t>6; amended: Gazette 18 Nov 2014 p. 4324.]</w:t>
      </w:r>
    </w:p>
    <w:p>
      <w:pPr>
        <w:pStyle w:val="yMiscellaneousHeading"/>
        <w:spacing w:before="240"/>
        <w:rPr>
          <w:b/>
        </w:rPr>
      </w:pPr>
      <w:r>
        <w:rPr>
          <w:b/>
        </w:rPr>
        <w:t xml:space="preserve">Form 2 — Withdrawal of infringement notice relating to offence under </w:t>
      </w:r>
      <w:r>
        <w:rPr>
          <w:b/>
          <w:i/>
        </w:rPr>
        <w:t>Petroleum Products Pricing Act 1983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rPr>
                <w:i/>
              </w:rPr>
            </w:pPr>
            <w:r>
              <w:rPr>
                <w:b/>
              </w:rPr>
              <w:br w:type="page"/>
            </w:r>
            <w:r>
              <w:rPr>
                <w:i/>
              </w:rPr>
              <w:t>Petroleum Products Pricing Act 1983</w:t>
            </w:r>
          </w:p>
          <w:p>
            <w:pPr>
              <w:pStyle w:val="yTableNAm"/>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Written law contravened</w:t>
            </w:r>
          </w:p>
        </w:tc>
        <w:tc>
          <w:tcPr>
            <w:tcW w:w="3685"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559" w:type="dxa"/>
            <w:vMerge/>
          </w:tcPr>
          <w:p>
            <w:pPr>
              <w:pStyle w:val="yTableNAm"/>
              <w:rPr>
                <w:b/>
              </w:rPr>
            </w:pPr>
          </w:p>
        </w:tc>
        <w:tc>
          <w:tcPr>
            <w:tcW w:w="1560"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Pr>
        <w:tc>
          <w:tcPr>
            <w:tcW w:w="1559" w:type="dxa"/>
            <w:vMerge w:val="restart"/>
          </w:tcPr>
          <w:p>
            <w:pPr>
              <w:pStyle w:val="yTableNAm"/>
              <w:rPr>
                <w:b/>
              </w:rPr>
            </w:pPr>
            <w:r>
              <w:rPr>
                <w:b/>
              </w:rPr>
              <w:t>Authorised person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rPr>
                <w:b/>
              </w:rPr>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pPr>
            <w:r>
              <w:t>[</w:t>
            </w:r>
            <w:r>
              <w:rPr>
                <w:i/>
                <w:sz w:val="18"/>
                <w:szCs w:val="18"/>
              </w:rPr>
              <w:t>*Delete whichever is not applicable</w:t>
            </w:r>
            <w: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rPr>
                <w:sz w:val="18"/>
                <w:szCs w:val="18"/>
              </w:rPr>
              <w:t>*</w:t>
            </w:r>
            <w:r>
              <w:t>Your refund is enclosed</w:t>
            </w:r>
          </w:p>
          <w:p>
            <w:pPr>
              <w:pStyle w:val="yTableNAm"/>
              <w:rPr>
                <w:i/>
              </w:rPr>
            </w:pPr>
            <w:r>
              <w:rPr>
                <w:i/>
              </w:rPr>
              <w:t>or</w:t>
            </w:r>
          </w:p>
          <w:p>
            <w:pPr>
              <w:pStyle w:val="yTableNAm"/>
            </w:pPr>
            <w:r>
              <w:rPr>
                <w:sz w:val="18"/>
                <w:szCs w:val="18"/>
              </w:rPr>
              <w:t>*</w:t>
            </w:r>
            <w:r>
              <w:t>If you have paid the modified penalty but a refund is not enclosed, you may claim your refund by signing and dating this notice and posting it to:</w:t>
            </w:r>
          </w:p>
          <w:p>
            <w:pPr>
              <w:pStyle w:val="yTableNAm"/>
            </w:pPr>
            <w:r>
              <w:t>Commissioner for Consumer Protection</w:t>
            </w:r>
            <w:r>
              <w:br/>
              <w:t>Department of Commerce</w:t>
            </w:r>
            <w:r>
              <w:br/>
              <w:t>Locked Bag 14</w:t>
            </w:r>
            <w:r>
              <w:b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pPr>
          </w:p>
        </w:tc>
        <w:tc>
          <w:tcPr>
            <w:tcW w:w="1134" w:type="dxa"/>
            <w:gridSpan w:val="2"/>
          </w:tcPr>
          <w:p>
            <w:pPr>
              <w:pStyle w:val="yTableNAm"/>
              <w:rPr>
                <w:b/>
              </w:rPr>
            </w:pPr>
            <w:r>
              <w:rPr>
                <w:b/>
              </w:rPr>
              <w:t>Date</w:t>
            </w:r>
          </w:p>
        </w:tc>
        <w:tc>
          <w:tcPr>
            <w:tcW w:w="1701" w:type="dxa"/>
          </w:tcPr>
          <w:p>
            <w:pPr>
              <w:pStyle w:val="yTableNAm"/>
            </w:pPr>
          </w:p>
        </w:tc>
      </w:tr>
    </w:tbl>
    <w:p>
      <w:pPr>
        <w:pStyle w:val="yFootnotesection"/>
      </w:pPr>
      <w:r>
        <w:tab/>
        <w:t>[Form 2 inserted: Gazette 15 Aug 2014 p. 2936</w:t>
      </w:r>
      <w:r>
        <w:noBreakHyphen/>
        <w:t>7.]</w:t>
      </w:r>
    </w:p>
    <w:p>
      <w:pPr>
        <w:pStyle w:val="CentredBaseLine"/>
        <w:jc w:val="center"/>
      </w:pPr>
      <w:r>
        <w:rPr>
          <w:noProof/>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WA"/>
        <w:spacing w:after="0"/>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44" w:name="_Toc512934660"/>
      <w:bookmarkStart w:id="45" w:name="_Toc512946302"/>
      <w:bookmarkStart w:id="46" w:name="_Toc531083833"/>
      <w:r>
        <w:t>Notes</w:t>
      </w:r>
      <w:bookmarkEnd w:id="44"/>
      <w:bookmarkEnd w:id="45"/>
      <w:bookmarkEnd w:id="46"/>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Products Pricing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47" w:name="_Toc531083834"/>
      <w:r>
        <w:t>Compilation table</w:t>
      </w:r>
      <w:bookmarkEnd w:id="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Petroleum Products Pricing Regulations 2000</w:t>
            </w:r>
          </w:p>
        </w:tc>
        <w:tc>
          <w:tcPr>
            <w:tcW w:w="1276" w:type="dxa"/>
            <w:tcBorders>
              <w:top w:val="single" w:sz="8" w:space="0" w:color="auto"/>
            </w:tcBorders>
          </w:tcPr>
          <w:p>
            <w:pPr>
              <w:pStyle w:val="nTable"/>
              <w:spacing w:after="40"/>
            </w:pPr>
            <w:r>
              <w:t>29 Dec 2000 p. 7981</w:t>
            </w:r>
            <w:r>
              <w:noBreakHyphen/>
              <w:t>5</w:t>
            </w:r>
          </w:p>
        </w:tc>
        <w:tc>
          <w:tcPr>
            <w:tcW w:w="2693" w:type="dxa"/>
            <w:tcBorders>
              <w:top w:val="single" w:sz="8" w:space="0" w:color="auto"/>
            </w:tcBorders>
          </w:tcPr>
          <w:p>
            <w:pPr>
              <w:pStyle w:val="nTable"/>
              <w:spacing w:after="40"/>
            </w:pPr>
            <w:r>
              <w:t>1 Jan 2001 (see r. 2)</w:t>
            </w:r>
          </w:p>
        </w:tc>
      </w:tr>
      <w:tr>
        <w:trPr>
          <w:cantSplit/>
        </w:trPr>
        <w:tc>
          <w:tcPr>
            <w:tcW w:w="3119" w:type="dxa"/>
          </w:tcPr>
          <w:p>
            <w:pPr>
              <w:pStyle w:val="nTable"/>
              <w:spacing w:after="40"/>
              <w:ind w:right="113"/>
              <w:rPr>
                <w:i/>
              </w:rPr>
            </w:pPr>
            <w:r>
              <w:rPr>
                <w:i/>
              </w:rPr>
              <w:t>Petroleum Products Pricing Amendment Regulations 2001</w:t>
            </w:r>
            <w:r>
              <w:rPr>
                <w:vertAlign w:val="superscript"/>
              </w:rPr>
              <w:t> 3</w:t>
            </w:r>
          </w:p>
        </w:tc>
        <w:tc>
          <w:tcPr>
            <w:tcW w:w="1276" w:type="dxa"/>
          </w:tcPr>
          <w:p>
            <w:pPr>
              <w:pStyle w:val="nTable"/>
              <w:spacing w:after="40"/>
            </w:pPr>
            <w:r>
              <w:t>11 Jul 2001 p. 3457</w:t>
            </w:r>
            <w:r>
              <w:noBreakHyphen/>
              <w:t>62</w:t>
            </w:r>
          </w:p>
        </w:tc>
        <w:tc>
          <w:tcPr>
            <w:tcW w:w="2693" w:type="dxa"/>
          </w:tcPr>
          <w:p>
            <w:pPr>
              <w:pStyle w:val="nTable"/>
              <w:spacing w:after="40"/>
            </w:pPr>
            <w:r>
              <w:t>12 Jul 2001 (see r. 2)</w:t>
            </w:r>
          </w:p>
        </w:tc>
      </w:tr>
      <w:tr>
        <w:trPr>
          <w:cantSplit/>
        </w:trPr>
        <w:tc>
          <w:tcPr>
            <w:tcW w:w="3119" w:type="dxa"/>
          </w:tcPr>
          <w:p>
            <w:pPr>
              <w:pStyle w:val="nTable"/>
              <w:spacing w:after="40"/>
              <w:ind w:right="113"/>
              <w:rPr>
                <w:i/>
              </w:rPr>
            </w:pPr>
            <w:r>
              <w:rPr>
                <w:i/>
              </w:rPr>
              <w:t>Petroleum Products Pricing Amendment Regulations (No. 2) 2001</w:t>
            </w:r>
          </w:p>
        </w:tc>
        <w:tc>
          <w:tcPr>
            <w:tcW w:w="1276" w:type="dxa"/>
          </w:tcPr>
          <w:p>
            <w:pPr>
              <w:pStyle w:val="nTable"/>
              <w:spacing w:after="40"/>
            </w:pPr>
            <w:r>
              <w:t>23 Aug 2001 p. 4378</w:t>
            </w:r>
            <w:r>
              <w:noBreakHyphen/>
              <w:t>81</w:t>
            </w:r>
          </w:p>
        </w:tc>
        <w:tc>
          <w:tcPr>
            <w:tcW w:w="2693" w:type="dxa"/>
          </w:tcPr>
          <w:p>
            <w:pPr>
              <w:pStyle w:val="nTable"/>
              <w:spacing w:after="40"/>
            </w:pPr>
            <w:r>
              <w:t xml:space="preserve">24 Aug 2001 (see r. 2 and </w:t>
            </w:r>
            <w:r>
              <w:rPr>
                <w:i/>
              </w:rPr>
              <w:t>Gazette</w:t>
            </w:r>
            <w:r>
              <w:t xml:space="preserve"> 23 Aug 2001 p. 4377)</w:t>
            </w:r>
          </w:p>
        </w:tc>
      </w:tr>
      <w:tr>
        <w:trPr>
          <w:cantSplit/>
        </w:trPr>
        <w:tc>
          <w:tcPr>
            <w:tcW w:w="3119" w:type="dxa"/>
          </w:tcPr>
          <w:p>
            <w:pPr>
              <w:pStyle w:val="nTable"/>
              <w:spacing w:after="40"/>
              <w:ind w:right="113"/>
              <w:rPr>
                <w:i/>
              </w:rPr>
            </w:pPr>
            <w:r>
              <w:rPr>
                <w:i/>
              </w:rPr>
              <w:t>Petroleum Products Pricing Amendment Regulations (No. 3) 2001</w:t>
            </w:r>
          </w:p>
        </w:tc>
        <w:tc>
          <w:tcPr>
            <w:tcW w:w="1276" w:type="dxa"/>
          </w:tcPr>
          <w:p>
            <w:pPr>
              <w:pStyle w:val="nTable"/>
              <w:spacing w:after="40"/>
            </w:pPr>
            <w:r>
              <w:t>9 Nov 2001 p. 5925</w:t>
            </w:r>
            <w:r>
              <w:noBreakHyphen/>
              <w:t>9</w:t>
            </w:r>
          </w:p>
        </w:tc>
        <w:tc>
          <w:tcPr>
            <w:tcW w:w="2693" w:type="dxa"/>
          </w:tcPr>
          <w:p>
            <w:pPr>
              <w:pStyle w:val="nTable"/>
              <w:spacing w:after="40"/>
            </w:pPr>
            <w:r>
              <w:t>9 Nov 2001</w:t>
            </w:r>
          </w:p>
        </w:tc>
      </w:tr>
      <w:tr>
        <w:trPr>
          <w:cantSplit/>
        </w:trPr>
        <w:tc>
          <w:tcPr>
            <w:tcW w:w="3119" w:type="dxa"/>
          </w:tcPr>
          <w:p>
            <w:pPr>
              <w:pStyle w:val="nTable"/>
              <w:spacing w:after="40"/>
              <w:ind w:right="113"/>
              <w:rPr>
                <w:i/>
              </w:rPr>
            </w:pPr>
            <w:r>
              <w:rPr>
                <w:i/>
              </w:rPr>
              <w:t>Petroleum Products Pricing Amendment Regulations (No. 4) 2001</w:t>
            </w:r>
            <w:r>
              <w:rPr>
                <w:vertAlign w:val="superscript"/>
              </w:rPr>
              <w:t> 4</w:t>
            </w:r>
          </w:p>
        </w:tc>
        <w:tc>
          <w:tcPr>
            <w:tcW w:w="1276" w:type="dxa"/>
          </w:tcPr>
          <w:p>
            <w:pPr>
              <w:pStyle w:val="nTable"/>
              <w:spacing w:after="40"/>
            </w:pPr>
            <w:r>
              <w:t>16 Nov 2001 p. 5981</w:t>
            </w:r>
            <w:r>
              <w:noBreakHyphen/>
              <w:t>2</w:t>
            </w:r>
          </w:p>
        </w:tc>
        <w:tc>
          <w:tcPr>
            <w:tcW w:w="2693" w:type="dxa"/>
          </w:tcPr>
          <w:p>
            <w:pPr>
              <w:pStyle w:val="nTable"/>
              <w:spacing w:after="40"/>
            </w:pPr>
            <w:r>
              <w:t>23 Nov 2001 (see r. 2)</w:t>
            </w:r>
          </w:p>
        </w:tc>
      </w:tr>
      <w:tr>
        <w:trPr>
          <w:cantSplit/>
        </w:trPr>
        <w:tc>
          <w:tcPr>
            <w:tcW w:w="3119" w:type="dxa"/>
          </w:tcPr>
          <w:p>
            <w:pPr>
              <w:pStyle w:val="nTable"/>
              <w:spacing w:after="40"/>
              <w:ind w:right="113"/>
              <w:rPr>
                <w:i/>
              </w:rPr>
            </w:pPr>
            <w:r>
              <w:rPr>
                <w:i/>
              </w:rPr>
              <w:t>Petroleum Products Pricing Amendment Regulations (No. 5) 2001</w:t>
            </w:r>
          </w:p>
        </w:tc>
        <w:tc>
          <w:tcPr>
            <w:tcW w:w="1276" w:type="dxa"/>
          </w:tcPr>
          <w:p>
            <w:pPr>
              <w:pStyle w:val="nTable"/>
              <w:spacing w:after="40"/>
            </w:pPr>
            <w:r>
              <w:t>31 Dec 2001 p. 6764</w:t>
            </w:r>
            <w:r>
              <w:noBreakHyphen/>
              <w:t>5</w:t>
            </w:r>
          </w:p>
        </w:tc>
        <w:tc>
          <w:tcPr>
            <w:tcW w:w="2693" w:type="dxa"/>
          </w:tcPr>
          <w:p>
            <w:pPr>
              <w:pStyle w:val="nTable"/>
              <w:spacing w:after="40"/>
            </w:pPr>
            <w:r>
              <w:t xml:space="preserve">1 Jan 2002 (see r. 2 and </w:t>
            </w:r>
            <w:r>
              <w:rPr>
                <w:i/>
              </w:rPr>
              <w:t xml:space="preserve">Gazette </w:t>
            </w:r>
            <w:r>
              <w:t>31 Dec 2001 p. 6761)</w:t>
            </w:r>
          </w:p>
        </w:tc>
      </w:tr>
      <w:tr>
        <w:trPr>
          <w:cantSplit/>
        </w:trPr>
        <w:tc>
          <w:tcPr>
            <w:tcW w:w="7088" w:type="dxa"/>
            <w:gridSpan w:val="3"/>
          </w:tcPr>
          <w:p>
            <w:pPr>
              <w:pStyle w:val="nTable"/>
              <w:spacing w:after="40"/>
            </w:pPr>
            <w:r>
              <w:rPr>
                <w:b/>
              </w:rPr>
              <w:t xml:space="preserve">Reprint of the </w:t>
            </w:r>
            <w:r>
              <w:rPr>
                <w:b/>
                <w:i/>
              </w:rPr>
              <w:t>Petroleum Products Pricing Regulations 2000</w:t>
            </w:r>
            <w:r>
              <w:rPr>
                <w:b/>
              </w:rPr>
              <w:t xml:space="preserve"> as at 19 Apr 2002</w:t>
            </w:r>
            <w:r>
              <w:br/>
              <w:t>(includes amendments listed above)</w:t>
            </w:r>
          </w:p>
        </w:tc>
      </w:tr>
      <w:tr>
        <w:trPr>
          <w:cantSplit/>
        </w:trPr>
        <w:tc>
          <w:tcPr>
            <w:tcW w:w="3119" w:type="dxa"/>
          </w:tcPr>
          <w:p>
            <w:pPr>
              <w:pStyle w:val="nTable"/>
              <w:spacing w:after="40"/>
              <w:ind w:right="113"/>
            </w:pPr>
            <w:r>
              <w:rPr>
                <w:i/>
              </w:rPr>
              <w:t>Petroleum Products Pricing Amendment Regulations 2003</w:t>
            </w:r>
            <w:r>
              <w:t xml:space="preserve"> </w:t>
            </w:r>
            <w:r>
              <w:rPr>
                <w:vertAlign w:val="superscript"/>
              </w:rPr>
              <w:t>5</w:t>
            </w:r>
          </w:p>
        </w:tc>
        <w:tc>
          <w:tcPr>
            <w:tcW w:w="1276" w:type="dxa"/>
          </w:tcPr>
          <w:p>
            <w:pPr>
              <w:pStyle w:val="nTable"/>
              <w:spacing w:after="40"/>
            </w:pPr>
            <w:r>
              <w:t>13 May 2003 p. 1665</w:t>
            </w:r>
            <w:r>
              <w:noBreakHyphen/>
              <w:t>6</w:t>
            </w:r>
          </w:p>
        </w:tc>
        <w:tc>
          <w:tcPr>
            <w:tcW w:w="2693" w:type="dxa"/>
          </w:tcPr>
          <w:p>
            <w:pPr>
              <w:pStyle w:val="nTable"/>
              <w:spacing w:after="40"/>
            </w:pPr>
            <w:r>
              <w:t>20 May 2003 (see r. 2)</w:t>
            </w:r>
          </w:p>
        </w:tc>
      </w:tr>
      <w:tr>
        <w:trPr>
          <w:cantSplit/>
        </w:trPr>
        <w:tc>
          <w:tcPr>
            <w:tcW w:w="3119" w:type="dxa"/>
          </w:tcPr>
          <w:p>
            <w:pPr>
              <w:pStyle w:val="nTable"/>
              <w:spacing w:after="40"/>
              <w:ind w:right="113"/>
              <w:rPr>
                <w:i/>
              </w:rPr>
            </w:pPr>
            <w:r>
              <w:rPr>
                <w:i/>
              </w:rPr>
              <w:t>Petroleum Products Pricing Amendment Regulations 2005</w:t>
            </w:r>
          </w:p>
        </w:tc>
        <w:tc>
          <w:tcPr>
            <w:tcW w:w="1276" w:type="dxa"/>
          </w:tcPr>
          <w:p>
            <w:pPr>
              <w:pStyle w:val="nTable"/>
              <w:spacing w:after="40"/>
            </w:pPr>
            <w:r>
              <w:t>9 Dec 2005 p. 5875</w:t>
            </w:r>
            <w:r>
              <w:noBreakHyphen/>
              <w:t>6</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Petroleum Products Pricing Amendment Regulations 2006</w:t>
            </w:r>
          </w:p>
        </w:tc>
        <w:tc>
          <w:tcPr>
            <w:tcW w:w="1276" w:type="dxa"/>
          </w:tcPr>
          <w:p>
            <w:pPr>
              <w:pStyle w:val="nTable"/>
              <w:spacing w:after="40"/>
            </w:pPr>
            <w:r>
              <w:t>22 Sep 2006 p. 4125</w:t>
            </w:r>
            <w:r>
              <w:noBreakHyphen/>
              <w:t>6</w:t>
            </w:r>
          </w:p>
        </w:tc>
        <w:tc>
          <w:tcPr>
            <w:tcW w:w="2693" w:type="dxa"/>
          </w:tcPr>
          <w:p>
            <w:pPr>
              <w:pStyle w:val="nTable"/>
              <w:spacing w:after="40"/>
            </w:pPr>
            <w:r>
              <w:t xml:space="preserve">22 Sep 2006 </w:t>
            </w:r>
          </w:p>
        </w:tc>
      </w:tr>
      <w:tr>
        <w:trPr>
          <w:cantSplit/>
        </w:trPr>
        <w:tc>
          <w:tcPr>
            <w:tcW w:w="3119" w:type="dxa"/>
          </w:tcPr>
          <w:p>
            <w:pPr>
              <w:pStyle w:val="nTable"/>
              <w:spacing w:after="40"/>
              <w:ind w:right="113"/>
              <w:rPr>
                <w:i/>
              </w:rPr>
            </w:pPr>
            <w:r>
              <w:rPr>
                <w:i/>
              </w:rPr>
              <w:t>Petroleum Products Pricing Amendment Regulations (No. 2) 2006</w:t>
            </w:r>
          </w:p>
        </w:tc>
        <w:tc>
          <w:tcPr>
            <w:tcW w:w="1276" w:type="dxa"/>
          </w:tcPr>
          <w:p>
            <w:pPr>
              <w:pStyle w:val="nTable"/>
              <w:spacing w:after="40"/>
            </w:pPr>
            <w:r>
              <w:t>3 Oct 2006 p. 4337</w:t>
            </w:r>
          </w:p>
        </w:tc>
        <w:tc>
          <w:tcPr>
            <w:tcW w:w="2693" w:type="dxa"/>
          </w:tcPr>
          <w:p>
            <w:pPr>
              <w:pStyle w:val="nTable"/>
              <w:spacing w:after="40"/>
            </w:pPr>
            <w:r>
              <w:t>3 Oct 2006</w:t>
            </w:r>
          </w:p>
        </w:tc>
      </w:tr>
      <w:tr>
        <w:trPr>
          <w:cantSplit/>
        </w:trPr>
        <w:tc>
          <w:tcPr>
            <w:tcW w:w="3119" w:type="dxa"/>
          </w:tcPr>
          <w:p>
            <w:pPr>
              <w:pStyle w:val="nTable"/>
              <w:spacing w:after="40"/>
              <w:ind w:right="113"/>
              <w:rPr>
                <w:i/>
              </w:rPr>
            </w:pPr>
            <w:r>
              <w:rPr>
                <w:i/>
              </w:rPr>
              <w:t>Petroleum Products Pricing Amendment Regulations 2008</w:t>
            </w:r>
          </w:p>
        </w:tc>
        <w:tc>
          <w:tcPr>
            <w:tcW w:w="1276" w:type="dxa"/>
          </w:tcPr>
          <w:p>
            <w:pPr>
              <w:pStyle w:val="nTable"/>
              <w:spacing w:after="40"/>
            </w:pPr>
            <w:r>
              <w:t>12 Aug 2008 p. 3535</w:t>
            </w:r>
            <w:r>
              <w:noBreakHyphen/>
              <w:t>6</w:t>
            </w:r>
          </w:p>
        </w:tc>
        <w:tc>
          <w:tcPr>
            <w:tcW w:w="2693" w:type="dxa"/>
          </w:tcPr>
          <w:p>
            <w:pPr>
              <w:pStyle w:val="nTable"/>
              <w:spacing w:after="40"/>
            </w:pPr>
            <w:r>
              <w:t>r. 1 and 2: 12 Aug 2008 (see r. 2(a));</w:t>
            </w:r>
            <w:r>
              <w:br/>
              <w:t>Regulations other than r. 1 and 2: 13 Aug 2008 (see r. 2(b))</w:t>
            </w:r>
          </w:p>
        </w:tc>
      </w:tr>
      <w:tr>
        <w:trPr>
          <w:cantSplit/>
        </w:trPr>
        <w:tc>
          <w:tcPr>
            <w:tcW w:w="7088" w:type="dxa"/>
            <w:gridSpan w:val="3"/>
          </w:tcPr>
          <w:p>
            <w:pPr>
              <w:pStyle w:val="nTable"/>
              <w:spacing w:after="40"/>
            </w:pPr>
            <w:r>
              <w:rPr>
                <w:b/>
              </w:rPr>
              <w:t xml:space="preserve">Reprint 2:  The </w:t>
            </w:r>
            <w:r>
              <w:rPr>
                <w:b/>
                <w:i/>
              </w:rPr>
              <w:t>Petroleum Products Pricing Regulations 2000</w:t>
            </w:r>
            <w:r>
              <w:rPr>
                <w:b/>
              </w:rPr>
              <w:t xml:space="preserve"> as at 14 Aug 2009</w:t>
            </w:r>
            <w:r>
              <w:br/>
              <w:t>(includes amendments listed above)</w:t>
            </w:r>
          </w:p>
        </w:tc>
      </w:tr>
      <w:tr>
        <w:trPr>
          <w:cantSplit/>
        </w:trPr>
        <w:tc>
          <w:tcPr>
            <w:tcW w:w="3119" w:type="dxa"/>
          </w:tcPr>
          <w:p>
            <w:pPr>
              <w:pStyle w:val="nTable"/>
              <w:spacing w:after="40"/>
              <w:ind w:right="113"/>
              <w:rPr>
                <w:i/>
              </w:rPr>
            </w:pPr>
            <w:r>
              <w:rPr>
                <w:i/>
              </w:rPr>
              <w:t>Petroleum Products Pricing Amendment Regulations 2014</w:t>
            </w:r>
          </w:p>
        </w:tc>
        <w:tc>
          <w:tcPr>
            <w:tcW w:w="1276" w:type="dxa"/>
          </w:tcPr>
          <w:p>
            <w:pPr>
              <w:pStyle w:val="nTable"/>
              <w:spacing w:after="40"/>
            </w:pPr>
            <w:r>
              <w:t>15 Aug 2014 p. 2933</w:t>
            </w:r>
            <w:r>
              <w:noBreakHyphen/>
              <w:t>7</w:t>
            </w:r>
          </w:p>
        </w:tc>
        <w:tc>
          <w:tcPr>
            <w:tcW w:w="2693" w:type="dxa"/>
          </w:tcPr>
          <w:p>
            <w:pPr>
              <w:pStyle w:val="nTable"/>
              <w:spacing w:after="40"/>
            </w:pPr>
            <w:r>
              <w:t>r. 1 and 2: 15 Aug 2014 (see r. 2(a));</w:t>
            </w:r>
            <w:r>
              <w:br/>
              <w:t>Regulations other than r. 1 and 2: 16 Aug 2014 (see r. 2(b))</w:t>
            </w:r>
          </w:p>
        </w:tc>
      </w:tr>
      <w:tr>
        <w:trPr>
          <w:cantSplit/>
        </w:trPr>
        <w:tc>
          <w:tcPr>
            <w:tcW w:w="3119" w:type="dxa"/>
          </w:tcPr>
          <w:p>
            <w:pPr>
              <w:pStyle w:val="nTable"/>
              <w:spacing w:after="40"/>
              <w:ind w:right="113"/>
              <w:rPr>
                <w:i/>
              </w:rPr>
            </w:pPr>
            <w:r>
              <w:rPr>
                <w:i/>
              </w:rPr>
              <w:t>Petroleum Products Pricing Amendment Regulations (No. 2) 2014</w:t>
            </w:r>
          </w:p>
        </w:tc>
        <w:tc>
          <w:tcPr>
            <w:tcW w:w="1276" w:type="dxa"/>
          </w:tcPr>
          <w:p>
            <w:pPr>
              <w:pStyle w:val="nTable"/>
              <w:spacing w:after="40"/>
            </w:pPr>
            <w:r>
              <w:t>18 Nov 2014 p. 4322</w:t>
            </w:r>
            <w:r>
              <w:noBreakHyphen/>
              <w:t>4</w:t>
            </w:r>
          </w:p>
        </w:tc>
        <w:tc>
          <w:tcPr>
            <w:tcW w:w="2693" w:type="dxa"/>
          </w:tcPr>
          <w:p>
            <w:pPr>
              <w:pStyle w:val="nTable"/>
              <w:spacing w:after="40"/>
            </w:pPr>
            <w:r>
              <w:t>r. 1 and 2: 18 Nov 2014 (see r. 2(a));</w:t>
            </w:r>
            <w:r>
              <w:br/>
              <w:t>Regulations other than r. 1 and 2: 19 Nov 2014 (see r. 2(b) and Gazette 18 Nov 2014 p. 4315)</w:t>
            </w:r>
          </w:p>
        </w:tc>
      </w:tr>
      <w:tr>
        <w:trPr>
          <w:cantSplit/>
        </w:trPr>
        <w:tc>
          <w:tcPr>
            <w:tcW w:w="3119" w:type="dxa"/>
          </w:tcPr>
          <w:p>
            <w:pPr>
              <w:pStyle w:val="nTable"/>
              <w:spacing w:after="40"/>
              <w:ind w:right="113"/>
            </w:pPr>
            <w:r>
              <w:rPr>
                <w:i/>
              </w:rPr>
              <w:t>Petroleum Products Pricing Amendment Regulations 2015</w:t>
            </w:r>
          </w:p>
        </w:tc>
        <w:tc>
          <w:tcPr>
            <w:tcW w:w="1276" w:type="dxa"/>
          </w:tcPr>
          <w:p>
            <w:pPr>
              <w:pStyle w:val="nTable"/>
              <w:spacing w:after="40"/>
            </w:pPr>
            <w:r>
              <w:t>15 May 2015 p. 1719</w:t>
            </w:r>
            <w:r>
              <w:noBreakHyphen/>
              <w:t>20</w:t>
            </w:r>
          </w:p>
        </w:tc>
        <w:tc>
          <w:tcPr>
            <w:tcW w:w="2693" w:type="dxa"/>
          </w:tcPr>
          <w:p>
            <w:pPr>
              <w:pStyle w:val="nTable"/>
              <w:spacing w:after="40"/>
            </w:pPr>
            <w:r>
              <w:t>r. 1 and 2: 15 May 2015 (see r. 2(a));</w:t>
            </w:r>
            <w:r>
              <w:br/>
              <w:t>Regulations other than r. 1 and 2: 16 May 2015 (see r. 2(b))</w:t>
            </w:r>
          </w:p>
        </w:tc>
      </w:tr>
      <w:tr>
        <w:trPr>
          <w:cantSplit/>
        </w:trPr>
        <w:tc>
          <w:tcPr>
            <w:tcW w:w="3119" w:type="dxa"/>
          </w:tcPr>
          <w:p>
            <w:pPr>
              <w:pStyle w:val="nTable"/>
              <w:spacing w:after="40"/>
              <w:ind w:right="113"/>
              <w:rPr>
                <w:i/>
              </w:rPr>
            </w:pPr>
            <w:r>
              <w:rPr>
                <w:i/>
              </w:rPr>
              <w:t>Petroleum Products Pricing Amendment Regulations 2016</w:t>
            </w:r>
          </w:p>
        </w:tc>
        <w:tc>
          <w:tcPr>
            <w:tcW w:w="1276" w:type="dxa"/>
          </w:tcPr>
          <w:p>
            <w:pPr>
              <w:pStyle w:val="nTable"/>
              <w:spacing w:after="40"/>
            </w:pPr>
            <w:r>
              <w:t>21 Oct 2016 p. 4782</w:t>
            </w:r>
          </w:p>
        </w:tc>
        <w:tc>
          <w:tcPr>
            <w:tcW w:w="2693" w:type="dxa"/>
          </w:tcPr>
          <w:p>
            <w:pPr>
              <w:pStyle w:val="nTable"/>
              <w:spacing w:after="40"/>
            </w:pPr>
            <w:r>
              <w:t>r. 1 and 2: 21 Oct 2016 (see r. 2(a));</w:t>
            </w:r>
            <w:r>
              <w:br/>
              <w:t>Regulations other than r. 1 and 2: 22 Oct 2016 (see r. 2(b))</w:t>
            </w:r>
          </w:p>
        </w:tc>
      </w:tr>
      <w:tr>
        <w:trPr>
          <w:cantSplit/>
        </w:trPr>
        <w:tc>
          <w:tcPr>
            <w:tcW w:w="3119" w:type="dxa"/>
          </w:tcPr>
          <w:p>
            <w:pPr>
              <w:pStyle w:val="nTable"/>
              <w:spacing w:after="40"/>
              <w:ind w:right="113"/>
              <w:rPr>
                <w:i/>
              </w:rPr>
            </w:pPr>
            <w:r>
              <w:rPr>
                <w:i/>
              </w:rPr>
              <w:t>Petroleum Products Pricing Amendment Regulations 2017</w:t>
            </w:r>
          </w:p>
        </w:tc>
        <w:tc>
          <w:tcPr>
            <w:tcW w:w="1276" w:type="dxa"/>
          </w:tcPr>
          <w:p>
            <w:pPr>
              <w:pStyle w:val="nTable"/>
              <w:spacing w:after="40"/>
            </w:pPr>
            <w:r>
              <w:t>17 Oct 2017 p. 5335</w:t>
            </w:r>
            <w:r>
              <w:noBreakHyphen/>
              <w:t>7</w:t>
            </w:r>
          </w:p>
        </w:tc>
        <w:tc>
          <w:tcPr>
            <w:tcW w:w="2693" w:type="dxa"/>
          </w:tcPr>
          <w:p>
            <w:pPr>
              <w:pStyle w:val="nTable"/>
              <w:spacing w:after="40"/>
            </w:pPr>
            <w:r>
              <w:t>r. 1 and 2: 17 Oct 2017 (see r. 2(a));</w:t>
            </w:r>
            <w:r>
              <w:br/>
              <w:t>Regulations other than r. 1 and 2: 18 Oct 2017 (see r. 2(b))</w:t>
            </w:r>
          </w:p>
        </w:tc>
      </w:tr>
      <w:tr>
        <w:trPr>
          <w:cantSplit/>
        </w:trPr>
        <w:tc>
          <w:tcPr>
            <w:tcW w:w="3119" w:type="dxa"/>
          </w:tcPr>
          <w:p>
            <w:pPr>
              <w:pStyle w:val="nTable"/>
              <w:spacing w:after="40"/>
              <w:ind w:right="113"/>
              <w:rPr>
                <w:i/>
              </w:rPr>
            </w:pPr>
            <w:r>
              <w:rPr>
                <w:i/>
              </w:rPr>
              <w:t>Petroleum Products Pricing Amendment Regulations (No. 2) 2017</w:t>
            </w:r>
          </w:p>
        </w:tc>
        <w:tc>
          <w:tcPr>
            <w:tcW w:w="1276" w:type="dxa"/>
          </w:tcPr>
          <w:p>
            <w:pPr>
              <w:pStyle w:val="nTable"/>
              <w:spacing w:after="40"/>
            </w:pPr>
            <w:r>
              <w:t>22 Dec 2017 p. 5976</w:t>
            </w:r>
            <w:r>
              <w:noBreakHyphen/>
              <w:t>7</w:t>
            </w:r>
          </w:p>
        </w:tc>
        <w:tc>
          <w:tcPr>
            <w:tcW w:w="2693" w:type="dxa"/>
          </w:tcPr>
          <w:p>
            <w:pPr>
              <w:pStyle w:val="nTable"/>
              <w:spacing w:after="40"/>
            </w:pPr>
            <w:r>
              <w:t>r. 1 and 2: 22 Dec 2017 (see r. 2(a));</w:t>
            </w:r>
            <w:r>
              <w:br/>
              <w:t>Regulations other than r. 1 and 2: 23 Dec 2017 (see r. 2(b))</w:t>
            </w:r>
          </w:p>
        </w:tc>
      </w:tr>
      <w:tr>
        <w:trPr>
          <w:cantSplit/>
        </w:trPr>
        <w:tc>
          <w:tcPr>
            <w:tcW w:w="3119" w:type="dxa"/>
          </w:tcPr>
          <w:p>
            <w:pPr>
              <w:pStyle w:val="nTable"/>
              <w:spacing w:after="40"/>
              <w:ind w:right="113"/>
              <w:rPr>
                <w:i/>
              </w:rPr>
            </w:pPr>
            <w:r>
              <w:rPr>
                <w:i/>
              </w:rPr>
              <w:t>Petroleum Products Pricing Amendment Regulations 2018</w:t>
            </w:r>
          </w:p>
        </w:tc>
        <w:tc>
          <w:tcPr>
            <w:tcW w:w="1276" w:type="dxa"/>
          </w:tcPr>
          <w:p>
            <w:pPr>
              <w:pStyle w:val="nTable"/>
              <w:spacing w:after="40"/>
            </w:pPr>
            <w:r>
              <w:t>1 May 2018 p. 1432</w:t>
            </w:r>
          </w:p>
        </w:tc>
        <w:tc>
          <w:tcPr>
            <w:tcW w:w="2693" w:type="dxa"/>
          </w:tcPr>
          <w:p>
            <w:pPr>
              <w:pStyle w:val="nTable"/>
              <w:spacing w:after="40"/>
            </w:pPr>
            <w:r>
              <w:t>r. 1 and 2: 1 May 2018 (see r. 2(a));</w:t>
            </w:r>
            <w:r>
              <w:br/>
              <w:t>Regulations other than r. 1 and 2: 2 May 2018 (see r. 2(b))</w:t>
            </w:r>
          </w:p>
        </w:tc>
      </w:tr>
      <w:tr>
        <w:trPr>
          <w:cantSplit/>
        </w:trPr>
        <w:tc>
          <w:tcPr>
            <w:tcW w:w="3119" w:type="dxa"/>
            <w:tcBorders>
              <w:bottom w:val="single" w:sz="4" w:space="0" w:color="auto"/>
            </w:tcBorders>
          </w:tcPr>
          <w:p>
            <w:pPr>
              <w:pStyle w:val="nTable"/>
              <w:spacing w:after="40"/>
              <w:ind w:right="113"/>
              <w:rPr>
                <w:i/>
              </w:rPr>
            </w:pPr>
            <w:r>
              <w:rPr>
                <w:i/>
              </w:rPr>
              <w:t>Petroleum Products Pricing Amendment Regulations (No. 2) 2018</w:t>
            </w:r>
          </w:p>
        </w:tc>
        <w:tc>
          <w:tcPr>
            <w:tcW w:w="1276" w:type="dxa"/>
            <w:tcBorders>
              <w:bottom w:val="single" w:sz="4" w:space="0" w:color="auto"/>
            </w:tcBorders>
          </w:tcPr>
          <w:p>
            <w:pPr>
              <w:pStyle w:val="nTable"/>
              <w:spacing w:after="40"/>
            </w:pPr>
            <w:r>
              <w:t>27 Nov 2018 p. 4575</w:t>
            </w:r>
          </w:p>
        </w:tc>
        <w:tc>
          <w:tcPr>
            <w:tcW w:w="2693" w:type="dxa"/>
            <w:tcBorders>
              <w:bottom w:val="single" w:sz="4" w:space="0" w:color="auto"/>
            </w:tcBorders>
          </w:tcPr>
          <w:p>
            <w:pPr>
              <w:pStyle w:val="nTable"/>
              <w:spacing w:after="40"/>
            </w:pPr>
            <w:r>
              <w:t>r. 1 and 2: 27 Nov 2018 (see r. 2(a));</w:t>
            </w:r>
            <w:r>
              <w:br/>
              <w:t>Regulations other than r. 1 and 2: 28 Nov 2018 (see r. 2(b))</w:t>
            </w:r>
          </w:p>
        </w:tc>
      </w:tr>
    </w:tbl>
    <w:p>
      <w:pPr>
        <w:pStyle w:val="nSubsection"/>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was called the Department of Commerce.</w:t>
      </w:r>
    </w:p>
    <w:p>
      <w:pPr>
        <w:pStyle w:val="nSubsection"/>
      </w:pPr>
      <w:r>
        <w:rPr>
          <w:vertAlign w:val="superscript"/>
        </w:rPr>
        <w:t>3</w:t>
      </w:r>
      <w:r>
        <w:tab/>
        <w:t xml:space="preserve">The </w:t>
      </w:r>
      <w:r>
        <w:rPr>
          <w:i/>
        </w:rPr>
        <w:t>Petroleum Products Pricing Amendment Regulations 2001</w:t>
      </w:r>
      <w:r>
        <w:t xml:space="preserve"> r. 8 reads as follows: </w:t>
      </w:r>
    </w:p>
    <w:p>
      <w:pPr>
        <w:pStyle w:val="BlankOpen"/>
      </w:pPr>
    </w:p>
    <w:p>
      <w:pPr>
        <w:pStyle w:val="nzHeading5"/>
      </w:pPr>
      <w:r>
        <w:t>8.</w:t>
      </w:r>
      <w:r>
        <w:tab/>
        <w:t>Defence during transitional period</w:t>
      </w:r>
    </w:p>
    <w:p>
      <w:pPr>
        <w:pStyle w:val="nzSubsection"/>
      </w:pPr>
      <w:r>
        <w:tab/>
        <w:t>(1)</w:t>
      </w:r>
      <w:r>
        <w:tab/>
        <w:t xml:space="preserve">It is a defence to a charge of an offence against regulation 6(1) of the </w:t>
      </w:r>
      <w:r>
        <w:rPr>
          <w:i/>
          <w:iCs/>
        </w:rPr>
        <w:t xml:space="preserve">Petroleum Products Pricing Regulations 2000 </w:t>
      </w:r>
      <w:r>
        <w:t>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keepNext/>
      </w:pPr>
      <w:r>
        <w:tab/>
        <w:t>(2)</w:t>
      </w:r>
      <w:r>
        <w:tab/>
        <w:t xml:space="preserve">In subregulation (1) — </w:t>
      </w:r>
    </w:p>
    <w:p>
      <w:pPr>
        <w:pStyle w:val="nzDefstart"/>
      </w:pPr>
      <w:r>
        <w:tab/>
      </w:r>
      <w:r>
        <w:rPr>
          <w:rStyle w:val="CharDefText"/>
        </w:rPr>
        <w:t>transitional period</w:t>
      </w:r>
      <w:r>
        <w:t xml:space="preserve"> means the period of 30 days beginning on 19 July 2001.</w:t>
      </w:r>
    </w:p>
    <w:p>
      <w:pPr>
        <w:pStyle w:val="BlankClose"/>
      </w:pPr>
    </w:p>
    <w:p>
      <w:pPr>
        <w:pStyle w:val="nSubsection"/>
        <w:keepNext/>
      </w:pPr>
      <w:r>
        <w:rPr>
          <w:vertAlign w:val="superscript"/>
        </w:rPr>
        <w:t>4</w:t>
      </w:r>
      <w:r>
        <w:tab/>
        <w:t xml:space="preserve">The </w:t>
      </w:r>
      <w:r>
        <w:rPr>
          <w:i/>
        </w:rPr>
        <w:t>Petroleum Products Pricing Amendment Regulations (No. 4) 2001</w:t>
      </w:r>
      <w:r>
        <w:t xml:space="preserve"> r. 7 reads as follows:</w:t>
      </w:r>
    </w:p>
    <w:p>
      <w:pPr>
        <w:pStyle w:val="BlankOpen"/>
      </w:pP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tab/>
      </w:r>
      <w:r>
        <w:rPr>
          <w:rStyle w:val="CharDefText"/>
        </w:rPr>
        <w:t>transitional period</w:t>
      </w:r>
      <w:r>
        <w:t xml:space="preserve"> means the period of 30 days beginning on 23 November 2001.</w:t>
      </w:r>
    </w:p>
    <w:p>
      <w:pPr>
        <w:pStyle w:val="BlankClose"/>
      </w:pPr>
    </w:p>
    <w:p>
      <w:pPr>
        <w:pStyle w:val="nSubsection"/>
        <w:keepNext/>
      </w:pPr>
      <w:r>
        <w:rPr>
          <w:vertAlign w:val="superscript"/>
        </w:rPr>
        <w:t>5</w:t>
      </w:r>
      <w:r>
        <w:tab/>
        <w:t xml:space="preserve">The </w:t>
      </w:r>
      <w:r>
        <w:rPr>
          <w:i/>
        </w:rPr>
        <w:t>Petroleum Products Pricing Amendment Regulations 2003</w:t>
      </w:r>
      <w:r>
        <w:t xml:space="preserve"> r. 5 reads as follows:</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rStyle w:val="CharDefText"/>
        </w:rPr>
        <w:t>transitional period</w:t>
      </w:r>
      <w:r>
        <w:t xml:space="preserve"> means the period of 21 days beginning on the day on which these regulations come into operation.</w:t>
      </w:r>
    </w:p>
    <w:p>
      <w:pPr>
        <w:pStyle w:val="BlankClose"/>
      </w:pPr>
    </w:p>
    <w:p>
      <w:pPr>
        <w:pStyle w:val="Footer"/>
        <w:rPr>
          <w:rFonts w:ascii="Times New Roman" w:hAnsi="Times New Roman"/>
          <w:vertAlign w:val="superscript"/>
        </w:r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rPr>
          <w:sz w:val="28"/>
        </w:rPr>
      </w:pPr>
      <w:bookmarkStart w:id="49" w:name="_Toc512934662"/>
      <w:bookmarkStart w:id="50" w:name="_Toc512946304"/>
      <w:bookmarkStart w:id="51" w:name="_Toc531083835"/>
      <w:r>
        <w:rPr>
          <w:sz w:val="28"/>
        </w:rPr>
        <w:t>Defined terms</w:t>
      </w:r>
      <w:bookmarkEnd w:id="49"/>
      <w:bookmarkEnd w:id="50"/>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calendar month</w:t>
      </w:r>
      <w:r>
        <w:tab/>
        <w:t>10(3)</w:t>
      </w:r>
    </w:p>
    <w:p>
      <w:pPr>
        <w:pStyle w:val="DefinedTerms"/>
      </w:pPr>
      <w:r>
        <w:t>day</w:t>
      </w:r>
      <w:r>
        <w:tab/>
        <w:t>2A</w:t>
      </w:r>
    </w:p>
    <w:p>
      <w:pPr>
        <w:pStyle w:val="DefinedTerms"/>
      </w:pPr>
      <w:r>
        <w:t>kinds offered</w:t>
      </w:r>
      <w:r>
        <w:tab/>
        <w:t>6(2)</w:t>
      </w:r>
    </w:p>
    <w:p>
      <w:pPr>
        <w:pStyle w:val="DefinedTerms"/>
      </w:pPr>
      <w:r>
        <w:t>Perth metropolitan region</w:t>
      </w:r>
      <w:r>
        <w:tab/>
        <w:t>2AA</w:t>
      </w:r>
    </w:p>
    <w:p>
      <w:pPr>
        <w:pStyle w:val="DefinedTerms"/>
      </w:pPr>
      <w:r>
        <w:t>regular unleaded petrol</w:t>
      </w:r>
      <w:r>
        <w:tab/>
        <w:t>6(7)</w:t>
      </w:r>
    </w:p>
    <w:p>
      <w:pPr>
        <w:pStyle w:val="DefinedTerms"/>
      </w:pPr>
      <w:r>
        <w:t>retail sale</w:t>
      </w:r>
      <w:r>
        <w:tab/>
        <w:t>2A</w:t>
      </w:r>
    </w:p>
    <w:p>
      <w:pPr>
        <w:pStyle w:val="DefinedTerms"/>
      </w:pPr>
      <w:r>
        <w:t>standard retail sale</w:t>
      </w:r>
      <w:r>
        <w:tab/>
        <w:t>6(7)</w:t>
      </w:r>
    </w:p>
    <w:p>
      <w:pPr>
        <w:pStyle w:val="DefinedTerms"/>
      </w:pPr>
      <w:r>
        <w:t>townsite</w:t>
      </w:r>
      <w:r>
        <w:tab/>
        <w:t>2AA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3" w:name="Schedule"/>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A01499E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01102033"/>
    <w:docVar w:name="WAFER_20140123121845" w:val="RemoveTocBookmarks,RemoveUnusedBookmarks,RemoveLanguageTags,UsedStyles,ResetPageSize,UpdateArrangement"/>
    <w:docVar w:name="WAFER_20140123121845_GUID" w:val="f959bb8f-c90c-4ce1-99d0-9cd4da04a425"/>
    <w:docVar w:name="WAFER_20140123125423" w:val="RemoveTocBookmarks,RunningHeaders"/>
    <w:docVar w:name="WAFER_20140123125423_GUID" w:val="58c8981b-016b-48e7-9fc9-418667cdc5e9"/>
    <w:docVar w:name="WAFER_20140814104102" w:val="RemoveTocBookmarks,RemoveUnusedBookmarks,RemoveLanguageTags,UsedStyles,ResetPageSize,UpdateArrangement"/>
    <w:docVar w:name="WAFER_20140814104102_GUID" w:val="1c724c1b-3f4b-41f3-bf4e-7a4fa92a051d"/>
    <w:docVar w:name="WAFER_20141016101203" w:val="RemoveUnusedBookmarks"/>
    <w:docVar w:name="WAFER_20141016101203_GUID" w:val="e41806f5-62e9-45a6-b2f3-92b6c9f9edb2"/>
    <w:docVar w:name="WAFER_20141016101219" w:val="RemoveTocBookmarks,RemoveUnusedBookmarks,RemoveLanguageTags,UsedStyles,ResetPageSize"/>
    <w:docVar w:name="WAFER_20141016101219_GUID" w:val="7de66bf2-2bc6-4328-902a-e36cee01c1c5"/>
    <w:docVar w:name="WAFER_20141016101228" w:val="RemoveTocBookmarks,RunningHeaders"/>
    <w:docVar w:name="WAFER_20141016101228_GUID" w:val="4a9f7891-5407-48cf-a5fb-29a2d55b5a29"/>
    <w:docVar w:name="WAFER_20141118101438" w:val="RemoveTocBookmarks,RemoveUnusedBookmarks,RemoveLanguageTags,UsedStyles,ResetPageSize,UpdateArrangement"/>
    <w:docVar w:name="WAFER_20141118101438_GUID" w:val="352f243f-13c3-4e19-a13d-f37c32e3d7c2"/>
    <w:docVar w:name="WAFER_20150514135133" w:val="ResetPageSize,UpdateArrangement,UpdateNTable"/>
    <w:docVar w:name="WAFER_20150514135133_GUID" w:val="55108bc0-b647-48c0-9322-1eab6ff23858"/>
    <w:docVar w:name="WAFER_20151109114002" w:val="UpdateStyles,UsedStyles"/>
    <w:docVar w:name="WAFER_20151109114002_GUID" w:val="34157ba9-1104-4509-add6-cb7b68974e5e"/>
    <w:docVar w:name="WAFER_20171221105335" w:val="RemoveTocBookmarks,RemoveUnusedBookmarks,RemoveLanguageTags,UsedStyles,ResetPageSize"/>
    <w:docVar w:name="WAFER_20171221105335_GUID" w:val="4cc4b336-1215-45a5-a2f3-0fdffc71650f"/>
    <w:docVar w:name="WAFER_20180501101630" w:val="RemoveTocBookmarks,RemoveUnusedBookmarks,RemoveLanguageTags,UsedStyles,ResetPageSize"/>
    <w:docVar w:name="WAFER_20180501101630_GUID" w:val="0e5edbd4-178b-4dac-82ad-7512b9d0d45b"/>
    <w:docVar w:name="WAFER_20180501102033" w:val="RemoveTocBookmarks,RemoveUnusedBookmarks,RemoveLanguageTags,UsedStyles,ResetPageSize"/>
    <w:docVar w:name="WAFER_20180501102033_GUID" w:val="dba132f2-6e96-4057-bbb1-904bfa1070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yperlink" Target="http://www.fuelwatch.wa.gov.au" TargetMode="Externa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4365</Words>
  <Characters>21915</Characters>
  <Application>Microsoft Office Word</Application>
  <DocSecurity>0</DocSecurity>
  <Lines>913</Lines>
  <Paragraphs>547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25733</CharactersWithSpaces>
  <SharedDoc>false</SharedDoc>
  <HLinks>
    <vt:vector size="24" baseType="variant">
      <vt:variant>
        <vt:i4>3014772</vt:i4>
      </vt:variant>
      <vt:variant>
        <vt:i4>63</vt:i4>
      </vt:variant>
      <vt:variant>
        <vt:i4>0</vt:i4>
      </vt:variant>
      <vt:variant>
        <vt:i4>5</vt:i4>
      </vt:variant>
      <vt:variant>
        <vt:lpwstr>http://www.fuelwatch.wa.gov.au/</vt:lpwstr>
      </vt:variant>
      <vt:variant>
        <vt:lpwstr/>
      </vt:variant>
      <vt:variant>
        <vt:i4>3014716</vt:i4>
      </vt:variant>
      <vt:variant>
        <vt:i4>3181</vt:i4>
      </vt:variant>
      <vt:variant>
        <vt:i4>1025</vt:i4>
      </vt:variant>
      <vt:variant>
        <vt:i4>1</vt:i4>
      </vt:variant>
      <vt:variant>
        <vt:lpwstr>C:\Program Files\PCO DLL\Support\Crest.wpg</vt:lpwstr>
      </vt:variant>
      <vt:variant>
        <vt:lpwstr/>
      </vt:variant>
      <vt:variant>
        <vt:i4>5439608</vt:i4>
      </vt:variant>
      <vt:variant>
        <vt:i4>21028</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2000 - 02-i0-02</dc:title>
  <dc:subject/>
  <dc:creator/>
  <cp:keywords/>
  <dc:description/>
  <cp:lastModifiedBy>svcMRProcess</cp:lastModifiedBy>
  <cp:revision>4</cp:revision>
  <cp:lastPrinted>2009-08-27T00:49:00Z</cp:lastPrinted>
  <dcterms:created xsi:type="dcterms:W3CDTF">2020-02-27T16:32:00Z</dcterms:created>
  <dcterms:modified xsi:type="dcterms:W3CDTF">2020-02-27T16:32:00Z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DocumentType">
    <vt:lpwstr>Reg</vt:lpwstr>
  </property>
  <property fmtid="{D5CDD505-2E9C-101B-9397-08002B2CF9AE}" pid="4" name="OwlsUID">
    <vt:i4>2723</vt:i4>
  </property>
  <property fmtid="{D5CDD505-2E9C-101B-9397-08002B2CF9AE}" pid="5" name="ReprintNo">
    <vt:lpwstr>2</vt:lpwstr>
  </property>
  <property fmtid="{D5CDD505-2E9C-101B-9397-08002B2CF9AE}" pid="6" name="AsAtDate">
    <vt:lpwstr>28 Nov 2018</vt:lpwstr>
  </property>
  <property fmtid="{D5CDD505-2E9C-101B-9397-08002B2CF9AE}" pid="7" name="Suffix">
    <vt:lpwstr>02-i0-02</vt:lpwstr>
  </property>
  <property fmtid="{D5CDD505-2E9C-101B-9397-08002B2CF9AE}" pid="8" name="CommencementDate">
    <vt:lpwstr>20181128</vt:lpwstr>
  </property>
</Properties>
</file>