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434"/>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and Disability Services (Complaints)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_Toc531178164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_Toc531178165 \h </w:instrText>
      </w:r>
      <w:r>
        <w:fldChar w:fldCharType="separate"/>
      </w:r>
      <w:r>
        <w:t>2</w:t>
      </w:r>
      <w:r>
        <w:fldChar w:fldCharType="end"/>
      </w:r>
    </w:p>
    <w:p>
      <w:pPr>
        <w:pStyle w:val="TOC8"/>
        <w:rPr>
          <w:rFonts w:asciiTheme="minorHAnsi" w:eastAsiaTheme="minorEastAsia" w:hAnsiTheme="minorHAnsi" w:cstheme="minorBidi"/>
          <w:szCs w:val="22"/>
        </w:rPr>
      </w:pPr>
      <w:r>
        <w:t>3A.</w:t>
      </w:r>
      <w:r>
        <w:tab/>
        <w:t>Act to be read with other legislation about health and disability complaints</w:t>
      </w:r>
      <w:r>
        <w:tab/>
      </w:r>
      <w:r>
        <w:fldChar w:fldCharType="begin"/>
      </w:r>
      <w:r>
        <w:instrText xml:space="preserve"> PAGEREF _Toc531178166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_Toc531178167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Guiding principles for the provision of health services</w:t>
      </w:r>
      <w:r>
        <w:tab/>
      </w:r>
      <w:r>
        <w:fldChar w:fldCharType="begin"/>
      </w:r>
      <w:r>
        <w:instrText xml:space="preserve"> PAGEREF _Toc531178168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_Toc531178169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arrangements</w:t>
      </w:r>
    </w:p>
    <w:p>
      <w:pPr>
        <w:pStyle w:val="TOC8"/>
        <w:rPr>
          <w:rFonts w:asciiTheme="minorHAnsi" w:eastAsiaTheme="minorEastAsia" w:hAnsiTheme="minorHAnsi" w:cstheme="minorBidi"/>
          <w:szCs w:val="22"/>
        </w:rPr>
      </w:pPr>
      <w:r>
        <w:t>6</w:t>
      </w:r>
      <w:r>
        <w:rPr>
          <w:snapToGrid w:val="0"/>
        </w:rPr>
        <w:t>.</w:t>
      </w:r>
      <w:r>
        <w:rPr>
          <w:snapToGrid w:val="0"/>
        </w:rPr>
        <w:tab/>
        <w:t>Health and Disability Services Complaints Office</w:t>
      </w:r>
      <w:r>
        <w:tab/>
      </w:r>
      <w:r>
        <w:fldChar w:fldCharType="begin"/>
      </w:r>
      <w:r>
        <w:instrText xml:space="preserve"> PAGEREF _Toc531178171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of Office</w:t>
      </w:r>
      <w:r>
        <w:tab/>
      </w:r>
      <w:r>
        <w:fldChar w:fldCharType="begin"/>
      </w:r>
      <w:r>
        <w:instrText xml:space="preserve"> PAGEREF _Toc531178172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salary etc. of Director</w:t>
      </w:r>
      <w:r>
        <w:tab/>
      </w:r>
      <w:r>
        <w:fldChar w:fldCharType="begin"/>
      </w:r>
      <w:r>
        <w:instrText xml:space="preserve"> PAGEREF _Toc531178173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Judicial notice of Director’s appointment and signature</w:t>
      </w:r>
      <w:r>
        <w:tab/>
      </w:r>
      <w:r>
        <w:fldChar w:fldCharType="begin"/>
      </w:r>
      <w:r>
        <w:instrText xml:space="preserve"> PAGEREF _Toc531178174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Director’s functions</w:t>
      </w:r>
      <w:r>
        <w:tab/>
      </w:r>
      <w:r>
        <w:fldChar w:fldCharType="begin"/>
      </w:r>
      <w:r>
        <w:instrText xml:space="preserve"> PAGEREF _Toc531178175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give Director directions</w:t>
      </w:r>
      <w:r>
        <w:tab/>
      </w:r>
      <w:r>
        <w:fldChar w:fldCharType="begin"/>
      </w:r>
      <w:r>
        <w:instrText xml:space="preserve"> PAGEREF _Toc531178176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to have access to information</w:t>
      </w:r>
      <w:r>
        <w:tab/>
      </w:r>
      <w:r>
        <w:fldChar w:fldCharType="begin"/>
      </w:r>
      <w:r>
        <w:instrText xml:space="preserve"> PAGEREF _Toc531178177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Financial provisions</w:t>
      </w:r>
      <w:r>
        <w:tab/>
      </w:r>
      <w:r>
        <w:fldChar w:fldCharType="begin"/>
      </w:r>
      <w:r>
        <w:instrText xml:space="preserve"> PAGEREF _Toc531178178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Staff</w:t>
      </w:r>
      <w:r>
        <w:tab/>
      </w:r>
      <w:r>
        <w:fldChar w:fldCharType="begin"/>
      </w:r>
      <w:r>
        <w:instrText xml:space="preserve"> PAGEREF _Toc531178179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Consultants</w:t>
      </w:r>
      <w:r>
        <w:tab/>
      </w:r>
      <w:r>
        <w:fldChar w:fldCharType="begin"/>
      </w:r>
      <w:r>
        <w:instrText xml:space="preserve"> PAGEREF _Toc531178180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Use of other government staff etc.</w:t>
      </w:r>
      <w:r>
        <w:tab/>
      </w:r>
      <w:r>
        <w:fldChar w:fldCharType="begin"/>
      </w:r>
      <w:r>
        <w:instrText xml:space="preserve"> PAGEREF _Toc531178181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Oath of office by Director and staff</w:t>
      </w:r>
      <w:r>
        <w:tab/>
      </w:r>
      <w:r>
        <w:fldChar w:fldCharType="begin"/>
      </w:r>
      <w:r>
        <w:instrText xml:space="preserve"> PAGEREF _Toc531178182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Director</w:t>
      </w:r>
      <w:r>
        <w:tab/>
      </w:r>
      <w:r>
        <w:fldChar w:fldCharType="begin"/>
      </w:r>
      <w:r>
        <w:instrText xml:space="preserve"> PAGEREF _Toc531178183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Complaints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to complain conferred</w:t>
      </w:r>
    </w:p>
    <w:p>
      <w:pPr>
        <w:pStyle w:val="TOC8"/>
        <w:rPr>
          <w:rFonts w:asciiTheme="minorHAnsi" w:eastAsiaTheme="minorEastAsia" w:hAnsiTheme="minorHAnsi" w:cstheme="minorBidi"/>
          <w:szCs w:val="22"/>
        </w:rPr>
      </w:pPr>
      <w:r>
        <w:t>19</w:t>
      </w:r>
      <w:r>
        <w:rPr>
          <w:snapToGrid w:val="0"/>
        </w:rPr>
        <w:t>.</w:t>
      </w:r>
      <w:r>
        <w:rPr>
          <w:snapToGrid w:val="0"/>
        </w:rPr>
        <w:tab/>
        <w:t>Who may complain</w:t>
      </w:r>
      <w:r>
        <w:tab/>
      </w:r>
      <w:r>
        <w:fldChar w:fldCharType="begin"/>
      </w:r>
      <w:r>
        <w:instrText xml:space="preserve"> PAGEREF _Toc531178186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Representatives of users</w:t>
      </w:r>
      <w:r>
        <w:tab/>
      </w:r>
      <w:r>
        <w:fldChar w:fldCharType="begin"/>
      </w:r>
      <w:r>
        <w:instrText xml:space="preserve"> PAGEREF _Toc531178187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Representative not to be paid</w:t>
      </w:r>
      <w:r>
        <w:tab/>
      </w:r>
      <w:r>
        <w:fldChar w:fldCharType="begin"/>
      </w:r>
      <w:r>
        <w:instrText xml:space="preserve"> PAGEREF _Toc531178188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Provider may complain for user</w:t>
      </w:r>
      <w:r>
        <w:tab/>
      </w:r>
      <w:r>
        <w:fldChar w:fldCharType="begin"/>
      </w:r>
      <w:r>
        <w:instrText xml:space="preserve"> PAGEREF _Toc531178189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Complaints to public providers, referral under administrative instructions</w:t>
      </w:r>
      <w:r>
        <w:tab/>
      </w:r>
      <w:r>
        <w:fldChar w:fldCharType="begin"/>
      </w:r>
      <w:r>
        <w:instrText xml:space="preserve"> PAGEREF _Toc531178190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Time limit for complaints</w:t>
      </w:r>
      <w:r>
        <w:tab/>
      </w:r>
      <w:r>
        <w:fldChar w:fldCharType="begin"/>
      </w:r>
      <w:r>
        <w:instrText xml:space="preserve"> PAGEREF _Toc531178191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What complaints can be about</w:t>
      </w:r>
      <w:r>
        <w:tab/>
      </w:r>
      <w:r>
        <w:fldChar w:fldCharType="begin"/>
      </w:r>
      <w:r>
        <w:instrText xml:space="preserve"> PAGEREF _Toc531178192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Complaints that must be rejected</w:t>
      </w:r>
      <w:r>
        <w:tab/>
      </w:r>
      <w:r>
        <w:fldChar w:fldCharType="begin"/>
      </w:r>
      <w:r>
        <w:instrText xml:space="preserve"> PAGEREF _Toc531178193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Initial procedures</w:t>
      </w:r>
    </w:p>
    <w:p>
      <w:pPr>
        <w:pStyle w:val="TOC8"/>
        <w:rPr>
          <w:rFonts w:asciiTheme="minorHAnsi" w:eastAsiaTheme="minorEastAsia" w:hAnsiTheme="minorHAnsi" w:cstheme="minorBidi"/>
          <w:szCs w:val="22"/>
        </w:rPr>
      </w:pPr>
      <w:r>
        <w:t>27</w:t>
      </w:r>
      <w:r>
        <w:rPr>
          <w:snapToGrid w:val="0"/>
        </w:rPr>
        <w:t>.</w:t>
      </w:r>
      <w:r>
        <w:rPr>
          <w:snapToGrid w:val="0"/>
        </w:rPr>
        <w:tab/>
        <w:t>How to complain</w:t>
      </w:r>
      <w:r>
        <w:tab/>
      </w:r>
      <w:r>
        <w:fldChar w:fldCharType="begin"/>
      </w:r>
      <w:r>
        <w:instrText xml:space="preserve"> PAGEREF _Toc531178195 \h </w:instrText>
      </w:r>
      <w:r>
        <w:fldChar w:fldCharType="separate"/>
      </w:r>
      <w:r>
        <w:t>18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Referral of complaint where Act inapplicable</w:t>
      </w:r>
      <w:r>
        <w:tab/>
      </w:r>
      <w:r>
        <w:fldChar w:fldCharType="begin"/>
      </w:r>
      <w:r>
        <w:instrText xml:space="preserve"> PAGEREF _Toc531178196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Withdrawal of complaint</w:t>
      </w:r>
      <w:r>
        <w:tab/>
      </w:r>
      <w:r>
        <w:fldChar w:fldCharType="begin"/>
      </w:r>
      <w:r>
        <w:instrText xml:space="preserve"> PAGEREF _Toc531178197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User or carer must try to resolve matter</w:t>
      </w:r>
      <w:r>
        <w:tab/>
      </w:r>
      <w:r>
        <w:fldChar w:fldCharType="begin"/>
      </w:r>
      <w:r>
        <w:instrText xml:space="preserve"> PAGEREF _Toc531178198 \h </w:instrText>
      </w:r>
      <w:r>
        <w:fldChar w:fldCharType="separate"/>
      </w:r>
      <w:r>
        <w:t>19</w:t>
      </w:r>
      <w:r>
        <w:fldChar w:fldCharType="end"/>
      </w:r>
    </w:p>
    <w:p>
      <w:pPr>
        <w:pStyle w:val="TOC8"/>
        <w:rPr>
          <w:rFonts w:asciiTheme="minorHAnsi" w:eastAsiaTheme="minorEastAsia" w:hAnsiTheme="minorHAnsi" w:cstheme="minorBidi"/>
          <w:szCs w:val="22"/>
        </w:rPr>
      </w:pPr>
      <w:r>
        <w:t>31.</w:t>
      </w:r>
      <w:r>
        <w:tab/>
        <w:t xml:space="preserve">Complaints not dealt with by National Board under </w:t>
      </w:r>
      <w:r>
        <w:rPr>
          <w:i/>
          <w:iCs/>
        </w:rPr>
        <w:t>Health Practitioner Regulation National Law (Western Australia)</w:t>
      </w:r>
      <w:r>
        <w:tab/>
      </w:r>
      <w:r>
        <w:fldChar w:fldCharType="begin"/>
      </w:r>
      <w:r>
        <w:instrText xml:space="preserve"> PAGEREF _Toc531178199 \h </w:instrText>
      </w:r>
      <w:r>
        <w:fldChar w:fldCharType="separate"/>
      </w:r>
      <w:r>
        <w:t>20</w:t>
      </w:r>
      <w:r>
        <w:fldChar w:fldCharType="end"/>
      </w:r>
    </w:p>
    <w:p>
      <w:pPr>
        <w:pStyle w:val="TOC8"/>
        <w:rPr>
          <w:rFonts w:asciiTheme="minorHAnsi" w:eastAsiaTheme="minorEastAsia" w:hAnsiTheme="minorHAnsi" w:cstheme="minorBidi"/>
          <w:szCs w:val="22"/>
        </w:rPr>
      </w:pPr>
      <w:r>
        <w:t>32A.</w:t>
      </w:r>
      <w:r>
        <w:tab/>
        <w:t>Notice that complaint being dealt with by National Board</w:t>
      </w:r>
      <w:r>
        <w:tab/>
      </w:r>
      <w:r>
        <w:fldChar w:fldCharType="begin"/>
      </w:r>
      <w:r>
        <w:instrText xml:space="preserve"> PAGEREF _Toc531178200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Referral to other bodies</w:t>
      </w:r>
      <w:r>
        <w:tab/>
      </w:r>
      <w:r>
        <w:fldChar w:fldCharType="begin"/>
      </w:r>
      <w:r>
        <w:instrText xml:space="preserve"> PAGEREF _Toc531178201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Director’s duties if complaint referred under s. 32</w:t>
      </w:r>
      <w:r>
        <w:tab/>
      </w:r>
      <w:r>
        <w:fldChar w:fldCharType="begin"/>
      </w:r>
      <w:r>
        <w:instrText xml:space="preserve"> PAGEREF _Toc531178202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Preliminary assessment by Director</w:t>
      </w:r>
      <w:r>
        <w:tab/>
      </w:r>
      <w:r>
        <w:fldChar w:fldCharType="begin"/>
      </w:r>
      <w:r>
        <w:instrText xml:space="preserve"> PAGEREF _Toc531178203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to provider and others</w:t>
      </w:r>
      <w:r>
        <w:tab/>
      </w:r>
      <w:r>
        <w:fldChar w:fldCharType="begin"/>
      </w:r>
      <w:r>
        <w:instrText xml:space="preserve"> PAGEREF _Toc531178204 \h </w:instrText>
      </w:r>
      <w:r>
        <w:fldChar w:fldCharType="separate"/>
      </w:r>
      <w:r>
        <w:t>22</w:t>
      </w:r>
      <w:r>
        <w:fldChar w:fldCharType="end"/>
      </w:r>
    </w:p>
    <w:p>
      <w:pPr>
        <w:pStyle w:val="TOC8"/>
        <w:rPr>
          <w:rFonts w:asciiTheme="minorHAnsi" w:eastAsiaTheme="minorEastAsia" w:hAnsiTheme="minorHAnsi" w:cstheme="minorBidi"/>
          <w:szCs w:val="22"/>
        </w:rPr>
      </w:pPr>
      <w:r>
        <w:t>36A.</w:t>
      </w:r>
      <w:r>
        <w:tab/>
        <w:t>Response by provider</w:t>
      </w:r>
      <w:r>
        <w:tab/>
      </w:r>
      <w:r>
        <w:fldChar w:fldCharType="begin"/>
      </w:r>
      <w:r>
        <w:instrText xml:space="preserve"> PAGEREF _Toc531178205 \h </w:instrText>
      </w:r>
      <w:r>
        <w:fldChar w:fldCharType="separate"/>
      </w:r>
      <w:r>
        <w:t>23</w:t>
      </w:r>
      <w:r>
        <w:fldChar w:fldCharType="end"/>
      </w:r>
    </w:p>
    <w:p>
      <w:pPr>
        <w:pStyle w:val="TOC8"/>
        <w:rPr>
          <w:rFonts w:asciiTheme="minorHAnsi" w:eastAsiaTheme="minorEastAsia" w:hAnsiTheme="minorHAnsi" w:cstheme="minorBidi"/>
          <w:szCs w:val="22"/>
        </w:rPr>
      </w:pPr>
      <w:r>
        <w:t>36BA.</w:t>
      </w:r>
      <w:r>
        <w:tab/>
        <w:t>Protection of provider’s statements</w:t>
      </w:r>
      <w:r>
        <w:tab/>
      </w:r>
      <w:r>
        <w:fldChar w:fldCharType="begin"/>
      </w:r>
      <w:r>
        <w:instrText xml:space="preserve"> PAGEREF _Toc531178206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3A — Negotiated settlement</w:t>
      </w:r>
    </w:p>
    <w:p>
      <w:pPr>
        <w:pStyle w:val="TOC8"/>
        <w:rPr>
          <w:rFonts w:asciiTheme="minorHAnsi" w:eastAsiaTheme="minorEastAsia" w:hAnsiTheme="minorHAnsi" w:cstheme="minorBidi"/>
          <w:szCs w:val="22"/>
        </w:rPr>
      </w:pPr>
      <w:r>
        <w:t>36B.</w:t>
      </w:r>
      <w:r>
        <w:tab/>
        <w:t>Resolving complaints by negotiation</w:t>
      </w:r>
      <w:r>
        <w:tab/>
      </w:r>
      <w:r>
        <w:fldChar w:fldCharType="begin"/>
      </w:r>
      <w:r>
        <w:instrText xml:space="preserve"> PAGEREF _Toc531178208 \h </w:instrText>
      </w:r>
      <w:r>
        <w:fldChar w:fldCharType="separate"/>
      </w:r>
      <w:r>
        <w:t>24</w:t>
      </w:r>
      <w:r>
        <w:fldChar w:fldCharType="end"/>
      </w:r>
    </w:p>
    <w:p>
      <w:pPr>
        <w:pStyle w:val="TOC8"/>
        <w:rPr>
          <w:rFonts w:asciiTheme="minorHAnsi" w:eastAsiaTheme="minorEastAsia" w:hAnsiTheme="minorHAnsi" w:cstheme="minorBidi"/>
          <w:szCs w:val="22"/>
        </w:rPr>
      </w:pPr>
      <w:r>
        <w:t>36C.</w:t>
      </w:r>
      <w:r>
        <w:tab/>
        <w:t>Protection of statements made</w:t>
      </w:r>
      <w:r>
        <w:tab/>
      </w:r>
      <w:r>
        <w:fldChar w:fldCharType="begin"/>
      </w:r>
      <w:r>
        <w:instrText xml:space="preserve"> PAGEREF _Toc531178209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Conciliation</w:t>
      </w:r>
    </w:p>
    <w:p>
      <w:pPr>
        <w:pStyle w:val="TOC8"/>
        <w:rPr>
          <w:rFonts w:asciiTheme="minorHAnsi" w:eastAsiaTheme="minorEastAsia" w:hAnsiTheme="minorHAnsi" w:cstheme="minorBidi"/>
          <w:szCs w:val="22"/>
        </w:rPr>
      </w:pPr>
      <w:r>
        <w:t>36</w:t>
      </w:r>
      <w:r>
        <w:rPr>
          <w:snapToGrid w:val="0"/>
        </w:rPr>
        <w:t>.</w:t>
      </w:r>
      <w:r>
        <w:rPr>
          <w:snapToGrid w:val="0"/>
        </w:rPr>
        <w:tab/>
        <w:t>Assignment of conciliator</w:t>
      </w:r>
      <w:r>
        <w:tab/>
      </w:r>
      <w:r>
        <w:fldChar w:fldCharType="begin"/>
      </w:r>
      <w:r>
        <w:instrText xml:space="preserve"> PAGEREF _Toc531178211 \h </w:instrText>
      </w:r>
      <w:r>
        <w:fldChar w:fldCharType="separate"/>
      </w:r>
      <w:r>
        <w:t>25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Notice of referral for conciliation</w:t>
      </w:r>
      <w:r>
        <w:tab/>
      </w:r>
      <w:r>
        <w:fldChar w:fldCharType="begin"/>
      </w:r>
      <w:r>
        <w:instrText xml:space="preserve"> PAGEREF _Toc531178212 \h </w:instrText>
      </w:r>
      <w:r>
        <w:fldChar w:fldCharType="separate"/>
      </w:r>
      <w:r>
        <w:t>26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Role of conciliator</w:t>
      </w:r>
      <w:r>
        <w:tab/>
      </w:r>
      <w:r>
        <w:fldChar w:fldCharType="begin"/>
      </w:r>
      <w:r>
        <w:instrText xml:space="preserve"> PAGEREF _Toc531178213 \h </w:instrText>
      </w:r>
      <w:r>
        <w:fldChar w:fldCharType="separate"/>
      </w:r>
      <w:r>
        <w:t>26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Representation in conciliation process</w:t>
      </w:r>
      <w:r>
        <w:tab/>
      </w:r>
      <w:r>
        <w:fldChar w:fldCharType="begin"/>
      </w:r>
      <w:r>
        <w:instrText xml:space="preserve"> PAGEREF _Toc531178214 \h </w:instrText>
      </w:r>
      <w:r>
        <w:fldChar w:fldCharType="separate"/>
      </w:r>
      <w:r>
        <w:t>26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Reports by conciliator</w:t>
      </w:r>
      <w:r>
        <w:tab/>
      </w:r>
      <w:r>
        <w:fldChar w:fldCharType="begin"/>
      </w:r>
      <w:r>
        <w:instrText xml:space="preserve"> PAGEREF _Toc531178215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Parties may resolve complaint</w:t>
      </w:r>
      <w:r>
        <w:tab/>
      </w:r>
      <w:r>
        <w:fldChar w:fldCharType="begin"/>
      </w:r>
      <w:r>
        <w:instrText xml:space="preserve"> PAGEREF _Toc531178216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of statements made</w:t>
      </w:r>
      <w:r>
        <w:tab/>
      </w:r>
      <w:r>
        <w:fldChar w:fldCharType="begin"/>
      </w:r>
      <w:r>
        <w:instrText xml:space="preserve"> PAGEREF _Toc531178217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Subsequent action</w:t>
      </w:r>
    </w:p>
    <w:p>
      <w:pPr>
        <w:pStyle w:val="TOC8"/>
        <w:rPr>
          <w:rFonts w:asciiTheme="minorHAnsi" w:eastAsiaTheme="minorEastAsia" w:hAnsiTheme="minorHAnsi" w:cstheme="minorBidi"/>
          <w:szCs w:val="22"/>
        </w:rPr>
      </w:pPr>
      <w:r>
        <w:t>43</w:t>
      </w:r>
      <w:r>
        <w:rPr>
          <w:snapToGrid w:val="0"/>
        </w:rPr>
        <w:t>.</w:t>
      </w:r>
      <w:r>
        <w:rPr>
          <w:snapToGrid w:val="0"/>
        </w:rPr>
        <w:tab/>
        <w:t>Director’s duties after conciliator’s recommendation</w:t>
      </w:r>
      <w:r>
        <w:tab/>
      </w:r>
      <w:r>
        <w:fldChar w:fldCharType="begin"/>
      </w:r>
      <w:r>
        <w:instrText xml:space="preserve"> PAGEREF _Toc531178219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Notice of investigation by Director</w:t>
      </w:r>
      <w:r>
        <w:tab/>
      </w:r>
      <w:r>
        <w:fldChar w:fldCharType="begin"/>
      </w:r>
      <w:r>
        <w:instrText xml:space="preserve"> PAGEREF _Toc531178220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Further power to investigate</w:t>
      </w:r>
      <w:r>
        <w:tab/>
      </w:r>
      <w:r>
        <w:fldChar w:fldCharType="begin"/>
      </w:r>
      <w:r>
        <w:instrText xml:space="preserve"> PAGEREF _Toc531178221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Conciliator must not investigate</w:t>
      </w:r>
      <w:r>
        <w:tab/>
      </w:r>
      <w:r>
        <w:fldChar w:fldCharType="begin"/>
      </w:r>
      <w:r>
        <w:instrText xml:space="preserve"> PAGEREF _Toc531178222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Purpose of investigation, and procedure</w:t>
      </w:r>
      <w:r>
        <w:tab/>
      </w:r>
      <w:r>
        <w:fldChar w:fldCharType="begin"/>
      </w:r>
      <w:r>
        <w:instrText xml:space="preserve"> PAGEREF _Toc531178223 \h </w:instrText>
      </w:r>
      <w:r>
        <w:fldChar w:fldCharType="separate"/>
      </w:r>
      <w:r>
        <w:t>29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Remedial action where complaint justified</w:t>
      </w:r>
      <w:r>
        <w:tab/>
      </w:r>
      <w:r>
        <w:fldChar w:fldCharType="begin"/>
      </w:r>
      <w:r>
        <w:instrText xml:space="preserve"> PAGEREF _Toc531178224 \h </w:instrText>
      </w:r>
      <w:r>
        <w:fldChar w:fldCharType="separate"/>
      </w:r>
      <w:r>
        <w:t>30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Provider must report on remedial action</w:t>
      </w:r>
      <w:r>
        <w:tab/>
      </w:r>
      <w:r>
        <w:fldChar w:fldCharType="begin"/>
      </w:r>
      <w:r>
        <w:instrText xml:space="preserve"> PAGEREF _Toc531178225 \h </w:instrText>
      </w:r>
      <w:r>
        <w:fldChar w:fldCharType="separate"/>
      </w:r>
      <w:r>
        <w:t>31</w:t>
      </w:r>
      <w:r>
        <w:fldChar w:fldCharType="end"/>
      </w:r>
    </w:p>
    <w:p>
      <w:pPr>
        <w:pStyle w:val="TOC8"/>
        <w:rPr>
          <w:rFonts w:asciiTheme="minorHAnsi" w:eastAsiaTheme="minorEastAsia" w:hAnsiTheme="minorHAnsi" w:cstheme="minorBidi"/>
          <w:szCs w:val="22"/>
        </w:rPr>
      </w:pPr>
      <w:r>
        <w:t>52A.</w:t>
      </w:r>
      <w:r>
        <w:tab/>
        <w:t>Report to Parliament if report not made under s. 51 or remedial action not taken</w:t>
      </w:r>
      <w:r>
        <w:tab/>
      </w:r>
      <w:r>
        <w:fldChar w:fldCharType="begin"/>
      </w:r>
      <w:r>
        <w:instrText xml:space="preserve"> PAGEREF _Toc531178226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52</w:t>
      </w:r>
      <w:r>
        <w:rPr>
          <w:snapToGrid w:val="0"/>
        </w:rPr>
        <w:t>.</w:t>
      </w:r>
      <w:r>
        <w:rPr>
          <w:snapToGrid w:val="0"/>
        </w:rPr>
        <w:tab/>
        <w:t>Director to stop proceedings in some cases</w:t>
      </w:r>
      <w:r>
        <w:tab/>
      </w:r>
      <w:r>
        <w:fldChar w:fldCharType="begin"/>
      </w:r>
      <w:r>
        <w:instrText xml:space="preserve"> PAGEREF _Toc531178228 \h </w:instrText>
      </w:r>
      <w:r>
        <w:fldChar w:fldCharType="separate"/>
      </w:r>
      <w:r>
        <w:t>32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Reports to, and at request of, Parliament</w:t>
      </w:r>
      <w:r>
        <w:tab/>
      </w:r>
      <w:r>
        <w:fldChar w:fldCharType="begin"/>
      </w:r>
      <w:r>
        <w:instrText xml:space="preserve"> PAGEREF _Toc531178229 \h </w:instrText>
      </w:r>
      <w:r>
        <w:fldChar w:fldCharType="separate"/>
      </w:r>
      <w:r>
        <w:t>33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Action if a House not sitting</w:t>
      </w:r>
      <w:r>
        <w:tab/>
      </w:r>
      <w:r>
        <w:fldChar w:fldCharType="begin"/>
      </w:r>
      <w:r>
        <w:instrText xml:space="preserve"> PAGEREF _Toc531178230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Saving</w:t>
      </w:r>
      <w:r>
        <w:tab/>
      </w:r>
      <w:r>
        <w:fldChar w:fldCharType="begin"/>
      </w:r>
      <w:r>
        <w:instrText xml:space="preserve"> PAGEREF _Toc531178231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Director’s powers to obtain information and entry to premises</w:t>
      </w:r>
    </w:p>
    <w:p>
      <w:pPr>
        <w:pStyle w:val="TOC8"/>
        <w:rPr>
          <w:rFonts w:asciiTheme="minorHAnsi" w:eastAsiaTheme="minorEastAsia" w:hAnsiTheme="minorHAnsi" w:cstheme="minorBidi"/>
          <w:szCs w:val="22"/>
        </w:rPr>
      </w:pPr>
      <w:r>
        <w:t>59</w:t>
      </w:r>
      <w:r>
        <w:rPr>
          <w:snapToGrid w:val="0"/>
        </w:rPr>
        <w:t>.</w:t>
      </w:r>
      <w:r>
        <w:rPr>
          <w:snapToGrid w:val="0"/>
        </w:rPr>
        <w:tab/>
        <w:t>Restriction on powers</w:t>
      </w:r>
      <w:r>
        <w:tab/>
      </w:r>
      <w:r>
        <w:fldChar w:fldCharType="begin"/>
      </w:r>
      <w:r>
        <w:instrText xml:space="preserve"> PAGEREF _Toc531178233 \h </w:instrText>
      </w:r>
      <w:r>
        <w:fldChar w:fldCharType="separate"/>
      </w:r>
      <w:r>
        <w:t>35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Power to summons etc.</w:t>
      </w:r>
      <w:r>
        <w:tab/>
      </w:r>
      <w:r>
        <w:fldChar w:fldCharType="begin"/>
      </w:r>
      <w:r>
        <w:instrText xml:space="preserve"> PAGEREF _Toc531178234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False statements</w:t>
      </w:r>
      <w:r>
        <w:tab/>
      </w:r>
      <w:r>
        <w:fldChar w:fldCharType="begin"/>
      </w:r>
      <w:r>
        <w:instrText xml:space="preserve"> PAGEREF _Toc531178235 \h </w:instrText>
      </w:r>
      <w:r>
        <w:fldChar w:fldCharType="separate"/>
      </w:r>
      <w:r>
        <w:t>35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Failure to attend, take oath etc.</w:t>
      </w:r>
      <w:r>
        <w:tab/>
      </w:r>
      <w:r>
        <w:fldChar w:fldCharType="begin"/>
      </w:r>
      <w:r>
        <w:instrText xml:space="preserve"> PAGEREF _Toc531178236 \h </w:instrText>
      </w:r>
      <w:r>
        <w:fldChar w:fldCharType="separate"/>
      </w:r>
      <w:r>
        <w:t>36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Application for warrant to enter premises etc.</w:t>
      </w:r>
      <w:r>
        <w:tab/>
      </w:r>
      <w:r>
        <w:fldChar w:fldCharType="begin"/>
      </w:r>
      <w:r>
        <w:instrText xml:space="preserve"> PAGEREF _Toc531178237 \h </w:instrText>
      </w:r>
      <w:r>
        <w:fldChar w:fldCharType="separate"/>
      </w:r>
      <w:r>
        <w:t>36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Issue of warrant</w:t>
      </w:r>
      <w:r>
        <w:tab/>
      </w:r>
      <w:r>
        <w:fldChar w:fldCharType="begin"/>
      </w:r>
      <w:r>
        <w:instrText xml:space="preserve"> PAGEREF _Toc531178238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Execution of warrant</w:t>
      </w:r>
      <w:r>
        <w:tab/>
      </w:r>
      <w:r>
        <w:fldChar w:fldCharType="begin"/>
      </w:r>
      <w:r>
        <w:instrText xml:space="preserve"> PAGEREF _Toc531178239 \h </w:instrText>
      </w:r>
      <w:r>
        <w:fldChar w:fldCharType="separate"/>
      </w:r>
      <w:r>
        <w:t>38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Offences relating to warrants</w:t>
      </w:r>
      <w:r>
        <w:tab/>
      </w:r>
      <w:r>
        <w:fldChar w:fldCharType="begin"/>
      </w:r>
      <w:r>
        <w:instrText xml:space="preserve"> PAGEREF _Toc531178240 \h </w:instrText>
      </w:r>
      <w:r>
        <w:fldChar w:fldCharType="separate"/>
      </w:r>
      <w:r>
        <w:t>38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Information etc. that may be withheld</w:t>
      </w:r>
      <w:r>
        <w:tab/>
      </w:r>
      <w:r>
        <w:fldChar w:fldCharType="begin"/>
      </w:r>
      <w:r>
        <w:instrText xml:space="preserve"> PAGEREF _Toc531178241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68</w:t>
      </w:r>
      <w:r>
        <w:rPr>
          <w:snapToGrid w:val="0"/>
        </w:rPr>
        <w:t>.</w:t>
      </w:r>
      <w:r>
        <w:rPr>
          <w:snapToGrid w:val="0"/>
        </w:rPr>
        <w:tab/>
        <w:t>Register of complaints</w:t>
      </w:r>
      <w:r>
        <w:tab/>
      </w:r>
      <w:r>
        <w:fldChar w:fldCharType="begin"/>
      </w:r>
      <w:r>
        <w:instrText xml:space="preserve"> PAGEREF _Toc531178243 \h </w:instrText>
      </w:r>
      <w:r>
        <w:fldChar w:fldCharType="separate"/>
      </w:r>
      <w:r>
        <w:t>41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Protection of Director etc. from personal liability</w:t>
      </w:r>
      <w:r>
        <w:tab/>
      </w:r>
      <w:r>
        <w:fldChar w:fldCharType="begin"/>
      </w:r>
      <w:r>
        <w:instrText xml:space="preserve"> PAGEREF _Toc531178244 \h </w:instrText>
      </w:r>
      <w:r>
        <w:fldChar w:fldCharType="separate"/>
      </w:r>
      <w:r>
        <w:t>41</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Protection of other persons</w:t>
      </w:r>
      <w:r>
        <w:tab/>
      </w:r>
      <w:r>
        <w:fldChar w:fldCharType="begin"/>
      </w:r>
      <w:r>
        <w:instrText xml:space="preserve"> PAGEREF _Toc531178245 \h </w:instrText>
      </w:r>
      <w:r>
        <w:fldChar w:fldCharType="separate"/>
      </w:r>
      <w:r>
        <w:t>42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Confidentiality</w:t>
      </w:r>
      <w:r>
        <w:tab/>
      </w:r>
      <w:r>
        <w:fldChar w:fldCharType="begin"/>
      </w:r>
      <w:r>
        <w:instrText xml:space="preserve"> PAGEREF _Toc531178246 \h </w:instrText>
      </w:r>
      <w:r>
        <w:fldChar w:fldCharType="separate"/>
      </w:r>
      <w:r>
        <w:t>42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False statements</w:t>
      </w:r>
      <w:r>
        <w:tab/>
      </w:r>
      <w:r>
        <w:fldChar w:fldCharType="begin"/>
      </w:r>
      <w:r>
        <w:instrText xml:space="preserve"> PAGEREF _Toc531178247 \h </w:instrText>
      </w:r>
      <w:r>
        <w:fldChar w:fldCharType="separate"/>
      </w:r>
      <w:r>
        <w:t>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Person not to be threatened etc. because of complaining to Director</w:t>
      </w:r>
      <w:r>
        <w:tab/>
      </w:r>
      <w:r>
        <w:fldChar w:fldCharType="begin"/>
      </w:r>
      <w:r>
        <w:instrText xml:space="preserve"> PAGEREF _Toc531178248 \h </w:instrText>
      </w:r>
      <w:r>
        <w:fldChar w:fldCharType="separate"/>
      </w:r>
      <w:r>
        <w:t>43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 xml:space="preserve">Application of </w:t>
      </w:r>
      <w:r>
        <w:rPr>
          <w:i/>
          <w:iCs/>
          <w:snapToGrid w:val="0"/>
        </w:rPr>
        <w:t>Parliamentary Commissioner Act 1971</w:t>
      </w:r>
      <w:r>
        <w:tab/>
      </w:r>
      <w:r>
        <w:fldChar w:fldCharType="begin"/>
      </w:r>
      <w:r>
        <w:instrText xml:space="preserve"> PAGEREF _Toc531178249 \h </w:instrText>
      </w:r>
      <w:r>
        <w:fldChar w:fldCharType="separate"/>
      </w:r>
      <w:r>
        <w:t>44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Prescribed provider must give certain information</w:t>
      </w:r>
      <w:r>
        <w:tab/>
      </w:r>
      <w:r>
        <w:fldChar w:fldCharType="begin"/>
      </w:r>
      <w:r>
        <w:instrText xml:space="preserve"> PAGEREF _Toc531178250 \h </w:instrText>
      </w:r>
      <w:r>
        <w:fldChar w:fldCharType="separate"/>
      </w:r>
      <w:r>
        <w:t>44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Prosecutions</w:t>
      </w:r>
      <w:r>
        <w:tab/>
      </w:r>
      <w:r>
        <w:fldChar w:fldCharType="begin"/>
      </w:r>
      <w:r>
        <w:instrText xml:space="preserve"> PAGEREF _Toc531178251 \h </w:instrText>
      </w:r>
      <w:r>
        <w:fldChar w:fldCharType="separate"/>
      </w:r>
      <w:r>
        <w:t>44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Regulations</w:t>
      </w:r>
      <w:r>
        <w:tab/>
      </w:r>
      <w:r>
        <w:fldChar w:fldCharType="begin"/>
      </w:r>
      <w:r>
        <w:instrText xml:space="preserve"> PAGEREF _Toc531178252 \h </w:instrText>
      </w:r>
      <w:r>
        <w:fldChar w:fldCharType="separate"/>
      </w:r>
      <w:r>
        <w:t>45</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Transitional provision</w:t>
      </w:r>
      <w:r>
        <w:tab/>
      </w:r>
      <w:r>
        <w:fldChar w:fldCharType="begin"/>
      </w:r>
      <w:r>
        <w:instrText xml:space="preserve"> PAGEREF _Toc531178253 \h </w:instrText>
      </w:r>
      <w:r>
        <w:fldChar w:fldCharType="separate"/>
      </w:r>
      <w:r>
        <w:t>45</w:t>
      </w:r>
      <w:r>
        <w:fldChar w:fldCharType="end"/>
      </w:r>
    </w:p>
    <w:p>
      <w:pPr>
        <w:pStyle w:val="TOC8"/>
        <w:rPr>
          <w:rFonts w:asciiTheme="minorHAnsi" w:eastAsiaTheme="minorEastAsia" w:hAnsiTheme="minorHAnsi" w:cstheme="minorBidi"/>
          <w:szCs w:val="22"/>
        </w:rPr>
      </w:pPr>
      <w:r>
        <w:t>79.</w:t>
      </w:r>
      <w:r>
        <w:tab/>
        <w:t>Review of Act</w:t>
      </w:r>
      <w:r>
        <w:tab/>
      </w:r>
      <w:r>
        <w:fldChar w:fldCharType="begin"/>
      </w:r>
      <w:r>
        <w:instrText xml:space="preserve"> PAGEREF _Toc531178254 \h </w:instrText>
      </w:r>
      <w:r>
        <w:fldChar w:fldCharType="separate"/>
      </w:r>
      <w:r>
        <w:t>45</w:t>
      </w:r>
      <w:r>
        <w:fldChar w:fldCharType="end"/>
      </w:r>
    </w:p>
    <w:p>
      <w:pPr>
        <w:pStyle w:val="TOC8"/>
        <w:rPr>
          <w:rFonts w:asciiTheme="minorHAnsi" w:eastAsiaTheme="minorEastAsia" w:hAnsiTheme="minorHAnsi" w:cstheme="minorBidi"/>
          <w:szCs w:val="22"/>
        </w:rPr>
      </w:pPr>
      <w:r>
        <w:t>80.</w:t>
      </w:r>
      <w:r>
        <w:tab/>
        <w:t>Transitional provisions</w:t>
      </w:r>
      <w:r>
        <w:tab/>
      </w:r>
      <w:r>
        <w:fldChar w:fldCharType="begin"/>
      </w:r>
      <w:r>
        <w:instrText xml:space="preserve"> PAGEREF _Toc531178255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2 — Tenure, salary, conditions of service, etc., of Director</w:t>
      </w:r>
    </w:p>
    <w:p>
      <w:pPr>
        <w:pStyle w:val="TOC8"/>
        <w:rPr>
          <w:rFonts w:asciiTheme="minorHAnsi" w:eastAsiaTheme="minorEastAsia" w:hAnsiTheme="minorHAnsi" w:cstheme="minorBidi"/>
          <w:szCs w:val="22"/>
        </w:rPr>
      </w:pPr>
      <w:r>
        <w:t>1</w:t>
      </w:r>
      <w:r>
        <w:rPr>
          <w:snapToGrid w:val="0"/>
        </w:rPr>
        <w:t>.</w:t>
      </w:r>
      <w:r>
        <w:rPr>
          <w:snapToGrid w:val="0"/>
        </w:rPr>
        <w:tab/>
        <w:t>Tenure of office</w:t>
      </w:r>
      <w:r>
        <w:tab/>
      </w:r>
      <w:r>
        <w:fldChar w:fldCharType="begin"/>
      </w:r>
      <w:r>
        <w:instrText xml:space="preserve"> PAGEREF _Toc531178257 \h </w:instrText>
      </w:r>
      <w:r>
        <w:fldChar w:fldCharType="separate"/>
      </w:r>
      <w:r>
        <w:t>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Salary and entitlements</w:t>
      </w:r>
      <w:r>
        <w:tab/>
      </w:r>
      <w:r>
        <w:fldChar w:fldCharType="begin"/>
      </w:r>
      <w:r>
        <w:instrText xml:space="preserve"> PAGEREF _Toc531178258 \h </w:instrText>
      </w:r>
      <w:r>
        <w:fldChar w:fldCharType="separate"/>
      </w:r>
      <w:r>
        <w:t>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Superannuation</w:t>
      </w:r>
      <w:r>
        <w:tab/>
      </w:r>
      <w:r>
        <w:fldChar w:fldCharType="begin"/>
      </w:r>
      <w:r>
        <w:instrText xml:space="preserve"> PAGEREF _Toc531178259 \h </w:instrText>
      </w:r>
      <w:r>
        <w:fldChar w:fldCharType="separate"/>
      </w:r>
      <w:r>
        <w:t>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public service officer</w:t>
      </w:r>
      <w:r>
        <w:tab/>
      </w:r>
      <w:r>
        <w:fldChar w:fldCharType="begin"/>
      </w:r>
      <w:r>
        <w:instrText xml:space="preserve"> PAGEREF _Toc531178260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Removal from office</w:t>
      </w:r>
      <w:r>
        <w:tab/>
      </w:r>
      <w:r>
        <w:fldChar w:fldCharType="begin"/>
      </w:r>
      <w:r>
        <w:instrText xml:space="preserve"> PAGEREF _Toc531178261 \h </w:instrText>
      </w:r>
      <w:r>
        <w:fldChar w:fldCharType="separate"/>
      </w:r>
      <w:r>
        <w:t>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conditions of service</w:t>
      </w:r>
      <w:r>
        <w:tab/>
      </w:r>
      <w:r>
        <w:fldChar w:fldCharType="begin"/>
      </w:r>
      <w:r>
        <w:instrText xml:space="preserve"> PAGEREF _Toc531178262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_Toc531178264 \h </w:instrText>
      </w:r>
      <w:r>
        <w:fldChar w:fldCharType="separate"/>
      </w:r>
      <w:r>
        <w:t>50</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_Toc531178265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80" w:after="1000"/>
        <w:ind w:left="539" w:right="607"/>
      </w:pPr>
      <w:r>
        <w:t>Health and Disability Services (Complaints) Act 1995</w:t>
      </w:r>
    </w:p>
    <w:p>
      <w:pPr>
        <w:pStyle w:val="LongTitle"/>
        <w:rPr>
          <w:snapToGrid w:val="0"/>
        </w:rPr>
      </w:pPr>
      <w:r>
        <w:rPr>
          <w:snapToGrid w:val="0"/>
        </w:rPr>
        <w:t>An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No. 33 of 2010 s. 4.]</w:t>
      </w:r>
    </w:p>
    <w:p>
      <w:pPr>
        <w:pStyle w:val="Heading2"/>
      </w:pPr>
      <w:bookmarkStart w:id="3" w:name="_Toc419461271"/>
      <w:bookmarkStart w:id="4" w:name="_Toc435776407"/>
      <w:bookmarkStart w:id="5" w:name="_Toc435776512"/>
      <w:bookmarkStart w:id="6" w:name="_Toc435776777"/>
      <w:bookmarkStart w:id="7" w:name="_Toc436059344"/>
      <w:bookmarkStart w:id="8" w:name="_Toc452545271"/>
      <w:bookmarkStart w:id="9" w:name="_Toc455412923"/>
      <w:bookmarkStart w:id="10" w:name="_Toc512323812"/>
      <w:bookmarkStart w:id="11" w:name="_Toc53117816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531178164"/>
      <w:r>
        <w:rPr>
          <w:rStyle w:val="CharSectno"/>
        </w:rPr>
        <w:t>1</w:t>
      </w:r>
      <w:r>
        <w:rPr>
          <w:snapToGrid w:val="0"/>
        </w:rPr>
        <w:t>.</w:t>
      </w:r>
      <w:r>
        <w:rPr>
          <w:snapToGrid w:val="0"/>
        </w:rPr>
        <w:tab/>
        <w:t>Short title</w:t>
      </w:r>
      <w:bookmarkEnd w:id="12"/>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spacing w:before="100"/>
        <w:ind w:left="890" w:hanging="890"/>
      </w:pPr>
      <w:r>
        <w:tab/>
        <w:t>[Section 1 amended: No. 33 of 2010 s. 5.]</w:t>
      </w:r>
    </w:p>
    <w:p>
      <w:pPr>
        <w:pStyle w:val="Heading5"/>
        <w:rPr>
          <w:snapToGrid w:val="0"/>
        </w:rPr>
      </w:pPr>
      <w:bookmarkStart w:id="13" w:name="_Toc531178165"/>
      <w:r>
        <w:rPr>
          <w:rStyle w:val="CharSectno"/>
        </w:rPr>
        <w:t>2</w:t>
      </w:r>
      <w:r>
        <w:rPr>
          <w:snapToGrid w:val="0"/>
        </w:rPr>
        <w:t>.</w:t>
      </w:r>
      <w:r>
        <w:rPr>
          <w:snapToGrid w:val="0"/>
        </w:rPr>
        <w:tab/>
        <w:t>Commencement</w:t>
      </w:r>
      <w:bookmarkEnd w:id="13"/>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14" w:name="_Toc531178166"/>
      <w:r>
        <w:rPr>
          <w:rStyle w:val="CharSectno"/>
        </w:rPr>
        <w:t>3A</w:t>
      </w:r>
      <w:r>
        <w:t>.</w:t>
      </w:r>
      <w:r>
        <w:tab/>
        <w:t>Act to be read with other legislation about health and disability complaints</w:t>
      </w:r>
      <w:bookmarkEnd w:id="14"/>
    </w:p>
    <w:p>
      <w:pPr>
        <w:pStyle w:val="Subsection"/>
      </w:pPr>
      <w:r>
        <w:tab/>
      </w:r>
      <w:r>
        <w:tab/>
        <w:t xml:space="preserve">This Act is to be read with the following — </w:t>
      </w:r>
    </w:p>
    <w:p>
      <w:pPr>
        <w:pStyle w:val="Indenta"/>
      </w:pPr>
      <w:r>
        <w:tab/>
        <w:t>(a)</w:t>
      </w:r>
      <w:r>
        <w:tab/>
        <w:t xml:space="preserve">the </w:t>
      </w:r>
      <w:r>
        <w:rPr>
          <w:i/>
        </w:rPr>
        <w:t>Disability Services Act 1993</w:t>
      </w:r>
      <w:r>
        <w:t xml:space="preserve"> Part 6;</w:t>
      </w:r>
    </w:p>
    <w:p>
      <w:pPr>
        <w:pStyle w:val="Indenta"/>
      </w:pPr>
      <w:r>
        <w:tab/>
        <w:t>(b)</w:t>
      </w:r>
      <w:r>
        <w:tab/>
        <w:t xml:space="preserve">the </w:t>
      </w:r>
      <w:r>
        <w:rPr>
          <w:i/>
        </w:rPr>
        <w:t>Mental Health Act 2014</w:t>
      </w:r>
      <w:r>
        <w:t xml:space="preserve"> Part 19 Divisions 3 and 4.</w:t>
      </w:r>
    </w:p>
    <w:p>
      <w:pPr>
        <w:pStyle w:val="Footnotesection"/>
      </w:pPr>
      <w:r>
        <w:tab/>
        <w:t>[Section 3A inserted: No. 25 of 2014 s. 64.]</w:t>
      </w:r>
    </w:p>
    <w:p>
      <w:pPr>
        <w:pStyle w:val="Heading5"/>
        <w:rPr>
          <w:snapToGrid w:val="0"/>
        </w:rPr>
      </w:pPr>
      <w:bookmarkStart w:id="15" w:name="_Toc531178167"/>
      <w:r>
        <w:rPr>
          <w:rStyle w:val="CharSectno"/>
        </w:rPr>
        <w:t>3</w:t>
      </w:r>
      <w:r>
        <w:rPr>
          <w:snapToGrid w:val="0"/>
        </w:rPr>
        <w:t>.</w:t>
      </w:r>
      <w:r>
        <w:rPr>
          <w:snapToGrid w:val="0"/>
        </w:rPr>
        <w:tab/>
        <w:t>Terms used</w:t>
      </w:r>
      <w:bookmarkEnd w:id="15"/>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health care, including palliative health care; 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pPr>
      <w:r>
        <w:tab/>
        <w:t>(i)</w:t>
      </w:r>
      <w:r>
        <w:tab/>
        <w:t>a body by which or an institution in which any health service is rendered or provided; or</w:t>
      </w:r>
    </w:p>
    <w:p>
      <w:pPr>
        <w:pStyle w:val="Defsubpara"/>
      </w:pPr>
      <w:r>
        <w:tab/>
        <w:t>(ii)</w:t>
      </w:r>
      <w: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as defined in the </w:t>
      </w:r>
      <w:r>
        <w:rPr>
          <w:i/>
        </w:rPr>
        <w:t>Health Services Act 2016</w:t>
      </w:r>
      <w:r>
        <w:t xml:space="preserve"> section 6;</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tab/>
      </w:r>
      <w:r>
        <w:rPr>
          <w:rStyle w:val="CharDefText"/>
        </w:rPr>
        <w:t>registration board</w:t>
      </w:r>
      <w:r>
        <w:t xml:space="preserve"> means a National Health Practitioner Board established under the </w:t>
      </w:r>
      <w:r>
        <w:rPr>
          <w:i/>
        </w:rPr>
        <w:t>Health Practitioner Regulation National Law (Western Australia)</w:t>
      </w:r>
      <w:r>
        <w:t>;</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No. 37 of 2004 s. 31; No. 28 of 2006 s. 257; No. 33 of 2010 s. 7; No. 11 of 2016 s. 292; No. 4 of 2018 s 112(2).]</w:t>
      </w:r>
    </w:p>
    <w:p>
      <w:pPr>
        <w:pStyle w:val="Heading5"/>
        <w:rPr>
          <w:snapToGrid w:val="0"/>
        </w:rPr>
      </w:pPr>
      <w:bookmarkStart w:id="16" w:name="_Toc531178168"/>
      <w:r>
        <w:rPr>
          <w:rStyle w:val="CharSectno"/>
        </w:rPr>
        <w:t>4</w:t>
      </w:r>
      <w:r>
        <w:rPr>
          <w:snapToGrid w:val="0"/>
        </w:rPr>
        <w:t>.</w:t>
      </w:r>
      <w:r>
        <w:rPr>
          <w:snapToGrid w:val="0"/>
        </w:rPr>
        <w:tab/>
        <w:t>Guiding principles for the provision of health services</w:t>
      </w:r>
      <w:bookmarkEnd w:id="16"/>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17" w:name="_Toc531178169"/>
      <w:r>
        <w:rPr>
          <w:rStyle w:val="CharSectno"/>
        </w:rPr>
        <w:t>5</w:t>
      </w:r>
      <w:r>
        <w:rPr>
          <w:snapToGrid w:val="0"/>
        </w:rPr>
        <w:t>.</w:t>
      </w:r>
      <w:r>
        <w:rPr>
          <w:snapToGrid w:val="0"/>
        </w:rPr>
        <w:tab/>
        <w:t>Crown bound</w:t>
      </w:r>
      <w:bookmarkEnd w:id="17"/>
    </w:p>
    <w:p>
      <w:pPr>
        <w:pStyle w:val="Subsection"/>
        <w:rPr>
          <w:snapToGrid w:val="0"/>
        </w:rPr>
      </w:pPr>
      <w:r>
        <w:rPr>
          <w:snapToGrid w:val="0"/>
        </w:rPr>
        <w:tab/>
      </w:r>
      <w:r>
        <w:rPr>
          <w:snapToGrid w:val="0"/>
        </w:rPr>
        <w:tab/>
        <w:t>This Act binds the Crown.</w:t>
      </w:r>
    </w:p>
    <w:p>
      <w:pPr>
        <w:pStyle w:val="Heading2"/>
      </w:pPr>
      <w:bookmarkStart w:id="18" w:name="_Toc419461278"/>
      <w:bookmarkStart w:id="19" w:name="_Toc435776414"/>
      <w:bookmarkStart w:id="20" w:name="_Toc435776519"/>
      <w:bookmarkStart w:id="21" w:name="_Toc435776784"/>
      <w:bookmarkStart w:id="22" w:name="_Toc436059351"/>
      <w:bookmarkStart w:id="23" w:name="_Toc452545278"/>
      <w:bookmarkStart w:id="24" w:name="_Toc455412930"/>
      <w:bookmarkStart w:id="25" w:name="_Toc512323819"/>
      <w:bookmarkStart w:id="26" w:name="_Toc531178170"/>
      <w:r>
        <w:rPr>
          <w:rStyle w:val="CharPartNo"/>
        </w:rPr>
        <w:t>Part 2</w:t>
      </w:r>
      <w:r>
        <w:rPr>
          <w:rStyle w:val="CharDivNo"/>
        </w:rPr>
        <w:t> </w:t>
      </w:r>
      <w:r>
        <w:t>—</w:t>
      </w:r>
      <w:r>
        <w:rPr>
          <w:rStyle w:val="CharDivText"/>
        </w:rPr>
        <w:t> </w:t>
      </w:r>
      <w:r>
        <w:rPr>
          <w:rStyle w:val="CharPartText"/>
        </w:rPr>
        <w:t>Administrative arrangements</w:t>
      </w:r>
      <w:bookmarkEnd w:id="18"/>
      <w:bookmarkEnd w:id="19"/>
      <w:bookmarkEnd w:id="20"/>
      <w:bookmarkEnd w:id="21"/>
      <w:bookmarkEnd w:id="22"/>
      <w:bookmarkEnd w:id="23"/>
      <w:bookmarkEnd w:id="24"/>
      <w:bookmarkEnd w:id="25"/>
      <w:bookmarkEnd w:id="26"/>
    </w:p>
    <w:p>
      <w:pPr>
        <w:pStyle w:val="Heading5"/>
        <w:rPr>
          <w:snapToGrid w:val="0"/>
        </w:rPr>
      </w:pPr>
      <w:bookmarkStart w:id="27" w:name="_Toc531178171"/>
      <w:r>
        <w:rPr>
          <w:rStyle w:val="CharSectno"/>
        </w:rPr>
        <w:t>6</w:t>
      </w:r>
      <w:r>
        <w:rPr>
          <w:snapToGrid w:val="0"/>
        </w:rPr>
        <w:t>.</w:t>
      </w:r>
      <w:r>
        <w:rPr>
          <w:snapToGrid w:val="0"/>
        </w:rPr>
        <w:tab/>
        <w:t>Health and Disability Services Complaints Office</w:t>
      </w:r>
      <w:bookmarkEnd w:id="27"/>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r>
        <w:tab/>
        <w:t>[Section 6 amended: No. 33 of 2010 s. 8.]</w:t>
      </w:r>
    </w:p>
    <w:p>
      <w:pPr>
        <w:pStyle w:val="Heading5"/>
        <w:rPr>
          <w:snapToGrid w:val="0"/>
        </w:rPr>
      </w:pPr>
      <w:bookmarkStart w:id="28" w:name="_Toc531178172"/>
      <w:r>
        <w:rPr>
          <w:rStyle w:val="CharSectno"/>
        </w:rPr>
        <w:t>7</w:t>
      </w:r>
      <w:r>
        <w:rPr>
          <w:snapToGrid w:val="0"/>
        </w:rPr>
        <w:t>.</w:t>
      </w:r>
      <w:r>
        <w:rPr>
          <w:snapToGrid w:val="0"/>
        </w:rPr>
        <w:tab/>
        <w:t>Director of Office</w:t>
      </w:r>
      <w:bookmarkEnd w:id="28"/>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29" w:name="_Toc531178173"/>
      <w:r>
        <w:rPr>
          <w:rStyle w:val="CharSectno"/>
        </w:rPr>
        <w:t>8</w:t>
      </w:r>
      <w:r>
        <w:rPr>
          <w:snapToGrid w:val="0"/>
        </w:rPr>
        <w:t>.</w:t>
      </w:r>
      <w:r>
        <w:rPr>
          <w:snapToGrid w:val="0"/>
        </w:rPr>
        <w:tab/>
        <w:t>Tenure, salary etc. of Director</w:t>
      </w:r>
      <w:bookmarkEnd w:id="29"/>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30" w:name="_Toc531178174"/>
      <w:r>
        <w:rPr>
          <w:rStyle w:val="CharSectno"/>
        </w:rPr>
        <w:t>9</w:t>
      </w:r>
      <w:r>
        <w:rPr>
          <w:snapToGrid w:val="0"/>
        </w:rPr>
        <w:t>.</w:t>
      </w:r>
      <w:r>
        <w:rPr>
          <w:snapToGrid w:val="0"/>
        </w:rPr>
        <w:tab/>
        <w:t>Judicial notice of Director’s appointment and signature</w:t>
      </w:r>
      <w:bookmarkEnd w:id="30"/>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31" w:name="_Toc531178175"/>
      <w:r>
        <w:rPr>
          <w:rStyle w:val="CharSectno"/>
        </w:rPr>
        <w:t>10</w:t>
      </w:r>
      <w:r>
        <w:rPr>
          <w:snapToGrid w:val="0"/>
        </w:rPr>
        <w:t>.</w:t>
      </w:r>
      <w:r>
        <w:rPr>
          <w:snapToGrid w:val="0"/>
        </w:rPr>
        <w:tab/>
        <w:t>Director’s functions</w:t>
      </w:r>
      <w:bookmarkEnd w:id="31"/>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No. 44 of 1999 s. 28(2); No. 55 of 2004 s. 493; No. 33 of 2010 s. 9.]</w:t>
      </w:r>
    </w:p>
    <w:p>
      <w:pPr>
        <w:pStyle w:val="Heading5"/>
        <w:rPr>
          <w:snapToGrid w:val="0"/>
        </w:rPr>
      </w:pPr>
      <w:bookmarkStart w:id="32" w:name="_Toc531178176"/>
      <w:r>
        <w:rPr>
          <w:rStyle w:val="CharSectno"/>
        </w:rPr>
        <w:t>11</w:t>
      </w:r>
      <w:r>
        <w:rPr>
          <w:snapToGrid w:val="0"/>
        </w:rPr>
        <w:t>.</w:t>
      </w:r>
      <w:r>
        <w:rPr>
          <w:snapToGrid w:val="0"/>
        </w:rPr>
        <w:tab/>
        <w:t>Minister may give Director directions</w:t>
      </w:r>
      <w:bookmarkEnd w:id="32"/>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No. 57 of 2004 s. 36; No. 77 of 2006 Sch. 1 cl. 82(1); No. 35 of 2010 s. 80.]</w:t>
      </w:r>
    </w:p>
    <w:p>
      <w:pPr>
        <w:pStyle w:val="Heading5"/>
        <w:rPr>
          <w:snapToGrid w:val="0"/>
        </w:rPr>
      </w:pPr>
      <w:bookmarkStart w:id="33" w:name="_Toc531178177"/>
      <w:r>
        <w:rPr>
          <w:rStyle w:val="CharSectno"/>
        </w:rPr>
        <w:t>12</w:t>
      </w:r>
      <w:r>
        <w:rPr>
          <w:snapToGrid w:val="0"/>
        </w:rPr>
        <w:t>.</w:t>
      </w:r>
      <w:r>
        <w:rPr>
          <w:snapToGrid w:val="0"/>
        </w:rPr>
        <w:tab/>
        <w:t>Minister to have access to information</w:t>
      </w:r>
      <w:bookmarkEnd w:id="33"/>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34" w:name="_Toc531178178"/>
      <w:r>
        <w:rPr>
          <w:rStyle w:val="CharSectno"/>
        </w:rPr>
        <w:t>13</w:t>
      </w:r>
      <w:r>
        <w:rPr>
          <w:snapToGrid w:val="0"/>
        </w:rPr>
        <w:t>.</w:t>
      </w:r>
      <w:r>
        <w:rPr>
          <w:snapToGrid w:val="0"/>
        </w:rPr>
        <w:tab/>
        <w:t>Financial provisions</w:t>
      </w:r>
      <w:bookmarkEnd w:id="34"/>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No. 28 of 2006 s. 258; No. 77 of 2006 Sch. 1 cl. 82(2) and (3); No. 33 of 2010 s. 10.]</w:t>
      </w:r>
    </w:p>
    <w:p>
      <w:pPr>
        <w:pStyle w:val="Heading5"/>
        <w:rPr>
          <w:snapToGrid w:val="0"/>
        </w:rPr>
      </w:pPr>
      <w:bookmarkStart w:id="35" w:name="_Toc531178179"/>
      <w:r>
        <w:rPr>
          <w:rStyle w:val="CharSectno"/>
        </w:rPr>
        <w:t>14</w:t>
      </w:r>
      <w:r>
        <w:rPr>
          <w:snapToGrid w:val="0"/>
        </w:rPr>
        <w:t>.</w:t>
      </w:r>
      <w:r>
        <w:rPr>
          <w:snapToGrid w:val="0"/>
        </w:rPr>
        <w:tab/>
        <w:t>Staff</w:t>
      </w:r>
      <w:bookmarkEnd w:id="35"/>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36" w:name="_Toc531178180"/>
      <w:r>
        <w:rPr>
          <w:rStyle w:val="CharSectno"/>
        </w:rPr>
        <w:t>15</w:t>
      </w:r>
      <w:r>
        <w:rPr>
          <w:snapToGrid w:val="0"/>
        </w:rPr>
        <w:t>.</w:t>
      </w:r>
      <w:r>
        <w:rPr>
          <w:snapToGrid w:val="0"/>
        </w:rPr>
        <w:tab/>
        <w:t>Consultants</w:t>
      </w:r>
      <w:bookmarkEnd w:id="36"/>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37" w:name="_Toc531178181"/>
      <w:r>
        <w:rPr>
          <w:rStyle w:val="CharSectno"/>
        </w:rPr>
        <w:t>16</w:t>
      </w:r>
      <w:r>
        <w:rPr>
          <w:snapToGrid w:val="0"/>
        </w:rPr>
        <w:t>.</w:t>
      </w:r>
      <w:r>
        <w:rPr>
          <w:snapToGrid w:val="0"/>
        </w:rPr>
        <w:tab/>
        <w:t>Use of other government staff etc.</w:t>
      </w:r>
      <w:bookmarkEnd w:id="37"/>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38" w:name="_Toc531178182"/>
      <w:r>
        <w:rPr>
          <w:rStyle w:val="CharSectno"/>
        </w:rPr>
        <w:t>17</w:t>
      </w:r>
      <w:r>
        <w:rPr>
          <w:snapToGrid w:val="0"/>
        </w:rPr>
        <w:t>.</w:t>
      </w:r>
      <w:r>
        <w:rPr>
          <w:snapToGrid w:val="0"/>
        </w:rPr>
        <w:tab/>
        <w:t>Oath of office by Director and staff</w:t>
      </w:r>
      <w:bookmarkEnd w:id="38"/>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39" w:name="_Toc531178183"/>
      <w:r>
        <w:rPr>
          <w:rStyle w:val="CharSectno"/>
        </w:rPr>
        <w:t>18</w:t>
      </w:r>
      <w:r>
        <w:rPr>
          <w:snapToGrid w:val="0"/>
        </w:rPr>
        <w:t>.</w:t>
      </w:r>
      <w:r>
        <w:rPr>
          <w:snapToGrid w:val="0"/>
        </w:rPr>
        <w:tab/>
        <w:t>Delegation by Director</w:t>
      </w:r>
      <w:bookmarkEnd w:id="39"/>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40" w:name="_Toc419461292"/>
      <w:bookmarkStart w:id="41" w:name="_Toc435776428"/>
      <w:bookmarkStart w:id="42" w:name="_Toc435776533"/>
      <w:bookmarkStart w:id="43" w:name="_Toc435776798"/>
      <w:bookmarkStart w:id="44" w:name="_Toc436059365"/>
      <w:bookmarkStart w:id="45" w:name="_Toc452545292"/>
      <w:bookmarkStart w:id="46" w:name="_Toc455412944"/>
      <w:bookmarkStart w:id="47" w:name="_Toc512323833"/>
      <w:bookmarkStart w:id="48" w:name="_Toc531178184"/>
      <w:r>
        <w:rPr>
          <w:rStyle w:val="CharPartNo"/>
        </w:rPr>
        <w:t>Part 3</w:t>
      </w:r>
      <w:r>
        <w:t> — </w:t>
      </w:r>
      <w:r>
        <w:rPr>
          <w:rStyle w:val="CharPartText"/>
        </w:rPr>
        <w:t>Complaints</w:t>
      </w:r>
      <w:bookmarkEnd w:id="40"/>
      <w:bookmarkEnd w:id="41"/>
      <w:bookmarkEnd w:id="42"/>
      <w:bookmarkEnd w:id="43"/>
      <w:bookmarkEnd w:id="44"/>
      <w:bookmarkEnd w:id="45"/>
      <w:bookmarkEnd w:id="46"/>
      <w:bookmarkEnd w:id="47"/>
      <w:bookmarkEnd w:id="48"/>
    </w:p>
    <w:p>
      <w:pPr>
        <w:pStyle w:val="Heading3"/>
      </w:pPr>
      <w:bookmarkStart w:id="49" w:name="_Toc419461293"/>
      <w:bookmarkStart w:id="50" w:name="_Toc435776429"/>
      <w:bookmarkStart w:id="51" w:name="_Toc435776534"/>
      <w:bookmarkStart w:id="52" w:name="_Toc435776799"/>
      <w:bookmarkStart w:id="53" w:name="_Toc436059366"/>
      <w:bookmarkStart w:id="54" w:name="_Toc452545293"/>
      <w:bookmarkStart w:id="55" w:name="_Toc455412945"/>
      <w:bookmarkStart w:id="56" w:name="_Toc512323834"/>
      <w:bookmarkStart w:id="57" w:name="_Toc531178185"/>
      <w:r>
        <w:rPr>
          <w:rStyle w:val="CharDivNo"/>
        </w:rPr>
        <w:t>Division 1</w:t>
      </w:r>
      <w:r>
        <w:rPr>
          <w:snapToGrid w:val="0"/>
        </w:rPr>
        <w:t> — </w:t>
      </w:r>
      <w:r>
        <w:rPr>
          <w:rStyle w:val="CharDivText"/>
        </w:rPr>
        <w:t>Right to complain conferred</w:t>
      </w:r>
      <w:bookmarkEnd w:id="49"/>
      <w:bookmarkEnd w:id="50"/>
      <w:bookmarkEnd w:id="51"/>
      <w:bookmarkEnd w:id="52"/>
      <w:bookmarkEnd w:id="53"/>
      <w:bookmarkEnd w:id="54"/>
      <w:bookmarkEnd w:id="55"/>
      <w:bookmarkEnd w:id="56"/>
      <w:bookmarkEnd w:id="57"/>
    </w:p>
    <w:p>
      <w:pPr>
        <w:pStyle w:val="Heading5"/>
        <w:rPr>
          <w:snapToGrid w:val="0"/>
        </w:rPr>
      </w:pPr>
      <w:bookmarkStart w:id="58" w:name="_Toc531178186"/>
      <w:r>
        <w:rPr>
          <w:rStyle w:val="CharSectno"/>
        </w:rPr>
        <w:t>19</w:t>
      </w:r>
      <w:r>
        <w:rPr>
          <w:snapToGrid w:val="0"/>
        </w:rPr>
        <w:t>.</w:t>
      </w:r>
      <w:r>
        <w:rPr>
          <w:snapToGrid w:val="0"/>
        </w:rPr>
        <w:tab/>
        <w:t>Who may complain</w:t>
      </w:r>
      <w:bookmarkEnd w:id="58"/>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r>
        <w:tab/>
        <w:t>(2)</w:t>
      </w:r>
      <w:r>
        <w:tab/>
        <w:t>A complaint alleging a matter referred to in section 25(1)(h) may be made to the Director by a carer.</w:t>
      </w:r>
    </w:p>
    <w:p>
      <w:pPr>
        <w:pStyle w:val="Footnotesection"/>
      </w:pPr>
      <w:r>
        <w:tab/>
        <w:t>[Section 19 amended: No. 37 of 2004 s. 32.]</w:t>
      </w:r>
    </w:p>
    <w:p>
      <w:pPr>
        <w:pStyle w:val="Heading5"/>
        <w:rPr>
          <w:snapToGrid w:val="0"/>
        </w:rPr>
      </w:pPr>
      <w:bookmarkStart w:id="59" w:name="_Toc531178187"/>
      <w:r>
        <w:rPr>
          <w:rStyle w:val="CharSectno"/>
        </w:rPr>
        <w:t>20</w:t>
      </w:r>
      <w:r>
        <w:rPr>
          <w:snapToGrid w:val="0"/>
        </w:rPr>
        <w:t>.</w:t>
      </w:r>
      <w:r>
        <w:rPr>
          <w:snapToGrid w:val="0"/>
        </w:rPr>
        <w:tab/>
        <w:t>Representatives of users</w:t>
      </w:r>
      <w:bookmarkEnd w:id="59"/>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No. 28 of 2003 s. 79; No. 33 of 2010 s. 11.]</w:t>
      </w:r>
    </w:p>
    <w:p>
      <w:pPr>
        <w:pStyle w:val="Heading5"/>
        <w:rPr>
          <w:snapToGrid w:val="0"/>
        </w:rPr>
      </w:pPr>
      <w:bookmarkStart w:id="60" w:name="_Toc531178188"/>
      <w:r>
        <w:rPr>
          <w:rStyle w:val="CharSectno"/>
        </w:rPr>
        <w:t>21</w:t>
      </w:r>
      <w:r>
        <w:rPr>
          <w:snapToGrid w:val="0"/>
        </w:rPr>
        <w:t>.</w:t>
      </w:r>
      <w:r>
        <w:rPr>
          <w:snapToGrid w:val="0"/>
        </w:rPr>
        <w:tab/>
        <w:t>Representative not to be paid</w:t>
      </w:r>
      <w:bookmarkEnd w:id="60"/>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61" w:name="_Toc531178189"/>
      <w:r>
        <w:rPr>
          <w:rStyle w:val="CharSectno"/>
        </w:rPr>
        <w:t>22</w:t>
      </w:r>
      <w:r>
        <w:rPr>
          <w:snapToGrid w:val="0"/>
        </w:rPr>
        <w:t>.</w:t>
      </w:r>
      <w:r>
        <w:rPr>
          <w:snapToGrid w:val="0"/>
        </w:rPr>
        <w:tab/>
        <w:t>Provider may complain for user</w:t>
      </w:r>
      <w:bookmarkEnd w:id="61"/>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r>
        <w:tab/>
        <w:t>[Section 22 amended: No. 33 of 2010 s. 12.]</w:t>
      </w:r>
    </w:p>
    <w:p>
      <w:pPr>
        <w:pStyle w:val="Heading5"/>
        <w:spacing w:before="200"/>
        <w:rPr>
          <w:snapToGrid w:val="0"/>
        </w:rPr>
      </w:pPr>
      <w:bookmarkStart w:id="62" w:name="_Toc531178190"/>
      <w:r>
        <w:rPr>
          <w:rStyle w:val="CharSectno"/>
        </w:rPr>
        <w:t>23</w:t>
      </w:r>
      <w:r>
        <w:rPr>
          <w:snapToGrid w:val="0"/>
        </w:rPr>
        <w:t>.</w:t>
      </w:r>
      <w:r>
        <w:rPr>
          <w:snapToGrid w:val="0"/>
        </w:rPr>
        <w:tab/>
        <w:t>Complaints to public providers, referral under administrative instructions</w:t>
      </w:r>
      <w:bookmarkEnd w:id="62"/>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63" w:name="_Toc531178191"/>
      <w:r>
        <w:rPr>
          <w:rStyle w:val="CharSectno"/>
        </w:rPr>
        <w:t>24</w:t>
      </w:r>
      <w:r>
        <w:rPr>
          <w:snapToGrid w:val="0"/>
        </w:rPr>
        <w:t>.</w:t>
      </w:r>
      <w:r>
        <w:rPr>
          <w:snapToGrid w:val="0"/>
        </w:rPr>
        <w:tab/>
        <w:t>Time limit for complaints</w:t>
      </w:r>
      <w:bookmarkEnd w:id="63"/>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r>
        <w:tab/>
        <w:t>[Section 24 amended: No. 33 of 2010 s. 13.]</w:t>
      </w:r>
    </w:p>
    <w:p>
      <w:pPr>
        <w:pStyle w:val="Heading5"/>
        <w:rPr>
          <w:snapToGrid w:val="0"/>
        </w:rPr>
      </w:pPr>
      <w:bookmarkStart w:id="64" w:name="_Toc531178192"/>
      <w:r>
        <w:rPr>
          <w:rStyle w:val="CharSectno"/>
        </w:rPr>
        <w:t>25</w:t>
      </w:r>
      <w:r>
        <w:rPr>
          <w:snapToGrid w:val="0"/>
        </w:rPr>
        <w:t>.</w:t>
      </w:r>
      <w:r>
        <w:rPr>
          <w:snapToGrid w:val="0"/>
        </w:rPr>
        <w:tab/>
        <w:t>What complaints can be about</w:t>
      </w:r>
      <w:bookmarkEnd w:id="64"/>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No. 37 of 2004 s. 33; No. 28 of 2006 s. 259; No. 33 of 2010 s. 14.]</w:t>
      </w:r>
    </w:p>
    <w:p>
      <w:pPr>
        <w:pStyle w:val="Heading5"/>
        <w:rPr>
          <w:snapToGrid w:val="0"/>
        </w:rPr>
      </w:pPr>
      <w:bookmarkStart w:id="65" w:name="_Toc531178193"/>
      <w:r>
        <w:rPr>
          <w:rStyle w:val="CharSectno"/>
        </w:rPr>
        <w:t>26</w:t>
      </w:r>
      <w:r>
        <w:rPr>
          <w:snapToGrid w:val="0"/>
        </w:rPr>
        <w:t>.</w:t>
      </w:r>
      <w:r>
        <w:rPr>
          <w:snapToGrid w:val="0"/>
        </w:rPr>
        <w:tab/>
        <w:t>Complaints that must be rejected</w:t>
      </w:r>
      <w:bookmarkEnd w:id="65"/>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No. 55 of 2004 s. 494.]</w:t>
      </w:r>
    </w:p>
    <w:p>
      <w:pPr>
        <w:pStyle w:val="Heading3"/>
      </w:pPr>
      <w:bookmarkStart w:id="66" w:name="_Toc419461302"/>
      <w:bookmarkStart w:id="67" w:name="_Toc435776438"/>
      <w:bookmarkStart w:id="68" w:name="_Toc435776543"/>
      <w:bookmarkStart w:id="69" w:name="_Toc435776808"/>
      <w:bookmarkStart w:id="70" w:name="_Toc436059375"/>
      <w:bookmarkStart w:id="71" w:name="_Toc452545302"/>
      <w:bookmarkStart w:id="72" w:name="_Toc455412954"/>
      <w:bookmarkStart w:id="73" w:name="_Toc512323843"/>
      <w:bookmarkStart w:id="74" w:name="_Toc531178194"/>
      <w:r>
        <w:rPr>
          <w:rStyle w:val="CharDivNo"/>
        </w:rPr>
        <w:t>Division 2</w:t>
      </w:r>
      <w:r>
        <w:rPr>
          <w:snapToGrid w:val="0"/>
        </w:rPr>
        <w:t> — </w:t>
      </w:r>
      <w:r>
        <w:rPr>
          <w:rStyle w:val="CharDivText"/>
        </w:rPr>
        <w:t>Initial procedures</w:t>
      </w:r>
      <w:bookmarkEnd w:id="66"/>
      <w:bookmarkEnd w:id="67"/>
      <w:bookmarkEnd w:id="68"/>
      <w:bookmarkEnd w:id="69"/>
      <w:bookmarkEnd w:id="70"/>
      <w:bookmarkEnd w:id="71"/>
      <w:bookmarkEnd w:id="72"/>
      <w:bookmarkEnd w:id="73"/>
      <w:bookmarkEnd w:id="74"/>
    </w:p>
    <w:p>
      <w:pPr>
        <w:pStyle w:val="Heading5"/>
        <w:rPr>
          <w:snapToGrid w:val="0"/>
        </w:rPr>
      </w:pPr>
      <w:bookmarkStart w:id="75" w:name="_Toc531178195"/>
      <w:r>
        <w:rPr>
          <w:rStyle w:val="CharSectno"/>
        </w:rPr>
        <w:t>27</w:t>
      </w:r>
      <w:r>
        <w:rPr>
          <w:snapToGrid w:val="0"/>
        </w:rPr>
        <w:t>.</w:t>
      </w:r>
      <w:r>
        <w:rPr>
          <w:snapToGrid w:val="0"/>
        </w:rPr>
        <w:tab/>
        <w:t>How to complain</w:t>
      </w:r>
      <w:bookmarkEnd w:id="75"/>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76" w:name="_Toc531178196"/>
      <w:r>
        <w:rPr>
          <w:rStyle w:val="CharSectno"/>
        </w:rPr>
        <w:t>28</w:t>
      </w:r>
      <w:r>
        <w:rPr>
          <w:snapToGrid w:val="0"/>
        </w:rPr>
        <w:t>.</w:t>
      </w:r>
      <w:r>
        <w:rPr>
          <w:snapToGrid w:val="0"/>
        </w:rPr>
        <w:tab/>
        <w:t>Referral of complaint where Act inapplicable</w:t>
      </w:r>
      <w:bookmarkEnd w:id="76"/>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77" w:name="_Toc531178197"/>
      <w:r>
        <w:rPr>
          <w:rStyle w:val="CharSectno"/>
        </w:rPr>
        <w:t>29</w:t>
      </w:r>
      <w:r>
        <w:rPr>
          <w:snapToGrid w:val="0"/>
        </w:rPr>
        <w:t>.</w:t>
      </w:r>
      <w:r>
        <w:rPr>
          <w:snapToGrid w:val="0"/>
        </w:rPr>
        <w:tab/>
        <w:t>Withdrawal of complaint</w:t>
      </w:r>
      <w:bookmarkEnd w:id="77"/>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78" w:name="_Toc531178198"/>
      <w:r>
        <w:rPr>
          <w:rStyle w:val="CharSectno"/>
        </w:rPr>
        <w:t>30</w:t>
      </w:r>
      <w:r>
        <w:rPr>
          <w:snapToGrid w:val="0"/>
        </w:rPr>
        <w:t>.</w:t>
      </w:r>
      <w:r>
        <w:rPr>
          <w:snapToGrid w:val="0"/>
        </w:rPr>
        <w:tab/>
        <w:t>User or carer must try to resolve matter</w:t>
      </w:r>
      <w:bookmarkEnd w:id="78"/>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r>
        <w:tab/>
        <w:t>[Section 30 amended: No. 37 of 2004 s. 34; No. 33 of 2010 s. 15.]</w:t>
      </w:r>
    </w:p>
    <w:p>
      <w:pPr>
        <w:pStyle w:val="Heading5"/>
      </w:pPr>
      <w:bookmarkStart w:id="79" w:name="_Toc531178199"/>
      <w:r>
        <w:rPr>
          <w:rStyle w:val="CharSectno"/>
        </w:rPr>
        <w:t>31</w:t>
      </w:r>
      <w:r>
        <w:t>.</w:t>
      </w:r>
      <w:r>
        <w:tab/>
        <w:t xml:space="preserve">Complaints not dealt with by National Board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bookmarkEnd w:id="79"/>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No. 35 of 2010 s. 81.]</w:t>
      </w:r>
    </w:p>
    <w:p>
      <w:pPr>
        <w:pStyle w:val="Heading5"/>
      </w:pPr>
      <w:bookmarkStart w:id="80" w:name="_Toc531178200"/>
      <w:r>
        <w:rPr>
          <w:rStyle w:val="CharSectno"/>
        </w:rPr>
        <w:t>32A</w:t>
      </w:r>
      <w:r>
        <w:t>.</w:t>
      </w:r>
      <w:r>
        <w:tab/>
        <w:t>Notice that complaint being dealt with by National Board</w:t>
      </w:r>
      <w:bookmarkEnd w:id="80"/>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No. 35 of 2010 s. 81.]</w:t>
      </w:r>
    </w:p>
    <w:p>
      <w:pPr>
        <w:pStyle w:val="Heading5"/>
        <w:rPr>
          <w:snapToGrid w:val="0"/>
        </w:rPr>
      </w:pPr>
      <w:bookmarkStart w:id="81" w:name="_Toc531178201"/>
      <w:r>
        <w:rPr>
          <w:rStyle w:val="CharSectno"/>
        </w:rPr>
        <w:t>32</w:t>
      </w:r>
      <w:r>
        <w:rPr>
          <w:snapToGrid w:val="0"/>
        </w:rPr>
        <w:t>.</w:t>
      </w:r>
      <w:r>
        <w:rPr>
          <w:snapToGrid w:val="0"/>
        </w:rPr>
        <w:tab/>
        <w:t>Referral to other bodies</w:t>
      </w:r>
      <w:bookmarkEnd w:id="81"/>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82" w:name="_Toc531178202"/>
      <w:r>
        <w:rPr>
          <w:rStyle w:val="CharSectno"/>
        </w:rPr>
        <w:t>33</w:t>
      </w:r>
      <w:r>
        <w:rPr>
          <w:snapToGrid w:val="0"/>
        </w:rPr>
        <w:t>.</w:t>
      </w:r>
      <w:r>
        <w:rPr>
          <w:snapToGrid w:val="0"/>
        </w:rPr>
        <w:tab/>
        <w:t>Director’s duties if complaint referred under s. 32</w:t>
      </w:r>
      <w:bookmarkEnd w:id="82"/>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r>
        <w:tab/>
        <w:t>[Section 33 amended: No. 35 of 2010 s. 82.]</w:t>
      </w:r>
    </w:p>
    <w:p>
      <w:pPr>
        <w:pStyle w:val="Heading5"/>
        <w:rPr>
          <w:snapToGrid w:val="0"/>
        </w:rPr>
      </w:pPr>
      <w:bookmarkStart w:id="83" w:name="_Toc531178203"/>
      <w:r>
        <w:rPr>
          <w:rStyle w:val="CharSectno"/>
        </w:rPr>
        <w:t>34</w:t>
      </w:r>
      <w:r>
        <w:rPr>
          <w:snapToGrid w:val="0"/>
        </w:rPr>
        <w:t>.</w:t>
      </w:r>
      <w:r>
        <w:rPr>
          <w:snapToGrid w:val="0"/>
        </w:rPr>
        <w:tab/>
        <w:t>Preliminary assessment by Director</w:t>
      </w:r>
      <w:bookmarkEnd w:id="83"/>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No. 35 of 2010 s. 83(1) and (4); No. 33 of 2010 s. 16 (as amended: No. 35 of 2010 s. 83(3)).]</w:t>
      </w:r>
    </w:p>
    <w:p>
      <w:pPr>
        <w:pStyle w:val="Heading5"/>
        <w:rPr>
          <w:snapToGrid w:val="0"/>
        </w:rPr>
      </w:pPr>
      <w:bookmarkStart w:id="84" w:name="_Toc531178204"/>
      <w:r>
        <w:rPr>
          <w:rStyle w:val="CharSectno"/>
        </w:rPr>
        <w:t>35</w:t>
      </w:r>
      <w:r>
        <w:rPr>
          <w:snapToGrid w:val="0"/>
        </w:rPr>
        <w:t>.</w:t>
      </w:r>
      <w:r>
        <w:rPr>
          <w:snapToGrid w:val="0"/>
        </w:rPr>
        <w:tab/>
        <w:t>Notice to provider and others</w:t>
      </w:r>
      <w:bookmarkEnd w:id="84"/>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r>
        <w:tab/>
        <w:t>(4)</w:t>
      </w:r>
      <w:r>
        <w:tab/>
        <w:t>Subject to subsection (2), a notice given under this section must include a copy or the details of the complaint concerned.</w:t>
      </w:r>
    </w:p>
    <w:p>
      <w:pPr>
        <w:pStyle w:val="Footnotesection"/>
        <w:spacing w:before="100"/>
        <w:ind w:left="890" w:hanging="890"/>
      </w:pPr>
      <w:r>
        <w:tab/>
        <w:t>[Section 35 amended: No. 33 of 2010 s. 17(1)(b) and (2) (as amended: No. 35 of 2010 s. 84(2)); No. 35 of 2010 s. 84.]</w:t>
      </w:r>
    </w:p>
    <w:p>
      <w:pPr>
        <w:pStyle w:val="Heading5"/>
      </w:pPr>
      <w:bookmarkStart w:id="85" w:name="_Toc531178205"/>
      <w:r>
        <w:rPr>
          <w:rStyle w:val="CharSectno"/>
        </w:rPr>
        <w:t>36A</w:t>
      </w:r>
      <w:r>
        <w:t>.</w:t>
      </w:r>
      <w:r>
        <w:tab/>
        <w:t>Response by provider</w:t>
      </w:r>
      <w:bookmarkEnd w:id="85"/>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No. 33 of 2010 s. 18.]</w:t>
      </w:r>
    </w:p>
    <w:p>
      <w:pPr>
        <w:pStyle w:val="Heading5"/>
      </w:pPr>
      <w:bookmarkStart w:id="86" w:name="_Toc531178206"/>
      <w:r>
        <w:rPr>
          <w:rStyle w:val="CharSectno"/>
        </w:rPr>
        <w:t>36BA</w:t>
      </w:r>
      <w:r>
        <w:t>.</w:t>
      </w:r>
      <w:r>
        <w:tab/>
        <w:t>Protection of provider’s statements</w:t>
      </w:r>
      <w:bookmarkEnd w:id="86"/>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No. 33 of 2010 s. 18.]</w:t>
      </w:r>
    </w:p>
    <w:p>
      <w:pPr>
        <w:pStyle w:val="Heading3"/>
      </w:pPr>
      <w:bookmarkStart w:id="87" w:name="_Toc419461315"/>
      <w:bookmarkStart w:id="88" w:name="_Toc435776451"/>
      <w:bookmarkStart w:id="89" w:name="_Toc435776556"/>
      <w:bookmarkStart w:id="90" w:name="_Toc435776821"/>
      <w:bookmarkStart w:id="91" w:name="_Toc436059388"/>
      <w:bookmarkStart w:id="92" w:name="_Toc452545315"/>
      <w:bookmarkStart w:id="93" w:name="_Toc455412967"/>
      <w:bookmarkStart w:id="94" w:name="_Toc512323856"/>
      <w:bookmarkStart w:id="95" w:name="_Toc531178207"/>
      <w:r>
        <w:rPr>
          <w:rStyle w:val="CharDivNo"/>
        </w:rPr>
        <w:t>Division 3A</w:t>
      </w:r>
      <w:r>
        <w:t> — </w:t>
      </w:r>
      <w:r>
        <w:rPr>
          <w:rStyle w:val="CharDivText"/>
        </w:rPr>
        <w:t>Negotiated settlement</w:t>
      </w:r>
      <w:bookmarkEnd w:id="87"/>
      <w:bookmarkEnd w:id="88"/>
      <w:bookmarkEnd w:id="89"/>
      <w:bookmarkEnd w:id="90"/>
      <w:bookmarkEnd w:id="91"/>
      <w:bookmarkEnd w:id="92"/>
      <w:bookmarkEnd w:id="93"/>
      <w:bookmarkEnd w:id="94"/>
      <w:bookmarkEnd w:id="95"/>
    </w:p>
    <w:p>
      <w:pPr>
        <w:pStyle w:val="Footnoteheading"/>
        <w:spacing w:before="100"/>
      </w:pPr>
      <w:r>
        <w:tab/>
        <w:t>[Heading inserted: No. 33 of 2010 s. 19.]</w:t>
      </w:r>
    </w:p>
    <w:p>
      <w:pPr>
        <w:pStyle w:val="Heading5"/>
      </w:pPr>
      <w:bookmarkStart w:id="96" w:name="_Toc531178208"/>
      <w:r>
        <w:rPr>
          <w:rStyle w:val="CharSectno"/>
        </w:rPr>
        <w:t>36B</w:t>
      </w:r>
      <w:r>
        <w:t>.</w:t>
      </w:r>
      <w:r>
        <w:tab/>
        <w:t>Resolving complaints by negotiation</w:t>
      </w:r>
      <w:bookmarkEnd w:id="96"/>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No. 33 of 2010 s. 19.]</w:t>
      </w:r>
    </w:p>
    <w:p>
      <w:pPr>
        <w:pStyle w:val="Heading5"/>
      </w:pPr>
      <w:bookmarkStart w:id="97" w:name="_Toc531178209"/>
      <w:r>
        <w:rPr>
          <w:rStyle w:val="CharSectno"/>
        </w:rPr>
        <w:t>36C</w:t>
      </w:r>
      <w:r>
        <w:t>.</w:t>
      </w:r>
      <w:r>
        <w:tab/>
        <w:t>Protection of statements made</w:t>
      </w:r>
      <w:bookmarkEnd w:id="97"/>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No. 33 of 2010 s. 19.]</w:t>
      </w:r>
    </w:p>
    <w:p>
      <w:pPr>
        <w:pStyle w:val="Heading3"/>
      </w:pPr>
      <w:bookmarkStart w:id="98" w:name="_Toc419461318"/>
      <w:bookmarkStart w:id="99" w:name="_Toc435776454"/>
      <w:bookmarkStart w:id="100" w:name="_Toc435776559"/>
      <w:bookmarkStart w:id="101" w:name="_Toc435776824"/>
      <w:bookmarkStart w:id="102" w:name="_Toc436059391"/>
      <w:bookmarkStart w:id="103" w:name="_Toc452545318"/>
      <w:bookmarkStart w:id="104" w:name="_Toc455412970"/>
      <w:bookmarkStart w:id="105" w:name="_Toc512323859"/>
      <w:bookmarkStart w:id="106" w:name="_Toc531178210"/>
      <w:r>
        <w:rPr>
          <w:rStyle w:val="CharDivNo"/>
        </w:rPr>
        <w:t>Division 3</w:t>
      </w:r>
      <w:r>
        <w:rPr>
          <w:snapToGrid w:val="0"/>
        </w:rPr>
        <w:t> — </w:t>
      </w:r>
      <w:r>
        <w:rPr>
          <w:rStyle w:val="CharDivText"/>
        </w:rPr>
        <w:t>Conciliation</w:t>
      </w:r>
      <w:bookmarkEnd w:id="98"/>
      <w:bookmarkEnd w:id="99"/>
      <w:bookmarkEnd w:id="100"/>
      <w:bookmarkEnd w:id="101"/>
      <w:bookmarkEnd w:id="102"/>
      <w:bookmarkEnd w:id="103"/>
      <w:bookmarkEnd w:id="104"/>
      <w:bookmarkEnd w:id="105"/>
      <w:bookmarkEnd w:id="106"/>
    </w:p>
    <w:p>
      <w:pPr>
        <w:pStyle w:val="Heading5"/>
        <w:rPr>
          <w:snapToGrid w:val="0"/>
        </w:rPr>
      </w:pPr>
      <w:bookmarkStart w:id="107" w:name="_Toc531178211"/>
      <w:r>
        <w:rPr>
          <w:rStyle w:val="CharSectno"/>
        </w:rPr>
        <w:t>36</w:t>
      </w:r>
      <w:r>
        <w:rPr>
          <w:snapToGrid w:val="0"/>
        </w:rPr>
        <w:t>.</w:t>
      </w:r>
      <w:r>
        <w:rPr>
          <w:snapToGrid w:val="0"/>
        </w:rPr>
        <w:tab/>
        <w:t>Assignment of conciliator</w:t>
      </w:r>
      <w:bookmarkEnd w:id="107"/>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108" w:name="_Toc531178212"/>
      <w:r>
        <w:rPr>
          <w:rStyle w:val="CharSectno"/>
        </w:rPr>
        <w:t>37</w:t>
      </w:r>
      <w:r>
        <w:rPr>
          <w:snapToGrid w:val="0"/>
        </w:rPr>
        <w:t>.</w:t>
      </w:r>
      <w:r>
        <w:rPr>
          <w:snapToGrid w:val="0"/>
        </w:rPr>
        <w:tab/>
        <w:t>Notice of referral for conciliation</w:t>
      </w:r>
      <w:bookmarkEnd w:id="108"/>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No. 74 of 2003 s. 65.]</w:t>
      </w:r>
    </w:p>
    <w:p>
      <w:pPr>
        <w:pStyle w:val="Heading5"/>
        <w:rPr>
          <w:snapToGrid w:val="0"/>
        </w:rPr>
      </w:pPr>
      <w:bookmarkStart w:id="109" w:name="_Toc531178213"/>
      <w:r>
        <w:rPr>
          <w:rStyle w:val="CharSectno"/>
        </w:rPr>
        <w:t>38</w:t>
      </w:r>
      <w:r>
        <w:rPr>
          <w:snapToGrid w:val="0"/>
        </w:rPr>
        <w:t>.</w:t>
      </w:r>
      <w:r>
        <w:rPr>
          <w:snapToGrid w:val="0"/>
        </w:rPr>
        <w:tab/>
        <w:t>Role of conciliator</w:t>
      </w:r>
      <w:bookmarkEnd w:id="109"/>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110" w:name="_Toc531178214"/>
      <w:r>
        <w:rPr>
          <w:rStyle w:val="CharSectno"/>
        </w:rPr>
        <w:t>39</w:t>
      </w:r>
      <w:r>
        <w:rPr>
          <w:snapToGrid w:val="0"/>
        </w:rPr>
        <w:t>.</w:t>
      </w:r>
      <w:r>
        <w:rPr>
          <w:snapToGrid w:val="0"/>
        </w:rPr>
        <w:tab/>
        <w:t>Representation in conciliation process</w:t>
      </w:r>
      <w:bookmarkEnd w:id="110"/>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111" w:name="_Toc531178215"/>
      <w:r>
        <w:rPr>
          <w:rStyle w:val="CharSectno"/>
        </w:rPr>
        <w:t>40</w:t>
      </w:r>
      <w:r>
        <w:rPr>
          <w:snapToGrid w:val="0"/>
        </w:rPr>
        <w:t>.</w:t>
      </w:r>
      <w:r>
        <w:rPr>
          <w:snapToGrid w:val="0"/>
        </w:rPr>
        <w:tab/>
        <w:t>Reports by conciliator</w:t>
      </w:r>
      <w:bookmarkEnd w:id="111"/>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112" w:name="_Toc531178216"/>
      <w:r>
        <w:rPr>
          <w:rStyle w:val="CharSectno"/>
        </w:rPr>
        <w:t>41</w:t>
      </w:r>
      <w:r>
        <w:rPr>
          <w:snapToGrid w:val="0"/>
        </w:rPr>
        <w:t>.</w:t>
      </w:r>
      <w:r>
        <w:rPr>
          <w:snapToGrid w:val="0"/>
        </w:rPr>
        <w:tab/>
        <w:t>Parties may resolve complaint</w:t>
      </w:r>
      <w:bookmarkEnd w:id="112"/>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r>
        <w:tab/>
        <w:t>[Section 41 amended: No. 33 of 2010 s. 20.]</w:t>
      </w:r>
    </w:p>
    <w:p>
      <w:pPr>
        <w:pStyle w:val="Heading5"/>
        <w:rPr>
          <w:snapToGrid w:val="0"/>
        </w:rPr>
      </w:pPr>
      <w:bookmarkStart w:id="113" w:name="_Toc531178217"/>
      <w:r>
        <w:rPr>
          <w:rStyle w:val="CharSectno"/>
        </w:rPr>
        <w:t>42</w:t>
      </w:r>
      <w:r>
        <w:rPr>
          <w:snapToGrid w:val="0"/>
        </w:rPr>
        <w:t>.</w:t>
      </w:r>
      <w:r>
        <w:rPr>
          <w:snapToGrid w:val="0"/>
        </w:rPr>
        <w:tab/>
        <w:t>Protection of statements made</w:t>
      </w:r>
      <w:bookmarkEnd w:id="113"/>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114" w:name="_Toc419461326"/>
      <w:bookmarkStart w:id="115" w:name="_Toc435776462"/>
      <w:bookmarkStart w:id="116" w:name="_Toc435776567"/>
      <w:bookmarkStart w:id="117" w:name="_Toc435776832"/>
      <w:bookmarkStart w:id="118" w:name="_Toc436059399"/>
      <w:bookmarkStart w:id="119" w:name="_Toc452545326"/>
      <w:bookmarkStart w:id="120" w:name="_Toc455412978"/>
      <w:bookmarkStart w:id="121" w:name="_Toc512323867"/>
      <w:bookmarkStart w:id="122" w:name="_Toc531178218"/>
      <w:r>
        <w:rPr>
          <w:rStyle w:val="CharDivNo"/>
        </w:rPr>
        <w:t>Division 4</w:t>
      </w:r>
      <w:r>
        <w:rPr>
          <w:snapToGrid w:val="0"/>
        </w:rPr>
        <w:t> — </w:t>
      </w:r>
      <w:r>
        <w:rPr>
          <w:rStyle w:val="CharDivText"/>
        </w:rPr>
        <w:t>Subsequent action</w:t>
      </w:r>
      <w:bookmarkEnd w:id="114"/>
      <w:bookmarkEnd w:id="115"/>
      <w:bookmarkEnd w:id="116"/>
      <w:bookmarkEnd w:id="117"/>
      <w:bookmarkEnd w:id="118"/>
      <w:bookmarkEnd w:id="119"/>
      <w:bookmarkEnd w:id="120"/>
      <w:bookmarkEnd w:id="121"/>
      <w:bookmarkEnd w:id="122"/>
    </w:p>
    <w:p>
      <w:pPr>
        <w:pStyle w:val="Heading5"/>
        <w:rPr>
          <w:snapToGrid w:val="0"/>
        </w:rPr>
      </w:pPr>
      <w:bookmarkStart w:id="123" w:name="_Toc531178219"/>
      <w:r>
        <w:rPr>
          <w:rStyle w:val="CharSectno"/>
        </w:rPr>
        <w:t>43</w:t>
      </w:r>
      <w:r>
        <w:rPr>
          <w:snapToGrid w:val="0"/>
        </w:rPr>
        <w:t>.</w:t>
      </w:r>
      <w:r>
        <w:rPr>
          <w:snapToGrid w:val="0"/>
        </w:rPr>
        <w:tab/>
        <w:t>Director’s duties after conciliator’s recommendation</w:t>
      </w:r>
      <w:bookmarkEnd w:id="123"/>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r>
        <w:tab/>
        <w:t>[Section 43 amended: No. 35 of 2010 s. 85.]</w:t>
      </w:r>
    </w:p>
    <w:p>
      <w:pPr>
        <w:pStyle w:val="Heading5"/>
        <w:rPr>
          <w:snapToGrid w:val="0"/>
        </w:rPr>
      </w:pPr>
      <w:bookmarkStart w:id="124" w:name="_Toc531178220"/>
      <w:r>
        <w:rPr>
          <w:rStyle w:val="CharSectno"/>
        </w:rPr>
        <w:t>44</w:t>
      </w:r>
      <w:r>
        <w:rPr>
          <w:snapToGrid w:val="0"/>
        </w:rPr>
        <w:t>.</w:t>
      </w:r>
      <w:r>
        <w:rPr>
          <w:snapToGrid w:val="0"/>
        </w:rPr>
        <w:tab/>
        <w:t>Notice of investigation by Director</w:t>
      </w:r>
      <w:bookmarkEnd w:id="124"/>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r>
        <w:tab/>
        <w:t>[Section 44 amended: No. 33 of 2010 s. 21; No. 35 of 2010 s. 86.]</w:t>
      </w:r>
    </w:p>
    <w:p>
      <w:pPr>
        <w:pStyle w:val="Heading5"/>
        <w:rPr>
          <w:snapToGrid w:val="0"/>
        </w:rPr>
      </w:pPr>
      <w:bookmarkStart w:id="125" w:name="_Toc531178221"/>
      <w:r>
        <w:rPr>
          <w:rStyle w:val="CharSectno"/>
        </w:rPr>
        <w:t>45</w:t>
      </w:r>
      <w:r>
        <w:rPr>
          <w:snapToGrid w:val="0"/>
        </w:rPr>
        <w:t>.</w:t>
      </w:r>
      <w:r>
        <w:rPr>
          <w:snapToGrid w:val="0"/>
        </w:rPr>
        <w:tab/>
        <w:t>Further power to investigate</w:t>
      </w:r>
      <w:bookmarkEnd w:id="125"/>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r>
        <w:t>[</w:t>
      </w:r>
      <w:r>
        <w:rPr>
          <w:b/>
          <w:bCs/>
        </w:rPr>
        <w:t>46.</w:t>
      </w:r>
      <w:r>
        <w:tab/>
        <w:t>Deleted: No. 35 of 2010 s. 87.]</w:t>
      </w:r>
    </w:p>
    <w:p>
      <w:pPr>
        <w:pStyle w:val="Heading5"/>
        <w:rPr>
          <w:snapToGrid w:val="0"/>
        </w:rPr>
      </w:pPr>
      <w:bookmarkStart w:id="126" w:name="_Toc531178222"/>
      <w:r>
        <w:rPr>
          <w:rStyle w:val="CharSectno"/>
        </w:rPr>
        <w:t>47</w:t>
      </w:r>
      <w:r>
        <w:rPr>
          <w:snapToGrid w:val="0"/>
        </w:rPr>
        <w:t>.</w:t>
      </w:r>
      <w:r>
        <w:rPr>
          <w:snapToGrid w:val="0"/>
        </w:rPr>
        <w:tab/>
        <w:t>Conciliator must not investigate</w:t>
      </w:r>
      <w:bookmarkEnd w:id="126"/>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127" w:name="_Toc531178223"/>
      <w:r>
        <w:rPr>
          <w:rStyle w:val="CharSectno"/>
        </w:rPr>
        <w:t>48</w:t>
      </w:r>
      <w:r>
        <w:rPr>
          <w:snapToGrid w:val="0"/>
        </w:rPr>
        <w:t>.</w:t>
      </w:r>
      <w:r>
        <w:rPr>
          <w:snapToGrid w:val="0"/>
        </w:rPr>
        <w:tab/>
        <w:t>Purpose of investigation, and procedure</w:t>
      </w:r>
      <w:bookmarkEnd w:id="127"/>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r>
        <w:tab/>
        <w:t>[Section 48 amended: No. 33 of 2010 s. 22.]</w:t>
      </w:r>
    </w:p>
    <w:p>
      <w:pPr>
        <w:pStyle w:val="Ednotesection"/>
        <w:ind w:left="0" w:firstLine="0"/>
      </w:pPr>
      <w:r>
        <w:t>[</w:t>
      </w:r>
      <w:r>
        <w:rPr>
          <w:b/>
          <w:bCs/>
        </w:rPr>
        <w:t>49.</w:t>
      </w:r>
      <w:r>
        <w:tab/>
        <w:t>Deleted: No. 35 of 2010 s. 88.]</w:t>
      </w:r>
    </w:p>
    <w:p>
      <w:pPr>
        <w:pStyle w:val="Heading5"/>
        <w:rPr>
          <w:snapToGrid w:val="0"/>
        </w:rPr>
      </w:pPr>
      <w:bookmarkStart w:id="128" w:name="_Toc531178224"/>
      <w:r>
        <w:rPr>
          <w:rStyle w:val="CharSectno"/>
        </w:rPr>
        <w:t>50</w:t>
      </w:r>
      <w:r>
        <w:rPr>
          <w:snapToGrid w:val="0"/>
        </w:rPr>
        <w:t>.</w:t>
      </w:r>
      <w:r>
        <w:rPr>
          <w:snapToGrid w:val="0"/>
        </w:rPr>
        <w:tab/>
        <w:t>Remedial action where complaint justified</w:t>
      </w:r>
      <w:bookmarkEnd w:id="128"/>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r>
        <w:tab/>
        <w:t>[Section 50 amended: No. 33 of 2010 s. 23.]</w:t>
      </w:r>
    </w:p>
    <w:p>
      <w:pPr>
        <w:pStyle w:val="Heading5"/>
        <w:rPr>
          <w:snapToGrid w:val="0"/>
        </w:rPr>
      </w:pPr>
      <w:bookmarkStart w:id="129" w:name="_Toc531178225"/>
      <w:r>
        <w:rPr>
          <w:rStyle w:val="CharSectno"/>
        </w:rPr>
        <w:t>51</w:t>
      </w:r>
      <w:r>
        <w:rPr>
          <w:snapToGrid w:val="0"/>
        </w:rPr>
        <w:t>.</w:t>
      </w:r>
      <w:r>
        <w:rPr>
          <w:snapToGrid w:val="0"/>
        </w:rPr>
        <w:tab/>
        <w:t>Provider must report on remedial action</w:t>
      </w:r>
      <w:bookmarkEnd w:id="129"/>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130" w:name="_Toc531178226"/>
      <w:r>
        <w:rPr>
          <w:rStyle w:val="CharSectno"/>
        </w:rPr>
        <w:t>52A</w:t>
      </w:r>
      <w:r>
        <w:t>.</w:t>
      </w:r>
      <w:r>
        <w:tab/>
        <w:t>Report to Parliament if report not made under s. 51 or remedial action not taken</w:t>
      </w:r>
      <w:bookmarkEnd w:id="130"/>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No. 33 of 2010 s. 24.]</w:t>
      </w:r>
    </w:p>
    <w:p>
      <w:pPr>
        <w:pStyle w:val="Heading3"/>
      </w:pPr>
      <w:bookmarkStart w:id="131" w:name="_Toc419461335"/>
      <w:bookmarkStart w:id="132" w:name="_Toc435776471"/>
      <w:bookmarkStart w:id="133" w:name="_Toc435776576"/>
      <w:bookmarkStart w:id="134" w:name="_Toc435776841"/>
      <w:bookmarkStart w:id="135" w:name="_Toc436059408"/>
      <w:bookmarkStart w:id="136" w:name="_Toc452545335"/>
      <w:bookmarkStart w:id="137" w:name="_Toc455412987"/>
      <w:bookmarkStart w:id="138" w:name="_Toc512323876"/>
      <w:bookmarkStart w:id="139" w:name="_Toc531178227"/>
      <w:r>
        <w:rPr>
          <w:rStyle w:val="CharDivNo"/>
        </w:rPr>
        <w:t>Division 5</w:t>
      </w:r>
      <w:r>
        <w:rPr>
          <w:snapToGrid w:val="0"/>
        </w:rPr>
        <w:t> — </w:t>
      </w:r>
      <w:r>
        <w:rPr>
          <w:rStyle w:val="CharDivText"/>
        </w:rPr>
        <w:t>General</w:t>
      </w:r>
      <w:bookmarkEnd w:id="131"/>
      <w:bookmarkEnd w:id="132"/>
      <w:bookmarkEnd w:id="133"/>
      <w:bookmarkEnd w:id="134"/>
      <w:bookmarkEnd w:id="135"/>
      <w:bookmarkEnd w:id="136"/>
      <w:bookmarkEnd w:id="137"/>
      <w:bookmarkEnd w:id="138"/>
      <w:bookmarkEnd w:id="139"/>
    </w:p>
    <w:p>
      <w:pPr>
        <w:pStyle w:val="Heading5"/>
        <w:rPr>
          <w:snapToGrid w:val="0"/>
        </w:rPr>
      </w:pPr>
      <w:bookmarkStart w:id="140" w:name="_Toc531178228"/>
      <w:r>
        <w:rPr>
          <w:rStyle w:val="CharSectno"/>
        </w:rPr>
        <w:t>52</w:t>
      </w:r>
      <w:r>
        <w:rPr>
          <w:snapToGrid w:val="0"/>
        </w:rPr>
        <w:t>.</w:t>
      </w:r>
      <w:r>
        <w:rPr>
          <w:snapToGrid w:val="0"/>
        </w:rPr>
        <w:tab/>
        <w:t>Director to stop proceedings in some cases</w:t>
      </w:r>
      <w:bookmarkEnd w:id="140"/>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No. 55 of 2004 s. 496.]</w:t>
      </w:r>
    </w:p>
    <w:p>
      <w:pPr>
        <w:pStyle w:val="Ednotesection"/>
      </w:pPr>
      <w:r>
        <w:t>[</w:t>
      </w:r>
      <w:r>
        <w:rPr>
          <w:b/>
          <w:bCs/>
        </w:rPr>
        <w:t>53-55.</w:t>
      </w:r>
      <w:r>
        <w:tab/>
        <w:t>Deleted: No. 35 of 2010 s. 89.]</w:t>
      </w:r>
    </w:p>
    <w:p>
      <w:pPr>
        <w:pStyle w:val="Heading5"/>
        <w:rPr>
          <w:snapToGrid w:val="0"/>
        </w:rPr>
      </w:pPr>
      <w:bookmarkStart w:id="141" w:name="_Toc531178229"/>
      <w:r>
        <w:rPr>
          <w:rStyle w:val="CharSectno"/>
        </w:rPr>
        <w:t>56</w:t>
      </w:r>
      <w:r>
        <w:rPr>
          <w:snapToGrid w:val="0"/>
        </w:rPr>
        <w:t>.</w:t>
      </w:r>
      <w:r>
        <w:rPr>
          <w:snapToGrid w:val="0"/>
        </w:rPr>
        <w:tab/>
        <w:t>Reports to, and at request of, Parliament</w:t>
      </w:r>
      <w:bookmarkEnd w:id="141"/>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No. 77 of 2006 Sch. 1 cl. 82(4); No. 33 of 2010 s. 25.]</w:t>
      </w:r>
    </w:p>
    <w:p>
      <w:pPr>
        <w:pStyle w:val="Heading5"/>
        <w:rPr>
          <w:snapToGrid w:val="0"/>
        </w:rPr>
      </w:pPr>
      <w:bookmarkStart w:id="142" w:name="_Toc531178230"/>
      <w:r>
        <w:rPr>
          <w:rStyle w:val="CharSectno"/>
        </w:rPr>
        <w:t>57</w:t>
      </w:r>
      <w:r>
        <w:rPr>
          <w:snapToGrid w:val="0"/>
        </w:rPr>
        <w:t>.</w:t>
      </w:r>
      <w:r>
        <w:rPr>
          <w:snapToGrid w:val="0"/>
        </w:rPr>
        <w:tab/>
        <w:t>Action if a House not sitting</w:t>
      </w:r>
      <w:bookmarkEnd w:id="142"/>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No. 8 of 2009 s. 73.]</w:t>
      </w:r>
    </w:p>
    <w:p>
      <w:pPr>
        <w:pStyle w:val="Heading5"/>
        <w:rPr>
          <w:snapToGrid w:val="0"/>
        </w:rPr>
      </w:pPr>
      <w:bookmarkStart w:id="143" w:name="_Toc531178231"/>
      <w:r>
        <w:rPr>
          <w:rStyle w:val="CharSectno"/>
        </w:rPr>
        <w:t>58</w:t>
      </w:r>
      <w:r>
        <w:rPr>
          <w:snapToGrid w:val="0"/>
        </w:rPr>
        <w:t>.</w:t>
      </w:r>
      <w:r>
        <w:rPr>
          <w:snapToGrid w:val="0"/>
        </w:rPr>
        <w:tab/>
        <w:t>Saving</w:t>
      </w:r>
      <w:bookmarkEnd w:id="143"/>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144" w:name="_Toc419461340"/>
      <w:bookmarkStart w:id="145" w:name="_Toc435776476"/>
      <w:bookmarkStart w:id="146" w:name="_Toc435776581"/>
      <w:bookmarkStart w:id="147" w:name="_Toc435776846"/>
      <w:bookmarkStart w:id="148" w:name="_Toc436059413"/>
      <w:bookmarkStart w:id="149" w:name="_Toc452545340"/>
      <w:bookmarkStart w:id="150" w:name="_Toc455412992"/>
      <w:bookmarkStart w:id="151" w:name="_Toc512323881"/>
      <w:bookmarkStart w:id="152" w:name="_Toc531178232"/>
      <w:r>
        <w:rPr>
          <w:rStyle w:val="CharPartNo"/>
        </w:rPr>
        <w:t>Part 4</w:t>
      </w:r>
      <w:r>
        <w:rPr>
          <w:rStyle w:val="CharDivNo"/>
        </w:rPr>
        <w:t> </w:t>
      </w:r>
      <w:r>
        <w:t>—</w:t>
      </w:r>
      <w:r>
        <w:rPr>
          <w:rStyle w:val="CharDivText"/>
        </w:rPr>
        <w:t> </w:t>
      </w:r>
      <w:r>
        <w:rPr>
          <w:rStyle w:val="CharPartText"/>
        </w:rPr>
        <w:t>Director’s powers to obtain information and entry to premises</w:t>
      </w:r>
      <w:bookmarkEnd w:id="144"/>
      <w:bookmarkEnd w:id="145"/>
      <w:bookmarkEnd w:id="146"/>
      <w:bookmarkEnd w:id="147"/>
      <w:bookmarkEnd w:id="148"/>
      <w:bookmarkEnd w:id="149"/>
      <w:bookmarkEnd w:id="150"/>
      <w:bookmarkEnd w:id="151"/>
      <w:bookmarkEnd w:id="152"/>
    </w:p>
    <w:p>
      <w:pPr>
        <w:pStyle w:val="Heading5"/>
        <w:rPr>
          <w:snapToGrid w:val="0"/>
        </w:rPr>
      </w:pPr>
      <w:bookmarkStart w:id="153" w:name="_Toc531178233"/>
      <w:r>
        <w:rPr>
          <w:rStyle w:val="CharSectno"/>
        </w:rPr>
        <w:t>59</w:t>
      </w:r>
      <w:r>
        <w:rPr>
          <w:snapToGrid w:val="0"/>
        </w:rPr>
        <w:t>.</w:t>
      </w:r>
      <w:r>
        <w:rPr>
          <w:snapToGrid w:val="0"/>
        </w:rPr>
        <w:tab/>
        <w:t>Restriction on powers</w:t>
      </w:r>
      <w:bookmarkEnd w:id="153"/>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r>
        <w:tab/>
        <w:t>[Section 59 amended: No. 33 of 2010 s. 26.]</w:t>
      </w:r>
    </w:p>
    <w:p>
      <w:pPr>
        <w:pStyle w:val="Heading5"/>
        <w:rPr>
          <w:snapToGrid w:val="0"/>
        </w:rPr>
      </w:pPr>
      <w:bookmarkStart w:id="154" w:name="_Toc531178234"/>
      <w:r>
        <w:rPr>
          <w:rStyle w:val="CharSectno"/>
        </w:rPr>
        <w:t>60</w:t>
      </w:r>
      <w:r>
        <w:rPr>
          <w:snapToGrid w:val="0"/>
        </w:rPr>
        <w:t>.</w:t>
      </w:r>
      <w:r>
        <w:rPr>
          <w:snapToGrid w:val="0"/>
        </w:rPr>
        <w:tab/>
        <w:t>Power to summons etc.</w:t>
      </w:r>
      <w:bookmarkEnd w:id="154"/>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155" w:name="_Toc531178235"/>
      <w:r>
        <w:rPr>
          <w:rStyle w:val="CharSectno"/>
        </w:rPr>
        <w:t>61</w:t>
      </w:r>
      <w:r>
        <w:rPr>
          <w:snapToGrid w:val="0"/>
        </w:rPr>
        <w:t>.</w:t>
      </w:r>
      <w:r>
        <w:rPr>
          <w:snapToGrid w:val="0"/>
        </w:rPr>
        <w:tab/>
        <w:t>False statements</w:t>
      </w:r>
      <w:bookmarkEnd w:id="155"/>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r>
        <w:tab/>
        <w:t>[Section 61 amended: No. 33 of 2010 s. 27.]</w:t>
      </w:r>
    </w:p>
    <w:p>
      <w:pPr>
        <w:pStyle w:val="Heading5"/>
        <w:rPr>
          <w:snapToGrid w:val="0"/>
        </w:rPr>
      </w:pPr>
      <w:bookmarkStart w:id="156" w:name="_Toc531178236"/>
      <w:r>
        <w:rPr>
          <w:rStyle w:val="CharSectno"/>
        </w:rPr>
        <w:t>62</w:t>
      </w:r>
      <w:r>
        <w:rPr>
          <w:snapToGrid w:val="0"/>
        </w:rPr>
        <w:t>.</w:t>
      </w:r>
      <w:r>
        <w:rPr>
          <w:snapToGrid w:val="0"/>
        </w:rPr>
        <w:tab/>
        <w:t>Failure to attend, take oath etc.</w:t>
      </w:r>
      <w:bookmarkEnd w:id="156"/>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157" w:name="_Toc531178237"/>
      <w:r>
        <w:rPr>
          <w:rStyle w:val="CharSectno"/>
        </w:rPr>
        <w:t>63</w:t>
      </w:r>
      <w:r>
        <w:rPr>
          <w:snapToGrid w:val="0"/>
        </w:rPr>
        <w:t>.</w:t>
      </w:r>
      <w:r>
        <w:rPr>
          <w:snapToGrid w:val="0"/>
        </w:rPr>
        <w:tab/>
        <w:t>Application for warrant to enter premises etc.</w:t>
      </w:r>
      <w:bookmarkEnd w:id="157"/>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No. 24 of 2000 s. 17.]</w:t>
      </w:r>
    </w:p>
    <w:p>
      <w:pPr>
        <w:pStyle w:val="Heading5"/>
        <w:rPr>
          <w:snapToGrid w:val="0"/>
        </w:rPr>
      </w:pPr>
      <w:bookmarkStart w:id="158" w:name="_Toc531178238"/>
      <w:r>
        <w:rPr>
          <w:rStyle w:val="CharSectno"/>
        </w:rPr>
        <w:t>64</w:t>
      </w:r>
      <w:r>
        <w:rPr>
          <w:snapToGrid w:val="0"/>
        </w:rPr>
        <w:t>.</w:t>
      </w:r>
      <w:r>
        <w:rPr>
          <w:snapToGrid w:val="0"/>
        </w:rPr>
        <w:tab/>
        <w:t>Issue of warrant</w:t>
      </w:r>
      <w:bookmarkEnd w:id="158"/>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64 amended: No. 33 of 2010 s. 28.]</w:t>
      </w:r>
    </w:p>
    <w:p>
      <w:pPr>
        <w:pStyle w:val="Heading5"/>
        <w:rPr>
          <w:snapToGrid w:val="0"/>
        </w:rPr>
      </w:pPr>
      <w:bookmarkStart w:id="159" w:name="_Toc531178239"/>
      <w:r>
        <w:rPr>
          <w:rStyle w:val="CharSectno"/>
        </w:rPr>
        <w:t>65</w:t>
      </w:r>
      <w:r>
        <w:rPr>
          <w:snapToGrid w:val="0"/>
        </w:rPr>
        <w:t>.</w:t>
      </w:r>
      <w:r>
        <w:rPr>
          <w:snapToGrid w:val="0"/>
        </w:rPr>
        <w:tab/>
        <w:t>Execution of warrant</w:t>
      </w:r>
      <w:bookmarkEnd w:id="159"/>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160" w:name="_Toc531178240"/>
      <w:r>
        <w:rPr>
          <w:rStyle w:val="CharSectno"/>
        </w:rPr>
        <w:t>66</w:t>
      </w:r>
      <w:r>
        <w:rPr>
          <w:snapToGrid w:val="0"/>
        </w:rPr>
        <w:t>.</w:t>
      </w:r>
      <w:r>
        <w:rPr>
          <w:snapToGrid w:val="0"/>
        </w:rPr>
        <w:tab/>
        <w:t>Offences relating to warrants</w:t>
      </w:r>
      <w:bookmarkEnd w:id="160"/>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61" w:name="_Toc531178241"/>
      <w:r>
        <w:rPr>
          <w:rStyle w:val="CharSectno"/>
        </w:rPr>
        <w:t>67</w:t>
      </w:r>
      <w:r>
        <w:rPr>
          <w:snapToGrid w:val="0"/>
        </w:rPr>
        <w:t>.</w:t>
      </w:r>
      <w:r>
        <w:rPr>
          <w:snapToGrid w:val="0"/>
        </w:rPr>
        <w:tab/>
        <w:t>Information etc. that may be withheld</w:t>
      </w:r>
      <w:bookmarkEnd w:id="161"/>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162" w:name="_Toc419461350"/>
      <w:bookmarkStart w:id="163" w:name="_Toc435776486"/>
      <w:bookmarkStart w:id="164" w:name="_Toc435776591"/>
      <w:bookmarkStart w:id="165" w:name="_Toc435776856"/>
      <w:bookmarkStart w:id="166" w:name="_Toc436059423"/>
      <w:bookmarkStart w:id="167" w:name="_Toc452545350"/>
      <w:bookmarkStart w:id="168" w:name="_Toc455413002"/>
      <w:bookmarkStart w:id="169" w:name="_Toc512323891"/>
      <w:bookmarkStart w:id="170" w:name="_Toc531178242"/>
      <w:r>
        <w:rPr>
          <w:rStyle w:val="CharPartNo"/>
        </w:rPr>
        <w:t>Part 5</w:t>
      </w:r>
      <w:r>
        <w:rPr>
          <w:rStyle w:val="CharDivNo"/>
        </w:rPr>
        <w:t> </w:t>
      </w:r>
      <w:r>
        <w:t>—</w:t>
      </w:r>
      <w:r>
        <w:rPr>
          <w:rStyle w:val="CharDivText"/>
        </w:rPr>
        <w:t> </w:t>
      </w:r>
      <w:r>
        <w:rPr>
          <w:rStyle w:val="CharPartText"/>
        </w:rPr>
        <w:t>General</w:t>
      </w:r>
      <w:bookmarkEnd w:id="162"/>
      <w:bookmarkEnd w:id="163"/>
      <w:bookmarkEnd w:id="164"/>
      <w:bookmarkEnd w:id="165"/>
      <w:bookmarkEnd w:id="166"/>
      <w:bookmarkEnd w:id="167"/>
      <w:bookmarkEnd w:id="168"/>
      <w:bookmarkEnd w:id="169"/>
      <w:bookmarkEnd w:id="170"/>
    </w:p>
    <w:p>
      <w:pPr>
        <w:pStyle w:val="Heading5"/>
        <w:rPr>
          <w:snapToGrid w:val="0"/>
        </w:rPr>
      </w:pPr>
      <w:bookmarkStart w:id="171" w:name="_Toc531178243"/>
      <w:r>
        <w:rPr>
          <w:rStyle w:val="CharSectno"/>
        </w:rPr>
        <w:t>68</w:t>
      </w:r>
      <w:r>
        <w:rPr>
          <w:snapToGrid w:val="0"/>
        </w:rPr>
        <w:t>.</w:t>
      </w:r>
      <w:r>
        <w:rPr>
          <w:snapToGrid w:val="0"/>
        </w:rPr>
        <w:tab/>
        <w:t>Register of complaints</w:t>
      </w:r>
      <w:bookmarkEnd w:id="171"/>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172" w:name="_Toc531178244"/>
      <w:r>
        <w:rPr>
          <w:rStyle w:val="CharSectno"/>
        </w:rPr>
        <w:t>69</w:t>
      </w:r>
      <w:r>
        <w:rPr>
          <w:snapToGrid w:val="0"/>
        </w:rPr>
        <w:t>.</w:t>
      </w:r>
      <w:r>
        <w:rPr>
          <w:snapToGrid w:val="0"/>
        </w:rPr>
        <w:tab/>
        <w:t>Protection of Director etc. from personal liability</w:t>
      </w:r>
      <w:bookmarkEnd w:id="172"/>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73" w:name="_Toc531178245"/>
      <w:r>
        <w:rPr>
          <w:rStyle w:val="CharSectno"/>
        </w:rPr>
        <w:t>70</w:t>
      </w:r>
      <w:r>
        <w:rPr>
          <w:snapToGrid w:val="0"/>
        </w:rPr>
        <w:t>.</w:t>
      </w:r>
      <w:r>
        <w:rPr>
          <w:snapToGrid w:val="0"/>
        </w:rPr>
        <w:tab/>
        <w:t>Protection of other persons</w:t>
      </w:r>
      <w:bookmarkEnd w:id="173"/>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174" w:name="_Toc531178246"/>
      <w:r>
        <w:rPr>
          <w:rStyle w:val="CharSectno"/>
        </w:rPr>
        <w:t>71</w:t>
      </w:r>
      <w:r>
        <w:rPr>
          <w:snapToGrid w:val="0"/>
        </w:rPr>
        <w:t>.</w:t>
      </w:r>
      <w:r>
        <w:rPr>
          <w:snapToGrid w:val="0"/>
        </w:rPr>
        <w:tab/>
        <w:t>Confidentiality</w:t>
      </w:r>
      <w:bookmarkEnd w:id="174"/>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r>
        <w:tab/>
        <w:t>[Section 71 amended: No. 35 of 2010 s. 90.]</w:t>
      </w:r>
    </w:p>
    <w:p>
      <w:pPr>
        <w:pStyle w:val="Heading5"/>
        <w:rPr>
          <w:snapToGrid w:val="0"/>
        </w:rPr>
      </w:pPr>
      <w:bookmarkStart w:id="175" w:name="_Toc531178247"/>
      <w:r>
        <w:rPr>
          <w:rStyle w:val="CharSectno"/>
        </w:rPr>
        <w:t>72</w:t>
      </w:r>
      <w:r>
        <w:rPr>
          <w:snapToGrid w:val="0"/>
        </w:rPr>
        <w:t>.</w:t>
      </w:r>
      <w:r>
        <w:rPr>
          <w:snapToGrid w:val="0"/>
        </w:rPr>
        <w:tab/>
        <w:t>False statements</w:t>
      </w:r>
      <w:bookmarkEnd w:id="175"/>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76" w:name="_Toc531178248"/>
      <w:r>
        <w:rPr>
          <w:rStyle w:val="CharSectno"/>
        </w:rPr>
        <w:t>73</w:t>
      </w:r>
      <w:r>
        <w:rPr>
          <w:snapToGrid w:val="0"/>
        </w:rPr>
        <w:t>.</w:t>
      </w:r>
      <w:r>
        <w:rPr>
          <w:snapToGrid w:val="0"/>
        </w:rPr>
        <w:tab/>
        <w:t>Person not to be threatened etc. because of complaining to Director</w:t>
      </w:r>
      <w:bookmarkEnd w:id="176"/>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177" w:name="_Toc531178249"/>
      <w:r>
        <w:rPr>
          <w:rStyle w:val="CharSectno"/>
        </w:rPr>
        <w:t>74</w:t>
      </w:r>
      <w:r>
        <w:rPr>
          <w:snapToGrid w:val="0"/>
        </w:rPr>
        <w:t>.</w:t>
      </w:r>
      <w:r>
        <w:rPr>
          <w:snapToGrid w:val="0"/>
        </w:rPr>
        <w:tab/>
        <w:t xml:space="preserve">Application of </w:t>
      </w:r>
      <w:r>
        <w:rPr>
          <w:i/>
          <w:iCs/>
          <w:snapToGrid w:val="0"/>
        </w:rPr>
        <w:t>Parliamentary Commissioner Act 1971</w:t>
      </w:r>
      <w:bookmarkEnd w:id="177"/>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178" w:name="_Toc531178250"/>
      <w:r>
        <w:rPr>
          <w:rStyle w:val="CharSectno"/>
        </w:rPr>
        <w:t>75</w:t>
      </w:r>
      <w:r>
        <w:rPr>
          <w:snapToGrid w:val="0"/>
        </w:rPr>
        <w:t>.</w:t>
      </w:r>
      <w:r>
        <w:rPr>
          <w:snapToGrid w:val="0"/>
        </w:rPr>
        <w:tab/>
        <w:t>Prescribed provider must give certain information</w:t>
      </w:r>
      <w:bookmarkEnd w:id="178"/>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179" w:name="_Toc531178251"/>
      <w:r>
        <w:rPr>
          <w:rStyle w:val="CharSectno"/>
        </w:rPr>
        <w:t>76</w:t>
      </w:r>
      <w:r>
        <w:rPr>
          <w:snapToGrid w:val="0"/>
        </w:rPr>
        <w:t>.</w:t>
      </w:r>
      <w:r>
        <w:rPr>
          <w:snapToGrid w:val="0"/>
        </w:rPr>
        <w:tab/>
        <w:t>Prosecutions</w:t>
      </w:r>
      <w:bookmarkEnd w:id="179"/>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180" w:name="_Toc531178252"/>
      <w:r>
        <w:rPr>
          <w:rStyle w:val="CharSectno"/>
        </w:rPr>
        <w:t>77</w:t>
      </w:r>
      <w:r>
        <w:rPr>
          <w:snapToGrid w:val="0"/>
        </w:rPr>
        <w:t>.</w:t>
      </w:r>
      <w:r>
        <w:rPr>
          <w:snapToGrid w:val="0"/>
        </w:rPr>
        <w:tab/>
        <w:t>Regulations</w:t>
      </w:r>
      <w:bookmarkEnd w:id="180"/>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181" w:name="_Toc531178253"/>
      <w:r>
        <w:rPr>
          <w:rStyle w:val="CharSectno"/>
        </w:rPr>
        <w:t>78</w:t>
      </w:r>
      <w:r>
        <w:rPr>
          <w:snapToGrid w:val="0"/>
        </w:rPr>
        <w:t>.</w:t>
      </w:r>
      <w:r>
        <w:rPr>
          <w:snapToGrid w:val="0"/>
        </w:rPr>
        <w:tab/>
        <w:t>Transitional provision</w:t>
      </w:r>
      <w:bookmarkEnd w:id="181"/>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182" w:name="_Toc531178254"/>
      <w:r>
        <w:rPr>
          <w:rStyle w:val="CharSectno"/>
        </w:rPr>
        <w:t>79</w:t>
      </w:r>
      <w:r>
        <w:t>.</w:t>
      </w:r>
      <w:r>
        <w:tab/>
        <w:t>Review of Act</w:t>
      </w:r>
      <w:bookmarkEnd w:id="182"/>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No. 33 of 2010 s. 29.]</w:t>
      </w:r>
    </w:p>
    <w:p>
      <w:pPr>
        <w:pStyle w:val="Heading5"/>
      </w:pPr>
      <w:bookmarkStart w:id="183" w:name="_Toc531178255"/>
      <w:r>
        <w:rPr>
          <w:rStyle w:val="CharSectno"/>
        </w:rPr>
        <w:t>80</w:t>
      </w:r>
      <w:r>
        <w:t>.</w:t>
      </w:r>
      <w:r>
        <w:tab/>
        <w:t>Transitional provisions</w:t>
      </w:r>
      <w:bookmarkEnd w:id="183"/>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No. 33 of 2010 s. 30.]</w:t>
      </w:r>
    </w:p>
    <w:p>
      <w:pPr>
        <w:pStyle w:val="yEdnoteschedule"/>
        <w:rPr>
          <w:snapToGrid/>
        </w:rPr>
      </w:pPr>
      <w:r>
        <w:rPr>
          <w:snapToGrid/>
        </w:rPr>
        <w:t>[Schedule 1 deleted: No. 4 of 2018 s. 112(3).]</w:t>
      </w:r>
    </w:p>
    <w:p>
      <w:pPr>
        <w:rPr>
          <w:rStyle w:val="CharDivText"/>
        </w:r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yScheduleHeading"/>
      </w:pPr>
      <w:bookmarkStart w:id="184" w:name="_Toc419461365"/>
      <w:bookmarkStart w:id="185" w:name="_Toc435776501"/>
      <w:bookmarkStart w:id="186" w:name="_Toc435776606"/>
      <w:bookmarkStart w:id="187" w:name="_Toc435776871"/>
      <w:bookmarkStart w:id="188" w:name="_Toc436059438"/>
      <w:bookmarkStart w:id="189" w:name="_Toc452545365"/>
      <w:bookmarkStart w:id="190" w:name="_Toc455413017"/>
      <w:bookmarkStart w:id="191" w:name="_Toc512323906"/>
      <w:bookmarkStart w:id="192" w:name="_Toc531178256"/>
      <w:r>
        <w:rPr>
          <w:rStyle w:val="CharSchNo"/>
        </w:rPr>
        <w:t>Schedule 2</w:t>
      </w:r>
      <w:r>
        <w:t> — </w:t>
      </w:r>
      <w:r>
        <w:rPr>
          <w:rStyle w:val="CharSchText"/>
        </w:rPr>
        <w:t>Tenure, salary, conditions of service, etc., of Director</w:t>
      </w:r>
      <w:bookmarkEnd w:id="184"/>
      <w:bookmarkEnd w:id="185"/>
      <w:bookmarkEnd w:id="186"/>
      <w:bookmarkEnd w:id="187"/>
      <w:bookmarkEnd w:id="188"/>
      <w:bookmarkEnd w:id="189"/>
      <w:bookmarkEnd w:id="190"/>
      <w:bookmarkEnd w:id="191"/>
      <w:bookmarkEnd w:id="192"/>
    </w:p>
    <w:p>
      <w:pPr>
        <w:pStyle w:val="yShoulderClause"/>
        <w:rPr>
          <w:snapToGrid w:val="0"/>
        </w:rPr>
      </w:pPr>
      <w:r>
        <w:rPr>
          <w:snapToGrid w:val="0"/>
        </w:rPr>
        <w:t>[s. 8]</w:t>
      </w:r>
    </w:p>
    <w:p>
      <w:pPr>
        <w:pStyle w:val="yFootnoteheading"/>
      </w:pPr>
      <w:r>
        <w:tab/>
        <w:t>[Heading amended: No. 19 of 2010 s. 4.]</w:t>
      </w:r>
    </w:p>
    <w:p>
      <w:pPr>
        <w:pStyle w:val="yHeading5"/>
        <w:ind w:left="890" w:hanging="890"/>
        <w:outlineLvl w:val="9"/>
        <w:rPr>
          <w:snapToGrid w:val="0"/>
        </w:rPr>
      </w:pPr>
      <w:bookmarkStart w:id="193" w:name="_Toc531178257"/>
      <w:r>
        <w:rPr>
          <w:rStyle w:val="CharSClsNo"/>
        </w:rPr>
        <w:t>1</w:t>
      </w:r>
      <w:r>
        <w:rPr>
          <w:snapToGrid w:val="0"/>
        </w:rPr>
        <w:t>.</w:t>
      </w:r>
      <w:r>
        <w:rPr>
          <w:snapToGrid w:val="0"/>
        </w:rPr>
        <w:tab/>
        <w:t>Tenure of office</w:t>
      </w:r>
      <w:bookmarkEnd w:id="193"/>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94" w:name="_Toc531178258"/>
      <w:r>
        <w:rPr>
          <w:rStyle w:val="CharSClsNo"/>
        </w:rPr>
        <w:t>2</w:t>
      </w:r>
      <w:r>
        <w:rPr>
          <w:snapToGrid w:val="0"/>
        </w:rPr>
        <w:t>.</w:t>
      </w:r>
      <w:r>
        <w:rPr>
          <w:snapToGrid w:val="0"/>
        </w:rPr>
        <w:tab/>
        <w:t>Salary and entitlements</w:t>
      </w:r>
      <w:bookmarkEnd w:id="194"/>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No. 39 of 2010 s. 89.]</w:t>
      </w:r>
    </w:p>
    <w:p>
      <w:pPr>
        <w:pStyle w:val="yHeading5"/>
        <w:ind w:left="890" w:hanging="890"/>
        <w:outlineLvl w:val="9"/>
        <w:rPr>
          <w:snapToGrid w:val="0"/>
        </w:rPr>
      </w:pPr>
      <w:bookmarkStart w:id="195" w:name="_Toc531178259"/>
      <w:r>
        <w:rPr>
          <w:rStyle w:val="CharSClsNo"/>
        </w:rPr>
        <w:t>3</w:t>
      </w:r>
      <w:r>
        <w:rPr>
          <w:snapToGrid w:val="0"/>
        </w:rPr>
        <w:t>.</w:t>
      </w:r>
      <w:r>
        <w:rPr>
          <w:snapToGrid w:val="0"/>
        </w:rPr>
        <w:tab/>
        <w:t>Superannuation</w:t>
      </w:r>
      <w:bookmarkEnd w:id="195"/>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ind w:left="890" w:hanging="890"/>
        <w:outlineLvl w:val="9"/>
        <w:rPr>
          <w:snapToGrid w:val="0"/>
        </w:rPr>
      </w:pPr>
      <w:bookmarkStart w:id="196" w:name="_Toc531178260"/>
      <w:r>
        <w:rPr>
          <w:rStyle w:val="CharSClsNo"/>
        </w:rPr>
        <w:t>4</w:t>
      </w:r>
      <w:r>
        <w:rPr>
          <w:snapToGrid w:val="0"/>
        </w:rPr>
        <w:t>.</w:t>
      </w:r>
      <w:r>
        <w:rPr>
          <w:snapToGrid w:val="0"/>
        </w:rPr>
        <w:tab/>
        <w:t>Appointment of public service officer</w:t>
      </w:r>
      <w:bookmarkEnd w:id="196"/>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97" w:name="_Toc531178261"/>
      <w:r>
        <w:rPr>
          <w:rStyle w:val="CharSClsNo"/>
        </w:rPr>
        <w:t>5</w:t>
      </w:r>
      <w:r>
        <w:rPr>
          <w:snapToGrid w:val="0"/>
        </w:rPr>
        <w:t>.</w:t>
      </w:r>
      <w:r>
        <w:rPr>
          <w:snapToGrid w:val="0"/>
        </w:rPr>
        <w:tab/>
        <w:t>Removal from office</w:t>
      </w:r>
      <w:bookmarkEnd w:id="197"/>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No. 18 of 2009 s. 40.]</w:t>
      </w:r>
    </w:p>
    <w:p>
      <w:pPr>
        <w:pStyle w:val="yHeading5"/>
        <w:ind w:left="890" w:hanging="890"/>
        <w:outlineLvl w:val="9"/>
        <w:rPr>
          <w:snapToGrid w:val="0"/>
        </w:rPr>
      </w:pPr>
      <w:bookmarkStart w:id="198" w:name="_Toc531178262"/>
      <w:r>
        <w:rPr>
          <w:rStyle w:val="CharSClsNo"/>
        </w:rPr>
        <w:t>6</w:t>
      </w:r>
      <w:r>
        <w:rPr>
          <w:snapToGrid w:val="0"/>
        </w:rPr>
        <w:t>.</w:t>
      </w:r>
      <w:r>
        <w:rPr>
          <w:snapToGrid w:val="0"/>
        </w:rPr>
        <w:tab/>
        <w:t>Other conditions of service</w:t>
      </w:r>
      <w:bookmarkEnd w:id="198"/>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No. 39 of 2010 s. 89.]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99" w:name="_Toc419461372"/>
      <w:bookmarkStart w:id="200" w:name="_Toc435776508"/>
      <w:bookmarkStart w:id="201" w:name="_Toc435776613"/>
      <w:bookmarkStart w:id="202" w:name="_Toc435776878"/>
      <w:bookmarkStart w:id="203" w:name="_Toc436059445"/>
      <w:bookmarkStart w:id="204" w:name="_Toc452545372"/>
      <w:bookmarkStart w:id="205" w:name="_Toc455413024"/>
      <w:bookmarkStart w:id="206" w:name="_Toc512323913"/>
      <w:bookmarkStart w:id="207" w:name="_Toc531178263"/>
      <w:r>
        <w:t>Notes</w:t>
      </w:r>
      <w:bookmarkEnd w:id="199"/>
      <w:bookmarkEnd w:id="200"/>
      <w:bookmarkEnd w:id="201"/>
      <w:bookmarkEnd w:id="202"/>
      <w:bookmarkEnd w:id="203"/>
      <w:bookmarkEnd w:id="204"/>
      <w:bookmarkEnd w:id="205"/>
      <w:bookmarkEnd w:id="206"/>
      <w:bookmarkEnd w:id="207"/>
    </w:p>
    <w:p>
      <w:pPr>
        <w:pStyle w:val="nSubsection"/>
        <w:rPr>
          <w:snapToGrid w:val="0"/>
        </w:rPr>
      </w:pPr>
      <w:r>
        <w:rPr>
          <w:snapToGrid w:val="0"/>
          <w:vertAlign w:val="superscript"/>
        </w:rPr>
        <w:t>1</w:t>
      </w:r>
      <w:r>
        <w:rPr>
          <w:snapToGrid w:val="0"/>
        </w:rPr>
        <w:tab/>
        <w:t xml:space="preserve">This is a compilation of the </w:t>
      </w:r>
      <w:r>
        <w:rPr>
          <w:i/>
          <w:noProof/>
          <w:snapToGrid w:val="0"/>
        </w:rPr>
        <w:t>Health and Disability Services (Complaints)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08" w:name="_Toc531178264"/>
      <w:r>
        <w:t>Compilation table</w:t>
      </w:r>
      <w:bookmarkEnd w:id="208"/>
    </w:p>
    <w:tbl>
      <w:tblPr>
        <w:tblW w:w="7109" w:type="dxa"/>
        <w:tblInd w:w="84" w:type="dxa"/>
        <w:tblLayout w:type="fixed"/>
        <w:tblCellMar>
          <w:left w:w="56" w:type="dxa"/>
          <w:right w:w="56" w:type="dxa"/>
        </w:tblCellMar>
        <w:tblLook w:val="0000" w:firstRow="0" w:lastRow="0" w:firstColumn="0" w:lastColumn="0" w:noHBand="0" w:noVBand="0"/>
      </w:tblPr>
      <w:tblGrid>
        <w:gridCol w:w="7"/>
        <w:gridCol w:w="2245"/>
        <w:gridCol w:w="9"/>
        <w:gridCol w:w="1125"/>
        <w:gridCol w:w="9"/>
        <w:gridCol w:w="1139"/>
        <w:gridCol w:w="2549"/>
        <w:gridCol w:w="26"/>
      </w:tblGrid>
      <w:tr>
        <w:trPr>
          <w:gridBefore w:val="1"/>
          <w:wBefore w:w="7" w:type="dxa"/>
          <w:cantSplit/>
          <w:tblHeader/>
        </w:trPr>
        <w:tc>
          <w:tcPr>
            <w:tcW w:w="2254" w:type="dxa"/>
            <w:gridSpan w:val="2"/>
            <w:tcBorders>
              <w:top w:val="single" w:sz="8" w:space="0" w:color="auto"/>
              <w:bottom w:val="single" w:sz="8" w:space="0" w:color="auto"/>
            </w:tcBorders>
          </w:tcPr>
          <w:p>
            <w:pPr>
              <w:pStyle w:val="nTable"/>
              <w:spacing w:before="26" w:after="24"/>
              <w:ind w:right="113"/>
              <w:rPr>
                <w:b/>
              </w:rPr>
            </w:pPr>
            <w:r>
              <w:rPr>
                <w:b/>
              </w:rPr>
              <w:t>Short title</w:t>
            </w:r>
          </w:p>
        </w:tc>
        <w:tc>
          <w:tcPr>
            <w:tcW w:w="1134" w:type="dxa"/>
            <w:gridSpan w:val="2"/>
            <w:tcBorders>
              <w:top w:val="single" w:sz="8" w:space="0" w:color="auto"/>
              <w:bottom w:val="single" w:sz="8" w:space="0" w:color="auto"/>
            </w:tcBorders>
          </w:tcPr>
          <w:p>
            <w:pPr>
              <w:pStyle w:val="nTable"/>
              <w:spacing w:before="26" w:after="24"/>
              <w:rPr>
                <w:b/>
              </w:rPr>
            </w:pPr>
            <w:r>
              <w:rPr>
                <w:b/>
              </w:rPr>
              <w:t>Number and year</w:t>
            </w:r>
          </w:p>
        </w:tc>
        <w:tc>
          <w:tcPr>
            <w:tcW w:w="1139" w:type="dxa"/>
            <w:tcBorders>
              <w:top w:val="single" w:sz="8" w:space="0" w:color="auto"/>
              <w:bottom w:val="single" w:sz="8" w:space="0" w:color="auto"/>
            </w:tcBorders>
          </w:tcPr>
          <w:p>
            <w:pPr>
              <w:pStyle w:val="nTable"/>
              <w:spacing w:before="26" w:after="24"/>
              <w:rPr>
                <w:b/>
              </w:rPr>
            </w:pPr>
            <w:r>
              <w:rPr>
                <w:b/>
              </w:rPr>
              <w:t>Assent</w:t>
            </w:r>
          </w:p>
        </w:tc>
        <w:tc>
          <w:tcPr>
            <w:tcW w:w="2575" w:type="dxa"/>
            <w:gridSpan w:val="2"/>
            <w:tcBorders>
              <w:top w:val="single" w:sz="8" w:space="0" w:color="auto"/>
              <w:bottom w:val="single" w:sz="8" w:space="0" w:color="auto"/>
            </w:tcBorders>
          </w:tcPr>
          <w:p>
            <w:pPr>
              <w:pStyle w:val="nTable"/>
              <w:spacing w:before="26" w:after="24"/>
              <w:rPr>
                <w:b/>
              </w:rPr>
            </w:pPr>
            <w:r>
              <w:rPr>
                <w:b/>
              </w:rPr>
              <w:t>Commencement</w:t>
            </w:r>
          </w:p>
        </w:tc>
      </w:tr>
      <w:tr>
        <w:trPr>
          <w:gridBefore w:val="1"/>
          <w:wBefore w:w="7" w:type="dxa"/>
          <w:cantSplit/>
          <w:trHeight w:val="1074"/>
        </w:trPr>
        <w:tc>
          <w:tcPr>
            <w:tcW w:w="2254" w:type="dxa"/>
            <w:gridSpan w:val="2"/>
            <w:tcBorders>
              <w:top w:val="single" w:sz="8" w:space="0" w:color="auto"/>
            </w:tcBorders>
          </w:tcPr>
          <w:p>
            <w:pPr>
              <w:pStyle w:val="nTable"/>
              <w:spacing w:before="26" w:after="24"/>
              <w:ind w:right="113"/>
              <w:rPr>
                <w:iCs/>
              </w:rPr>
            </w:pPr>
            <w:r>
              <w:rPr>
                <w:i/>
              </w:rPr>
              <w:t>Health Services (Conciliation and Review) Act 1995</w:t>
            </w:r>
            <w:r>
              <w:rPr>
                <w:iCs/>
                <w:vertAlign w:val="superscript"/>
              </w:rPr>
              <w:t> 3</w:t>
            </w:r>
          </w:p>
        </w:tc>
        <w:tc>
          <w:tcPr>
            <w:tcW w:w="1134" w:type="dxa"/>
            <w:gridSpan w:val="2"/>
            <w:tcBorders>
              <w:top w:val="single" w:sz="8" w:space="0" w:color="auto"/>
            </w:tcBorders>
          </w:tcPr>
          <w:p>
            <w:pPr>
              <w:pStyle w:val="nTable"/>
              <w:spacing w:before="26" w:after="24"/>
            </w:pPr>
            <w:r>
              <w:t>75 of 1995</w:t>
            </w:r>
          </w:p>
        </w:tc>
        <w:tc>
          <w:tcPr>
            <w:tcW w:w="1139" w:type="dxa"/>
            <w:tcBorders>
              <w:top w:val="single" w:sz="8" w:space="0" w:color="auto"/>
            </w:tcBorders>
          </w:tcPr>
          <w:p>
            <w:pPr>
              <w:pStyle w:val="nTable"/>
              <w:spacing w:before="26" w:after="24"/>
            </w:pPr>
            <w:r>
              <w:t>9 Jan 1996</w:t>
            </w:r>
          </w:p>
        </w:tc>
        <w:tc>
          <w:tcPr>
            <w:tcW w:w="2575" w:type="dxa"/>
            <w:gridSpan w:val="2"/>
            <w:tcBorders>
              <w:top w:val="single" w:sz="8" w:space="0" w:color="auto"/>
            </w:tcBorders>
          </w:tcPr>
          <w:p>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trPr>
          <w:gridBefore w:val="1"/>
          <w:wBefore w:w="7" w:type="dxa"/>
          <w:cantSplit/>
        </w:trPr>
        <w:tc>
          <w:tcPr>
            <w:tcW w:w="2254" w:type="dxa"/>
            <w:gridSpan w:val="2"/>
          </w:tcPr>
          <w:p>
            <w:pPr>
              <w:pStyle w:val="nTable"/>
              <w:spacing w:before="26" w:after="24"/>
              <w:ind w:right="113"/>
            </w:pPr>
            <w:r>
              <w:rPr>
                <w:i/>
              </w:rPr>
              <w:t xml:space="preserve">Statutes (Repeals and Minor Amendments) Act 1997 </w:t>
            </w:r>
            <w:r>
              <w:t>s. 70</w:t>
            </w:r>
          </w:p>
        </w:tc>
        <w:tc>
          <w:tcPr>
            <w:tcW w:w="1134" w:type="dxa"/>
            <w:gridSpan w:val="2"/>
          </w:tcPr>
          <w:p>
            <w:pPr>
              <w:pStyle w:val="nTable"/>
              <w:spacing w:before="26" w:after="24"/>
            </w:pPr>
            <w:r>
              <w:t>57 of 1997</w:t>
            </w:r>
          </w:p>
        </w:tc>
        <w:tc>
          <w:tcPr>
            <w:tcW w:w="1139" w:type="dxa"/>
          </w:tcPr>
          <w:p>
            <w:pPr>
              <w:pStyle w:val="nTable"/>
              <w:spacing w:before="26" w:after="24"/>
            </w:pPr>
            <w:r>
              <w:t>15 Dec 1997</w:t>
            </w:r>
          </w:p>
        </w:tc>
        <w:tc>
          <w:tcPr>
            <w:tcW w:w="2575" w:type="dxa"/>
            <w:gridSpan w:val="2"/>
          </w:tcPr>
          <w:p>
            <w:pPr>
              <w:pStyle w:val="nTable"/>
              <w:spacing w:before="26" w:after="24"/>
            </w:pPr>
            <w:r>
              <w:t>15 Dec 1997 (see s. 2(1))</w:t>
            </w:r>
          </w:p>
        </w:tc>
      </w:tr>
      <w:tr>
        <w:trPr>
          <w:gridBefore w:val="1"/>
          <w:wBefore w:w="7" w:type="dxa"/>
          <w:cantSplit/>
        </w:trPr>
        <w:tc>
          <w:tcPr>
            <w:tcW w:w="2254" w:type="dxa"/>
            <w:gridSpan w:val="2"/>
          </w:tcPr>
          <w:p>
            <w:pPr>
              <w:pStyle w:val="nTable"/>
              <w:spacing w:before="26" w:after="24"/>
              <w:ind w:right="113"/>
            </w:pPr>
            <w:r>
              <w:rPr>
                <w:i/>
              </w:rPr>
              <w:t>Osteopaths Act 1997</w:t>
            </w:r>
            <w:r>
              <w:t xml:space="preserve"> s. 97</w:t>
            </w:r>
          </w:p>
        </w:tc>
        <w:tc>
          <w:tcPr>
            <w:tcW w:w="1134" w:type="dxa"/>
            <w:gridSpan w:val="2"/>
          </w:tcPr>
          <w:p>
            <w:pPr>
              <w:pStyle w:val="nTable"/>
              <w:spacing w:before="26" w:after="24"/>
            </w:pPr>
            <w:r>
              <w:t>58 of 1997</w:t>
            </w:r>
          </w:p>
        </w:tc>
        <w:tc>
          <w:tcPr>
            <w:tcW w:w="1139" w:type="dxa"/>
          </w:tcPr>
          <w:p>
            <w:pPr>
              <w:pStyle w:val="nTable"/>
              <w:spacing w:before="26" w:after="24"/>
            </w:pPr>
            <w:r>
              <w:t>15 Dec 1997</w:t>
            </w:r>
          </w:p>
        </w:tc>
        <w:tc>
          <w:tcPr>
            <w:tcW w:w="2575" w:type="dxa"/>
            <w:gridSpan w:val="2"/>
          </w:tcPr>
          <w:p>
            <w:pPr>
              <w:pStyle w:val="nTable"/>
              <w:spacing w:before="26" w:after="24"/>
            </w:pPr>
            <w:r>
              <w:t xml:space="preserve">22 Dec 1999 (see s. 2 and </w:t>
            </w:r>
            <w:r>
              <w:rPr>
                <w:i/>
              </w:rPr>
              <w:t>Gazette</w:t>
            </w:r>
            <w:r>
              <w:t xml:space="preserve"> 21 Dec 1999 p. 6393)</w:t>
            </w:r>
          </w:p>
        </w:tc>
      </w:tr>
      <w:tr>
        <w:trPr>
          <w:gridBefore w:val="1"/>
          <w:wBefore w:w="7" w:type="dxa"/>
          <w:cantSplit/>
        </w:trPr>
        <w:tc>
          <w:tcPr>
            <w:tcW w:w="2254" w:type="dxa"/>
            <w:gridSpan w:val="2"/>
          </w:tcPr>
          <w:p>
            <w:pPr>
              <w:pStyle w:val="nTable"/>
              <w:spacing w:before="26" w:after="24"/>
              <w:ind w:right="113"/>
            </w:pPr>
            <w:r>
              <w:rPr>
                <w:i/>
              </w:rPr>
              <w:t>Disability Services Amendment Act 1999</w:t>
            </w:r>
            <w:r>
              <w:t xml:space="preserve"> s. 28(2)</w:t>
            </w:r>
          </w:p>
        </w:tc>
        <w:tc>
          <w:tcPr>
            <w:tcW w:w="1134" w:type="dxa"/>
            <w:gridSpan w:val="2"/>
          </w:tcPr>
          <w:p>
            <w:pPr>
              <w:pStyle w:val="nTable"/>
              <w:spacing w:before="26" w:after="24"/>
            </w:pPr>
            <w:r>
              <w:t>44 of 1999</w:t>
            </w:r>
          </w:p>
        </w:tc>
        <w:tc>
          <w:tcPr>
            <w:tcW w:w="1139" w:type="dxa"/>
          </w:tcPr>
          <w:p>
            <w:pPr>
              <w:pStyle w:val="nTable"/>
              <w:spacing w:before="26" w:after="24"/>
            </w:pPr>
            <w:r>
              <w:t>25 Nov 1999</w:t>
            </w:r>
          </w:p>
        </w:tc>
        <w:tc>
          <w:tcPr>
            <w:tcW w:w="2575" w:type="dxa"/>
            <w:gridSpan w:val="2"/>
          </w:tcPr>
          <w:p>
            <w:pPr>
              <w:pStyle w:val="nTable"/>
              <w:spacing w:before="26" w:after="24"/>
            </w:pPr>
            <w:r>
              <w:t>25 Nov 1999 (see s. 2)</w:t>
            </w:r>
          </w:p>
        </w:tc>
      </w:tr>
      <w:tr>
        <w:trPr>
          <w:gridBefore w:val="1"/>
          <w:wBefore w:w="7" w:type="dxa"/>
          <w:cantSplit/>
        </w:trPr>
        <w:tc>
          <w:tcPr>
            <w:tcW w:w="2254" w:type="dxa"/>
            <w:gridSpan w:val="2"/>
          </w:tcPr>
          <w:p>
            <w:pPr>
              <w:pStyle w:val="nTable"/>
              <w:spacing w:before="26" w:after="24"/>
              <w:ind w:right="113"/>
            </w:pPr>
            <w:r>
              <w:rPr>
                <w:i/>
              </w:rPr>
              <w:t>Statutes (Repeals and Minor Amendments) Act 2000</w:t>
            </w:r>
            <w:r>
              <w:t xml:space="preserve"> s. 17</w:t>
            </w:r>
          </w:p>
        </w:tc>
        <w:tc>
          <w:tcPr>
            <w:tcW w:w="1134" w:type="dxa"/>
            <w:gridSpan w:val="2"/>
          </w:tcPr>
          <w:p>
            <w:pPr>
              <w:pStyle w:val="nTable"/>
              <w:spacing w:before="26" w:after="24"/>
            </w:pPr>
            <w:r>
              <w:t>24 of 2000</w:t>
            </w:r>
          </w:p>
        </w:tc>
        <w:tc>
          <w:tcPr>
            <w:tcW w:w="1139" w:type="dxa"/>
          </w:tcPr>
          <w:p>
            <w:pPr>
              <w:pStyle w:val="nTable"/>
              <w:spacing w:before="26" w:after="24"/>
            </w:pPr>
            <w:r>
              <w:t>4 Jul 2000</w:t>
            </w:r>
          </w:p>
        </w:tc>
        <w:tc>
          <w:tcPr>
            <w:tcW w:w="2575" w:type="dxa"/>
            <w:gridSpan w:val="2"/>
          </w:tcPr>
          <w:p>
            <w:pPr>
              <w:pStyle w:val="nTable"/>
              <w:spacing w:before="26" w:after="24"/>
            </w:pPr>
            <w:r>
              <w:t>4 Jul 2000 (see s. 2)</w:t>
            </w:r>
          </w:p>
        </w:tc>
      </w:tr>
      <w:tr>
        <w:trPr>
          <w:gridBefore w:val="1"/>
          <w:wBefore w:w="7" w:type="dxa"/>
          <w:cantSplit/>
        </w:trPr>
        <w:tc>
          <w:tcPr>
            <w:tcW w:w="7102" w:type="dxa"/>
            <w:gridSpan w:val="7"/>
          </w:tcPr>
          <w:p>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trPr>
          <w:gridBefore w:val="1"/>
          <w:wBefore w:w="7" w:type="dxa"/>
          <w:cantSplit/>
        </w:trPr>
        <w:tc>
          <w:tcPr>
            <w:tcW w:w="2254" w:type="dxa"/>
            <w:gridSpan w:val="2"/>
          </w:tcPr>
          <w:p>
            <w:pPr>
              <w:pStyle w:val="nTable"/>
              <w:spacing w:before="26" w:after="24"/>
              <w:ind w:right="113"/>
            </w:pPr>
            <w:r>
              <w:rPr>
                <w:i/>
              </w:rPr>
              <w:t>Acts Amendment (Equality of Status) Act 2003</w:t>
            </w:r>
            <w:r>
              <w:t xml:space="preserve"> Pt. 27</w:t>
            </w:r>
          </w:p>
        </w:tc>
        <w:tc>
          <w:tcPr>
            <w:tcW w:w="1134" w:type="dxa"/>
            <w:gridSpan w:val="2"/>
          </w:tcPr>
          <w:p>
            <w:pPr>
              <w:pStyle w:val="nTable"/>
              <w:spacing w:before="26" w:after="24"/>
            </w:pPr>
            <w:r>
              <w:t>28 of 2003</w:t>
            </w:r>
          </w:p>
        </w:tc>
        <w:tc>
          <w:tcPr>
            <w:tcW w:w="1139" w:type="dxa"/>
          </w:tcPr>
          <w:p>
            <w:pPr>
              <w:pStyle w:val="nTable"/>
              <w:spacing w:before="26" w:after="24"/>
            </w:pPr>
            <w:r>
              <w:t>22 May 2003</w:t>
            </w:r>
          </w:p>
        </w:tc>
        <w:tc>
          <w:tcPr>
            <w:tcW w:w="2575" w:type="dxa"/>
            <w:gridSpan w:val="2"/>
          </w:tcPr>
          <w:p>
            <w:pPr>
              <w:pStyle w:val="nTable"/>
              <w:spacing w:before="26" w:after="24"/>
            </w:pPr>
            <w:r>
              <w:t xml:space="preserve">1 Jul 2003 (see s. 2 and </w:t>
            </w:r>
            <w:r>
              <w:rPr>
                <w:i/>
              </w:rPr>
              <w:t xml:space="preserve">Gazette </w:t>
            </w:r>
            <w:r>
              <w:t>30 Jun 2003 p. 2579)</w:t>
            </w:r>
          </w:p>
        </w:tc>
      </w:tr>
      <w:tr>
        <w:trPr>
          <w:gridBefore w:val="1"/>
          <w:wBefore w:w="7" w:type="dxa"/>
          <w:cantSplit/>
        </w:trPr>
        <w:tc>
          <w:tcPr>
            <w:tcW w:w="2254" w:type="dxa"/>
            <w:gridSpan w:val="2"/>
          </w:tcPr>
          <w:p>
            <w:pPr>
              <w:pStyle w:val="nTable"/>
              <w:spacing w:before="26" w:after="24"/>
              <w:ind w:right="113"/>
            </w:pPr>
            <w:r>
              <w:rPr>
                <w:i/>
              </w:rPr>
              <w:t>Statutes (Repeals and Minor Amendments) Act 2003</w:t>
            </w:r>
            <w:r>
              <w:t xml:space="preserve"> s. 65</w:t>
            </w:r>
          </w:p>
        </w:tc>
        <w:tc>
          <w:tcPr>
            <w:tcW w:w="1134" w:type="dxa"/>
            <w:gridSpan w:val="2"/>
          </w:tcPr>
          <w:p>
            <w:pPr>
              <w:pStyle w:val="nTable"/>
              <w:spacing w:before="26" w:after="24"/>
            </w:pPr>
            <w:r>
              <w:t>74 of 2003</w:t>
            </w:r>
          </w:p>
        </w:tc>
        <w:tc>
          <w:tcPr>
            <w:tcW w:w="1139" w:type="dxa"/>
          </w:tcPr>
          <w:p>
            <w:pPr>
              <w:pStyle w:val="nTable"/>
              <w:spacing w:before="26" w:after="24"/>
            </w:pPr>
            <w:r>
              <w:t>15 Dec 2003</w:t>
            </w:r>
          </w:p>
        </w:tc>
        <w:tc>
          <w:tcPr>
            <w:tcW w:w="2575" w:type="dxa"/>
            <w:gridSpan w:val="2"/>
          </w:tcPr>
          <w:p>
            <w:pPr>
              <w:pStyle w:val="nTable"/>
              <w:spacing w:before="26" w:after="24"/>
            </w:pPr>
            <w:r>
              <w:rPr>
                <w:spacing w:val="-2"/>
              </w:rPr>
              <w:t>15 Dec 2003 (see s. 2)</w:t>
            </w:r>
          </w:p>
        </w:tc>
      </w:tr>
      <w:tr>
        <w:trPr>
          <w:gridBefore w:val="1"/>
          <w:wBefore w:w="7" w:type="dxa"/>
          <w:cantSplit/>
        </w:trPr>
        <w:tc>
          <w:tcPr>
            <w:tcW w:w="2254" w:type="dxa"/>
            <w:gridSpan w:val="2"/>
          </w:tcPr>
          <w:p>
            <w:pPr>
              <w:pStyle w:val="nTable"/>
              <w:spacing w:before="26" w:after="24"/>
              <w:ind w:right="113"/>
              <w:rPr>
                <w:iCs/>
              </w:rPr>
            </w:pPr>
            <w:r>
              <w:rPr>
                <w:i/>
              </w:rPr>
              <w:t>Carers Recognition Act 2004</w:t>
            </w:r>
            <w:r>
              <w:rPr>
                <w:iCs/>
              </w:rPr>
              <w:t xml:space="preserve"> Pt. 5 Div. 2</w:t>
            </w:r>
          </w:p>
        </w:tc>
        <w:tc>
          <w:tcPr>
            <w:tcW w:w="1134" w:type="dxa"/>
            <w:gridSpan w:val="2"/>
          </w:tcPr>
          <w:p>
            <w:pPr>
              <w:pStyle w:val="nTable"/>
              <w:spacing w:before="26" w:after="24"/>
            </w:pPr>
            <w:r>
              <w:t>37 of 2004</w:t>
            </w:r>
          </w:p>
        </w:tc>
        <w:tc>
          <w:tcPr>
            <w:tcW w:w="1139" w:type="dxa"/>
          </w:tcPr>
          <w:p>
            <w:pPr>
              <w:pStyle w:val="nTable"/>
              <w:spacing w:before="26" w:after="24"/>
            </w:pPr>
            <w:r>
              <w:t>28 Oct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trPr>
          <w:gridBefore w:val="1"/>
          <w:wBefore w:w="7" w:type="dxa"/>
          <w:cantSplit/>
        </w:trPr>
        <w:tc>
          <w:tcPr>
            <w:tcW w:w="2254" w:type="dxa"/>
            <w:gridSpan w:val="2"/>
          </w:tcPr>
          <w:p>
            <w:pPr>
              <w:pStyle w:val="nTable"/>
              <w:spacing w:before="26" w:after="24"/>
              <w:ind w:right="113"/>
              <w:rPr>
                <w:iCs/>
              </w:rPr>
            </w:pPr>
            <w:r>
              <w:rPr>
                <w:i/>
              </w:rPr>
              <w:t>Disability Services Amendment Act 2004</w:t>
            </w:r>
            <w:r>
              <w:rPr>
                <w:iCs/>
              </w:rPr>
              <w:t xml:space="preserve"> s. 36</w:t>
            </w:r>
          </w:p>
        </w:tc>
        <w:tc>
          <w:tcPr>
            <w:tcW w:w="1134" w:type="dxa"/>
            <w:gridSpan w:val="2"/>
          </w:tcPr>
          <w:p>
            <w:pPr>
              <w:pStyle w:val="nTable"/>
              <w:spacing w:before="26" w:after="24"/>
            </w:pPr>
            <w:r>
              <w:t>57 of 2004</w:t>
            </w:r>
          </w:p>
        </w:tc>
        <w:tc>
          <w:tcPr>
            <w:tcW w:w="1139" w:type="dxa"/>
          </w:tcPr>
          <w:p>
            <w:pPr>
              <w:pStyle w:val="nTable"/>
              <w:spacing w:before="26" w:after="24"/>
            </w:pPr>
            <w:r>
              <w:t>18 Nov 2004</w:t>
            </w:r>
          </w:p>
        </w:tc>
        <w:tc>
          <w:tcPr>
            <w:tcW w:w="2575" w:type="dxa"/>
            <w:gridSpan w:val="2"/>
          </w:tcPr>
          <w:p>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trPr>
          <w:gridBefore w:val="1"/>
          <w:wBefore w:w="7" w:type="dxa"/>
          <w:cantSplit/>
        </w:trPr>
        <w:tc>
          <w:tcPr>
            <w:tcW w:w="2254" w:type="dxa"/>
            <w:gridSpan w:val="2"/>
          </w:tcPr>
          <w:p>
            <w:pPr>
              <w:pStyle w:val="nTable"/>
              <w:spacing w:before="26" w:after="24"/>
              <w:ind w:right="113"/>
              <w:rPr>
                <w:i/>
              </w:rPr>
            </w:pPr>
            <w:r>
              <w:rPr>
                <w:rFonts w:ascii="Times" w:hAnsi="Times"/>
                <w:i/>
                <w:iCs/>
              </w:rPr>
              <w:t>State Administrative Tribunal (Conferral of Jurisdiction) Amendment and Repeal Act 2004</w:t>
            </w:r>
            <w:r>
              <w:rPr>
                <w:rFonts w:ascii="Times" w:hAnsi="Times"/>
              </w:rPr>
              <w:t xml:space="preserve"> Pt. 2 Div. 59</w:t>
            </w:r>
            <w:r>
              <w:rPr>
                <w:rFonts w:ascii="Times" w:hAnsi="Times"/>
                <w:vertAlign w:val="superscript"/>
              </w:rPr>
              <w:t> 4</w:t>
            </w:r>
          </w:p>
        </w:tc>
        <w:tc>
          <w:tcPr>
            <w:tcW w:w="1134" w:type="dxa"/>
            <w:gridSpan w:val="2"/>
          </w:tcPr>
          <w:p>
            <w:pPr>
              <w:pStyle w:val="nTable"/>
              <w:spacing w:before="26" w:after="24"/>
            </w:pPr>
            <w:r>
              <w:rPr>
                <w:rFonts w:ascii="Times" w:hAnsi="Times"/>
              </w:rPr>
              <w:t>55 of 2004</w:t>
            </w:r>
          </w:p>
        </w:tc>
        <w:tc>
          <w:tcPr>
            <w:tcW w:w="1139" w:type="dxa"/>
          </w:tcPr>
          <w:p>
            <w:pPr>
              <w:pStyle w:val="nTable"/>
              <w:spacing w:before="26" w:after="24"/>
            </w:pPr>
            <w:r>
              <w:rPr>
                <w:rFonts w:ascii="Times" w:hAnsi="Times"/>
              </w:rPr>
              <w:t>24 Nov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7" w:type="dxa"/>
          <w:cantSplit/>
        </w:trPr>
        <w:tc>
          <w:tcPr>
            <w:tcW w:w="7102" w:type="dxa"/>
            <w:gridSpan w:val="7"/>
          </w:tcPr>
          <w:p>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gridSpan w:val="2"/>
          </w:tcPr>
          <w:p>
            <w:pPr>
              <w:pStyle w:val="nTable"/>
              <w:spacing w:before="26" w:after="24"/>
            </w:pPr>
            <w:r>
              <w:t>28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4 May 2007 (see s. 2 and </w:t>
            </w:r>
            <w:r>
              <w:rPr>
                <w:i/>
                <w:iCs/>
              </w:rPr>
              <w:t>Gazette</w:t>
            </w:r>
            <w:r>
              <w:t xml:space="preserve"> 4 May 2007 p. 1963)</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gridSpan w:val="2"/>
          </w:tcPr>
          <w:p>
            <w:pPr>
              <w:pStyle w:val="nTable"/>
              <w:spacing w:before="26" w:after="24"/>
            </w:pPr>
            <w:r>
              <w:t xml:space="preserve">29 </w:t>
            </w:r>
            <w:r>
              <w:rPr>
                <w:snapToGrid w:val="0"/>
              </w:rPr>
              <w:t>of</w:t>
            </w:r>
            <w:r>
              <w:t xml:space="preserve"> 2005</w:t>
            </w:r>
          </w:p>
        </w:tc>
        <w:tc>
          <w:tcPr>
            <w:tcW w:w="1139" w:type="dxa"/>
          </w:tcPr>
          <w:p>
            <w:pPr>
              <w:pStyle w:val="nTable"/>
              <w:spacing w:before="26" w:after="24"/>
            </w:pPr>
            <w:r>
              <w:t>12 Dec 2005</w:t>
            </w:r>
          </w:p>
        </w:tc>
        <w:tc>
          <w:tcPr>
            <w:tcW w:w="2575" w:type="dxa"/>
            <w:gridSpan w:val="2"/>
          </w:tcPr>
          <w:p>
            <w:pPr>
              <w:pStyle w:val="nTable"/>
              <w:spacing w:before="26" w:after="24"/>
            </w:pPr>
            <w:r>
              <w:t xml:space="preserve">20 Apr 2007 (see s. 2 and </w:t>
            </w:r>
            <w:r>
              <w:rPr>
                <w:i/>
                <w:iCs/>
              </w:rPr>
              <w:t>Gazette</w:t>
            </w:r>
            <w:r>
              <w:t xml:space="preserve"> 30 Mar 2007 p. 1451)</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gridSpan w:val="2"/>
          </w:tcPr>
          <w:p>
            <w:pPr>
              <w:pStyle w:val="nTable"/>
              <w:spacing w:before="26" w:after="24"/>
            </w:pPr>
            <w:r>
              <w:t>30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Gazette</w:t>
            </w:r>
            <w:r>
              <w:t xml:space="preserve"> 29 May 2007 p. 2486)</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gridSpan w:val="2"/>
          </w:tcPr>
          <w:p>
            <w:pPr>
              <w:pStyle w:val="nTable"/>
              <w:spacing w:before="26" w:after="24"/>
            </w:pPr>
            <w:r>
              <w:t>31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4" w:type="dxa"/>
            <w:gridSpan w:val="2"/>
          </w:tcPr>
          <w:p>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gridSpan w:val="2"/>
          </w:tcPr>
          <w:p>
            <w:pPr>
              <w:pStyle w:val="nTable"/>
              <w:spacing w:before="26" w:after="24"/>
              <w:rPr>
                <w:snapToGrid w:val="0"/>
              </w:rPr>
            </w:pPr>
            <w:r>
              <w:t>32 of 2005</w:t>
            </w:r>
          </w:p>
        </w:tc>
        <w:tc>
          <w:tcPr>
            <w:tcW w:w="1139" w:type="dxa"/>
          </w:tcPr>
          <w:p>
            <w:pPr>
              <w:pStyle w:val="nTable"/>
              <w:spacing w:before="26" w:after="24"/>
              <w:rPr>
                <w:snapToGrid w:val="0"/>
              </w:rPr>
            </w:pPr>
            <w:r>
              <w:t>12 Dec 2005</w:t>
            </w:r>
          </w:p>
        </w:tc>
        <w:tc>
          <w:tcPr>
            <w:tcW w:w="2575" w:type="dxa"/>
            <w:gridSpan w:val="2"/>
          </w:tcPr>
          <w:p>
            <w:pPr>
              <w:pStyle w:val="nTable"/>
              <w:spacing w:before="26" w:after="24"/>
              <w:rPr>
                <w:snapToGrid w:val="0"/>
              </w:rPr>
            </w:pPr>
            <w:r>
              <w:t xml:space="preserve">23 Feb 2007 (see s. 2 and </w:t>
            </w:r>
            <w:r>
              <w:rPr>
                <w:i/>
                <w:iCs/>
              </w:rPr>
              <w:t xml:space="preserve">Gazette </w:t>
            </w:r>
            <w:r>
              <w:t>20 Feb 2007 p. 505)</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gridSpan w:val="2"/>
          </w:tcPr>
          <w:p>
            <w:pPr>
              <w:pStyle w:val="nTable"/>
              <w:spacing w:before="26" w:after="24"/>
            </w:pPr>
            <w:r>
              <w:t>33 of 2005</w:t>
            </w:r>
          </w:p>
        </w:tc>
        <w:tc>
          <w:tcPr>
            <w:tcW w:w="1139"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 xml:space="preserve">Gazette </w:t>
            </w:r>
            <w:r>
              <w:t>29 May 2007 p. 2486)</w:t>
            </w:r>
          </w:p>
        </w:tc>
      </w:tr>
      <w:tr>
        <w:trPr>
          <w:gridBefore w:val="1"/>
          <w:wBefore w:w="7" w:type="dxa"/>
        </w:trPr>
        <w:tc>
          <w:tcPr>
            <w:tcW w:w="2254" w:type="dxa"/>
            <w:gridSpan w:val="2"/>
          </w:tcPr>
          <w:p>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gridSpan w:val="2"/>
          </w:tcPr>
          <w:p>
            <w:pPr>
              <w:pStyle w:val="nTable"/>
              <w:spacing w:before="26" w:after="24"/>
            </w:pPr>
            <w:r>
              <w:t>42 of 2005</w:t>
            </w:r>
          </w:p>
        </w:tc>
        <w:tc>
          <w:tcPr>
            <w:tcW w:w="1139" w:type="dxa"/>
          </w:tcPr>
          <w:p>
            <w:pPr>
              <w:pStyle w:val="nTable"/>
              <w:spacing w:before="26" w:after="24"/>
            </w:pPr>
            <w:r>
              <w:t>19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4" w:type="dxa"/>
            <w:gridSpan w:val="2"/>
          </w:tcPr>
          <w:p>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gridSpan w:val="2"/>
          </w:tcPr>
          <w:p>
            <w:pPr>
              <w:pStyle w:val="nTable"/>
              <w:spacing w:before="26" w:after="24"/>
            </w:pPr>
            <w:r>
              <w:t>21 of 2006</w:t>
            </w:r>
          </w:p>
        </w:tc>
        <w:tc>
          <w:tcPr>
            <w:tcW w:w="1139" w:type="dxa"/>
          </w:tcPr>
          <w:p>
            <w:pPr>
              <w:pStyle w:val="nTable"/>
              <w:spacing w:before="26" w:after="24"/>
            </w:pPr>
            <w:r>
              <w:t>9 Jun 2006</w:t>
            </w:r>
          </w:p>
        </w:tc>
        <w:tc>
          <w:tcPr>
            <w:tcW w:w="2575" w:type="dxa"/>
            <w:gridSpan w:val="2"/>
          </w:tcPr>
          <w:p>
            <w:pPr>
              <w:pStyle w:val="nTable"/>
              <w:spacing w:before="26" w:after="24"/>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gridBefore w:val="1"/>
          <w:wBefore w:w="7" w:type="dxa"/>
          <w:cantSplit/>
        </w:trPr>
        <w:tc>
          <w:tcPr>
            <w:tcW w:w="2254" w:type="dxa"/>
            <w:gridSpan w:val="2"/>
          </w:tcPr>
          <w:p>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5</w:t>
            </w:r>
          </w:p>
        </w:tc>
        <w:tc>
          <w:tcPr>
            <w:tcW w:w="1134" w:type="dxa"/>
            <w:gridSpan w:val="2"/>
          </w:tcPr>
          <w:p>
            <w:pPr>
              <w:pStyle w:val="nTable"/>
              <w:spacing w:before="26" w:after="24"/>
              <w:rPr>
                <w:snapToGrid w:val="0"/>
              </w:rPr>
            </w:pPr>
            <w:r>
              <w:rPr>
                <w:snapToGrid w:val="0"/>
              </w:rPr>
              <w:t>28 of 2006</w:t>
            </w:r>
          </w:p>
        </w:tc>
        <w:tc>
          <w:tcPr>
            <w:tcW w:w="1139" w:type="dxa"/>
          </w:tcPr>
          <w:p>
            <w:pPr>
              <w:pStyle w:val="nTable"/>
              <w:spacing w:before="26" w:after="24"/>
            </w:pPr>
            <w:r>
              <w:t>26 Jun 2006</w:t>
            </w:r>
          </w:p>
        </w:tc>
        <w:tc>
          <w:tcPr>
            <w:tcW w:w="2575" w:type="dxa"/>
            <w:gridSpan w:val="2"/>
          </w:tcPr>
          <w:p>
            <w:pPr>
              <w:pStyle w:val="nTable"/>
              <w:spacing w:before="26" w:after="24"/>
            </w:pPr>
            <w:r>
              <w:t xml:space="preserve">1 Jul 2006 (see s. 2 and </w:t>
            </w:r>
            <w:r>
              <w:rPr>
                <w:i/>
                <w:iCs/>
              </w:rPr>
              <w:t>Gazette</w:t>
            </w:r>
            <w:r>
              <w:t xml:space="preserve"> 27 Jun 2006 p. 2347)</w:t>
            </w:r>
          </w:p>
        </w:tc>
      </w:tr>
      <w:tr>
        <w:trPr>
          <w:gridBefore w:val="1"/>
          <w:wBefore w:w="7" w:type="dxa"/>
          <w:cantSplit/>
        </w:trPr>
        <w:tc>
          <w:tcPr>
            <w:tcW w:w="2254" w:type="dxa"/>
            <w:gridSpan w:val="2"/>
          </w:tcPr>
          <w:p>
            <w:pPr>
              <w:pStyle w:val="nTable"/>
              <w:spacing w:before="26" w:after="24"/>
              <w:ind w:left="-28"/>
              <w:rPr>
                <w:i/>
                <w:snapToGrid w:val="0"/>
              </w:rPr>
            </w:pPr>
            <w:r>
              <w:rPr>
                <w:i/>
                <w:snapToGrid w:val="0"/>
              </w:rPr>
              <w:t>Nurses and Midwives Act 2006</w:t>
            </w:r>
            <w:r>
              <w:rPr>
                <w:snapToGrid w:val="0"/>
              </w:rPr>
              <w:t xml:space="preserve"> Sch. 3 cl. 11</w:t>
            </w:r>
          </w:p>
        </w:tc>
        <w:tc>
          <w:tcPr>
            <w:tcW w:w="1134" w:type="dxa"/>
            <w:gridSpan w:val="2"/>
          </w:tcPr>
          <w:p>
            <w:pPr>
              <w:pStyle w:val="nTable"/>
              <w:spacing w:before="26" w:after="24"/>
              <w:rPr>
                <w:snapToGrid w:val="0"/>
              </w:rPr>
            </w:pPr>
            <w:r>
              <w:rPr>
                <w:snapToGrid w:val="0"/>
              </w:rPr>
              <w:t>50 of 2006</w:t>
            </w:r>
          </w:p>
        </w:tc>
        <w:tc>
          <w:tcPr>
            <w:tcW w:w="1139" w:type="dxa"/>
          </w:tcPr>
          <w:p>
            <w:pPr>
              <w:pStyle w:val="nTable"/>
              <w:spacing w:before="26" w:after="24"/>
            </w:pPr>
            <w:r>
              <w:t>6 Oct 2006</w:t>
            </w:r>
          </w:p>
        </w:tc>
        <w:tc>
          <w:tcPr>
            <w:tcW w:w="2575" w:type="dxa"/>
            <w:gridSpan w:val="2"/>
          </w:tcPr>
          <w:p>
            <w:pPr>
              <w:pStyle w:val="nTable"/>
              <w:spacing w:before="26" w:after="24"/>
            </w:pPr>
            <w:r>
              <w:t xml:space="preserve">19 Sep 2007 (see s. 2 and </w:t>
            </w:r>
            <w:r>
              <w:rPr>
                <w:i/>
                <w:iCs/>
              </w:rPr>
              <w:t>Gazette</w:t>
            </w:r>
            <w:r>
              <w:t xml:space="preserve"> 18 Sep 2007 p. 4711)</w:t>
            </w:r>
          </w:p>
        </w:tc>
      </w:tr>
      <w:tr>
        <w:trPr>
          <w:gridBefore w:val="1"/>
          <w:wBefore w:w="7" w:type="dxa"/>
          <w:cantSplit/>
        </w:trPr>
        <w:tc>
          <w:tcPr>
            <w:tcW w:w="2254" w:type="dxa"/>
            <w:gridSpan w:val="2"/>
          </w:tcPr>
          <w:p>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gridSpan w:val="2"/>
          </w:tcPr>
          <w:p>
            <w:pPr>
              <w:pStyle w:val="nTable"/>
              <w:spacing w:before="26" w:after="24"/>
              <w:rPr>
                <w:snapToGrid w:val="0"/>
              </w:rPr>
            </w:pPr>
            <w:r>
              <w:rPr>
                <w:snapToGrid w:val="0"/>
              </w:rPr>
              <w:t xml:space="preserve">77 of 2006 </w:t>
            </w:r>
          </w:p>
        </w:tc>
        <w:tc>
          <w:tcPr>
            <w:tcW w:w="1139" w:type="dxa"/>
          </w:tcPr>
          <w:p>
            <w:pPr>
              <w:pStyle w:val="nTable"/>
              <w:spacing w:before="26" w:after="24"/>
            </w:pPr>
            <w:r>
              <w:rPr>
                <w:snapToGrid w:val="0"/>
              </w:rPr>
              <w:t>21 Dec 2006</w:t>
            </w:r>
          </w:p>
        </w:tc>
        <w:tc>
          <w:tcPr>
            <w:tcW w:w="2575" w:type="dxa"/>
            <w:gridSpan w:val="2"/>
          </w:tcPr>
          <w:p>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trPr>
          <w:gridBefore w:val="1"/>
          <w:wBefore w:w="7" w:type="dxa"/>
          <w:cantSplit/>
        </w:trPr>
        <w:tc>
          <w:tcPr>
            <w:tcW w:w="7102" w:type="dxa"/>
            <w:gridSpan w:val="7"/>
          </w:tcPr>
          <w:p>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4" w:type="dxa"/>
            <w:gridSpan w:val="2"/>
            <w:tcBorders>
              <w:top w:val="nil"/>
              <w:bottom w:val="nil"/>
            </w:tcBorders>
          </w:tcPr>
          <w:p>
            <w:pPr>
              <w:pStyle w:val="nTable"/>
              <w:spacing w:before="26" w:after="24"/>
            </w:pPr>
            <w:r>
              <w:rPr>
                <w:i/>
                <w:snapToGrid w:val="0"/>
              </w:rPr>
              <w:t>Medical Practitioners Act 2008</w:t>
            </w:r>
            <w:r>
              <w:t xml:space="preserve"> Sch. 3 cl. 26</w:t>
            </w:r>
          </w:p>
        </w:tc>
        <w:tc>
          <w:tcPr>
            <w:tcW w:w="1134" w:type="dxa"/>
            <w:gridSpan w:val="2"/>
            <w:tcBorders>
              <w:top w:val="nil"/>
              <w:bottom w:val="nil"/>
            </w:tcBorders>
          </w:tcPr>
          <w:p>
            <w:pPr>
              <w:pStyle w:val="nTable"/>
              <w:spacing w:before="26" w:after="24"/>
            </w:pPr>
            <w:r>
              <w:t>22 of 2008</w:t>
            </w:r>
          </w:p>
        </w:tc>
        <w:tc>
          <w:tcPr>
            <w:tcW w:w="1139" w:type="dxa"/>
            <w:tcBorders>
              <w:top w:val="nil"/>
              <w:bottom w:val="nil"/>
            </w:tcBorders>
          </w:tcPr>
          <w:p>
            <w:pPr>
              <w:pStyle w:val="nTable"/>
              <w:spacing w:before="26" w:after="24"/>
            </w:pPr>
            <w:r>
              <w:t>27 May 2008</w:t>
            </w:r>
          </w:p>
        </w:tc>
        <w:tc>
          <w:tcPr>
            <w:tcW w:w="2575" w:type="dxa"/>
            <w:gridSpan w:val="2"/>
            <w:tcBorders>
              <w:top w:val="nil"/>
              <w:bottom w:val="nil"/>
            </w:tcBorders>
          </w:tcPr>
          <w:p>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26" w:type="dxa"/>
          <w:cantSplit/>
        </w:trPr>
        <w:tc>
          <w:tcPr>
            <w:tcW w:w="2261" w:type="dxa"/>
            <w:gridSpan w:val="3"/>
          </w:tcPr>
          <w:p>
            <w:pPr>
              <w:pStyle w:val="nTable"/>
              <w:spacing w:before="26" w:after="24"/>
              <w:ind w:right="113"/>
              <w:rPr>
                <w:iCs/>
              </w:rPr>
            </w:pPr>
            <w:r>
              <w:rPr>
                <w:i/>
              </w:rPr>
              <w:t>Statutes (Repeals and Miscellaneous Amendments) Act 2009</w:t>
            </w:r>
            <w:r>
              <w:rPr>
                <w:iCs/>
              </w:rPr>
              <w:t xml:space="preserve"> s. 73</w:t>
            </w:r>
          </w:p>
        </w:tc>
        <w:tc>
          <w:tcPr>
            <w:tcW w:w="1134" w:type="dxa"/>
            <w:gridSpan w:val="2"/>
          </w:tcPr>
          <w:p>
            <w:pPr>
              <w:pStyle w:val="nTable"/>
              <w:spacing w:before="26" w:after="24"/>
            </w:pPr>
            <w:r>
              <w:t xml:space="preserve">8 of 2009 </w:t>
            </w:r>
          </w:p>
        </w:tc>
        <w:tc>
          <w:tcPr>
            <w:tcW w:w="1139" w:type="dxa"/>
          </w:tcPr>
          <w:p>
            <w:pPr>
              <w:pStyle w:val="nTable"/>
              <w:spacing w:before="26" w:after="24"/>
            </w:pPr>
            <w:r>
              <w:t>21 May 2009</w:t>
            </w:r>
          </w:p>
        </w:tc>
        <w:tc>
          <w:tcPr>
            <w:tcW w:w="2549" w:type="dxa"/>
          </w:tcPr>
          <w:p>
            <w:pPr>
              <w:pStyle w:val="nTable"/>
              <w:spacing w:before="26" w:after="24"/>
            </w:pPr>
            <w:r>
              <w:t>22 May 2009 (see s. 2(b))</w:t>
            </w:r>
          </w:p>
        </w:tc>
      </w:tr>
      <w:tr>
        <w:trPr>
          <w:gridAfter w:val="1"/>
          <w:wAfter w:w="26" w:type="dxa"/>
          <w:cantSplit/>
        </w:trPr>
        <w:tc>
          <w:tcPr>
            <w:tcW w:w="2261" w:type="dxa"/>
            <w:gridSpan w:val="3"/>
          </w:tcPr>
          <w:p>
            <w:pPr>
              <w:pStyle w:val="nTable"/>
              <w:spacing w:before="26" w:after="24"/>
              <w:rPr>
                <w:iCs/>
                <w:snapToGrid w:val="0"/>
              </w:rPr>
            </w:pPr>
            <w:r>
              <w:rPr>
                <w:i/>
                <w:snapToGrid w:val="0"/>
              </w:rPr>
              <w:t>Acts Amendment (Bankruptcy) Act 2009</w:t>
            </w:r>
            <w:r>
              <w:rPr>
                <w:iCs/>
                <w:snapToGrid w:val="0"/>
              </w:rPr>
              <w:t xml:space="preserve"> s. 40</w:t>
            </w:r>
          </w:p>
        </w:tc>
        <w:tc>
          <w:tcPr>
            <w:tcW w:w="1134" w:type="dxa"/>
            <w:gridSpan w:val="2"/>
          </w:tcPr>
          <w:p>
            <w:pPr>
              <w:pStyle w:val="nTable"/>
              <w:spacing w:before="26" w:after="24"/>
            </w:pPr>
            <w:r>
              <w:t>18 of 2009</w:t>
            </w:r>
          </w:p>
        </w:tc>
        <w:tc>
          <w:tcPr>
            <w:tcW w:w="1139" w:type="dxa"/>
          </w:tcPr>
          <w:p>
            <w:pPr>
              <w:pStyle w:val="nTable"/>
              <w:spacing w:before="26" w:after="24"/>
            </w:pPr>
            <w:r>
              <w:t>16 Sep 2009</w:t>
            </w:r>
          </w:p>
        </w:tc>
        <w:tc>
          <w:tcPr>
            <w:tcW w:w="2549" w:type="dxa"/>
          </w:tcPr>
          <w:p>
            <w:pPr>
              <w:pStyle w:val="nTable"/>
              <w:spacing w:before="26" w:after="24"/>
            </w:pPr>
            <w:r>
              <w:t>17 Sep 2009 (see s. 2(b))</w:t>
            </w:r>
          </w:p>
        </w:tc>
      </w:tr>
      <w:tr>
        <w:trPr>
          <w:gridAfter w:val="1"/>
          <w:wAfter w:w="26" w:type="dxa"/>
          <w:cantSplit/>
        </w:trPr>
        <w:tc>
          <w:tcPr>
            <w:tcW w:w="2261" w:type="dxa"/>
            <w:gridSpan w:val="3"/>
          </w:tcPr>
          <w:p>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before="26" w:after="24"/>
              <w:rPr>
                <w:snapToGrid w:val="0"/>
              </w:rPr>
            </w:pPr>
            <w:r>
              <w:rPr>
                <w:snapToGrid w:val="0"/>
              </w:rPr>
              <w:t>19 of 2010</w:t>
            </w:r>
          </w:p>
        </w:tc>
        <w:tc>
          <w:tcPr>
            <w:tcW w:w="1139" w:type="dxa"/>
          </w:tcPr>
          <w:p>
            <w:pPr>
              <w:pStyle w:val="nTable"/>
              <w:spacing w:before="26" w:after="24"/>
              <w:rPr>
                <w:snapToGrid w:val="0"/>
              </w:rPr>
            </w:pPr>
            <w:r>
              <w:rPr>
                <w:snapToGrid w:val="0"/>
              </w:rPr>
              <w:t>28 Jun 2010</w:t>
            </w:r>
          </w:p>
        </w:tc>
        <w:tc>
          <w:tcPr>
            <w:tcW w:w="2549" w:type="dxa"/>
          </w:tcPr>
          <w:p>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1" w:type="dxa"/>
            <w:gridSpan w:val="3"/>
          </w:tcPr>
          <w:p>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gridSpan w:val="2"/>
          </w:tcPr>
          <w:p>
            <w:pPr>
              <w:pStyle w:val="nTable"/>
              <w:spacing w:before="26" w:after="24"/>
              <w:rPr>
                <w:snapToGrid w:val="0"/>
              </w:rPr>
            </w:pPr>
            <w:r>
              <w:rPr>
                <w:snapToGrid w:val="0"/>
              </w:rPr>
              <w:t>33 of 2010 (as amended by 35 of 2010 s. 83(3))</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6" w:type="dxa"/>
          <w:cantSplit/>
        </w:trPr>
        <w:tc>
          <w:tcPr>
            <w:tcW w:w="2261" w:type="dxa"/>
            <w:gridSpan w:val="3"/>
          </w:tcPr>
          <w:p>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gridSpan w:val="2"/>
          </w:tcPr>
          <w:p>
            <w:pPr>
              <w:pStyle w:val="nTable"/>
              <w:spacing w:before="26" w:after="24"/>
              <w:rPr>
                <w:snapToGrid w:val="0"/>
              </w:rPr>
            </w:pPr>
            <w:r>
              <w:rPr>
                <w:snapToGrid w:val="0"/>
              </w:rPr>
              <w:t>35 of 2010</w:t>
            </w:r>
          </w:p>
        </w:tc>
        <w:tc>
          <w:tcPr>
            <w:tcW w:w="1139" w:type="dxa"/>
          </w:tcPr>
          <w:p>
            <w:pPr>
              <w:pStyle w:val="nTable"/>
              <w:spacing w:before="26" w:after="24"/>
              <w:rPr>
                <w:snapToGrid w:val="0"/>
              </w:rPr>
            </w:pPr>
            <w:r>
              <w:rPr>
                <w:snapToGrid w:val="0"/>
              </w:rPr>
              <w:t>30 Aug 2010</w:t>
            </w:r>
          </w:p>
        </w:tc>
        <w:tc>
          <w:tcPr>
            <w:tcW w:w="2549" w:type="dxa"/>
          </w:tcPr>
          <w:p>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trPr>
          <w:gridAfter w:val="1"/>
          <w:wAfter w:w="26" w:type="dxa"/>
          <w:cantSplit/>
        </w:trPr>
        <w:tc>
          <w:tcPr>
            <w:tcW w:w="2261" w:type="dxa"/>
            <w:gridSpan w:val="3"/>
          </w:tcPr>
          <w:p>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before="26" w:after="24"/>
              <w:rPr>
                <w:snapToGrid w:val="0"/>
              </w:rPr>
            </w:pPr>
            <w:r>
              <w:rPr>
                <w:snapToGrid w:val="0"/>
              </w:rPr>
              <w:t>39 of 2010</w:t>
            </w:r>
          </w:p>
        </w:tc>
        <w:tc>
          <w:tcPr>
            <w:tcW w:w="1139" w:type="dxa"/>
          </w:tcPr>
          <w:p>
            <w:pPr>
              <w:pStyle w:val="nTable"/>
              <w:spacing w:before="26" w:after="24"/>
              <w:rPr>
                <w:snapToGrid w:val="0"/>
              </w:rPr>
            </w:pPr>
            <w:r>
              <w:rPr>
                <w:snapToGrid w:val="0"/>
              </w:rPr>
              <w:t>1 Oct 2010</w:t>
            </w:r>
          </w:p>
        </w:tc>
        <w:tc>
          <w:tcPr>
            <w:tcW w:w="2549" w:type="dxa"/>
          </w:tcPr>
          <w:p>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6" w:type="dxa"/>
          <w:cantSplit/>
        </w:trPr>
        <w:tc>
          <w:tcPr>
            <w:tcW w:w="7083" w:type="dxa"/>
            <w:gridSpan w:val="7"/>
          </w:tcPr>
          <w:p>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13</w:t>
            </w:r>
          </w:p>
        </w:tc>
        <w:tc>
          <w:tcPr>
            <w:tcW w:w="1134" w:type="dxa"/>
            <w:gridSpan w:val="2"/>
            <w:tcBorders>
              <w:top w:val="nil"/>
              <w:bottom w:val="nil"/>
            </w:tcBorders>
          </w:tcPr>
          <w:p>
            <w:pPr>
              <w:pStyle w:val="nTable"/>
              <w:spacing w:after="40"/>
              <w:rPr>
                <w:snapToGrid w:val="0"/>
                <w:lang w:val="en-US"/>
              </w:rPr>
            </w:pPr>
            <w:r>
              <w:rPr>
                <w:snapToGrid w:val="0"/>
                <w:lang w:val="en-US"/>
              </w:rPr>
              <w:t>25 of 2014</w:t>
            </w:r>
          </w:p>
        </w:tc>
        <w:tc>
          <w:tcPr>
            <w:tcW w:w="1148" w:type="dxa"/>
            <w:gridSpan w:val="2"/>
            <w:tcBorders>
              <w:top w:val="nil"/>
              <w:bottom w:val="nil"/>
            </w:tcBorders>
          </w:tcPr>
          <w:p>
            <w:pPr>
              <w:pStyle w:val="nTable"/>
              <w:spacing w:after="40"/>
              <w:rPr>
                <w:snapToGrid w:val="0"/>
                <w:lang w:val="en-US"/>
              </w:rPr>
            </w:pPr>
            <w:r>
              <w:t>3 Nov 2014</w:t>
            </w:r>
          </w:p>
        </w:tc>
        <w:tc>
          <w:tcPr>
            <w:tcW w:w="2549" w:type="dxa"/>
            <w:tcBorders>
              <w:top w:val="nil"/>
              <w:bottom w:val="nil"/>
            </w:tcBorders>
          </w:tcPr>
          <w:p>
            <w:pPr>
              <w:pStyle w:val="nTable"/>
              <w:spacing w:after="40"/>
              <w:rPr>
                <w:snapToGrid w:val="0"/>
                <w:lang w:val="en-US"/>
              </w:rPr>
            </w:pPr>
            <w:r>
              <w:rPr>
                <w:snapToGrid w:val="0"/>
                <w:lang w:val="en-US"/>
              </w:rPr>
              <w:t xml:space="preserve">30 Nov 2015 (see s. 2(b) and </w:t>
            </w:r>
            <w:r>
              <w:rPr>
                <w:i/>
                <w:snapToGrid w:val="0"/>
                <w:lang w:val="en-US"/>
              </w:rPr>
              <w:t>Gazette</w:t>
            </w:r>
            <w:r>
              <w:rPr>
                <w:snapToGrid w:val="0"/>
                <w:lang w:val="en-US"/>
              </w:rPr>
              <w:t xml:space="preserve"> 13 Nov 2015 p. 4632)</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nil"/>
            </w:tcBorders>
          </w:tcPr>
          <w:p>
            <w:pPr>
              <w:pStyle w:val="nTable"/>
              <w:spacing w:after="40"/>
              <w:rPr>
                <w:i/>
              </w:rPr>
            </w:pPr>
            <w:r>
              <w:rPr>
                <w:i/>
                <w:snapToGrid w:val="0"/>
              </w:rPr>
              <w:t>Health Services Act 2016</w:t>
            </w:r>
            <w:r>
              <w:rPr>
                <w:snapToGrid w:val="0"/>
              </w:rPr>
              <w:t xml:space="preserve"> s. 292</w:t>
            </w:r>
          </w:p>
        </w:tc>
        <w:tc>
          <w:tcPr>
            <w:tcW w:w="1134" w:type="dxa"/>
            <w:gridSpan w:val="2"/>
            <w:tcBorders>
              <w:top w:val="nil"/>
              <w:bottom w:val="nil"/>
            </w:tcBorders>
          </w:tcPr>
          <w:p>
            <w:pPr>
              <w:pStyle w:val="nTable"/>
              <w:spacing w:after="40"/>
              <w:rPr>
                <w:snapToGrid w:val="0"/>
                <w:lang w:val="en-US"/>
              </w:rPr>
            </w:pPr>
            <w:r>
              <w:t>11 of 2016</w:t>
            </w:r>
          </w:p>
        </w:tc>
        <w:tc>
          <w:tcPr>
            <w:tcW w:w="1148" w:type="dxa"/>
            <w:gridSpan w:val="2"/>
            <w:tcBorders>
              <w:top w:val="nil"/>
              <w:bottom w:val="nil"/>
            </w:tcBorders>
          </w:tcPr>
          <w:p>
            <w:pPr>
              <w:pStyle w:val="nTable"/>
              <w:spacing w:after="40"/>
            </w:pPr>
            <w:r>
              <w:t>26 May 2016</w:t>
            </w:r>
          </w:p>
        </w:tc>
        <w:tc>
          <w:tcPr>
            <w:tcW w:w="2549" w:type="dxa"/>
            <w:tcBorders>
              <w:top w:val="nil"/>
              <w:bottom w:val="nil"/>
            </w:tcBorders>
          </w:tcPr>
          <w:p>
            <w:pPr>
              <w:pStyle w:val="nTable"/>
              <w:spacing w:after="40"/>
              <w:rPr>
                <w:snapToGrid w:val="0"/>
                <w:lang w:val="en-US"/>
              </w:rPr>
            </w:pPr>
            <w:r>
              <w:rPr>
                <w:snapToGrid w:val="0"/>
                <w:lang w:val="en-US"/>
              </w:rPr>
              <w:t xml:space="preserve">1 Jul 2016 (see s. 2(b) and </w:t>
            </w:r>
            <w:r>
              <w:rPr>
                <w:i/>
                <w:snapToGrid w:val="0"/>
                <w:lang w:val="en-US"/>
              </w:rPr>
              <w:t>Gazette</w:t>
            </w:r>
            <w:r>
              <w:rPr>
                <w:snapToGrid w:val="0"/>
                <w:lang w:val="en-US"/>
              </w:rPr>
              <w:t xml:space="preserve"> 24 Jun 2016 p. 2291)</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6" w:type="dxa"/>
        </w:trPr>
        <w:tc>
          <w:tcPr>
            <w:tcW w:w="2252" w:type="dxa"/>
            <w:gridSpan w:val="2"/>
            <w:tcBorders>
              <w:top w:val="nil"/>
              <w:bottom w:val="single" w:sz="4" w:space="0" w:color="auto"/>
            </w:tcBorders>
          </w:tcPr>
          <w:p>
            <w:pPr>
              <w:pStyle w:val="nTable"/>
              <w:spacing w:after="40"/>
              <w:rPr>
                <w:i/>
                <w:snapToGrid w:val="0"/>
              </w:rPr>
            </w:pPr>
            <w:r>
              <w:rPr>
                <w:i/>
              </w:rPr>
              <w:t>Health Practitioner Regulation National Law (WA) Amendment Act 2018</w:t>
            </w:r>
            <w:r>
              <w:t xml:space="preserve"> s. 112</w:t>
            </w:r>
          </w:p>
        </w:tc>
        <w:tc>
          <w:tcPr>
            <w:tcW w:w="1134" w:type="dxa"/>
            <w:gridSpan w:val="2"/>
            <w:tcBorders>
              <w:top w:val="nil"/>
              <w:bottom w:val="single" w:sz="4" w:space="0" w:color="auto"/>
            </w:tcBorders>
          </w:tcPr>
          <w:p>
            <w:pPr>
              <w:pStyle w:val="nTable"/>
              <w:spacing w:after="40"/>
            </w:pPr>
            <w:r>
              <w:t>4 of 2018</w:t>
            </w:r>
          </w:p>
        </w:tc>
        <w:tc>
          <w:tcPr>
            <w:tcW w:w="1148" w:type="dxa"/>
            <w:gridSpan w:val="2"/>
            <w:tcBorders>
              <w:top w:val="nil"/>
              <w:bottom w:val="single" w:sz="4" w:space="0" w:color="auto"/>
            </w:tcBorders>
          </w:tcPr>
          <w:p>
            <w:pPr>
              <w:pStyle w:val="nTable"/>
              <w:spacing w:after="40"/>
            </w:pPr>
            <w:r>
              <w:t>19 Apr 2018</w:t>
            </w:r>
          </w:p>
        </w:tc>
        <w:tc>
          <w:tcPr>
            <w:tcW w:w="2549" w:type="dxa"/>
            <w:tcBorders>
              <w:top w:val="nil"/>
              <w:bottom w:val="single" w:sz="4" w:space="0" w:color="auto"/>
            </w:tcBorders>
          </w:tcPr>
          <w:p>
            <w:pPr>
              <w:pStyle w:val="nTable"/>
              <w:spacing w:after="40"/>
              <w:rPr>
                <w:snapToGrid w:val="0"/>
                <w:lang w:val="en-US"/>
              </w:rPr>
            </w:pPr>
            <w:r>
              <w:t xml:space="preserve">1 Dec 2018 (see s. 2(d) and </w:t>
            </w:r>
            <w:r>
              <w:rPr>
                <w:i/>
              </w:rPr>
              <w:t>Gazette</w:t>
            </w:r>
            <w:r>
              <w:t xml:space="preserve"> 13 Nov 2018 p. 4427</w:t>
            </w:r>
            <w:r>
              <w:noBreakHyphen/>
              <w:t>8)</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9" w:name="_Toc531178265"/>
      <w:r>
        <w:rPr>
          <w:snapToGrid w:val="0"/>
        </w:rPr>
        <w:t>Provisions that have not come into operation</w:t>
      </w:r>
      <w:bookmarkEnd w:id="209"/>
    </w:p>
    <w:tbl>
      <w:tblPr>
        <w:tblW w:w="7087" w:type="dxa"/>
        <w:tblInd w:w="56" w:type="dxa"/>
        <w:tblLayout w:type="fixed"/>
        <w:tblCellMar>
          <w:left w:w="56" w:type="dxa"/>
          <w:right w:w="56" w:type="dxa"/>
        </w:tblCellMar>
        <w:tblLook w:val="0000" w:firstRow="0" w:lastRow="0" w:firstColumn="0" w:lastColumn="0" w:noHBand="0" w:noVBand="0"/>
      </w:tblPr>
      <w:tblGrid>
        <w:gridCol w:w="2267"/>
        <w:gridCol w:w="1135"/>
        <w:gridCol w:w="1135"/>
        <w:gridCol w:w="2550"/>
      </w:tblGrid>
      <w:tr>
        <w:trPr>
          <w:cantSplit/>
          <w:tblHeader/>
        </w:trPr>
        <w:tc>
          <w:tcPr>
            <w:tcW w:w="2267" w:type="dxa"/>
            <w:tcBorders>
              <w:top w:val="single" w:sz="8" w:space="0" w:color="auto"/>
              <w:bottom w:val="single" w:sz="4" w:space="0" w:color="auto"/>
            </w:tcBorders>
          </w:tcPr>
          <w:p>
            <w:pPr>
              <w:pStyle w:val="nTable"/>
              <w:keepNext/>
              <w:spacing w:after="40"/>
              <w:ind w:right="113"/>
              <w:rPr>
                <w:b/>
              </w:rPr>
            </w:pPr>
            <w:r>
              <w:rPr>
                <w:b/>
              </w:rPr>
              <w:t>Short title</w:t>
            </w:r>
          </w:p>
        </w:tc>
        <w:tc>
          <w:tcPr>
            <w:tcW w:w="1135"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0"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67" w:type="dxa"/>
            <w:tcBorders>
              <w:top w:val="single" w:sz="4" w:space="0" w:color="auto"/>
              <w:bottom w:val="single" w:sz="4" w:space="0" w:color="auto"/>
            </w:tcBorders>
          </w:tcPr>
          <w:p>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 </w:t>
            </w:r>
            <w:r>
              <w:rPr>
                <w:vertAlign w:val="superscript"/>
              </w:rPr>
              <w:t>6</w:t>
            </w:r>
          </w:p>
        </w:tc>
        <w:tc>
          <w:tcPr>
            <w:tcW w:w="1135" w:type="dxa"/>
            <w:tcBorders>
              <w:top w:val="single" w:sz="4" w:space="0" w:color="auto"/>
              <w:bottom w:val="single" w:sz="4" w:space="0" w:color="auto"/>
            </w:tcBorders>
          </w:tcPr>
          <w:p>
            <w:pPr>
              <w:pStyle w:val="nTable"/>
              <w:spacing w:after="40"/>
            </w:pPr>
            <w:r>
              <w:t>43 of 2000</w:t>
            </w:r>
          </w:p>
        </w:tc>
        <w:tc>
          <w:tcPr>
            <w:tcW w:w="1135" w:type="dxa"/>
            <w:tcBorders>
              <w:top w:val="single" w:sz="4" w:space="0" w:color="auto"/>
              <w:bottom w:val="single" w:sz="4" w:space="0" w:color="auto"/>
            </w:tcBorders>
          </w:tcPr>
          <w:p>
            <w:pPr>
              <w:pStyle w:val="nTable"/>
              <w:spacing w:after="40"/>
            </w:pPr>
            <w:r>
              <w:t>2 Nov 2000</w:t>
            </w:r>
          </w:p>
        </w:tc>
        <w:tc>
          <w:tcPr>
            <w:tcW w:w="2550" w:type="dxa"/>
            <w:tcBorders>
              <w:top w:val="single" w:sz="4" w:space="0" w:color="auto"/>
              <w:bottom w:val="single" w:sz="4" w:space="0" w:color="auto"/>
            </w:tcBorders>
          </w:tcPr>
          <w:p>
            <w:pPr>
              <w:pStyle w:val="nTable"/>
              <w:spacing w:after="40"/>
            </w:pPr>
            <w:r>
              <w:t>To be proclaimed (see s. 2(2))</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Subsection"/>
        <w:keepNext/>
        <w:keepLines/>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keepNext/>
        <w:rPr>
          <w:snapToGrid w:val="0"/>
        </w:rPr>
      </w:pPr>
      <w:r>
        <w:rPr>
          <w:snapToGrid w:val="0"/>
          <w:vertAlign w:val="superscript"/>
        </w:rPr>
        <w:t>6</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BlankOpen"/>
        <w:rPr>
          <w:snapToGrid w:val="0"/>
        </w:rPr>
      </w:pP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BlankClose"/>
        <w:rPr>
          <w:snapToGrid w:val="0"/>
        </w:rPr>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211" w:name="_Toc435776511"/>
      <w:bookmarkStart w:id="212" w:name="_Toc435776616"/>
      <w:bookmarkStart w:id="213" w:name="_Toc435776881"/>
      <w:bookmarkStart w:id="214" w:name="_Toc436059448"/>
      <w:bookmarkStart w:id="215" w:name="_Toc452545375"/>
      <w:bookmarkStart w:id="216" w:name="_Toc455413027"/>
      <w:bookmarkStart w:id="217" w:name="_Toc512323916"/>
      <w:bookmarkStart w:id="218" w:name="_Toc531178266"/>
      <w:r>
        <w:rPr>
          <w:sz w:val="28"/>
        </w:rPr>
        <w:t>Defined terms</w:t>
      </w:r>
      <w:bookmarkEnd w:id="211"/>
      <w:bookmarkEnd w:id="212"/>
      <w:bookmarkEnd w:id="213"/>
      <w:bookmarkEnd w:id="214"/>
      <w:bookmarkEnd w:id="215"/>
      <w:bookmarkEnd w:id="216"/>
      <w:bookmarkEnd w:id="217"/>
      <w:bookmarkEnd w:id="2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carer</w:t>
      </w:r>
      <w:r>
        <w:tab/>
        <w:t>3(1)</w:t>
      </w:r>
    </w:p>
    <w:p>
      <w:pPr>
        <w:pStyle w:val="DefinedTerms"/>
      </w:pPr>
      <w:r>
        <w:t>conciliator</w:t>
      </w:r>
      <w:r>
        <w:tab/>
        <w:t>3(1)</w:t>
      </w:r>
    </w:p>
    <w:p>
      <w:pPr>
        <w:pStyle w:val="DefinedTerms"/>
      </w:pPr>
      <w:r>
        <w:t>Director</w:t>
      </w:r>
      <w:r>
        <w:tab/>
        <w:t>3(1)</w:t>
      </w:r>
    </w:p>
    <w:p>
      <w:pPr>
        <w:pStyle w:val="DefinedTerms"/>
      </w:pPr>
      <w:r>
        <w:t>document</w:t>
      </w:r>
      <w:r>
        <w:tab/>
        <w:t>12(5)</w:t>
      </w:r>
    </w:p>
    <w:p>
      <w:pPr>
        <w:pStyle w:val="DefinedTerms"/>
      </w:pPr>
      <w:r>
        <w:t>excluded service</w:t>
      </w:r>
      <w:r>
        <w:tab/>
        <w:t>3(1)</w:t>
      </w:r>
    </w:p>
    <w:p>
      <w:pPr>
        <w:pStyle w:val="DefinedTerms"/>
      </w:pPr>
      <w:r>
        <w:t>functions of the Director</w:t>
      </w:r>
      <w:r>
        <w:tab/>
        <w:t>11(4)</w:t>
      </w:r>
    </w:p>
    <w:p>
      <w:pPr>
        <w:pStyle w:val="DefinedTerms"/>
      </w:pPr>
      <w:r>
        <w:t>Health Department</w:t>
      </w:r>
      <w:r>
        <w:tab/>
        <w:t>3(1)</w:t>
      </w:r>
    </w:p>
    <w:p>
      <w:pPr>
        <w:pStyle w:val="DefinedTerms"/>
      </w:pPr>
      <w:r>
        <w:t>health service</w:t>
      </w:r>
      <w:r>
        <w:tab/>
        <w:t>3(1)</w:t>
      </w:r>
    </w:p>
    <w:p>
      <w:pPr>
        <w:pStyle w:val="DefinedTerms"/>
      </w:pPr>
      <w:r>
        <w:t>industrial tribunal</w:t>
      </w:r>
      <w:r>
        <w:tab/>
        <w:t>3(1)</w:t>
      </w:r>
    </w:p>
    <w:p>
      <w:pPr>
        <w:pStyle w:val="DefinedTerms"/>
      </w:pPr>
      <w:r>
        <w:t>information</w:t>
      </w:r>
      <w:r>
        <w:tab/>
        <w:t>12(5)</w:t>
      </w:r>
    </w:p>
    <w:p>
      <w:pPr>
        <w:pStyle w:val="DefinedTerms"/>
      </w:pPr>
      <w:r>
        <w:t>manager</w:t>
      </w:r>
      <w:r>
        <w:tab/>
        <w:t>25(2)</w:t>
      </w:r>
    </w:p>
    <w:p>
      <w:pPr>
        <w:pStyle w:val="DefinedTerms"/>
      </w:pPr>
      <w:r>
        <w:t xml:space="preserve">member of the staff </w:t>
      </w:r>
      <w:r>
        <w:tab/>
        <w:t>3(1)</w:t>
      </w:r>
    </w:p>
    <w:p>
      <w:pPr>
        <w:pStyle w:val="DefinedTerms"/>
      </w:pPr>
      <w:r>
        <w:t>misbehaviour</w:t>
      </w:r>
      <w:r>
        <w:tab/>
        <w:t>Sch. 2 cl. 5(2)</w:t>
      </w:r>
    </w:p>
    <w:p>
      <w:pPr>
        <w:pStyle w:val="DefinedTerms"/>
      </w:pPr>
      <w:r>
        <w:t>Office</w:t>
      </w:r>
      <w:r>
        <w:tab/>
        <w:t>3(1)</w:t>
      </w:r>
    </w:p>
    <w:p>
      <w:pPr>
        <w:pStyle w:val="DefinedTerms"/>
      </w:pPr>
      <w:r>
        <w:t>person’s representative</w:t>
      </w:r>
      <w:r>
        <w:tab/>
        <w:t>67(2)</w:t>
      </w:r>
    </w:p>
    <w:p>
      <w:pPr>
        <w:pStyle w:val="DefinedTerms"/>
      </w:pPr>
      <w:r>
        <w:t>provide</w:t>
      </w:r>
      <w:r>
        <w:tab/>
        <w:t>3(1)</w:t>
      </w:r>
    </w:p>
    <w:p>
      <w:pPr>
        <w:pStyle w:val="DefinedTerms"/>
      </w:pPr>
      <w:r>
        <w:t>provider</w:t>
      </w:r>
      <w:r>
        <w:tab/>
        <w:t>3(1)</w:t>
      </w:r>
    </w:p>
    <w:p>
      <w:pPr>
        <w:pStyle w:val="DefinedTerms"/>
      </w:pPr>
      <w:r>
        <w:t>public provider</w:t>
      </w:r>
      <w:r>
        <w:tab/>
        <w:t>3(1)</w:t>
      </w:r>
    </w:p>
    <w:p>
      <w:pPr>
        <w:pStyle w:val="DefinedTerms"/>
      </w:pPr>
      <w:r>
        <w:t>registered provider</w:t>
      </w:r>
      <w:r>
        <w:tab/>
        <w:t>3(1)</w:t>
      </w:r>
    </w:p>
    <w:p>
      <w:pPr>
        <w:pStyle w:val="DefinedTerms"/>
      </w:pPr>
      <w:r>
        <w:t>registration board</w:t>
      </w:r>
      <w:r>
        <w:tab/>
        <w:t>3(1)</w:t>
      </w:r>
    </w:p>
    <w:p>
      <w:pPr>
        <w:pStyle w:val="DefinedTerms"/>
      </w:pPr>
      <w:r>
        <w:t>relative</w:t>
      </w:r>
      <w:r>
        <w:tab/>
        <w:t>20(4)</w:t>
      </w:r>
    </w:p>
    <w:p>
      <w:pPr>
        <w:pStyle w:val="DefinedTerms"/>
      </w:pPr>
      <w:r>
        <w:t>user</w:t>
      </w:r>
      <w:r>
        <w:tab/>
        <w:t>3(1)</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rPr>
          <w:i/>
        </w:rPr>
      </w:pPr>
    </w:p>
    <w:p/>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Health and Disability Services (Complaints) Act 1995</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9" w:name="DefinedTerms"/>
    <w:bookmarkEnd w:id="21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0" w:name="Coversheet"/>
    <w:bookmarkEnd w:id="2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lvlText w:val="%1."/>
      <w:lvlJc w:val="left"/>
      <w:pPr>
        <w:tabs>
          <w:tab w:val="num" w:pos="1492"/>
        </w:tabs>
        <w:ind w:left="1492" w:hanging="360"/>
      </w:pPr>
    </w:lvl>
  </w:abstractNum>
  <w:abstractNum w:abstractNumId="1">
    <w:nsid w:val="FFFFFF7D"/>
    <w:multiLevelType w:val="singleLevel"/>
    <w:tmpl w:val="CC3EFB9A"/>
    <w:lvl w:ilvl="0">
      <w:start w:val="1"/>
      <w:numFmt w:val="decimal"/>
      <w:lvlText w:val="%1."/>
      <w:lvlJc w:val="left"/>
      <w:pPr>
        <w:tabs>
          <w:tab w:val="num" w:pos="1209"/>
        </w:tabs>
        <w:ind w:left="1209" w:hanging="360"/>
      </w:pPr>
    </w:lvl>
  </w:abstractNum>
  <w:abstractNum w:abstractNumId="2">
    <w:nsid w:val="FFFFFF7E"/>
    <w:multiLevelType w:val="singleLevel"/>
    <w:tmpl w:val="7D0E226C"/>
    <w:lvl w:ilvl="0">
      <w:start w:val="1"/>
      <w:numFmt w:val="decimal"/>
      <w:lvlText w:val="%1."/>
      <w:lvlJc w:val="left"/>
      <w:pPr>
        <w:tabs>
          <w:tab w:val="num" w:pos="926"/>
        </w:tabs>
        <w:ind w:left="926" w:hanging="360"/>
      </w:pPr>
    </w:lvl>
  </w:abstractNum>
  <w:abstractNum w:abstractNumId="3">
    <w:nsid w:val="FFFFFF7F"/>
    <w:multiLevelType w:val="singleLevel"/>
    <w:tmpl w:val="D124E5E8"/>
    <w:lvl w:ilvl="0">
      <w:start w:val="1"/>
      <w:numFmt w:val="decimal"/>
      <w:lvlText w:val="%1."/>
      <w:lvlJc w:val="left"/>
      <w:pPr>
        <w:tabs>
          <w:tab w:val="num" w:pos="643"/>
        </w:tabs>
        <w:ind w:left="643" w:hanging="360"/>
      </w:pPr>
    </w:lvl>
  </w:abstractNum>
  <w:abstractNum w:abstractNumId="4">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lvlText w:val="%1."/>
      <w:lvlJc w:val="left"/>
      <w:pPr>
        <w:tabs>
          <w:tab w:val="num" w:pos="360"/>
        </w:tabs>
        <w:ind w:left="360" w:hanging="360"/>
      </w:pPr>
    </w:lvl>
  </w:abstractNum>
  <w:abstractNum w:abstractNumId="9">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837"/>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13862</Words>
  <Characters>65709</Characters>
  <Application>Microsoft Office Word</Application>
  <DocSecurity>0</DocSecurity>
  <Lines>1932</Lines>
  <Paragraphs>1224</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78347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1995 - 04-h0-01</dc:title>
  <dc:subject/>
  <dc:creator/>
  <cp:keywords/>
  <dc:description/>
  <cp:lastModifiedBy>svcMRProcess</cp:lastModifiedBy>
  <cp:revision>4</cp:revision>
  <cp:lastPrinted>2011-01-11T00:45:00Z</cp:lastPrinted>
  <dcterms:created xsi:type="dcterms:W3CDTF">2019-01-22T01:43:00Z</dcterms:created>
  <dcterms:modified xsi:type="dcterms:W3CDTF">2019-01-22T01:43:00Z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DocumentType">
    <vt:lpwstr>Act</vt:lpwstr>
  </property>
  <property fmtid="{D5CDD505-2E9C-101B-9397-08002B2CF9AE}" pid="4" name="OwlsUID">
    <vt:i4>345</vt:i4>
  </property>
  <property fmtid="{D5CDD505-2E9C-101B-9397-08002B2CF9AE}" pid="5" name="ReprintNo">
    <vt:lpwstr>4</vt:lpwstr>
  </property>
  <property fmtid="{D5CDD505-2E9C-101B-9397-08002B2CF9AE}" pid="6" name="ReprintedAsAt">
    <vt:filetime>2011-01-06T16:00:00Z</vt:filetime>
  </property>
  <property fmtid="{D5CDD505-2E9C-101B-9397-08002B2CF9AE}" pid="7" name="AsAtDate">
    <vt:lpwstr>01 Dec 2018</vt:lpwstr>
  </property>
  <property fmtid="{D5CDD505-2E9C-101B-9397-08002B2CF9AE}" pid="8" name="Suffix">
    <vt:lpwstr>04-h0-01</vt:lpwstr>
  </property>
  <property fmtid="{D5CDD505-2E9C-101B-9397-08002B2CF9AE}" pid="9" name="CommencementDate">
    <vt:lpwstr>20181201</vt:lpwstr>
  </property>
</Properties>
</file>