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Radiation Safety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Radiation Safety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_Toc531182086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_Toc531182087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_Toc531182088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of this Act, and exemptions</w:t>
      </w:r>
      <w:r>
        <w:tab/>
      </w:r>
      <w:r>
        <w:fldChar w:fldCharType="begin"/>
      </w:r>
      <w:r>
        <w:instrText xml:space="preserve"> PAGEREF _Toc531182089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Crown bound</w:t>
      </w:r>
      <w:r>
        <w:tab/>
      </w:r>
      <w:r>
        <w:fldChar w:fldCharType="begin"/>
      </w:r>
      <w:r>
        <w:instrText xml:space="preserve"> PAGEREF _Toc531182090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_Toc531182091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Civil remedies</w:t>
      </w:r>
      <w:r>
        <w:tab/>
      </w:r>
      <w:r>
        <w:fldChar w:fldCharType="begin"/>
      </w:r>
      <w:r>
        <w:instrText xml:space="preserve"> PAGEREF _Toc531182092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Administrative provisions</w:t>
      </w:r>
    </w:p>
    <w:p>
      <w:pPr>
        <w:pStyle w:val="TOC8"/>
        <w:rPr>
          <w:rFonts w:asciiTheme="minorHAnsi" w:eastAsiaTheme="minorEastAsia" w:hAnsiTheme="minorHAnsi" w:cstheme="minorBidi"/>
          <w:szCs w:val="22"/>
        </w:rPr>
      </w:pPr>
      <w:r>
        <w:t>10</w:t>
      </w:r>
      <w:r>
        <w:rPr>
          <w:snapToGrid w:val="0"/>
        </w:rPr>
        <w:t>.</w:t>
      </w:r>
      <w:r>
        <w:rPr>
          <w:snapToGrid w:val="0"/>
        </w:rPr>
        <w:tab/>
        <w:t>Duty of Minister and administrative arrangements</w:t>
      </w:r>
      <w:r>
        <w:tab/>
      </w:r>
      <w:r>
        <w:fldChar w:fldCharType="begin"/>
      </w:r>
      <w:r>
        <w:instrText xml:space="preserve"> PAGEREF _Toc531182094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Further functions of the Council</w:t>
      </w:r>
      <w:r>
        <w:tab/>
      </w:r>
      <w:r>
        <w:fldChar w:fldCharType="begin"/>
      </w:r>
      <w:r>
        <w:instrText xml:space="preserve"> PAGEREF _Toc531182095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Reviews</w:t>
      </w:r>
      <w:r>
        <w:tab/>
      </w:r>
      <w:r>
        <w:fldChar w:fldCharType="begin"/>
      </w:r>
      <w:r>
        <w:instrText xml:space="preserve"> PAGEREF _Toc531182096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Radiological Council</w:t>
      </w:r>
      <w:r>
        <w:tab/>
      </w:r>
      <w:r>
        <w:fldChar w:fldCharType="begin"/>
      </w:r>
      <w:r>
        <w:instrText xml:space="preserve"> PAGEREF _Toc531182097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Tenure of office</w:t>
      </w:r>
      <w:r>
        <w:tab/>
      </w:r>
      <w:r>
        <w:fldChar w:fldCharType="begin"/>
      </w:r>
      <w:r>
        <w:instrText xml:space="preserve"> PAGEREF _Toc531182098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Deputies and casual vacancies</w:t>
      </w:r>
      <w:r>
        <w:tab/>
      </w:r>
      <w:r>
        <w:fldChar w:fldCharType="begin"/>
      </w:r>
      <w:r>
        <w:instrText xml:space="preserve"> PAGEREF _Toc531182099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Proceedings</w:t>
      </w:r>
      <w:r>
        <w:tab/>
      </w:r>
      <w:r>
        <w:fldChar w:fldCharType="begin"/>
      </w:r>
      <w:r>
        <w:instrText xml:space="preserve"> PAGEREF _Toc531182100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w:t>
      </w:r>
      <w:r>
        <w:rPr>
          <w:snapToGrid w:val="0"/>
        </w:rPr>
        <w:noBreakHyphen/>
        <w:t>option and consultants</w:t>
      </w:r>
      <w:r>
        <w:tab/>
      </w:r>
      <w:r>
        <w:fldChar w:fldCharType="begin"/>
      </w:r>
      <w:r>
        <w:instrText xml:space="preserve"> PAGEREF _Toc531182101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w:t>
      </w:r>
      <w:r>
        <w:tab/>
      </w:r>
      <w:r>
        <w:fldChar w:fldCharType="begin"/>
      </w:r>
      <w:r>
        <w:instrText xml:space="preserve"> PAGEREF _Toc531182102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Committees</w:t>
      </w:r>
      <w:r>
        <w:tab/>
      </w:r>
      <w:r>
        <w:fldChar w:fldCharType="begin"/>
      </w:r>
      <w:r>
        <w:instrText xml:space="preserve"> PAGEREF _Toc531182103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Restriction on remuneration</w:t>
      </w:r>
      <w:r>
        <w:tab/>
      </w:r>
      <w:r>
        <w:fldChar w:fldCharType="begin"/>
      </w:r>
      <w:r>
        <w:instrText xml:space="preserve"> PAGEREF _Toc531182104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Transfer of property</w:t>
      </w:r>
      <w:r>
        <w:tab/>
      </w:r>
      <w:r>
        <w:fldChar w:fldCharType="begin"/>
      </w:r>
      <w:r>
        <w:instrText xml:space="preserve"> PAGEREF _Toc531182105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Annual report of Council etc.</w:t>
      </w:r>
      <w:r>
        <w:tab/>
      </w:r>
      <w:r>
        <w:fldChar w:fldCharType="begin"/>
      </w:r>
      <w:r>
        <w:instrText xml:space="preserve"> PAGEREF _Toc531182106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Disputes with governmental bodies</w:t>
      </w:r>
      <w:r>
        <w:tab/>
      </w:r>
      <w:r>
        <w:fldChar w:fldCharType="begin"/>
      </w:r>
      <w:r>
        <w:instrText xml:space="preserve"> PAGEREF _Toc531182107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Actions, claims and demands</w:t>
      </w:r>
      <w:r>
        <w:tab/>
      </w:r>
      <w:r>
        <w:fldChar w:fldCharType="begin"/>
      </w:r>
      <w:r>
        <w:instrText xml:space="preserve"> PAGEREF _Toc531182108 \h </w:instrText>
      </w:r>
      <w:r>
        <w:fldChar w:fldCharType="separate"/>
      </w:r>
      <w:r>
        <w:t>16</w:t>
      </w:r>
      <w:r>
        <w:fldChar w:fldCharType="end"/>
      </w:r>
    </w:p>
    <w:p>
      <w:pPr>
        <w:pStyle w:val="TOC8"/>
        <w:rPr>
          <w:rFonts w:asciiTheme="minorHAnsi" w:eastAsiaTheme="minorEastAsia" w:hAnsiTheme="minorHAnsi" w:cstheme="minorBidi"/>
          <w:szCs w:val="22"/>
        </w:rPr>
      </w:pPr>
      <w:r>
        <w:t>24A.</w:t>
      </w:r>
      <w:r>
        <w:tab/>
      </w:r>
      <w:r>
        <w:rPr>
          <w:bCs/>
        </w:rPr>
        <w:t>Disclosure of information to the Medical Radiation Practice Board of Australia</w:t>
      </w:r>
      <w:r>
        <w:tab/>
      </w:r>
      <w:r>
        <w:fldChar w:fldCharType="begin"/>
      </w:r>
      <w:r>
        <w:instrText xml:space="preserve"> PAGEREF _Toc531182109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and registration</w:t>
      </w:r>
    </w:p>
    <w:p>
      <w:pPr>
        <w:pStyle w:val="TOC8"/>
        <w:rPr>
          <w:rFonts w:asciiTheme="minorHAnsi" w:eastAsiaTheme="minorEastAsia" w:hAnsiTheme="minorHAnsi" w:cstheme="minorBidi"/>
          <w:szCs w:val="22"/>
        </w:rPr>
      </w:pPr>
      <w:r>
        <w:t>25</w:t>
      </w:r>
      <w:r>
        <w:rPr>
          <w:snapToGrid w:val="0"/>
        </w:rPr>
        <w:t>.</w:t>
      </w:r>
      <w:r>
        <w:rPr>
          <w:snapToGrid w:val="0"/>
        </w:rPr>
        <w:tab/>
        <w:t>Matters requiring a licence</w:t>
      </w:r>
      <w:r>
        <w:tab/>
      </w:r>
      <w:r>
        <w:fldChar w:fldCharType="begin"/>
      </w:r>
      <w:r>
        <w:instrText xml:space="preserve"> PAGEREF _Toc531182111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Licensing of persons</w:t>
      </w:r>
      <w:r>
        <w:tab/>
      </w:r>
      <w:r>
        <w:fldChar w:fldCharType="begin"/>
      </w:r>
      <w:r>
        <w:instrText xml:space="preserve"> PAGEREF _Toc531182112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Use of radioactive substances or radiation on persons</w:t>
      </w:r>
      <w:r>
        <w:tab/>
      </w:r>
      <w:r>
        <w:fldChar w:fldCharType="begin"/>
      </w:r>
      <w:r>
        <w:instrText xml:space="preserve"> PAGEREF _Toc531182113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Registration</w:t>
      </w:r>
      <w:r>
        <w:tab/>
      </w:r>
      <w:r>
        <w:fldChar w:fldCharType="begin"/>
      </w:r>
      <w:r>
        <w:instrText xml:space="preserve"> PAGEREF _Toc531182114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Sales and purchases</w:t>
      </w:r>
      <w:r>
        <w:tab/>
      </w:r>
      <w:r>
        <w:fldChar w:fldCharType="begin"/>
      </w:r>
      <w:r>
        <w:instrText xml:space="preserve"> PAGEREF _Toc531182115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Registration of defective premises, apparatus or products prohibited</w:t>
      </w:r>
      <w:r>
        <w:tab/>
      </w:r>
      <w:r>
        <w:fldChar w:fldCharType="begin"/>
      </w:r>
      <w:r>
        <w:instrText xml:space="preserve"> PAGEREF _Toc531182116 \h </w:instrText>
      </w:r>
      <w:r>
        <w:fldChar w:fldCharType="separate"/>
      </w:r>
      <w:r>
        <w:t>24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potentially dangerous articles</w:t>
      </w:r>
      <w:r>
        <w:tab/>
      </w:r>
      <w:r>
        <w:fldChar w:fldCharType="begin"/>
      </w:r>
      <w:r>
        <w:instrText xml:space="preserve"> PAGEREF _Toc531182117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Refusal of licence, exemption or registration</w:t>
      </w:r>
      <w:r>
        <w:tab/>
      </w:r>
      <w:r>
        <w:fldChar w:fldCharType="begin"/>
      </w:r>
      <w:r>
        <w:instrText xml:space="preserve"> PAGEREF _Toc531182118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Licences and registration</w:t>
      </w:r>
      <w:r>
        <w:tab/>
      </w:r>
      <w:r>
        <w:fldChar w:fldCharType="begin"/>
      </w:r>
      <w:r>
        <w:instrText xml:space="preserve"> PAGEREF _Toc531182119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Disposal permits</w:t>
      </w:r>
      <w:r>
        <w:tab/>
      </w:r>
      <w:r>
        <w:fldChar w:fldCharType="begin"/>
      </w:r>
      <w:r>
        <w:instrText xml:space="preserve"> PAGEREF _Toc531182120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Temporary permits</w:t>
      </w:r>
      <w:r>
        <w:tab/>
      </w:r>
      <w:r>
        <w:fldChar w:fldCharType="begin"/>
      </w:r>
      <w:r>
        <w:instrText xml:space="preserve"> PAGEREF _Toc531182121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Conditions, restrictions and limitations on, and revocation or suspension of, licences, exemptions, and registrations</w:t>
      </w:r>
      <w:r>
        <w:tab/>
      </w:r>
      <w:r>
        <w:fldChar w:fldCharType="begin"/>
      </w:r>
      <w:r>
        <w:instrText xml:space="preserve"> PAGEREF _Toc531182122 \h </w:instrText>
      </w:r>
      <w:r>
        <w:fldChar w:fldCharType="separate"/>
      </w:r>
      <w:r>
        <w:t>28</w:t>
      </w:r>
      <w:r>
        <w:fldChar w:fldCharType="end"/>
      </w:r>
    </w:p>
    <w:p>
      <w:pPr>
        <w:pStyle w:val="TOC8"/>
        <w:rPr>
          <w:rFonts w:asciiTheme="minorHAnsi" w:eastAsiaTheme="minorEastAsia" w:hAnsiTheme="minorHAnsi" w:cstheme="minorBidi"/>
          <w:szCs w:val="22"/>
        </w:rPr>
      </w:pPr>
      <w:r>
        <w:t>37A.</w:t>
      </w:r>
      <w:r>
        <w:tab/>
        <w:t xml:space="preserve">Conflict or inconsistency between conditions imposed under </w:t>
      </w:r>
      <w:r>
        <w:rPr>
          <w:i/>
          <w:iCs/>
        </w:rPr>
        <w:t>Health Practitioner Regulation National Law (Western Australia)</w:t>
      </w:r>
      <w:r>
        <w:t xml:space="preserve"> and this Act</w:t>
      </w:r>
      <w:r>
        <w:tab/>
      </w:r>
      <w:r>
        <w:fldChar w:fldCharType="begin"/>
      </w:r>
      <w:r>
        <w:instrText xml:space="preserve"> PAGEREF _Toc531182123 \h </w:instrText>
      </w:r>
      <w:r>
        <w:fldChar w:fldCharType="separate"/>
      </w:r>
      <w:r>
        <w:t>30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licences, exemptions and registrations</w:t>
      </w:r>
      <w:r>
        <w:tab/>
      </w:r>
      <w:r>
        <w:fldChar w:fldCharType="begin"/>
      </w:r>
      <w:r>
        <w:instrText xml:space="preserve"> PAGEREF _Toc531182124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Change of circumstances</w:t>
      </w:r>
      <w:r>
        <w:tab/>
      </w:r>
      <w:r>
        <w:fldChar w:fldCharType="begin"/>
      </w:r>
      <w:r>
        <w:instrText xml:space="preserve"> PAGEREF _Toc531182125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Power to obtain information</w:t>
      </w:r>
      <w:r>
        <w:tab/>
      </w:r>
      <w:r>
        <w:fldChar w:fldCharType="begin"/>
      </w:r>
      <w:r>
        <w:instrText xml:space="preserve"> PAGEREF _Toc531182126 \h </w:instrText>
      </w:r>
      <w:r>
        <w:fldChar w:fldCharType="separate"/>
      </w:r>
      <w:r>
        <w:t>31</w:t>
      </w:r>
      <w:r>
        <w:fldChar w:fldCharType="end"/>
      </w:r>
    </w:p>
    <w:p>
      <w:pPr>
        <w:pStyle w:val="TOC8"/>
        <w:rPr>
          <w:rFonts w:asciiTheme="minorHAnsi" w:eastAsiaTheme="minorEastAsia" w:hAnsiTheme="minorHAnsi" w:cstheme="minorBidi"/>
          <w:szCs w:val="22"/>
        </w:rPr>
      </w:pPr>
      <w:r>
        <w:t>40A.</w:t>
      </w:r>
      <w:r>
        <w:tab/>
        <w:t>Notifications to Radiological Council</w:t>
      </w:r>
      <w:r>
        <w:tab/>
      </w:r>
      <w:r>
        <w:fldChar w:fldCharType="begin"/>
      </w:r>
      <w:r>
        <w:instrText xml:space="preserve"> PAGEREF _Toc531182127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Surrender of documents</w:t>
      </w:r>
      <w:r>
        <w:tab/>
      </w:r>
      <w:r>
        <w:fldChar w:fldCharType="begin"/>
      </w:r>
      <w:r>
        <w:instrText xml:space="preserve"> PAGEREF _Toc531182128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Registers</w:t>
      </w:r>
      <w:r>
        <w:tab/>
      </w:r>
      <w:r>
        <w:fldChar w:fldCharType="begin"/>
      </w:r>
      <w:r>
        <w:instrText xml:space="preserve"> PAGEREF _Toc531182129 \h </w:instrText>
      </w:r>
      <w:r>
        <w:fldChar w:fldCharType="separate"/>
      </w:r>
      <w:r>
        <w:t>33</w:t>
      </w:r>
      <w:r>
        <w:fldChar w:fldCharType="end"/>
      </w:r>
    </w:p>
    <w:p>
      <w:pPr>
        <w:pStyle w:val="TOC8"/>
        <w:rPr>
          <w:rFonts w:asciiTheme="minorHAnsi" w:eastAsiaTheme="minorEastAsia" w:hAnsiTheme="minorHAnsi" w:cstheme="minorBidi"/>
          <w:szCs w:val="22"/>
        </w:rPr>
      </w:pPr>
      <w:r>
        <w:t>41A.</w:t>
      </w:r>
      <w:r>
        <w:tab/>
        <w:t>Restriction on authorisation of storage, transportation or disposal of nuclear waste</w:t>
      </w:r>
      <w:r>
        <w:tab/>
      </w:r>
      <w:r>
        <w:fldChar w:fldCharType="begin"/>
      </w:r>
      <w:r>
        <w:instrText xml:space="preserve"> PAGEREF _Toc531182130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 — Enforcement</w:t>
      </w:r>
    </w:p>
    <w:p>
      <w:pPr>
        <w:pStyle w:val="TOC8"/>
        <w:rPr>
          <w:rFonts w:asciiTheme="minorHAnsi" w:eastAsiaTheme="minorEastAsia" w:hAnsiTheme="minorHAnsi" w:cstheme="minorBidi"/>
          <w:szCs w:val="22"/>
        </w:rPr>
      </w:pPr>
      <w:r>
        <w:t>42</w:t>
      </w:r>
      <w:r>
        <w:rPr>
          <w:snapToGrid w:val="0"/>
        </w:rPr>
        <w:t>.</w:t>
      </w:r>
      <w:r>
        <w:rPr>
          <w:snapToGrid w:val="0"/>
        </w:rPr>
        <w:tab/>
        <w:t>Power of entry and inspection</w:t>
      </w:r>
      <w:r>
        <w:tab/>
      </w:r>
      <w:r>
        <w:fldChar w:fldCharType="begin"/>
      </w:r>
      <w:r>
        <w:instrText xml:space="preserve"> PAGEREF _Toc531182132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Warrants</w:t>
      </w:r>
      <w:r>
        <w:tab/>
      </w:r>
      <w:r>
        <w:fldChar w:fldCharType="begin"/>
      </w:r>
      <w:r>
        <w:instrText xml:space="preserve"> PAGEREF _Toc531182133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Inspection procedure</w:t>
      </w:r>
      <w:r>
        <w:tab/>
      </w:r>
      <w:r>
        <w:fldChar w:fldCharType="begin"/>
      </w:r>
      <w:r>
        <w:instrText xml:space="preserve"> PAGEREF _Toc531182134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Owner to assist authorised officer</w:t>
      </w:r>
      <w:r>
        <w:tab/>
      </w:r>
      <w:r>
        <w:fldChar w:fldCharType="begin"/>
      </w:r>
      <w:r>
        <w:instrText xml:space="preserve"> PAGEREF _Toc531182135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to give directions</w:t>
      </w:r>
      <w:r>
        <w:tab/>
      </w:r>
      <w:r>
        <w:fldChar w:fldCharType="begin"/>
      </w:r>
      <w:r>
        <w:instrText xml:space="preserve"> PAGEREF _Toc531182136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vary directions etc.</w:t>
      </w:r>
      <w:r>
        <w:tab/>
      </w:r>
      <w:r>
        <w:fldChar w:fldCharType="begin"/>
      </w:r>
      <w:r>
        <w:instrText xml:space="preserve"> PAGEREF _Toc531182137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Offences as to inspections etc.</w:t>
      </w:r>
      <w:r>
        <w:tab/>
      </w:r>
      <w:r>
        <w:fldChar w:fldCharType="begin"/>
      </w:r>
      <w:r>
        <w:instrText xml:space="preserve"> PAGEREF _Toc531182138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Secrecy</w:t>
      </w:r>
      <w:r>
        <w:tab/>
      </w:r>
      <w:r>
        <w:fldChar w:fldCharType="begin"/>
      </w:r>
      <w:r>
        <w:instrText xml:space="preserve"> PAGEREF _Toc531182139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Availability of records</w:t>
      </w:r>
      <w:r>
        <w:tab/>
      </w:r>
      <w:r>
        <w:fldChar w:fldCharType="begin"/>
      </w:r>
      <w:r>
        <w:instrText xml:space="preserve"> PAGEREF _Toc531182140 \h </w:instrText>
      </w:r>
      <w:r>
        <w:fldChar w:fldCharType="separate"/>
      </w:r>
      <w:r>
        <w:t>41</w:t>
      </w:r>
      <w:r>
        <w:fldChar w:fldCharType="end"/>
      </w:r>
    </w:p>
    <w:p>
      <w:pPr>
        <w:pStyle w:val="TOC8"/>
        <w:rPr>
          <w:rFonts w:asciiTheme="minorHAnsi" w:eastAsiaTheme="minorEastAsia" w:hAnsiTheme="minorHAnsi" w:cstheme="minorBidi"/>
          <w:szCs w:val="22"/>
        </w:rPr>
      </w:pPr>
      <w:r>
        <w:t>51.</w:t>
      </w:r>
      <w:r>
        <w:tab/>
        <w:t>Offences to be dealt with by magistrate</w:t>
      </w:r>
      <w:r>
        <w:tab/>
      </w:r>
      <w:r>
        <w:fldChar w:fldCharType="begin"/>
      </w:r>
      <w:r>
        <w:instrText xml:space="preserve"> PAGEREF _Toc531182141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Offences</w:t>
      </w:r>
      <w:r>
        <w:tab/>
      </w:r>
      <w:r>
        <w:fldChar w:fldCharType="begin"/>
      </w:r>
      <w:r>
        <w:instrText xml:space="preserve"> PAGEREF _Toc531182142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Forfeiture</w:t>
      </w:r>
      <w:r>
        <w:tab/>
      </w:r>
      <w:r>
        <w:fldChar w:fldCharType="begin"/>
      </w:r>
      <w:r>
        <w:instrText xml:space="preserve"> PAGEREF _Toc531182143 \h </w:instrText>
      </w:r>
      <w:r>
        <w:fldChar w:fldCharType="separate"/>
      </w:r>
      <w:r>
        <w:t>43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Power to seize and detain</w:t>
      </w:r>
      <w:r>
        <w:tab/>
      </w:r>
      <w:r>
        <w:fldChar w:fldCharType="begin"/>
      </w:r>
      <w:r>
        <w:instrText xml:space="preserve"> PAGEREF _Toc531182144 \h </w:instrText>
      </w:r>
      <w:r>
        <w:fldChar w:fldCharType="separate"/>
      </w:r>
      <w:r>
        <w:t>43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Emergency action</w:t>
      </w:r>
      <w:r>
        <w:tab/>
      </w:r>
      <w:r>
        <w:fldChar w:fldCharType="begin"/>
      </w:r>
      <w:r>
        <w:instrText xml:space="preserve"> PAGEREF _Toc531182145 \h </w:instrText>
      </w:r>
      <w:r>
        <w:fldChar w:fldCharType="separate"/>
      </w:r>
      <w:r>
        <w:t>44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Liability for the acts of others etc.</w:t>
      </w:r>
      <w:r>
        <w:tab/>
      </w:r>
      <w:r>
        <w:fldChar w:fldCharType="begin"/>
      </w:r>
      <w:r>
        <w:instrText xml:space="preserve"> PAGEREF _Toc531182146 \h </w:instrText>
      </w:r>
      <w:r>
        <w:fldChar w:fldCharType="separate"/>
      </w:r>
      <w:r>
        <w:t>45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Facilitation of proof</w:t>
      </w:r>
      <w:r>
        <w:tab/>
      </w:r>
      <w:r>
        <w:fldChar w:fldCharType="begin"/>
      </w:r>
      <w:r>
        <w:instrText xml:space="preserve"> PAGEREF _Toc531182147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58</w:t>
      </w:r>
      <w:r>
        <w:rPr>
          <w:snapToGrid w:val="0"/>
        </w:rPr>
        <w:t>.</w:t>
      </w:r>
      <w:r>
        <w:rPr>
          <w:snapToGrid w:val="0"/>
        </w:rPr>
        <w:tab/>
        <w:t>General power</w:t>
      </w:r>
      <w:r>
        <w:tab/>
      </w:r>
      <w:r>
        <w:fldChar w:fldCharType="begin"/>
      </w:r>
      <w:r>
        <w:instrText xml:space="preserve"> PAGEREF _Toc531182149 \h </w:instrText>
      </w:r>
      <w:r>
        <w:fldChar w:fldCharType="separate"/>
      </w:r>
      <w:r>
        <w:t>48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Specific powers</w:t>
      </w:r>
      <w:r>
        <w:tab/>
      </w:r>
      <w:r>
        <w:fldChar w:fldCharType="begin"/>
      </w:r>
      <w:r>
        <w:instrText xml:space="preserve"> PAGEREF _Toc531182150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_Toc531182152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960"/>
      </w:pPr>
      <w:r>
        <w:t xml:space="preserve">Radiation Safety Act 1975 </w:t>
      </w:r>
    </w:p>
    <w:p>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pPr>
        <w:pStyle w:val="Heading2"/>
      </w:pPr>
      <w:bookmarkStart w:id="3" w:name="_Toc489602078"/>
      <w:bookmarkStart w:id="4" w:name="_Toc489602192"/>
      <w:bookmarkStart w:id="5" w:name="_Toc489602607"/>
      <w:bookmarkStart w:id="6" w:name="_Toc490129614"/>
      <w:bookmarkStart w:id="7" w:name="_Toc491788227"/>
      <w:bookmarkStart w:id="8" w:name="_Toc493601317"/>
      <w:bookmarkStart w:id="9" w:name="_Toc493601386"/>
      <w:bookmarkStart w:id="10" w:name="_Toc493601455"/>
      <w:bookmarkStart w:id="11" w:name="_Toc493603072"/>
      <w:bookmarkStart w:id="12" w:name="_Toc493603195"/>
      <w:bookmarkStart w:id="13" w:name="_Toc512325195"/>
      <w:bookmarkStart w:id="14" w:name="_Toc53118208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531182086"/>
      <w:r>
        <w:rPr>
          <w:rStyle w:val="CharSectno"/>
        </w:rPr>
        <w:t>1</w:t>
      </w:r>
      <w:r>
        <w:rPr>
          <w:snapToGrid w:val="0"/>
        </w:rPr>
        <w:t>.</w:t>
      </w:r>
      <w:r>
        <w:rPr>
          <w:snapToGrid w:val="0"/>
        </w:rPr>
        <w:tab/>
        <w:t>Short title</w:t>
      </w:r>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pPr>
        <w:pStyle w:val="Heading5"/>
        <w:rPr>
          <w:snapToGrid w:val="0"/>
        </w:rPr>
      </w:pPr>
      <w:bookmarkStart w:id="16" w:name="_Toc531182087"/>
      <w:r>
        <w:rPr>
          <w:rStyle w:val="CharSectno"/>
        </w:rPr>
        <w:t>2</w:t>
      </w:r>
      <w:r>
        <w:rPr>
          <w:snapToGrid w:val="0"/>
        </w:rPr>
        <w:t>.</w:t>
      </w:r>
      <w:r>
        <w:rPr>
          <w:snapToGrid w:val="0"/>
        </w:rPr>
        <w:tab/>
        <w:t>Commencement</w:t>
      </w:r>
      <w:bookmarkEnd w:id="16"/>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No. 10 of 1998 s. 76.]</w:t>
      </w:r>
    </w:p>
    <w:p>
      <w:pPr>
        <w:pStyle w:val="Heading5"/>
        <w:rPr>
          <w:snapToGrid w:val="0"/>
        </w:rPr>
      </w:pPr>
      <w:bookmarkStart w:id="17" w:name="_Toc531182088"/>
      <w:r>
        <w:rPr>
          <w:rStyle w:val="CharSectno"/>
        </w:rPr>
        <w:t>4</w:t>
      </w:r>
      <w:r>
        <w:rPr>
          <w:snapToGrid w:val="0"/>
        </w:rPr>
        <w:t>.</w:t>
      </w:r>
      <w:r>
        <w:rPr>
          <w:snapToGrid w:val="0"/>
        </w:rPr>
        <w:tab/>
        <w:t>Terms used</w:t>
      </w:r>
      <w:bookmarkEnd w:id="17"/>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authorised officer</w:t>
      </w:r>
      <w:r>
        <w:t xml:space="preserve"> means a person who is appointed in writing by the Chief Health Officer;</w:t>
      </w:r>
    </w:p>
    <w:p>
      <w:pPr>
        <w:pStyle w:val="Defstart"/>
      </w:pPr>
      <w:r>
        <w:tab/>
      </w:r>
      <w:r>
        <w:rPr>
          <w:rStyle w:val="CharDefText"/>
        </w:rPr>
        <w:t>Board</w:t>
      </w:r>
      <w:r>
        <w:t xml:space="preserve"> means the 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section 31;</w:t>
      </w:r>
    </w:p>
    <w:p>
      <w:pPr>
        <w:pStyle w:val="Defstart"/>
      </w:pPr>
      <w:r>
        <w:tab/>
      </w:r>
      <w:r>
        <w:rPr>
          <w:rStyle w:val="CharDefText"/>
        </w:rPr>
        <w:t xml:space="preserve">Chief Health Officer </w:t>
      </w:r>
      <w:r>
        <w:t xml:space="preserve">has the meaning given in the </w:t>
      </w:r>
      <w:r>
        <w:rPr>
          <w:i/>
        </w:rPr>
        <w:t>Public Health Act 2016</w:t>
      </w:r>
      <w:r>
        <w:t xml:space="preserve"> section 4(1);</w:t>
      </w:r>
    </w:p>
    <w:p>
      <w:pPr>
        <w:pStyle w:val="Defstart"/>
      </w:pPr>
      <w:r>
        <w:rPr>
          <w:b/>
        </w:rPr>
        <w:tab/>
      </w:r>
      <w:r>
        <w:rPr>
          <w:rStyle w:val="CharDefText"/>
        </w:rPr>
        <w:t>Council</w:t>
      </w:r>
      <w:r>
        <w:t xml:space="preserve"> means the Radiological Council established pursuant to section 13;</w:t>
      </w:r>
    </w:p>
    <w:p>
      <w:pPr>
        <w:pStyle w:val="Defstart"/>
      </w:pPr>
      <w:r>
        <w:rPr>
          <w:b/>
        </w:rPr>
        <w:tab/>
      </w:r>
      <w:r>
        <w:rPr>
          <w:rStyle w:val="CharDefText"/>
        </w:rPr>
        <w:t>electronic product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pPr>
        <w:pStyle w:val="Defpara"/>
      </w:pPr>
      <w:r>
        <w:tab/>
        <w:t>(a)</w:t>
      </w:r>
      <w:r>
        <w:tab/>
        <w:t>ionising or non</w:t>
      </w:r>
      <w:r>
        <w:noBreakHyphen/>
        <w:t>ionising, electro</w:t>
      </w:r>
      <w:r>
        <w:noBreakHyphen/>
        <w:t>magnetic, or particulate radiation; or</w:t>
      </w:r>
    </w:p>
    <w:p>
      <w:pPr>
        <w:pStyle w:val="Defpara"/>
      </w:pPr>
      <w:r>
        <w:tab/>
        <w:t>(b)</w:t>
      </w:r>
      <w:r>
        <w:tab/>
        <w:t>any sonic, infrasonic or ultrasonic wave,</w:t>
      </w:r>
    </w:p>
    <w:p>
      <w:pPr>
        <w:pStyle w:val="Defstart"/>
      </w:pPr>
      <w:r>
        <w:tab/>
        <w:t>save that the provisions of this Act shall not apply thereto except in so far as is prescribed;</w:t>
      </w:r>
    </w:p>
    <w:p>
      <w:pPr>
        <w:pStyle w:val="Defstart"/>
      </w:pPr>
      <w:r>
        <w:rPr>
          <w:b/>
        </w:rPr>
        <w:tab/>
      </w:r>
      <w:r>
        <w:rPr>
          <w:rStyle w:val="CharDefText"/>
        </w:rPr>
        <w:t>irradiating apparatus</w:t>
      </w:r>
      <w:r>
        <w:t xml:space="preserve"> means any apparatus capable of producing ionising radiation of any prescribed type, or capable of accelerating atomic particles under any prescribed conditions;</w:t>
      </w:r>
    </w:p>
    <w:p>
      <w:pPr>
        <w:pStyle w:val="Defstart"/>
      </w:pPr>
      <w:r>
        <w:tab/>
      </w:r>
      <w:r>
        <w:rPr>
          <w:rStyle w:val="CharDefText"/>
        </w:rPr>
        <w:t>medical radiation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radiation practice profession;</w:t>
      </w:r>
    </w:p>
    <w:p>
      <w:pPr>
        <w:pStyle w:val="Defstart"/>
      </w:pPr>
      <w:r>
        <w:tab/>
      </w:r>
      <w:r>
        <w:rPr>
          <w:rStyle w:val="CharDefText"/>
        </w:rPr>
        <w:t>medical radiation technology</w:t>
      </w:r>
      <w:r>
        <w:t xml:space="preserve"> means — </w:t>
      </w:r>
    </w:p>
    <w:p>
      <w:pPr>
        <w:pStyle w:val="Defpara"/>
      </w:pPr>
      <w:r>
        <w:tab/>
        <w:t>(a)</w:t>
      </w:r>
      <w:r>
        <w:tab/>
        <w:t>medical imaging technology; or</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owner</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pPr>
        <w:pStyle w:val="Defstart"/>
      </w:pPr>
      <w:r>
        <w:rPr>
          <w:b/>
        </w:rPr>
        <w:tab/>
      </w:r>
      <w:r>
        <w:rPr>
          <w:rStyle w:val="CharDefText"/>
        </w:rPr>
        <w:t>purchaser</w:t>
      </w:r>
      <w:r>
        <w:t xml:space="preserve"> includes any person, other than a carrying agent, acting on behalf of a purchaser;</w:t>
      </w:r>
    </w:p>
    <w:p>
      <w:pPr>
        <w:pStyle w:val="Defstart"/>
      </w:pPr>
      <w:r>
        <w:rPr>
          <w:b/>
        </w:rPr>
        <w:tab/>
      </w:r>
      <w:r>
        <w:rPr>
          <w:rStyle w:val="CharDefText"/>
        </w:rPr>
        <w:t>radioactive substance</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exchange, loaning or giving; and</w:t>
      </w:r>
    </w:p>
    <w:p>
      <w:pPr>
        <w:pStyle w:val="Defpara"/>
      </w:pPr>
      <w:r>
        <w:tab/>
        <w:t>(c)</w:t>
      </w:r>
      <w:r>
        <w:tab/>
        <w:t>supply and use under a contract for work and materials; and</w:t>
      </w:r>
    </w:p>
    <w:p>
      <w:pPr>
        <w:pStyle w:val="Defpara"/>
      </w:pPr>
      <w:r>
        <w:tab/>
        <w:t>(d)</w:t>
      </w:r>
      <w:r>
        <w:tab/>
        <w:t>dealing in, or agreeing, causing, permitting or attempting to sell or allowing to be sold; and</w:t>
      </w:r>
    </w:p>
    <w:p>
      <w:pPr>
        <w:pStyle w:val="Defpara"/>
      </w:pPr>
      <w:r>
        <w:tab/>
        <w:t>(e)</w:t>
      </w:r>
      <w:r>
        <w:tab/>
        <w:t>offering, exposing, receiving, supplying or possessing for the purposes of sale; and</w:t>
      </w:r>
    </w:p>
    <w:p>
      <w:pPr>
        <w:pStyle w:val="Defpara"/>
      </w:pPr>
      <w:r>
        <w:tab/>
        <w:t>(f)</w:t>
      </w:r>
      <w:r>
        <w:tab/>
        <w:t>sending or delivering for sale or on sale with or without consideration; and</w:t>
      </w:r>
    </w:p>
    <w:p>
      <w:pPr>
        <w:pStyle w:val="Defpara"/>
      </w:pPr>
      <w:r>
        <w:tab/>
        <w:t>(g)</w:t>
      </w:r>
      <w:r>
        <w:tab/>
        <w:t>supply or disposal under hire purchase, credit sale or otherwise upon terms; and</w:t>
      </w:r>
    </w:p>
    <w:p>
      <w:pPr>
        <w:pStyle w:val="Defpara"/>
      </w:pPr>
      <w:r>
        <w:tab/>
        <w:t>(h)</w:t>
      </w:r>
      <w:r>
        <w:tab/>
        <w:t>wholesale, bulk, and retail trading,</w:t>
      </w:r>
    </w:p>
    <w:p>
      <w:pPr>
        <w:pStyle w:val="Defstart"/>
      </w:pPr>
      <w:r>
        <w:tab/>
        <w:t>and the concepts of sale and purchase shall be construed accordingly.</w:t>
      </w:r>
    </w:p>
    <w:p>
      <w:pPr>
        <w:pStyle w:val="Footnotesection"/>
      </w:pPr>
      <w:r>
        <w:tab/>
        <w:t>[Section 4 amended: No. 63 of 1981 s. 4; No. 28 of 1984 s. 96 and 97; No. 21 of 2006 Sch. 3 cl. 5(2)</w:t>
      </w:r>
      <w:r>
        <w:noBreakHyphen/>
        <w:t>(4); No. 35 of 2010 s. 143; No. 17 of 2014 s. 33; No. 19 of 2016 s. 102.]</w:t>
      </w:r>
    </w:p>
    <w:p>
      <w:pPr>
        <w:pStyle w:val="Ednotesection"/>
      </w:pPr>
      <w:r>
        <w:t>[</w:t>
      </w:r>
      <w:r>
        <w:rPr>
          <w:b/>
          <w:bCs/>
        </w:rPr>
        <w:t>5.</w:t>
      </w:r>
      <w:r>
        <w:tab/>
        <w:t>Deleted: No. 21 of 2006 Sch. 3 cl. 5(5).]</w:t>
      </w:r>
    </w:p>
    <w:p>
      <w:pPr>
        <w:pStyle w:val="Heading5"/>
        <w:spacing w:before="200"/>
        <w:rPr>
          <w:snapToGrid w:val="0"/>
        </w:rPr>
      </w:pPr>
      <w:bookmarkStart w:id="18" w:name="_Toc531182089"/>
      <w:r>
        <w:rPr>
          <w:rStyle w:val="CharSectno"/>
        </w:rPr>
        <w:t>6</w:t>
      </w:r>
      <w:r>
        <w:rPr>
          <w:snapToGrid w:val="0"/>
        </w:rPr>
        <w:t>.</w:t>
      </w:r>
      <w:r>
        <w:rPr>
          <w:snapToGrid w:val="0"/>
        </w:rPr>
        <w:tab/>
        <w:t>Application of this Act, and exemptions</w:t>
      </w:r>
      <w:bookmarkEnd w:id="18"/>
      <w:r>
        <w:rPr>
          <w:snapToGrid w:val="0"/>
        </w:rPr>
        <w:t xml:space="preserve"> </w:t>
      </w:r>
    </w:p>
    <w:p>
      <w:pPr>
        <w:pStyle w:val="Subsection"/>
        <w:keepNext/>
        <w:spacing w:before="140"/>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radioactive substances;</w:t>
      </w:r>
      <w:r>
        <w:t xml:space="preserve"> and</w:t>
      </w:r>
    </w:p>
    <w:p>
      <w:pPr>
        <w:pStyle w:val="Indenta"/>
        <w:rPr>
          <w:snapToGrid w:val="0"/>
        </w:rPr>
      </w:pPr>
      <w:r>
        <w:rPr>
          <w:snapToGrid w:val="0"/>
        </w:rPr>
        <w:tab/>
        <w:t>(b)</w:t>
      </w:r>
      <w:r>
        <w:rPr>
          <w:snapToGrid w:val="0"/>
        </w:rPr>
        <w:tab/>
        <w:t>irradiating apparatus; and</w:t>
      </w:r>
    </w:p>
    <w:p>
      <w:pPr>
        <w:pStyle w:val="Indenta"/>
        <w:rPr>
          <w:snapToGrid w:val="0"/>
        </w:rPr>
      </w:pPr>
      <w:r>
        <w:rPr>
          <w:snapToGrid w:val="0"/>
        </w:rPr>
        <w:tab/>
        <w:t>(c)</w:t>
      </w:r>
      <w:r>
        <w:rPr>
          <w:snapToGrid w:val="0"/>
        </w:rPr>
        <w:tab/>
        <w:t>electronic products which are prescribed by regulation as being subject to the provisions of this Act,</w:t>
      </w:r>
    </w:p>
    <w:p>
      <w:pPr>
        <w:pStyle w:val="Subsection"/>
        <w:spacing w:before="140"/>
        <w:rPr>
          <w:snapToGrid w:val="0"/>
        </w:rPr>
      </w:pPr>
      <w:r>
        <w:rPr>
          <w:snapToGrid w:val="0"/>
        </w:rPr>
        <w:tab/>
      </w:r>
      <w:r>
        <w:rPr>
          <w:snapToGrid w:val="0"/>
        </w:rPr>
        <w:tab/>
        <w:t>unless an exemption is granted.</w:t>
      </w:r>
    </w:p>
    <w:p>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pPr>
        <w:pStyle w:val="Heading5"/>
        <w:rPr>
          <w:snapToGrid w:val="0"/>
        </w:rPr>
      </w:pPr>
      <w:bookmarkStart w:id="19" w:name="_Toc531182090"/>
      <w:r>
        <w:rPr>
          <w:rStyle w:val="CharSectno"/>
        </w:rPr>
        <w:t>7</w:t>
      </w:r>
      <w:r>
        <w:rPr>
          <w:snapToGrid w:val="0"/>
        </w:rPr>
        <w:t>.</w:t>
      </w:r>
      <w:r>
        <w:rPr>
          <w:snapToGrid w:val="0"/>
        </w:rPr>
        <w:tab/>
        <w:t>Crown bound</w:t>
      </w:r>
      <w:bookmarkEnd w:id="19"/>
      <w:r>
        <w:rPr>
          <w:snapToGrid w:val="0"/>
        </w:rPr>
        <w:t xml:space="preserve"> </w:t>
      </w:r>
    </w:p>
    <w:p>
      <w:pPr>
        <w:pStyle w:val="Subsection"/>
        <w:rPr>
          <w:snapToGrid w:val="0"/>
        </w:rPr>
      </w:pPr>
      <w:r>
        <w:rPr>
          <w:snapToGrid w:val="0"/>
        </w:rPr>
        <w:tab/>
        <w:t>(1)</w:t>
      </w:r>
      <w:r>
        <w:rPr>
          <w:snapToGrid w:val="0"/>
        </w:rPr>
        <w:tab/>
        <w:t xml:space="preserve">The possession, storage, use, handling or disposal of, or other dealing with, any radioactive substance, irradiating apparatus or electronic product by the </w:t>
      </w:r>
      <w:r>
        <w:t>Chief Health Officer</w:t>
      </w:r>
      <w:r>
        <w:rPr>
          <w:snapToGrid w:val="0"/>
        </w:rPr>
        <w:t xml:space="preserve"> or an officer authorised by him in the performance of his duties under this or any other Act is not unlawful.</w:t>
      </w:r>
    </w:p>
    <w:p>
      <w:pPr>
        <w:pStyle w:val="Subsection"/>
        <w:rPr>
          <w:snapToGrid w:val="0"/>
        </w:rPr>
      </w:pPr>
      <w:r>
        <w:rPr>
          <w:snapToGrid w:val="0"/>
        </w:rPr>
        <w:tab/>
        <w:t>(2)</w:t>
      </w:r>
      <w:r>
        <w:rPr>
          <w:snapToGrid w:val="0"/>
        </w:rPr>
        <w:tab/>
        <w:t>Except as provided in subsection (1), this Act binds the Crown.</w:t>
      </w:r>
    </w:p>
    <w:p>
      <w:pPr>
        <w:pStyle w:val="Footnotesection"/>
      </w:pPr>
      <w:r>
        <w:tab/>
        <w:t xml:space="preserve">[Section 7 amended: No. 63 of 1981 s. 4; No. 28 of 1984 s. 97; No. 19 of 2016 s. 102.] </w:t>
      </w:r>
    </w:p>
    <w:p>
      <w:pPr>
        <w:pStyle w:val="Heading5"/>
        <w:rPr>
          <w:snapToGrid w:val="0"/>
        </w:rPr>
      </w:pPr>
      <w:bookmarkStart w:id="20" w:name="_Toc531182091"/>
      <w:r>
        <w:rPr>
          <w:rStyle w:val="CharSectno"/>
        </w:rPr>
        <w:t>8</w:t>
      </w:r>
      <w:r>
        <w:rPr>
          <w:snapToGrid w:val="0"/>
        </w:rPr>
        <w:t>.</w:t>
      </w:r>
      <w:r>
        <w:rPr>
          <w:snapToGrid w:val="0"/>
        </w:rPr>
        <w:tab/>
        <w:t>Prohibition</w:t>
      </w:r>
      <w:bookmarkEnd w:id="20"/>
      <w:r>
        <w:rPr>
          <w:snapToGrid w:val="0"/>
        </w:rPr>
        <w:t xml:space="preserve"> </w:t>
      </w:r>
    </w:p>
    <w:p>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pPr>
        <w:pStyle w:val="Heading5"/>
        <w:rPr>
          <w:snapToGrid w:val="0"/>
        </w:rPr>
      </w:pPr>
      <w:bookmarkStart w:id="21" w:name="_Toc531182092"/>
      <w:r>
        <w:rPr>
          <w:rStyle w:val="CharSectno"/>
        </w:rPr>
        <w:t>9</w:t>
      </w:r>
      <w:r>
        <w:rPr>
          <w:snapToGrid w:val="0"/>
        </w:rPr>
        <w:t>.</w:t>
      </w:r>
      <w:r>
        <w:rPr>
          <w:snapToGrid w:val="0"/>
        </w:rPr>
        <w:tab/>
        <w:t>Civil remedies</w:t>
      </w:r>
      <w:bookmarkEnd w:id="21"/>
      <w:r>
        <w:rPr>
          <w:snapToGrid w:val="0"/>
        </w:rPr>
        <w:t xml:space="preserve"> </w:t>
      </w:r>
    </w:p>
    <w:p>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pPr>
        <w:pStyle w:val="Heading2"/>
      </w:pPr>
      <w:bookmarkStart w:id="22" w:name="_Toc489602086"/>
      <w:bookmarkStart w:id="23" w:name="_Toc489602200"/>
      <w:bookmarkStart w:id="24" w:name="_Toc489602615"/>
      <w:bookmarkStart w:id="25" w:name="_Toc490129622"/>
      <w:bookmarkStart w:id="26" w:name="_Toc491788235"/>
      <w:bookmarkStart w:id="27" w:name="_Toc493601325"/>
      <w:bookmarkStart w:id="28" w:name="_Toc493601394"/>
      <w:bookmarkStart w:id="29" w:name="_Toc493601463"/>
      <w:bookmarkStart w:id="30" w:name="_Toc493603080"/>
      <w:bookmarkStart w:id="31" w:name="_Toc493603203"/>
      <w:bookmarkStart w:id="32" w:name="_Toc512325203"/>
      <w:bookmarkStart w:id="33" w:name="_Toc531182093"/>
      <w:r>
        <w:rPr>
          <w:rStyle w:val="CharPartNo"/>
        </w:rPr>
        <w:t>Part II</w:t>
      </w:r>
      <w:r>
        <w:rPr>
          <w:rStyle w:val="CharDivNo"/>
        </w:rPr>
        <w:t> </w:t>
      </w:r>
      <w:r>
        <w:t>—</w:t>
      </w:r>
      <w:r>
        <w:rPr>
          <w:rStyle w:val="CharDivText"/>
        </w:rPr>
        <w:t> </w:t>
      </w:r>
      <w:r>
        <w:rPr>
          <w:rStyle w:val="CharPartText"/>
        </w:rPr>
        <w:t>Administrative provisions</w:t>
      </w:r>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531182094"/>
      <w:r>
        <w:rPr>
          <w:rStyle w:val="CharSectno"/>
        </w:rPr>
        <w:t>10</w:t>
      </w:r>
      <w:r>
        <w:rPr>
          <w:snapToGrid w:val="0"/>
        </w:rPr>
        <w:t>.</w:t>
      </w:r>
      <w:r>
        <w:rPr>
          <w:snapToGrid w:val="0"/>
        </w:rPr>
        <w:tab/>
        <w:t>Duty of Minister and administrative arrangements</w:t>
      </w:r>
      <w:bookmarkEnd w:id="34"/>
      <w:r>
        <w:rPr>
          <w:snapToGrid w:val="0"/>
        </w:rPr>
        <w:t xml:space="preserve"> </w:t>
      </w:r>
    </w:p>
    <w:p>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pPr>
        <w:pStyle w:val="Indenta"/>
        <w:spacing w:before="60"/>
        <w:rPr>
          <w:snapToGrid w:val="0"/>
        </w:rPr>
      </w:pPr>
      <w:r>
        <w:rPr>
          <w:snapToGrid w:val="0"/>
        </w:rPr>
        <w:tab/>
        <w:t>(a)</w:t>
      </w:r>
      <w:r>
        <w:rPr>
          <w:snapToGrid w:val="0"/>
        </w:rPr>
        <w:tab/>
        <w:t>to implement the scheme of licensing and the scheme of registration created by or under this Act;</w:t>
      </w:r>
      <w:r>
        <w:t xml:space="preserve"> and</w:t>
      </w:r>
    </w:p>
    <w:p>
      <w:pPr>
        <w:pStyle w:val="Indenta"/>
        <w:spacing w:before="60"/>
        <w:rPr>
          <w:snapToGrid w:val="0"/>
        </w:rPr>
      </w:pPr>
      <w:r>
        <w:rPr>
          <w:snapToGrid w:val="0"/>
        </w:rPr>
        <w:tab/>
        <w:t>(b)</w:t>
      </w:r>
      <w:r>
        <w:rPr>
          <w:snapToGrid w:val="0"/>
        </w:rPr>
        <w:tab/>
        <w:t>to conduct inquiries into alleged contraventions, and to suspend or cancel licences and registrations;</w:t>
      </w:r>
      <w:r>
        <w:t xml:space="preserve"> and</w:t>
      </w:r>
    </w:p>
    <w:p>
      <w:pPr>
        <w:pStyle w:val="Indenta"/>
        <w:spacing w:before="60"/>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pPr>
        <w:pStyle w:val="Indenta"/>
        <w:spacing w:before="60"/>
        <w:rPr>
          <w:snapToGrid w:val="0"/>
        </w:rPr>
      </w:pPr>
      <w:r>
        <w:rPr>
          <w:snapToGrid w:val="0"/>
        </w:rPr>
        <w:tab/>
        <w:t>(d)</w:t>
      </w:r>
      <w:r>
        <w:rPr>
          <w:snapToGrid w:val="0"/>
        </w:rPr>
        <w:tab/>
        <w:t>to investigate and prosecute offences against this Act.</w:t>
      </w:r>
    </w:p>
    <w:p>
      <w:pPr>
        <w:pStyle w:val="Subsection"/>
        <w:spacing w:before="150"/>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pPr>
        <w:pStyle w:val="Subsection"/>
        <w:spacing w:before="150"/>
        <w:rPr>
          <w:snapToGrid w:val="0"/>
        </w:rPr>
      </w:pPr>
      <w:r>
        <w:rPr>
          <w:snapToGrid w:val="0"/>
        </w:rPr>
        <w:tab/>
        <w:t>(4)</w:t>
      </w:r>
      <w:r>
        <w:rPr>
          <w:snapToGrid w:val="0"/>
        </w:rPr>
        <w:tab/>
        <w:t>The cost of the administration of this Act shall be paid out of the moneys to be from time to time appropriated by Parliament for the purpose.</w:t>
      </w:r>
    </w:p>
    <w:p>
      <w:pPr>
        <w:pStyle w:val="Heading5"/>
        <w:rPr>
          <w:snapToGrid w:val="0"/>
        </w:rPr>
      </w:pPr>
      <w:bookmarkStart w:id="35" w:name="_Toc531182095"/>
      <w:r>
        <w:rPr>
          <w:rStyle w:val="CharSectno"/>
        </w:rPr>
        <w:t>11</w:t>
      </w:r>
      <w:r>
        <w:rPr>
          <w:snapToGrid w:val="0"/>
        </w:rPr>
        <w:t>.</w:t>
      </w:r>
      <w:r>
        <w:rPr>
          <w:snapToGrid w:val="0"/>
        </w:rPr>
        <w:tab/>
        <w:t>Further functions of the Council</w:t>
      </w:r>
      <w:bookmarkEnd w:id="35"/>
      <w:r>
        <w:rPr>
          <w:snapToGrid w:val="0"/>
        </w:rPr>
        <w:t xml:space="preserve"> </w:t>
      </w:r>
    </w:p>
    <w:p>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pPr>
        <w:pStyle w:val="Heading5"/>
        <w:rPr>
          <w:snapToGrid w:val="0"/>
        </w:rPr>
      </w:pPr>
      <w:bookmarkStart w:id="36" w:name="_Toc531182096"/>
      <w:r>
        <w:rPr>
          <w:rStyle w:val="CharSectno"/>
        </w:rPr>
        <w:t>12</w:t>
      </w:r>
      <w:r>
        <w:rPr>
          <w:snapToGrid w:val="0"/>
        </w:rPr>
        <w:t>.</w:t>
      </w:r>
      <w:r>
        <w:rPr>
          <w:snapToGrid w:val="0"/>
        </w:rPr>
        <w:tab/>
        <w:t>Reviews</w:t>
      </w:r>
      <w:bookmarkEnd w:id="36"/>
    </w:p>
    <w:p>
      <w:pPr>
        <w:pStyle w:val="Subsection"/>
        <w:keepNext/>
        <w:rPr>
          <w:snapToGrid w:val="0"/>
        </w:rPr>
      </w:pPr>
      <w:r>
        <w:rPr>
          <w:snapToGrid w:val="0"/>
        </w:rPr>
        <w:tab/>
        <w:t>(1)</w:t>
      </w:r>
      <w:r>
        <w:rPr>
          <w:snapToGrid w:val="0"/>
        </w:rPr>
        <w:tab/>
        <w:t>For the purposes of this Act, a person who is aggrieved by — </w:t>
      </w:r>
    </w:p>
    <w:p>
      <w:pPr>
        <w:pStyle w:val="Indenta"/>
        <w:rPr>
          <w:snapToGrid w:val="0"/>
        </w:rPr>
      </w:pPr>
      <w:r>
        <w:rPr>
          <w:snapToGrid w:val="0"/>
        </w:rPr>
        <w:tab/>
        <w:t>(a)</w:t>
      </w:r>
      <w:r>
        <w:rPr>
          <w:snapToGrid w:val="0"/>
        </w:rPr>
        <w:tab/>
        <w:t>the refusal of an application for a licence or for registration, either generally or in relation to any particular kind or class; or</w:t>
      </w:r>
    </w:p>
    <w:p>
      <w:pPr>
        <w:pStyle w:val="Indenta"/>
        <w:rPr>
          <w:snapToGrid w:val="0"/>
        </w:rPr>
      </w:pPr>
      <w:r>
        <w:rPr>
          <w:snapToGrid w:val="0"/>
        </w:rPr>
        <w:tab/>
        <w:t>(b)</w:t>
      </w:r>
      <w:r>
        <w:rPr>
          <w:snapToGrid w:val="0"/>
        </w:rPr>
        <w:tab/>
        <w:t>the revocation or suspension of a licence or exemption of which he is the holder or a registration effected in his name; or</w:t>
      </w:r>
    </w:p>
    <w:p>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pPr>
        <w:pStyle w:val="Indenta"/>
        <w:rPr>
          <w:snapToGrid w:val="0"/>
        </w:rPr>
      </w:pPr>
      <w:r>
        <w:rPr>
          <w:snapToGrid w:val="0"/>
        </w:rPr>
        <w:tab/>
        <w:t>(d)</w:t>
      </w:r>
      <w:r>
        <w:rPr>
          <w:snapToGrid w:val="0"/>
        </w:rPr>
        <w:tab/>
        <w:t>any order or direction given pursuant to this Act,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deleted]</w:t>
      </w:r>
    </w:p>
    <w:p>
      <w:pPr>
        <w:pStyle w:val="Footnotesection"/>
      </w:pPr>
      <w:r>
        <w:tab/>
        <w:t>[Section 12 amended: No. 55 of 2004 s. 994.]</w:t>
      </w:r>
    </w:p>
    <w:p>
      <w:pPr>
        <w:pStyle w:val="Heading5"/>
        <w:rPr>
          <w:snapToGrid w:val="0"/>
        </w:rPr>
      </w:pPr>
      <w:bookmarkStart w:id="37" w:name="_Toc531182097"/>
      <w:r>
        <w:rPr>
          <w:rStyle w:val="CharSectno"/>
        </w:rPr>
        <w:t>13</w:t>
      </w:r>
      <w:r>
        <w:rPr>
          <w:snapToGrid w:val="0"/>
        </w:rPr>
        <w:t>.</w:t>
      </w:r>
      <w:r>
        <w:rPr>
          <w:snapToGrid w:val="0"/>
        </w:rPr>
        <w:tab/>
        <w:t>Radiological Council</w:t>
      </w:r>
      <w:bookmarkEnd w:id="37"/>
      <w:r>
        <w:rPr>
          <w:snapToGrid w:val="0"/>
        </w:rPr>
        <w:t xml:space="preserve"> </w:t>
      </w:r>
    </w:p>
    <w:p>
      <w:pPr>
        <w:pStyle w:val="Subsection"/>
        <w:rPr>
          <w:snapToGrid w:val="0"/>
        </w:rPr>
      </w:pPr>
      <w:r>
        <w:rPr>
          <w:snapToGrid w:val="0"/>
        </w:rPr>
        <w:tab/>
        <w:t>(1)</w:t>
      </w:r>
      <w:r>
        <w:rPr>
          <w:snapToGrid w:val="0"/>
        </w:rPr>
        <w:tab/>
        <w:t>For the purposes of this Act there shall be a body to be known as the Radiological Council.</w:t>
      </w:r>
    </w:p>
    <w:p>
      <w:pPr>
        <w:pStyle w:val="Subsection"/>
        <w:keepNext/>
        <w:rPr>
          <w:snapToGrid w:val="0"/>
        </w:rPr>
      </w:pPr>
      <w:r>
        <w:rPr>
          <w:snapToGrid w:val="0"/>
        </w:rPr>
        <w:tab/>
        <w:t>(2)</w:t>
      </w:r>
      <w:r>
        <w:rPr>
          <w:snapToGrid w:val="0"/>
        </w:rPr>
        <w:tab/>
        <w:t>The Council consists of — </w:t>
      </w:r>
    </w:p>
    <w:p>
      <w:pPr>
        <w:pStyle w:val="Indenta"/>
        <w:rPr>
          <w:snapToGrid w:val="0"/>
        </w:rPr>
      </w:pPr>
      <w:r>
        <w:rPr>
          <w:snapToGrid w:val="0"/>
        </w:rPr>
        <w:tab/>
        <w:t>(a)</w:t>
      </w:r>
      <w:r>
        <w:rPr>
          <w:snapToGrid w:val="0"/>
        </w:rPr>
        <w:tab/>
        <w:t xml:space="preserve">a medical practitioner appointed by the Governor on the recommendation of the </w:t>
      </w:r>
      <w:r>
        <w:t>Chief Health Officer</w:t>
      </w:r>
      <w:r>
        <w:rPr>
          <w:snapToGrid w:val="0"/>
        </w:rPr>
        <w:t>, or other person nominated to preside in accordance with the provisions of subsection (3); and</w:t>
      </w:r>
    </w:p>
    <w:p>
      <w:pPr>
        <w:pStyle w:val="Indenta"/>
        <w:keepNext/>
        <w:rPr>
          <w:snapToGrid w:val="0"/>
        </w:rPr>
      </w:pPr>
      <w:r>
        <w:rPr>
          <w:snapToGrid w:val="0"/>
        </w:rPr>
        <w:tab/>
        <w:t>(b)</w:t>
      </w:r>
      <w:r>
        <w:rPr>
          <w:snapToGrid w:val="0"/>
        </w:rPr>
        <w:tab/>
        <w:t>not less than 6 nor more than 8 other members appointed by the Governor, of whom — </w:t>
      </w:r>
    </w:p>
    <w:p>
      <w:pPr>
        <w:pStyle w:val="Indenti"/>
        <w:rPr>
          <w:snapToGrid w:val="0"/>
        </w:rPr>
      </w:pPr>
      <w:r>
        <w:rPr>
          <w:snapToGrid w:val="0"/>
        </w:rPr>
        <w:tab/>
        <w:t>(i)</w:t>
      </w:r>
      <w:r>
        <w:rPr>
          <w:snapToGrid w:val="0"/>
        </w:rPr>
        <w:tab/>
        <w:t>one shall be a medical practitioner who is a specialist in radiology or radiotherapy;</w:t>
      </w:r>
      <w:r>
        <w:t xml:space="preserve"> and</w:t>
      </w:r>
    </w:p>
    <w:p>
      <w:pPr>
        <w:pStyle w:val="Indenti"/>
        <w:rPr>
          <w:snapToGrid w:val="0"/>
        </w:rPr>
      </w:pPr>
      <w:r>
        <w:rPr>
          <w:snapToGrid w:val="0"/>
        </w:rPr>
        <w:tab/>
        <w:t>(ii)</w:t>
      </w:r>
      <w:r>
        <w:rPr>
          <w:snapToGrid w:val="0"/>
        </w:rPr>
        <w:tab/>
        <w:t>one shall be a medical practitioner who is a physician specialising in nuclear medicine;</w:t>
      </w:r>
      <w:r>
        <w:t xml:space="preserve"> and</w:t>
      </w:r>
    </w:p>
    <w:p>
      <w:pPr>
        <w:pStyle w:val="Indenti"/>
        <w:rPr>
          <w:snapToGrid w:val="0"/>
        </w:rPr>
      </w:pPr>
      <w:r>
        <w:rPr>
          <w:snapToGrid w:val="0"/>
        </w:rPr>
        <w:tab/>
        <w:t>(iii)</w:t>
      </w:r>
      <w:r>
        <w:rPr>
          <w:snapToGrid w:val="0"/>
        </w:rPr>
        <w:tab/>
        <w:t>one shall be a person who possesses relevant qualifications or experience as a physicist;</w:t>
      </w:r>
      <w:r>
        <w:t xml:space="preserve"> and</w:t>
      </w:r>
    </w:p>
    <w:p>
      <w:pPr>
        <w:pStyle w:val="Indenti"/>
        <w:rPr>
          <w:snapToGrid w:val="0"/>
        </w:rPr>
      </w:pPr>
      <w:r>
        <w:rPr>
          <w:snapToGrid w:val="0"/>
        </w:rPr>
        <w:tab/>
        <w:t>(iv)</w:t>
      </w:r>
      <w:r>
        <w:rPr>
          <w:snapToGrid w:val="0"/>
        </w:rPr>
        <w:tab/>
        <w:t>one shall be a person who possesses relevant qualifications or experience as a radiation engineer or electronic engineer;</w:t>
      </w:r>
      <w:r>
        <w:t xml:space="preserve"> and</w:t>
      </w:r>
    </w:p>
    <w:p>
      <w:pPr>
        <w:pStyle w:val="Indenti"/>
        <w:rPr>
          <w:snapToGrid w:val="0"/>
        </w:rPr>
      </w:pPr>
      <w:r>
        <w:rPr>
          <w:snapToGrid w:val="0"/>
        </w:rPr>
        <w:tab/>
        <w:t>(v)</w:t>
      </w:r>
      <w:r>
        <w:rPr>
          <w:snapToGrid w:val="0"/>
        </w:rPr>
        <w:tab/>
        <w:t>one shall be representative of the interests of tertiary educational institutions;</w:t>
      </w:r>
      <w:r>
        <w:t xml:space="preserve"> and</w:t>
      </w:r>
    </w:p>
    <w:p>
      <w:pPr>
        <w:pStyle w:val="Indenti"/>
      </w:pPr>
      <w:r>
        <w:rPr>
          <w:snapToGrid w:val="0"/>
        </w:rPr>
        <w:tab/>
        <w:t>(vi)</w:t>
      </w:r>
      <w:r>
        <w:rPr>
          <w:snapToGrid w:val="0"/>
        </w:rPr>
        <w:tab/>
        <w:t>2 may be nominated by the Minister with the advice of the other members of the Council as being persons having special knowledge of the problems of radiation hazards</w:t>
      </w:r>
      <w:r>
        <w:t>; and</w:t>
      </w:r>
    </w:p>
    <w:p>
      <w:pPr>
        <w:pStyle w:val="Indenti"/>
      </w:pPr>
      <w:r>
        <w:tab/>
        <w:t>(vii)</w:t>
      </w:r>
      <w:r>
        <w:tab/>
        <w:t>one shall be a medical radiation practitioner.</w:t>
      </w:r>
    </w:p>
    <w:p>
      <w:pPr>
        <w:pStyle w:val="Subsection"/>
        <w:rPr>
          <w:snapToGrid w:val="0"/>
        </w:rPr>
      </w:pPr>
      <w:r>
        <w:rPr>
          <w:snapToGrid w:val="0"/>
        </w:rPr>
        <w:tab/>
        <w:t>(3)</w:t>
      </w:r>
      <w:r>
        <w:rPr>
          <w:snapToGrid w:val="0"/>
        </w:rPr>
        <w:tab/>
        <w:t xml:space="preserve">The medical practitioner appointed under subsection (2)(a) on the recommendation of the </w:t>
      </w:r>
      <w:r>
        <w:t>Chief Health Officer</w:t>
      </w:r>
      <w:r>
        <w:rPr>
          <w:snapToGrid w:val="0"/>
        </w:rPr>
        <w:t xml:space="preserve"> shall be the chairman of the Council and shall preside at any meeting at which he is present, but the Governor on the recommendation of the </w:t>
      </w:r>
      <w:r>
        <w:t>Chief Health Officer</w:t>
      </w:r>
      <w:r>
        <w:rPr>
          <w:snapToGrid w:val="0"/>
        </w:rPr>
        <w:t xml:space="preserve">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pPr>
        <w:pStyle w:val="Subsection"/>
        <w:rPr>
          <w:snapToGrid w:val="0"/>
        </w:rPr>
      </w:pPr>
      <w:r>
        <w:rPr>
          <w:snapToGrid w:val="0"/>
        </w:rPr>
        <w:tab/>
        <w:t>(5)</w:t>
      </w:r>
      <w:r>
        <w:rPr>
          <w:snapToGrid w:val="0"/>
        </w:rPr>
        <w:tab/>
        <w:t>A member shall be paid such remuneration and allowances as the Governor determines.</w:t>
      </w:r>
    </w:p>
    <w:p>
      <w:pPr>
        <w:pStyle w:val="Footnotesection"/>
      </w:pPr>
      <w:r>
        <w:tab/>
        <w:t xml:space="preserve">[Section 13 amended: No. 63 of 1981 s. 4; No. 28 of 1984 s. 97; No. 21 of 2006 Sch. 3 cl. 5(6); No. 35 of 2010 s. 144; No. 19 of 2016 s. 102.] </w:t>
      </w:r>
    </w:p>
    <w:p>
      <w:pPr>
        <w:pStyle w:val="Heading5"/>
        <w:rPr>
          <w:snapToGrid w:val="0"/>
        </w:rPr>
      </w:pPr>
      <w:bookmarkStart w:id="38" w:name="_Toc531182098"/>
      <w:r>
        <w:rPr>
          <w:rStyle w:val="CharSectno"/>
        </w:rPr>
        <w:t>14</w:t>
      </w:r>
      <w:r>
        <w:rPr>
          <w:snapToGrid w:val="0"/>
        </w:rPr>
        <w:t>.</w:t>
      </w:r>
      <w:r>
        <w:rPr>
          <w:snapToGrid w:val="0"/>
        </w:rPr>
        <w:tab/>
        <w:t>Tenure of office</w:t>
      </w:r>
      <w:bookmarkEnd w:id="38"/>
      <w:r>
        <w:rPr>
          <w:snapToGrid w:val="0"/>
        </w:rPr>
        <w:t xml:space="preserve"> </w:t>
      </w:r>
    </w:p>
    <w:p>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pPr>
        <w:pStyle w:val="Subsection"/>
        <w:keepNext/>
        <w:rPr>
          <w:snapToGrid w:val="0"/>
        </w:rPr>
      </w:pPr>
      <w:r>
        <w:rPr>
          <w:snapToGrid w:val="0"/>
        </w:rPr>
        <w:tab/>
        <w:t>(4)</w:t>
      </w:r>
      <w:r>
        <w:rPr>
          <w:snapToGrid w:val="0"/>
        </w:rPr>
        <w:tab/>
        <w:t>If a member of the Council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spacing w:before="120"/>
        <w:rPr>
          <w:snapToGrid w:val="0"/>
        </w:rPr>
      </w:pPr>
      <w:r>
        <w:rPr>
          <w:snapToGrid w:val="0"/>
        </w:rPr>
        <w:tab/>
      </w:r>
      <w:r>
        <w:rPr>
          <w:snapToGrid w:val="0"/>
        </w:rPr>
        <w:tab/>
        <w:t>his office becomes vacant and he is not eligible for reappointment.</w:t>
      </w:r>
    </w:p>
    <w:p>
      <w:pPr>
        <w:pStyle w:val="Footnotesection"/>
      </w:pPr>
      <w:r>
        <w:tab/>
        <w:t>[Section 14 amended: No. 24 of 1990 s. 123; No. 32 of 1994 s. 3(1); No. 18 of 2009 s. 73.]</w:t>
      </w:r>
    </w:p>
    <w:p>
      <w:pPr>
        <w:pStyle w:val="Heading5"/>
        <w:rPr>
          <w:snapToGrid w:val="0"/>
        </w:rPr>
      </w:pPr>
      <w:bookmarkStart w:id="39" w:name="_Toc531182099"/>
      <w:r>
        <w:rPr>
          <w:rStyle w:val="CharSectno"/>
        </w:rPr>
        <w:t>15</w:t>
      </w:r>
      <w:r>
        <w:rPr>
          <w:snapToGrid w:val="0"/>
        </w:rPr>
        <w:t>.</w:t>
      </w:r>
      <w:r>
        <w:rPr>
          <w:snapToGrid w:val="0"/>
        </w:rPr>
        <w:tab/>
        <w:t>Deputies and casual vacancies</w:t>
      </w:r>
      <w:bookmarkEnd w:id="39"/>
      <w:r>
        <w:rPr>
          <w:snapToGrid w:val="0"/>
        </w:rPr>
        <w:t xml:space="preserve"> </w:t>
      </w:r>
    </w:p>
    <w:p>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keepNext/>
        <w:rPr>
          <w:snapToGrid w:val="0"/>
        </w:rPr>
      </w:pPr>
      <w:r>
        <w:rPr>
          <w:snapToGrid w:val="0"/>
        </w:rPr>
        <w:tab/>
        <w:t>(b)</w:t>
      </w:r>
      <w:r>
        <w:rPr>
          <w:snapToGrid w:val="0"/>
        </w:rPr>
        <w:tab/>
        <w:t>the office of a member is vacant and is not filled in accordance with this Act,</w:t>
      </w:r>
    </w:p>
    <w:p>
      <w:pPr>
        <w:pStyle w:val="Subsection"/>
        <w:spacing w:before="120"/>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pPr>
        <w:pStyle w:val="Subsection"/>
        <w:keepNext/>
        <w:rPr>
          <w:snapToGrid w:val="0"/>
        </w:rPr>
      </w:pPr>
      <w:r>
        <w:rPr>
          <w:snapToGrid w:val="0"/>
        </w:rPr>
        <w:tab/>
        <w:t>(3)</w:t>
      </w:r>
      <w:r>
        <w:rPr>
          <w:snapToGrid w:val="0"/>
        </w:rPr>
        <w:tab/>
        <w:t>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 and</w:t>
      </w:r>
    </w:p>
    <w:p>
      <w:pPr>
        <w:pStyle w:val="Indenta"/>
        <w:rPr>
          <w:snapToGrid w:val="0"/>
        </w:rPr>
      </w:pPr>
      <w:r>
        <w:rPr>
          <w:snapToGrid w:val="0"/>
        </w:rPr>
        <w:tab/>
        <w:t>(b)</w:t>
      </w:r>
      <w:r>
        <w:rPr>
          <w:snapToGrid w:val="0"/>
        </w:rPr>
        <w:tab/>
        <w:t>a person appointed by the Minister to act in the place of a member during any absence, temporary incapacity or casual vacancy.</w:t>
      </w:r>
    </w:p>
    <w:p>
      <w:pPr>
        <w:pStyle w:val="Heading5"/>
        <w:rPr>
          <w:snapToGrid w:val="0"/>
        </w:rPr>
      </w:pPr>
      <w:bookmarkStart w:id="40" w:name="_Toc531182100"/>
      <w:r>
        <w:rPr>
          <w:rStyle w:val="CharSectno"/>
        </w:rPr>
        <w:t>16</w:t>
      </w:r>
      <w:r>
        <w:rPr>
          <w:snapToGrid w:val="0"/>
        </w:rPr>
        <w:t>.</w:t>
      </w:r>
      <w:r>
        <w:rPr>
          <w:snapToGrid w:val="0"/>
        </w:rPr>
        <w:tab/>
        <w:t>Proceedings</w:t>
      </w:r>
      <w:bookmarkEnd w:id="40"/>
      <w:r>
        <w:rPr>
          <w:snapToGrid w:val="0"/>
        </w:rPr>
        <w:t xml:space="preserve"> </w:t>
      </w:r>
    </w:p>
    <w:p>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pPr>
        <w:pStyle w:val="Subsection"/>
        <w:rPr>
          <w:snapToGrid w:val="0"/>
        </w:rPr>
      </w:pPr>
      <w:r>
        <w:rPr>
          <w:snapToGrid w:val="0"/>
        </w:rPr>
        <w:tab/>
        <w:t>(5)</w:t>
      </w:r>
      <w:r>
        <w:rPr>
          <w:snapToGrid w:val="0"/>
        </w:rPr>
        <w:tab/>
        <w:t>At a meeting of the Council, a majority of the Council members for the time being holding office constitutes a quorum.</w:t>
      </w:r>
    </w:p>
    <w:p>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pPr>
        <w:pStyle w:val="Subsection"/>
        <w:rPr>
          <w:snapToGrid w:val="0"/>
        </w:rPr>
      </w:pPr>
      <w:r>
        <w:rPr>
          <w:snapToGrid w:val="0"/>
        </w:rPr>
        <w:tab/>
        <w:t>(7)</w:t>
      </w:r>
      <w:r>
        <w:rPr>
          <w:snapToGrid w:val="0"/>
        </w:rPr>
        <w:tab/>
        <w:t xml:space="preserve">The </w:t>
      </w:r>
      <w:r>
        <w:t>Chief Health Officer</w:t>
      </w:r>
      <w:r>
        <w:rPr>
          <w:snapToGrid w:val="0"/>
        </w:rPr>
        <w:t xml:space="preserve"> shall convene the first meeting of the Council as soon as practicable after the coming into operation of this Act, and thereafter the Council shall hold meetings at such times and places as the Council determines.</w:t>
      </w:r>
    </w:p>
    <w:p>
      <w:pPr>
        <w:pStyle w:val="Subsection"/>
        <w:rPr>
          <w:snapToGrid w:val="0"/>
        </w:rPr>
      </w:pPr>
      <w:r>
        <w:rPr>
          <w:snapToGrid w:val="0"/>
        </w:rPr>
        <w:tab/>
        <w:t>(8)</w:t>
      </w:r>
      <w:r>
        <w:rPr>
          <w:snapToGrid w:val="0"/>
        </w:rPr>
        <w:tab/>
        <w:t xml:space="preserve">The Minister or any 3 or more Council members may at any time require the </w:t>
      </w:r>
      <w:r>
        <w:t>Chief Health Officer</w:t>
      </w:r>
      <w:r>
        <w:rPr>
          <w:snapToGrid w:val="0"/>
        </w:rPr>
        <w:t xml:space="preserve"> to convene a meeting of the Council.</w:t>
      </w:r>
    </w:p>
    <w:p>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pPr>
        <w:pStyle w:val="Footnotesection"/>
      </w:pPr>
      <w:r>
        <w:tab/>
        <w:t xml:space="preserve">[Section 16 amended: No. 28 of 1984 s. 97; No. 19 of 2016 s. 102.] </w:t>
      </w:r>
    </w:p>
    <w:p>
      <w:pPr>
        <w:pStyle w:val="Heading5"/>
        <w:rPr>
          <w:snapToGrid w:val="0"/>
        </w:rPr>
      </w:pPr>
      <w:bookmarkStart w:id="41" w:name="_Toc531182101"/>
      <w:r>
        <w:rPr>
          <w:rStyle w:val="CharSectno"/>
        </w:rPr>
        <w:t>17</w:t>
      </w:r>
      <w:r>
        <w:rPr>
          <w:snapToGrid w:val="0"/>
        </w:rPr>
        <w:t>.</w:t>
      </w:r>
      <w:r>
        <w:rPr>
          <w:snapToGrid w:val="0"/>
        </w:rPr>
        <w:tab/>
        <w:t>Co</w:t>
      </w:r>
      <w:r>
        <w:rPr>
          <w:snapToGrid w:val="0"/>
        </w:rPr>
        <w:noBreakHyphen/>
        <w:t>option and consultants</w:t>
      </w:r>
      <w:bookmarkEnd w:id="41"/>
    </w:p>
    <w:p>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pPr>
        <w:pStyle w:val="Heading5"/>
        <w:rPr>
          <w:snapToGrid w:val="0"/>
        </w:rPr>
      </w:pPr>
      <w:bookmarkStart w:id="42" w:name="_Toc531182102"/>
      <w:r>
        <w:rPr>
          <w:rStyle w:val="CharSectno"/>
        </w:rPr>
        <w:t>18</w:t>
      </w:r>
      <w:r>
        <w:rPr>
          <w:snapToGrid w:val="0"/>
        </w:rPr>
        <w:t>.</w:t>
      </w:r>
      <w:r>
        <w:rPr>
          <w:snapToGrid w:val="0"/>
        </w:rPr>
        <w:tab/>
        <w:t>Delegation</w:t>
      </w:r>
      <w:bookmarkEnd w:id="42"/>
      <w:r>
        <w:rPr>
          <w:snapToGrid w:val="0"/>
        </w:rPr>
        <w:t xml:space="preserve"> </w:t>
      </w:r>
    </w:p>
    <w:p>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pPr>
        <w:pStyle w:val="Heading5"/>
        <w:rPr>
          <w:snapToGrid w:val="0"/>
        </w:rPr>
      </w:pPr>
      <w:bookmarkStart w:id="43" w:name="_Toc531182103"/>
      <w:r>
        <w:rPr>
          <w:rStyle w:val="CharSectno"/>
        </w:rPr>
        <w:t>19</w:t>
      </w:r>
      <w:r>
        <w:rPr>
          <w:snapToGrid w:val="0"/>
        </w:rPr>
        <w:t>.</w:t>
      </w:r>
      <w:r>
        <w:rPr>
          <w:snapToGrid w:val="0"/>
        </w:rPr>
        <w:tab/>
        <w:t>Committees</w:t>
      </w:r>
      <w:bookmarkEnd w:id="43"/>
      <w:r>
        <w:rPr>
          <w:snapToGrid w:val="0"/>
        </w:rPr>
        <w:t xml:space="preserve"> </w:t>
      </w:r>
    </w:p>
    <w:p>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pPr>
        <w:pStyle w:val="Heading5"/>
        <w:rPr>
          <w:snapToGrid w:val="0"/>
        </w:rPr>
      </w:pPr>
      <w:bookmarkStart w:id="44" w:name="_Toc531182104"/>
      <w:r>
        <w:rPr>
          <w:rStyle w:val="CharSectno"/>
        </w:rPr>
        <w:t>20</w:t>
      </w:r>
      <w:r>
        <w:rPr>
          <w:snapToGrid w:val="0"/>
        </w:rPr>
        <w:t>.</w:t>
      </w:r>
      <w:r>
        <w:rPr>
          <w:snapToGrid w:val="0"/>
        </w:rPr>
        <w:tab/>
        <w:t>Restriction on remuneration</w:t>
      </w:r>
      <w:bookmarkEnd w:id="44"/>
      <w:r>
        <w:rPr>
          <w:snapToGrid w:val="0"/>
        </w:rPr>
        <w:t xml:space="preserve"> </w:t>
      </w:r>
    </w:p>
    <w:p>
      <w:pPr>
        <w:pStyle w:val="Subsection"/>
        <w:keepNext/>
        <w:rPr>
          <w:snapToGrid w:val="0"/>
        </w:rPr>
      </w:pPr>
      <w:r>
        <w:rPr>
          <w:snapToGrid w:val="0"/>
        </w:rPr>
        <w:tab/>
      </w:r>
      <w:r>
        <w:rPr>
          <w:snapToGrid w:val="0"/>
        </w:rPr>
        <w:tab/>
        <w:t>The remuneration and allowances to be paid — </w:t>
      </w:r>
    </w:p>
    <w:p>
      <w:pPr>
        <w:pStyle w:val="Indenta"/>
        <w:rPr>
          <w:snapToGrid w:val="0"/>
        </w:rPr>
      </w:pPr>
      <w:r>
        <w:rPr>
          <w:snapToGrid w:val="0"/>
        </w:rPr>
        <w:tab/>
        <w:t>(a)</w:t>
      </w:r>
      <w:r>
        <w:rPr>
          <w:snapToGrid w:val="0"/>
        </w:rPr>
        <w:tab/>
        <w:t>to a Council member; or</w:t>
      </w:r>
    </w:p>
    <w:p>
      <w:pPr>
        <w:pStyle w:val="Indenta"/>
        <w:keepNext/>
        <w:rPr>
          <w:snapToGrid w:val="0"/>
        </w:rPr>
      </w:pPr>
      <w:r>
        <w:rPr>
          <w:snapToGrid w:val="0"/>
        </w:rPr>
        <w:tab/>
        <w:t>(b)</w:t>
      </w:r>
      <w:r>
        <w:rPr>
          <w:snapToGrid w:val="0"/>
        </w:rPr>
        <w:tab/>
        <w:t>to a person appointed a member of a committee of the Council,</w:t>
      </w:r>
    </w:p>
    <w:p>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w:t>
      </w:r>
      <w:r>
        <w:t xml:space="preserve"> Public Sector Commissioner</w:t>
      </w:r>
      <w:r>
        <w:rPr>
          <w:snapToGrid w:val="0"/>
        </w:rPr>
        <w:t>.</w:t>
      </w:r>
    </w:p>
    <w:p>
      <w:pPr>
        <w:pStyle w:val="Footnotesection"/>
      </w:pPr>
      <w:r>
        <w:tab/>
        <w:t xml:space="preserve">[Section 20 amended: No. 32 of 1994 s. 3(1) and 4; No. 39 of 2010 s. 89.] </w:t>
      </w:r>
    </w:p>
    <w:p>
      <w:pPr>
        <w:pStyle w:val="Heading5"/>
        <w:rPr>
          <w:snapToGrid w:val="0"/>
        </w:rPr>
      </w:pPr>
      <w:bookmarkStart w:id="45" w:name="_Toc531182105"/>
      <w:r>
        <w:rPr>
          <w:rStyle w:val="CharSectno"/>
        </w:rPr>
        <w:t>21</w:t>
      </w:r>
      <w:r>
        <w:rPr>
          <w:snapToGrid w:val="0"/>
        </w:rPr>
        <w:t>.</w:t>
      </w:r>
      <w:r>
        <w:rPr>
          <w:snapToGrid w:val="0"/>
        </w:rPr>
        <w:tab/>
        <w:t>Transfer of property</w:t>
      </w:r>
      <w:bookmarkEnd w:id="45"/>
      <w:r>
        <w:rPr>
          <w:snapToGrid w:val="0"/>
        </w:rPr>
        <w:t xml:space="preserve"> </w:t>
      </w:r>
    </w:p>
    <w:p>
      <w:pPr>
        <w:pStyle w:val="Subsection"/>
        <w:keepNext/>
        <w:rPr>
          <w:snapToGrid w:val="0"/>
        </w:rPr>
      </w:pPr>
      <w:r>
        <w:rPr>
          <w:snapToGrid w:val="0"/>
        </w:rPr>
        <w:tab/>
        <w:t>(1)</w:t>
      </w:r>
      <w:r>
        <w:rPr>
          <w:snapToGrid w:val="0"/>
        </w:rPr>
        <w:tab/>
        <w:t>Forthwith upon the coming into operation of this Act — </w:t>
      </w:r>
    </w:p>
    <w:p>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w:t>
      </w:r>
      <w:r>
        <w:rPr>
          <w:snapToGrid w:val="0"/>
          <w:vertAlign w:val="superscript"/>
        </w:rPr>
        <w:t>2</w:t>
      </w:r>
      <w:r>
        <w:rPr>
          <w:snapToGrid w:val="0"/>
        </w:rPr>
        <w:t>; and</w:t>
      </w:r>
    </w:p>
    <w:p>
      <w:pPr>
        <w:pStyle w:val="Indenta"/>
        <w:rPr>
          <w:snapToGrid w:val="0"/>
        </w:rPr>
      </w:pPr>
      <w:r>
        <w:rPr>
          <w:snapToGrid w:val="0"/>
        </w:rPr>
        <w:tab/>
        <w:t>(b)</w:t>
      </w:r>
      <w:r>
        <w:rPr>
          <w:snapToGrid w:val="0"/>
        </w:rPr>
        <w:tab/>
        <w:t>all remedies, powers, authorities, rights, title, interest and obligation in or with respect to those assets and liabilities,</w:t>
      </w:r>
    </w:p>
    <w:p>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pPr>
        <w:pStyle w:val="Heading5"/>
        <w:spacing w:before="180"/>
        <w:rPr>
          <w:snapToGrid w:val="0"/>
        </w:rPr>
      </w:pPr>
      <w:bookmarkStart w:id="46" w:name="_Toc531182106"/>
      <w:r>
        <w:rPr>
          <w:rStyle w:val="CharSectno"/>
        </w:rPr>
        <w:t>22</w:t>
      </w:r>
      <w:r>
        <w:rPr>
          <w:snapToGrid w:val="0"/>
        </w:rPr>
        <w:t>.</w:t>
      </w:r>
      <w:r>
        <w:rPr>
          <w:snapToGrid w:val="0"/>
        </w:rPr>
        <w:tab/>
        <w:t>Annual report of Council etc.</w:t>
      </w:r>
      <w:bookmarkEnd w:id="46"/>
    </w:p>
    <w:p>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pPr>
        <w:pStyle w:val="Heading5"/>
        <w:spacing w:before="180"/>
        <w:rPr>
          <w:snapToGrid w:val="0"/>
        </w:rPr>
      </w:pPr>
      <w:bookmarkStart w:id="47" w:name="_Toc531182107"/>
      <w:r>
        <w:rPr>
          <w:rStyle w:val="CharSectno"/>
        </w:rPr>
        <w:t>23</w:t>
      </w:r>
      <w:r>
        <w:rPr>
          <w:snapToGrid w:val="0"/>
        </w:rPr>
        <w:t>.</w:t>
      </w:r>
      <w:r>
        <w:rPr>
          <w:snapToGrid w:val="0"/>
        </w:rPr>
        <w:tab/>
        <w:t>Disputes with governmental bodies</w:t>
      </w:r>
      <w:bookmarkEnd w:id="47"/>
      <w:r>
        <w:rPr>
          <w:snapToGrid w:val="0"/>
        </w:rPr>
        <w:t xml:space="preserve"> </w:t>
      </w:r>
    </w:p>
    <w:p>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pPr>
        <w:pStyle w:val="Footnotesection"/>
      </w:pPr>
      <w:r>
        <w:tab/>
        <w:t>[Section 23: Correction to reprint: Gazette 28 Oct 2003 p. 4527.]</w:t>
      </w:r>
    </w:p>
    <w:p>
      <w:pPr>
        <w:pStyle w:val="Heading5"/>
        <w:spacing w:before="180"/>
        <w:rPr>
          <w:snapToGrid w:val="0"/>
        </w:rPr>
      </w:pPr>
      <w:bookmarkStart w:id="48" w:name="_Toc531182108"/>
      <w:r>
        <w:rPr>
          <w:rStyle w:val="CharSectno"/>
        </w:rPr>
        <w:t>24</w:t>
      </w:r>
      <w:r>
        <w:rPr>
          <w:snapToGrid w:val="0"/>
        </w:rPr>
        <w:t>.</w:t>
      </w:r>
      <w:r>
        <w:rPr>
          <w:snapToGrid w:val="0"/>
        </w:rPr>
        <w:tab/>
        <w:t>Actions, claims and demands</w:t>
      </w:r>
      <w:bookmarkEnd w:id="48"/>
      <w:r>
        <w:rPr>
          <w:snapToGrid w:val="0"/>
        </w:rPr>
        <w:t xml:space="preserve"> </w:t>
      </w:r>
    </w:p>
    <w:p>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pPr>
        <w:pStyle w:val="Subsection"/>
        <w:keepNext/>
        <w:rPr>
          <w:snapToGrid w:val="0"/>
        </w:rPr>
      </w:pPr>
      <w:r>
        <w:rPr>
          <w:snapToGrid w:val="0"/>
        </w:rPr>
        <w:tab/>
        <w:t>(2)</w:t>
      </w:r>
      <w:r>
        <w:rPr>
          <w:snapToGrid w:val="0"/>
        </w:rPr>
        <w:tab/>
        <w:t>Where a person who would otherwise be liable reasonably but mistakenly believed — </w:t>
      </w:r>
    </w:p>
    <w:p>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pPr>
        <w:pStyle w:val="Indenta"/>
        <w:keepNext/>
        <w:rPr>
          <w:snapToGrid w:val="0"/>
        </w:rPr>
      </w:pPr>
      <w:r>
        <w:rPr>
          <w:snapToGrid w:val="0"/>
        </w:rPr>
        <w:tab/>
        <w:t>(b)</w:t>
      </w:r>
      <w:r>
        <w:rPr>
          <w:snapToGrid w:val="0"/>
        </w:rPr>
        <w:tab/>
        <w:t>that he was authorised under this Act to do or cause or authorise to be done any matter or thing,</w:t>
      </w:r>
    </w:p>
    <w:p>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pPr>
        <w:pStyle w:val="Footnotesection"/>
      </w:pPr>
      <w:r>
        <w:tab/>
        <w:t>[Section 24: Correction to reprint: Gazette 28 Oct 2003 p. 4527.]</w:t>
      </w:r>
    </w:p>
    <w:p>
      <w:pPr>
        <w:pStyle w:val="Heading5"/>
      </w:pPr>
      <w:bookmarkStart w:id="49" w:name="_Toc531182109"/>
      <w:r>
        <w:rPr>
          <w:rStyle w:val="CharSectno"/>
        </w:rPr>
        <w:t>24A</w:t>
      </w:r>
      <w:r>
        <w:t>.</w:t>
      </w:r>
      <w:r>
        <w:tab/>
      </w:r>
      <w:r>
        <w:rPr>
          <w:bCs/>
        </w:rPr>
        <w:t xml:space="preserve">Disclosure of information to the Medical Radiation Practice Board of </w:t>
      </w:r>
      <w:smartTag w:uri="urn:schemas-microsoft-com:office:smarttags" w:element="country-region">
        <w:smartTag w:uri="urn:schemas-microsoft-com:office:smarttags" w:element="place">
          <w:r>
            <w:rPr>
              <w:bCs/>
            </w:rPr>
            <w:t>Australia</w:t>
          </w:r>
        </w:smartTag>
      </w:smartTag>
      <w:bookmarkEnd w:id="49"/>
    </w:p>
    <w:p>
      <w:pPr>
        <w:pStyle w:val="Subsection"/>
      </w:pPr>
      <w:r>
        <w:tab/>
        <w:t>(1)</w:t>
      </w:r>
      <w:r>
        <w:tab/>
        <w:t xml:space="preserve">The Council shall furnish to the Board written advice if — </w:t>
      </w:r>
    </w:p>
    <w:p>
      <w:pPr>
        <w:pStyle w:val="Indenta"/>
      </w:pPr>
      <w:r>
        <w:tab/>
        <w:t>(a)</w:t>
      </w:r>
      <w:r>
        <w:tab/>
        <w:t xml:space="preserve">a licence held by a medical radiation practitioner under the </w:t>
      </w:r>
      <w:r>
        <w:rPr>
          <w:i/>
        </w:rPr>
        <w:t>Radiation Safety Act 1975</w:t>
      </w:r>
      <w:r>
        <w:t xml:space="preserve"> is revoked, surrendered, not renewed or its operation is suspended; or</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keepNext/>
      </w:pPr>
      <w:r>
        <w:tab/>
        <w:t>(2)</w:t>
      </w:r>
      <w:r>
        <w:tab/>
        <w:t>The advice referred to in subsection (1) must be given no later than 30 days after the revocation, surrender, refusal to renew, suspension, imposition, variation or commencement of proceedings.</w:t>
      </w:r>
    </w:p>
    <w:p>
      <w:pPr>
        <w:pStyle w:val="Footnotesection"/>
      </w:pPr>
      <w:r>
        <w:tab/>
        <w:t>[Section 24A inserted: No. 21 of 2006 Sch. 3 cl. 5(7); amended: No. 35 of 2010 s. 145.]</w:t>
      </w:r>
    </w:p>
    <w:p>
      <w:pPr>
        <w:pStyle w:val="Heading2"/>
      </w:pPr>
      <w:bookmarkStart w:id="50" w:name="_Toc489602103"/>
      <w:bookmarkStart w:id="51" w:name="_Toc489602217"/>
      <w:bookmarkStart w:id="52" w:name="_Toc489602632"/>
      <w:bookmarkStart w:id="53" w:name="_Toc490129639"/>
      <w:bookmarkStart w:id="54" w:name="_Toc491788252"/>
      <w:bookmarkStart w:id="55" w:name="_Toc493601342"/>
      <w:bookmarkStart w:id="56" w:name="_Toc493601411"/>
      <w:bookmarkStart w:id="57" w:name="_Toc493601480"/>
      <w:bookmarkStart w:id="58" w:name="_Toc493603097"/>
      <w:bookmarkStart w:id="59" w:name="_Toc493603220"/>
      <w:bookmarkStart w:id="60" w:name="_Toc512325220"/>
      <w:bookmarkStart w:id="61" w:name="_Toc531182110"/>
      <w:r>
        <w:rPr>
          <w:rStyle w:val="CharPartNo"/>
        </w:rPr>
        <w:t>Part III</w:t>
      </w:r>
      <w:r>
        <w:rPr>
          <w:rStyle w:val="CharDivNo"/>
        </w:rPr>
        <w:t> </w:t>
      </w:r>
      <w:r>
        <w:t>—</w:t>
      </w:r>
      <w:r>
        <w:rPr>
          <w:rStyle w:val="CharDivText"/>
        </w:rPr>
        <w:t> </w:t>
      </w:r>
      <w:r>
        <w:rPr>
          <w:rStyle w:val="CharPartText"/>
        </w:rPr>
        <w:t>Licensing and registration</w:t>
      </w:r>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531182111"/>
      <w:r>
        <w:rPr>
          <w:rStyle w:val="CharSectno"/>
        </w:rPr>
        <w:t>25</w:t>
      </w:r>
      <w:r>
        <w:rPr>
          <w:snapToGrid w:val="0"/>
        </w:rPr>
        <w:t>.</w:t>
      </w:r>
      <w:r>
        <w:rPr>
          <w:snapToGrid w:val="0"/>
        </w:rPr>
        <w:tab/>
        <w:t>Matters requiring a licence</w:t>
      </w:r>
      <w:bookmarkEnd w:id="62"/>
      <w:r>
        <w:rPr>
          <w:snapToGrid w:val="0"/>
        </w:rPr>
        <w:t xml:space="preserve"> </w:t>
      </w:r>
    </w:p>
    <w:p>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being required to furnish direction or supervision to a prescribed degree, fails so to do; or</w:t>
      </w:r>
    </w:p>
    <w:p>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pPr>
        <w:pStyle w:val="Subsection"/>
        <w:rPr>
          <w:snapToGrid w:val="0"/>
        </w:rPr>
      </w:pPr>
      <w:r>
        <w:rPr>
          <w:snapToGrid w:val="0"/>
        </w:rPr>
        <w:tab/>
      </w:r>
      <w:r>
        <w:rPr>
          <w:snapToGrid w:val="0"/>
        </w:rPr>
        <w:tab/>
        <w:t>commits an offence.</w:t>
      </w:r>
    </w:p>
    <w:p>
      <w:pPr>
        <w:pStyle w:val="Heading5"/>
        <w:rPr>
          <w:snapToGrid w:val="0"/>
        </w:rPr>
      </w:pPr>
      <w:bookmarkStart w:id="63" w:name="_Toc531182112"/>
      <w:r>
        <w:rPr>
          <w:rStyle w:val="CharSectno"/>
        </w:rPr>
        <w:t>26</w:t>
      </w:r>
      <w:r>
        <w:rPr>
          <w:snapToGrid w:val="0"/>
        </w:rPr>
        <w:t>.</w:t>
      </w:r>
      <w:r>
        <w:rPr>
          <w:snapToGrid w:val="0"/>
        </w:rPr>
        <w:tab/>
        <w:t>Licensing of persons</w:t>
      </w:r>
      <w:bookmarkEnd w:id="63"/>
      <w:r>
        <w:rPr>
          <w:snapToGrid w:val="0"/>
        </w:rPr>
        <w:t xml:space="preserve"> </w:t>
      </w:r>
    </w:p>
    <w:p>
      <w:pPr>
        <w:pStyle w:val="Subsection"/>
        <w:keepNext/>
        <w:rPr>
          <w:snapToGrid w:val="0"/>
        </w:rPr>
      </w:pPr>
      <w:r>
        <w:rPr>
          <w:snapToGrid w:val="0"/>
        </w:rPr>
        <w:tab/>
        <w:t>(1)</w:t>
      </w:r>
      <w:r>
        <w:rPr>
          <w:snapToGrid w:val="0"/>
        </w:rPr>
        <w:tab/>
        <w:t>The licences which may be granted under this Act shall be of the following kinds — </w:t>
      </w:r>
    </w:p>
    <w:p>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pPr>
        <w:pStyle w:val="Indenti"/>
        <w:rPr>
          <w:snapToGrid w:val="0"/>
        </w:rPr>
      </w:pPr>
      <w:r>
        <w:rPr>
          <w:snapToGrid w:val="0"/>
        </w:rPr>
        <w:tab/>
        <w:t>(i)</w:t>
      </w:r>
      <w:r>
        <w:rPr>
          <w:snapToGrid w:val="0"/>
        </w:rPr>
        <w:tab/>
        <w:t>dental diagnosis;</w:t>
      </w:r>
      <w:r>
        <w:t xml:space="preserve"> and</w:t>
      </w:r>
    </w:p>
    <w:p>
      <w:pPr>
        <w:pStyle w:val="Indenti"/>
        <w:rPr>
          <w:snapToGrid w:val="0"/>
        </w:rPr>
      </w:pPr>
      <w:r>
        <w:rPr>
          <w:snapToGrid w:val="0"/>
        </w:rPr>
        <w:tab/>
        <w:t>(ii)</w:t>
      </w:r>
      <w:r>
        <w:rPr>
          <w:snapToGrid w:val="0"/>
        </w:rPr>
        <w:tab/>
        <w:t>medical diagnosis by radiography;</w:t>
      </w:r>
      <w:r>
        <w:t xml:space="preserve"> and</w:t>
      </w:r>
    </w:p>
    <w:p>
      <w:pPr>
        <w:pStyle w:val="Indenti"/>
        <w:rPr>
          <w:snapToGrid w:val="0"/>
        </w:rPr>
      </w:pPr>
      <w:r>
        <w:rPr>
          <w:snapToGrid w:val="0"/>
        </w:rPr>
        <w:tab/>
        <w:t>(iii)</w:t>
      </w:r>
      <w:r>
        <w:rPr>
          <w:snapToGrid w:val="0"/>
        </w:rPr>
        <w:tab/>
        <w:t>medical diagnosis by fluoroscopy;</w:t>
      </w:r>
      <w:r>
        <w:t xml:space="preserve"> and</w:t>
      </w:r>
    </w:p>
    <w:p>
      <w:pPr>
        <w:pStyle w:val="Indenti"/>
        <w:rPr>
          <w:snapToGrid w:val="0"/>
        </w:rPr>
      </w:pPr>
      <w:r>
        <w:rPr>
          <w:snapToGrid w:val="0"/>
        </w:rPr>
        <w:tab/>
        <w:t>(iv)</w:t>
      </w:r>
      <w:r>
        <w:rPr>
          <w:snapToGrid w:val="0"/>
        </w:rPr>
        <w:tab/>
        <w:t>medical diagnosis by the use of radioactive substances;</w:t>
      </w:r>
      <w:r>
        <w:t xml:space="preserve"> and</w:t>
      </w:r>
    </w:p>
    <w:p>
      <w:pPr>
        <w:pStyle w:val="Indenti"/>
        <w:rPr>
          <w:snapToGrid w:val="0"/>
        </w:rPr>
      </w:pPr>
      <w:r>
        <w:rPr>
          <w:snapToGrid w:val="0"/>
        </w:rPr>
        <w:tab/>
        <w:t>(v)</w:t>
      </w:r>
      <w:r>
        <w:rPr>
          <w:snapToGrid w:val="0"/>
        </w:rPr>
        <w:tab/>
        <w:t>medical therapy;</w:t>
      </w:r>
      <w:r>
        <w:t xml:space="preserve"> and</w:t>
      </w:r>
    </w:p>
    <w:p>
      <w:pPr>
        <w:pStyle w:val="Indenti"/>
        <w:rPr>
          <w:snapToGrid w:val="0"/>
        </w:rPr>
      </w:pPr>
      <w:r>
        <w:rPr>
          <w:snapToGrid w:val="0"/>
        </w:rPr>
        <w:tab/>
        <w:t>(vi)</w:t>
      </w:r>
      <w:r>
        <w:rPr>
          <w:snapToGrid w:val="0"/>
        </w:rPr>
        <w:tab/>
        <w:t>chiropractic diagnosis by radiography;</w:t>
      </w:r>
      <w:r>
        <w:t xml:space="preserve"> and</w:t>
      </w:r>
    </w:p>
    <w:p>
      <w:pPr>
        <w:pStyle w:val="Indenti"/>
        <w:rPr>
          <w:snapToGrid w:val="0"/>
        </w:rPr>
      </w:pPr>
      <w:r>
        <w:rPr>
          <w:snapToGrid w:val="0"/>
        </w:rPr>
        <w:tab/>
        <w:t>(vii)</w:t>
      </w:r>
      <w:r>
        <w:rPr>
          <w:snapToGrid w:val="0"/>
        </w:rPr>
        <w:tab/>
        <w:t>veterinary diagnosis by radiography;</w:t>
      </w:r>
      <w:r>
        <w:t xml:space="preserve"> and</w:t>
      </w:r>
    </w:p>
    <w:p>
      <w:pPr>
        <w:pStyle w:val="Indenti"/>
        <w:rPr>
          <w:snapToGrid w:val="0"/>
        </w:rPr>
      </w:pPr>
      <w:r>
        <w:rPr>
          <w:snapToGrid w:val="0"/>
        </w:rPr>
        <w:tab/>
        <w:t>(viii)</w:t>
      </w:r>
      <w:r>
        <w:rPr>
          <w:snapToGrid w:val="0"/>
        </w:rPr>
        <w:tab/>
        <w:t>veterinary therapy;</w:t>
      </w:r>
      <w:r>
        <w:t xml:space="preserve"> and</w:t>
      </w:r>
    </w:p>
    <w:p>
      <w:pPr>
        <w:pStyle w:val="Indenti"/>
        <w:rPr>
          <w:snapToGrid w:val="0"/>
        </w:rPr>
      </w:pPr>
      <w:r>
        <w:rPr>
          <w:snapToGrid w:val="0"/>
        </w:rPr>
        <w:tab/>
        <w:t>(ix)</w:t>
      </w:r>
      <w:r>
        <w:rPr>
          <w:snapToGrid w:val="0"/>
        </w:rPr>
        <w:tab/>
        <w:t>industrial;</w:t>
      </w:r>
      <w:r>
        <w:t xml:space="preserve"> and</w:t>
      </w:r>
    </w:p>
    <w:p>
      <w:pPr>
        <w:pStyle w:val="Indenti"/>
        <w:rPr>
          <w:snapToGrid w:val="0"/>
        </w:rPr>
      </w:pPr>
      <w:r>
        <w:rPr>
          <w:snapToGrid w:val="0"/>
        </w:rPr>
        <w:tab/>
        <w:t>(x)</w:t>
      </w:r>
      <w:r>
        <w:rPr>
          <w:snapToGrid w:val="0"/>
        </w:rPr>
        <w:tab/>
        <w:t>radioactive luminous devices;</w:t>
      </w:r>
      <w:r>
        <w:t xml:space="preserve"> and</w:t>
      </w:r>
    </w:p>
    <w:p>
      <w:pPr>
        <w:pStyle w:val="Indenti"/>
        <w:rPr>
          <w:snapToGrid w:val="0"/>
        </w:rPr>
      </w:pPr>
      <w:r>
        <w:rPr>
          <w:snapToGrid w:val="0"/>
        </w:rPr>
        <w:tab/>
        <w:t>(xi)</w:t>
      </w:r>
      <w:r>
        <w:rPr>
          <w:snapToGrid w:val="0"/>
        </w:rPr>
        <w:tab/>
        <w:t>research; and</w:t>
      </w:r>
    </w:p>
    <w:p>
      <w:pPr>
        <w:pStyle w:val="Indenti"/>
        <w:rPr>
          <w:snapToGrid w:val="0"/>
        </w:rPr>
      </w:pPr>
      <w:r>
        <w:rPr>
          <w:snapToGrid w:val="0"/>
        </w:rPr>
        <w:tab/>
        <w:t>(xii)</w:t>
      </w:r>
      <w:r>
        <w:rPr>
          <w:snapToGrid w:val="0"/>
        </w:rPr>
        <w:tab/>
        <w:t>other purposes approved by the Council;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pPr>
        <w:pStyle w:val="Subsection"/>
      </w:pPr>
      <w:r>
        <w:tab/>
        <w:t>(2a)</w:t>
      </w:r>
      <w:r>
        <w:tab/>
        <w:t xml:space="preserve">Notwithstanding the provisions of subsection (1), it shall not be necessary for a nurse practitioner acting in accordance with the relevant provision, if any, of a code or guidelines approved under the </w:t>
      </w:r>
      <w:r>
        <w:rPr>
          <w:i/>
        </w:rPr>
        <w:t>Health Practitioner Regulation National Law (Western Australia)</w:t>
      </w:r>
      <w:r>
        <w:t xml:space="preserve"> section 39 to hold a licence under this Act for the purpose of requesting the holder of a licence to undertake any diagnosis or therapy.</w:t>
      </w:r>
    </w:p>
    <w:p>
      <w:pPr>
        <w:pStyle w:val="Subsection"/>
      </w:pPr>
      <w:r>
        <w:tab/>
        <w:t>(2B)</w:t>
      </w:r>
      <w:r>
        <w:tab/>
        <w:t xml:space="preserve">In subsection (2a) — </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Subsection"/>
        <w:keepNext/>
        <w:spacing w:before="140"/>
        <w:rPr>
          <w:snapToGrid w:val="0"/>
        </w:rPr>
      </w:pPr>
      <w:r>
        <w:rPr>
          <w:snapToGrid w:val="0"/>
        </w:rPr>
        <w:tab/>
        <w:t>(3)</w:t>
      </w:r>
      <w:r>
        <w:rPr>
          <w:snapToGrid w:val="0"/>
        </w:rPr>
        <w:tab/>
        <w:t>A licence shall be in the prescribed form, but may relate to one matter or several matters.</w:t>
      </w:r>
    </w:p>
    <w:p>
      <w:pPr>
        <w:pStyle w:val="Footnotesection"/>
      </w:pPr>
      <w:r>
        <w:tab/>
        <w:t>[Section 26 amended: No. 9 of 2003 s. 52; No. 50 of 2006 Sch. 3 cl. 19; No. 35 of 2010 s. 146; No. 4 of 2018 s. 118.]</w:t>
      </w:r>
    </w:p>
    <w:p>
      <w:pPr>
        <w:pStyle w:val="Heading5"/>
        <w:spacing w:before="200"/>
        <w:rPr>
          <w:snapToGrid w:val="0"/>
        </w:rPr>
      </w:pPr>
      <w:bookmarkStart w:id="64" w:name="_Toc531182113"/>
      <w:r>
        <w:rPr>
          <w:rStyle w:val="CharSectno"/>
        </w:rPr>
        <w:t>27</w:t>
      </w:r>
      <w:r>
        <w:rPr>
          <w:snapToGrid w:val="0"/>
        </w:rPr>
        <w:t>.</w:t>
      </w:r>
      <w:r>
        <w:rPr>
          <w:snapToGrid w:val="0"/>
        </w:rPr>
        <w:tab/>
        <w:t>Use of radioactive substances or radiation on persons</w:t>
      </w:r>
      <w:bookmarkEnd w:id="64"/>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pPr>
        <w:pStyle w:val="Subsection"/>
        <w:rPr>
          <w:snapToGrid w:val="0"/>
          <w:spacing w:val="-2"/>
        </w:rPr>
      </w:pPr>
      <w:r>
        <w:rPr>
          <w:snapToGrid w:val="0"/>
          <w:spacing w:val="-2"/>
        </w:rPr>
        <w:tab/>
      </w:r>
      <w:r>
        <w:rPr>
          <w:snapToGrid w:val="0"/>
          <w:spacing w:val="-2"/>
        </w:rPr>
        <w:tab/>
        <w:t>commits an offence unless the provisions of subsection (2) apply.</w:t>
      </w:r>
    </w:p>
    <w:p>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pPr>
        <w:pStyle w:val="Indenta"/>
      </w:pPr>
      <w:r>
        <w:tab/>
        <w:t>(a)</w:t>
      </w:r>
      <w:r>
        <w:tab/>
        <w:t xml:space="preserve">the person was — </w:t>
      </w:r>
    </w:p>
    <w:p>
      <w:pPr>
        <w:pStyle w:val="Indenti"/>
      </w:pPr>
      <w:r>
        <w:tab/>
        <w:t>(i)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chiropractic profession; or</w:t>
      </w:r>
    </w:p>
    <w:p>
      <w:pPr>
        <w:pStyle w:val="Indenti"/>
      </w:pPr>
      <w:r>
        <w:tab/>
        <w:t>(ii)</w:t>
      </w:r>
      <w:r>
        <w:tab/>
        <w:t xml:space="preserve">registered under the </w:t>
      </w:r>
      <w:r>
        <w:rPr>
          <w:i/>
        </w:rPr>
        <w:t>Health Practitioner Regulation National Law (Western Australia)</w:t>
      </w:r>
      <w:r>
        <w:t xml:space="preserve"> in the dental profession whose name is entered on the Dentists Division of the Register of Dental Practitioners kept under that Law; or</w:t>
      </w:r>
    </w:p>
    <w:p>
      <w:pPr>
        <w:pStyle w:val="Indenti"/>
      </w:pPr>
      <w:r>
        <w:tab/>
        <w:t>(iii)</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or</w:t>
      </w:r>
    </w:p>
    <w:p>
      <w:pPr>
        <w:pStyle w:val="Indenti"/>
      </w:pPr>
      <w:r>
        <w:tab/>
        <w:t>(iv)</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physiotherapy profession,</w:t>
      </w:r>
    </w:p>
    <w:p>
      <w:pPr>
        <w:pStyle w:val="Indenta"/>
      </w:pPr>
      <w:r>
        <w:tab/>
      </w:r>
      <w:r>
        <w:tab/>
        <w:t>and engaged in his or her professional practice, and was the holder of a relevant licence under this Act authorising him or her so to do; or</w:t>
      </w:r>
    </w:p>
    <w:p>
      <w:pPr>
        <w:pStyle w:val="Indenta"/>
        <w:rPr>
          <w:snapToGrid w:val="0"/>
          <w:spacing w:val="-2"/>
        </w:rPr>
      </w:pPr>
      <w:r>
        <w:rPr>
          <w:snapToGrid w:val="0"/>
          <w:spacing w:val="-2"/>
        </w:rPr>
        <w:tab/>
        <w:t>(b)</w:t>
      </w:r>
      <w:r>
        <w:rPr>
          <w:snapToGrid w:val="0"/>
          <w:spacing w:val="-2"/>
        </w:rPr>
        <w:tab/>
      </w:r>
      <w:r>
        <w:t xml:space="preserve">if the person is not practising in an area of medical radiation technology, </w:t>
      </w:r>
      <w:r>
        <w:rPr>
          <w:snapToGrid w:val="0"/>
          <w:spacing w:val="-2"/>
        </w:rPr>
        <w:t xml:space="preserve">he was lawfully acting under the direction and supervision of a person to whom paragraph (a) applies; </w:t>
      </w:r>
    </w:p>
    <w:p>
      <w:pPr>
        <w:pStyle w:val="Indenta"/>
      </w:pPr>
      <w:r>
        <w:tab/>
        <w:t>(ba)</w:t>
      </w:r>
      <w:r>
        <w:tab/>
        <w:t>he was —</w:t>
      </w:r>
    </w:p>
    <w:p>
      <w:pPr>
        <w:pStyle w:val="Indenti"/>
      </w:pPr>
      <w:r>
        <w:tab/>
        <w:t>(i)</w:t>
      </w:r>
      <w:r>
        <w:tab/>
        <w:t>a medical radiation practitioner</w:t>
      </w:r>
      <w:r>
        <w:rPr>
          <w:snapToGrid w:val="0"/>
        </w:rPr>
        <w:t xml:space="preserve"> </w:t>
      </w:r>
      <w:r>
        <w:t>engaged in professional practice; and</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keepNext/>
      </w:pPr>
      <w:r>
        <w:tab/>
        <w:t>(bb)</w:t>
      </w:r>
      <w:r>
        <w:tab/>
        <w:t>he was —</w:t>
      </w:r>
    </w:p>
    <w:p>
      <w:pPr>
        <w:pStyle w:val="Indenti"/>
      </w:pPr>
      <w:r>
        <w:tab/>
        <w:t>(i)</w:t>
      </w:r>
      <w:r>
        <w:tab/>
        <w:t>a medical radiation practitioner whose registration was subject to a condition that his practice in an area of medical radiation technology be subject to direction and supervision by a person to whom paragraph (a) or (ba) applies (a </w:t>
      </w:r>
      <w:r>
        <w:rPr>
          <w:rStyle w:val="CharDefText"/>
        </w:rPr>
        <w:t>supervisor</w:t>
      </w:r>
      <w:r>
        <w:t>); and</w:t>
      </w:r>
    </w:p>
    <w:p>
      <w:pPr>
        <w:pStyle w:val="Indenti"/>
      </w:pPr>
      <w:r>
        <w:tab/>
        <w:t>(ii)</w:t>
      </w:r>
      <w:r>
        <w:tab/>
        <w:t>lawfully acting under the direction and supervision of a supervisor;</w:t>
      </w:r>
    </w:p>
    <w:p>
      <w:pPr>
        <w:pStyle w:val="Indenta"/>
        <w:rPr>
          <w:snapToGrid w:val="0"/>
          <w:spacing w:val="-2"/>
        </w:rPr>
      </w:pPr>
      <w:r>
        <w:tab/>
      </w:r>
      <w:r>
        <w:tab/>
        <w:t>or</w:t>
      </w:r>
    </w:p>
    <w:p>
      <w:pPr>
        <w:pStyle w:val="Indenta"/>
        <w:rPr>
          <w:snapToGrid w:val="0"/>
        </w:rPr>
      </w:pPr>
      <w:r>
        <w:rPr>
          <w:snapToGrid w:val="0"/>
        </w:rPr>
        <w:tab/>
        <w:t>(c)</w:t>
      </w:r>
      <w:r>
        <w:rPr>
          <w:snapToGrid w:val="0"/>
        </w:rPr>
        <w:tab/>
        <w:t>he was the holder of an exemption granted under this Act.</w:t>
      </w:r>
    </w:p>
    <w:p>
      <w:pPr>
        <w:pStyle w:val="Footnotesection"/>
      </w:pPr>
      <w:r>
        <w:tab/>
        <w:t>[Section 27 amended: No. 21 of 2006 Sch. 3 cl. 5(8); No. 35 of 2010 s. 147.]</w:t>
      </w:r>
    </w:p>
    <w:p>
      <w:pPr>
        <w:pStyle w:val="Heading5"/>
        <w:rPr>
          <w:snapToGrid w:val="0"/>
        </w:rPr>
      </w:pPr>
      <w:bookmarkStart w:id="65" w:name="_Toc531182114"/>
      <w:r>
        <w:rPr>
          <w:rStyle w:val="CharSectno"/>
        </w:rPr>
        <w:t>28</w:t>
      </w:r>
      <w:r>
        <w:rPr>
          <w:snapToGrid w:val="0"/>
        </w:rPr>
        <w:t>.</w:t>
      </w:r>
      <w:r>
        <w:rPr>
          <w:snapToGrid w:val="0"/>
        </w:rPr>
        <w:tab/>
        <w:t>Registration</w:t>
      </w:r>
      <w:bookmarkEnd w:id="65"/>
      <w:r>
        <w:rPr>
          <w:snapToGrid w:val="0"/>
        </w:rPr>
        <w:t xml:space="preserve"> </w:t>
      </w:r>
    </w:p>
    <w:p>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pPr>
        <w:pStyle w:val="Indenta"/>
        <w:keepNext/>
        <w:rPr>
          <w:snapToGrid w:val="0"/>
        </w:rPr>
      </w:pPr>
      <w:r>
        <w:rPr>
          <w:snapToGrid w:val="0"/>
        </w:rPr>
        <w:tab/>
        <w:t>(a)</w:t>
      </w:r>
      <w:r>
        <w:rPr>
          <w:snapToGrid w:val="0"/>
        </w:rPr>
        <w:tab/>
        <w:t>the owner of any premises, or any part of any premises — </w:t>
      </w:r>
    </w:p>
    <w:p>
      <w:pPr>
        <w:pStyle w:val="Indenti"/>
        <w:rPr>
          <w:snapToGrid w:val="0"/>
        </w:rPr>
      </w:pPr>
      <w:r>
        <w:rPr>
          <w:snapToGrid w:val="0"/>
        </w:rPr>
        <w:tab/>
        <w:t>(i)</w:t>
      </w:r>
      <w:r>
        <w:rPr>
          <w:snapToGrid w:val="0"/>
        </w:rPr>
        <w:tab/>
        <w:t>in which any radioactive substance is manufactured, used or stored; or</w:t>
      </w:r>
    </w:p>
    <w:p>
      <w:pPr>
        <w:pStyle w:val="Indenti"/>
        <w:rPr>
          <w:snapToGrid w:val="0"/>
        </w:rPr>
      </w:pPr>
      <w:r>
        <w:rPr>
          <w:snapToGrid w:val="0"/>
        </w:rPr>
        <w:tab/>
        <w:t>(ii)</w:t>
      </w:r>
      <w:r>
        <w:rPr>
          <w:snapToGrid w:val="0"/>
        </w:rPr>
        <w:tab/>
        <w:t>in which any irradiating apparatus or electronic product is used or operated; or</w:t>
      </w:r>
    </w:p>
    <w:p>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of any irradiating apparatus; or</w:t>
      </w:r>
    </w:p>
    <w:p>
      <w:pPr>
        <w:pStyle w:val="Indenta"/>
        <w:rPr>
          <w:snapToGrid w:val="0"/>
        </w:rPr>
      </w:pPr>
      <w:r>
        <w:rPr>
          <w:snapToGrid w:val="0"/>
        </w:rPr>
        <w:tab/>
        <w:t>(c)</w:t>
      </w:r>
      <w:r>
        <w:rPr>
          <w:snapToGrid w:val="0"/>
        </w:rPr>
        <w:tab/>
        <w:t>the owner of any electronic product.</w:t>
      </w:r>
    </w:p>
    <w:p>
      <w:pPr>
        <w:pStyle w:val="Subsection"/>
        <w:keepNext/>
        <w:rPr>
          <w:snapToGrid w:val="0"/>
        </w:rPr>
      </w:pPr>
      <w:r>
        <w:rPr>
          <w:snapToGrid w:val="0"/>
        </w:rPr>
        <w:tab/>
        <w:t>(2)</w:t>
      </w:r>
      <w:r>
        <w:rPr>
          <w:snapToGrid w:val="0"/>
        </w:rPr>
        <w:tab/>
        <w:t>A person who is required to comply with subsection (1) shall —</w:t>
      </w:r>
    </w:p>
    <w:p>
      <w:pPr>
        <w:pStyle w:val="Indenta"/>
        <w:rPr>
          <w:snapToGrid w:val="0"/>
        </w:rPr>
      </w:pPr>
      <w:r>
        <w:rPr>
          <w:snapToGrid w:val="0"/>
        </w:rPr>
        <w:tab/>
        <w:t>(a)</w:t>
      </w:r>
      <w:r>
        <w:rPr>
          <w:snapToGrid w:val="0"/>
        </w:rPr>
        <w:tab/>
        <w:t>on the coming into operation of this Act, within such period as is prescribed; or</w:t>
      </w:r>
    </w:p>
    <w:p>
      <w:pPr>
        <w:pStyle w:val="Indenta"/>
        <w:rPr>
          <w:snapToGrid w:val="0"/>
        </w:rPr>
      </w:pPr>
      <w:r>
        <w:rPr>
          <w:snapToGrid w:val="0"/>
        </w:rPr>
        <w:tab/>
        <w:t>(b)</w:t>
      </w:r>
      <w:r>
        <w:rPr>
          <w:snapToGrid w:val="0"/>
        </w:rPr>
        <w:tab/>
        <w:t>on or after the expiry of that prescribed period, within 14 days of becoming the owner of the premises, apparatus or product,</w:t>
      </w:r>
    </w:p>
    <w:p>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pPr>
        <w:pStyle w:val="Indenta"/>
        <w:rPr>
          <w:snapToGrid w:val="0"/>
        </w:rPr>
      </w:pPr>
      <w:r>
        <w:rPr>
          <w:snapToGrid w:val="0"/>
        </w:rPr>
        <w:tab/>
        <w:t>(a)</w:t>
      </w:r>
      <w:r>
        <w:rPr>
          <w:snapToGrid w:val="0"/>
        </w:rPr>
        <w:tab/>
        <w:t>fails to cause an application to be made for registration; or</w:t>
      </w:r>
    </w:p>
    <w:p>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pPr>
        <w:pStyle w:val="Heading5"/>
        <w:rPr>
          <w:snapToGrid w:val="0"/>
        </w:rPr>
      </w:pPr>
      <w:bookmarkStart w:id="66" w:name="_Toc531182115"/>
      <w:r>
        <w:rPr>
          <w:rStyle w:val="CharSectno"/>
        </w:rPr>
        <w:t>29</w:t>
      </w:r>
      <w:r>
        <w:rPr>
          <w:snapToGrid w:val="0"/>
        </w:rPr>
        <w:t>.</w:t>
      </w:r>
      <w:r>
        <w:rPr>
          <w:snapToGrid w:val="0"/>
        </w:rPr>
        <w:tab/>
        <w:t>Sales and purchases</w:t>
      </w:r>
      <w:bookmarkEnd w:id="66"/>
      <w:r>
        <w:rPr>
          <w:snapToGrid w:val="0"/>
        </w:rPr>
        <w:t xml:space="preserve"> </w:t>
      </w:r>
    </w:p>
    <w:p>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pPr>
        <w:pStyle w:val="Indenta"/>
        <w:rPr>
          <w:snapToGrid w:val="0"/>
        </w:rPr>
      </w:pPr>
      <w:r>
        <w:rPr>
          <w:snapToGrid w:val="0"/>
        </w:rPr>
        <w:tab/>
        <w:t>(a)</w:t>
      </w:r>
      <w:r>
        <w:rPr>
          <w:snapToGrid w:val="0"/>
        </w:rPr>
        <w:tab/>
        <w:t>forthwith notify the Council in writing; and</w:t>
      </w:r>
    </w:p>
    <w:p>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pPr>
        <w:pStyle w:val="Heading5"/>
        <w:rPr>
          <w:snapToGrid w:val="0"/>
        </w:rPr>
      </w:pPr>
      <w:bookmarkStart w:id="67" w:name="_Toc531182116"/>
      <w:r>
        <w:rPr>
          <w:rStyle w:val="CharSectno"/>
        </w:rPr>
        <w:t>30</w:t>
      </w:r>
      <w:r>
        <w:rPr>
          <w:snapToGrid w:val="0"/>
        </w:rPr>
        <w:t>.</w:t>
      </w:r>
      <w:r>
        <w:rPr>
          <w:snapToGrid w:val="0"/>
        </w:rPr>
        <w:tab/>
        <w:t>Registration of defective premises, apparatus or products prohibited</w:t>
      </w:r>
      <w:bookmarkEnd w:id="67"/>
      <w:r>
        <w:rPr>
          <w:snapToGrid w:val="0"/>
        </w:rPr>
        <w:t xml:space="preserve"> </w:t>
      </w:r>
    </w:p>
    <w:p>
      <w:pPr>
        <w:pStyle w:val="Subsection"/>
        <w:keepNext/>
        <w:rPr>
          <w:snapToGrid w:val="0"/>
        </w:rPr>
      </w:pPr>
      <w:r>
        <w:rPr>
          <w:snapToGrid w:val="0"/>
        </w:rPr>
        <w:tab/>
      </w:r>
      <w:r>
        <w:rPr>
          <w:snapToGrid w:val="0"/>
        </w:rPr>
        <w:tab/>
        <w:t>Registration under this Act shall not be effected by the Council unless the Council is satisfied that — </w:t>
      </w:r>
    </w:p>
    <w:p>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pPr>
        <w:pStyle w:val="Heading5"/>
        <w:rPr>
          <w:snapToGrid w:val="0"/>
        </w:rPr>
      </w:pPr>
      <w:bookmarkStart w:id="68" w:name="_Toc531182117"/>
      <w:r>
        <w:rPr>
          <w:rStyle w:val="CharSectno"/>
        </w:rPr>
        <w:t>31</w:t>
      </w:r>
      <w:r>
        <w:rPr>
          <w:snapToGrid w:val="0"/>
        </w:rPr>
        <w:t>.</w:t>
      </w:r>
      <w:r>
        <w:rPr>
          <w:snapToGrid w:val="0"/>
        </w:rPr>
        <w:tab/>
        <w:t>Review of potentially dangerous articles</w:t>
      </w:r>
      <w:bookmarkEnd w:id="68"/>
      <w:r>
        <w:rPr>
          <w:snapToGrid w:val="0"/>
        </w:rPr>
        <w:t xml:space="preserve"> </w:t>
      </w:r>
    </w:p>
    <w:p>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pPr>
        <w:pStyle w:val="Heading5"/>
        <w:rPr>
          <w:snapToGrid w:val="0"/>
        </w:rPr>
      </w:pPr>
      <w:bookmarkStart w:id="69" w:name="_Toc531182118"/>
      <w:r>
        <w:rPr>
          <w:rStyle w:val="CharSectno"/>
        </w:rPr>
        <w:t>32</w:t>
      </w:r>
      <w:r>
        <w:rPr>
          <w:snapToGrid w:val="0"/>
        </w:rPr>
        <w:t>.</w:t>
      </w:r>
      <w:r>
        <w:rPr>
          <w:snapToGrid w:val="0"/>
        </w:rPr>
        <w:tab/>
        <w:t>Refusal of licence, exemption or registration</w:t>
      </w:r>
      <w:bookmarkEnd w:id="69"/>
      <w:r>
        <w:rPr>
          <w:snapToGrid w:val="0"/>
        </w:rPr>
        <w:t xml:space="preserve"> </w:t>
      </w:r>
    </w:p>
    <w:p>
      <w:pPr>
        <w:pStyle w:val="Subsection"/>
        <w:keepNext/>
        <w:rPr>
          <w:snapToGrid w:val="0"/>
        </w:rPr>
      </w:pPr>
      <w:r>
        <w:rPr>
          <w:snapToGrid w:val="0"/>
        </w:rPr>
        <w:tab/>
        <w:t>(1)</w:t>
      </w:r>
      <w:r>
        <w:rPr>
          <w:snapToGrid w:val="0"/>
        </w:rPr>
        <w:tab/>
        <w:t>The Council shall refuse to grant or renew a licence or exemption, or to effect or renew a registration, if — </w:t>
      </w:r>
    </w:p>
    <w:p>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 or</w:t>
      </w:r>
    </w:p>
    <w:p>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pPr>
        <w:pStyle w:val="Subsection"/>
        <w:keepNext/>
        <w:rPr>
          <w:snapToGrid w:val="0"/>
        </w:rPr>
      </w:pPr>
      <w:r>
        <w:rPr>
          <w:snapToGrid w:val="0"/>
        </w:rPr>
        <w:tab/>
        <w:t>(2)</w:t>
      </w:r>
      <w:r>
        <w:rPr>
          <w:snapToGrid w:val="0"/>
        </w:rPr>
        <w:tab/>
        <w:t>The Council may refuse to grant or renew a licence or exemption, or to effect or renew a registration, if — </w:t>
      </w:r>
    </w:p>
    <w:p>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 or</w:t>
      </w:r>
    </w:p>
    <w:p>
      <w:pPr>
        <w:pStyle w:val="Indenta"/>
        <w:keepNext/>
        <w:rPr>
          <w:snapToGrid w:val="0"/>
        </w:rPr>
      </w:pPr>
      <w:r>
        <w:rPr>
          <w:snapToGrid w:val="0"/>
        </w:rPr>
        <w:tab/>
        <w:t>(b)</w:t>
      </w:r>
      <w:r>
        <w:rPr>
          <w:snapToGrid w:val="0"/>
        </w:rPr>
        <w:tab/>
        <w:t>the Council is not satisfied that the radioactive substance, irradiating apparatus or electronic product — </w:t>
      </w:r>
    </w:p>
    <w:p>
      <w:pPr>
        <w:pStyle w:val="Indenti"/>
        <w:rPr>
          <w:snapToGrid w:val="0"/>
        </w:rPr>
      </w:pPr>
      <w:r>
        <w:rPr>
          <w:snapToGrid w:val="0"/>
        </w:rPr>
        <w:tab/>
        <w:t>(i)</w:t>
      </w:r>
      <w:r>
        <w:rPr>
          <w:snapToGrid w:val="0"/>
        </w:rPr>
        <w:tab/>
        <w:t>is likely to produce a positive net benefit, having regard to the potential hazard, of a nature such as to justify its use; or</w:t>
      </w:r>
    </w:p>
    <w:p>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pPr>
        <w:pStyle w:val="Indenta"/>
        <w:rPr>
          <w:snapToGrid w:val="0"/>
        </w:rPr>
      </w:pPr>
      <w:r>
        <w:rPr>
          <w:snapToGrid w:val="0"/>
        </w:rPr>
        <w:tab/>
        <w:t>(d)</w:t>
      </w:r>
      <w:r>
        <w:rPr>
          <w:snapToGrid w:val="0"/>
        </w:rPr>
        <w:tab/>
        <w:t>the Council is for any other reason of the opinion that such a refusal is in the public interest.</w:t>
      </w:r>
    </w:p>
    <w:p>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pPr>
        <w:pStyle w:val="Footnotesection"/>
        <w:keepLines w:val="0"/>
      </w:pPr>
      <w:r>
        <w:tab/>
        <w:t xml:space="preserve">[Section 32 amended: No. 20 of 1979 s. 2.] </w:t>
      </w:r>
    </w:p>
    <w:p>
      <w:pPr>
        <w:pStyle w:val="Heading5"/>
        <w:rPr>
          <w:snapToGrid w:val="0"/>
        </w:rPr>
      </w:pPr>
      <w:bookmarkStart w:id="70" w:name="_Toc531182119"/>
      <w:r>
        <w:rPr>
          <w:rStyle w:val="CharSectno"/>
        </w:rPr>
        <w:t>33</w:t>
      </w:r>
      <w:r>
        <w:rPr>
          <w:snapToGrid w:val="0"/>
        </w:rPr>
        <w:t>.</w:t>
      </w:r>
      <w:r>
        <w:rPr>
          <w:snapToGrid w:val="0"/>
        </w:rPr>
        <w:tab/>
        <w:t>Licences and registration</w:t>
      </w:r>
      <w:bookmarkEnd w:id="70"/>
      <w:r>
        <w:rPr>
          <w:snapToGrid w:val="0"/>
        </w:rPr>
        <w:t xml:space="preserve"> </w:t>
      </w:r>
    </w:p>
    <w:p>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pPr>
        <w:pStyle w:val="Indenta"/>
        <w:rPr>
          <w:snapToGrid w:val="0"/>
        </w:rPr>
      </w:pPr>
      <w:r>
        <w:rPr>
          <w:snapToGrid w:val="0"/>
        </w:rPr>
        <w:tab/>
        <w:t>(a)</w:t>
      </w:r>
      <w:r>
        <w:rPr>
          <w:snapToGrid w:val="0"/>
        </w:rPr>
        <w:tab/>
        <w:t>the application;</w:t>
      </w:r>
      <w:r>
        <w:t xml:space="preserve"> and</w:t>
      </w:r>
    </w:p>
    <w:p>
      <w:pPr>
        <w:pStyle w:val="Indenta"/>
        <w:rPr>
          <w:snapToGrid w:val="0"/>
        </w:rPr>
      </w:pPr>
      <w:r>
        <w:rPr>
          <w:snapToGrid w:val="0"/>
        </w:rPr>
        <w:tab/>
        <w:t>(b)</w:t>
      </w:r>
      <w:r>
        <w:rPr>
          <w:snapToGrid w:val="0"/>
        </w:rPr>
        <w:tab/>
        <w:t>the payment of the fees or other moneys due;</w:t>
      </w:r>
      <w:r>
        <w:t xml:space="preserve"> and</w:t>
      </w:r>
    </w:p>
    <w:p>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pPr>
        <w:pStyle w:val="Subsection"/>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pPr>
        <w:pStyle w:val="Subsection"/>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pPr>
        <w:pStyle w:val="Heading5"/>
        <w:rPr>
          <w:snapToGrid w:val="0"/>
        </w:rPr>
      </w:pPr>
      <w:bookmarkStart w:id="71" w:name="_Toc531182120"/>
      <w:r>
        <w:rPr>
          <w:rStyle w:val="CharSectno"/>
        </w:rPr>
        <w:t>34</w:t>
      </w:r>
      <w:r>
        <w:rPr>
          <w:snapToGrid w:val="0"/>
        </w:rPr>
        <w:t>.</w:t>
      </w:r>
      <w:r>
        <w:rPr>
          <w:snapToGrid w:val="0"/>
        </w:rPr>
        <w:tab/>
        <w:t>Disposal permits</w:t>
      </w:r>
      <w:bookmarkEnd w:id="71"/>
      <w:r>
        <w:rPr>
          <w:snapToGrid w:val="0"/>
        </w:rPr>
        <w:t xml:space="preserve"> </w:t>
      </w:r>
    </w:p>
    <w:p>
      <w:pPr>
        <w:pStyle w:val="Subsection"/>
        <w:keepNext/>
        <w:rPr>
          <w:snapToGrid w:val="0"/>
        </w:rPr>
      </w:pPr>
      <w:r>
        <w:rPr>
          <w:snapToGrid w:val="0"/>
        </w:rPr>
        <w:tab/>
        <w:t>(1)</w:t>
      </w:r>
      <w:r>
        <w:rPr>
          <w:snapToGrid w:val="0"/>
        </w:rPr>
        <w:tab/>
        <w:t>Where any radioactive substance, irradiating apparatus or electronic product is no longer required by a person — </w:t>
      </w:r>
    </w:p>
    <w:p>
      <w:pPr>
        <w:pStyle w:val="Indenta"/>
        <w:rPr>
          <w:snapToGrid w:val="0"/>
        </w:rPr>
      </w:pPr>
      <w:r>
        <w:rPr>
          <w:snapToGrid w:val="0"/>
        </w:rPr>
        <w:tab/>
        <w:t>(a)</w:t>
      </w:r>
      <w:r>
        <w:rPr>
          <w:snapToGrid w:val="0"/>
        </w:rPr>
        <w:tab/>
        <w:t>because of the refusal of a licence or registration or otherwise by reason of the operation of this Act; or</w:t>
      </w:r>
    </w:p>
    <w:p>
      <w:pPr>
        <w:pStyle w:val="Indenta"/>
        <w:rPr>
          <w:snapToGrid w:val="0"/>
        </w:rPr>
      </w:pPr>
      <w:r>
        <w:rPr>
          <w:snapToGrid w:val="0"/>
        </w:rPr>
        <w:tab/>
        <w:t>(b)</w:t>
      </w:r>
      <w:r>
        <w:rPr>
          <w:snapToGrid w:val="0"/>
        </w:rPr>
        <w:tab/>
        <w:t>because it has ceased to be useful or is waste;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that radioactive substance, irradiating apparatus or electronic product may be disposed of under the authority of a disposal permit granted by the Council.</w:t>
      </w:r>
    </w:p>
    <w:p>
      <w:pPr>
        <w:pStyle w:val="Subsection"/>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pPr>
        <w:pStyle w:val="Heading5"/>
        <w:rPr>
          <w:snapToGrid w:val="0"/>
        </w:rPr>
      </w:pPr>
      <w:bookmarkStart w:id="72" w:name="_Toc531182121"/>
      <w:r>
        <w:rPr>
          <w:rStyle w:val="CharSectno"/>
        </w:rPr>
        <w:t>35</w:t>
      </w:r>
      <w:r>
        <w:rPr>
          <w:snapToGrid w:val="0"/>
        </w:rPr>
        <w:t>.</w:t>
      </w:r>
      <w:r>
        <w:rPr>
          <w:snapToGrid w:val="0"/>
        </w:rPr>
        <w:tab/>
        <w:t>Temporary permits</w:t>
      </w:r>
      <w:bookmarkEnd w:id="72"/>
      <w:r>
        <w:rPr>
          <w:snapToGrid w:val="0"/>
        </w:rPr>
        <w:t xml:space="preserve"> </w:t>
      </w:r>
    </w:p>
    <w:p>
      <w:pPr>
        <w:pStyle w:val="Subsection"/>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pPr>
        <w:pStyle w:val="Subsection"/>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pPr>
        <w:pStyle w:val="Heading5"/>
        <w:rPr>
          <w:snapToGrid w:val="0"/>
        </w:rPr>
      </w:pPr>
      <w:bookmarkStart w:id="73" w:name="_Toc531182122"/>
      <w:r>
        <w:rPr>
          <w:rStyle w:val="CharSectno"/>
        </w:rPr>
        <w:t>36</w:t>
      </w:r>
      <w:r>
        <w:rPr>
          <w:snapToGrid w:val="0"/>
        </w:rPr>
        <w:t>.</w:t>
      </w:r>
      <w:r>
        <w:rPr>
          <w:snapToGrid w:val="0"/>
        </w:rPr>
        <w:tab/>
        <w:t>Conditions, restrictions and limitations on, and revocation or suspension of, licences, exemptions, and registrations</w:t>
      </w:r>
      <w:bookmarkEnd w:id="73"/>
      <w:r>
        <w:rPr>
          <w:snapToGrid w:val="0"/>
        </w:rPr>
        <w:t xml:space="preserve"> </w:t>
      </w:r>
    </w:p>
    <w:p>
      <w:pPr>
        <w:pStyle w:val="Subsection"/>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pPr>
        <w:pStyle w:val="Indenta"/>
        <w:keepNext/>
        <w:rPr>
          <w:snapToGrid w:val="0"/>
        </w:rPr>
      </w:pPr>
      <w:r>
        <w:rPr>
          <w:snapToGrid w:val="0"/>
        </w:rPr>
        <w:tab/>
        <w:t>(b)</w:t>
      </w:r>
      <w:r>
        <w:rPr>
          <w:snapToGrid w:val="0"/>
        </w:rPr>
        <w:tab/>
        <w:t>to conditions, restrictions or limitations relating to — </w:t>
      </w:r>
    </w:p>
    <w:p>
      <w:pPr>
        <w:pStyle w:val="Indenti"/>
        <w:rPr>
          <w:snapToGrid w:val="0"/>
        </w:rPr>
      </w:pPr>
      <w:r>
        <w:rPr>
          <w:snapToGrid w:val="0"/>
        </w:rPr>
        <w:tab/>
        <w:t>(i)</w:t>
      </w:r>
      <w:r>
        <w:rPr>
          <w:snapToGrid w:val="0"/>
        </w:rPr>
        <w:tab/>
        <w:t>the kind or nature of radioactive substance to which it applies;</w:t>
      </w:r>
      <w:r>
        <w:t xml:space="preserve"> and</w:t>
      </w:r>
    </w:p>
    <w:p>
      <w:pPr>
        <w:pStyle w:val="Indenti"/>
        <w:rPr>
          <w:snapToGrid w:val="0"/>
        </w:rPr>
      </w:pPr>
      <w:r>
        <w:rPr>
          <w:snapToGrid w:val="0"/>
        </w:rPr>
        <w:tab/>
        <w:t>(ii)</w:t>
      </w:r>
      <w:r>
        <w:rPr>
          <w:snapToGrid w:val="0"/>
        </w:rPr>
        <w:tab/>
        <w:t>the particular irradiating apparatus or electronic product, or the type of apparatus or product, to which it applies;</w:t>
      </w:r>
      <w:r>
        <w:t xml:space="preserve"> and</w:t>
      </w:r>
    </w:p>
    <w:p>
      <w:pPr>
        <w:pStyle w:val="Indenti"/>
        <w:rPr>
          <w:snapToGrid w:val="0"/>
        </w:rPr>
      </w:pPr>
      <w:r>
        <w:rPr>
          <w:snapToGrid w:val="0"/>
        </w:rPr>
        <w:tab/>
        <w:t>(iii)</w:t>
      </w:r>
      <w:r>
        <w:rPr>
          <w:snapToGrid w:val="0"/>
        </w:rPr>
        <w:tab/>
        <w:t>the use to which that substance, apparatus or product may be put;</w:t>
      </w:r>
      <w:r>
        <w:t xml:space="preserve"> and</w:t>
      </w:r>
    </w:p>
    <w:p>
      <w:pPr>
        <w:pStyle w:val="Indenti"/>
        <w:rPr>
          <w:snapToGrid w:val="0"/>
        </w:rPr>
      </w:pPr>
      <w:r>
        <w:rPr>
          <w:snapToGrid w:val="0"/>
        </w:rPr>
        <w:tab/>
        <w:t>(iv)</w:t>
      </w:r>
      <w:r>
        <w:rPr>
          <w:snapToGrid w:val="0"/>
        </w:rPr>
        <w:tab/>
        <w:t>the place or circumstances at or in which it is to have effect;</w:t>
      </w:r>
      <w:r>
        <w:t xml:space="preserve"> and</w:t>
      </w:r>
    </w:p>
    <w:p>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pPr>
        <w:pStyle w:val="Indenti"/>
        <w:rPr>
          <w:snapToGrid w:val="0"/>
        </w:rPr>
      </w:pPr>
      <w:r>
        <w:rPr>
          <w:snapToGrid w:val="0"/>
        </w:rPr>
        <w:tab/>
        <w:t>(vi)</w:t>
      </w:r>
      <w:r>
        <w:rPr>
          <w:snapToGrid w:val="0"/>
        </w:rPr>
        <w:tab/>
        <w:t>the use of the premises to which it applies, and any access, plumbing or other matters relating thereto,</w:t>
      </w:r>
    </w:p>
    <w:p>
      <w:pPr>
        <w:pStyle w:val="Indenta"/>
        <w:rPr>
          <w:snapToGrid w:val="0"/>
        </w:rPr>
      </w:pPr>
      <w:r>
        <w:rPr>
          <w:snapToGrid w:val="0"/>
        </w:rPr>
        <w:tab/>
      </w:r>
      <w:r>
        <w:rPr>
          <w:snapToGrid w:val="0"/>
        </w:rPr>
        <w:tab/>
        <w:t>imposed in relation to any particular licence, exemption or registration.</w:t>
      </w:r>
    </w:p>
    <w:p>
      <w:pPr>
        <w:pStyle w:val="Subsection"/>
        <w:rPr>
          <w:snapToGrid w:val="0"/>
        </w:rPr>
      </w:pPr>
      <w:r>
        <w:rPr>
          <w:snapToGrid w:val="0"/>
        </w:rPr>
        <w:tab/>
        <w:t>(2)</w:t>
      </w:r>
      <w:r>
        <w:rPr>
          <w:snapToGrid w:val="0"/>
        </w:rPr>
        <w:tab/>
        <w:t>A condition, restriction or limitation may be varied from time to time.</w:t>
      </w:r>
    </w:p>
    <w:p>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pPr>
        <w:pStyle w:val="Subsection"/>
        <w:keepNext/>
        <w:rPr>
          <w:snapToGrid w:val="0"/>
        </w:rPr>
      </w:pPr>
      <w:r>
        <w:rPr>
          <w:snapToGrid w:val="0"/>
        </w:rPr>
        <w:tab/>
        <w:t>(7)</w:t>
      </w:r>
      <w:r>
        <w:rPr>
          <w:snapToGrid w:val="0"/>
        </w:rPr>
        <w:tab/>
        <w:t>Where the Council — </w:t>
      </w:r>
    </w:p>
    <w:p>
      <w:pPr>
        <w:pStyle w:val="Indenta"/>
        <w:rPr>
          <w:snapToGrid w:val="0"/>
        </w:rPr>
      </w:pPr>
      <w:r>
        <w:rPr>
          <w:snapToGrid w:val="0"/>
        </w:rPr>
        <w:tab/>
        <w:t>(a)</w:t>
      </w:r>
      <w:r>
        <w:rPr>
          <w:snapToGrid w:val="0"/>
        </w:rPr>
        <w:tab/>
        <w:t>refuses an application for, or the renewal of, a licence, exemption or registration; or</w:t>
      </w:r>
    </w:p>
    <w:p>
      <w:pPr>
        <w:pStyle w:val="Indenta"/>
        <w:rPr>
          <w:snapToGrid w:val="0"/>
        </w:rPr>
      </w:pPr>
      <w:r>
        <w:rPr>
          <w:snapToGrid w:val="0"/>
        </w:rPr>
        <w:tab/>
        <w:t>(b)</w:t>
      </w:r>
      <w:r>
        <w:rPr>
          <w:snapToGrid w:val="0"/>
        </w:rPr>
        <w:tab/>
        <w:t>revokes a licence, exemption or registration; or</w:t>
      </w:r>
    </w:p>
    <w:p>
      <w:pPr>
        <w:pStyle w:val="Indenta"/>
        <w:rPr>
          <w:snapToGrid w:val="0"/>
        </w:rPr>
      </w:pPr>
      <w:r>
        <w:rPr>
          <w:snapToGrid w:val="0"/>
        </w:rPr>
        <w:tab/>
        <w:t>(c)</w:t>
      </w:r>
      <w:r>
        <w:rPr>
          <w:snapToGrid w:val="0"/>
        </w:rPr>
        <w:tab/>
        <w:t>suspends the operation of a licence, exemption or registration; or</w:t>
      </w:r>
    </w:p>
    <w:p>
      <w:pPr>
        <w:pStyle w:val="Indenta"/>
        <w:keepNext/>
        <w:rPr>
          <w:snapToGrid w:val="0"/>
        </w:rPr>
      </w:pPr>
      <w:r>
        <w:rPr>
          <w:snapToGrid w:val="0"/>
        </w:rPr>
        <w:tab/>
        <w:t>(d)</w:t>
      </w:r>
      <w:r>
        <w:rPr>
          <w:snapToGrid w:val="0"/>
        </w:rPr>
        <w:tab/>
        <w:t>imposes any condition, restriction or limitation in relation to a particular licence, exemption or registration,</w:t>
      </w:r>
    </w:p>
    <w:p>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pPr>
        <w:pStyle w:val="Footnotesection"/>
      </w:pPr>
      <w:r>
        <w:tab/>
        <w:t>[Section 36: Correction to Reprint: Gazette 28 Oct 2003 p. 4527.]</w:t>
      </w:r>
    </w:p>
    <w:p>
      <w:pPr>
        <w:pStyle w:val="Heading5"/>
      </w:pPr>
      <w:bookmarkStart w:id="74" w:name="_Toc531182123"/>
      <w:r>
        <w:rPr>
          <w:rStyle w:val="CharSectno"/>
        </w:rPr>
        <w:t>37A</w:t>
      </w:r>
      <w:r>
        <w:t>.</w:t>
      </w:r>
      <w:r>
        <w:tab/>
        <w:t xml:space="preserve">Conflict or inconsistency between conditions imposed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and this Act</w:t>
      </w:r>
      <w:bookmarkEnd w:id="74"/>
    </w:p>
    <w:p>
      <w:pPr>
        <w:pStyle w:val="Subsection"/>
      </w:pPr>
      <w:r>
        <w:tab/>
        <w:t>(1)</w:t>
      </w:r>
      <w:r>
        <w:tab/>
        <w:t xml:space="preserve">If there is any conflict or inconsistency between a condition — </w:t>
      </w:r>
    </w:p>
    <w:p>
      <w:pPr>
        <w:pStyle w:val="Indenta"/>
      </w:pPr>
      <w:r>
        <w:tab/>
        <w:t>(a)</w:t>
      </w:r>
      <w:r>
        <w:tab/>
        <w:t xml:space="preserve">imposed on a medical radiation practitioner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(b)</w:t>
      </w:r>
      <w:r>
        <w:tab/>
        <w:t>imposed on a licence held by the medical radiation practitioner under this Act,</w:t>
      </w:r>
    </w:p>
    <w:p>
      <w:pPr>
        <w:pStyle w:val="Subsection"/>
      </w:pPr>
      <w:r>
        <w:tab/>
      </w:r>
      <w:r>
        <w:tab/>
        <w:t xml:space="preserve">then — </w:t>
      </w:r>
    </w:p>
    <w:p>
      <w:pPr>
        <w:pStyle w:val="Indenta"/>
      </w:pPr>
      <w:r>
        <w:tab/>
        <w:t>(c)</w:t>
      </w:r>
      <w:r>
        <w:tab/>
        <w:t xml:space="preserve">the condition imposed on the licence prevails (whether that condition was imposed before or after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and</w:t>
      </w:r>
    </w:p>
    <w:p>
      <w:pPr>
        <w:pStyle w:val="Indenta"/>
      </w:pPr>
      <w:r>
        <w:tab/>
        <w:t>(d)</w:t>
      </w:r>
      <w:r>
        <w:tab/>
        <w:t xml:space="preserve">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is of no effect to the extent of the conflict or inconsistency.</w:t>
      </w:r>
    </w:p>
    <w:p>
      <w:pPr>
        <w:pStyle w:val="Subsection"/>
      </w:pPr>
      <w:r>
        <w:tab/>
        <w:t>(2)</w:t>
      </w:r>
      <w:r>
        <w:tab/>
        <w:t xml:space="preserve">For the purposes of subsection (1), a conflict or inconsistency does not exist merely because the condition imposed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imposes more stringent measures or a higher duty or standard in respect of a particular matter or aspect of practice.</w:t>
      </w:r>
    </w:p>
    <w:p>
      <w:pPr>
        <w:pStyle w:val="Footnotesection"/>
      </w:pPr>
      <w:r>
        <w:tab/>
        <w:t>[Section 37A inserted: No. 35 of 2010 s. 148.]</w:t>
      </w:r>
    </w:p>
    <w:p>
      <w:pPr>
        <w:pStyle w:val="Heading5"/>
        <w:rPr>
          <w:snapToGrid w:val="0"/>
        </w:rPr>
      </w:pPr>
      <w:bookmarkStart w:id="75" w:name="_Toc531182124"/>
      <w:r>
        <w:rPr>
          <w:rStyle w:val="CharSectno"/>
        </w:rPr>
        <w:t>37</w:t>
      </w:r>
      <w:r>
        <w:rPr>
          <w:snapToGrid w:val="0"/>
        </w:rPr>
        <w:t>.</w:t>
      </w:r>
      <w:r>
        <w:rPr>
          <w:snapToGrid w:val="0"/>
        </w:rPr>
        <w:tab/>
        <w:t>Duration of licences, exemptions and registrations</w:t>
      </w:r>
      <w:bookmarkEnd w:id="75"/>
      <w:r>
        <w:rPr>
          <w:snapToGrid w:val="0"/>
        </w:rPr>
        <w:t xml:space="preserve"> </w:t>
      </w:r>
    </w:p>
    <w:p>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pPr>
        <w:pStyle w:val="Subsection"/>
        <w:rPr>
          <w:snapToGrid w:val="0"/>
        </w:rPr>
      </w:pPr>
      <w:r>
        <w:rPr>
          <w:snapToGrid w:val="0"/>
        </w:rPr>
        <w:tab/>
        <w:t>(3)</w:t>
      </w:r>
      <w:r>
        <w:rPr>
          <w:snapToGrid w:val="0"/>
        </w:rPr>
        <w:tab/>
        <w:t>An application for the renewal of a licence, exemption or registration shall be made in the prescribed form.</w:t>
      </w:r>
    </w:p>
    <w:p>
      <w:pPr>
        <w:pStyle w:val="Heading5"/>
        <w:rPr>
          <w:snapToGrid w:val="0"/>
        </w:rPr>
      </w:pPr>
      <w:bookmarkStart w:id="76" w:name="_Toc531182125"/>
      <w:r>
        <w:rPr>
          <w:rStyle w:val="CharSectno"/>
        </w:rPr>
        <w:t>38</w:t>
      </w:r>
      <w:r>
        <w:rPr>
          <w:snapToGrid w:val="0"/>
        </w:rPr>
        <w:t>.</w:t>
      </w:r>
      <w:r>
        <w:rPr>
          <w:snapToGrid w:val="0"/>
        </w:rPr>
        <w:tab/>
        <w:t>Change of circumstances</w:t>
      </w:r>
      <w:bookmarkEnd w:id="76"/>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pPr>
        <w:pStyle w:val="Heading5"/>
        <w:rPr>
          <w:snapToGrid w:val="0"/>
        </w:rPr>
      </w:pPr>
      <w:bookmarkStart w:id="77" w:name="_Toc531182126"/>
      <w:r>
        <w:rPr>
          <w:rStyle w:val="CharSectno"/>
        </w:rPr>
        <w:t>39</w:t>
      </w:r>
      <w:r>
        <w:rPr>
          <w:snapToGrid w:val="0"/>
        </w:rPr>
        <w:t>.</w:t>
      </w:r>
      <w:r>
        <w:rPr>
          <w:snapToGrid w:val="0"/>
        </w:rPr>
        <w:tab/>
        <w:t>Power to obtain information</w:t>
      </w:r>
      <w:bookmarkEnd w:id="77"/>
      <w:r>
        <w:rPr>
          <w:snapToGrid w:val="0"/>
        </w:rPr>
        <w:t xml:space="preserve"> </w:t>
      </w:r>
    </w:p>
    <w:p>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pPr>
        <w:pStyle w:val="Subsection"/>
        <w:keepNext/>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applicant has consented in writing; or</w:t>
      </w:r>
    </w:p>
    <w:p>
      <w:pPr>
        <w:pStyle w:val="Indenta"/>
        <w:rPr>
          <w:snapToGrid w:val="0"/>
        </w:rPr>
      </w:pPr>
      <w:r>
        <w:rPr>
          <w:snapToGrid w:val="0"/>
        </w:rPr>
        <w:tab/>
        <w:t>(b)</w:t>
      </w:r>
      <w:r>
        <w:rPr>
          <w:snapToGrid w:val="0"/>
        </w:rPr>
        <w:tab/>
        <w:t>the result of the experiment or enquiry indicates that a claim made is not justified, and the Minister so directs,</w:t>
      </w:r>
    </w:p>
    <w:p>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pPr>
        <w:pStyle w:val="Heading5"/>
      </w:pPr>
      <w:bookmarkStart w:id="78" w:name="_Toc531182127"/>
      <w:r>
        <w:rPr>
          <w:rStyle w:val="CharSectno"/>
        </w:rPr>
        <w:t>40A</w:t>
      </w:r>
      <w:r>
        <w:t>.</w:t>
      </w:r>
      <w:r>
        <w:tab/>
        <w:t>Notifications to Radiological Council</w:t>
      </w:r>
      <w:bookmarkEnd w:id="78"/>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medical radiation practitioner and the removal of that person’s name from the register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(b)</w:t>
      </w:r>
      <w:r>
        <w:tab/>
        <w:t xml:space="preserve">the taking of immediate action in relation to a medical radiation practitioner under the </w:t>
      </w:r>
      <w:r>
        <w:rPr>
          <w:i/>
        </w:rPr>
        <w:t>Health Practitioner Regulation National Law (Western Australia)</w:t>
      </w:r>
      <w:r>
        <w:t xml:space="preserve"> Part 8 Division 7, together with a copy of the notice given to the practitioner;</w:t>
      </w:r>
    </w:p>
    <w:p>
      <w:pPr>
        <w:pStyle w:val="Indenta"/>
      </w:pPr>
      <w:r>
        <w:tab/>
        <w:t>(c)</w:t>
      </w:r>
      <w:r>
        <w:tab/>
        <w:t xml:space="preserve">the suspension or revocation of the suspension from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 whether generally or in relation to any specified area, circumstances or service;</w:t>
      </w:r>
    </w:p>
    <w:p>
      <w:pPr>
        <w:pStyle w:val="Indenta"/>
      </w:pPr>
      <w:r>
        <w:tab/>
        <w:t>(d)</w:t>
      </w:r>
      <w:r>
        <w:tab/>
        <w:t xml:space="preserve">the imposition, variation or revocation of any condition on registration or the practice of medical radiation technology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of a medical radiation practitioner;</w:t>
      </w:r>
    </w:p>
    <w:p>
      <w:pPr>
        <w:pStyle w:val="Indenta"/>
      </w:pPr>
      <w:r>
        <w:tab/>
        <w:t>(e)</w:t>
      </w:r>
      <w:r>
        <w:tab/>
        <w:t xml:space="preserve">the referral of a matter relating to a medical radiation practitioner to the responsible tribunal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Subsection"/>
      </w:pPr>
      <w:r>
        <w:tab/>
        <w:t>(2)</w:t>
      </w:r>
      <w:r>
        <w:tab/>
        <w:t>The advice is to be given no later than 14 days after the occurrence of the matter referred to in that subsection.</w:t>
      </w:r>
    </w:p>
    <w:p>
      <w:pPr>
        <w:pStyle w:val="Footnotesection"/>
      </w:pPr>
      <w:r>
        <w:tab/>
        <w:t>[Section 40A inserted: No. 35 of 2010 s. 149.]</w:t>
      </w:r>
    </w:p>
    <w:p>
      <w:pPr>
        <w:pStyle w:val="Heading5"/>
        <w:rPr>
          <w:snapToGrid w:val="0"/>
        </w:rPr>
      </w:pPr>
      <w:bookmarkStart w:id="79" w:name="_Toc531182128"/>
      <w:r>
        <w:rPr>
          <w:rStyle w:val="CharSectno"/>
        </w:rPr>
        <w:t>40</w:t>
      </w:r>
      <w:r>
        <w:rPr>
          <w:snapToGrid w:val="0"/>
        </w:rPr>
        <w:t>.</w:t>
      </w:r>
      <w:r>
        <w:rPr>
          <w:snapToGrid w:val="0"/>
        </w:rPr>
        <w:tab/>
        <w:t>Surrender of documents</w:t>
      </w:r>
      <w:bookmarkEnd w:id="79"/>
      <w:r>
        <w:rPr>
          <w:snapToGrid w:val="0"/>
        </w:rPr>
        <w:t xml:space="preserve"> </w:t>
      </w:r>
    </w:p>
    <w:p>
      <w:pPr>
        <w:pStyle w:val="Subsection"/>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pPr>
        <w:pStyle w:val="Heading5"/>
        <w:rPr>
          <w:snapToGrid w:val="0"/>
        </w:rPr>
      </w:pPr>
      <w:bookmarkStart w:id="80" w:name="_Toc531182129"/>
      <w:r>
        <w:rPr>
          <w:rStyle w:val="CharSectno"/>
        </w:rPr>
        <w:t>41</w:t>
      </w:r>
      <w:r>
        <w:rPr>
          <w:snapToGrid w:val="0"/>
        </w:rPr>
        <w:t>.</w:t>
      </w:r>
      <w:r>
        <w:rPr>
          <w:snapToGrid w:val="0"/>
        </w:rPr>
        <w:tab/>
        <w:t>Registers</w:t>
      </w:r>
      <w:bookmarkEnd w:id="80"/>
      <w:r>
        <w:rPr>
          <w:snapToGrid w:val="0"/>
        </w:rPr>
        <w:t xml:space="preserve"> </w:t>
      </w:r>
    </w:p>
    <w:p>
      <w:pPr>
        <w:pStyle w:val="Subsection"/>
        <w:keepNext/>
        <w:rPr>
          <w:snapToGrid w:val="0"/>
        </w:rPr>
      </w:pPr>
      <w:r>
        <w:rPr>
          <w:snapToGrid w:val="0"/>
        </w:rPr>
        <w:tab/>
      </w:r>
      <w:r>
        <w:rPr>
          <w:snapToGrid w:val="0"/>
        </w:rPr>
        <w:tab/>
        <w:t>The Council shall cause to be kept a register or registers in the prescribed form showing in respect of — </w:t>
      </w:r>
    </w:p>
    <w:p>
      <w:pPr>
        <w:pStyle w:val="Indenta"/>
        <w:rPr>
          <w:snapToGrid w:val="0"/>
        </w:rPr>
      </w:pPr>
      <w:r>
        <w:rPr>
          <w:snapToGrid w:val="0"/>
        </w:rPr>
        <w:tab/>
        <w:t>(a)</w:t>
      </w:r>
      <w:r>
        <w:rPr>
          <w:snapToGrid w:val="0"/>
        </w:rPr>
        <w:tab/>
        <w:t>persons exempted from the provisions of this Act;</w:t>
      </w:r>
      <w:r>
        <w:t xml:space="preserve"> and</w:t>
      </w:r>
    </w:p>
    <w:p>
      <w:pPr>
        <w:pStyle w:val="Indenta"/>
        <w:rPr>
          <w:snapToGrid w:val="0"/>
        </w:rPr>
      </w:pPr>
      <w:r>
        <w:rPr>
          <w:snapToGrid w:val="0"/>
        </w:rPr>
        <w:tab/>
        <w:t>(b)</w:t>
      </w:r>
      <w:r>
        <w:rPr>
          <w:snapToGrid w:val="0"/>
        </w:rPr>
        <w:tab/>
        <w:t>persons licensed pursuant to this Act;</w:t>
      </w:r>
      <w:r>
        <w:t xml:space="preserve"> and</w:t>
      </w:r>
    </w:p>
    <w:p>
      <w:pPr>
        <w:pStyle w:val="Indenta"/>
        <w:rPr>
          <w:snapToGrid w:val="0"/>
        </w:rPr>
      </w:pPr>
      <w:r>
        <w:rPr>
          <w:snapToGrid w:val="0"/>
        </w:rPr>
        <w:tab/>
        <w:t>(c)</w:t>
      </w:r>
      <w:r>
        <w:rPr>
          <w:snapToGrid w:val="0"/>
        </w:rPr>
        <w:tab/>
        <w:t>radioactive substances, irradiating apparatus and electronic products registered pursuant to this Act; and</w:t>
      </w:r>
    </w:p>
    <w:p>
      <w:pPr>
        <w:pStyle w:val="Indenta"/>
        <w:rPr>
          <w:snapToGrid w:val="0"/>
        </w:rPr>
      </w:pPr>
      <w:r>
        <w:rPr>
          <w:snapToGrid w:val="0"/>
        </w:rPr>
        <w:tab/>
        <w:t>(d)</w:t>
      </w:r>
      <w:r>
        <w:rPr>
          <w:snapToGrid w:val="0"/>
        </w:rPr>
        <w:tab/>
        <w:t>premises registered pursuant to this Act,</w:t>
      </w:r>
    </w:p>
    <w:p>
      <w:pPr>
        <w:pStyle w:val="Subsection"/>
        <w:rPr>
          <w:snapToGrid w:val="0"/>
        </w:rPr>
      </w:pPr>
      <w:r>
        <w:rPr>
          <w:snapToGrid w:val="0"/>
        </w:rPr>
        <w:tab/>
      </w:r>
      <w:r>
        <w:rPr>
          <w:snapToGrid w:val="0"/>
        </w:rPr>
        <w:tab/>
        <w:t>the information required to be furnished by or under this Act.</w:t>
      </w:r>
    </w:p>
    <w:p>
      <w:pPr>
        <w:pStyle w:val="Heading5"/>
      </w:pPr>
      <w:bookmarkStart w:id="81" w:name="_Toc531182130"/>
      <w:r>
        <w:rPr>
          <w:rStyle w:val="CharSectno"/>
        </w:rPr>
        <w:t>41A</w:t>
      </w:r>
      <w:r>
        <w:t>.</w:t>
      </w:r>
      <w:r>
        <w:tab/>
        <w:t>Restriction on authorisation of storage, transportation or disposal of nuclear waste</w:t>
      </w:r>
      <w:bookmarkEnd w:id="81"/>
    </w:p>
    <w:p>
      <w:pPr>
        <w:pStyle w:val="Subsection"/>
        <w:keepNext/>
      </w:pPr>
      <w:r>
        <w:tab/>
        <w:t>(1)</w:t>
      </w:r>
      <w:r>
        <w:tab/>
        <w:t xml:space="preserve">In this </w:t>
      </w:r>
      <w:r>
        <w:rPr>
          <w:snapToGrid w:val="0"/>
        </w:rPr>
        <w:t>section</w:t>
      </w:r>
      <w:r>
        <w:t> —</w:t>
      </w:r>
    </w:p>
    <w:p>
      <w:pPr>
        <w:pStyle w:val="Defstart"/>
      </w:pPr>
      <w:r>
        <w:tab/>
      </w:r>
      <w:r>
        <w:rPr>
          <w:rStyle w:val="CharDefText"/>
        </w:rPr>
        <w:t>authorisation</w:t>
      </w:r>
      <w:r>
        <w:t xml:space="preserve"> means a licence, registration, exemption, disposal permit or temporary permit under this Act;</w:t>
      </w:r>
    </w:p>
    <w:p>
      <w:pPr>
        <w:pStyle w:val="Defstart"/>
      </w:pPr>
      <w:r>
        <w:tab/>
      </w:r>
      <w:r>
        <w:rPr>
          <w:rStyle w:val="CharDefText"/>
        </w:rPr>
        <w:t>nuclear waste</w:t>
      </w:r>
      <w:r>
        <w:t xml:space="preserve"> has the meaning given to it by section 3 of the </w:t>
      </w:r>
      <w:r>
        <w:rPr>
          <w:i/>
        </w:rPr>
        <w:t>Nuclear Waste Storage and Transportation (Prohibition) Act 1999</w:t>
      </w:r>
      <w:r>
        <w:rPr>
          <w:iCs/>
        </w:rPr>
        <w:t>.</w:t>
      </w:r>
    </w:p>
    <w:p>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pPr>
        <w:pStyle w:val="Footnotesection"/>
      </w:pPr>
      <w:r>
        <w:tab/>
        <w:t>[Section 41A inserted: No. 54 of 1999 s. 10(2); amended: No. 2 of 2004 s. 14(2).]</w:t>
      </w:r>
    </w:p>
    <w:p>
      <w:pPr>
        <w:pStyle w:val="Heading2"/>
      </w:pPr>
      <w:bookmarkStart w:id="82" w:name="_Toc489602124"/>
      <w:bookmarkStart w:id="83" w:name="_Toc489602238"/>
      <w:bookmarkStart w:id="84" w:name="_Toc489602653"/>
      <w:bookmarkStart w:id="85" w:name="_Toc490129660"/>
      <w:bookmarkStart w:id="86" w:name="_Toc491788273"/>
      <w:bookmarkStart w:id="87" w:name="_Toc493601363"/>
      <w:bookmarkStart w:id="88" w:name="_Toc493601432"/>
      <w:bookmarkStart w:id="89" w:name="_Toc493601501"/>
      <w:bookmarkStart w:id="90" w:name="_Toc493603118"/>
      <w:bookmarkStart w:id="91" w:name="_Toc493603241"/>
      <w:bookmarkStart w:id="92" w:name="_Toc512325241"/>
      <w:bookmarkStart w:id="93" w:name="_Toc531182131"/>
      <w:r>
        <w:rPr>
          <w:rStyle w:val="CharPartNo"/>
        </w:rPr>
        <w:t>Part IV</w:t>
      </w:r>
      <w:r>
        <w:rPr>
          <w:rStyle w:val="CharDivNo"/>
        </w:rPr>
        <w:t> </w:t>
      </w:r>
      <w:r>
        <w:t>—</w:t>
      </w:r>
      <w:r>
        <w:rPr>
          <w:rStyle w:val="CharDivText"/>
        </w:rPr>
        <w:t> </w:t>
      </w:r>
      <w:r>
        <w:rPr>
          <w:rStyle w:val="CharPartText"/>
        </w:rPr>
        <w:t>Enforcement</w:t>
      </w:r>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531182132"/>
      <w:r>
        <w:rPr>
          <w:rStyle w:val="CharSectno"/>
        </w:rPr>
        <w:t>42</w:t>
      </w:r>
      <w:r>
        <w:rPr>
          <w:snapToGrid w:val="0"/>
        </w:rPr>
        <w:t>.</w:t>
      </w:r>
      <w:r>
        <w:rPr>
          <w:snapToGrid w:val="0"/>
        </w:rPr>
        <w:tab/>
        <w:t>Power of entry and inspection</w:t>
      </w:r>
      <w:bookmarkEnd w:id="94"/>
      <w:r>
        <w:rPr>
          <w:snapToGrid w:val="0"/>
        </w:rPr>
        <w:t xml:space="preserve"> </w:t>
      </w:r>
    </w:p>
    <w:p>
      <w:pPr>
        <w:pStyle w:val="Subsection"/>
        <w:rPr>
          <w:snapToGrid w:val="0"/>
        </w:rPr>
      </w:pPr>
      <w:r>
        <w:rPr>
          <w:snapToGrid w:val="0"/>
        </w:rPr>
        <w:tab/>
        <w:t>(1)</w:t>
      </w:r>
      <w:r>
        <w:rPr>
          <w:snapToGrid w:val="0"/>
        </w:rPr>
        <w:tab/>
        <w:t>An authorised officer may, at any reasonable hour, — </w:t>
      </w:r>
    </w:p>
    <w:p>
      <w:pPr>
        <w:pStyle w:val="Indenta"/>
        <w:rPr>
          <w:snapToGrid w:val="0"/>
        </w:rPr>
      </w:pPr>
      <w:r>
        <w:rPr>
          <w:snapToGrid w:val="0"/>
        </w:rPr>
        <w:tab/>
        <w:t>(a)</w:t>
      </w:r>
      <w:r>
        <w:rPr>
          <w:snapToGrid w:val="0"/>
        </w:rPr>
        <w:tab/>
        <w:t>enter, inspect and search any premises;</w:t>
      </w:r>
      <w:r>
        <w:t xml:space="preserve"> and</w:t>
      </w:r>
    </w:p>
    <w:p>
      <w:pPr>
        <w:pStyle w:val="Indenta"/>
        <w:rPr>
          <w:snapToGrid w:val="0"/>
        </w:rPr>
      </w:pPr>
      <w:r>
        <w:rPr>
          <w:snapToGrid w:val="0"/>
        </w:rPr>
        <w:tab/>
        <w:t>(b)</w:t>
      </w:r>
      <w:r>
        <w:rPr>
          <w:snapToGrid w:val="0"/>
        </w:rPr>
        <w:tab/>
        <w:t>stop, board, inspect and search any vehicle, vessel or aircraft;</w:t>
      </w:r>
      <w:r>
        <w:t xml:space="preserve"> and</w:t>
      </w:r>
    </w:p>
    <w:p>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r>
        <w:t xml:space="preserve"> and</w:t>
      </w:r>
    </w:p>
    <w:p>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r>
        <w:t xml:space="preserve"> and</w:t>
      </w:r>
    </w:p>
    <w:p>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pPr>
        <w:pStyle w:val="Indenta"/>
        <w:rPr>
          <w:snapToGrid w:val="0"/>
        </w:rPr>
      </w:pPr>
      <w:r>
        <w:rPr>
          <w:snapToGrid w:val="0"/>
        </w:rPr>
        <w:tab/>
        <w:t>(f)</w:t>
      </w:r>
      <w:r>
        <w:rPr>
          <w:snapToGrid w:val="0"/>
        </w:rPr>
        <w:tab/>
        <w:t>examine any records which are required to be kept under this Act.</w:t>
      </w:r>
    </w:p>
    <w:p>
      <w:pPr>
        <w:pStyle w:val="Subsection"/>
        <w:keepNext/>
        <w:rPr>
          <w:snapToGrid w:val="0"/>
        </w:rPr>
      </w:pPr>
      <w:r>
        <w:rPr>
          <w:snapToGrid w:val="0"/>
        </w:rPr>
        <w:tab/>
        <w:t>(2)</w:t>
      </w:r>
      <w:r>
        <w:rPr>
          <w:snapToGrid w:val="0"/>
        </w:rPr>
        <w:tab/>
        <w:t>No power of entry conferred by this section shall be exercisable in respect of any premises except — </w:t>
      </w:r>
    </w:p>
    <w:p>
      <w:pPr>
        <w:pStyle w:val="Indenta"/>
        <w:rPr>
          <w:snapToGrid w:val="0"/>
        </w:rPr>
      </w:pPr>
      <w:r>
        <w:rPr>
          <w:snapToGrid w:val="0"/>
        </w:rPr>
        <w:tab/>
        <w:t>(a)</w:t>
      </w:r>
      <w:r>
        <w:rPr>
          <w:snapToGrid w:val="0"/>
        </w:rPr>
        <w:tab/>
        <w:t>with consent given by or on behalf of the occupier of the premises; or</w:t>
      </w:r>
    </w:p>
    <w:p>
      <w:pPr>
        <w:pStyle w:val="Indenta"/>
        <w:rPr>
          <w:snapToGrid w:val="0"/>
        </w:rPr>
      </w:pPr>
      <w:r>
        <w:rPr>
          <w:snapToGrid w:val="0"/>
        </w:rPr>
        <w:tab/>
        <w:t>(b)</w:t>
      </w:r>
      <w:r>
        <w:rPr>
          <w:snapToGrid w:val="0"/>
        </w:rPr>
        <w:tab/>
        <w:t>under the authority of a warrant granted under this Act; or</w:t>
      </w:r>
    </w:p>
    <w:p>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pPr>
        <w:pStyle w:val="Subsection"/>
        <w:rPr>
          <w:snapToGrid w:val="0"/>
        </w:rPr>
      </w:pPr>
      <w:r>
        <w:rPr>
          <w:snapToGrid w:val="0"/>
        </w:rPr>
        <w:tab/>
        <w:t>(3)</w:t>
      </w:r>
      <w:r>
        <w:rPr>
          <w:snapToGrid w:val="0"/>
        </w:rPr>
        <w:tab/>
        <w:t xml:space="preserve">Whenever required to do so by any person in respect of whom he has exercised or is about to exercise any of his powers under this Act, an authorised officer shall produce to that person his written authority from the </w:t>
      </w:r>
      <w:r>
        <w:t>Chief Health Officer</w:t>
      </w:r>
      <w:r>
        <w:rPr>
          <w:snapToGrid w:val="0"/>
        </w:rPr>
        <w:t>.</w:t>
      </w:r>
    </w:p>
    <w:p>
      <w:pPr>
        <w:pStyle w:val="Subsection"/>
        <w:spacing w:before="120"/>
        <w:rPr>
          <w:snapToGrid w:val="0"/>
        </w:rPr>
      </w:pPr>
      <w:r>
        <w:rPr>
          <w:snapToGrid w:val="0"/>
        </w:rPr>
        <w:tab/>
        <w:t>(4)</w:t>
      </w:r>
      <w:r>
        <w:rPr>
          <w:snapToGrid w:val="0"/>
        </w:rPr>
        <w:tab/>
        <w:t xml:space="preserve">Production of a written authority from the </w:t>
      </w:r>
      <w:r>
        <w:t>Chief Health Officer</w:t>
      </w:r>
      <w:r>
        <w:rPr>
          <w:snapToGrid w:val="0"/>
        </w:rPr>
        <w:t xml:space="preserve"> in the prescribed form is conclusive proof in any court of the appointment of the authorised officer to whom that document relates and of his authority to exercise the powers conferred upon him under this Act.</w:t>
      </w:r>
    </w:p>
    <w:p>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pPr>
        <w:pStyle w:val="Footnotesection"/>
        <w:spacing w:before="80"/>
        <w:ind w:left="890" w:hanging="890"/>
        <w:rPr>
          <w:spacing w:val="-2"/>
        </w:rPr>
      </w:pPr>
      <w:r>
        <w:rPr>
          <w:spacing w:val="-2"/>
        </w:rPr>
        <w:tab/>
        <w:t xml:space="preserve">[Section 42 amended: No. 63 of 1981 s. 4; No. 28 of 1984 s. 97; </w:t>
      </w:r>
      <w:r>
        <w:t>No. 19 of 2016 s. 102</w:t>
      </w:r>
      <w:r>
        <w:rPr>
          <w:spacing w:val="-2"/>
        </w:rPr>
        <w:t>.]</w:t>
      </w:r>
    </w:p>
    <w:p>
      <w:pPr>
        <w:pStyle w:val="Heading5"/>
        <w:rPr>
          <w:snapToGrid w:val="0"/>
        </w:rPr>
      </w:pPr>
      <w:bookmarkStart w:id="95" w:name="_Toc531182133"/>
      <w:r>
        <w:rPr>
          <w:rStyle w:val="CharSectno"/>
        </w:rPr>
        <w:t>43</w:t>
      </w:r>
      <w:r>
        <w:rPr>
          <w:snapToGrid w:val="0"/>
        </w:rPr>
        <w:t>.</w:t>
      </w:r>
      <w:r>
        <w:rPr>
          <w:snapToGrid w:val="0"/>
        </w:rPr>
        <w:tab/>
        <w:t>Warrants</w:t>
      </w:r>
      <w:bookmarkEnd w:id="95"/>
      <w:r>
        <w:rPr>
          <w:snapToGrid w:val="0"/>
        </w:rPr>
        <w:t xml:space="preserve"> </w:t>
      </w:r>
    </w:p>
    <w:p>
      <w:pPr>
        <w:pStyle w:val="Subsection"/>
        <w:keepNext/>
        <w:rPr>
          <w:snapToGrid w:val="0"/>
        </w:rPr>
      </w:pPr>
      <w:r>
        <w:rPr>
          <w:snapToGrid w:val="0"/>
        </w:rPr>
        <w:tab/>
        <w:t>(1)</w:t>
      </w:r>
      <w:r>
        <w:rPr>
          <w:snapToGrid w:val="0"/>
        </w:rPr>
        <w:tab/>
        <w:t>Where it is shown to the satisfaction of a justice — </w:t>
      </w:r>
    </w:p>
    <w:p>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pPr>
        <w:pStyle w:val="Subsection"/>
        <w:rPr>
          <w:snapToGrid w:val="0"/>
        </w:rPr>
      </w:pPr>
      <w:r>
        <w:rPr>
          <w:snapToGrid w:val="0"/>
        </w:rPr>
        <w:tab/>
        <w:t>(2)</w:t>
      </w:r>
      <w:r>
        <w:rPr>
          <w:snapToGrid w:val="0"/>
        </w:rPr>
        <w:tab/>
        <w:t>A warrant under this section continues in force until the purpose for which it is granted has been satisfied.</w:t>
      </w:r>
    </w:p>
    <w:p>
      <w:pPr>
        <w:pStyle w:val="Heading5"/>
        <w:rPr>
          <w:snapToGrid w:val="0"/>
        </w:rPr>
      </w:pPr>
      <w:bookmarkStart w:id="96" w:name="_Toc531182134"/>
      <w:r>
        <w:rPr>
          <w:rStyle w:val="CharSectno"/>
        </w:rPr>
        <w:t>44</w:t>
      </w:r>
      <w:r>
        <w:rPr>
          <w:snapToGrid w:val="0"/>
        </w:rPr>
        <w:t>.</w:t>
      </w:r>
      <w:r>
        <w:rPr>
          <w:snapToGrid w:val="0"/>
        </w:rPr>
        <w:tab/>
        <w:t>Inspection procedure</w:t>
      </w:r>
      <w:bookmarkEnd w:id="96"/>
      <w:r>
        <w:rPr>
          <w:snapToGrid w:val="0"/>
        </w:rPr>
        <w:t xml:space="preserve"> </w:t>
      </w:r>
    </w:p>
    <w:p>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pPr>
        <w:pStyle w:val="Heading5"/>
        <w:rPr>
          <w:snapToGrid w:val="0"/>
        </w:rPr>
      </w:pPr>
      <w:bookmarkStart w:id="97" w:name="_Toc531182135"/>
      <w:r>
        <w:rPr>
          <w:rStyle w:val="CharSectno"/>
        </w:rPr>
        <w:t>45</w:t>
      </w:r>
      <w:r>
        <w:rPr>
          <w:snapToGrid w:val="0"/>
        </w:rPr>
        <w:t>.</w:t>
      </w:r>
      <w:r>
        <w:rPr>
          <w:snapToGrid w:val="0"/>
        </w:rPr>
        <w:tab/>
        <w:t>Owner to assist authorised officer</w:t>
      </w:r>
      <w:bookmarkEnd w:id="97"/>
      <w:r>
        <w:rPr>
          <w:snapToGrid w:val="0"/>
        </w:rPr>
        <w:t xml:space="preserve"> </w:t>
      </w:r>
    </w:p>
    <w:p>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pPr>
        <w:pStyle w:val="Heading5"/>
        <w:rPr>
          <w:snapToGrid w:val="0"/>
        </w:rPr>
      </w:pPr>
      <w:bookmarkStart w:id="98" w:name="_Toc531182136"/>
      <w:r>
        <w:rPr>
          <w:rStyle w:val="CharSectno"/>
        </w:rPr>
        <w:t>46</w:t>
      </w:r>
      <w:r>
        <w:rPr>
          <w:snapToGrid w:val="0"/>
        </w:rPr>
        <w:t>.</w:t>
      </w:r>
      <w:r>
        <w:rPr>
          <w:snapToGrid w:val="0"/>
        </w:rPr>
        <w:tab/>
        <w:t>Power to give directions</w:t>
      </w:r>
      <w:bookmarkEnd w:id="98"/>
      <w:r>
        <w:rPr>
          <w:snapToGrid w:val="0"/>
        </w:rPr>
        <w:t xml:space="preserve"> </w:t>
      </w:r>
    </w:p>
    <w:p>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pPr>
        <w:pStyle w:val="Indenta"/>
        <w:rPr>
          <w:snapToGrid w:val="0"/>
        </w:rPr>
      </w:pPr>
      <w:r>
        <w:rPr>
          <w:snapToGrid w:val="0"/>
        </w:rPr>
        <w:tab/>
        <w:t>(a)</w:t>
      </w:r>
      <w:r>
        <w:rPr>
          <w:snapToGrid w:val="0"/>
        </w:rPr>
        <w:tab/>
        <w:t>to stop using that substance or using or operating that apparatus or product; or</w:t>
      </w:r>
    </w:p>
    <w:p>
      <w:pPr>
        <w:pStyle w:val="Indenta"/>
        <w:rPr>
          <w:snapToGrid w:val="0"/>
        </w:rPr>
      </w:pPr>
      <w:r>
        <w:rPr>
          <w:snapToGrid w:val="0"/>
        </w:rPr>
        <w:tab/>
        <w:t>(b)</w:t>
      </w:r>
      <w:r>
        <w:rPr>
          <w:snapToGrid w:val="0"/>
        </w:rPr>
        <w:tab/>
        <w:t>to stop using or operating that apparatus or product until the repair, modifications or renewals specified in the notice have been effected; or</w:t>
      </w:r>
    </w:p>
    <w:p>
      <w:pPr>
        <w:pStyle w:val="Indenta"/>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pPr>
        <w:pStyle w:val="Subsection"/>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pPr>
        <w:pStyle w:val="Subsection"/>
        <w:rPr>
          <w:snapToGrid w:val="0"/>
        </w:rPr>
      </w:pPr>
      <w:r>
        <w:rPr>
          <w:snapToGrid w:val="0"/>
        </w:rPr>
        <w:tab/>
        <w:t>(3)</w:t>
      </w:r>
      <w:r>
        <w:rPr>
          <w:snapToGrid w:val="0"/>
        </w:rPr>
        <w:tab/>
        <w:t>A direction given under this section may be expressed to take effect immediately or from a date to be specified in the notice.</w:t>
      </w:r>
    </w:p>
    <w:p>
      <w:pPr>
        <w:pStyle w:val="Subsection"/>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pPr>
        <w:pStyle w:val="Subsection"/>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pPr>
        <w:pStyle w:val="Heading5"/>
        <w:rPr>
          <w:snapToGrid w:val="0"/>
        </w:rPr>
      </w:pPr>
      <w:bookmarkStart w:id="99" w:name="_Toc531182137"/>
      <w:r>
        <w:rPr>
          <w:rStyle w:val="CharSectno"/>
        </w:rPr>
        <w:t>47</w:t>
      </w:r>
      <w:r>
        <w:rPr>
          <w:snapToGrid w:val="0"/>
        </w:rPr>
        <w:t>.</w:t>
      </w:r>
      <w:r>
        <w:rPr>
          <w:snapToGrid w:val="0"/>
        </w:rPr>
        <w:tab/>
        <w:t>Power to vary directions etc.</w:t>
      </w:r>
      <w:bookmarkEnd w:id="99"/>
    </w:p>
    <w:p>
      <w:pPr>
        <w:pStyle w:val="Subsection"/>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pPr>
        <w:pStyle w:val="Heading5"/>
        <w:rPr>
          <w:snapToGrid w:val="0"/>
        </w:rPr>
      </w:pPr>
      <w:bookmarkStart w:id="100" w:name="_Toc531182138"/>
      <w:r>
        <w:rPr>
          <w:rStyle w:val="CharSectno"/>
        </w:rPr>
        <w:t>48</w:t>
      </w:r>
      <w:r>
        <w:rPr>
          <w:snapToGrid w:val="0"/>
        </w:rPr>
        <w:t>.</w:t>
      </w:r>
      <w:r>
        <w:rPr>
          <w:snapToGrid w:val="0"/>
        </w:rPr>
        <w:tab/>
        <w:t>Offences as to inspections etc.</w:t>
      </w:r>
      <w:bookmarkEnd w:id="100"/>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 or</w:t>
      </w:r>
    </w:p>
    <w:p>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 or</w:t>
      </w:r>
    </w:p>
    <w:p>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 or</w:t>
      </w:r>
    </w:p>
    <w:p>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 or</w:t>
      </w:r>
    </w:p>
    <w:p>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 or</w:t>
      </w:r>
    </w:p>
    <w:p>
      <w:pPr>
        <w:pStyle w:val="Indenta"/>
        <w:rPr>
          <w:snapToGrid w:val="0"/>
        </w:rPr>
      </w:pPr>
      <w:r>
        <w:rPr>
          <w:snapToGrid w:val="0"/>
        </w:rPr>
        <w:tab/>
        <w:t>(f)</w:t>
      </w:r>
      <w:r>
        <w:rPr>
          <w:snapToGrid w:val="0"/>
        </w:rPr>
        <w:tab/>
        <w:t>fail to permit any inspection or examination of any premises lawfully required under this Act; or</w:t>
      </w:r>
    </w:p>
    <w:p>
      <w:pPr>
        <w:pStyle w:val="Indenta"/>
        <w:rPr>
          <w:snapToGrid w:val="0"/>
        </w:rPr>
      </w:pPr>
      <w:r>
        <w:rPr>
          <w:snapToGrid w:val="0"/>
        </w:rPr>
        <w:tab/>
        <w:t>(g)</w:t>
      </w:r>
      <w:r>
        <w:rPr>
          <w:snapToGrid w:val="0"/>
        </w:rPr>
        <w:tab/>
        <w:t>when required by or under this Act to furnish assistance to any person, fail without lawful excuse to furnish that assistance.</w:t>
      </w:r>
    </w:p>
    <w:p>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pPr>
        <w:pStyle w:val="Heading5"/>
        <w:spacing w:before="200"/>
        <w:rPr>
          <w:snapToGrid w:val="0"/>
        </w:rPr>
      </w:pPr>
      <w:bookmarkStart w:id="101" w:name="_Toc531182139"/>
      <w:r>
        <w:rPr>
          <w:rStyle w:val="CharSectno"/>
        </w:rPr>
        <w:t>49</w:t>
      </w:r>
      <w:r>
        <w:rPr>
          <w:snapToGrid w:val="0"/>
        </w:rPr>
        <w:t>.</w:t>
      </w:r>
      <w:r>
        <w:rPr>
          <w:snapToGrid w:val="0"/>
        </w:rPr>
        <w:tab/>
        <w:t>Secrecy</w:t>
      </w:r>
      <w:bookmarkEnd w:id="101"/>
      <w:r>
        <w:rPr>
          <w:snapToGrid w:val="0"/>
        </w:rPr>
        <w:t xml:space="preserve"> </w:t>
      </w:r>
    </w:p>
    <w:p>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pPr>
        <w:pStyle w:val="Indenta"/>
        <w:rPr>
          <w:snapToGrid w:val="0"/>
        </w:rPr>
      </w:pPr>
      <w:r>
        <w:rPr>
          <w:snapToGrid w:val="0"/>
        </w:rPr>
        <w:tab/>
        <w:t>(a)</w:t>
      </w:r>
      <w:r>
        <w:rPr>
          <w:snapToGrid w:val="0"/>
        </w:rPr>
        <w:tab/>
        <w:t>with the consent of the person carrying on or operating the business to which that information relates; or</w:t>
      </w:r>
    </w:p>
    <w:p>
      <w:pPr>
        <w:pStyle w:val="Indenta"/>
        <w:rPr>
          <w:snapToGrid w:val="0"/>
        </w:rPr>
      </w:pPr>
      <w:r>
        <w:tab/>
        <w:t>(aa)</w:t>
      </w:r>
      <w:r>
        <w:tab/>
        <w:t>under section 24A;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A fine not exceeding $2 000, or imprisonment for 12 months, or both such fine and imprisonment.</w:t>
      </w:r>
    </w:p>
    <w:p>
      <w:pPr>
        <w:pStyle w:val="Footnotesection"/>
      </w:pPr>
      <w:r>
        <w:tab/>
        <w:t>[Section 49 amended: No. 21 of 2006 Sch. 3 cl. 5(9).]</w:t>
      </w:r>
    </w:p>
    <w:p>
      <w:pPr>
        <w:pStyle w:val="Heading5"/>
        <w:spacing w:before="200"/>
        <w:rPr>
          <w:snapToGrid w:val="0"/>
        </w:rPr>
      </w:pPr>
      <w:bookmarkStart w:id="102" w:name="_Toc531182140"/>
      <w:r>
        <w:rPr>
          <w:rStyle w:val="CharSectno"/>
        </w:rPr>
        <w:t>50</w:t>
      </w:r>
      <w:r>
        <w:rPr>
          <w:snapToGrid w:val="0"/>
        </w:rPr>
        <w:t>.</w:t>
      </w:r>
      <w:r>
        <w:rPr>
          <w:snapToGrid w:val="0"/>
        </w:rPr>
        <w:tab/>
        <w:t>Availability of records</w:t>
      </w:r>
      <w:bookmarkEnd w:id="102"/>
      <w:r>
        <w:rPr>
          <w:snapToGrid w:val="0"/>
        </w:rPr>
        <w:t xml:space="preserve"> </w:t>
      </w:r>
    </w:p>
    <w:p>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pPr>
        <w:pStyle w:val="Indenta"/>
        <w:rPr>
          <w:snapToGrid w:val="0"/>
        </w:rPr>
      </w:pPr>
      <w:r>
        <w:rPr>
          <w:snapToGrid w:val="0"/>
        </w:rPr>
        <w:tab/>
        <w:t>(b)</w:t>
      </w:r>
      <w:r>
        <w:rPr>
          <w:snapToGrid w:val="0"/>
        </w:rPr>
        <w:tab/>
        <w:t>where they contain or refer to design information submitted by a person other than the owner,</w:t>
      </w:r>
    </w:p>
    <w:p>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pPr>
        <w:pStyle w:val="Heading5"/>
        <w:spacing w:before="200"/>
        <w:rPr>
          <w:rStyle w:val="CharSectno"/>
        </w:rPr>
      </w:pPr>
      <w:bookmarkStart w:id="103" w:name="_Toc531182141"/>
      <w:r>
        <w:rPr>
          <w:rStyle w:val="CharSectno"/>
        </w:rPr>
        <w:t>51</w:t>
      </w:r>
      <w:r>
        <w:t>.</w:t>
      </w:r>
      <w:r>
        <w:rPr>
          <w:rStyle w:val="CharSectno"/>
        </w:rPr>
        <w:tab/>
      </w:r>
      <w:r>
        <w:t>Offences to be dealt with by magistrate</w:t>
      </w:r>
      <w:bookmarkEnd w:id="103"/>
    </w:p>
    <w:p>
      <w:pPr>
        <w:pStyle w:val="Subsection"/>
        <w:spacing w:before="140"/>
        <w:rPr>
          <w:snapToGrid w:val="0"/>
        </w:rPr>
      </w:pPr>
      <w:r>
        <w:rPr>
          <w:snapToGrid w:val="0"/>
        </w:rPr>
        <w:tab/>
      </w:r>
      <w:r>
        <w:rPr>
          <w:snapToGrid w:val="0"/>
        </w:rPr>
        <w:tab/>
        <w:t>A court of summary jurisdiction dealing with an offence under this Act is to be constituted by a magistrate.</w:t>
      </w:r>
    </w:p>
    <w:p>
      <w:pPr>
        <w:pStyle w:val="Footnotesection"/>
      </w:pPr>
      <w:r>
        <w:tab/>
        <w:t>[Section 51 inserted: No. 59 of 2004 s. 141.]</w:t>
      </w:r>
    </w:p>
    <w:p>
      <w:pPr>
        <w:pStyle w:val="Heading5"/>
        <w:spacing w:before="200"/>
        <w:rPr>
          <w:snapToGrid w:val="0"/>
        </w:rPr>
      </w:pPr>
      <w:bookmarkStart w:id="104" w:name="_Toc531182142"/>
      <w:r>
        <w:rPr>
          <w:rStyle w:val="CharSectno"/>
        </w:rPr>
        <w:t>52</w:t>
      </w:r>
      <w:r>
        <w:rPr>
          <w:snapToGrid w:val="0"/>
        </w:rPr>
        <w:t>.</w:t>
      </w:r>
      <w:r>
        <w:rPr>
          <w:snapToGrid w:val="0"/>
        </w:rPr>
        <w:tab/>
        <w:t>Offences</w:t>
      </w:r>
      <w:bookmarkEnd w:id="104"/>
      <w:r>
        <w:rPr>
          <w:snapToGrid w:val="0"/>
        </w:rPr>
        <w:t xml:space="preserve"> </w:t>
      </w:r>
    </w:p>
    <w:p>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pPr>
        <w:pStyle w:val="Heading5"/>
        <w:rPr>
          <w:snapToGrid w:val="0"/>
        </w:rPr>
      </w:pPr>
      <w:bookmarkStart w:id="105" w:name="_Toc531182143"/>
      <w:r>
        <w:rPr>
          <w:rStyle w:val="CharSectno"/>
        </w:rPr>
        <w:t>53</w:t>
      </w:r>
      <w:r>
        <w:rPr>
          <w:snapToGrid w:val="0"/>
        </w:rPr>
        <w:t>.</w:t>
      </w:r>
      <w:r>
        <w:rPr>
          <w:snapToGrid w:val="0"/>
        </w:rPr>
        <w:tab/>
        <w:t>Forfeiture</w:t>
      </w:r>
      <w:bookmarkEnd w:id="105"/>
      <w:r>
        <w:rPr>
          <w:snapToGrid w:val="0"/>
        </w:rPr>
        <w:t xml:space="preserve"> </w:t>
      </w:r>
    </w:p>
    <w:p>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pPr>
        <w:pStyle w:val="Heading5"/>
        <w:spacing w:before="180"/>
        <w:rPr>
          <w:snapToGrid w:val="0"/>
        </w:rPr>
      </w:pPr>
      <w:bookmarkStart w:id="106" w:name="_Toc531182144"/>
      <w:r>
        <w:rPr>
          <w:rStyle w:val="CharSectno"/>
        </w:rPr>
        <w:t>54</w:t>
      </w:r>
      <w:r>
        <w:rPr>
          <w:snapToGrid w:val="0"/>
        </w:rPr>
        <w:t>.</w:t>
      </w:r>
      <w:r>
        <w:rPr>
          <w:snapToGrid w:val="0"/>
        </w:rPr>
        <w:tab/>
        <w:t>Power to seize and detain</w:t>
      </w:r>
      <w:bookmarkEnd w:id="106"/>
      <w:r>
        <w:rPr>
          <w:snapToGrid w:val="0"/>
        </w:rPr>
        <w:t xml:space="preserve"> </w:t>
      </w:r>
    </w:p>
    <w:p>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pPr>
        <w:pStyle w:val="Footnotesection"/>
      </w:pPr>
      <w:r>
        <w:tab/>
        <w:t>[Section 54 amended: No. 55 of 2004 s. 995.]</w:t>
      </w:r>
    </w:p>
    <w:p>
      <w:pPr>
        <w:pStyle w:val="Heading5"/>
        <w:rPr>
          <w:snapToGrid w:val="0"/>
        </w:rPr>
      </w:pPr>
      <w:bookmarkStart w:id="107" w:name="_Toc531182145"/>
      <w:r>
        <w:rPr>
          <w:rStyle w:val="CharSectno"/>
        </w:rPr>
        <w:t>55</w:t>
      </w:r>
      <w:r>
        <w:rPr>
          <w:snapToGrid w:val="0"/>
        </w:rPr>
        <w:t>.</w:t>
      </w:r>
      <w:r>
        <w:rPr>
          <w:snapToGrid w:val="0"/>
        </w:rPr>
        <w:tab/>
        <w:t>Emergency action</w:t>
      </w:r>
      <w:bookmarkEnd w:id="107"/>
      <w:r>
        <w:rPr>
          <w:snapToGrid w:val="0"/>
        </w:rPr>
        <w:t xml:space="preserve"> </w:t>
      </w:r>
    </w:p>
    <w:p>
      <w:pPr>
        <w:pStyle w:val="Subsection"/>
        <w:rPr>
          <w:snapToGrid w:val="0"/>
        </w:rPr>
      </w:pPr>
      <w:r>
        <w:rPr>
          <w:snapToGrid w:val="0"/>
        </w:rPr>
        <w:tab/>
        <w:t>(1)</w:t>
      </w:r>
      <w:r>
        <w:rPr>
          <w:snapToGrid w:val="0"/>
        </w:rPr>
        <w:tab/>
        <w:t xml:space="preserve">Where the </w:t>
      </w:r>
      <w:r>
        <w:t>Chief Health Officer</w:t>
      </w:r>
      <w:r>
        <w:rPr>
          <w:snapToGrid w:val="0"/>
        </w:rPr>
        <w:t xml:space="preserve"> is satisfied that an emergency situation exists whereby the life or health of any person may be endangered by any radioactive substance, irradiating apparatus or electronic product, he may issue an order requiring — </w:t>
      </w:r>
    </w:p>
    <w:p>
      <w:pPr>
        <w:pStyle w:val="Indenta"/>
        <w:rPr>
          <w:snapToGrid w:val="0"/>
        </w:rPr>
      </w:pPr>
      <w:r>
        <w:rPr>
          <w:snapToGrid w:val="0"/>
        </w:rPr>
        <w:tab/>
        <w:t>(a)</w:t>
      </w:r>
      <w:r>
        <w:rPr>
          <w:snapToGrid w:val="0"/>
        </w:rPr>
        <w:tab/>
        <w:t>where the source of the danger is the subject of a licence, the licensee; and</w:t>
      </w:r>
    </w:p>
    <w:p>
      <w:pPr>
        <w:pStyle w:val="Indenta"/>
        <w:rPr>
          <w:snapToGrid w:val="0"/>
        </w:rPr>
      </w:pPr>
      <w:r>
        <w:rPr>
          <w:snapToGrid w:val="0"/>
        </w:rPr>
        <w:tab/>
        <w:t>(b)</w:t>
      </w:r>
      <w:r>
        <w:rPr>
          <w:snapToGrid w:val="0"/>
        </w:rPr>
        <w:tab/>
        <w:t>in any other case, the person appearing to him to have apparent charge of the source of the danger,</w:t>
      </w:r>
    </w:p>
    <w:p>
      <w:pPr>
        <w:pStyle w:val="Subsection"/>
        <w:rPr>
          <w:snapToGrid w:val="0"/>
        </w:rPr>
      </w:pPr>
      <w:r>
        <w:rPr>
          <w:snapToGrid w:val="0"/>
        </w:rPr>
        <w:tab/>
      </w:r>
      <w:r>
        <w:rPr>
          <w:snapToGrid w:val="0"/>
        </w:rPr>
        <w:tab/>
        <w:t xml:space="preserve">to take such action as the </w:t>
      </w:r>
      <w:r>
        <w:t>Chief Health Officer</w:t>
      </w:r>
      <w:r>
        <w:rPr>
          <w:snapToGrid w:val="0"/>
        </w:rPr>
        <w:t xml:space="preserve"> thinks necessary to meet the emergency, or if the circumstances in his opinion so require, the </w:t>
      </w:r>
      <w:r>
        <w:t>Chief Health Officer</w:t>
      </w:r>
      <w:r>
        <w:rPr>
          <w:snapToGrid w:val="0"/>
        </w:rPr>
        <w:t xml:space="preserve"> may take such action or cause such action to be taken as he thinks necessary to meet the emergency.</w:t>
      </w:r>
    </w:p>
    <w:p>
      <w:pPr>
        <w:pStyle w:val="Subsection"/>
        <w:rPr>
          <w:snapToGrid w:val="0"/>
        </w:rPr>
      </w:pPr>
      <w:r>
        <w:rPr>
          <w:snapToGrid w:val="0"/>
        </w:rPr>
        <w:tab/>
        <w:t>(2)</w:t>
      </w:r>
      <w:r>
        <w:rPr>
          <w:snapToGrid w:val="0"/>
        </w:rPr>
        <w:tab/>
        <w:t xml:space="preserve">No action lies or shall be brought in respect of any thing done or omitted to be done by or at the order of the </w:t>
      </w:r>
      <w:r>
        <w:t>Chief Health Officer</w:t>
      </w:r>
      <w:r>
        <w:rPr>
          <w:snapToGrid w:val="0"/>
        </w:rPr>
        <w:t xml:space="preserve"> under this section.</w:t>
      </w:r>
    </w:p>
    <w:p>
      <w:pPr>
        <w:pStyle w:val="Subsection"/>
        <w:keepNext/>
        <w:rPr>
          <w:snapToGrid w:val="0"/>
        </w:rPr>
      </w:pPr>
      <w:r>
        <w:rPr>
          <w:snapToGrid w:val="0"/>
        </w:rPr>
        <w:tab/>
        <w:t>(3)</w:t>
      </w:r>
      <w:r>
        <w:rPr>
          <w:snapToGrid w:val="0"/>
        </w:rPr>
        <w:tab/>
        <w:t xml:space="preserve">Where the </w:t>
      </w:r>
      <w:r>
        <w:t>Chief Health Officer</w:t>
      </w:r>
      <w:r>
        <w:rPr>
          <w:snapToGrid w:val="0"/>
        </w:rPr>
        <w:t xml:space="preserve"> exercises his powers under this section he shall notify the Council thereafter as soon as is practicable.</w:t>
      </w:r>
    </w:p>
    <w:p>
      <w:pPr>
        <w:pStyle w:val="Footnotesection"/>
      </w:pPr>
      <w:r>
        <w:tab/>
        <w:t xml:space="preserve">[Section 55 amended: No. 63 of 1981 s. 4; No. 28 of 1984 s. 97; No. 19 of 2016 s. 102.] </w:t>
      </w:r>
    </w:p>
    <w:p>
      <w:pPr>
        <w:pStyle w:val="Heading5"/>
        <w:rPr>
          <w:snapToGrid w:val="0"/>
        </w:rPr>
      </w:pPr>
      <w:bookmarkStart w:id="108" w:name="_Toc531182146"/>
      <w:r>
        <w:rPr>
          <w:rStyle w:val="CharSectno"/>
        </w:rPr>
        <w:t>56</w:t>
      </w:r>
      <w:r>
        <w:rPr>
          <w:snapToGrid w:val="0"/>
        </w:rPr>
        <w:t>.</w:t>
      </w:r>
      <w:r>
        <w:rPr>
          <w:snapToGrid w:val="0"/>
        </w:rPr>
        <w:tab/>
        <w:t>Liability for the acts of others etc.</w:t>
      </w:r>
      <w:bookmarkEnd w:id="108"/>
    </w:p>
    <w:p>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pPr>
        <w:pStyle w:val="Heading5"/>
        <w:rPr>
          <w:snapToGrid w:val="0"/>
        </w:rPr>
      </w:pPr>
      <w:bookmarkStart w:id="109" w:name="_Toc531182147"/>
      <w:r>
        <w:rPr>
          <w:rStyle w:val="CharSectno"/>
        </w:rPr>
        <w:t>57</w:t>
      </w:r>
      <w:r>
        <w:rPr>
          <w:snapToGrid w:val="0"/>
        </w:rPr>
        <w:t>.</w:t>
      </w:r>
      <w:r>
        <w:rPr>
          <w:snapToGrid w:val="0"/>
        </w:rPr>
        <w:tab/>
        <w:t>Facilitation of proof</w:t>
      </w:r>
      <w:bookmarkEnd w:id="109"/>
      <w:r>
        <w:rPr>
          <w:snapToGrid w:val="0"/>
        </w:rPr>
        <w:t xml:space="preserve"> </w:t>
      </w:r>
    </w:p>
    <w:p>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pPr>
        <w:pStyle w:val="Subsection"/>
        <w:spacing w:before="100"/>
        <w:rPr>
          <w:snapToGrid w:val="0"/>
        </w:rPr>
      </w:pPr>
      <w:r>
        <w:rPr>
          <w:snapToGrid w:val="0"/>
        </w:rPr>
        <w:tab/>
        <w:t>(2)</w:t>
      </w:r>
      <w:r>
        <w:rPr>
          <w:snapToGrid w:val="0"/>
        </w:rPr>
        <w:tab/>
        <w:t>In any prosecution for an offence against this Act — </w:t>
      </w:r>
    </w:p>
    <w:p>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 and</w:t>
      </w:r>
    </w:p>
    <w:p>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r>
        <w:rPr>
          <w:snapToGrid w:val="0"/>
          <w:spacing w:val="-2"/>
        </w:rPr>
        <w:t xml:space="preserve"> and</w:t>
      </w:r>
    </w:p>
    <w:p>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pPr>
        <w:pStyle w:val="Indenta"/>
        <w:keepNext/>
        <w:spacing w:before="60"/>
        <w:rPr>
          <w:snapToGrid w:val="0"/>
        </w:rPr>
      </w:pPr>
      <w:r>
        <w:rPr>
          <w:snapToGrid w:val="0"/>
        </w:rPr>
        <w:tab/>
        <w:t>(d)</w:t>
      </w:r>
      <w:r>
        <w:rPr>
          <w:snapToGrid w:val="0"/>
        </w:rPr>
        <w:tab/>
        <w:t>the allegation or averment in any prosecution notice — </w:t>
      </w:r>
    </w:p>
    <w:p>
      <w:pPr>
        <w:pStyle w:val="Indenti"/>
        <w:rPr>
          <w:snapToGrid w:val="0"/>
        </w:rPr>
      </w:pPr>
      <w:r>
        <w:rPr>
          <w:snapToGrid w:val="0"/>
        </w:rPr>
        <w:tab/>
        <w:t>(i)</w:t>
      </w:r>
      <w:r>
        <w:rPr>
          <w:snapToGrid w:val="0"/>
        </w:rPr>
        <w:tab/>
        <w:t>that this Act applies in relation to any substance, apparatus, product, premises or thing; or</w:t>
      </w:r>
    </w:p>
    <w:p>
      <w:pPr>
        <w:pStyle w:val="Indenti"/>
        <w:rPr>
          <w:snapToGrid w:val="0"/>
        </w:rPr>
      </w:pPr>
      <w:r>
        <w:rPr>
          <w:snapToGrid w:val="0"/>
        </w:rPr>
        <w:tab/>
        <w:t>(ii)</w:t>
      </w:r>
      <w:r>
        <w:rPr>
          <w:snapToGrid w:val="0"/>
        </w:rPr>
        <w:tab/>
        <w:t>that any substance, apparatus, product or thing was dealt with in a manner which constitutes a sale as defined in this Act,</w:t>
      </w:r>
    </w:p>
    <w:p>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pPr>
        <w:pStyle w:val="Subsection"/>
        <w:rPr>
          <w:snapToGrid w:val="0"/>
        </w:rPr>
      </w:pPr>
      <w:r>
        <w:rPr>
          <w:snapToGrid w:val="0"/>
        </w:rPr>
        <w:tab/>
      </w:r>
      <w:r>
        <w:t>(2A)</w:t>
      </w:r>
      <w:r>
        <w:tab/>
        <w:t>Where by any provision</w:t>
      </w:r>
      <w:r>
        <w:rPr>
          <w:snapToGrid w:val="0"/>
        </w:rPr>
        <w:t xml:space="preserve">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pPr>
        <w:pStyle w:val="Subsection"/>
        <w:keepNext/>
        <w:rPr>
          <w:snapToGrid w:val="0"/>
        </w:rPr>
      </w:pPr>
      <w:r>
        <w:rPr>
          <w:snapToGrid w:val="0"/>
        </w:rPr>
        <w:tab/>
        <w:t>(3)</w:t>
      </w:r>
      <w:r>
        <w:rPr>
          <w:snapToGrid w:val="0"/>
        </w:rPr>
        <w:tab/>
        <w:t>It is sufficient in any prosecution notice for an offence against this Act — </w:t>
      </w:r>
    </w:p>
    <w:p>
      <w:pPr>
        <w:pStyle w:val="Indenta"/>
        <w:rPr>
          <w:snapToGrid w:val="0"/>
        </w:rPr>
      </w:pPr>
      <w:r>
        <w:rPr>
          <w:snapToGrid w:val="0"/>
        </w:rPr>
        <w:tab/>
        <w:t>(a)</w:t>
      </w:r>
      <w:r>
        <w:rPr>
          <w:snapToGrid w:val="0"/>
        </w:rPr>
        <w:tab/>
        <w:t>where the accused is a natural person, to name the accused by the name by which he is usually known; and</w:t>
      </w:r>
    </w:p>
    <w:p>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pPr>
        <w:pStyle w:val="Footnotesection"/>
      </w:pPr>
      <w:r>
        <w:tab/>
        <w:t>[Section 57 amended: No. 84 of 2004 s. 79 and 82; No. 8 of 2009 s. 107.]</w:t>
      </w:r>
    </w:p>
    <w:p>
      <w:pPr>
        <w:pStyle w:val="Heading2"/>
      </w:pPr>
      <w:bookmarkStart w:id="110" w:name="_Toc489602141"/>
      <w:bookmarkStart w:id="111" w:name="_Toc489602255"/>
      <w:bookmarkStart w:id="112" w:name="_Toc489602670"/>
      <w:bookmarkStart w:id="113" w:name="_Toc490129677"/>
      <w:bookmarkStart w:id="114" w:name="_Toc491788290"/>
      <w:bookmarkStart w:id="115" w:name="_Toc493601380"/>
      <w:bookmarkStart w:id="116" w:name="_Toc493601449"/>
      <w:bookmarkStart w:id="117" w:name="_Toc493601518"/>
      <w:bookmarkStart w:id="118" w:name="_Toc493603135"/>
      <w:bookmarkStart w:id="119" w:name="_Toc493603258"/>
      <w:bookmarkStart w:id="120" w:name="_Toc512325258"/>
      <w:bookmarkStart w:id="121" w:name="_Toc531182148"/>
      <w:r>
        <w:rPr>
          <w:rStyle w:val="CharPartNo"/>
        </w:rPr>
        <w:t>Part V</w:t>
      </w:r>
      <w:r>
        <w:rPr>
          <w:rStyle w:val="CharDivNo"/>
        </w:rPr>
        <w:t> </w:t>
      </w:r>
      <w:r>
        <w:t>—</w:t>
      </w:r>
      <w:r>
        <w:rPr>
          <w:rStyle w:val="CharDivText"/>
        </w:rPr>
        <w:t> </w:t>
      </w:r>
      <w:r>
        <w:rPr>
          <w:rStyle w:val="CharPartText"/>
        </w:rPr>
        <w:t>Regulations</w:t>
      </w:r>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531182149"/>
      <w:r>
        <w:rPr>
          <w:rStyle w:val="CharSectno"/>
        </w:rPr>
        <w:t>58</w:t>
      </w:r>
      <w:r>
        <w:rPr>
          <w:snapToGrid w:val="0"/>
        </w:rPr>
        <w:t>.</w:t>
      </w:r>
      <w:r>
        <w:rPr>
          <w:snapToGrid w:val="0"/>
        </w:rPr>
        <w:tab/>
        <w:t>General power</w:t>
      </w:r>
      <w:bookmarkEnd w:id="12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pPr>
        <w:pStyle w:val="Subsection"/>
        <w:rPr>
          <w:snapToGrid w:val="0"/>
        </w:rPr>
      </w:pPr>
      <w:r>
        <w:rPr>
          <w:snapToGrid w:val="0"/>
        </w:rPr>
        <w:tab/>
        <w:t>(2)</w:t>
      </w:r>
      <w:r>
        <w:rPr>
          <w:snapToGrid w:val="0"/>
        </w:rPr>
        <w:tab/>
        <w:t>Any regulations made under this Act may — </w:t>
      </w:r>
    </w:p>
    <w:p>
      <w:pPr>
        <w:pStyle w:val="Indenta"/>
        <w:rPr>
          <w:snapToGrid w:val="0"/>
        </w:rPr>
      </w:pPr>
      <w:r>
        <w:rPr>
          <w:snapToGrid w:val="0"/>
        </w:rPr>
        <w:tab/>
        <w:t>(a)</w:t>
      </w:r>
      <w:r>
        <w:rPr>
          <w:snapToGrid w:val="0"/>
        </w:rPr>
        <w:tab/>
        <w:t>be of general or limited application;</w:t>
      </w:r>
      <w:r>
        <w:rPr>
          <w:snapToGrid w:val="0"/>
          <w:spacing w:val="-2"/>
        </w:rPr>
        <w:t xml:space="preserve"> and</w:t>
      </w:r>
    </w:p>
    <w:p>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r>
        <w:rPr>
          <w:snapToGrid w:val="0"/>
          <w:spacing w:val="-2"/>
        </w:rPr>
        <w:t xml:space="preserve"> and</w:t>
      </w:r>
    </w:p>
    <w:p>
      <w:pPr>
        <w:pStyle w:val="Indenta"/>
        <w:rPr>
          <w:snapToGrid w:val="0"/>
        </w:rPr>
      </w:pPr>
      <w:r>
        <w:rPr>
          <w:snapToGrid w:val="0"/>
        </w:rPr>
        <w:tab/>
        <w:t>(c)</w:t>
      </w:r>
      <w:r>
        <w:rPr>
          <w:snapToGrid w:val="0"/>
        </w:rPr>
        <w:tab/>
        <w:t>impose upon any person or class of person a discretionary authority;</w:t>
      </w:r>
      <w:r>
        <w:rPr>
          <w:snapToGrid w:val="0"/>
          <w:spacing w:val="-2"/>
        </w:rPr>
        <w:t xml:space="preserve"> and</w:t>
      </w:r>
    </w:p>
    <w:p>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r>
        <w:rPr>
          <w:snapToGrid w:val="0"/>
          <w:spacing w:val="-2"/>
        </w:rPr>
        <w:t xml:space="preserve"> and</w:t>
      </w:r>
    </w:p>
    <w:p>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pPr>
        <w:pStyle w:val="Footnotesection"/>
      </w:pPr>
      <w:r>
        <w:tab/>
        <w:t>[Section 58 amended: No. 74 of 2003 s. 99.]</w:t>
      </w:r>
    </w:p>
    <w:p>
      <w:pPr>
        <w:pStyle w:val="Heading5"/>
        <w:rPr>
          <w:snapToGrid w:val="0"/>
        </w:rPr>
      </w:pPr>
      <w:bookmarkStart w:id="123" w:name="_Toc531182150"/>
      <w:r>
        <w:rPr>
          <w:rStyle w:val="CharSectno"/>
        </w:rPr>
        <w:t>59</w:t>
      </w:r>
      <w:r>
        <w:rPr>
          <w:snapToGrid w:val="0"/>
        </w:rPr>
        <w:t>.</w:t>
      </w:r>
      <w:r>
        <w:rPr>
          <w:snapToGrid w:val="0"/>
        </w:rPr>
        <w:tab/>
        <w:t>Specific powers</w:t>
      </w:r>
      <w:bookmarkEnd w:id="123"/>
      <w:r>
        <w:rPr>
          <w:snapToGrid w:val="0"/>
        </w:rPr>
        <w:t xml:space="preserve"> </w:t>
      </w:r>
    </w:p>
    <w:p>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pPr>
        <w:pStyle w:val="Indenta"/>
        <w:rPr>
          <w:snapToGrid w:val="0"/>
        </w:rPr>
      </w:pPr>
      <w:r>
        <w:rPr>
          <w:snapToGrid w:val="0"/>
        </w:rPr>
        <w:tab/>
        <w:t>(a)</w:t>
      </w:r>
      <w:r>
        <w:rPr>
          <w:snapToGrid w:val="0"/>
        </w:rPr>
        <w:tab/>
        <w:t>the exemption of persons or things from the provisions of this Act;</w:t>
      </w:r>
      <w:r>
        <w:rPr>
          <w:snapToGrid w:val="0"/>
          <w:spacing w:val="-2"/>
        </w:rPr>
        <w:t xml:space="preserve"> and</w:t>
      </w:r>
    </w:p>
    <w:p>
      <w:pPr>
        <w:pStyle w:val="Indenta"/>
        <w:rPr>
          <w:snapToGrid w:val="0"/>
        </w:rPr>
      </w:pPr>
      <w:r>
        <w:rPr>
          <w:snapToGrid w:val="0"/>
        </w:rPr>
        <w:tab/>
        <w:t>(b)</w:t>
      </w:r>
      <w:r>
        <w:rPr>
          <w:snapToGrid w:val="0"/>
        </w:rPr>
        <w:tab/>
        <w:t>the application of the provisions of this Act in relation to electronic products;</w:t>
      </w:r>
      <w:r>
        <w:rPr>
          <w:snapToGrid w:val="0"/>
          <w:spacing w:val="-2"/>
        </w:rPr>
        <w:t xml:space="preserve"> and</w:t>
      </w:r>
    </w:p>
    <w:p>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r>
        <w:rPr>
          <w:snapToGrid w:val="0"/>
          <w:spacing w:val="-2"/>
        </w:rPr>
        <w:t xml:space="preserve"> and</w:t>
      </w:r>
    </w:p>
    <w:p>
      <w:pPr>
        <w:pStyle w:val="Indenta"/>
        <w:rPr>
          <w:snapToGrid w:val="0"/>
        </w:rPr>
      </w:pPr>
      <w:r>
        <w:rPr>
          <w:snapToGrid w:val="0"/>
        </w:rPr>
        <w:tab/>
        <w:t>(d)</w:t>
      </w:r>
      <w:r>
        <w:rPr>
          <w:snapToGrid w:val="0"/>
        </w:rPr>
        <w:tab/>
        <w:t>the conditions, restrictions or limitations that may be imposed under this Act;</w:t>
      </w:r>
      <w:r>
        <w:rPr>
          <w:snapToGrid w:val="0"/>
          <w:spacing w:val="-2"/>
        </w:rPr>
        <w:t xml:space="preserve"> and</w:t>
      </w:r>
    </w:p>
    <w:p>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r>
        <w:rPr>
          <w:snapToGrid w:val="0"/>
          <w:spacing w:val="-2"/>
        </w:rPr>
        <w:t xml:space="preserve"> and</w:t>
      </w:r>
    </w:p>
    <w:p>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r>
        <w:rPr>
          <w:snapToGrid w:val="0"/>
          <w:spacing w:val="-2"/>
        </w:rPr>
        <w:t xml:space="preserve"> and</w:t>
      </w:r>
    </w:p>
    <w:p>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r>
        <w:rPr>
          <w:snapToGrid w:val="0"/>
          <w:spacing w:val="-2"/>
        </w:rPr>
        <w:t xml:space="preserve"> and</w:t>
      </w:r>
    </w:p>
    <w:p>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r>
        <w:rPr>
          <w:snapToGrid w:val="0"/>
          <w:spacing w:val="-2"/>
        </w:rPr>
        <w:t xml:space="preserve"> and</w:t>
      </w:r>
    </w:p>
    <w:p>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r>
        <w:rPr>
          <w:snapToGrid w:val="0"/>
          <w:spacing w:val="-2"/>
        </w:rPr>
        <w:t xml:space="preserve"> and</w:t>
      </w:r>
    </w:p>
    <w:p>
      <w:pPr>
        <w:pStyle w:val="Indenta"/>
        <w:rPr>
          <w:snapToGrid w:val="0"/>
        </w:rPr>
      </w:pPr>
      <w:r>
        <w:rPr>
          <w:snapToGrid w:val="0"/>
        </w:rPr>
        <w:tab/>
        <w:t>(j)</w:t>
      </w:r>
      <w:r>
        <w:rPr>
          <w:snapToGrid w:val="0"/>
        </w:rPr>
        <w:tab/>
        <w:t>investigations, enquiries as to safety, the taking of samples, methods of storage and transportation, the efficacy of controls;</w:t>
      </w:r>
      <w:r>
        <w:rPr>
          <w:snapToGrid w:val="0"/>
          <w:spacing w:val="-2"/>
        </w:rPr>
        <w:t xml:space="preserve"> and</w:t>
      </w:r>
    </w:p>
    <w:p>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r>
        <w:rPr>
          <w:snapToGrid w:val="0"/>
          <w:spacing w:val="-2"/>
        </w:rPr>
        <w:t xml:space="preserve"> and</w:t>
      </w:r>
    </w:p>
    <w:p>
      <w:pPr>
        <w:pStyle w:val="Indenta"/>
        <w:rPr>
          <w:snapToGrid w:val="0"/>
        </w:rPr>
      </w:pPr>
      <w:r>
        <w:rPr>
          <w:snapToGrid w:val="0"/>
        </w:rPr>
        <w:tab/>
        <w:t>(l)</w:t>
      </w:r>
      <w:r>
        <w:rPr>
          <w:snapToGrid w:val="0"/>
        </w:rPr>
        <w:tab/>
        <w:t>the concentrations of radioactive chemical elements that shall, or shall not, be lawful in specified circumstances;</w:t>
      </w:r>
      <w:r>
        <w:rPr>
          <w:snapToGrid w:val="0"/>
          <w:spacing w:val="-2"/>
        </w:rPr>
        <w:t xml:space="preserve"> and</w:t>
      </w:r>
    </w:p>
    <w:p>
      <w:pPr>
        <w:pStyle w:val="Indenta"/>
        <w:rPr>
          <w:snapToGrid w:val="0"/>
        </w:rPr>
      </w:pPr>
      <w:r>
        <w:rPr>
          <w:snapToGrid w:val="0"/>
        </w:rPr>
        <w:tab/>
        <w:t>(m)</w:t>
      </w:r>
      <w:r>
        <w:rPr>
          <w:snapToGrid w:val="0"/>
        </w:rPr>
        <w:tab/>
        <w:t>the maximum permissible levels of exposure to radiation of persons in specified circumstances;</w:t>
      </w:r>
      <w:r>
        <w:rPr>
          <w:snapToGrid w:val="0"/>
          <w:spacing w:val="-2"/>
        </w:rPr>
        <w:t xml:space="preserve"> and</w:t>
      </w:r>
    </w:p>
    <w:p>
      <w:pPr>
        <w:pStyle w:val="Indenta"/>
        <w:rPr>
          <w:snapToGrid w:val="0"/>
        </w:rPr>
      </w:pPr>
      <w:r>
        <w:rPr>
          <w:snapToGrid w:val="0"/>
        </w:rPr>
        <w:tab/>
        <w:t>(n)</w:t>
      </w:r>
      <w:r>
        <w:rPr>
          <w:snapToGrid w:val="0"/>
        </w:rPr>
        <w:tab/>
        <w:t>requiring the compulsory medical examination of persons exposed or likely to be exposed to the risk of disease due to radiation;</w:t>
      </w:r>
      <w:r>
        <w:rPr>
          <w:snapToGrid w:val="0"/>
          <w:spacing w:val="-2"/>
        </w:rPr>
        <w:t xml:space="preserve"> and</w:t>
      </w:r>
    </w:p>
    <w:p>
      <w:pPr>
        <w:pStyle w:val="Indenta"/>
        <w:rPr>
          <w:snapToGrid w:val="0"/>
        </w:rPr>
      </w:pPr>
      <w:r>
        <w:rPr>
          <w:snapToGrid w:val="0"/>
        </w:rPr>
        <w:tab/>
        <w:t>(o)</w:t>
      </w:r>
      <w:r>
        <w:rPr>
          <w:snapToGrid w:val="0"/>
        </w:rPr>
        <w:tab/>
        <w:t>the establishment and operation of nuclear reactors and nuclear fuel processing plants, and the use of nuclear explosions;</w:t>
      </w:r>
      <w:r>
        <w:rPr>
          <w:snapToGrid w:val="0"/>
          <w:spacing w:val="-2"/>
        </w:rPr>
        <w:t xml:space="preserve"> and</w:t>
      </w:r>
    </w:p>
    <w:p>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r>
        <w:rPr>
          <w:snapToGrid w:val="0"/>
          <w:spacing w:val="-2"/>
        </w:rPr>
        <w:t xml:space="preserve"> and</w:t>
      </w:r>
    </w:p>
    <w:p>
      <w:pPr>
        <w:pStyle w:val="Indenta"/>
        <w:rPr>
          <w:snapToGrid w:val="0"/>
        </w:rPr>
      </w:pPr>
      <w:r>
        <w:rPr>
          <w:snapToGrid w:val="0"/>
        </w:rPr>
        <w:tab/>
        <w:t>(q)</w:t>
      </w:r>
      <w:r>
        <w:rPr>
          <w:snapToGrid w:val="0"/>
        </w:rPr>
        <w:tab/>
        <w:t>establishing procedures, standards, specifications and other requirements in the interests of safety; and</w:t>
      </w:r>
    </w:p>
    <w:p>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24" w:name="_Toc489602144"/>
      <w:bookmarkStart w:id="125" w:name="_Toc489602258"/>
      <w:bookmarkStart w:id="126" w:name="_Toc489602673"/>
      <w:bookmarkStart w:id="127" w:name="_Toc490129680"/>
      <w:bookmarkStart w:id="128" w:name="_Toc491788293"/>
      <w:bookmarkStart w:id="129" w:name="_Toc493601383"/>
      <w:bookmarkStart w:id="130" w:name="_Toc493601452"/>
      <w:bookmarkStart w:id="131" w:name="_Toc493601521"/>
      <w:bookmarkStart w:id="132" w:name="_Toc493603138"/>
      <w:bookmarkStart w:id="133" w:name="_Toc493603261"/>
      <w:bookmarkStart w:id="134" w:name="_Toc512325261"/>
      <w:bookmarkStart w:id="135" w:name="_Toc531182151"/>
      <w:r>
        <w:t>Notes</w:t>
      </w:r>
      <w:bookmarkEnd w:id="124"/>
      <w:bookmarkEnd w:id="125"/>
      <w:bookmarkEnd w:id="126"/>
      <w:bookmarkEnd w:id="127"/>
      <w:bookmarkEnd w:id="128"/>
      <w:bookmarkEnd w:id="129"/>
      <w:bookmarkEnd w:id="130"/>
      <w:bookmarkEnd w:id="131"/>
      <w:bookmarkEnd w:id="132"/>
      <w:bookmarkEnd w:id="133"/>
      <w:bookmarkEnd w:id="134"/>
      <w:bookmarkEnd w:id="135"/>
    </w:p>
    <w:p>
      <w:pPr>
        <w:pStyle w:val="nSubsection"/>
      </w:pPr>
      <w:r>
        <w:rPr>
          <w:vertAlign w:val="superscript"/>
        </w:rPr>
        <w:t>1</w:t>
      </w:r>
      <w:r>
        <w:tab/>
        <w:t xml:space="preserve">This is a compilation of the </w:t>
      </w:r>
      <w:r>
        <w:rPr>
          <w:i/>
          <w:noProof/>
        </w:rPr>
        <w:t>Radiation Safety Act 1975</w:t>
      </w:r>
      <w:r>
        <w:t xml:space="preserve"> and includes the amendments made by the other written laws referred to in the following table.  The table also contains information about any reprint.</w:t>
      </w:r>
    </w:p>
    <w:p>
      <w:pPr>
        <w:pStyle w:val="nHeading3"/>
        <w:rPr>
          <w:snapToGrid w:val="0"/>
        </w:rPr>
      </w:pPr>
      <w:bookmarkStart w:id="136" w:name="_Toc531182152"/>
      <w:r>
        <w:rPr>
          <w:snapToGrid w:val="0"/>
        </w:rPr>
        <w:t>Compilation table</w:t>
      </w:r>
      <w:bookmarkEnd w:id="136"/>
    </w:p>
    <w:tbl>
      <w:tblPr>
        <w:tblW w:w="7087"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70"/>
            </w:pPr>
            <w:r>
              <w:rPr>
                <w:i/>
              </w:rPr>
              <w:t>Radiation Safety Act 1975</w:t>
            </w:r>
          </w:p>
        </w:tc>
        <w:tc>
          <w:tcPr>
            <w:tcW w:w="1134" w:type="dxa"/>
            <w:tcBorders>
              <w:top w:val="single" w:sz="8" w:space="0" w:color="auto"/>
            </w:tcBorders>
          </w:tcPr>
          <w:p>
            <w:pPr>
              <w:pStyle w:val="nTable"/>
              <w:spacing w:after="40"/>
            </w:pPr>
            <w:r>
              <w:t>44 of 1975</w:t>
            </w:r>
          </w:p>
        </w:tc>
        <w:tc>
          <w:tcPr>
            <w:tcW w:w="1134" w:type="dxa"/>
            <w:tcBorders>
              <w:top w:val="single" w:sz="8" w:space="0" w:color="auto"/>
            </w:tcBorders>
          </w:tcPr>
          <w:p>
            <w:pPr>
              <w:pStyle w:val="nTable"/>
              <w:spacing w:after="40"/>
            </w:pPr>
            <w:r>
              <w:t>18 Sep 1975</w:t>
            </w:r>
          </w:p>
        </w:tc>
        <w:tc>
          <w:tcPr>
            <w:tcW w:w="2552" w:type="dxa"/>
            <w:tcBorders>
              <w:top w:val="single" w:sz="8" w:space="0" w:color="auto"/>
            </w:tcBorders>
          </w:tcPr>
          <w:p>
            <w:pPr>
              <w:pStyle w:val="nTable"/>
              <w:spacing w:after="40"/>
            </w:pPr>
            <w:r>
              <w:t xml:space="preserve">7 May 1976 (see s. 2 and </w:t>
            </w:r>
            <w:r>
              <w:rPr>
                <w:i/>
              </w:rPr>
              <w:t>Gazette</w:t>
            </w:r>
            <w:r>
              <w:t xml:space="preserve"> 7 May 1976 p. 1381)</w:t>
            </w:r>
          </w:p>
        </w:tc>
      </w:tr>
      <w:tr>
        <w:trPr>
          <w:cantSplit/>
        </w:trPr>
        <w:tc>
          <w:tcPr>
            <w:tcW w:w="2267" w:type="dxa"/>
          </w:tcPr>
          <w:p>
            <w:pPr>
              <w:pStyle w:val="nTable"/>
              <w:spacing w:after="40"/>
              <w:ind w:right="170"/>
              <w:rPr>
                <w:i/>
              </w:rPr>
            </w:pPr>
            <w:r>
              <w:rPr>
                <w:i/>
              </w:rPr>
              <w:t>Radiation Safety Act Amendment Act 1979</w:t>
            </w:r>
          </w:p>
        </w:tc>
        <w:tc>
          <w:tcPr>
            <w:tcW w:w="1134" w:type="dxa"/>
          </w:tcPr>
          <w:p>
            <w:pPr>
              <w:pStyle w:val="nTable"/>
              <w:spacing w:after="40"/>
            </w:pPr>
            <w:r>
              <w:t>20 of 1979</w:t>
            </w:r>
          </w:p>
        </w:tc>
        <w:tc>
          <w:tcPr>
            <w:tcW w:w="1134" w:type="dxa"/>
          </w:tcPr>
          <w:p>
            <w:pPr>
              <w:pStyle w:val="nTable"/>
              <w:spacing w:after="40"/>
            </w:pPr>
            <w:r>
              <w:t>30 Aug 1979</w:t>
            </w:r>
          </w:p>
        </w:tc>
        <w:tc>
          <w:tcPr>
            <w:tcW w:w="2552" w:type="dxa"/>
          </w:tcPr>
          <w:p>
            <w:pPr>
              <w:pStyle w:val="nTable"/>
              <w:spacing w:after="40"/>
            </w:pPr>
            <w:r>
              <w:t>30 Aug 1979</w:t>
            </w:r>
          </w:p>
        </w:tc>
      </w:tr>
      <w:tr>
        <w:trPr>
          <w:cantSplit/>
        </w:trPr>
        <w:tc>
          <w:tcPr>
            <w:tcW w:w="2267" w:type="dxa"/>
          </w:tcPr>
          <w:p>
            <w:pPr>
              <w:pStyle w:val="nTable"/>
              <w:spacing w:after="40"/>
              <w:ind w:right="170"/>
              <w:rPr>
                <w:i/>
              </w:rPr>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pPr>
            <w:r>
              <w:t>13 Oct 1981</w:t>
            </w:r>
          </w:p>
        </w:tc>
      </w:tr>
      <w:tr>
        <w:trPr>
          <w:cantSplit/>
        </w:trPr>
        <w:tc>
          <w:tcPr>
            <w:tcW w:w="2267" w:type="dxa"/>
          </w:tcPr>
          <w:p>
            <w:pPr>
              <w:pStyle w:val="nTable"/>
              <w:spacing w:after="40"/>
              <w:ind w:right="170"/>
              <w:rPr>
                <w:i/>
              </w:rPr>
            </w:pPr>
            <w:r>
              <w:rPr>
                <w:i/>
              </w:rPr>
              <w:t xml:space="preserve">Health Legislation Amendment Act 1984 </w:t>
            </w:r>
            <w:r>
              <w:t>Pt. XXII</w:t>
            </w:r>
          </w:p>
        </w:tc>
        <w:tc>
          <w:tcPr>
            <w:tcW w:w="1134" w:type="dxa"/>
          </w:tcPr>
          <w:p>
            <w:pPr>
              <w:pStyle w:val="nTable"/>
              <w:spacing w:after="40"/>
            </w:pPr>
            <w:r>
              <w:t>28 of 1984</w:t>
            </w:r>
          </w:p>
        </w:tc>
        <w:tc>
          <w:tcPr>
            <w:tcW w:w="1134" w:type="dxa"/>
          </w:tcPr>
          <w:p>
            <w:pPr>
              <w:pStyle w:val="nTable"/>
              <w:spacing w:after="40"/>
            </w:pPr>
            <w:r>
              <w:t>31 May 1984</w:t>
            </w:r>
          </w:p>
        </w:tc>
        <w:tc>
          <w:tcPr>
            <w:tcW w:w="2552" w:type="dxa"/>
          </w:tcPr>
          <w:p>
            <w:pPr>
              <w:pStyle w:val="nTable"/>
              <w:spacing w:after="40"/>
            </w:pPr>
            <w:r>
              <w:t xml:space="preserve">1 Jul 1984 (see s. 2 and </w:t>
            </w:r>
            <w:r>
              <w:rPr>
                <w:i/>
              </w:rPr>
              <w:t>Gazette</w:t>
            </w:r>
            <w:r>
              <w:t xml:space="preserve"> 15 Jun 1984 p. 1629)</w:t>
            </w:r>
          </w:p>
        </w:tc>
      </w:tr>
      <w:tr>
        <w:trPr>
          <w:cantSplit/>
        </w:trPr>
        <w:tc>
          <w:tcPr>
            <w:tcW w:w="2267"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2" w:type="dxa"/>
          </w:tcPr>
          <w:p>
            <w:pPr>
              <w:pStyle w:val="nTable"/>
              <w:spacing w:after="40"/>
            </w:pPr>
            <w:r>
              <w:t xml:space="preserve">20 Oct 1992 (see s. 2 and </w:t>
            </w:r>
            <w:r>
              <w:rPr>
                <w:i/>
              </w:rPr>
              <w:t>Gazette</w:t>
            </w:r>
            <w:r>
              <w:t xml:space="preserve"> 2 Oct 1992 p. 4811)</w:t>
            </w:r>
          </w:p>
        </w:tc>
      </w:tr>
      <w:tr>
        <w:trPr>
          <w:cantSplit/>
        </w:trPr>
        <w:tc>
          <w:tcPr>
            <w:tcW w:w="2267" w:type="dxa"/>
          </w:tcPr>
          <w:p>
            <w:pPr>
              <w:pStyle w:val="nTable"/>
              <w:spacing w:after="40"/>
              <w:ind w:right="170"/>
            </w:pPr>
            <w:r>
              <w:rPr>
                <w:i/>
              </w:rPr>
              <w:t>Acts Amendment (Public Sector Management) Act 1994</w:t>
            </w:r>
            <w:r>
              <w:t xml:space="preserve"> s. 3(1) and 4</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7" w:type="dxa"/>
          </w:tcPr>
          <w:p>
            <w:pPr>
              <w:pStyle w:val="nTable"/>
              <w:spacing w:after="40"/>
              <w:ind w:right="170"/>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7" w:type="dxa"/>
          </w:tcPr>
          <w:p>
            <w:pPr>
              <w:pStyle w:val="nTable"/>
              <w:spacing w:after="40"/>
              <w:ind w:right="170"/>
            </w:pPr>
            <w:r>
              <w:rPr>
                <w:i/>
              </w:rPr>
              <w:t>Nuclear Waste Storage (Prohibition) Act 1999</w:t>
            </w:r>
            <w:r>
              <w:t xml:space="preserve"> s. 10(2)</w:t>
            </w:r>
          </w:p>
        </w:tc>
        <w:tc>
          <w:tcPr>
            <w:tcW w:w="1134" w:type="dxa"/>
          </w:tcPr>
          <w:p>
            <w:pPr>
              <w:pStyle w:val="nTable"/>
              <w:spacing w:after="40"/>
            </w:pPr>
            <w:r>
              <w:t>54 of 1999</w:t>
            </w:r>
          </w:p>
        </w:tc>
        <w:tc>
          <w:tcPr>
            <w:tcW w:w="1134" w:type="dxa"/>
          </w:tcPr>
          <w:p>
            <w:pPr>
              <w:pStyle w:val="nTable"/>
              <w:spacing w:after="40"/>
            </w:pPr>
            <w:r>
              <w:t>7 Dec 1999</w:t>
            </w:r>
          </w:p>
        </w:tc>
        <w:tc>
          <w:tcPr>
            <w:tcW w:w="2552" w:type="dxa"/>
          </w:tcPr>
          <w:p>
            <w:pPr>
              <w:pStyle w:val="nTable"/>
              <w:spacing w:after="40"/>
            </w:pPr>
            <w:r>
              <w:t>7 Dec 1999 (see s. 2)</w:t>
            </w:r>
          </w:p>
        </w:tc>
      </w:tr>
      <w:tr>
        <w:trPr>
          <w:cantSplit/>
        </w:trPr>
        <w:tc>
          <w:tcPr>
            <w:tcW w:w="7087" w:type="dxa"/>
            <w:gridSpan w:val="4"/>
          </w:tcPr>
          <w:p>
            <w:pPr>
              <w:pStyle w:val="nTable"/>
              <w:spacing w:after="40"/>
            </w:pPr>
            <w:r>
              <w:rPr>
                <w:b/>
                <w:bCs/>
              </w:rPr>
              <w:t xml:space="preserve">Reprint of the </w:t>
            </w:r>
            <w:r>
              <w:rPr>
                <w:b/>
                <w:bCs/>
                <w:i/>
                <w:iCs/>
              </w:rPr>
              <w:t>Radiation Safety Act 1975</w:t>
            </w:r>
            <w:r>
              <w:rPr>
                <w:b/>
                <w:bCs/>
              </w:rPr>
              <w:t xml:space="preserve"> as at 25 Feb 2000</w:t>
            </w:r>
            <w:r>
              <w:t xml:space="preserve"> (includes amendments listed above) (correction by </w:t>
            </w:r>
            <w:r>
              <w:rPr>
                <w:i/>
                <w:iCs/>
              </w:rPr>
              <w:t>Gazette</w:t>
            </w:r>
            <w:r>
              <w:t xml:space="preserve"> 28 Oct 2003 p. 4527)</w:t>
            </w:r>
          </w:p>
        </w:tc>
      </w:tr>
      <w:tr>
        <w:trPr>
          <w:cantSplit/>
        </w:trPr>
        <w:tc>
          <w:tcPr>
            <w:tcW w:w="2267" w:type="dxa"/>
          </w:tcPr>
          <w:p>
            <w:pPr>
              <w:pStyle w:val="nTable"/>
              <w:spacing w:after="40"/>
              <w:ind w:right="170"/>
            </w:pPr>
            <w:r>
              <w:rPr>
                <w:i/>
              </w:rPr>
              <w:t>Nurses Amendment Act 2003</w:t>
            </w:r>
            <w:r>
              <w:t xml:space="preserve"> Pt. 3 Div. 6</w:t>
            </w:r>
          </w:p>
        </w:tc>
        <w:tc>
          <w:tcPr>
            <w:tcW w:w="1134" w:type="dxa"/>
          </w:tcPr>
          <w:p>
            <w:pPr>
              <w:pStyle w:val="nTable"/>
              <w:spacing w:after="40"/>
            </w:pPr>
            <w:r>
              <w:t>9 of 2003</w:t>
            </w:r>
          </w:p>
        </w:tc>
        <w:tc>
          <w:tcPr>
            <w:tcW w:w="1134" w:type="dxa"/>
          </w:tcPr>
          <w:p>
            <w:pPr>
              <w:pStyle w:val="nTable"/>
              <w:spacing w:after="40"/>
            </w:pPr>
            <w:r>
              <w:t>9 Apr 2003</w:t>
            </w:r>
          </w:p>
        </w:tc>
        <w:tc>
          <w:tcPr>
            <w:tcW w:w="2552" w:type="dxa"/>
          </w:tcPr>
          <w:p>
            <w:pPr>
              <w:pStyle w:val="nTable"/>
              <w:spacing w:after="40"/>
            </w:pPr>
            <w:r>
              <w:t>9 Apr 2003 (see s. 2)</w:t>
            </w:r>
          </w:p>
        </w:tc>
      </w:tr>
      <w:tr>
        <w:trPr>
          <w:cantSplit/>
        </w:trPr>
        <w:tc>
          <w:tcPr>
            <w:tcW w:w="2267" w:type="dxa"/>
          </w:tcPr>
          <w:p>
            <w:pPr>
              <w:pStyle w:val="nTable"/>
              <w:spacing w:after="40"/>
              <w:ind w:right="170"/>
            </w:pPr>
            <w:r>
              <w:rPr>
                <w:i/>
              </w:rPr>
              <w:t>Statutes (Repeals and Minor Amendments) Act 2003</w:t>
            </w:r>
            <w:r>
              <w:t xml:space="preserve"> s. 99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7" w:type="dxa"/>
          </w:tcPr>
          <w:p>
            <w:pPr>
              <w:pStyle w:val="nTable"/>
              <w:spacing w:after="40"/>
              <w:ind w:right="170"/>
            </w:pPr>
            <w:r>
              <w:rPr>
                <w:i/>
              </w:rPr>
              <w:t>Nuclear Waste Storage (Prohibition) Amendment Act 2004</w:t>
            </w:r>
            <w:r>
              <w:t xml:space="preserve"> s. 14</w:t>
            </w:r>
          </w:p>
        </w:tc>
        <w:tc>
          <w:tcPr>
            <w:tcW w:w="1134" w:type="dxa"/>
          </w:tcPr>
          <w:p>
            <w:pPr>
              <w:pStyle w:val="nTable"/>
              <w:spacing w:after="40"/>
            </w:pPr>
            <w:r>
              <w:t>2 of 2004</w:t>
            </w:r>
          </w:p>
        </w:tc>
        <w:tc>
          <w:tcPr>
            <w:tcW w:w="1134" w:type="dxa"/>
          </w:tcPr>
          <w:p>
            <w:pPr>
              <w:pStyle w:val="nTable"/>
              <w:spacing w:after="40"/>
            </w:pPr>
            <w:r>
              <w:t>1 Apr 2004</w:t>
            </w:r>
          </w:p>
        </w:tc>
        <w:tc>
          <w:tcPr>
            <w:tcW w:w="2552" w:type="dxa"/>
          </w:tcPr>
          <w:p>
            <w:pPr>
              <w:pStyle w:val="nTable"/>
              <w:spacing w:after="40"/>
              <w:rPr>
                <w:spacing w:val="-2"/>
              </w:rPr>
            </w:pPr>
            <w:r>
              <w:t>1 Apr 2004 (see s. 2)</w:t>
            </w:r>
          </w:p>
        </w:tc>
      </w:tr>
      <w:tr>
        <w:trPr>
          <w:cantSplit/>
        </w:trPr>
        <w:tc>
          <w:tcPr>
            <w:tcW w:w="2267" w:type="dxa"/>
          </w:tcPr>
          <w:p>
            <w:pPr>
              <w:pStyle w:val="nTable"/>
              <w:spacing w:after="40"/>
              <w:ind w:right="170"/>
              <w:rPr>
                <w:i/>
                <w:vertAlign w:val="superscript"/>
              </w:rPr>
            </w:pPr>
            <w:r>
              <w:rPr>
                <w:i/>
                <w:snapToGrid w:val="0"/>
              </w:rPr>
              <w:t>Courts Legislation Amendment and Repeal Act 2004</w:t>
            </w:r>
            <w:r>
              <w:rPr>
                <w:snapToGrid w:val="0"/>
              </w:rPr>
              <w:t xml:space="preserve"> s. 141 </w:t>
            </w:r>
            <w:r>
              <w:rPr>
                <w:snapToGrid w:val="0"/>
                <w:vertAlign w:val="superscript"/>
              </w:rPr>
              <w:t>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7" w:type="dxa"/>
          </w:tcPr>
          <w:p>
            <w:pPr>
              <w:pStyle w:val="nTable"/>
              <w:spacing w:after="40"/>
              <w:ind w:right="170"/>
              <w:rPr>
                <w:i/>
              </w:rPr>
            </w:pPr>
            <w:r>
              <w:rPr>
                <w:i/>
              </w:rPr>
              <w:t>State Administrative Tribunal (Conferral of Jurisdiction) Amendment and Repeal Act 2004</w:t>
            </w:r>
            <w:r>
              <w:rPr>
                <w:i/>
                <w:iCs/>
              </w:rPr>
              <w:t xml:space="preserve"> </w:t>
            </w:r>
            <w:r>
              <w:t>Pt. 2 Div. 110</w:t>
            </w:r>
            <w:r>
              <w:rPr>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rPr>
          <w:cantSplit/>
        </w:trPr>
        <w:tc>
          <w:tcPr>
            <w:tcW w:w="2267" w:type="dxa"/>
          </w:tcPr>
          <w:p>
            <w:pPr>
              <w:pStyle w:val="nTable"/>
              <w:spacing w:after="40"/>
              <w:ind w:right="170"/>
              <w:rPr>
                <w:i/>
              </w:rPr>
            </w:pPr>
            <w:r>
              <w:rPr>
                <w:i/>
                <w:iCs/>
                <w:snapToGrid w:val="0"/>
              </w:rPr>
              <w:t>Criminal Procedure and Appeals (Consequential and Other Provisions) Act 2004</w:t>
            </w:r>
            <w:r>
              <w:rPr>
                <w:snapToGrid w:val="0"/>
              </w:rPr>
              <w:t xml:space="preserve"> s. 79 and 82</w:t>
            </w:r>
          </w:p>
        </w:tc>
        <w:tc>
          <w:tcPr>
            <w:tcW w:w="1134" w:type="dxa"/>
          </w:tcPr>
          <w:p>
            <w:pPr>
              <w:pStyle w:val="nTable"/>
              <w:spacing w:after="40"/>
            </w:pPr>
            <w:r>
              <w:rPr>
                <w:snapToGrid w:val="0"/>
              </w:rPr>
              <w:t xml:space="preserve">84 of 2004 </w:t>
            </w:r>
          </w:p>
        </w:tc>
        <w:tc>
          <w:tcPr>
            <w:tcW w:w="1134" w:type="dxa"/>
          </w:tcPr>
          <w:p>
            <w:pPr>
              <w:pStyle w:val="nTable"/>
              <w:spacing w:after="40"/>
            </w:pPr>
            <w:r>
              <w:rPr>
                <w:snapToGrid w:val="0"/>
              </w:rP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2: The </w:t>
            </w:r>
            <w:r>
              <w:rPr>
                <w:b/>
                <w:bCs/>
                <w:i/>
                <w:iCs/>
              </w:rPr>
              <w:t>Radiation Safety Act 1975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snapToGrid w:val="0"/>
              </w:rPr>
            </w:pPr>
            <w:r>
              <w:rPr>
                <w:i/>
                <w:iCs/>
                <w:snapToGrid w:val="0"/>
              </w:rPr>
              <w:t>Medical</w:t>
            </w:r>
            <w:r>
              <w:rPr>
                <w:i/>
                <w:noProof/>
                <w:snapToGrid w:val="0"/>
              </w:rPr>
              <w:t xml:space="preserve"> Radiation Technologists Act 2006</w:t>
            </w:r>
            <w:r>
              <w:rPr>
                <w:i/>
                <w:iCs/>
                <w:noProof/>
                <w:snapToGrid w:val="0"/>
              </w:rPr>
              <w:t xml:space="preserve"> </w:t>
            </w:r>
            <w:r>
              <w:rPr>
                <w:noProof/>
                <w:snapToGrid w:val="0"/>
              </w:rPr>
              <w:t>Sch. 3 cl. 5</w:t>
            </w:r>
          </w:p>
        </w:tc>
        <w:tc>
          <w:tcPr>
            <w:tcW w:w="1134" w:type="dxa"/>
            <w:tcBorders>
              <w:top w:val="nil"/>
              <w:bottom w:val="nil"/>
            </w:tcBorders>
          </w:tcPr>
          <w:p>
            <w:pPr>
              <w:pStyle w:val="nTable"/>
              <w:spacing w:after="40"/>
              <w:rPr>
                <w:snapToGrid w:val="0"/>
              </w:rPr>
            </w:pPr>
            <w:r>
              <w:rPr>
                <w:snapToGrid w:val="0"/>
              </w:rPr>
              <w:t>21 of 2006</w:t>
            </w:r>
          </w:p>
        </w:tc>
        <w:tc>
          <w:tcPr>
            <w:tcW w:w="1134" w:type="dxa"/>
            <w:tcBorders>
              <w:top w:val="nil"/>
              <w:bottom w:val="nil"/>
            </w:tcBorders>
          </w:tcPr>
          <w:p>
            <w:pPr>
              <w:pStyle w:val="nTable"/>
              <w:spacing w:after="40"/>
            </w:pPr>
            <w:r>
              <w:t>9 Jun 2006</w:t>
            </w:r>
          </w:p>
        </w:tc>
        <w:tc>
          <w:tcPr>
            <w:tcW w:w="2552" w:type="dxa"/>
            <w:tcBorders>
              <w:top w:val="nil"/>
              <w:bottom w:val="nil"/>
            </w:tcBorders>
          </w:tcPr>
          <w:p>
            <w:pPr>
              <w:pStyle w:val="nTable"/>
              <w:spacing w:after="40"/>
              <w:rPr>
                <w:snapToGrid w:val="0"/>
              </w:rPr>
            </w:pPr>
            <w:r>
              <w:rPr>
                <w:rFonts w:ascii="Times" w:hAnsi="Times"/>
                <w:snapToGrid w:val="0"/>
                <w:color w:val="000000"/>
              </w:rPr>
              <w:t xml:space="preserve">1 Jul 2007 (see s. 2 and </w:t>
            </w:r>
            <w:r>
              <w:rPr>
                <w:rFonts w:ascii="Times" w:hAnsi="Times"/>
                <w:i/>
                <w:iCs/>
                <w:snapToGrid w:val="0"/>
                <w:color w:val="000000"/>
              </w:rPr>
              <w:t>Gazette</w:t>
            </w:r>
            <w:r>
              <w:rPr>
                <w:rFonts w:ascii="Times" w:hAnsi="Times"/>
                <w:snapToGrid w:val="0"/>
                <w:color w:val="000000"/>
              </w:rPr>
              <w:t xml:space="preserve"> 26 Jun 2007 p. 3013)</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i/>
                <w:noProof/>
                <w:snapToGrid w:val="0"/>
              </w:rPr>
            </w:pPr>
            <w:r>
              <w:rPr>
                <w:i/>
                <w:iCs/>
                <w:snapToGrid w:val="0"/>
              </w:rPr>
              <w:t>Nurses</w:t>
            </w:r>
            <w:r>
              <w:rPr>
                <w:i/>
                <w:noProof/>
                <w:snapToGrid w:val="0"/>
              </w:rPr>
              <w:t xml:space="preserve"> and Midwives Act 2006</w:t>
            </w:r>
            <w:r>
              <w:rPr>
                <w:noProof/>
                <w:snapToGrid w:val="0"/>
              </w:rPr>
              <w:t xml:space="preserve"> Sch. 3 cl. 19</w:t>
            </w:r>
          </w:p>
        </w:tc>
        <w:tc>
          <w:tcPr>
            <w:tcW w:w="1134" w:type="dxa"/>
            <w:tcBorders>
              <w:top w:val="nil"/>
              <w:bottom w:val="nil"/>
            </w:tcBorders>
          </w:tcPr>
          <w:p>
            <w:pPr>
              <w:pStyle w:val="nTable"/>
              <w:spacing w:after="40"/>
              <w:rPr>
                <w:snapToGrid w:val="0"/>
              </w:rPr>
            </w:pPr>
            <w:r>
              <w:rPr>
                <w:snapToGrid w:val="0"/>
              </w:rPr>
              <w:t>50 of 2006</w:t>
            </w:r>
          </w:p>
        </w:tc>
        <w:tc>
          <w:tcPr>
            <w:tcW w:w="1134" w:type="dxa"/>
            <w:tcBorders>
              <w:top w:val="nil"/>
              <w:bottom w:val="nil"/>
            </w:tcBorders>
          </w:tcPr>
          <w:p>
            <w:pPr>
              <w:pStyle w:val="nTable"/>
              <w:spacing w:after="40"/>
            </w:pPr>
            <w:r>
              <w:t>6 Oct 2006</w:t>
            </w:r>
          </w:p>
        </w:tc>
        <w:tc>
          <w:tcPr>
            <w:tcW w:w="2552" w:type="dxa"/>
            <w:tcBorders>
              <w:top w:val="nil"/>
              <w:bottom w:val="nil"/>
            </w:tcBorders>
          </w:tcPr>
          <w:p>
            <w:pPr>
              <w:pStyle w:val="nTable"/>
              <w:spacing w:after="40"/>
              <w:rPr>
                <w:rFonts w:ascii="Times" w:hAnsi="Times"/>
                <w:snapToGrid w:val="0"/>
              </w:rPr>
            </w:pPr>
            <w:r>
              <w:rPr>
                <w:rFonts w:ascii="Times" w:hAnsi="Times"/>
                <w:snapToGrid w:val="0"/>
              </w:rPr>
              <w:t xml:space="preserve">19 Sep 2007 (see s. 2 and </w:t>
            </w:r>
            <w:r>
              <w:rPr>
                <w:rFonts w:ascii="Times" w:hAnsi="Times"/>
                <w:i/>
                <w:iCs/>
                <w:snapToGrid w:val="0"/>
              </w:rPr>
              <w:t>Gazette</w:t>
            </w:r>
            <w:r>
              <w:rPr>
                <w:rFonts w:ascii="Times" w:hAnsi="Times"/>
                <w:snapToGrid w:val="0"/>
              </w:rPr>
              <w:t xml:space="preserve"> 18 Sep 2007 p. 4711)</w:t>
            </w:r>
          </w:p>
        </w:tc>
      </w:tr>
      <w:tr>
        <w:tblPrEx>
          <w:tblBorders>
            <w:top w:val="single" w:sz="4" w:space="0" w:color="auto"/>
            <w:bottom w:val="single" w:sz="4" w:space="0" w:color="auto"/>
            <w:insideH w:val="single" w:sz="4" w:space="0" w:color="auto"/>
          </w:tblBorders>
        </w:tblPrEx>
        <w:tc>
          <w:tcPr>
            <w:tcW w:w="2267" w:type="dxa"/>
            <w:tcBorders>
              <w:top w:val="nil"/>
              <w:bottom w:val="nil"/>
            </w:tcBorders>
          </w:tcPr>
          <w:p>
            <w:pPr>
              <w:pStyle w:val="nTable"/>
              <w:spacing w:after="40"/>
              <w:ind w:right="170"/>
              <w:rPr>
                <w:snapToGrid w:val="0"/>
              </w:rPr>
            </w:pPr>
            <w:r>
              <w:rPr>
                <w:i/>
                <w:iCs/>
                <w:snapToGrid w:val="0"/>
              </w:rPr>
              <w:t>Statutes (Repeals and Miscellaneous Amendments) Act 2009</w:t>
            </w:r>
            <w:r>
              <w:rPr>
                <w:snapToGrid w:val="0"/>
              </w:rPr>
              <w:t xml:space="preserve"> s. 107</w:t>
            </w:r>
          </w:p>
        </w:tc>
        <w:tc>
          <w:tcPr>
            <w:tcW w:w="1134" w:type="dxa"/>
            <w:tcBorders>
              <w:top w:val="nil"/>
              <w:bottom w:val="nil"/>
            </w:tcBorders>
          </w:tcPr>
          <w:p>
            <w:pPr>
              <w:pStyle w:val="nTable"/>
              <w:spacing w:after="40"/>
              <w:rPr>
                <w:snapToGrid w:val="0"/>
              </w:rPr>
            </w:pPr>
            <w:r>
              <w:rPr>
                <w:snapToGrid w:val="0"/>
              </w:rP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rFonts w:ascii="Times" w:hAnsi="Times"/>
                <w:snapToGrid w:val="0"/>
              </w:rPr>
            </w:pPr>
            <w:r>
              <w:rPr>
                <w:rFonts w:ascii="Times" w:hAnsi="Times"/>
                <w:snapToGrid w:val="0"/>
              </w:rPr>
              <w:t>22 May 2009 (see s. 2(b))</w:t>
            </w:r>
          </w:p>
        </w:tc>
      </w:tr>
      <w:tr>
        <w:trPr>
          <w:cantSplit/>
        </w:trPr>
        <w:tc>
          <w:tcPr>
            <w:tcW w:w="2267" w:type="dxa"/>
          </w:tcPr>
          <w:p>
            <w:pPr>
              <w:pStyle w:val="nTable"/>
              <w:spacing w:after="40"/>
              <w:rPr>
                <w:iCs/>
                <w:snapToGrid w:val="0"/>
              </w:rPr>
            </w:pPr>
            <w:r>
              <w:rPr>
                <w:i/>
                <w:snapToGrid w:val="0"/>
              </w:rPr>
              <w:t>Acts Amendment (Bankruptcy) Act 2009</w:t>
            </w:r>
            <w:r>
              <w:rPr>
                <w:iCs/>
                <w:snapToGrid w:val="0"/>
              </w:rPr>
              <w:t xml:space="preserve"> s. 73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7" w:type="dxa"/>
            <w:gridSpan w:val="4"/>
          </w:tcPr>
          <w:p>
            <w:pPr>
              <w:pStyle w:val="nTable"/>
              <w:spacing w:after="40"/>
            </w:pPr>
            <w:r>
              <w:rPr>
                <w:b/>
                <w:bCs/>
              </w:rPr>
              <w:t xml:space="preserve">Reprint 3: The </w:t>
            </w:r>
            <w:r>
              <w:rPr>
                <w:b/>
                <w:bCs/>
                <w:i/>
                <w:iCs/>
              </w:rPr>
              <w:t>Radiation Safety Act 1975</w:t>
            </w:r>
            <w:r>
              <w:rPr>
                <w:b/>
                <w:bCs/>
              </w:rPr>
              <w:t xml:space="preserve"> as at 6 Nov 2009</w:t>
            </w:r>
            <w:r>
              <w:t xml:space="preserve"> (includes amendments listed above)</w:t>
            </w:r>
          </w:p>
        </w:tc>
      </w:tr>
      <w:tr>
        <w:trPr>
          <w:cantSplit/>
        </w:trPr>
        <w:tc>
          <w:tcPr>
            <w:tcW w:w="2267" w:type="dxa"/>
          </w:tcPr>
          <w:p>
            <w:pPr>
              <w:pStyle w:val="nTable"/>
              <w:spacing w:after="40"/>
              <w:rPr>
                <w:iCs/>
                <w:snapToGrid w:val="0"/>
              </w:rPr>
            </w:pPr>
            <w:r>
              <w:rPr>
                <w:i/>
                <w:snapToGrid w:val="0"/>
              </w:rPr>
              <w:t xml:space="preserve">Health Practitioner Regulation National Law (WA) Act 2010 </w:t>
            </w:r>
            <w:r>
              <w:rPr>
                <w:snapToGrid w:val="0"/>
              </w:rPr>
              <w:t>Pt. 5 Div. 44</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iCs/>
                <w:snapToGrid w:val="0"/>
              </w:rPr>
              <w:t xml:space="preserve">s. 142, 146 and 147(1): </w:t>
            </w:r>
            <w:r>
              <w:rPr>
                <w:snapToGrid w:val="0"/>
              </w:rPr>
              <w:t xml:space="preserve">18 Oct 2010 (see s. 2(b) and </w:t>
            </w:r>
            <w:r>
              <w:rPr>
                <w:i/>
                <w:snapToGrid w:val="0"/>
              </w:rPr>
              <w:t xml:space="preserve">Gazette </w:t>
            </w:r>
            <w:r>
              <w:rPr>
                <w:iCs/>
                <w:snapToGrid w:val="0"/>
              </w:rPr>
              <w:t>1 Oct 2010 p. 5075-6</w:t>
            </w:r>
            <w:r>
              <w:rPr>
                <w:snapToGrid w:val="0"/>
              </w:rPr>
              <w:t>);</w:t>
            </w:r>
            <w:r>
              <w:rPr>
                <w:snapToGrid w:val="0"/>
              </w:rPr>
              <w:br/>
              <w:t xml:space="preserve">s. 143-145, 147(2)-(4), 148 and 149: 1 Jul 2012 (see s. 2(b) and </w:t>
            </w:r>
            <w:r>
              <w:rPr>
                <w:i/>
                <w:snapToGrid w:val="0"/>
              </w:rPr>
              <w:t>Gazette</w:t>
            </w:r>
            <w:r>
              <w:rPr>
                <w:snapToGrid w:val="0"/>
              </w:rPr>
              <w:t xml:space="preserve"> 19 Jun 2012 p. 2631)</w:t>
            </w:r>
          </w:p>
        </w:tc>
      </w:tr>
      <w:tr>
        <w:trPr>
          <w:cantSplit/>
        </w:trPr>
        <w:tc>
          <w:tcPr>
            <w:tcW w:w="2267"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7" w:type="dxa"/>
          </w:tcPr>
          <w:p>
            <w:pPr>
              <w:pStyle w:val="nTable"/>
              <w:spacing w:after="40"/>
              <w:rPr>
                <w:i/>
                <w:iCs/>
                <w:snapToGrid w:val="0"/>
              </w:rPr>
            </w:pPr>
            <w:r>
              <w:rPr>
                <w:i/>
                <w:iCs/>
                <w:snapToGrid w:val="0"/>
              </w:rPr>
              <w:t>Statutes (Repeals and Minor Amendments) Act 2014</w:t>
            </w:r>
            <w:r>
              <w:rPr>
                <w:iCs/>
                <w:snapToGrid w:val="0"/>
              </w:rPr>
              <w:t xml:space="preserve"> s. 33</w:t>
            </w:r>
          </w:p>
        </w:tc>
        <w:tc>
          <w:tcPr>
            <w:tcW w:w="1134" w:type="dxa"/>
          </w:tcPr>
          <w:p>
            <w:pPr>
              <w:pStyle w:val="nTable"/>
              <w:spacing w:after="40"/>
              <w:rPr>
                <w:snapToGrid w:val="0"/>
              </w:rPr>
            </w:pPr>
            <w:r>
              <w:rPr>
                <w:snapToGrid w:val="0"/>
              </w:rPr>
              <w:t>17 of 2014</w:t>
            </w:r>
          </w:p>
        </w:tc>
        <w:tc>
          <w:tcPr>
            <w:tcW w:w="1134"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tcPr>
          <w:p>
            <w:pPr>
              <w:pStyle w:val="nTable"/>
              <w:spacing w:after="40"/>
              <w:rPr>
                <w:i/>
                <w:iCs/>
                <w:snapToGrid w:val="0"/>
              </w:rPr>
            </w:pPr>
            <w:r>
              <w:rPr>
                <w:i/>
                <w:iCs/>
                <w:snapToGrid w:val="0"/>
              </w:rPr>
              <w:t xml:space="preserve">Public Health (Consequential Provisions) Act 2016 </w:t>
            </w:r>
            <w:r>
              <w:rPr>
                <w:iCs/>
                <w:snapToGrid w:val="0"/>
              </w:rPr>
              <w:t>s. 102</w:t>
            </w:r>
          </w:p>
        </w:tc>
        <w:tc>
          <w:tcPr>
            <w:tcW w:w="1134" w:type="dxa"/>
          </w:tcPr>
          <w:p>
            <w:pPr>
              <w:pStyle w:val="nTable"/>
              <w:spacing w:after="40"/>
              <w:rPr>
                <w:snapToGrid w:val="0"/>
              </w:rPr>
            </w:pPr>
            <w:r>
              <w:rPr>
                <w:snapToGrid w:val="0"/>
              </w:rPr>
              <w:t>19 of 2016</w:t>
            </w:r>
          </w:p>
        </w:tc>
        <w:tc>
          <w:tcPr>
            <w:tcW w:w="1134" w:type="dxa"/>
          </w:tcPr>
          <w:p>
            <w:pPr>
              <w:pStyle w:val="nTable"/>
              <w:spacing w:after="40"/>
              <w:rPr>
                <w:snapToGrid w:val="0"/>
              </w:rPr>
            </w:pPr>
            <w:r>
              <w:rPr>
                <w:snapToGrid w:val="0"/>
              </w:rPr>
              <w:t>25 Jul 2016</w:t>
            </w:r>
          </w:p>
        </w:tc>
        <w:tc>
          <w:tcPr>
            <w:tcW w:w="2552" w:type="dxa"/>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7" w:type="dxa"/>
            <w:gridSpan w:val="4"/>
            <w:shd w:val="clear" w:color="auto" w:fill="auto"/>
          </w:tcPr>
          <w:p>
            <w:pPr>
              <w:pStyle w:val="nTable"/>
              <w:spacing w:after="40"/>
              <w:rPr>
                <w:snapToGrid w:val="0"/>
              </w:rPr>
            </w:pPr>
            <w:r>
              <w:rPr>
                <w:b/>
                <w:snapToGrid w:val="0"/>
              </w:rPr>
              <w:t xml:space="preserve">Reprint 4: The </w:t>
            </w:r>
            <w:r>
              <w:rPr>
                <w:b/>
                <w:i/>
                <w:noProof/>
                <w:snapToGrid w:val="0"/>
              </w:rPr>
              <w:t>Radiation Safety Act 1975</w:t>
            </w:r>
            <w:r>
              <w:rPr>
                <w:b/>
                <w:snapToGrid w:val="0"/>
              </w:rPr>
              <w:t xml:space="preserve"> as at 8 Sep 2017</w:t>
            </w:r>
            <w:r>
              <w:rPr>
                <w:snapToGrid w:val="0"/>
              </w:rPr>
              <w:t xml:space="preserve"> (includes amendments listed above)</w:t>
            </w:r>
          </w:p>
        </w:tc>
      </w:tr>
      <w:tr>
        <w:trPr>
          <w:cantSplit/>
        </w:trPr>
        <w:tc>
          <w:tcPr>
            <w:tcW w:w="2267" w:type="dxa"/>
            <w:tcBorders>
              <w:bottom w:val="single" w:sz="8" w:space="0" w:color="auto"/>
            </w:tcBorders>
          </w:tcPr>
          <w:p>
            <w:pPr>
              <w:pStyle w:val="nTable"/>
              <w:spacing w:after="40"/>
              <w:rPr>
                <w:i/>
                <w:iCs/>
                <w:snapToGrid w:val="0"/>
              </w:rPr>
            </w:pPr>
            <w:r>
              <w:rPr>
                <w:i/>
              </w:rPr>
              <w:t>Health Practitioner Regulation National Law (WA) Amendment Act 2018</w:t>
            </w:r>
            <w:r>
              <w:t xml:space="preserve"> s. 118</w:t>
            </w:r>
          </w:p>
        </w:tc>
        <w:tc>
          <w:tcPr>
            <w:tcW w:w="1134" w:type="dxa"/>
            <w:tcBorders>
              <w:bottom w:val="single" w:sz="8" w:space="0" w:color="auto"/>
            </w:tcBorders>
          </w:tcPr>
          <w:p>
            <w:pPr>
              <w:pStyle w:val="nTable"/>
              <w:spacing w:after="40"/>
              <w:rPr>
                <w:snapToGrid w:val="0"/>
              </w:rPr>
            </w:pPr>
            <w:r>
              <w:t>4 of 2018</w:t>
            </w:r>
          </w:p>
        </w:tc>
        <w:tc>
          <w:tcPr>
            <w:tcW w:w="1134" w:type="dxa"/>
            <w:tcBorders>
              <w:bottom w:val="single" w:sz="8" w:space="0" w:color="auto"/>
            </w:tcBorders>
          </w:tcPr>
          <w:p>
            <w:pPr>
              <w:pStyle w:val="nTable"/>
              <w:spacing w:after="40"/>
              <w:rPr>
                <w:snapToGrid w:val="0"/>
              </w:rPr>
            </w:pPr>
            <w:r>
              <w:t>19 Apr 2018</w:t>
            </w:r>
          </w:p>
        </w:tc>
        <w:tc>
          <w:tcPr>
            <w:tcW w:w="2552" w:type="dxa"/>
            <w:tcBorders>
              <w:bottom w:val="single" w:sz="8" w:space="0" w:color="auto"/>
            </w:tcBorders>
          </w:tcPr>
          <w:p>
            <w:pPr>
              <w:pStyle w:val="nTable"/>
              <w:spacing w:after="40"/>
              <w:rPr>
                <w:snapToGrid w:val="0"/>
              </w:rPr>
            </w:pPr>
            <w:r>
              <w:t xml:space="preserve">1 Dec 2018 (see s. 2(d) and </w:t>
            </w:r>
            <w:r>
              <w:rPr>
                <w:i/>
              </w:rPr>
              <w:t>Gazette</w:t>
            </w:r>
            <w:r>
              <w:t xml:space="preserve"> 13 Nov 2018 p. 4427</w:t>
            </w:r>
            <w:r>
              <w:noBreakHyphen/>
              <w:t>8)</w:t>
            </w:r>
          </w:p>
        </w:tc>
      </w:tr>
    </w:tbl>
    <w:p>
      <w:pPr>
        <w:pStyle w:val="nSubsection"/>
        <w:spacing w:before="160"/>
        <w:rPr>
          <w:i/>
          <w:iCs/>
        </w:rPr>
      </w:pPr>
      <w:r>
        <w:rPr>
          <w:vertAlign w:val="superscript"/>
        </w:rPr>
        <w:t>2</w:t>
      </w:r>
      <w:r>
        <w:tab/>
        <w:t xml:space="preserve">The </w:t>
      </w:r>
      <w:r>
        <w:rPr>
          <w:i/>
        </w:rPr>
        <w:t>Radioactive Substances Act 1954</w:t>
      </w:r>
      <w:r>
        <w:t xml:space="preserve"> was repealed by section 5 of this Act</w:t>
      </w:r>
      <w:r>
        <w:rPr>
          <w:i/>
          <w:iCs/>
        </w:rPr>
        <w:t>.</w:t>
      </w:r>
    </w:p>
    <w:p>
      <w:pPr>
        <w:pStyle w:val="nSubsection"/>
        <w:keepNext/>
        <w:keepLines/>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2 cl. 44 was deleted by the </w:t>
      </w:r>
      <w:r>
        <w:rPr>
          <w:i/>
          <w:iCs/>
          <w:snapToGrid w:val="0"/>
        </w:rPr>
        <w:t>Criminal Law and Evidence Amendment Act 2008</w:t>
      </w:r>
      <w:r>
        <w:rPr>
          <w:snapToGrid w:val="0"/>
        </w:rPr>
        <w:t xml:space="preserve"> s. 77(13).</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38" w:name="_Toc531182153"/>
      <w:r>
        <w:rPr>
          <w:sz w:val="28"/>
        </w:rPr>
        <w:t>Defined terms</w:t>
      </w:r>
      <w:bookmarkEnd w:id="1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authorisation</w:t>
      </w:r>
      <w:r>
        <w:tab/>
        <w:t>41A(1)</w:t>
      </w:r>
    </w:p>
    <w:p>
      <w:pPr>
        <w:pStyle w:val="DefinedTerms"/>
      </w:pPr>
      <w:r>
        <w:t>authorised officer</w:t>
      </w:r>
      <w:r>
        <w:tab/>
        <w:t>4</w:t>
      </w:r>
    </w:p>
    <w:p>
      <w:pPr>
        <w:pStyle w:val="DefinedTerms"/>
      </w:pPr>
      <w:r>
        <w:t>Board</w:t>
      </w:r>
      <w:r>
        <w:tab/>
        <w:t>4</w:t>
      </w:r>
    </w:p>
    <w:p>
      <w:pPr>
        <w:pStyle w:val="DefinedTerms"/>
      </w:pPr>
      <w:r>
        <w:t xml:space="preserve">Chief Health Officer </w:t>
      </w:r>
      <w:r>
        <w:tab/>
        <w:t>4</w:t>
      </w:r>
    </w:p>
    <w:p>
      <w:pPr>
        <w:pStyle w:val="DefinedTerms"/>
      </w:pPr>
      <w:r>
        <w:t>Council</w:t>
      </w:r>
      <w:r>
        <w:tab/>
        <w:t>4</w:t>
      </w:r>
    </w:p>
    <w:p>
      <w:pPr>
        <w:pStyle w:val="DefinedTerms"/>
      </w:pPr>
      <w:r>
        <w:t>electronic product</w:t>
      </w:r>
      <w:r>
        <w:tab/>
        <w:t>4</w:t>
      </w:r>
    </w:p>
    <w:p>
      <w:pPr>
        <w:pStyle w:val="DefinedTerms"/>
      </w:pPr>
      <w:r>
        <w:t>irradiating apparatus</w:t>
      </w:r>
      <w:r>
        <w:tab/>
        <w:t>4</w:t>
      </w:r>
    </w:p>
    <w:p>
      <w:pPr>
        <w:pStyle w:val="DefinedTerms"/>
      </w:pPr>
      <w:r>
        <w:t>medical radiation practitioner</w:t>
      </w:r>
      <w:r>
        <w:tab/>
        <w:t>4</w:t>
      </w:r>
    </w:p>
    <w:p>
      <w:pPr>
        <w:pStyle w:val="DefinedTerms"/>
      </w:pPr>
      <w:r>
        <w:t>medical radiation technology</w:t>
      </w:r>
      <w:r>
        <w:tab/>
        <w:t>4</w:t>
      </w:r>
    </w:p>
    <w:p>
      <w:pPr>
        <w:pStyle w:val="DefinedTerms"/>
      </w:pPr>
      <w:r>
        <w:t>nuclear waste</w:t>
      </w:r>
      <w:r>
        <w:tab/>
        <w:t>41A(1)</w:t>
      </w:r>
    </w:p>
    <w:p>
      <w:pPr>
        <w:pStyle w:val="DefinedTerms"/>
      </w:pPr>
      <w:r>
        <w:t>nurse practitioner</w:t>
      </w:r>
      <w:r>
        <w:tab/>
        <w:t>26(2B)</w:t>
      </w:r>
    </w:p>
    <w:p>
      <w:pPr>
        <w:pStyle w:val="DefinedTerms"/>
      </w:pPr>
      <w:r>
        <w:t>owner</w:t>
      </w:r>
      <w:r>
        <w:tab/>
        <w:t>4</w:t>
      </w:r>
    </w:p>
    <w:p>
      <w:pPr>
        <w:pStyle w:val="DefinedTerms"/>
      </w:pPr>
      <w:r>
        <w:t>purchaser</w:t>
      </w:r>
      <w:r>
        <w:tab/>
        <w:t>4</w:t>
      </w:r>
    </w:p>
    <w:p>
      <w:pPr>
        <w:pStyle w:val="DefinedTerms"/>
      </w:pPr>
      <w:r>
        <w:t>radioactive substance</w:t>
      </w:r>
      <w:r>
        <w:tab/>
        <w:t>4</w:t>
      </w:r>
    </w:p>
    <w:p>
      <w:pPr>
        <w:pStyle w:val="DefinedTerms"/>
      </w:pPr>
      <w:r>
        <w:t>sell</w:t>
      </w:r>
      <w:r>
        <w:tab/>
        <w:t>4</w:t>
      </w:r>
    </w:p>
    <w:p>
      <w:pPr>
        <w:pStyle w:val="DefinedTerms"/>
      </w:pPr>
      <w:r>
        <w:t>supervisor</w:t>
      </w:r>
      <w:r>
        <w:tab/>
        <w:t>27(2)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Radiation Safety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Radiation Safety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9" w:name="DefinedTerms"/>
    <w:bookmarkEnd w:id="1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 w:name="Coversheet"/>
    <w:bookmarkEnd w:id="1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9831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9414E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07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F28C94"/>
    <w:lvl w:ilvl="0">
      <w:start w:val="1"/>
      <w:numFmt w:val="decimal"/>
      <w:pStyle w:val="ListNumber2"/>
      <w:lvlText w:val="%1."/>
      <w:lvlJc w:val="left"/>
      <w:pPr>
        <w:tabs>
          <w:tab w:val="num" w:pos="643"/>
        </w:tabs>
        <w:ind w:left="643" w:hanging="360"/>
      </w:pPr>
    </w:lvl>
  </w:abstractNum>
  <w:abstractNum w:abstractNumId="4">
    <w:nsid w:val="FFFFFF80"/>
    <w:multiLevelType w:val="singleLevel"/>
    <w:tmpl w:val="3C3A0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57E6B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B6D8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CC12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C52E99C"/>
    <w:lvl w:ilvl="0">
      <w:start w:val="1"/>
      <w:numFmt w:val="decimal"/>
      <w:pStyle w:val="ListNumber"/>
      <w:lvlText w:val="%1."/>
      <w:lvlJc w:val="left"/>
      <w:pPr>
        <w:tabs>
          <w:tab w:val="num" w:pos="360"/>
        </w:tabs>
        <w:ind w:left="360" w:hanging="360"/>
      </w:pPr>
    </w:lvl>
  </w:abstractNum>
  <w:abstractNum w:abstractNumId="9">
    <w:nsid w:val="FFFFFF89"/>
    <w:multiLevelType w:val="singleLevel"/>
    <w:tmpl w:val="1AEAFA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404D38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804090720"/>
    <w:docVar w:name="WAFER_20140124140624" w:val="RemoveTocBookmarks,RemoveUnusedBookmarks,RemoveLanguageTags,UsedStyles,ResetPageSize,UpdateArrangement"/>
    <w:docVar w:name="WAFER_20140124140624_GUID" w:val="561d8698-4637-4f32-a28b-4ee36681e9e4"/>
    <w:docVar w:name="WAFER_20140124143756" w:val="RemoveTocBookmarks,RunningHeaders"/>
    <w:docVar w:name="WAFER_20140124143756_GUID" w:val="6d09d495-631a-4f6d-b3e6-2a727c1d4e3f"/>
    <w:docVar w:name="WAFER_20150710114009" w:val="ResetPageSize,UpdateArrangement,UpdateNTable"/>
    <w:docVar w:name="WAFER_20150710114009_GUID" w:val="183e2a4b-f481-46c9-90e3-5c364b49cfaf"/>
    <w:docVar w:name="WAFER_20151111162535" w:val="UpdateStyles,UsedStyles"/>
    <w:docVar w:name="WAFER_20151111162535_GUID" w:val="6dd91083-a9ea-4419-a645-05aea498d1f8"/>
    <w:docVar w:name="WAFER_20170111144422" w:val="RemoveTocBookmarks,RemoveUnusedBookmarks,RemoveLanguageTags,UsedStyles,ResetPageSize"/>
    <w:docVar w:name="WAFER_20170111144422_GUID" w:val="57e3db8b-c718-42a2-a25c-eb677615d075"/>
    <w:docVar w:name="WAFER_20170120170356" w:val="RemoveTocBookmarks,RemoveUnusedBookmarks,RemoveLanguageTags,UsedStyles,ResetPageSize"/>
    <w:docVar w:name="WAFER_20170120170356_GUID" w:val="e4441e9d-f477-4c17-b2f3-13e62d92ccf9"/>
    <w:docVar w:name="WAFER_20170804090720" w:val="RemoveTocBookmarks,RemoveUnusedBookmarks,RemoveLanguageTags,UsedStyles,ResetPageSize,RemoveCustomizations"/>
    <w:docVar w:name="WAFER_20170804090720_GUID" w:val="a9f46b6b-fd17-465c-ba0c-4981a7c466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14603</Words>
  <Characters>71555</Characters>
  <Application>Microsoft Office Word</Application>
  <DocSecurity>0</DocSecurity>
  <Lines>1883</Lines>
  <Paragraphs>897</Paragraphs>
  <ScaleCrop>false</ScaleCrop>
  <HeadingPairs>
    <vt:vector size="2" baseType="variant">
      <vt:variant>
        <vt:lpstr>Title</vt:lpstr>
      </vt:variant>
      <vt:variant>
        <vt:i4>1</vt:i4>
      </vt:variant>
    </vt:vector>
  </HeadingPairs>
  <TitlesOfParts>
    <vt:vector size="1" baseType="lpstr">
      <vt:lpstr>Radiation Safety Act 1975</vt:lpstr>
    </vt:vector>
  </TitlesOfParts>
  <Manager/>
  <Company/>
  <LinksUpToDate>false</LinksUpToDate>
  <CharactersWithSpaces>85261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1975 - 04-c0-01</dc:title>
  <dc:subject/>
  <dc:creator/>
  <cp:keywords/>
  <dc:description/>
  <cp:lastModifiedBy>svcMRProcess</cp:lastModifiedBy>
  <cp:revision>4</cp:revision>
  <cp:lastPrinted>2018-11-28T07:16:00Z</cp:lastPrinted>
  <dcterms:created xsi:type="dcterms:W3CDTF">2019-01-29T04:25:00Z</dcterms:created>
  <dcterms:modified xsi:type="dcterms:W3CDTF">2019-01-29T04:25:00Z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DocumentType">
    <vt:lpwstr>Act</vt:lpwstr>
  </property>
  <property fmtid="{D5CDD505-2E9C-101B-9397-08002B2CF9AE}" pid="4" name="OwlsUID">
    <vt:i4>655</vt:i4>
  </property>
  <property fmtid="{D5CDD505-2E9C-101B-9397-08002B2CF9AE}" pid="5" name="ReprintedAsAt">
    <vt:filetime>2017-09-07T16:00:00Z</vt:filetime>
  </property>
  <property fmtid="{D5CDD505-2E9C-101B-9397-08002B2CF9AE}" pid="6" name="ReprintNo">
    <vt:lpwstr>4</vt:lpwstr>
  </property>
  <property fmtid="{D5CDD505-2E9C-101B-9397-08002B2CF9AE}" pid="7" name="AsAtDate">
    <vt:lpwstr>01 Dec 2018</vt:lpwstr>
  </property>
  <property fmtid="{D5CDD505-2E9C-101B-9397-08002B2CF9AE}" pid="8" name="Suffix">
    <vt:lpwstr>04-c0-01</vt:lpwstr>
  </property>
  <property fmtid="{D5CDD505-2E9C-101B-9397-08002B2CF9AE}" pid="9" name="CommencementDate">
    <vt:lpwstr>20181201</vt:lpwstr>
  </property>
</Properties>
</file>