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_Toc531872968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_Toc531872969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_Toc531872970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_Toc531872971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_Toc531872972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_Toc531872973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_Toc531872974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_Toc531872975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_Toc531872976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_Toc531872977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_Toc531872978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_Toc531872979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_Toc531872980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_Toc531872981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_Toc531872982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_Toc531872983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_Toc531872984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_Toc531872985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_Toc531872986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_Toc531872987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_Toc531872988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_Toc531872989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_Toc531872990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_Toc531872991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_Toc531872992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_Toc531872993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_Toc531872994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_Toc531872995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_Toc531872996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_Toc531872997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_Toc531872998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_Toc531872999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_Toc531873004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_Toc531873005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3187296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3187296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31872970"/>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531872971"/>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31872972"/>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31872973"/>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531872974"/>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31872975"/>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31872976"/>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31872977"/>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31872978"/>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31872979"/>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31872980"/>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31872981"/>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31872982"/>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31872983"/>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31872984"/>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31872985"/>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531872986"/>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31872987"/>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31872988"/>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31872989"/>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531872990"/>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531872991"/>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531872992"/>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in Gazette 14 Jun 2016 p. 1873</w:t>
      </w:r>
      <w:r>
        <w:noBreakHyphen/>
        <w:t>4; amended in Gazette 20 Jul 2018 p. 2624.]</w:t>
      </w:r>
    </w:p>
    <w:p>
      <w:pPr>
        <w:pStyle w:val="Heading5"/>
      </w:pPr>
      <w:bookmarkStart w:id="28" w:name="_Toc531872993"/>
      <w:r>
        <w:rPr>
          <w:rStyle w:val="CharSectno"/>
        </w:rPr>
        <w:t>23C</w:t>
      </w:r>
      <w:r>
        <w:t>.</w:t>
      </w:r>
      <w:r>
        <w:tab/>
        <w:t>Application to be recognised as eligible individual</w:t>
      </w:r>
      <w:bookmarkEnd w:id="28"/>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 amended in Gazette 20 Jul 2018 p. 2624.]</w:t>
      </w:r>
    </w:p>
    <w:p>
      <w:pPr>
        <w:pStyle w:val="Heading5"/>
      </w:pPr>
      <w:bookmarkStart w:id="29" w:name="_Toc531872994"/>
      <w:r>
        <w:rPr>
          <w:rStyle w:val="CharSectno"/>
        </w:rPr>
        <w:t>23D</w:t>
      </w:r>
      <w:r>
        <w:t>.</w:t>
      </w:r>
      <w:r>
        <w:tab/>
        <w:t>Recognition as eligible individual</w:t>
      </w:r>
      <w:bookmarkEnd w:id="29"/>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 amended in Gazette 20 Jul 2018 p. 2624.]</w:t>
      </w:r>
    </w:p>
    <w:p>
      <w:pPr>
        <w:pStyle w:val="Heading5"/>
      </w:pPr>
      <w:bookmarkStart w:id="30" w:name="_Toc531872995"/>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531872996"/>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531872997"/>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531872998"/>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531872999"/>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31869420"/>
      <w:bookmarkStart w:id="36" w:name="_Toc531873000"/>
      <w:r>
        <w:rPr>
          <w:rStyle w:val="CharSchNo"/>
        </w:rPr>
        <w:t>Schedule 1</w:t>
      </w:r>
      <w:r>
        <w:t> — </w:t>
      </w:r>
      <w:r>
        <w:rPr>
          <w:rStyle w:val="CharSchText"/>
        </w:rPr>
        <w:t>Forms</w:t>
      </w:r>
      <w:bookmarkEnd w:id="35"/>
      <w:bookmarkEnd w:id="3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8" w:name="_Toc531869421"/>
      <w:bookmarkStart w:id="39" w:name="_Toc531873001"/>
      <w:r>
        <w:rPr>
          <w:rStyle w:val="CharSchNo"/>
        </w:rPr>
        <w:t>Schedule 2</w:t>
      </w:r>
      <w:r>
        <w:rPr>
          <w:rStyle w:val="CharSDivNo"/>
        </w:rPr>
        <w:t> </w:t>
      </w:r>
      <w:r>
        <w:rPr>
          <w:bCs/>
        </w:rPr>
        <w:t>—</w:t>
      </w:r>
      <w:r>
        <w:rPr>
          <w:rStyle w:val="CharSDivText"/>
        </w:rPr>
        <w:t> </w:t>
      </w:r>
      <w:r>
        <w:rPr>
          <w:rStyle w:val="CharSchText"/>
        </w:rPr>
        <w:t>Fees for post mortem services</w:t>
      </w:r>
      <w:bookmarkEnd w:id="38"/>
      <w:bookmarkEnd w:id="39"/>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0" w:name="_Toc531869422"/>
      <w:bookmarkStart w:id="41" w:name="_Toc531873002"/>
      <w:r>
        <w:rPr>
          <w:rStyle w:val="CharSchNo"/>
        </w:rPr>
        <w:t>Schedule 3</w:t>
      </w:r>
      <w:r>
        <w:t> — </w:t>
      </w:r>
      <w:r>
        <w:rPr>
          <w:rStyle w:val="CharSchText"/>
        </w:rPr>
        <w:t>Other fees</w:t>
      </w:r>
      <w:bookmarkEnd w:id="40"/>
      <w:bookmarkEnd w:id="41"/>
    </w:p>
    <w:p>
      <w:pPr>
        <w:pStyle w:val="yShoulderClause"/>
      </w:pPr>
      <w:r>
        <w:t>[r. 22]</w:t>
      </w:r>
    </w:p>
    <w:p>
      <w:pPr>
        <w:pStyle w:val="yFootnoteheading"/>
      </w:pPr>
      <w:r>
        <w:tab/>
        <w:t>[Heading inserted in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yFootnotesection"/>
      </w:pPr>
      <w:r>
        <w:tab/>
        <w:t>[Schedule 3 inserted in Gazette 15 Jun 2018 p. 1983</w:t>
      </w:r>
      <w:r>
        <w:noBreakHyphen/>
        <w:t>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42" w:name="_Toc531869423"/>
      <w:bookmarkStart w:id="43" w:name="_Toc531873003"/>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4" w:name="_Toc531873004"/>
      <w:r>
        <w:t>Compilation table</w:t>
      </w:r>
      <w:bookmarkEnd w:id="44"/>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trPr>
        <w:tc>
          <w:tcPr>
            <w:tcW w:w="3123" w:type="dxa"/>
            <w:tcBorders>
              <w:bottom w:val="single" w:sz="4" w:space="0" w:color="auto"/>
            </w:tcBorders>
            <w:shd w:val="clear" w:color="auto" w:fill="auto"/>
          </w:tcPr>
          <w:p>
            <w:pPr>
              <w:pStyle w:val="nTable"/>
              <w:keepNext/>
              <w:spacing w:after="40"/>
            </w:pPr>
            <w:r>
              <w:rPr>
                <w:i/>
              </w:rPr>
              <w:t>Justice Regulations Amendment (Fee Relief) Regulations 2018</w:t>
            </w:r>
            <w:r>
              <w:t xml:space="preserve"> Pt. 4</w:t>
            </w:r>
          </w:p>
        </w:tc>
        <w:tc>
          <w:tcPr>
            <w:tcW w:w="1276" w:type="dxa"/>
            <w:tcBorders>
              <w:bottom w:val="single" w:sz="4" w:space="0" w:color="auto"/>
            </w:tcBorders>
            <w:shd w:val="clear" w:color="auto" w:fill="auto"/>
          </w:tcPr>
          <w:p>
            <w:pPr>
              <w:pStyle w:val="nTable"/>
              <w:keepNext/>
              <w:spacing w:after="40"/>
            </w:pPr>
            <w:r>
              <w:t>20 Jul 2018 p. 2621</w:t>
            </w:r>
            <w:r>
              <w:noBreakHyphen/>
              <w:t>30</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21 Jul 2018 (see r. 2(b))</w:t>
            </w:r>
          </w:p>
        </w:tc>
      </w:tr>
    </w:tbl>
    <w:p>
      <w:pPr>
        <w:pStyle w:val="BlankClose"/>
        <w:rPr>
          <w:i/>
          <w:sz w:val="19"/>
          <w:szCs w:val="20"/>
        </w:rPr>
      </w:pPr>
    </w:p>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 w:name="_Toc531873005"/>
      <w:r>
        <w:t>Provisions that have not come into operation</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Attorney General Regulations Amendment (Transcript Fees) Regulations 2018 </w:t>
            </w:r>
            <w:r>
              <w:t>Pt. 3</w:t>
            </w:r>
            <w:r>
              <w:rPr>
                <w:vertAlign w:val="superscript"/>
              </w:rPr>
              <w:t> 2</w:t>
            </w:r>
          </w:p>
        </w:tc>
        <w:tc>
          <w:tcPr>
            <w:tcW w:w="1276" w:type="dxa"/>
          </w:tcPr>
          <w:p>
            <w:pPr>
              <w:pStyle w:val="nTable"/>
              <w:keepNext/>
              <w:spacing w:after="40"/>
            </w:pPr>
            <w:r>
              <w:t>7 Dec 2018 p. 4667</w:t>
            </w:r>
            <w:r>
              <w:noBreakHyphen/>
              <w:t>74</w:t>
            </w:r>
          </w:p>
        </w:tc>
        <w:tc>
          <w:tcPr>
            <w:tcW w:w="2693" w:type="dxa"/>
          </w:tcPr>
          <w:p>
            <w:pPr>
              <w:pStyle w:val="nTable"/>
              <w:keepNext/>
              <w:spacing w:after="40"/>
            </w:pPr>
            <w:r>
              <w:t>18 Dec 2018 (see r. 2(b)(i))</w:t>
            </w:r>
          </w:p>
        </w:tc>
      </w:tr>
    </w:tbl>
    <w:p>
      <w:pPr>
        <w:pStyle w:val="nSubsection"/>
        <w:spacing w:before="180"/>
      </w:pPr>
      <w:r>
        <w:rPr>
          <w:vertAlign w:val="superscript"/>
        </w:rPr>
        <w:t>2</w:t>
      </w:r>
      <w:r>
        <w:tab/>
        <w:t xml:space="preserve">On the date at which this compilation was prepared, the </w:t>
      </w:r>
      <w:r>
        <w:rPr>
          <w:i/>
        </w:rPr>
        <w:t xml:space="preserve">Attorney General Regulations Amendment (Transcript Fees) Regulations 2018 </w:t>
      </w:r>
      <w:r>
        <w:t>Pt. 3 had not come into operation. It reads as follows:</w:t>
      </w:r>
    </w:p>
    <w:p>
      <w:pPr>
        <w:pStyle w:val="BlankOpen"/>
      </w:pPr>
    </w:p>
    <w:p>
      <w:pPr>
        <w:pStyle w:val="nzHeading2"/>
      </w:pPr>
      <w:bookmarkStart w:id="46" w:name="_Toc529949410"/>
      <w:bookmarkStart w:id="47" w:name="_Toc529949431"/>
      <w:bookmarkStart w:id="48" w:name="_Toc529949824"/>
      <w:bookmarkStart w:id="49" w:name="_Toc529950652"/>
      <w:bookmarkStart w:id="50" w:name="_Toc529950734"/>
      <w:bookmarkStart w:id="51" w:name="_Toc529957750"/>
      <w:r>
        <w:rPr>
          <w:rStyle w:val="CharPartNo"/>
        </w:rPr>
        <w:t>Part 3</w:t>
      </w:r>
      <w:r>
        <w:rPr>
          <w:rStyle w:val="CharDivNo"/>
        </w:rPr>
        <w:t> </w:t>
      </w:r>
      <w:r>
        <w:t>—</w:t>
      </w:r>
      <w:r>
        <w:rPr>
          <w:rStyle w:val="CharDivText"/>
        </w:rPr>
        <w:t> </w:t>
      </w:r>
      <w:r>
        <w:rPr>
          <w:rStyle w:val="CharPartText"/>
          <w:i/>
        </w:rPr>
        <w:t>Coroners Regulations 1997</w:t>
      </w:r>
      <w:r>
        <w:rPr>
          <w:rStyle w:val="CharPartText"/>
        </w:rPr>
        <w:t xml:space="preserve"> amended</w:t>
      </w:r>
      <w:bookmarkEnd w:id="46"/>
      <w:bookmarkEnd w:id="47"/>
      <w:bookmarkEnd w:id="48"/>
      <w:bookmarkEnd w:id="49"/>
      <w:bookmarkEnd w:id="50"/>
      <w:bookmarkEnd w:id="51"/>
    </w:p>
    <w:p>
      <w:pPr>
        <w:pStyle w:val="nzHeading5"/>
        <w:rPr>
          <w:snapToGrid w:val="0"/>
        </w:rPr>
      </w:pPr>
      <w:bookmarkStart w:id="52" w:name="_Toc529950653"/>
      <w:bookmarkStart w:id="53" w:name="_Toc529957751"/>
      <w:r>
        <w:rPr>
          <w:rStyle w:val="CharSectno"/>
        </w:rPr>
        <w:t>5</w:t>
      </w:r>
      <w:r>
        <w:rPr>
          <w:snapToGrid w:val="0"/>
        </w:rPr>
        <w:t>.</w:t>
      </w:r>
      <w:r>
        <w:rPr>
          <w:snapToGrid w:val="0"/>
        </w:rPr>
        <w:tab/>
        <w:t>Regulations amended</w:t>
      </w:r>
      <w:bookmarkEnd w:id="52"/>
      <w:bookmarkEnd w:id="53"/>
    </w:p>
    <w:p>
      <w:pPr>
        <w:pStyle w:val="nzSubsection"/>
      </w:pPr>
      <w:r>
        <w:tab/>
      </w:r>
      <w:r>
        <w:tab/>
        <w:t>This Part</w:t>
      </w:r>
      <w:r>
        <w:rPr>
          <w:spacing w:val="-2"/>
        </w:rPr>
        <w:t xml:space="preserve"> amends</w:t>
      </w:r>
      <w:r>
        <w:t xml:space="preserve"> the </w:t>
      </w:r>
      <w:r>
        <w:rPr>
          <w:i/>
        </w:rPr>
        <w:t>Coroners Regulations 1997</w:t>
      </w:r>
      <w:r>
        <w:t>.</w:t>
      </w:r>
    </w:p>
    <w:p>
      <w:pPr>
        <w:pStyle w:val="nzHeading5"/>
      </w:pPr>
      <w:bookmarkStart w:id="54" w:name="_Toc529950654"/>
      <w:bookmarkStart w:id="55" w:name="_Toc529957752"/>
      <w:r>
        <w:rPr>
          <w:rStyle w:val="CharSectno"/>
        </w:rPr>
        <w:t>6</w:t>
      </w:r>
      <w:r>
        <w:t>.</w:t>
      </w:r>
      <w:r>
        <w:tab/>
        <w:t>Schedule 3 amended</w:t>
      </w:r>
      <w:bookmarkEnd w:id="54"/>
      <w:bookmarkEnd w:id="55"/>
    </w:p>
    <w:p>
      <w:pPr>
        <w:pStyle w:val="nzSubsection"/>
      </w:pPr>
      <w:r>
        <w:tab/>
      </w:r>
      <w:r>
        <w:tab/>
        <w:t>Delete Schedule 3 items 4, 5 and 6 and insert:</w:t>
      </w:r>
    </w:p>
    <w:p>
      <w:pPr>
        <w:pStyle w:val="BlankOpen"/>
      </w:pPr>
    </w:p>
    <w:tbl>
      <w:tblPr>
        <w:tblW w:w="6946" w:type="dxa"/>
        <w:tblInd w:w="250" w:type="dxa"/>
        <w:tblLayout w:type="fixed"/>
        <w:tblLook w:val="0000" w:firstRow="0" w:lastRow="0" w:firstColumn="0" w:lastColumn="0" w:noHBand="0" w:noVBand="0"/>
      </w:tblPr>
      <w:tblGrid>
        <w:gridCol w:w="709"/>
        <w:gridCol w:w="3402"/>
        <w:gridCol w:w="1417"/>
        <w:gridCol w:w="1418"/>
      </w:tblGrid>
      <w:tr>
        <w:trPr>
          <w:cantSplit/>
        </w:trPr>
        <w:tc>
          <w:tcPr>
            <w:tcW w:w="709" w:type="dxa"/>
          </w:tcPr>
          <w:p>
            <w:pPr>
              <w:pStyle w:val="yTableNAm"/>
            </w:pPr>
            <w:r>
              <w:t>4.</w:t>
            </w:r>
          </w:p>
        </w:tc>
        <w:tc>
          <w:tcPr>
            <w:tcW w:w="3402" w:type="dxa"/>
          </w:tcPr>
          <w:p>
            <w:pPr>
              <w:pStyle w:val="yTableNAm"/>
              <w:ind w:left="601" w:hanging="601"/>
            </w:pPr>
            <w:r>
              <w:t>(a)</w:t>
            </w:r>
            <w:r>
              <w:tab/>
              <w:t xml:space="preserve">For the preparation of a transcript, or part of a transcript, or notes of evidence — </w:t>
            </w:r>
          </w:p>
        </w:tc>
        <w:tc>
          <w:tcPr>
            <w:tcW w:w="1417" w:type="dxa"/>
          </w:tcPr>
          <w:p>
            <w:pPr>
              <w:pStyle w:val="yTableNAm"/>
            </w:pPr>
          </w:p>
        </w:tc>
        <w:tc>
          <w:tcPr>
            <w:tcW w:w="1418" w:type="dxa"/>
          </w:tcPr>
          <w:p>
            <w:pPr>
              <w:pStyle w:val="yTableNAm"/>
            </w:pPr>
          </w:p>
        </w:tc>
      </w:tr>
      <w:tr>
        <w:trPr>
          <w:cantSplit/>
        </w:trPr>
        <w:tc>
          <w:tcPr>
            <w:tcW w:w="709" w:type="dxa"/>
          </w:tcPr>
          <w:p>
            <w:pPr>
              <w:pStyle w:val="yTableNAm"/>
            </w:pPr>
          </w:p>
        </w:tc>
        <w:tc>
          <w:tcPr>
            <w:tcW w:w="3402" w:type="dxa"/>
          </w:tcPr>
          <w:p>
            <w:pPr>
              <w:pStyle w:val="yTableNAm"/>
              <w:ind w:left="1168" w:hanging="1168"/>
            </w:pPr>
            <w:r>
              <w:tab/>
              <w:t>(i)</w:t>
            </w:r>
            <w:r>
              <w:tab/>
              <w:t xml:space="preserve">provided within 1 day after the day on which the fee is paid </w:t>
            </w:r>
          </w:p>
        </w:tc>
        <w:tc>
          <w:tcPr>
            <w:tcW w:w="1417" w:type="dxa"/>
          </w:tcPr>
          <w:p>
            <w:pPr>
              <w:pStyle w:val="yTableNAm"/>
            </w:pPr>
            <w:r>
              <w:t>20.50 plus</w:t>
            </w:r>
            <w:r>
              <w:br/>
              <w:t>8.45 per page</w:t>
            </w:r>
          </w:p>
        </w:tc>
        <w:tc>
          <w:tcPr>
            <w:tcW w:w="1418" w:type="dxa"/>
          </w:tcPr>
          <w:p>
            <w:pPr>
              <w:pStyle w:val="yTableNAm"/>
            </w:pPr>
            <w:r>
              <w:t xml:space="preserve">6.15 plus </w:t>
            </w:r>
            <w:r>
              <w:br/>
              <w:t>2.55 per page</w:t>
            </w:r>
          </w:p>
        </w:tc>
      </w:tr>
      <w:tr>
        <w:trPr>
          <w:cantSplit/>
        </w:trPr>
        <w:tc>
          <w:tcPr>
            <w:tcW w:w="709" w:type="dxa"/>
          </w:tcPr>
          <w:p>
            <w:pPr>
              <w:pStyle w:val="yTableNAm"/>
            </w:pPr>
          </w:p>
        </w:tc>
        <w:tc>
          <w:tcPr>
            <w:tcW w:w="3402" w:type="dxa"/>
          </w:tcPr>
          <w:p>
            <w:pPr>
              <w:pStyle w:val="yTableNAm"/>
              <w:ind w:left="1168" w:hanging="1168"/>
            </w:pPr>
            <w:r>
              <w:tab/>
              <w:t>(ii)</w:t>
            </w:r>
            <w:r>
              <w:tab/>
              <w:t xml:space="preserve">provided within 2 days after the day on which the fee is paid </w:t>
            </w:r>
          </w:p>
        </w:tc>
        <w:tc>
          <w:tcPr>
            <w:tcW w:w="1417" w:type="dxa"/>
          </w:tcPr>
          <w:p>
            <w:pPr>
              <w:pStyle w:val="yTableNAm"/>
            </w:pPr>
            <w:r>
              <w:t>20.50 plus</w:t>
            </w:r>
            <w:r>
              <w:br/>
              <w:t>7.75 per page</w:t>
            </w:r>
          </w:p>
        </w:tc>
        <w:tc>
          <w:tcPr>
            <w:tcW w:w="1418" w:type="dxa"/>
          </w:tcPr>
          <w:p>
            <w:pPr>
              <w:pStyle w:val="yTableNAm"/>
            </w:pPr>
            <w:r>
              <w:t xml:space="preserve">6.15 plus </w:t>
            </w:r>
            <w:r>
              <w:br/>
              <w:t>2.35 per page</w:t>
            </w:r>
          </w:p>
        </w:tc>
      </w:tr>
      <w:tr>
        <w:trPr>
          <w:cantSplit/>
        </w:trPr>
        <w:tc>
          <w:tcPr>
            <w:tcW w:w="709" w:type="dxa"/>
          </w:tcPr>
          <w:p>
            <w:pPr>
              <w:pStyle w:val="yTableNAm"/>
            </w:pPr>
          </w:p>
        </w:tc>
        <w:tc>
          <w:tcPr>
            <w:tcW w:w="3402" w:type="dxa"/>
          </w:tcPr>
          <w:p>
            <w:pPr>
              <w:pStyle w:val="yTableNAm"/>
              <w:ind w:left="1168" w:hanging="1168"/>
            </w:pPr>
            <w:r>
              <w:tab/>
              <w:t>(iii)</w:t>
            </w:r>
            <w:r>
              <w:tab/>
              <w:t xml:space="preserve">provided within 4 days after the day on which the fee is paid </w:t>
            </w:r>
          </w:p>
        </w:tc>
        <w:tc>
          <w:tcPr>
            <w:tcW w:w="1417" w:type="dxa"/>
          </w:tcPr>
          <w:p>
            <w:pPr>
              <w:pStyle w:val="yTableNAm"/>
            </w:pPr>
            <w:r>
              <w:t>20.50 plus</w:t>
            </w:r>
            <w:r>
              <w:br/>
              <w:t>7.30 per page</w:t>
            </w:r>
          </w:p>
        </w:tc>
        <w:tc>
          <w:tcPr>
            <w:tcW w:w="1418" w:type="dxa"/>
          </w:tcPr>
          <w:p>
            <w:pPr>
              <w:pStyle w:val="yTableNAm"/>
            </w:pPr>
            <w:r>
              <w:t xml:space="preserve">6.15 plus </w:t>
            </w:r>
            <w:r>
              <w:br/>
              <w:t>2.20 per page</w:t>
            </w:r>
          </w:p>
        </w:tc>
      </w:tr>
      <w:tr>
        <w:trPr>
          <w:cantSplit/>
        </w:trPr>
        <w:tc>
          <w:tcPr>
            <w:tcW w:w="709" w:type="dxa"/>
          </w:tcPr>
          <w:p>
            <w:pPr>
              <w:pStyle w:val="yTableNAm"/>
            </w:pPr>
          </w:p>
        </w:tc>
        <w:tc>
          <w:tcPr>
            <w:tcW w:w="3402" w:type="dxa"/>
          </w:tcPr>
          <w:p>
            <w:pPr>
              <w:pStyle w:val="yTableNAm"/>
              <w:ind w:left="1168" w:hanging="1168"/>
            </w:pPr>
            <w:r>
              <w:tab/>
              <w:t>(iv)</w:t>
            </w:r>
            <w:r>
              <w:tab/>
              <w:t xml:space="preserve">provided within 7 days after the day on which the fee is paid </w:t>
            </w:r>
          </w:p>
        </w:tc>
        <w:tc>
          <w:tcPr>
            <w:tcW w:w="1417" w:type="dxa"/>
          </w:tcPr>
          <w:p>
            <w:pPr>
              <w:pStyle w:val="yTableNAm"/>
            </w:pPr>
            <w:r>
              <w:t xml:space="preserve">20.50 plus </w:t>
            </w:r>
            <w:r>
              <w:br/>
              <w:t>7.05 per page</w:t>
            </w:r>
          </w:p>
        </w:tc>
        <w:tc>
          <w:tcPr>
            <w:tcW w:w="1418" w:type="dxa"/>
          </w:tcPr>
          <w:p>
            <w:pPr>
              <w:pStyle w:val="yTableNAm"/>
            </w:pPr>
            <w:r>
              <w:t xml:space="preserve">6.15 plus </w:t>
            </w:r>
            <w:r>
              <w:br/>
              <w:t>2.15 per page</w:t>
            </w:r>
          </w:p>
        </w:tc>
      </w:tr>
      <w:tr>
        <w:trPr>
          <w:cantSplit/>
        </w:trPr>
        <w:tc>
          <w:tcPr>
            <w:tcW w:w="709" w:type="dxa"/>
          </w:tcPr>
          <w:p>
            <w:pPr>
              <w:pStyle w:val="yTableNAm"/>
            </w:pPr>
          </w:p>
        </w:tc>
        <w:tc>
          <w:tcPr>
            <w:tcW w:w="3402" w:type="dxa"/>
          </w:tcPr>
          <w:p>
            <w:pPr>
              <w:pStyle w:val="yTableNAm"/>
              <w:ind w:left="1168" w:hanging="1168"/>
            </w:pPr>
            <w:r>
              <w:tab/>
              <w:t>(v)</w:t>
            </w:r>
            <w:r>
              <w:tab/>
              <w:t xml:space="preserve">provided within 14 days after the day on which the fee is paid </w:t>
            </w:r>
          </w:p>
        </w:tc>
        <w:tc>
          <w:tcPr>
            <w:tcW w:w="1417" w:type="dxa"/>
          </w:tcPr>
          <w:p>
            <w:pPr>
              <w:pStyle w:val="yTableNAm"/>
            </w:pPr>
            <w:r>
              <w:t xml:space="preserve">20.50 plus </w:t>
            </w:r>
            <w:r>
              <w:br/>
              <w:t>6.00 per page</w:t>
            </w:r>
          </w:p>
        </w:tc>
        <w:tc>
          <w:tcPr>
            <w:tcW w:w="1418" w:type="dxa"/>
          </w:tcPr>
          <w:p>
            <w:pPr>
              <w:pStyle w:val="yTableNAm"/>
            </w:pPr>
            <w:r>
              <w:t xml:space="preserve">6.15 plus </w:t>
            </w:r>
            <w:r>
              <w:br/>
              <w:t>2.00 per page</w:t>
            </w:r>
          </w:p>
        </w:tc>
      </w:tr>
      <w:tr>
        <w:trPr>
          <w:cantSplit/>
        </w:trPr>
        <w:tc>
          <w:tcPr>
            <w:tcW w:w="709" w:type="dxa"/>
          </w:tcPr>
          <w:p>
            <w:pPr>
              <w:pStyle w:val="yTableNAm"/>
            </w:pPr>
          </w:p>
        </w:tc>
        <w:tc>
          <w:tcPr>
            <w:tcW w:w="3402" w:type="dxa"/>
          </w:tcPr>
          <w:p>
            <w:pPr>
              <w:pStyle w:val="yTableNAm"/>
              <w:ind w:left="1168" w:hanging="1168"/>
            </w:pPr>
            <w:r>
              <w:tab/>
              <w:t>(vi)</w:t>
            </w:r>
            <w:r>
              <w:tab/>
              <w:t>provided on a running basis (i.e. periodically throughout or following the day of the proceedings)</w:t>
            </w:r>
          </w:p>
        </w:tc>
        <w:tc>
          <w:tcPr>
            <w:tcW w:w="1417" w:type="dxa"/>
          </w:tcPr>
          <w:p>
            <w:pPr>
              <w:pStyle w:val="yTableNAm"/>
            </w:pPr>
            <w:r>
              <w:t xml:space="preserve">20.50 plus </w:t>
            </w:r>
            <w:r>
              <w:br/>
              <w:t>9.00 per page</w:t>
            </w:r>
          </w:p>
        </w:tc>
        <w:tc>
          <w:tcPr>
            <w:tcW w:w="1418" w:type="dxa"/>
          </w:tcPr>
          <w:p>
            <w:pPr>
              <w:pStyle w:val="yTableNAm"/>
            </w:pPr>
            <w:r>
              <w:t xml:space="preserve">6.15 plus </w:t>
            </w:r>
            <w:r>
              <w:br/>
              <w:t>3.00 per page</w:t>
            </w:r>
          </w:p>
        </w:tc>
      </w:tr>
      <w:tr>
        <w:trPr>
          <w:cantSplit/>
        </w:trPr>
        <w:tc>
          <w:tcPr>
            <w:tcW w:w="709" w:type="dxa"/>
          </w:tcPr>
          <w:p>
            <w:pPr>
              <w:pStyle w:val="yTableNAm"/>
              <w:ind w:left="1168" w:hanging="1168"/>
            </w:pPr>
          </w:p>
        </w:tc>
        <w:tc>
          <w:tcPr>
            <w:tcW w:w="3402" w:type="dxa"/>
          </w:tcPr>
          <w:p>
            <w:pPr>
              <w:pStyle w:val="yTableNAm"/>
              <w:ind w:left="601" w:hanging="601"/>
            </w:pPr>
            <w:r>
              <w:t>(b)</w:t>
            </w:r>
            <w:r>
              <w:tab/>
              <w:t xml:space="preserve">For a copy of a transcript, or part of a transcript, or notes of evidence, that has or have already been prepared — </w:t>
            </w:r>
          </w:p>
        </w:tc>
        <w:tc>
          <w:tcPr>
            <w:tcW w:w="1417" w:type="dxa"/>
          </w:tcPr>
          <w:p>
            <w:pPr>
              <w:pStyle w:val="yTableNAm"/>
            </w:pPr>
          </w:p>
        </w:tc>
        <w:tc>
          <w:tcPr>
            <w:tcW w:w="1418" w:type="dxa"/>
          </w:tcPr>
          <w:p>
            <w:pPr>
              <w:pStyle w:val="yTableNAm"/>
            </w:pPr>
          </w:p>
        </w:tc>
      </w:tr>
      <w:tr>
        <w:trPr>
          <w:cantSplit/>
        </w:trPr>
        <w:tc>
          <w:tcPr>
            <w:tcW w:w="709" w:type="dxa"/>
          </w:tcPr>
          <w:p>
            <w:pPr>
              <w:pStyle w:val="yTableNAm"/>
              <w:ind w:left="1168" w:hanging="1168"/>
            </w:pPr>
          </w:p>
        </w:tc>
        <w:tc>
          <w:tcPr>
            <w:tcW w:w="3402" w:type="dxa"/>
          </w:tcPr>
          <w:p>
            <w:pPr>
              <w:pStyle w:val="yTableNAm"/>
              <w:ind w:left="1168" w:hanging="1168"/>
            </w:pPr>
            <w:r>
              <w:tab/>
              <w:t>(i)</w:t>
            </w:r>
            <w:r>
              <w:tab/>
              <w:t xml:space="preserve">electronic format </w:t>
            </w:r>
          </w:p>
        </w:tc>
        <w:tc>
          <w:tcPr>
            <w:tcW w:w="1417" w:type="dxa"/>
          </w:tcPr>
          <w:p>
            <w:pPr>
              <w:pStyle w:val="yTableNAm"/>
            </w:pPr>
            <w:r>
              <w:t>21.40 per copy</w:t>
            </w:r>
          </w:p>
        </w:tc>
        <w:tc>
          <w:tcPr>
            <w:tcW w:w="1418" w:type="dxa"/>
          </w:tcPr>
          <w:p>
            <w:pPr>
              <w:pStyle w:val="yTableNAm"/>
            </w:pPr>
            <w:r>
              <w:t>6.45 per copy</w:t>
            </w:r>
          </w:p>
        </w:tc>
      </w:tr>
      <w:tr>
        <w:trPr>
          <w:cantSplit/>
        </w:trPr>
        <w:tc>
          <w:tcPr>
            <w:tcW w:w="709" w:type="dxa"/>
          </w:tcPr>
          <w:p>
            <w:pPr>
              <w:pStyle w:val="yTableNAm"/>
              <w:ind w:left="1168" w:hanging="1168"/>
            </w:pPr>
          </w:p>
        </w:tc>
        <w:tc>
          <w:tcPr>
            <w:tcW w:w="3402" w:type="dxa"/>
          </w:tcPr>
          <w:p>
            <w:pPr>
              <w:pStyle w:val="yTableNAm"/>
              <w:ind w:left="1168" w:hanging="1168"/>
            </w:pPr>
            <w:r>
              <w:tab/>
              <w:t>(ii)</w:t>
            </w:r>
            <w:r>
              <w:tab/>
              <w:t xml:space="preserve">paper copy </w:t>
            </w:r>
          </w:p>
        </w:tc>
        <w:tc>
          <w:tcPr>
            <w:tcW w:w="1417" w:type="dxa"/>
          </w:tcPr>
          <w:p>
            <w:pPr>
              <w:pStyle w:val="yTableNAm"/>
            </w:pPr>
            <w:r>
              <w:t>2.10 per page</w:t>
            </w:r>
          </w:p>
        </w:tc>
        <w:tc>
          <w:tcPr>
            <w:tcW w:w="1418" w:type="dxa"/>
          </w:tcPr>
          <w:p>
            <w:pPr>
              <w:pStyle w:val="yTableNAm"/>
            </w:pPr>
            <w:r>
              <w:t>0.60 per page</w:t>
            </w:r>
          </w:p>
        </w:tc>
      </w:tr>
    </w:tbl>
    <w:p>
      <w:pPr>
        <w:pStyle w:val="BlankClose"/>
      </w:pPr>
    </w:p>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57" w:name="_Toc531869426"/>
      <w:bookmarkStart w:id="58" w:name="_Toc531873006"/>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331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5571</Words>
  <Characters>29416</Characters>
  <Application>Microsoft Office Word</Application>
  <DocSecurity>0</DocSecurity>
  <Lines>1131</Lines>
  <Paragraphs>699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1997 - 03-j0-00</dc:title>
  <dc:subject/>
  <dc:creator/>
  <cp:keywords/>
  <dc:description/>
  <cp:lastModifiedBy>svcMRProcess</cp:lastModifiedBy>
  <cp:revision>4</cp:revision>
  <cp:lastPrinted>2014-05-19T03:28:00Z</cp:lastPrinted>
  <dcterms:created xsi:type="dcterms:W3CDTF">2018-12-07T04:30:00Z</dcterms:created>
  <dcterms:modified xsi:type="dcterms:W3CDTF">2018-12-07T04:30:00Z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07 Dec 2018</vt:lpwstr>
  </property>
  <property fmtid="{D5CDD505-2E9C-101B-9397-08002B2CF9AE}" pid="8" name="Suffix">
    <vt:lpwstr>03-j0-00</vt:lpwstr>
  </property>
  <property fmtid="{D5CDD505-2E9C-101B-9397-08002B2CF9AE}" pid="9" name="CommencementDate">
    <vt:lpwstr>20181207</vt:lpwstr>
  </property>
</Properties>
</file>