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(Fees)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_Toc531874529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_Toc531874530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_Toc531874531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_Toc531874532 \h </w:instrText>
      </w:r>
      <w:r>
        <w:fldChar w:fldCharType="separate"/>
      </w:r>
      <w:r>
        <w:t>3</w:t>
      </w:r>
      <w:r>
        <w:fldChar w:fldCharType="end"/>
      </w:r>
    </w:p>
    <w:p>
      <w:pPr>
        <w:pStyle w:val="TOC8"/>
        <w:rPr>
          <w:rFonts w:asciiTheme="minorHAnsi" w:eastAsiaTheme="minorEastAsia" w:hAnsiTheme="minorHAnsi" w:cstheme="minorBidi"/>
          <w:szCs w:val="22"/>
        </w:rPr>
      </w:pPr>
      <w:r>
        <w:t>4A.</w:t>
      </w:r>
      <w:r>
        <w:tab/>
        <w:t>Fees for small businesses and non</w:t>
      </w:r>
      <w:r>
        <w:noBreakHyphen/>
        <w:t>profit associations</w:t>
      </w:r>
      <w:r>
        <w:tab/>
      </w:r>
      <w:r>
        <w:fldChar w:fldCharType="begin"/>
      </w:r>
      <w:r>
        <w:instrText xml:space="preserve"> PAGEREF _Toc531874533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_Toc531874534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_Toc531874535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_Toc531874536 \h </w:instrText>
      </w:r>
      <w:r>
        <w:fldChar w:fldCharType="separate"/>
      </w:r>
      <w:r>
        <w:t>7</w:t>
      </w:r>
      <w:r>
        <w:fldChar w:fldCharType="end"/>
      </w:r>
    </w:p>
    <w:p>
      <w:pPr>
        <w:pStyle w:val="TOC8"/>
        <w:rPr>
          <w:rFonts w:asciiTheme="minorHAnsi" w:eastAsiaTheme="minorEastAsia" w:hAnsiTheme="minorHAnsi" w:cstheme="minorBidi"/>
          <w:szCs w:val="22"/>
        </w:rPr>
      </w:pPr>
      <w:r>
        <w:t>7.</w:t>
      </w:r>
      <w:r>
        <w:tab/>
        <w:t>Who is an eligible individual or eligible entity</w:t>
      </w:r>
      <w:r>
        <w:tab/>
      </w:r>
      <w:r>
        <w:fldChar w:fldCharType="begin"/>
      </w:r>
      <w:r>
        <w:instrText xml:space="preserve"> PAGEREF _Toc531874537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to be recognised as eligible individual or eligible entity</w:t>
      </w:r>
      <w:r>
        <w:tab/>
      </w:r>
      <w:r>
        <w:fldChar w:fldCharType="begin"/>
      </w:r>
      <w:r>
        <w:instrText xml:space="preserve"> PAGEREF _Toc531874538 \h </w:instrText>
      </w:r>
      <w:r>
        <w:fldChar w:fldCharType="separate"/>
      </w:r>
      <w:r>
        <w:t>8</w:t>
      </w:r>
      <w:r>
        <w:fldChar w:fldCharType="end"/>
      </w:r>
    </w:p>
    <w:p>
      <w:pPr>
        <w:pStyle w:val="TOC8"/>
        <w:rPr>
          <w:rFonts w:asciiTheme="minorHAnsi" w:eastAsiaTheme="minorEastAsia" w:hAnsiTheme="minorHAnsi" w:cstheme="minorBidi"/>
          <w:szCs w:val="22"/>
        </w:rPr>
      </w:pPr>
      <w:r>
        <w:t>8A.</w:t>
      </w:r>
      <w:r>
        <w:tab/>
        <w:t>Recognition as eligible individual or eligible entity</w:t>
      </w:r>
      <w:r>
        <w:tab/>
      </w:r>
      <w:r>
        <w:fldChar w:fldCharType="begin"/>
      </w:r>
      <w:r>
        <w:instrText xml:space="preserve"> PAGEREF _Toc531874539 \h </w:instrText>
      </w:r>
      <w:r>
        <w:fldChar w:fldCharType="separate"/>
      </w:r>
      <w:r>
        <w:t>9</w:t>
      </w:r>
      <w:r>
        <w:fldChar w:fldCharType="end"/>
      </w:r>
    </w:p>
    <w:p>
      <w:pPr>
        <w:pStyle w:val="TOC8"/>
        <w:rPr>
          <w:rFonts w:asciiTheme="minorHAnsi" w:eastAsiaTheme="minorEastAsia" w:hAnsiTheme="minorHAnsi" w:cstheme="minorBidi"/>
          <w:szCs w:val="22"/>
        </w:rPr>
      </w:pPr>
      <w:r>
        <w:t>8B.</w:t>
      </w:r>
      <w:r>
        <w:tab/>
        <w:t>False or misleading statements</w:t>
      </w:r>
      <w:r>
        <w:tab/>
      </w:r>
      <w:r>
        <w:fldChar w:fldCharType="begin"/>
      </w:r>
      <w:r>
        <w:instrText xml:space="preserve"> PAGEREF _Toc531874540 \h </w:instrText>
      </w:r>
      <w:r>
        <w:fldChar w:fldCharType="separate"/>
      </w:r>
      <w:r>
        <w:t>10</w:t>
      </w:r>
      <w:r>
        <w:fldChar w:fldCharType="end"/>
      </w:r>
    </w:p>
    <w:p>
      <w:pPr>
        <w:pStyle w:val="TOC8"/>
        <w:rPr>
          <w:rFonts w:asciiTheme="minorHAnsi" w:eastAsiaTheme="minorEastAsia" w:hAnsiTheme="minorHAnsi" w:cstheme="minorBidi"/>
          <w:szCs w:val="22"/>
        </w:rPr>
      </w:pPr>
      <w:r>
        <w:t>8C.</w:t>
      </w:r>
      <w:r>
        <w:tab/>
        <w:t>Refunds</w:t>
      </w:r>
      <w:r>
        <w:tab/>
      </w:r>
      <w:r>
        <w:fldChar w:fldCharType="begin"/>
      </w:r>
      <w:r>
        <w:instrText xml:space="preserve"> PAGEREF _Toc531874541 \h </w:instrText>
      </w:r>
      <w:r>
        <w:fldChar w:fldCharType="separate"/>
      </w:r>
      <w:r>
        <w:t>11</w:t>
      </w:r>
      <w:r>
        <w:fldChar w:fldCharType="end"/>
      </w:r>
    </w:p>
    <w:p>
      <w:pPr>
        <w:pStyle w:val="TOC8"/>
        <w:rPr>
          <w:rFonts w:asciiTheme="minorHAnsi" w:eastAsiaTheme="minorEastAsia" w:hAnsiTheme="minorHAnsi" w:cstheme="minorBidi"/>
          <w:szCs w:val="22"/>
        </w:rPr>
      </w:pPr>
      <w:r>
        <w:t>8D.</w:t>
      </w:r>
      <w:r>
        <w:tab/>
        <w:t>Waiving fee for copy of document or transcript</w:t>
      </w:r>
      <w:r>
        <w:tab/>
      </w:r>
      <w:r>
        <w:fldChar w:fldCharType="begin"/>
      </w:r>
      <w:r>
        <w:instrText xml:space="preserve"> PAGEREF _Toc531874542 \h </w:instrText>
      </w:r>
      <w:r>
        <w:fldChar w:fldCharType="separate"/>
      </w:r>
      <w:r>
        <w:t>11</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_Toc531874543 \h </w:instrText>
      </w:r>
      <w:r>
        <w:fldChar w:fldCharType="separate"/>
      </w:r>
      <w:r>
        <w:t>12</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6</w:t>
      </w:r>
      <w:r>
        <w:tab/>
      </w:r>
      <w:r>
        <w:fldChar w:fldCharType="begin"/>
      </w:r>
      <w:r>
        <w:instrText xml:space="preserve"> PAGEREF _Toc531874544 \h </w:instrText>
      </w:r>
      <w:r>
        <w:fldChar w:fldCharType="separate"/>
      </w:r>
      <w:r>
        <w:t>13</w:t>
      </w:r>
      <w:r>
        <w:fldChar w:fldCharType="end"/>
      </w:r>
    </w:p>
    <w:p>
      <w:pPr>
        <w:pStyle w:val="TOC8"/>
        <w:rPr>
          <w:rFonts w:asciiTheme="minorHAnsi" w:eastAsiaTheme="minorEastAsia" w:hAnsiTheme="minorHAnsi" w:cstheme="minorBidi"/>
          <w:szCs w:val="22"/>
        </w:rPr>
      </w:pPr>
      <w:r>
        <w:t>10.</w:t>
      </w:r>
      <w:r>
        <w:tab/>
        <w:t>Schedule 1 Division 1 item 6 or Division 2 item 7 fee</w:t>
      </w:r>
      <w:r>
        <w:tab/>
      </w:r>
      <w:r>
        <w:fldChar w:fldCharType="begin"/>
      </w:r>
      <w:r>
        <w:instrText xml:space="preserve"> PAGEREF _Toc531874545 \h </w:instrText>
      </w:r>
      <w:r>
        <w:fldChar w:fldCharType="separate"/>
      </w:r>
      <w:r>
        <w:t>15</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_Toc531874546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Division fees</w:t>
      </w:r>
    </w:p>
    <w:p>
      <w:pPr>
        <w:pStyle w:val="TOC4"/>
        <w:tabs>
          <w:tab w:val="right" w:leader="dot" w:pos="7077"/>
        </w:tabs>
        <w:rPr>
          <w:rFonts w:asciiTheme="minorHAnsi" w:eastAsiaTheme="minorEastAsia" w:hAnsiTheme="minorHAnsi" w:cstheme="minorBidi"/>
          <w:b w:val="0"/>
          <w:szCs w:val="22"/>
        </w:rPr>
      </w:pPr>
      <w:r>
        <w:t>Division 2</w:t>
      </w:r>
      <w:r>
        <w:rPr>
          <w:b w:val="0"/>
        </w:rPr>
        <w:t> — </w:t>
      </w:r>
      <w:r>
        <w:t>Court of Appeal fees</w:t>
      </w:r>
    </w:p>
    <w:p>
      <w:pPr>
        <w:pStyle w:val="TOC2"/>
        <w:tabs>
          <w:tab w:val="right" w:leader="dot" w:pos="7077"/>
        </w:tabs>
        <w:rPr>
          <w:rFonts w:asciiTheme="minorHAnsi" w:eastAsiaTheme="minorEastAsia" w:hAnsiTheme="minorHAnsi" w:cstheme="minorBidi"/>
          <w:b w:val="0"/>
          <w:sz w:val="22"/>
          <w:szCs w:val="22"/>
        </w:rPr>
      </w:pPr>
      <w:r>
        <w:t>Schedule 2 — Sheriff’s fees</w:t>
      </w:r>
    </w:p>
    <w:p>
      <w:pPr>
        <w:pStyle w:val="TOC2"/>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_Toc531874555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_Toc531874556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3" w:name="_Toc531874529"/>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4" w:name="_Toc531874530"/>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1 January 2002</w:t>
      </w:r>
      <w:r>
        <w:t>.</w:t>
      </w:r>
    </w:p>
    <w:p>
      <w:pPr>
        <w:pStyle w:val="Heading5"/>
      </w:pPr>
      <w:bookmarkStart w:id="5" w:name="_Toc531874531"/>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b/>
          <w:i/>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b/>
          <w:i/>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b/>
          <w:i/>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 14 Jun 2016 p. 1952</w:t>
      </w:r>
      <w:r>
        <w:noBreakHyphen/>
        <w:t>3.]</w:t>
      </w:r>
    </w:p>
    <w:p>
      <w:pPr>
        <w:pStyle w:val="Heading5"/>
        <w:spacing w:before="180"/>
        <w:rPr>
          <w:snapToGrid w:val="0"/>
        </w:rPr>
      </w:pPr>
      <w:bookmarkStart w:id="6" w:name="_Toc531874532"/>
      <w:r>
        <w:rPr>
          <w:rStyle w:val="CharSectno"/>
        </w:rPr>
        <w:t>4</w:t>
      </w:r>
      <w:r>
        <w:t>.</w:t>
      </w:r>
      <w:r>
        <w:tab/>
        <w:t>General fees</w:t>
      </w:r>
      <w:bookmarkEnd w:id="6"/>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Ednotesubsection"/>
      </w:pPr>
      <w:r>
        <w:tab/>
        <w:t>[(7)-(13)</w:t>
      </w:r>
      <w:r>
        <w:tab/>
        <w:t>deleted]</w:t>
      </w:r>
    </w:p>
    <w:p>
      <w:pPr>
        <w:pStyle w:val="Footnotesection"/>
      </w:pPr>
      <w:r>
        <w:tab/>
        <w:t>[Regulation 4 amended in Gazette 30 Dec 2003 p. 5693-4; 28 Apr 2005 p. 1758; 4 Sep 2009 p. 3461; 14 Jun 2016 p. 1953.]</w:t>
      </w:r>
    </w:p>
    <w:p>
      <w:pPr>
        <w:pStyle w:val="Heading5"/>
      </w:pPr>
      <w:bookmarkStart w:id="7" w:name="_Toc531874533"/>
      <w:r>
        <w:rPr>
          <w:rStyle w:val="CharSectno"/>
        </w:rPr>
        <w:t>4A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in Gazette 14 Jun 2016 p. 1954</w:t>
      </w:r>
      <w:r>
        <w:noBreakHyphen/>
        <w:t>5.]</w:t>
      </w:r>
    </w:p>
    <w:p>
      <w:pPr>
        <w:pStyle w:val="Heading5"/>
        <w:rPr>
          <w:snapToGrid w:val="0"/>
        </w:rPr>
      </w:pPr>
      <w:bookmarkStart w:id="8" w:name="_Toc531874534"/>
      <w:r>
        <w:rPr>
          <w:rStyle w:val="CharSectno"/>
        </w:rPr>
        <w:t>5</w:t>
      </w:r>
      <w:r>
        <w:t>.</w:t>
      </w:r>
      <w:r>
        <w:tab/>
      </w:r>
      <w:r>
        <w:rPr>
          <w:snapToGrid w:val="0"/>
        </w:rPr>
        <w:t>Exemptions</w:t>
      </w:r>
      <w:bookmarkEnd w:id="8"/>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in Gazette 28 Apr 2005 p. 1758; 23 Jun 2005 p. 2693; 27 Jun 2008 p. 3060; 4 Sep 2009 p. 3461; 27 Mar 2012 p. 1508; 14 Jun 2016 p. 1955</w:t>
      </w:r>
      <w:r>
        <w:noBreakHyphen/>
        <w:t>6.]</w:t>
      </w:r>
    </w:p>
    <w:p>
      <w:pPr>
        <w:pStyle w:val="Heading5"/>
      </w:pPr>
      <w:bookmarkStart w:id="9" w:name="_Toc531874535"/>
      <w:r>
        <w:rPr>
          <w:rStyle w:val="CharSectno"/>
        </w:rPr>
        <w:t>5A</w:t>
      </w:r>
      <w:r>
        <w:t>.</w:t>
      </w:r>
      <w:r>
        <w:tab/>
        <w:t>Disputes regarding fees</w:t>
      </w:r>
      <w:bookmarkEnd w:id="9"/>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10" w:name="_Toc531874536"/>
      <w:r>
        <w:rPr>
          <w:rStyle w:val="CharSectno"/>
        </w:rPr>
        <w:t>6</w:t>
      </w:r>
      <w:r>
        <w:t>.</w:t>
      </w:r>
      <w:r>
        <w:tab/>
      </w:r>
      <w:r>
        <w:rPr>
          <w:snapToGrid w:val="0"/>
        </w:rPr>
        <w:t>Fees to be paid before documents filed or other things done</w:t>
      </w:r>
      <w:bookmarkEnd w:id="10"/>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in Gazette 14 Jun 2016 p. 1956.]</w:t>
      </w:r>
    </w:p>
    <w:p>
      <w:pPr>
        <w:pStyle w:val="Heading5"/>
      </w:pPr>
      <w:bookmarkStart w:id="11" w:name="_Toc531874537"/>
      <w:r>
        <w:rPr>
          <w:rStyle w:val="CharSectno"/>
        </w:rPr>
        <w:t>7</w:t>
      </w:r>
      <w:r>
        <w:t>.</w:t>
      </w:r>
      <w:r>
        <w:tab/>
        <w:t>Who is an eligible individual or eligible entity</w:t>
      </w:r>
      <w:bookmarkEnd w:id="1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in Gazette 14 Jun 2016 p. 1957</w:t>
      </w:r>
      <w:r>
        <w:noBreakHyphen/>
        <w:t>8; amended in Gazette 20 Jul 2018 p. 2629.]</w:t>
      </w:r>
    </w:p>
    <w:p>
      <w:pPr>
        <w:pStyle w:val="Heading5"/>
      </w:pPr>
      <w:bookmarkStart w:id="12" w:name="_Toc531874538"/>
      <w:r>
        <w:rPr>
          <w:rStyle w:val="CharSectno"/>
        </w:rPr>
        <w:t>8</w:t>
      </w:r>
      <w:r>
        <w:t>.</w:t>
      </w:r>
      <w:r>
        <w:tab/>
        <w:t>Application to be recognised as eligible individual or eligible entity</w:t>
      </w:r>
      <w:bookmarkEnd w:id="12"/>
    </w:p>
    <w:p>
      <w:pPr>
        <w:pStyle w:val="Subsection"/>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in Gazette 14 Jun 2016 p. 1958</w:t>
      </w:r>
      <w:r>
        <w:noBreakHyphen/>
        <w:t>9; amended in Gazette 20 Jul 2018 p. 2629.]</w:t>
      </w:r>
    </w:p>
    <w:p>
      <w:pPr>
        <w:pStyle w:val="Heading5"/>
      </w:pPr>
      <w:bookmarkStart w:id="13" w:name="_Toc531874539"/>
      <w:r>
        <w:rPr>
          <w:rStyle w:val="CharSectno"/>
        </w:rPr>
        <w:t>8A</w:t>
      </w:r>
      <w:r>
        <w:t>.</w:t>
      </w:r>
      <w:r>
        <w:tab/>
        <w:t>Recognition as eligible individual or eligible entity</w:t>
      </w:r>
      <w:bookmarkEnd w:id="13"/>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in Gazette 14 Jun 2016 p. 1959</w:t>
      </w:r>
      <w:r>
        <w:noBreakHyphen/>
        <w:t>60; amended in Gazette 20 Jul 2018 p. 2630.]</w:t>
      </w:r>
    </w:p>
    <w:p>
      <w:pPr>
        <w:pStyle w:val="Heading5"/>
      </w:pPr>
      <w:bookmarkStart w:id="14" w:name="_Toc531874540"/>
      <w:r>
        <w:rPr>
          <w:rStyle w:val="CharSectno"/>
        </w:rPr>
        <w:t>8B</w:t>
      </w:r>
      <w:r>
        <w:t>.</w:t>
      </w:r>
      <w:r>
        <w:tab/>
        <w:t>False or misleading statements</w:t>
      </w:r>
      <w:bookmarkEnd w:id="1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in Gazette 14 Jun 2016 p. 1960</w:t>
      </w:r>
      <w:r>
        <w:noBreakHyphen/>
        <w:t>1.]</w:t>
      </w:r>
    </w:p>
    <w:p>
      <w:pPr>
        <w:pStyle w:val="Heading5"/>
      </w:pPr>
      <w:bookmarkStart w:id="15" w:name="_Toc531874541"/>
      <w:r>
        <w:rPr>
          <w:rStyle w:val="CharSectno"/>
        </w:rPr>
        <w:t>8C</w:t>
      </w:r>
      <w:r>
        <w:t>.</w:t>
      </w:r>
      <w:r>
        <w:tab/>
        <w:t>Refunds</w:t>
      </w:r>
      <w:bookmarkEnd w:id="15"/>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in Gazette 14 Jun 2016 p. 1961.]</w:t>
      </w:r>
    </w:p>
    <w:p>
      <w:pPr>
        <w:pStyle w:val="Heading5"/>
      </w:pPr>
      <w:bookmarkStart w:id="16" w:name="_Toc531874542"/>
      <w:r>
        <w:rPr>
          <w:rStyle w:val="CharSectno"/>
        </w:rPr>
        <w:t>8D</w:t>
      </w:r>
      <w:r>
        <w:t>.</w:t>
      </w:r>
      <w:r>
        <w:tab/>
        <w:t>Waiving fee for copy of document or transcript</w:t>
      </w:r>
      <w:bookmarkEnd w:id="16"/>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in Gazette 14 Jun 2016 p. 1961</w:t>
      </w:r>
      <w:r>
        <w:noBreakHyphen/>
        <w:t>2.]</w:t>
      </w:r>
    </w:p>
    <w:p>
      <w:pPr>
        <w:pStyle w:val="Heading5"/>
      </w:pPr>
      <w:bookmarkStart w:id="17" w:name="_Toc531874543"/>
      <w:r>
        <w:rPr>
          <w:rStyle w:val="CharSectno"/>
        </w:rPr>
        <w:t>9</w:t>
      </w:r>
      <w:r>
        <w:t>.</w:t>
      </w:r>
      <w:r>
        <w:tab/>
        <w:t>Allocation of hearing date — Schedule 1 Division 1 item 5</w:t>
      </w:r>
      <w:bookmarkEnd w:id="17"/>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 14 Jun 2016 p. 1962; 19 Sep 2017 p. 4886.]</w:t>
      </w:r>
    </w:p>
    <w:p>
      <w:pPr>
        <w:pStyle w:val="Heading5"/>
      </w:pPr>
      <w:bookmarkStart w:id="18" w:name="_Toc531874544"/>
      <w:r>
        <w:rPr>
          <w:rStyle w:val="CharSectno"/>
        </w:rPr>
        <w:t>9A</w:t>
      </w:r>
      <w:r>
        <w:t>.</w:t>
      </w:r>
      <w:r>
        <w:tab/>
        <w:t>Court of Appeal allocation of hearing date — Schedule 1 Division 2 item 6</w:t>
      </w:r>
      <w:bookmarkEnd w:id="18"/>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 14 Jun 2016 p. 1962</w:t>
      </w:r>
      <w:r>
        <w:noBreakHyphen/>
        <w:t>3.]</w:t>
      </w:r>
    </w:p>
    <w:p>
      <w:pPr>
        <w:pStyle w:val="Heading5"/>
        <w:spacing w:before="180"/>
      </w:pPr>
      <w:bookmarkStart w:id="19" w:name="_Toc531874545"/>
      <w:r>
        <w:rPr>
          <w:rStyle w:val="CharSectno"/>
        </w:rPr>
        <w:t>10</w:t>
      </w:r>
      <w:r>
        <w:t>.</w:t>
      </w:r>
      <w:r>
        <w:tab/>
        <w:t>Schedule 1 Division 1 item 6 or Division 2 item 7 fee</w:t>
      </w:r>
      <w:bookmarkEnd w:id="19"/>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in Gazette 23 Jun 2005 p. 2695; 4 Sep 2009 p. 3462; 14 Jun 2016 p. 1963</w:t>
      </w:r>
      <w:r>
        <w:noBreakHyphen/>
        <w:t>4.]</w:t>
      </w:r>
    </w:p>
    <w:p>
      <w:pPr>
        <w:pStyle w:val="Heading5"/>
      </w:pPr>
      <w:bookmarkStart w:id="20" w:name="_Toc531874546"/>
      <w:r>
        <w:rPr>
          <w:rStyle w:val="CharSectno"/>
        </w:rPr>
        <w:t>11</w:t>
      </w:r>
      <w:r>
        <w:t>.</w:t>
      </w:r>
      <w:r>
        <w:tab/>
        <w:t>Recovery of unpaid fees</w:t>
      </w:r>
      <w:bookmarkEnd w:id="20"/>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 w:name="_Toc531865500"/>
      <w:bookmarkStart w:id="22" w:name="_Toc531865726"/>
      <w:bookmarkStart w:id="23" w:name="_Toc531874547"/>
      <w:r>
        <w:rPr>
          <w:rStyle w:val="CharSchNo"/>
        </w:rPr>
        <w:t>Schedule 1</w:t>
      </w:r>
      <w:r>
        <w:t> — </w:t>
      </w:r>
      <w:r>
        <w:rPr>
          <w:rStyle w:val="CharSchText"/>
        </w:rPr>
        <w:t>Fees</w:t>
      </w:r>
      <w:bookmarkEnd w:id="21"/>
      <w:bookmarkEnd w:id="22"/>
      <w:bookmarkEnd w:id="23"/>
    </w:p>
    <w:p>
      <w:pPr>
        <w:pStyle w:val="yShoulderClause"/>
      </w:pPr>
      <w:r>
        <w:t>[r. 4 and 4A]</w:t>
      </w:r>
    </w:p>
    <w:p>
      <w:pPr>
        <w:pStyle w:val="yFootnoteheading"/>
      </w:pPr>
      <w:r>
        <w:tab/>
        <w:t>[Heading inserted in Gazette 15 Jun 2018 p. 2029.]</w:t>
      </w:r>
    </w:p>
    <w:p>
      <w:pPr>
        <w:pStyle w:val="yHeading3"/>
      </w:pPr>
      <w:bookmarkStart w:id="24" w:name="_Toc531865501"/>
      <w:bookmarkStart w:id="25" w:name="_Toc531865727"/>
      <w:bookmarkStart w:id="26" w:name="_Toc531874548"/>
      <w:r>
        <w:rPr>
          <w:rStyle w:val="CharSDivNo"/>
        </w:rPr>
        <w:t>Division 1</w:t>
      </w:r>
      <w:r>
        <w:rPr>
          <w:b w:val="0"/>
        </w:rPr>
        <w:t> — </w:t>
      </w:r>
      <w:r>
        <w:rPr>
          <w:rStyle w:val="CharSDivText"/>
        </w:rPr>
        <w:t>General Division fees</w:t>
      </w:r>
      <w:bookmarkEnd w:id="24"/>
      <w:bookmarkEnd w:id="25"/>
      <w:bookmarkEnd w:id="26"/>
    </w:p>
    <w:p>
      <w:pPr>
        <w:pStyle w:val="yFootnoteheading"/>
      </w:pPr>
      <w:r>
        <w:tab/>
        <w:t>[Heading inserted in Gazette 15 Jun 2018 p. 2029.]</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59"/>
        <w:gridCol w:w="1176"/>
      </w:tblGrid>
      <w:tr>
        <w:trPr>
          <w:cantSplit/>
          <w:tblHeader/>
        </w:trPr>
        <w:tc>
          <w:tcPr>
            <w:tcW w:w="700"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176"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t>$</w:t>
            </w:r>
          </w:p>
        </w:tc>
      </w:tr>
      <w:tr>
        <w:trPr>
          <w:cantSplit/>
        </w:trPr>
        <w:tc>
          <w:tcPr>
            <w:tcW w:w="700" w:type="dxa"/>
            <w:tcBorders>
              <w:top w:val="single" w:sz="4" w:space="0" w:color="auto"/>
              <w:left w:val="nil"/>
              <w:bottom w:val="nil"/>
              <w:right w:val="nil"/>
            </w:tcBorders>
          </w:tcPr>
          <w:p>
            <w:pPr>
              <w:pStyle w:val="yTableNAm"/>
            </w:pPr>
            <w:r>
              <w:rPr>
                <w:szCs w:val="22"/>
              </w:rPr>
              <w:t>1.</w:t>
            </w:r>
          </w:p>
        </w:tc>
        <w:tc>
          <w:tcPr>
            <w:tcW w:w="2562" w:type="dxa"/>
            <w:tcBorders>
              <w:top w:val="single" w:sz="4" w:space="0" w:color="auto"/>
              <w:left w:val="nil"/>
              <w:bottom w:val="nil"/>
              <w:right w:val="nil"/>
            </w:tcBorders>
          </w:tcPr>
          <w:p>
            <w:pPr>
              <w:pStyle w:val="yTableNAm"/>
            </w:pPr>
            <w:r>
              <w:rPr>
                <w:szCs w:val="22"/>
              </w:rPr>
              <w:t>On filing —</w:t>
            </w:r>
          </w:p>
          <w:p>
            <w:pPr>
              <w:pStyle w:val="yTableNAm"/>
              <w:ind w:left="526" w:hanging="526"/>
            </w:pPr>
            <w:r>
              <w:t>(a)</w:t>
            </w:r>
            <w:r>
              <w:tab/>
              <w:t>any originating process by which a cause, matter or other proceeding in the Court is commenced, other than proceedings of the kind referred to in item 2, 3 or 7</w:t>
            </w:r>
          </w:p>
        </w:tc>
        <w:tc>
          <w:tcPr>
            <w:tcW w:w="1260" w:type="dxa"/>
            <w:tcBorders>
              <w:top w:val="single" w:sz="4" w:space="0" w:color="auto"/>
              <w:left w:val="nil"/>
              <w:bottom w:val="nil"/>
              <w:right w:val="nil"/>
            </w:tcBorders>
          </w:tcPr>
          <w:p>
            <w:pPr>
              <w:pStyle w:val="yTableNAm"/>
            </w:pPr>
          </w:p>
          <w:p>
            <w:pPr>
              <w:pStyle w:val="yTableNAm"/>
            </w:pPr>
            <w:r>
              <w:br/>
            </w:r>
            <w:r>
              <w:br/>
            </w:r>
            <w:r>
              <w:br/>
            </w:r>
            <w:r>
              <w:br/>
            </w:r>
            <w:r>
              <w:br/>
            </w:r>
            <w:r>
              <w:br/>
            </w:r>
            <w:r>
              <w:br/>
            </w:r>
            <w:r>
              <w:br/>
              <w:t>1 318.00</w:t>
            </w:r>
          </w:p>
        </w:tc>
        <w:tc>
          <w:tcPr>
            <w:tcW w:w="1259" w:type="dxa"/>
            <w:tcBorders>
              <w:top w:val="single" w:sz="4" w:space="0" w:color="auto"/>
              <w:left w:val="nil"/>
              <w:bottom w:val="nil"/>
              <w:right w:val="nil"/>
            </w:tcBorders>
          </w:tcPr>
          <w:p>
            <w:pPr>
              <w:pStyle w:val="yTableNAm"/>
            </w:pPr>
          </w:p>
          <w:p>
            <w:pPr>
              <w:pStyle w:val="yTableNAm"/>
            </w:pPr>
            <w:r>
              <w:br/>
            </w:r>
            <w:r>
              <w:br/>
            </w:r>
            <w:r>
              <w:br/>
            </w:r>
            <w:r>
              <w:br/>
            </w:r>
            <w:r>
              <w:br/>
            </w:r>
            <w:r>
              <w:br/>
            </w:r>
            <w:r>
              <w:br/>
            </w:r>
            <w:r>
              <w:br/>
              <w:t>2 568.00</w:t>
            </w:r>
          </w:p>
        </w:tc>
        <w:tc>
          <w:tcPr>
            <w:tcW w:w="1176" w:type="dxa"/>
            <w:tcBorders>
              <w:top w:val="single" w:sz="4" w:space="0" w:color="auto"/>
              <w:left w:val="nil"/>
              <w:bottom w:val="nil"/>
              <w:right w:val="nil"/>
            </w:tcBorders>
          </w:tcPr>
          <w:p>
            <w:pPr>
              <w:pStyle w:val="yTableNAm"/>
            </w:pPr>
          </w:p>
          <w:p>
            <w:pPr>
              <w:pStyle w:val="yTableNAm"/>
            </w:pPr>
            <w:r>
              <w:br/>
            </w:r>
            <w:r>
              <w:br/>
            </w:r>
            <w:r>
              <w:br/>
            </w:r>
            <w:r>
              <w:br/>
            </w:r>
            <w:r>
              <w:br/>
            </w:r>
            <w:r>
              <w:br/>
            </w:r>
            <w:r>
              <w:br/>
            </w:r>
            <w: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a notice of appeal (</w:t>
            </w:r>
            <w:r>
              <w:t>whether</w:t>
            </w:r>
            <w:r>
              <w:rPr>
                <w:szCs w:val="22"/>
              </w:rPr>
              <w:t xml:space="preserve"> in draft form or not) </w:t>
            </w:r>
          </w:p>
        </w:tc>
        <w:tc>
          <w:tcPr>
            <w:tcW w:w="1260" w:type="dxa"/>
            <w:tcBorders>
              <w:top w:val="nil"/>
              <w:left w:val="nil"/>
              <w:bottom w:val="nil"/>
              <w:right w:val="nil"/>
            </w:tcBorders>
          </w:tcPr>
          <w:p>
            <w:pPr>
              <w:pStyle w:val="yTableNAm"/>
            </w:pP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On filing —</w:t>
            </w:r>
          </w:p>
          <w:p>
            <w:pPr>
              <w:pStyle w:val="yTableNAm"/>
            </w:pPr>
            <w:r>
              <w:t>(a)</w:t>
            </w:r>
            <w:r>
              <w:tab/>
              <w:t xml:space="preserve">a counterclaim </w:t>
            </w:r>
          </w:p>
        </w:tc>
        <w:tc>
          <w:tcPr>
            <w:tcW w:w="1260" w:type="dxa"/>
            <w:tcBorders>
              <w:top w:val="nil"/>
              <w:left w:val="nil"/>
              <w:bottom w:val="nil"/>
              <w:right w:val="nil"/>
            </w:tcBorders>
          </w:tcPr>
          <w:p>
            <w:pPr>
              <w:pStyle w:val="yTableNAm"/>
            </w:pPr>
          </w:p>
          <w:p>
            <w:pPr>
              <w:pStyle w:val="yTableNAm"/>
            </w:pPr>
            <w:r>
              <w:t>1 318.00</w:t>
            </w:r>
          </w:p>
        </w:tc>
        <w:tc>
          <w:tcPr>
            <w:tcW w:w="1259" w:type="dxa"/>
            <w:tcBorders>
              <w:top w:val="nil"/>
              <w:left w:val="nil"/>
              <w:bottom w:val="nil"/>
              <w:right w:val="nil"/>
            </w:tcBorders>
          </w:tcPr>
          <w:p>
            <w:pPr>
              <w:pStyle w:val="yTableNAm"/>
            </w:pPr>
          </w:p>
          <w:p>
            <w:pPr>
              <w:pStyle w:val="yTableNAm"/>
            </w:pPr>
            <w:r>
              <w:t>2 568.00</w:t>
            </w:r>
          </w:p>
        </w:tc>
        <w:tc>
          <w:tcPr>
            <w:tcW w:w="1176" w:type="dxa"/>
            <w:tcBorders>
              <w:top w:val="nil"/>
              <w:left w:val="nil"/>
              <w:bottom w:val="nil"/>
              <w:right w:val="nil"/>
            </w:tcBorders>
          </w:tcPr>
          <w:p>
            <w:pPr>
              <w:pStyle w:val="yTableNAm"/>
            </w:pPr>
          </w:p>
          <w:p>
            <w:pPr>
              <w:pStyle w:val="yTableNAm"/>
            </w:pPr>
            <w: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a third party notice or a </w:t>
            </w:r>
            <w:r>
              <w:t>notice</w:t>
            </w:r>
            <w:r>
              <w:rPr>
                <w:szCs w:val="22"/>
              </w:rPr>
              <w:t xml:space="preserve"> under the Rules O. 19 r. 8 </w:t>
            </w:r>
          </w:p>
        </w:tc>
        <w:tc>
          <w:tcPr>
            <w:tcW w:w="1260" w:type="dxa"/>
            <w:tcBorders>
              <w:top w:val="nil"/>
              <w:left w:val="nil"/>
              <w:bottom w:val="nil"/>
              <w:right w:val="nil"/>
            </w:tcBorders>
          </w:tcPr>
          <w:p>
            <w:pPr>
              <w:pStyle w:val="yTableNAm"/>
            </w:pP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(c)</w:t>
            </w:r>
            <w:r>
              <w:rPr>
                <w:szCs w:val="22"/>
              </w:rPr>
              <w:tab/>
              <w:t xml:space="preserve">an application — </w:t>
            </w:r>
          </w:p>
          <w:p>
            <w:pPr>
              <w:pStyle w:val="yTableNAm"/>
              <w:ind w:left="1093" w:hanging="1093"/>
            </w:pPr>
            <w:r>
              <w:tab/>
              <w:t>(i)</w:t>
            </w:r>
            <w:r>
              <w:tab/>
              <w:t>to extend a period of time fixed by law, including an application to extend time before proceedings are commenced</w:t>
            </w:r>
          </w:p>
        </w:tc>
        <w:tc>
          <w:tcPr>
            <w:tcW w:w="1260"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br/>
              <w:t>440.00</w:t>
            </w:r>
          </w:p>
        </w:tc>
        <w:tc>
          <w:tcPr>
            <w:tcW w:w="1259"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br/>
              <w:t>861.00</w:t>
            </w:r>
          </w:p>
        </w:tc>
        <w:tc>
          <w:tcPr>
            <w:tcW w:w="1176"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to limit a period of time within which proceedings may be taken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for leave to serve a writ or notice of a writ out of jurisdiction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(iv)</w:t>
            </w:r>
            <w:r>
              <w:rPr>
                <w:szCs w:val="22"/>
              </w:rPr>
              <w:tab/>
              <w:t xml:space="preserve">to swear to the death </w:t>
            </w:r>
            <w:r>
              <w:t>of</w:t>
            </w:r>
            <w:r>
              <w:rPr>
                <w:szCs w:val="22"/>
              </w:rPr>
              <w:t xml:space="preserve"> a person</w:t>
            </w:r>
          </w:p>
        </w:tc>
        <w:tc>
          <w:tcPr>
            <w:tcW w:w="1260" w:type="dxa"/>
            <w:tcBorders>
              <w:top w:val="nil"/>
              <w:left w:val="nil"/>
              <w:bottom w:val="nil"/>
              <w:right w:val="nil"/>
            </w:tcBorders>
          </w:tcPr>
          <w:p>
            <w:pPr>
              <w:pStyle w:val="yTableNAm"/>
            </w:pP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(v)</w:t>
            </w:r>
            <w:r>
              <w:rPr>
                <w:szCs w:val="22"/>
              </w:rPr>
              <w:tab/>
              <w:t xml:space="preserve">for leave to </w:t>
            </w:r>
            <w:r>
              <w:t>appeal</w:t>
            </w:r>
          </w:p>
        </w:tc>
        <w:tc>
          <w:tcPr>
            <w:tcW w:w="1260" w:type="dxa"/>
            <w:tcBorders>
              <w:top w:val="nil"/>
              <w:left w:val="nil"/>
              <w:bottom w:val="nil"/>
              <w:right w:val="nil"/>
            </w:tcBorders>
          </w:tcPr>
          <w:p>
            <w:pPr>
              <w:pStyle w:val="yTableNAm"/>
            </w:pPr>
            <w:r>
              <w:rPr>
                <w:szCs w:val="22"/>
              </w:rPr>
              <w:br/>
              <w:t>440.00</w:t>
            </w:r>
          </w:p>
        </w:tc>
        <w:tc>
          <w:tcPr>
            <w:tcW w:w="1259" w:type="dxa"/>
            <w:tcBorders>
              <w:top w:val="nil"/>
              <w:left w:val="nil"/>
              <w:bottom w:val="nil"/>
              <w:right w:val="nil"/>
            </w:tcBorders>
          </w:tcPr>
          <w:p>
            <w:pPr>
              <w:pStyle w:val="yTableNAm"/>
            </w:pPr>
            <w:r>
              <w:rPr>
                <w:szCs w:val="22"/>
              </w:rPr>
              <w:br/>
              <w:t>861.00</w:t>
            </w:r>
          </w:p>
        </w:tc>
        <w:tc>
          <w:tcPr>
            <w:tcW w:w="1176" w:type="dxa"/>
            <w:tcBorders>
              <w:top w:val="nil"/>
              <w:left w:val="nil"/>
              <w:bottom w:val="nil"/>
              <w:right w:val="nil"/>
            </w:tcBorders>
          </w:tcPr>
          <w:p>
            <w:pPr>
              <w:pStyle w:val="yTableNAm"/>
            </w:pPr>
            <w:r>
              <w:rPr>
                <w:szCs w:val="22"/>
              </w:rPr>
              <w:br/>
              <w:t>100.00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1093" w:hanging="1093"/>
            </w:pPr>
            <w:r>
              <w:rPr>
                <w:szCs w:val="22"/>
              </w:rPr>
              <w:tab/>
              <w:t>(vi)</w:t>
            </w:r>
            <w:r>
              <w:rPr>
                <w:szCs w:val="22"/>
              </w:rPr>
              <w:tab/>
              <w:t xml:space="preserve">for leave to issue a </w:t>
            </w:r>
            <w:r>
              <w:t>subpoena</w:t>
            </w:r>
            <w:r>
              <w:rPr>
                <w:szCs w:val="22"/>
              </w:rPr>
              <w:t xml:space="preserve"> under the </w:t>
            </w:r>
            <w:r>
              <w:rPr>
                <w:i/>
                <w:szCs w:val="22"/>
              </w:rPr>
              <w:t>Commercial Arbitration Act 2012</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(vii)</w:t>
            </w:r>
            <w:r>
              <w:rPr>
                <w:szCs w:val="22"/>
              </w:rPr>
              <w:tab/>
              <w:t xml:space="preserve">in a pending cause or </w:t>
            </w:r>
            <w:r>
              <w:t>matter</w:t>
            </w:r>
            <w:r>
              <w:rPr>
                <w:szCs w:val="22"/>
              </w:rPr>
              <w:t xml:space="preserve"> in admiralty whether by summons or motion, other than an application by the Marshal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any other application for which no fee has been provided in this Division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in item 2(c)(vi) is payable only once on the first application in an arbitration.</w:t>
            </w:r>
          </w:p>
        </w:tc>
      </w:tr>
      <w:tr>
        <w:trPr>
          <w:cantSplit/>
        </w:trPr>
        <w:tc>
          <w:tcPr>
            <w:tcW w:w="700"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Commencing an appeal to which the Rules O. 60A r. 4 applies </w:t>
            </w:r>
          </w:p>
        </w:tc>
        <w:tc>
          <w:tcPr>
            <w:tcW w:w="1260" w:type="dxa"/>
            <w:tcBorders>
              <w:top w:val="nil"/>
              <w:left w:val="nil"/>
              <w:bottom w:val="nil"/>
              <w:right w:val="nil"/>
            </w:tcBorders>
          </w:tcPr>
          <w:p>
            <w:pPr>
              <w:pStyle w:val="yTableNAm"/>
            </w:pPr>
            <w:r>
              <w:rPr>
                <w:szCs w:val="22"/>
              </w:rPr>
              <w:br/>
            </w:r>
            <w:r>
              <w:rPr>
                <w:szCs w:val="22"/>
              </w:rPr>
              <w:br/>
              <w:t>878.00</w:t>
            </w:r>
          </w:p>
        </w:tc>
        <w:tc>
          <w:tcPr>
            <w:tcW w:w="1259" w:type="dxa"/>
            <w:tcBorders>
              <w:top w:val="nil"/>
              <w:left w:val="nil"/>
              <w:bottom w:val="nil"/>
              <w:right w:val="nil"/>
            </w:tcBorders>
          </w:tcPr>
          <w:p>
            <w:pPr>
              <w:pStyle w:val="yTableNAm"/>
            </w:pPr>
            <w:r>
              <w:rPr>
                <w:szCs w:val="22"/>
              </w:rPr>
              <w:br/>
            </w:r>
            <w:r>
              <w:rPr>
                <w:szCs w:val="22"/>
              </w:rPr>
              <w:br/>
              <w:t>1 720.00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pPr>
            <w:r>
              <w:rPr>
                <w:szCs w:val="22"/>
              </w:rPr>
              <w:t xml:space="preserve">Entry for hearing a cause or matter or notice of an appointment to hear an originating summons </w:t>
            </w:r>
          </w:p>
        </w:tc>
        <w:tc>
          <w:tcPr>
            <w:tcW w:w="1260" w:type="dxa"/>
            <w:tcBorders>
              <w:top w:val="nil"/>
              <w:left w:val="nil"/>
              <w:bottom w:val="nil"/>
              <w:right w:val="nil"/>
            </w:tcBorders>
          </w:tcPr>
          <w:p>
            <w:pPr>
              <w:pStyle w:val="yTableNAm"/>
            </w:pPr>
            <w:r>
              <w:rPr>
                <w:szCs w:val="22"/>
              </w:rPr>
              <w:br/>
            </w: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 xml:space="preserve">Allocation of hearing date </w:t>
            </w:r>
          </w:p>
        </w:tc>
        <w:tc>
          <w:tcPr>
            <w:tcW w:w="1260" w:type="dxa"/>
            <w:tcBorders>
              <w:top w:val="nil"/>
              <w:left w:val="nil"/>
              <w:bottom w:val="nil"/>
              <w:right w:val="nil"/>
            </w:tcBorders>
          </w:tcPr>
          <w:p>
            <w:pPr>
              <w:pStyle w:val="yTableNAm"/>
            </w:pPr>
            <w:r>
              <w:rPr>
                <w:szCs w:val="22"/>
              </w:rPr>
              <w:t>883.00 for each day allocated</w:t>
            </w:r>
          </w:p>
        </w:tc>
        <w:tc>
          <w:tcPr>
            <w:tcW w:w="1259" w:type="dxa"/>
            <w:tcBorders>
              <w:top w:val="nil"/>
              <w:left w:val="nil"/>
              <w:bottom w:val="nil"/>
              <w:right w:val="nil"/>
            </w:tcBorders>
          </w:tcPr>
          <w:p>
            <w:pPr>
              <w:pStyle w:val="yTableNAm"/>
            </w:pPr>
            <w:r>
              <w:rPr>
                <w:szCs w:val="22"/>
              </w:rPr>
              <w:t>2 291.00 for each day allocated</w:t>
            </w:r>
          </w:p>
        </w:tc>
        <w:tc>
          <w:tcPr>
            <w:tcW w:w="1176" w:type="dxa"/>
            <w:tcBorders>
              <w:top w:val="nil"/>
              <w:left w:val="nil"/>
              <w:bottom w:val="nil"/>
              <w:right w:val="nil"/>
            </w:tcBorders>
          </w:tcPr>
          <w:p>
            <w:pPr>
              <w:pStyle w:val="yTableNAm"/>
            </w:pPr>
            <w:r>
              <w:rPr>
                <w:szCs w:val="22"/>
              </w:rPr>
              <w:t>100.00</w:t>
            </w:r>
          </w:p>
        </w:tc>
      </w:tr>
      <w:tr>
        <w:trPr>
          <w:cantSplit/>
        </w:trPr>
        <w:tc>
          <w:tcPr>
            <w:tcW w:w="700" w:type="dxa"/>
            <w:tcBorders>
              <w:top w:val="nil"/>
              <w:left w:val="nil"/>
              <w:bottom w:val="nil"/>
              <w:right w:val="nil"/>
            </w:tcBorders>
          </w:tcPr>
          <w:p>
            <w:pPr>
              <w:pStyle w:val="zyTableNAm"/>
              <w:spacing w:before="60"/>
              <w:ind w:right="34"/>
              <w:rPr>
                <w:rFonts w:ascii="Arial" w:hAnsi="Arial" w:cs="Arial"/>
                <w:sz w:val="18"/>
                <w:szCs w:val="18"/>
              </w:rPr>
            </w:pPr>
          </w:p>
        </w:tc>
        <w:tc>
          <w:tcPr>
            <w:tcW w:w="2562"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t xml:space="preserve">Note: </w:t>
            </w:r>
          </w:p>
          <w:p>
            <w:pPr>
              <w:pStyle w:val="yTableNAm"/>
              <w:rPr>
                <w:rFonts w:ascii="Arial" w:hAnsi="Arial" w:cs="Arial"/>
                <w:sz w:val="18"/>
                <w:szCs w:val="18"/>
              </w:rPr>
            </w:pPr>
            <w:r>
              <w:rPr>
                <w:rFonts w:ascii="Arial" w:hAnsi="Arial" w:cs="Arial"/>
                <w:sz w:val="18"/>
                <w:szCs w:val="18"/>
              </w:rPr>
              <w:t>See regulation 9.</w:t>
            </w:r>
          </w:p>
        </w:tc>
        <w:tc>
          <w:tcPr>
            <w:tcW w:w="1260" w:type="dxa"/>
            <w:tcBorders>
              <w:top w:val="nil"/>
              <w:left w:val="nil"/>
              <w:bottom w:val="nil"/>
              <w:right w:val="nil"/>
            </w:tcBorders>
          </w:tcPr>
          <w:p>
            <w:pPr>
              <w:pStyle w:val="zyTableNAm"/>
              <w:spacing w:before="60"/>
              <w:ind w:right="34"/>
              <w:rPr>
                <w:rFonts w:ascii="Arial" w:hAnsi="Arial" w:cs="Arial"/>
                <w:sz w:val="18"/>
                <w:szCs w:val="18"/>
              </w:rPr>
            </w:pPr>
          </w:p>
        </w:tc>
        <w:tc>
          <w:tcPr>
            <w:tcW w:w="1259" w:type="dxa"/>
            <w:tcBorders>
              <w:top w:val="nil"/>
              <w:left w:val="nil"/>
              <w:bottom w:val="nil"/>
              <w:right w:val="nil"/>
            </w:tcBorders>
          </w:tcPr>
          <w:p>
            <w:pPr>
              <w:pStyle w:val="zyTableNAm"/>
              <w:spacing w:before="60"/>
              <w:ind w:right="34"/>
              <w:rPr>
                <w:rFonts w:ascii="Arial" w:hAnsi="Arial" w:cs="Arial"/>
                <w:sz w:val="18"/>
                <w:szCs w:val="18"/>
              </w:rPr>
            </w:pPr>
          </w:p>
        </w:tc>
        <w:tc>
          <w:tcPr>
            <w:tcW w:w="1176" w:type="dxa"/>
            <w:tcBorders>
              <w:top w:val="nil"/>
              <w:left w:val="nil"/>
              <w:bottom w:val="nil"/>
              <w:right w:val="nil"/>
            </w:tcBorders>
          </w:tcPr>
          <w:p>
            <w:pPr>
              <w:pStyle w:val="yTableNAm"/>
              <w:rPr>
                <w:rFonts w:ascii="Arial" w:hAnsi="Arial" w:cs="Arial"/>
                <w:sz w:val="18"/>
                <w:szCs w:val="18"/>
              </w:rPr>
            </w:pPr>
          </w:p>
        </w:tc>
      </w:tr>
      <w:tr>
        <w:trPr>
          <w:cantSplit/>
        </w:trPr>
        <w:tc>
          <w:tcPr>
            <w:tcW w:w="700"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Daily hearing fee before a Court constituted by a master or 1 or more judges </w:t>
            </w:r>
          </w:p>
        </w:tc>
        <w:tc>
          <w:tcPr>
            <w:tcW w:w="1260" w:type="dxa"/>
            <w:tcBorders>
              <w:top w:val="nil"/>
              <w:left w:val="nil"/>
              <w:bottom w:val="nil"/>
              <w:right w:val="nil"/>
            </w:tcBorders>
          </w:tcPr>
          <w:p>
            <w:pPr>
              <w:pStyle w:val="yTableNAm"/>
            </w:pPr>
            <w:r>
              <w:rPr>
                <w:szCs w:val="22"/>
              </w:rPr>
              <w:br/>
            </w:r>
            <w:r>
              <w:rPr>
                <w:szCs w:val="22"/>
              </w:rPr>
              <w:br/>
            </w:r>
            <w:r>
              <w:rPr>
                <w:szCs w:val="22"/>
              </w:rPr>
              <w:br/>
              <w:t>883.00</w:t>
            </w:r>
          </w:p>
        </w:tc>
        <w:tc>
          <w:tcPr>
            <w:tcW w:w="1259" w:type="dxa"/>
            <w:tcBorders>
              <w:top w:val="nil"/>
              <w:left w:val="nil"/>
              <w:bottom w:val="nil"/>
              <w:right w:val="nil"/>
            </w:tcBorders>
          </w:tcPr>
          <w:p>
            <w:pPr>
              <w:pStyle w:val="yTableNAm"/>
            </w:pPr>
            <w:r>
              <w:rPr>
                <w:szCs w:val="22"/>
              </w:rPr>
              <w:br/>
            </w:r>
            <w:r>
              <w:rPr>
                <w:szCs w:val="22"/>
              </w:rPr>
              <w:br/>
            </w:r>
            <w:r>
              <w:rPr>
                <w:szCs w:val="22"/>
              </w:rPr>
              <w:br/>
              <w:t>2 291.00</w:t>
            </w:r>
          </w:p>
        </w:tc>
        <w:tc>
          <w:tcPr>
            <w:tcW w:w="1176" w:type="dxa"/>
            <w:tcBorders>
              <w:top w:val="nil"/>
              <w:left w:val="nil"/>
              <w:bottom w:val="nil"/>
              <w:right w:val="nil"/>
            </w:tcBorders>
          </w:tcPr>
          <w:p>
            <w:pPr>
              <w:pStyle w:val="yTableNAm"/>
            </w:pPr>
            <w:r>
              <w:rPr>
                <w:szCs w:val="22"/>
              </w:rPr>
              <w:br/>
            </w:r>
            <w:r>
              <w:rPr>
                <w:szCs w:val="22"/>
              </w:rPr>
              <w:br/>
            </w:r>
            <w:r>
              <w:rPr>
                <w:szCs w:val="22"/>
              </w:rPr>
              <w:br/>
              <w:t>0.00</w:t>
            </w:r>
          </w:p>
        </w:tc>
      </w:tr>
      <w:tr>
        <w:trPr>
          <w:cantSplit/>
          <w:trHeight w:val="530"/>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No fee is payable if the proceedings are of an interlocutory nature.</w:t>
            </w:r>
          </w:p>
        </w:tc>
      </w:tr>
      <w:tr>
        <w:trPr>
          <w:cantSplit/>
          <w:trHeight w:val="978"/>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is to be paid in respect of any number of hearing days (or part days) greater than the number of hearing days for which a fee has been paid under item 5.</w:t>
            </w:r>
          </w:p>
        </w:tc>
      </w:tr>
      <w:tr>
        <w:trPr>
          <w:cantSplit/>
          <w:trHeight w:val="720"/>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731"/>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7.</w:t>
            </w:r>
          </w:p>
        </w:tc>
        <w:tc>
          <w:tcPr>
            <w:tcW w:w="2562" w:type="dxa"/>
            <w:tcBorders>
              <w:top w:val="nil"/>
              <w:left w:val="nil"/>
              <w:bottom w:val="nil"/>
              <w:right w:val="nil"/>
            </w:tcBorders>
          </w:tcPr>
          <w:p>
            <w:pPr>
              <w:pStyle w:val="yTableNAm"/>
              <w:ind w:left="526" w:hanging="526"/>
            </w:pPr>
            <w:r>
              <w:rPr>
                <w:szCs w:val="22"/>
              </w:rPr>
              <w:t>(a)</w:t>
            </w:r>
            <w:r>
              <w:rPr>
                <w:szCs w:val="22"/>
              </w:rPr>
              <w:tab/>
              <w:t xml:space="preserve">On filing before a judge, </w:t>
            </w:r>
            <w:r>
              <w:t>master</w:t>
            </w:r>
            <w:r>
              <w:rPr>
                <w:szCs w:val="22"/>
              </w:rPr>
              <w:t xml:space="preserve"> or registrar in chambers — </w:t>
            </w:r>
          </w:p>
          <w:p>
            <w:pPr>
              <w:pStyle w:val="yTableNAm"/>
              <w:ind w:left="1093" w:hanging="1093"/>
            </w:pPr>
            <w:r>
              <w:tab/>
              <w:t>(i)</w:t>
            </w:r>
            <w:r>
              <w:tab/>
              <w:t>an interlocutory application or summons returnable</w:t>
            </w:r>
          </w:p>
        </w:tc>
        <w:tc>
          <w:tcPr>
            <w:tcW w:w="1260"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310.00</w:t>
            </w:r>
          </w:p>
        </w:tc>
        <w:tc>
          <w:tcPr>
            <w:tcW w:w="1259"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602.00</w:t>
            </w:r>
          </w:p>
        </w:tc>
        <w:tc>
          <w:tcPr>
            <w:tcW w:w="1176"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an </w:t>
            </w:r>
            <w:r>
              <w:t>application</w:t>
            </w:r>
            <w:r>
              <w:rPr>
                <w:szCs w:val="22"/>
              </w:rPr>
              <w:t xml:space="preserve"> for assessment of damages</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an application for summary </w:t>
            </w:r>
            <w:r>
              <w:t>judgment</w:t>
            </w:r>
          </w:p>
        </w:tc>
        <w:tc>
          <w:tcPr>
            <w:tcW w:w="1260" w:type="dxa"/>
            <w:tcBorders>
              <w:top w:val="nil"/>
              <w:left w:val="nil"/>
              <w:bottom w:val="nil"/>
              <w:right w:val="nil"/>
            </w:tcBorders>
          </w:tcPr>
          <w:p>
            <w:pPr>
              <w:pStyle w:val="yTableNAm"/>
            </w:pP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t>93.00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an appointment before a judge, master or registrar — </w:t>
            </w:r>
          </w:p>
        </w:tc>
        <w:tc>
          <w:tcPr>
            <w:tcW w:w="1260" w:type="dxa"/>
            <w:tcBorders>
              <w:top w:val="nil"/>
              <w:left w:val="nil"/>
              <w:bottom w:val="nil"/>
              <w:right w:val="nil"/>
            </w:tcBorders>
          </w:tcPr>
          <w:p>
            <w:pPr>
              <w:pStyle w:val="zyTableNAm"/>
              <w:keepNext/>
              <w:spacing w:before="60"/>
              <w:ind w:right="34"/>
              <w:jc w:val="right"/>
              <w:rPr>
                <w:szCs w:val="22"/>
              </w:rPr>
            </w:pPr>
          </w:p>
        </w:tc>
        <w:tc>
          <w:tcPr>
            <w:tcW w:w="1259" w:type="dxa"/>
            <w:tcBorders>
              <w:top w:val="nil"/>
              <w:left w:val="nil"/>
              <w:bottom w:val="nil"/>
              <w:right w:val="nil"/>
            </w:tcBorders>
          </w:tcPr>
          <w:p>
            <w:pPr>
              <w:pStyle w:val="zyTableNAm"/>
              <w:keepNext/>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on a </w:t>
            </w:r>
            <w:r>
              <w:t>reference</w:t>
            </w:r>
            <w:r>
              <w:rPr>
                <w:szCs w:val="22"/>
              </w:rPr>
              <w:t xml:space="preserve"> for inquiry and report</w:t>
            </w:r>
          </w:p>
        </w:tc>
        <w:tc>
          <w:tcPr>
            <w:tcW w:w="1260" w:type="dxa"/>
            <w:tcBorders>
              <w:top w:val="nil"/>
              <w:left w:val="nil"/>
              <w:bottom w:val="nil"/>
              <w:right w:val="nil"/>
            </w:tcBorders>
          </w:tcPr>
          <w:p>
            <w:pPr>
              <w:pStyle w:val="yTableNAm"/>
            </w:pP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to pass </w:t>
            </w:r>
            <w:r>
              <w:t>accounts</w:t>
            </w:r>
          </w:p>
        </w:tc>
        <w:tc>
          <w:tcPr>
            <w:tcW w:w="1260" w:type="dxa"/>
            <w:tcBorders>
              <w:top w:val="nil"/>
              <w:left w:val="nil"/>
              <w:bottom w:val="nil"/>
              <w:right w:val="nil"/>
            </w:tcBorders>
          </w:tcPr>
          <w:p>
            <w:pPr>
              <w:pStyle w:val="yTableNAm"/>
            </w:pPr>
            <w:r>
              <w:rPr>
                <w:szCs w:val="22"/>
              </w:rPr>
              <w:br/>
              <w:t>310.00</w:t>
            </w:r>
          </w:p>
        </w:tc>
        <w:tc>
          <w:tcPr>
            <w:tcW w:w="1259" w:type="dxa"/>
            <w:tcBorders>
              <w:top w:val="nil"/>
              <w:left w:val="nil"/>
              <w:bottom w:val="nil"/>
              <w:right w:val="nil"/>
            </w:tcBorders>
          </w:tcPr>
          <w:p>
            <w:pPr>
              <w:pStyle w:val="yTableNAm"/>
            </w:pPr>
            <w:r>
              <w:rPr>
                <w:szCs w:val="22"/>
              </w:rPr>
              <w:br/>
              <w:t>602.00</w:t>
            </w:r>
          </w:p>
        </w:tc>
        <w:tc>
          <w:tcPr>
            <w:tcW w:w="1176" w:type="dxa"/>
            <w:tcBorders>
              <w:top w:val="nil"/>
              <w:left w:val="nil"/>
              <w:bottom w:val="nil"/>
              <w:right w:val="nil"/>
            </w:tcBorders>
          </w:tcPr>
          <w:p>
            <w:pPr>
              <w:pStyle w:val="yTableNAm"/>
            </w:pP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to settle the index </w:t>
            </w:r>
            <w:r>
              <w:t>of</w:t>
            </w:r>
            <w:r>
              <w:rPr>
                <w:szCs w:val="22"/>
              </w:rPr>
              <w:t xml:space="preserve"> a transcript for use upon the hearing of an appeal</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(iv)</w:t>
            </w:r>
            <w:r>
              <w:rPr>
                <w:szCs w:val="22"/>
              </w:rPr>
              <w:tab/>
              <w:t xml:space="preserve">on a reference </w:t>
            </w:r>
            <w:r>
              <w:t>to</w:t>
            </w:r>
            <w:r>
              <w:rPr>
                <w:szCs w:val="22"/>
              </w:rPr>
              <w:t xml:space="preserve"> a registrar in admiralty proceedings</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On an appointment before a judge, master or registrar for mediation </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0.00</w:t>
            </w:r>
          </w:p>
        </w:tc>
      </w:tr>
      <w:tr>
        <w:trPr>
          <w:cantSplit/>
          <w:trHeight w:val="802"/>
        </w:trPr>
        <w:tc>
          <w:tcPr>
            <w:tcW w:w="700"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br w:type="page"/>
            </w: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If the registrar is assisted by 1 or more assessors, the daily fee is payable for each assessor if the registrar considers that to be reasonable.</w:t>
            </w:r>
          </w:p>
        </w:tc>
      </w:tr>
      <w:tr>
        <w:trPr>
          <w:cantSplit/>
          <w:trHeight w:val="774"/>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cantSplit/>
          <w:trHeight w:val="734"/>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fee includes the first day of the hearing of the application or summons and includes any adjournment of the hearing.</w:t>
            </w:r>
          </w:p>
        </w:tc>
      </w:tr>
      <w:tr>
        <w:trPr>
          <w:cantSplit/>
          <w:trHeight w:val="592"/>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fee is payable in respect of an application for liberty to apply to relist.</w:t>
            </w:r>
          </w:p>
        </w:tc>
      </w:tr>
      <w:tr>
        <w:trPr>
          <w:cantSplit/>
        </w:trPr>
        <w:tc>
          <w:tcPr>
            <w:tcW w:w="700"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top w:val="nil"/>
              <w:left w:val="nil"/>
              <w:bottom w:val="nil"/>
              <w:right w:val="nil"/>
            </w:tcBorders>
          </w:tcPr>
          <w:p>
            <w:pPr>
              <w:pStyle w:val="zyTableNAm"/>
              <w:spacing w:before="60"/>
              <w:ind w:right="34"/>
              <w:jc w:val="right"/>
              <w:rPr>
                <w:szCs w:val="22"/>
              </w:rPr>
            </w:pPr>
          </w:p>
        </w:tc>
        <w:tc>
          <w:tcPr>
            <w:tcW w:w="1259" w:type="dxa"/>
            <w:tcBorders>
              <w:top w:val="nil"/>
              <w:left w:val="nil"/>
              <w:bottom w:val="nil"/>
              <w:right w:val="nil"/>
            </w:tcBorders>
          </w:tcPr>
          <w:p>
            <w:pPr>
              <w:pStyle w:val="zyTableNAm"/>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pPr>
            <w:r>
              <w:rPr>
                <w:szCs w:val="22"/>
              </w:rPr>
              <w:t>On filing a bill of costs for taxation in a cause or matter or under the</w:t>
            </w:r>
            <w:r>
              <w:rPr>
                <w:i/>
                <w:szCs w:val="22"/>
              </w:rPr>
              <w:t xml:space="preserve"> Commercial Arbitration Act 2012</w:t>
            </w:r>
            <w:r>
              <w:rPr>
                <w:szCs w:val="22"/>
              </w:rPr>
              <w:t>, or on filing an application for an assessment of a bill of costs under the</w:t>
            </w:r>
            <w:r>
              <w:rPr>
                <w:i/>
                <w:szCs w:val="22"/>
              </w:rPr>
              <w:t xml:space="preserve"> Legal Profession Act 2008</w:t>
            </w:r>
            <w:r>
              <w:rPr>
                <w:szCs w:val="22"/>
              </w:rPr>
              <w:t> —</w:t>
            </w:r>
          </w:p>
        </w:tc>
        <w:tc>
          <w:tcPr>
            <w:tcW w:w="1260" w:type="dxa"/>
            <w:tcBorders>
              <w:top w:val="nil"/>
              <w:left w:val="nil"/>
              <w:bottom w:val="nil"/>
              <w:right w:val="nil"/>
            </w:tcBorders>
          </w:tcPr>
          <w:p>
            <w:pPr>
              <w:pStyle w:val="zyTableNAm"/>
              <w:spacing w:before="60"/>
              <w:ind w:right="34"/>
              <w:jc w:val="right"/>
              <w:rPr>
                <w:szCs w:val="22"/>
              </w:rPr>
            </w:pPr>
          </w:p>
        </w:tc>
        <w:tc>
          <w:tcPr>
            <w:tcW w:w="1259" w:type="dxa"/>
            <w:tcBorders>
              <w:top w:val="nil"/>
              <w:left w:val="nil"/>
              <w:bottom w:val="nil"/>
              <w:right w:val="nil"/>
            </w:tcBorders>
          </w:tcPr>
          <w:p>
            <w:pPr>
              <w:pStyle w:val="zyTableNAm"/>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(a)</w:t>
            </w:r>
            <w:r>
              <w:rPr>
                <w:szCs w:val="22"/>
              </w:rPr>
              <w:tab/>
              <w:t xml:space="preserve">lodgment fee </w:t>
            </w:r>
          </w:p>
        </w:tc>
        <w:tc>
          <w:tcPr>
            <w:tcW w:w="1260" w:type="dxa"/>
            <w:tcBorders>
              <w:top w:val="nil"/>
              <w:left w:val="nil"/>
              <w:bottom w:val="nil"/>
              <w:right w:val="nil"/>
            </w:tcBorders>
          </w:tcPr>
          <w:p>
            <w:pPr>
              <w:pStyle w:val="yTableNAm"/>
            </w:pPr>
            <w:r>
              <w:rPr>
                <w:szCs w:val="22"/>
              </w:rPr>
              <w:t>428.00</w:t>
            </w:r>
          </w:p>
        </w:tc>
        <w:tc>
          <w:tcPr>
            <w:tcW w:w="1259" w:type="dxa"/>
            <w:tcBorders>
              <w:top w:val="nil"/>
              <w:left w:val="nil"/>
              <w:bottom w:val="nil"/>
              <w:right w:val="nil"/>
            </w:tcBorders>
          </w:tcPr>
          <w:p>
            <w:pPr>
              <w:pStyle w:val="yTableNAm"/>
            </w:pPr>
            <w:r>
              <w:rPr>
                <w:szCs w:val="22"/>
              </w:rPr>
              <w:t>830.00</w:t>
            </w:r>
          </w:p>
        </w:tc>
        <w:tc>
          <w:tcPr>
            <w:tcW w:w="1176" w:type="dxa"/>
            <w:tcBorders>
              <w:top w:val="nil"/>
              <w:left w:val="nil"/>
              <w:bottom w:val="nil"/>
              <w:right w:val="nil"/>
            </w:tcBorders>
          </w:tcPr>
          <w:p>
            <w:pPr>
              <w:pStyle w:val="yTableNAm"/>
            </w:pPr>
            <w:r>
              <w:rPr>
                <w:szCs w:val="22"/>
              </w:rPr>
              <w:t>100.00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the setting of an appointment to tax a bill of costs, an additional fee at the rate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2.5%</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2.5%</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0.0%</w:t>
            </w:r>
          </w:p>
        </w:tc>
      </w:tr>
      <w:tr>
        <w:trPr>
          <w:cantSplit/>
          <w:trHeight w:val="584"/>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 rate is to be applied to the amount at which the bill is drawn.</w:t>
            </w:r>
          </w:p>
        </w:tc>
      </w:tr>
      <w:tr>
        <w:trPr>
          <w:cantSplit/>
          <w:trHeight w:val="992"/>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taxing officer must allow against the person chargeable with the costs as taxed, taxing fees at the rate prescribed in item 9(b) of the amount found due on taxation.</w:t>
            </w:r>
          </w:p>
        </w:tc>
      </w:tr>
      <w:tr>
        <w:trPr>
          <w:cantSplit/>
          <w:trHeight w:val="2747"/>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 xml:space="preserve">If the parties agree on the bill of costs in a cause or matter or under the </w:t>
            </w:r>
            <w:r>
              <w:rPr>
                <w:rFonts w:ascii="Arial" w:hAnsi="Arial" w:cs="Arial"/>
                <w:i/>
                <w:sz w:val="18"/>
                <w:szCs w:val="18"/>
              </w:rPr>
              <w:t>Legal Profession Act 2008</w:t>
            </w:r>
            <w:r>
              <w:rPr>
                <w:rFonts w:ascii="Arial" w:hAnsi="Arial" w:cs="Arial"/>
                <w:sz w:val="18"/>
                <w:szCs w:val="18"/>
              </w:rPr>
              <w:t xml:space="preserve"> or the Commercial Arbitration Act 2012 and the appointment is cancelled, the following percentage of the fee paid is to be refunded — </w:t>
            </w:r>
          </w:p>
          <w:p>
            <w:pPr>
              <w:pStyle w:val="yTableNAm"/>
              <w:ind w:left="526" w:hanging="5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ind w:left="526" w:hanging="5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ind w:left="526" w:hanging="5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rPr>
          <w:cantSplit/>
        </w:trPr>
        <w:tc>
          <w:tcPr>
            <w:tcW w:w="700" w:type="dxa"/>
            <w:tcBorders>
              <w:top w:val="nil"/>
              <w:left w:val="nil"/>
              <w:bottom w:val="nil"/>
              <w:right w:val="nil"/>
            </w:tcBorders>
          </w:tcPr>
          <w:p>
            <w:pPr>
              <w:pStyle w:val="yTableNAm"/>
            </w:pPr>
            <w:r>
              <w:rPr>
                <w:szCs w:val="22"/>
              </w:rPr>
              <w:t>10.</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the proceeding</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13.35</w:t>
            </w:r>
          </w:p>
        </w:tc>
      </w:tr>
      <w:tr>
        <w:trPr>
          <w:cantSplit/>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$2.00.</w:t>
            </w:r>
          </w:p>
        </w:tc>
      </w:tr>
      <w:tr>
        <w:trPr>
          <w:cantSplit/>
        </w:trPr>
        <w:tc>
          <w:tcPr>
            <w:tcW w:w="700" w:type="dxa"/>
            <w:tcBorders>
              <w:top w:val="nil"/>
              <w:left w:val="nil"/>
              <w:bottom w:val="nil"/>
              <w:right w:val="nil"/>
            </w:tcBorders>
          </w:tcPr>
          <w:p>
            <w:pPr>
              <w:pStyle w:val="yTableNAm"/>
            </w:pPr>
            <w:r>
              <w:rPr>
                <w:szCs w:val="22"/>
              </w:rPr>
              <w:t>11.</w:t>
            </w:r>
          </w:p>
        </w:tc>
        <w:tc>
          <w:tcPr>
            <w:tcW w:w="2562" w:type="dxa"/>
            <w:tcBorders>
              <w:top w:val="nil"/>
              <w:left w:val="nil"/>
              <w:bottom w:val="nil"/>
              <w:right w:val="nil"/>
            </w:tcBorders>
          </w:tcPr>
          <w:p>
            <w:pPr>
              <w:pStyle w:val="yTableNAm"/>
              <w:ind w:left="526" w:hanging="526"/>
            </w:pPr>
            <w:r>
              <w:rPr>
                <w:szCs w:val="22"/>
              </w:rPr>
              <w:t>(a)</w:t>
            </w:r>
            <w:r>
              <w:rPr>
                <w:szCs w:val="22"/>
              </w:rPr>
              <w:tab/>
              <w:t xml:space="preserve">On an application for the production of records or documents that </w:t>
            </w:r>
            <w:r>
              <w:t>are</w:t>
            </w:r>
            <w:r>
              <w:rPr>
                <w:szCs w:val="22"/>
              </w:rPr>
              <w:t xml:space="preserve"> required to be produced to any court, tribunal, arbitrator or umpire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65.50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65.50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19.60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If an officer is required to attend at any court or place out of the Supreme Court building, the officer’s reasonable expenses and, in addition, for each hour or part of an hour when the officer is necessarily absent from the officer’s office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30.80</w:t>
            </w:r>
          </w:p>
        </w:tc>
      </w:tr>
      <w:tr>
        <w:trPr>
          <w:cantSplit/>
        </w:trPr>
        <w:tc>
          <w:tcPr>
            <w:tcW w:w="700" w:type="dxa"/>
            <w:tcBorders>
              <w:top w:val="nil"/>
              <w:left w:val="nil"/>
              <w:bottom w:val="nil"/>
              <w:right w:val="nil"/>
            </w:tcBorders>
          </w:tcPr>
          <w:p>
            <w:pPr>
              <w:pStyle w:val="yTableNAm"/>
            </w:pPr>
            <w:r>
              <w:rPr>
                <w:szCs w:val="22"/>
              </w:rPr>
              <w:t>12.</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document of any kind or an exhibit, including </w:t>
            </w:r>
            <w:r>
              <w:t>marking</w:t>
            </w:r>
            <w:r>
              <w:rPr>
                <w:szCs w:val="22"/>
              </w:rPr>
              <w:t xml:space="preserve"> as an office copy if required, for each page or part of a page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1.85</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1.85</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0.55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For a copy of reasons for judgment —</w:t>
            </w:r>
          </w:p>
          <w:p>
            <w:pPr>
              <w:pStyle w:val="yTableNAm"/>
              <w:ind w:left="1093" w:hanging="1093"/>
            </w:pPr>
            <w:r>
              <w:tab/>
              <w:t>(i)</w:t>
            </w:r>
            <w:r>
              <w:tab/>
              <w:t xml:space="preserve">for each copy issued to a person not a party to the proceedings and for each copy in excess of 1 copy issued to a party to the proceedings </w:t>
            </w:r>
          </w:p>
        </w:tc>
        <w:tc>
          <w:tcPr>
            <w:tcW w:w="1260"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15.50</w:t>
            </w:r>
          </w:p>
        </w:tc>
        <w:tc>
          <w:tcPr>
            <w:tcW w:w="1259"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15.50</w:t>
            </w:r>
          </w:p>
        </w:tc>
        <w:tc>
          <w:tcPr>
            <w:tcW w:w="1176"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4.55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for each copy consisting of 10 or more pages an additional fee per page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0.60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For certifying under seal that a document is a true </w:t>
            </w:r>
            <w:r>
              <w:t>copy</w:t>
            </w:r>
            <w:r>
              <w:rPr>
                <w:szCs w:val="22"/>
              </w:rPr>
              <w:t xml:space="preserve">,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21.40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21.40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6.45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For a certificate under </w:t>
            </w:r>
            <w:r>
              <w:t>the</w:t>
            </w:r>
            <w:r>
              <w:rPr>
                <w:szCs w:val="22"/>
              </w:rPr>
              <w:t xml:space="preserve"> hand of a registrar </w:t>
            </w:r>
          </w:p>
        </w:tc>
        <w:tc>
          <w:tcPr>
            <w:tcW w:w="1260" w:type="dxa"/>
            <w:tcBorders>
              <w:top w:val="nil"/>
              <w:left w:val="nil"/>
              <w:bottom w:val="nil"/>
              <w:right w:val="nil"/>
            </w:tcBorders>
          </w:tcPr>
          <w:p>
            <w:pPr>
              <w:pStyle w:val="yTableNAm"/>
            </w:pPr>
            <w:r>
              <w:rPr>
                <w:szCs w:val="22"/>
              </w:rPr>
              <w:br/>
            </w:r>
            <w:r>
              <w:rPr>
                <w:szCs w:val="22"/>
              </w:rPr>
              <w:br/>
              <w:t>39.20</w:t>
            </w:r>
          </w:p>
        </w:tc>
        <w:tc>
          <w:tcPr>
            <w:tcW w:w="1259" w:type="dxa"/>
            <w:tcBorders>
              <w:top w:val="nil"/>
              <w:left w:val="nil"/>
              <w:bottom w:val="nil"/>
              <w:right w:val="nil"/>
            </w:tcBorders>
          </w:tcPr>
          <w:p>
            <w:pPr>
              <w:pStyle w:val="yTableNAm"/>
            </w:pPr>
            <w:r>
              <w:rPr>
                <w:szCs w:val="22"/>
              </w:rPr>
              <w:br/>
            </w:r>
            <w:r>
              <w:rPr>
                <w:szCs w:val="22"/>
              </w:rPr>
              <w:br/>
              <w:t>39.20</w:t>
            </w:r>
          </w:p>
        </w:tc>
        <w:tc>
          <w:tcPr>
            <w:tcW w:w="1176" w:type="dxa"/>
            <w:tcBorders>
              <w:top w:val="nil"/>
              <w:left w:val="nil"/>
              <w:bottom w:val="nil"/>
              <w:right w:val="nil"/>
            </w:tcBorders>
          </w:tcPr>
          <w:p>
            <w:pPr>
              <w:pStyle w:val="yTableNAm"/>
            </w:pPr>
            <w:r>
              <w:rPr>
                <w:szCs w:val="22"/>
              </w:rPr>
              <w:br/>
            </w:r>
            <w:r>
              <w:rPr>
                <w:szCs w:val="22"/>
              </w:rPr>
              <w:br/>
              <w:t>11.80</w:t>
            </w:r>
          </w:p>
        </w:tc>
      </w:tr>
      <w:tr>
        <w:trPr>
          <w:cantSplit/>
        </w:trPr>
        <w:tc>
          <w:tcPr>
            <w:tcW w:w="700" w:type="dxa"/>
            <w:tcBorders>
              <w:top w:val="nil"/>
              <w:left w:val="nil"/>
              <w:bottom w:val="nil"/>
              <w:right w:val="nil"/>
            </w:tcBorders>
          </w:tcPr>
          <w:p>
            <w:pPr>
              <w:pStyle w:val="zyTableNAm"/>
              <w:spacing w:before="60"/>
              <w:jc w:val="center"/>
              <w:rPr>
                <w:szCs w:val="22"/>
              </w:rPr>
            </w:pPr>
          </w:p>
        </w:tc>
        <w:tc>
          <w:tcPr>
            <w:tcW w:w="2562" w:type="dxa"/>
            <w:tcBorders>
              <w:top w:val="nil"/>
              <w:left w:val="nil"/>
              <w:bottom w:val="nil"/>
              <w:right w:val="nil"/>
            </w:tcBorders>
          </w:tcPr>
          <w:p>
            <w:pPr>
              <w:pStyle w:val="yTableNAm"/>
              <w:ind w:left="526" w:hanging="526"/>
            </w:pPr>
            <w:r>
              <w:rPr>
                <w:szCs w:val="22"/>
              </w:rPr>
              <w:t>(e)</w:t>
            </w:r>
            <w:r>
              <w:rPr>
                <w:szCs w:val="22"/>
              </w:rPr>
              <w:tab/>
              <w:t xml:space="preserve">For sealing a warrant of arrest release, commission for the </w:t>
            </w:r>
            <w:r>
              <w:t>appraisement</w:t>
            </w:r>
            <w:r>
              <w:rPr>
                <w:szCs w:val="22"/>
              </w:rPr>
              <w:t xml:space="preserve"> or sale of property or for the appraisement or sale in admiralty proceedings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87.50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87.50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26.20</w:t>
            </w:r>
          </w:p>
        </w:tc>
      </w:tr>
      <w:tr>
        <w:trPr>
          <w:cantSplit/>
        </w:trPr>
        <w:tc>
          <w:tcPr>
            <w:tcW w:w="700" w:type="dxa"/>
            <w:tcBorders>
              <w:top w:val="nil"/>
              <w:left w:val="nil"/>
              <w:bottom w:val="nil"/>
              <w:right w:val="nil"/>
            </w:tcBorders>
          </w:tcPr>
          <w:p>
            <w:pPr>
              <w:pStyle w:val="yTableNAm"/>
            </w:pPr>
            <w:r>
              <w:rPr>
                <w:szCs w:val="22"/>
              </w:rPr>
              <w:t>13.</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transcript, or part of a </w:t>
            </w:r>
            <w:r>
              <w:t>transcript</w:t>
            </w:r>
            <w:r>
              <w:rPr>
                <w:szCs w:val="22"/>
              </w:rPr>
              <w:t xml:space="preserve"> — </w:t>
            </w:r>
          </w:p>
        </w:tc>
        <w:tc>
          <w:tcPr>
            <w:tcW w:w="1260" w:type="dxa"/>
            <w:tcBorders>
              <w:top w:val="nil"/>
              <w:left w:val="nil"/>
              <w:bottom w:val="nil"/>
              <w:right w:val="nil"/>
            </w:tcBorders>
          </w:tcPr>
          <w:p>
            <w:pPr>
              <w:pStyle w:val="zyTableNAm"/>
              <w:keepNext/>
              <w:tabs>
                <w:tab w:val="clear" w:pos="567"/>
              </w:tabs>
              <w:spacing w:before="60"/>
              <w:ind w:right="206"/>
              <w:jc w:val="right"/>
              <w:rPr>
                <w:szCs w:val="22"/>
              </w:rPr>
            </w:pPr>
          </w:p>
        </w:tc>
        <w:tc>
          <w:tcPr>
            <w:tcW w:w="1259" w:type="dxa"/>
            <w:tcBorders>
              <w:top w:val="nil"/>
              <w:left w:val="nil"/>
              <w:bottom w:val="nil"/>
              <w:right w:val="nil"/>
            </w:tcBorders>
          </w:tcPr>
          <w:p>
            <w:pPr>
              <w:pStyle w:val="zyTableNAm"/>
              <w:keepNext/>
              <w:tabs>
                <w:tab w:val="clear" w:pos="567"/>
              </w:tabs>
              <w:spacing w:before="60"/>
              <w:ind w:right="203"/>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provided within </w:t>
            </w:r>
            <w:r>
              <w:t>1</w:t>
            </w:r>
            <w:r>
              <w:rPr>
                <w:szCs w:val="22"/>
              </w:rPr>
              <w:t xml:space="preserve"> day after the day on which the fee is paid </w:t>
            </w:r>
          </w:p>
        </w:tc>
        <w:tc>
          <w:tcPr>
            <w:tcW w:w="1260" w:type="dxa"/>
            <w:tcBorders>
              <w:top w:val="nil"/>
              <w:left w:val="nil"/>
              <w:bottom w:val="nil"/>
              <w:right w:val="nil"/>
            </w:tcBorders>
          </w:tcPr>
          <w:p>
            <w:pPr>
              <w:pStyle w:val="yTableNAm"/>
            </w:pPr>
            <w:r>
              <w:rPr>
                <w:szCs w:val="22"/>
              </w:rPr>
              <w:t>20.50 plus 8.45 per page</w:t>
            </w:r>
          </w:p>
        </w:tc>
        <w:tc>
          <w:tcPr>
            <w:tcW w:w="1259" w:type="dxa"/>
            <w:tcBorders>
              <w:top w:val="nil"/>
              <w:left w:val="nil"/>
              <w:bottom w:val="nil"/>
              <w:right w:val="nil"/>
            </w:tcBorders>
          </w:tcPr>
          <w:p>
            <w:pPr>
              <w:pStyle w:val="yTableNAm"/>
            </w:pPr>
            <w:r>
              <w:rPr>
                <w:szCs w:val="22"/>
              </w:rPr>
              <w:t>20.50 plus 16.90 per page</w:t>
            </w:r>
          </w:p>
        </w:tc>
        <w:tc>
          <w:tcPr>
            <w:tcW w:w="1176" w:type="dxa"/>
            <w:tcBorders>
              <w:top w:val="nil"/>
              <w:left w:val="nil"/>
              <w:bottom w:val="nil"/>
              <w:right w:val="nil"/>
            </w:tcBorders>
          </w:tcPr>
          <w:p>
            <w:pPr>
              <w:pStyle w:val="yTableNAm"/>
            </w:pPr>
            <w:r>
              <w:rPr>
                <w:szCs w:val="22"/>
              </w:rPr>
              <w:t xml:space="preserve">6.15 plus </w:t>
            </w:r>
            <w:r>
              <w:rPr>
                <w:szCs w:val="22"/>
              </w:rPr>
              <w:br/>
              <w:t>2.55 per page</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pPr>
            <w:r>
              <w:rPr>
                <w:szCs w:val="22"/>
              </w:rPr>
              <w:t>20.50 plus 7.30 per page</w:t>
            </w:r>
          </w:p>
        </w:tc>
        <w:tc>
          <w:tcPr>
            <w:tcW w:w="1259" w:type="dxa"/>
            <w:tcBorders>
              <w:top w:val="nil"/>
              <w:left w:val="nil"/>
              <w:bottom w:val="nil"/>
              <w:right w:val="nil"/>
            </w:tcBorders>
          </w:tcPr>
          <w:p>
            <w:pPr>
              <w:pStyle w:val="yTableNAm"/>
            </w:pPr>
            <w:r>
              <w:rPr>
                <w:szCs w:val="22"/>
              </w:rPr>
              <w:t xml:space="preserve">20.50 plus </w:t>
            </w:r>
            <w:r>
              <w:rPr>
                <w:szCs w:val="22"/>
              </w:rPr>
              <w:br/>
              <w:t>14.75 per page</w:t>
            </w:r>
          </w:p>
        </w:tc>
        <w:tc>
          <w:tcPr>
            <w:tcW w:w="1176" w:type="dxa"/>
            <w:tcBorders>
              <w:top w:val="nil"/>
              <w:left w:val="nil"/>
              <w:bottom w:val="nil"/>
              <w:right w:val="nil"/>
            </w:tcBorders>
          </w:tcPr>
          <w:p>
            <w:pPr>
              <w:pStyle w:val="yTableNAm"/>
            </w:pPr>
            <w:r>
              <w:rPr>
                <w:szCs w:val="22"/>
              </w:rPr>
              <w:t xml:space="preserve">6.15 plus </w:t>
            </w:r>
            <w:r>
              <w:rPr>
                <w:szCs w:val="22"/>
              </w:rPr>
              <w:br/>
              <w:t>2.20 per page</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provided </w:t>
            </w:r>
            <w:r>
              <w:t>within</w:t>
            </w:r>
            <w:r>
              <w:rPr>
                <w:szCs w:val="22"/>
              </w:rPr>
              <w:t xml:space="preserve"> 7 days after the day on which the fee is paid </w:t>
            </w:r>
          </w:p>
        </w:tc>
        <w:tc>
          <w:tcPr>
            <w:tcW w:w="1260" w:type="dxa"/>
            <w:tcBorders>
              <w:top w:val="nil"/>
              <w:left w:val="nil"/>
              <w:bottom w:val="nil"/>
              <w:right w:val="nil"/>
            </w:tcBorders>
          </w:tcPr>
          <w:p>
            <w:pPr>
              <w:pStyle w:val="yTableNAm"/>
            </w:pPr>
            <w:r>
              <w:rPr>
                <w:szCs w:val="22"/>
              </w:rPr>
              <w:t xml:space="preserve">20.50 plus </w:t>
            </w:r>
            <w:r>
              <w:rPr>
                <w:szCs w:val="22"/>
              </w:rPr>
              <w:br/>
              <w:t>7.05 per page</w:t>
            </w:r>
          </w:p>
        </w:tc>
        <w:tc>
          <w:tcPr>
            <w:tcW w:w="1259" w:type="dxa"/>
            <w:tcBorders>
              <w:top w:val="nil"/>
              <w:left w:val="nil"/>
              <w:bottom w:val="nil"/>
              <w:right w:val="nil"/>
            </w:tcBorders>
          </w:tcPr>
          <w:p>
            <w:pPr>
              <w:pStyle w:val="yTableNAm"/>
            </w:pPr>
            <w:r>
              <w:rPr>
                <w:szCs w:val="22"/>
              </w:rPr>
              <w:t>20.50 plus</w:t>
            </w:r>
            <w:r>
              <w:rPr>
                <w:szCs w:val="22"/>
              </w:rPr>
              <w:br/>
              <w:t>14.05 per page</w:t>
            </w:r>
          </w:p>
        </w:tc>
        <w:tc>
          <w:tcPr>
            <w:tcW w:w="1176" w:type="dxa"/>
            <w:tcBorders>
              <w:top w:val="nil"/>
              <w:left w:val="nil"/>
              <w:bottom w:val="nil"/>
              <w:right w:val="nil"/>
            </w:tcBorders>
          </w:tcPr>
          <w:p>
            <w:pPr>
              <w:pStyle w:val="yTableNAm"/>
            </w:pPr>
            <w:r>
              <w:rPr>
                <w:szCs w:val="22"/>
              </w:rPr>
              <w:t xml:space="preserve">6.15 plus </w:t>
            </w:r>
            <w:r>
              <w:rPr>
                <w:szCs w:val="22"/>
              </w:rPr>
              <w:br/>
              <w:t>2.15 per page</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an additional copy of the transcript, or part of </w:t>
            </w:r>
            <w:r>
              <w:t>the</w:t>
            </w:r>
            <w:r>
              <w:rPr>
                <w:szCs w:val="22"/>
              </w:rPr>
              <w:t xml:space="preserve"> transcript, provided under paragraph (a) — </w:t>
            </w:r>
          </w:p>
        </w:tc>
        <w:tc>
          <w:tcPr>
            <w:tcW w:w="1260" w:type="dxa"/>
            <w:tcBorders>
              <w:top w:val="nil"/>
              <w:left w:val="nil"/>
              <w:bottom w:val="nil"/>
              <w:right w:val="nil"/>
            </w:tcBorders>
          </w:tcPr>
          <w:p>
            <w:pPr>
              <w:pStyle w:val="zyTableNAm"/>
              <w:tabs>
                <w:tab w:val="clear" w:pos="567"/>
              </w:tabs>
              <w:spacing w:before="60"/>
              <w:ind w:right="206"/>
              <w:jc w:val="right"/>
              <w:rPr>
                <w:szCs w:val="22"/>
              </w:rPr>
            </w:pPr>
          </w:p>
        </w:tc>
        <w:tc>
          <w:tcPr>
            <w:tcW w:w="1259" w:type="dxa"/>
            <w:tcBorders>
              <w:top w:val="nil"/>
              <w:left w:val="nil"/>
              <w:bottom w:val="nil"/>
              <w:right w:val="nil"/>
            </w:tcBorders>
          </w:tcPr>
          <w:p>
            <w:pPr>
              <w:pStyle w:val="zyTableNAm"/>
              <w:tabs>
                <w:tab w:val="clear" w:pos="567"/>
              </w:tabs>
              <w:spacing w:before="60"/>
              <w:ind w:right="203"/>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in electronic </w:t>
            </w:r>
            <w:r>
              <w:t>format</w:t>
            </w:r>
          </w:p>
        </w:tc>
        <w:tc>
          <w:tcPr>
            <w:tcW w:w="1260" w:type="dxa"/>
            <w:tcBorders>
              <w:top w:val="nil"/>
              <w:left w:val="nil"/>
              <w:bottom w:val="nil"/>
              <w:right w:val="nil"/>
            </w:tcBorders>
          </w:tcPr>
          <w:p>
            <w:pPr>
              <w:pStyle w:val="yTableNAm"/>
            </w:pPr>
            <w:r>
              <w:rPr>
                <w:szCs w:val="22"/>
              </w:rPr>
              <w:t>21.40 per copy</w:t>
            </w:r>
          </w:p>
        </w:tc>
        <w:tc>
          <w:tcPr>
            <w:tcW w:w="1259" w:type="dxa"/>
            <w:tcBorders>
              <w:top w:val="nil"/>
              <w:left w:val="nil"/>
              <w:bottom w:val="nil"/>
              <w:right w:val="nil"/>
            </w:tcBorders>
          </w:tcPr>
          <w:p>
            <w:pPr>
              <w:pStyle w:val="yTableNAm"/>
            </w:pPr>
            <w:r>
              <w:rPr>
                <w:szCs w:val="22"/>
              </w:rPr>
              <w:t>21.40 per copy</w:t>
            </w:r>
          </w:p>
        </w:tc>
        <w:tc>
          <w:tcPr>
            <w:tcW w:w="1176" w:type="dxa"/>
            <w:tcBorders>
              <w:top w:val="nil"/>
              <w:left w:val="nil"/>
              <w:bottom w:val="nil"/>
              <w:right w:val="nil"/>
            </w:tcBorders>
          </w:tcPr>
          <w:p>
            <w:pPr>
              <w:pStyle w:val="yTableNAm"/>
            </w:pPr>
            <w:r>
              <w:rPr>
                <w:szCs w:val="22"/>
              </w:rPr>
              <w:t>6.45 per copy</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ab/>
              <w:t>(ii)</w:t>
            </w:r>
            <w:r>
              <w:rPr>
                <w:szCs w:val="22"/>
              </w:rPr>
              <w:tab/>
              <w:t xml:space="preserve">paper copy </w:t>
            </w:r>
          </w:p>
        </w:tc>
        <w:tc>
          <w:tcPr>
            <w:tcW w:w="1260" w:type="dxa"/>
            <w:tcBorders>
              <w:top w:val="nil"/>
              <w:left w:val="nil"/>
              <w:bottom w:val="nil"/>
              <w:right w:val="nil"/>
            </w:tcBorders>
          </w:tcPr>
          <w:p>
            <w:pPr>
              <w:pStyle w:val="yTableNAm"/>
            </w:pPr>
            <w:r>
              <w:rPr>
                <w:szCs w:val="22"/>
              </w:rPr>
              <w:t>2.10 per page</w:t>
            </w:r>
          </w:p>
        </w:tc>
        <w:tc>
          <w:tcPr>
            <w:tcW w:w="1259" w:type="dxa"/>
            <w:tcBorders>
              <w:top w:val="nil"/>
              <w:left w:val="nil"/>
              <w:bottom w:val="nil"/>
              <w:right w:val="nil"/>
            </w:tcBorders>
          </w:tcPr>
          <w:p>
            <w:pPr>
              <w:pStyle w:val="yTableNAm"/>
            </w:pPr>
            <w:r>
              <w:rPr>
                <w:szCs w:val="22"/>
              </w:rPr>
              <w:t>2.10 per page</w:t>
            </w:r>
          </w:p>
        </w:tc>
        <w:tc>
          <w:tcPr>
            <w:tcW w:w="1176" w:type="dxa"/>
            <w:tcBorders>
              <w:top w:val="nil"/>
              <w:left w:val="nil"/>
              <w:bottom w:val="nil"/>
              <w:right w:val="nil"/>
            </w:tcBorders>
          </w:tcPr>
          <w:p>
            <w:pPr>
              <w:pStyle w:val="yTableNAm"/>
            </w:pPr>
            <w:r>
              <w:rPr>
                <w:szCs w:val="22"/>
              </w:rPr>
              <w:t>0.60 per page</w:t>
            </w:r>
          </w:p>
        </w:tc>
      </w:tr>
      <w:tr>
        <w:trPr>
          <w:cantSplit/>
        </w:trPr>
        <w:tc>
          <w:tcPr>
            <w:tcW w:w="700" w:type="dxa"/>
            <w:tcBorders>
              <w:top w:val="nil"/>
              <w:left w:val="nil"/>
              <w:right w:val="nil"/>
            </w:tcBorders>
          </w:tcPr>
          <w:p>
            <w:pPr>
              <w:pStyle w:val="yTableNAm"/>
            </w:pPr>
            <w:r>
              <w:rPr>
                <w:szCs w:val="22"/>
              </w:rPr>
              <w:t>14.</w:t>
            </w:r>
          </w:p>
        </w:tc>
        <w:tc>
          <w:tcPr>
            <w:tcW w:w="2562" w:type="dxa"/>
            <w:tcBorders>
              <w:top w:val="nil"/>
              <w:left w:val="nil"/>
              <w:right w:val="nil"/>
            </w:tcBorders>
          </w:tcPr>
          <w:p>
            <w:pPr>
              <w:pStyle w:val="yTableNAm"/>
            </w:pPr>
            <w:r>
              <w:rPr>
                <w:szCs w:val="22"/>
              </w:rPr>
              <w:t xml:space="preserve">On filing an application for admission as a practitioner </w:t>
            </w:r>
          </w:p>
        </w:tc>
        <w:tc>
          <w:tcPr>
            <w:tcW w:w="1260" w:type="dxa"/>
            <w:tcBorders>
              <w:top w:val="nil"/>
              <w:left w:val="nil"/>
              <w:right w:val="nil"/>
            </w:tcBorders>
          </w:tcPr>
          <w:p>
            <w:pPr>
              <w:pStyle w:val="yTableNAm"/>
            </w:pPr>
            <w:r>
              <w:rPr>
                <w:szCs w:val="22"/>
              </w:rPr>
              <w:br/>
            </w:r>
            <w:r>
              <w:rPr>
                <w:szCs w:val="22"/>
              </w:rPr>
              <w:br/>
              <w:t>371.00</w:t>
            </w:r>
          </w:p>
        </w:tc>
        <w:tc>
          <w:tcPr>
            <w:tcW w:w="1259" w:type="dxa"/>
            <w:tcBorders>
              <w:top w:val="nil"/>
              <w:left w:val="nil"/>
              <w:right w:val="nil"/>
            </w:tcBorders>
            <w:vAlign w:val="center"/>
          </w:tcPr>
          <w:p>
            <w:pPr>
              <w:pStyle w:val="yTableNAm"/>
            </w:pPr>
            <w:r>
              <w:rPr>
                <w:szCs w:val="22"/>
              </w:rPr>
              <w:br/>
            </w:r>
            <w:r>
              <w:rPr>
                <w:szCs w:val="22"/>
              </w:rPr>
              <w:br/>
              <w:t>N/A</w:t>
            </w:r>
          </w:p>
        </w:tc>
        <w:tc>
          <w:tcPr>
            <w:tcW w:w="1176" w:type="dxa"/>
            <w:tcBorders>
              <w:top w:val="nil"/>
              <w:left w:val="nil"/>
              <w:right w:val="nil"/>
            </w:tcBorders>
          </w:tcPr>
          <w:p>
            <w:pPr>
              <w:pStyle w:val="yTableNAm"/>
            </w:pPr>
            <w:r>
              <w:rPr>
                <w:szCs w:val="22"/>
              </w:rPr>
              <w:br/>
            </w:r>
            <w:r>
              <w:rPr>
                <w:szCs w:val="22"/>
              </w:rPr>
              <w:br/>
              <w:t>N/A</w:t>
            </w:r>
          </w:p>
        </w:tc>
      </w:tr>
    </w:tbl>
    <w:p>
      <w:pPr>
        <w:pStyle w:val="yFootnotesection"/>
      </w:pPr>
      <w:r>
        <w:tab/>
        <w:t>[Division 1 inserted in Gazette 15 Jun 2018 p. 2029</w:t>
      </w:r>
      <w:r>
        <w:noBreakHyphen/>
        <w:t>40.]</w:t>
      </w:r>
    </w:p>
    <w:p>
      <w:pPr>
        <w:pStyle w:val="yHeading3"/>
      </w:pPr>
      <w:bookmarkStart w:id="27" w:name="_Toc531865502"/>
      <w:bookmarkStart w:id="28" w:name="_Toc531865728"/>
      <w:bookmarkStart w:id="29" w:name="_Toc531874549"/>
      <w:r>
        <w:rPr>
          <w:rStyle w:val="CharSDivNo"/>
        </w:rPr>
        <w:t>Division 2</w:t>
      </w:r>
      <w:r>
        <w:rPr>
          <w:b w:val="0"/>
        </w:rPr>
        <w:t> — </w:t>
      </w:r>
      <w:r>
        <w:rPr>
          <w:rStyle w:val="CharSDivText"/>
        </w:rPr>
        <w:t>Court of Appeal fees</w:t>
      </w:r>
      <w:bookmarkEnd w:id="27"/>
      <w:bookmarkEnd w:id="28"/>
      <w:bookmarkEnd w:id="29"/>
    </w:p>
    <w:p>
      <w:pPr>
        <w:pStyle w:val="yFootnoteheading"/>
      </w:pPr>
      <w:r>
        <w:tab/>
        <w:t>[Heading inserted in Gazette 15 Jun 2018 p. 2040.]</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562"/>
        <w:gridCol w:w="1246"/>
        <w:gridCol w:w="1220"/>
        <w:gridCol w:w="1229"/>
      </w:tblGrid>
      <w:tr>
        <w:trPr>
          <w:cantSplit/>
          <w:tblHeader/>
        </w:trPr>
        <w:tc>
          <w:tcPr>
            <w:tcW w:w="714"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46"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20"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14" w:type="dxa"/>
            <w:tcBorders>
              <w:left w:val="nil"/>
              <w:bottom w:val="nil"/>
              <w:right w:val="nil"/>
            </w:tcBorders>
          </w:tcPr>
          <w:p>
            <w:pPr>
              <w:pStyle w:val="yTableNAm"/>
            </w:pPr>
            <w:r>
              <w:rPr>
                <w:szCs w:val="22"/>
              </w:rPr>
              <w:t>1.</w:t>
            </w:r>
          </w:p>
        </w:tc>
        <w:tc>
          <w:tcPr>
            <w:tcW w:w="2562" w:type="dxa"/>
            <w:tcBorders>
              <w:left w:val="nil"/>
              <w:bottom w:val="nil"/>
              <w:right w:val="nil"/>
            </w:tcBorders>
          </w:tcPr>
          <w:p>
            <w:pPr>
              <w:pStyle w:val="yTableNAm"/>
            </w:pPr>
            <w:r>
              <w:rPr>
                <w:szCs w:val="22"/>
              </w:rPr>
              <w:t xml:space="preserve">On filing an appeal notice </w:t>
            </w:r>
          </w:p>
        </w:tc>
        <w:tc>
          <w:tcPr>
            <w:tcW w:w="1246" w:type="dxa"/>
            <w:tcBorders>
              <w:left w:val="nil"/>
              <w:bottom w:val="nil"/>
              <w:right w:val="nil"/>
            </w:tcBorders>
          </w:tcPr>
          <w:p>
            <w:pPr>
              <w:pStyle w:val="yTableNAm"/>
            </w:pPr>
            <w:r>
              <w:rPr>
                <w:szCs w:val="22"/>
              </w:rPr>
              <w:t>220.00</w:t>
            </w:r>
          </w:p>
        </w:tc>
        <w:tc>
          <w:tcPr>
            <w:tcW w:w="1220" w:type="dxa"/>
            <w:tcBorders>
              <w:left w:val="nil"/>
              <w:bottom w:val="nil"/>
              <w:right w:val="nil"/>
            </w:tcBorders>
          </w:tcPr>
          <w:p>
            <w:pPr>
              <w:pStyle w:val="yTableNAm"/>
            </w:pPr>
            <w:r>
              <w:rPr>
                <w:szCs w:val="22"/>
              </w:rPr>
              <w:t>570.00</w:t>
            </w:r>
          </w:p>
        </w:tc>
        <w:tc>
          <w:tcPr>
            <w:tcW w:w="1229" w:type="dxa"/>
            <w:tcBorders>
              <w:left w:val="nil"/>
              <w:bottom w:val="nil"/>
              <w:right w:val="nil"/>
            </w:tcBorders>
          </w:tcPr>
          <w:p>
            <w:pPr>
              <w:pStyle w:val="yTableNAm"/>
            </w:pPr>
            <w:r>
              <w:rPr>
                <w:szCs w:val="22"/>
              </w:rPr>
              <w:t>66.00</w:t>
            </w:r>
          </w:p>
        </w:tc>
      </w:tr>
      <w:tr>
        <w:trPr>
          <w:cantSplit/>
        </w:trPr>
        <w:tc>
          <w:tcPr>
            <w:tcW w:w="714"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 xml:space="preserve">On filing — </w:t>
            </w:r>
          </w:p>
          <w:p>
            <w:pPr>
              <w:pStyle w:val="yTableNAm"/>
            </w:pPr>
            <w:r>
              <w:t>(a)</w:t>
            </w:r>
            <w:r>
              <w:tab/>
              <w:t>Appellant’s case</w:t>
            </w:r>
          </w:p>
          <w:p>
            <w:pPr>
              <w:pStyle w:val="yTableNAm"/>
            </w:pPr>
            <w:r>
              <w:t>(b)</w:t>
            </w:r>
            <w:r>
              <w:tab/>
              <w:t>Respondent’s case</w:t>
            </w:r>
          </w:p>
        </w:tc>
        <w:tc>
          <w:tcPr>
            <w:tcW w:w="1246" w:type="dxa"/>
            <w:tcBorders>
              <w:top w:val="nil"/>
              <w:left w:val="nil"/>
              <w:bottom w:val="nil"/>
              <w:right w:val="nil"/>
            </w:tcBorders>
          </w:tcPr>
          <w:p>
            <w:pPr>
              <w:pStyle w:val="yTableNAm"/>
            </w:pPr>
          </w:p>
          <w:p>
            <w:pPr>
              <w:pStyle w:val="yTableNAm"/>
            </w:pPr>
            <w:r>
              <w:t>3 313.00</w:t>
            </w:r>
          </w:p>
          <w:p>
            <w:pPr>
              <w:pStyle w:val="yTableNAm"/>
            </w:pPr>
            <w:r>
              <w:t>3 313.00</w:t>
            </w:r>
          </w:p>
        </w:tc>
        <w:tc>
          <w:tcPr>
            <w:tcW w:w="1220" w:type="dxa"/>
            <w:tcBorders>
              <w:top w:val="nil"/>
              <w:left w:val="nil"/>
              <w:bottom w:val="nil"/>
              <w:right w:val="nil"/>
            </w:tcBorders>
          </w:tcPr>
          <w:p>
            <w:pPr>
              <w:pStyle w:val="yTableNAm"/>
            </w:pPr>
          </w:p>
          <w:p>
            <w:pPr>
              <w:pStyle w:val="yTableNAm"/>
            </w:pPr>
            <w:r>
              <w:t>8 609.00</w:t>
            </w:r>
          </w:p>
          <w:p>
            <w:pPr>
              <w:pStyle w:val="yTableNAm"/>
            </w:pPr>
            <w:r>
              <w:t>8 609.00</w:t>
            </w:r>
          </w:p>
        </w:tc>
        <w:tc>
          <w:tcPr>
            <w:tcW w:w="1229" w:type="dxa"/>
            <w:tcBorders>
              <w:top w:val="nil"/>
              <w:left w:val="nil"/>
              <w:bottom w:val="nil"/>
              <w:right w:val="nil"/>
            </w:tcBorders>
          </w:tcPr>
          <w:p>
            <w:pPr>
              <w:pStyle w:val="yTableNAm"/>
            </w:pPr>
          </w:p>
          <w:p>
            <w:pPr>
              <w:pStyle w:val="yTableNAm"/>
            </w:pPr>
            <w:r>
              <w:t>100.00</w:t>
            </w:r>
          </w:p>
          <w:p>
            <w:pPr>
              <w:pStyle w:val="yTableNAm"/>
            </w:pPr>
            <w:r>
              <w:t>100.00</w:t>
            </w:r>
          </w:p>
        </w:tc>
      </w:tr>
      <w:tr>
        <w:trPr>
          <w:cantSplit/>
        </w:trPr>
        <w:tc>
          <w:tcPr>
            <w:tcW w:w="714"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On filing an application to transfer an appeal from the District Court to the Court of Appeal under the </w:t>
            </w:r>
            <w:r>
              <w:rPr>
                <w:i/>
                <w:szCs w:val="22"/>
              </w:rPr>
              <w:t>Magistrates Court (Civil Proceedings) Act 2004</w:t>
            </w:r>
            <w:r>
              <w:rPr>
                <w:szCs w:val="22"/>
              </w:rPr>
              <w:t xml:space="preserve"> s. 41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440.00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861.00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100.00</w:t>
            </w:r>
          </w:p>
        </w:tc>
      </w:tr>
      <w:tr>
        <w:trPr>
          <w:cantSplit/>
        </w:trPr>
        <w:tc>
          <w:tcPr>
            <w:tcW w:w="714"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ind w:left="526" w:hanging="526"/>
            </w:pPr>
            <w:r>
              <w:rPr>
                <w:szCs w:val="22"/>
              </w:rPr>
              <w:t>(a)</w:t>
            </w:r>
            <w:r>
              <w:rPr>
                <w:szCs w:val="22"/>
              </w:rPr>
              <w:tab/>
              <w:t xml:space="preserve">On filing an application in an appeal for an interim order or to amend or cancel an interim order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93.00</w:t>
            </w:r>
          </w:p>
        </w:tc>
      </w:tr>
      <w:tr>
        <w:trPr>
          <w:cantSplit/>
        </w:trPr>
        <w:tc>
          <w:tcPr>
            <w:tcW w:w="714"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an appointment before a judge or registrar to settle the appeal book index </w:t>
            </w:r>
          </w:p>
        </w:tc>
        <w:tc>
          <w:tcPr>
            <w:tcW w:w="1246" w:type="dxa"/>
            <w:tcBorders>
              <w:top w:val="nil"/>
              <w:left w:val="nil"/>
              <w:bottom w:val="nil"/>
              <w:right w:val="nil"/>
            </w:tcBorders>
          </w:tcPr>
          <w:p>
            <w:pPr>
              <w:pStyle w:val="yTableNAm"/>
            </w:pPr>
            <w:r>
              <w:rPr>
                <w:szCs w:val="22"/>
              </w:rPr>
              <w:br/>
            </w: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On an appointment before a registrar for mediation </w:t>
            </w:r>
          </w:p>
        </w:tc>
        <w:tc>
          <w:tcPr>
            <w:tcW w:w="1246" w:type="dxa"/>
            <w:tcBorders>
              <w:top w:val="nil"/>
              <w:left w:val="nil"/>
              <w:bottom w:val="nil"/>
              <w:right w:val="nil"/>
            </w:tcBorders>
          </w:tcPr>
          <w:p>
            <w:pPr>
              <w:pStyle w:val="yTableNAm"/>
            </w:pP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t>0.00</w:t>
            </w:r>
          </w:p>
        </w:tc>
      </w:tr>
      <w:tr>
        <w:trPr>
          <w:cantSplit/>
          <w:trHeight w:val="802"/>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includes the first day of the hearing of the matter and any adjournment of the matter.</w:t>
            </w:r>
          </w:p>
        </w:tc>
      </w:tr>
      <w:tr>
        <w:trPr>
          <w:cantSplit/>
          <w:trHeight w:val="883"/>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If the hearing of a matter is listed for more than 1 day and proceeds for more than the number of days listed, the fee prescribed by this item is payable for each additional day or part of a day of a hearing.</w:t>
            </w:r>
          </w:p>
        </w:tc>
      </w:tr>
      <w:tr>
        <w:trPr>
          <w:cantSplit/>
          <w:trHeight w:val="76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Setting down fee</w:t>
            </w:r>
          </w:p>
        </w:tc>
        <w:tc>
          <w:tcPr>
            <w:tcW w:w="1246" w:type="dxa"/>
            <w:tcBorders>
              <w:top w:val="nil"/>
              <w:left w:val="nil"/>
              <w:bottom w:val="nil"/>
              <w:right w:val="nil"/>
            </w:tcBorders>
          </w:tcPr>
          <w:p>
            <w:pPr>
              <w:pStyle w:val="yTableNAm"/>
            </w:pPr>
            <w:r>
              <w:rPr>
                <w:szCs w:val="22"/>
              </w:rPr>
              <w:t>1 105.00</w:t>
            </w:r>
          </w:p>
        </w:tc>
        <w:tc>
          <w:tcPr>
            <w:tcW w:w="1220" w:type="dxa"/>
            <w:tcBorders>
              <w:top w:val="nil"/>
              <w:left w:val="nil"/>
              <w:bottom w:val="nil"/>
              <w:right w:val="nil"/>
            </w:tcBorders>
          </w:tcPr>
          <w:p>
            <w:pPr>
              <w:pStyle w:val="yTableNAm"/>
            </w:pPr>
            <w:r>
              <w:rPr>
                <w:szCs w:val="22"/>
              </w:rPr>
              <w:t>2 148.00</w:t>
            </w:r>
          </w:p>
        </w:tc>
        <w:tc>
          <w:tcPr>
            <w:tcW w:w="1229" w:type="dxa"/>
            <w:tcBorders>
              <w:top w:val="nil"/>
              <w:left w:val="nil"/>
              <w:bottom w:val="nil"/>
              <w:right w:val="nil"/>
            </w:tcBorders>
          </w:tcPr>
          <w:p>
            <w:pPr>
              <w:pStyle w:val="yTableNAm"/>
            </w:pPr>
            <w:r>
              <w:rPr>
                <w:szCs w:val="22"/>
              </w:rPr>
              <w:t>100.00</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payable when the appeal book is filed.</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includes the fee for the first day of hearing.</w:t>
            </w:r>
          </w:p>
        </w:tc>
      </w:tr>
      <w:tr>
        <w:trPr>
          <w:cantSplit/>
        </w:trPr>
        <w:tc>
          <w:tcPr>
            <w:tcW w:w="714"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Allocation of hearing date </w:t>
            </w:r>
          </w:p>
        </w:tc>
        <w:tc>
          <w:tcPr>
            <w:tcW w:w="1246" w:type="dxa"/>
            <w:tcBorders>
              <w:top w:val="nil"/>
              <w:left w:val="nil"/>
              <w:bottom w:val="nil"/>
              <w:right w:val="nil"/>
            </w:tcBorders>
          </w:tcPr>
          <w:p>
            <w:pPr>
              <w:pStyle w:val="yTableNAm"/>
            </w:pPr>
            <w:r>
              <w:rPr>
                <w:szCs w:val="22"/>
              </w:rPr>
              <w:t>883.00 for each day estimated</w:t>
            </w:r>
          </w:p>
        </w:tc>
        <w:tc>
          <w:tcPr>
            <w:tcW w:w="1220" w:type="dxa"/>
            <w:tcBorders>
              <w:top w:val="nil"/>
              <w:left w:val="nil"/>
              <w:bottom w:val="nil"/>
              <w:right w:val="nil"/>
            </w:tcBorders>
          </w:tcPr>
          <w:p>
            <w:pPr>
              <w:pStyle w:val="yTableNAm"/>
            </w:pPr>
            <w:r>
              <w:rPr>
                <w:szCs w:val="22"/>
              </w:rPr>
              <w:t>2 291.00 for each day estimated</w:t>
            </w:r>
          </w:p>
        </w:tc>
        <w:tc>
          <w:tcPr>
            <w:tcW w:w="1229" w:type="dxa"/>
            <w:tcBorders>
              <w:top w:val="nil"/>
              <w:left w:val="nil"/>
              <w:bottom w:val="nil"/>
              <w:right w:val="nil"/>
            </w:tcBorders>
          </w:tcPr>
          <w:p>
            <w:pPr>
              <w:pStyle w:val="yTableNAm"/>
            </w:pPr>
            <w:r>
              <w:rPr>
                <w:szCs w:val="22"/>
              </w:rPr>
              <w:t>0.00</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This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tcPr>
          <w:p>
            <w:pPr>
              <w:pStyle w:val="yTableNAm"/>
            </w:pPr>
            <w:r>
              <w:rPr>
                <w:szCs w:val="22"/>
              </w:rPr>
              <w:t>7.</w:t>
            </w:r>
          </w:p>
        </w:tc>
        <w:tc>
          <w:tcPr>
            <w:tcW w:w="2562" w:type="dxa"/>
            <w:tcBorders>
              <w:top w:val="nil"/>
              <w:left w:val="nil"/>
              <w:bottom w:val="nil"/>
              <w:right w:val="nil"/>
            </w:tcBorders>
          </w:tcPr>
          <w:p>
            <w:pPr>
              <w:pStyle w:val="yTableNAm"/>
            </w:pPr>
            <w:r>
              <w:rPr>
                <w:szCs w:val="22"/>
              </w:rPr>
              <w:t xml:space="preserve">Daily hearing fee </w:t>
            </w:r>
          </w:p>
        </w:tc>
        <w:tc>
          <w:tcPr>
            <w:tcW w:w="1246" w:type="dxa"/>
            <w:tcBorders>
              <w:top w:val="nil"/>
              <w:left w:val="nil"/>
              <w:bottom w:val="nil"/>
              <w:right w:val="nil"/>
            </w:tcBorders>
          </w:tcPr>
          <w:p>
            <w:pPr>
              <w:pStyle w:val="yTableNAm"/>
            </w:pPr>
            <w:r>
              <w:rPr>
                <w:szCs w:val="22"/>
              </w:rPr>
              <w:t>883.00</w:t>
            </w:r>
          </w:p>
        </w:tc>
        <w:tc>
          <w:tcPr>
            <w:tcW w:w="1220" w:type="dxa"/>
            <w:tcBorders>
              <w:top w:val="nil"/>
              <w:left w:val="nil"/>
              <w:bottom w:val="nil"/>
              <w:right w:val="nil"/>
            </w:tcBorders>
          </w:tcPr>
          <w:p>
            <w:pPr>
              <w:pStyle w:val="yTableNAm"/>
            </w:pPr>
            <w:r>
              <w:rPr>
                <w:szCs w:val="22"/>
              </w:rPr>
              <w:t>2 291.00</w:t>
            </w:r>
          </w:p>
        </w:tc>
        <w:tc>
          <w:tcPr>
            <w:tcW w:w="1229" w:type="dxa"/>
            <w:tcBorders>
              <w:top w:val="nil"/>
              <w:left w:val="nil"/>
              <w:bottom w:val="nil"/>
              <w:right w:val="nil"/>
            </w:tcBorders>
          </w:tcPr>
          <w:p>
            <w:pPr>
              <w:pStyle w:val="yTableNAm"/>
            </w:pPr>
            <w:r>
              <w:rPr>
                <w:szCs w:val="22"/>
              </w:rPr>
              <w:t>0.00</w:t>
            </w:r>
          </w:p>
        </w:tc>
      </w:tr>
      <w:tr>
        <w:trPr>
          <w:cantSplit/>
          <w:trHeight w:val="761"/>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in relation to an application for, or to amend or cancel, an interim order.</w:t>
            </w:r>
          </w:p>
        </w:tc>
      </w:tr>
      <w:tr>
        <w:trPr>
          <w:cantSplit/>
          <w:trHeight w:val="802"/>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is payable for each additional day or part day that a hearing proceeds beyond the number of days for which a fee has been paid.</w:t>
            </w:r>
          </w:p>
        </w:tc>
      </w:tr>
      <w:tr>
        <w:trPr>
          <w:cantSplit/>
          <w:trHeight w:val="74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71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14"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an appeal</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29" w:type="dxa"/>
            <w:tcBorders>
              <w:top w:val="nil"/>
              <w:left w:val="nil"/>
              <w:bottom w:val="nil"/>
              <w:right w:val="nil"/>
            </w:tcBorders>
          </w:tcPr>
          <w:p>
            <w:pPr>
              <w:pStyle w:val="yTableNAm"/>
              <w:rPr>
                <w:rStyle w:val="DraftersNotes"/>
                <w:sz w:val="22"/>
                <w:szCs w:val="22"/>
              </w:rPr>
            </w:pPr>
            <w:r>
              <w:rPr>
                <w:szCs w:val="22"/>
              </w:rPr>
              <w:br/>
            </w:r>
            <w:r>
              <w:rPr>
                <w:szCs w:val="22"/>
              </w:rPr>
              <w:br/>
            </w:r>
            <w:r>
              <w:rPr>
                <w:szCs w:val="22"/>
              </w:rPr>
              <w:br/>
            </w:r>
            <w:r>
              <w:rPr>
                <w:szCs w:val="22"/>
              </w:rPr>
              <w:br/>
              <w:t>13.35</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$2.00.</w:t>
            </w:r>
          </w:p>
        </w:tc>
      </w:tr>
      <w:tr>
        <w:trPr>
          <w:cantSplit/>
        </w:trPr>
        <w:tc>
          <w:tcPr>
            <w:tcW w:w="714"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document of any kind or </w:t>
            </w:r>
            <w:r>
              <w:t>an</w:t>
            </w:r>
            <w:r>
              <w:rPr>
                <w:szCs w:val="22"/>
              </w:rPr>
              <w:t xml:space="preserve"> exhibit, including marking as an office copy if required, for each page or part thereof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1.85</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1.85</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0.55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 copy of reasons for judgment — </w:t>
            </w:r>
          </w:p>
          <w:p>
            <w:pPr>
              <w:pStyle w:val="yTableNAm"/>
              <w:ind w:left="1093" w:hanging="1093"/>
            </w:pPr>
            <w:r>
              <w:tab/>
              <w:t>(i)</w:t>
            </w:r>
            <w:r>
              <w:tab/>
              <w:t xml:space="preserve">for each copy issued to a person not a party to the appeal and for each copy in excess of 1 copy issued to a party to the appeal </w:t>
            </w:r>
          </w:p>
        </w:tc>
        <w:tc>
          <w:tcPr>
            <w:tcW w:w="1246"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15.55</w:t>
            </w:r>
          </w:p>
        </w:tc>
        <w:tc>
          <w:tcPr>
            <w:tcW w:w="1220"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15.55</w:t>
            </w:r>
          </w:p>
        </w:tc>
        <w:tc>
          <w:tcPr>
            <w:tcW w:w="1229"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4.75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for each copy consisting of more than 10 </w:t>
            </w:r>
            <w:r>
              <w:t>pages</w:t>
            </w:r>
            <w:r>
              <w:rPr>
                <w:szCs w:val="22"/>
              </w:rPr>
              <w:t xml:space="preserve"> an additional fee per page of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0.60</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For certifying under seal that a document is a true copy, an additional fee of </w:t>
            </w:r>
          </w:p>
        </w:tc>
        <w:tc>
          <w:tcPr>
            <w:tcW w:w="1246" w:type="dxa"/>
            <w:tcBorders>
              <w:top w:val="nil"/>
              <w:left w:val="nil"/>
              <w:bottom w:val="nil"/>
              <w:right w:val="nil"/>
            </w:tcBorders>
          </w:tcPr>
          <w:p>
            <w:pPr>
              <w:pStyle w:val="yTableNAm"/>
            </w:pPr>
            <w:r>
              <w:rPr>
                <w:szCs w:val="22"/>
              </w:rPr>
              <w:br/>
            </w:r>
            <w:r>
              <w:rPr>
                <w:szCs w:val="22"/>
              </w:rPr>
              <w:br/>
            </w:r>
            <w:r>
              <w:rPr>
                <w:szCs w:val="22"/>
              </w:rPr>
              <w:br/>
              <w:t>21.40</w:t>
            </w:r>
          </w:p>
        </w:tc>
        <w:tc>
          <w:tcPr>
            <w:tcW w:w="1220" w:type="dxa"/>
            <w:tcBorders>
              <w:top w:val="nil"/>
              <w:left w:val="nil"/>
              <w:bottom w:val="nil"/>
              <w:right w:val="nil"/>
            </w:tcBorders>
          </w:tcPr>
          <w:p>
            <w:pPr>
              <w:pStyle w:val="yTableNAm"/>
            </w:pPr>
            <w:r>
              <w:rPr>
                <w:szCs w:val="22"/>
              </w:rPr>
              <w:br/>
            </w:r>
            <w:r>
              <w:rPr>
                <w:szCs w:val="22"/>
              </w:rPr>
              <w:br/>
            </w:r>
            <w:r>
              <w:rPr>
                <w:szCs w:val="22"/>
              </w:rPr>
              <w:br/>
              <w:t>21.40</w:t>
            </w:r>
          </w:p>
        </w:tc>
        <w:tc>
          <w:tcPr>
            <w:tcW w:w="1229" w:type="dxa"/>
            <w:tcBorders>
              <w:top w:val="nil"/>
              <w:left w:val="nil"/>
              <w:bottom w:val="nil"/>
              <w:right w:val="nil"/>
            </w:tcBorders>
          </w:tcPr>
          <w:p>
            <w:pPr>
              <w:pStyle w:val="yTableNAm"/>
            </w:pPr>
            <w:r>
              <w:rPr>
                <w:szCs w:val="22"/>
              </w:rPr>
              <w:br/>
            </w:r>
            <w:r>
              <w:rPr>
                <w:szCs w:val="22"/>
              </w:rPr>
              <w:br/>
            </w:r>
            <w:r>
              <w:rPr>
                <w:szCs w:val="22"/>
              </w:rPr>
              <w:br/>
              <w:t>6.45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For a certificate under the hand of a registrar </w:t>
            </w:r>
          </w:p>
        </w:tc>
        <w:tc>
          <w:tcPr>
            <w:tcW w:w="1246" w:type="dxa"/>
            <w:tcBorders>
              <w:top w:val="nil"/>
              <w:left w:val="nil"/>
              <w:bottom w:val="nil"/>
              <w:right w:val="nil"/>
            </w:tcBorders>
          </w:tcPr>
          <w:p>
            <w:pPr>
              <w:pStyle w:val="yTableNAm"/>
            </w:pPr>
            <w:r>
              <w:rPr>
                <w:szCs w:val="22"/>
              </w:rPr>
              <w:br/>
            </w:r>
            <w:r>
              <w:rPr>
                <w:szCs w:val="22"/>
              </w:rPr>
              <w:br/>
              <w:t>42.10</w:t>
            </w:r>
          </w:p>
        </w:tc>
        <w:tc>
          <w:tcPr>
            <w:tcW w:w="1220" w:type="dxa"/>
            <w:tcBorders>
              <w:top w:val="nil"/>
              <w:left w:val="nil"/>
              <w:bottom w:val="nil"/>
              <w:right w:val="nil"/>
            </w:tcBorders>
          </w:tcPr>
          <w:p>
            <w:pPr>
              <w:pStyle w:val="yTableNAm"/>
            </w:pPr>
            <w:r>
              <w:rPr>
                <w:szCs w:val="22"/>
              </w:rPr>
              <w:br/>
            </w:r>
            <w:r>
              <w:rPr>
                <w:szCs w:val="22"/>
              </w:rPr>
              <w:br/>
              <w:t>42.10</w:t>
            </w:r>
          </w:p>
        </w:tc>
        <w:tc>
          <w:tcPr>
            <w:tcW w:w="1229" w:type="dxa"/>
            <w:tcBorders>
              <w:top w:val="nil"/>
              <w:left w:val="nil"/>
              <w:bottom w:val="nil"/>
              <w:right w:val="nil"/>
            </w:tcBorders>
          </w:tcPr>
          <w:p>
            <w:pPr>
              <w:pStyle w:val="yTableNAm"/>
            </w:pPr>
            <w:r>
              <w:rPr>
                <w:szCs w:val="22"/>
              </w:rPr>
              <w:br/>
            </w:r>
            <w:r>
              <w:rPr>
                <w:szCs w:val="22"/>
              </w:rPr>
              <w:br/>
              <w:t>12.70</w:t>
            </w:r>
          </w:p>
        </w:tc>
      </w:tr>
      <w:tr>
        <w:trPr>
          <w:cantSplit/>
        </w:trPr>
        <w:tc>
          <w:tcPr>
            <w:tcW w:w="714" w:type="dxa"/>
            <w:tcBorders>
              <w:top w:val="nil"/>
              <w:left w:val="nil"/>
              <w:bottom w:val="nil"/>
              <w:right w:val="nil"/>
            </w:tcBorders>
          </w:tcPr>
          <w:p>
            <w:pPr>
              <w:pStyle w:val="yTableNAm"/>
              <w:keepNext/>
              <w:spacing w:before="60"/>
              <w:rPr>
                <w:szCs w:val="22"/>
              </w:rPr>
            </w:pPr>
            <w:r>
              <w:rPr>
                <w:szCs w:val="22"/>
              </w:rPr>
              <w:t>10.</w:t>
            </w:r>
          </w:p>
        </w:tc>
        <w:tc>
          <w:tcPr>
            <w:tcW w:w="2562" w:type="dxa"/>
            <w:tcBorders>
              <w:top w:val="nil"/>
              <w:left w:val="nil"/>
              <w:bottom w:val="nil"/>
              <w:right w:val="nil"/>
            </w:tcBorders>
          </w:tcPr>
          <w:p>
            <w:pPr>
              <w:pStyle w:val="yTableNAm"/>
              <w:ind w:left="526" w:hanging="526"/>
              <w:rPr>
                <w:szCs w:val="22"/>
              </w:rPr>
            </w:pPr>
            <w:r>
              <w:rPr>
                <w:szCs w:val="22"/>
              </w:rPr>
              <w:t>(a)</w:t>
            </w:r>
            <w:r>
              <w:rPr>
                <w:szCs w:val="22"/>
              </w:rPr>
              <w:tab/>
              <w:t xml:space="preserve">For a copy of a transcript, or part of a transcript — </w:t>
            </w:r>
          </w:p>
        </w:tc>
        <w:tc>
          <w:tcPr>
            <w:tcW w:w="1246" w:type="dxa"/>
            <w:tcBorders>
              <w:top w:val="nil"/>
              <w:left w:val="nil"/>
              <w:bottom w:val="nil"/>
              <w:right w:val="nil"/>
            </w:tcBorders>
          </w:tcPr>
          <w:p>
            <w:pPr>
              <w:pStyle w:val="yTableNAm"/>
              <w:keepNext/>
              <w:tabs>
                <w:tab w:val="clear" w:pos="567"/>
              </w:tabs>
              <w:spacing w:before="60"/>
              <w:ind w:right="206"/>
              <w:jc w:val="right"/>
              <w:rPr>
                <w:szCs w:val="22"/>
              </w:rPr>
            </w:pPr>
          </w:p>
        </w:tc>
        <w:tc>
          <w:tcPr>
            <w:tcW w:w="1220" w:type="dxa"/>
            <w:tcBorders>
              <w:top w:val="nil"/>
              <w:left w:val="nil"/>
              <w:bottom w:val="nil"/>
              <w:right w:val="nil"/>
            </w:tcBorders>
          </w:tcPr>
          <w:p>
            <w:pPr>
              <w:pStyle w:val="yTableNAm"/>
              <w:keepNext/>
              <w:tabs>
                <w:tab w:val="clear" w:pos="567"/>
              </w:tabs>
              <w:spacing w:before="60"/>
              <w:ind w:right="203"/>
              <w:jc w:val="right"/>
              <w:rPr>
                <w:szCs w:val="22"/>
              </w:rPr>
            </w:pPr>
          </w:p>
        </w:tc>
        <w:tc>
          <w:tcPr>
            <w:tcW w:w="1229" w:type="dxa"/>
            <w:tcBorders>
              <w:top w:val="nil"/>
              <w:left w:val="nil"/>
              <w:bottom w:val="nil"/>
              <w:right w:val="nil"/>
            </w:tcBorders>
          </w:tcPr>
          <w:p>
            <w:pPr>
              <w:pStyle w:val="yTableNAm"/>
              <w:keepNext/>
              <w:tabs>
                <w:tab w:val="clear" w:pos="567"/>
              </w:tabs>
              <w:spacing w:before="60"/>
              <w:ind w:right="206"/>
              <w:jc w:val="right"/>
              <w:rPr>
                <w:szCs w:val="22"/>
              </w:rPr>
            </w:pP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provided within 1 </w:t>
            </w:r>
            <w:r>
              <w:t>day</w:t>
            </w:r>
            <w:r>
              <w:rPr>
                <w:szCs w:val="22"/>
              </w:rPr>
              <w:t xml:space="preserve"> after the day on which the fee is paid </w:t>
            </w:r>
          </w:p>
        </w:tc>
        <w:tc>
          <w:tcPr>
            <w:tcW w:w="1246"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8.45 per page</w:t>
            </w:r>
          </w:p>
        </w:tc>
        <w:tc>
          <w:tcPr>
            <w:tcW w:w="1220"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16.90 per page</w:t>
            </w:r>
          </w:p>
        </w:tc>
        <w:tc>
          <w:tcPr>
            <w:tcW w:w="1229" w:type="dxa"/>
            <w:tcBorders>
              <w:top w:val="nil"/>
              <w:left w:val="nil"/>
              <w:bottom w:val="nil"/>
              <w:right w:val="nil"/>
            </w:tcBorders>
          </w:tcPr>
          <w:p>
            <w:pPr>
              <w:pStyle w:val="yTableNAm"/>
              <w:tabs>
                <w:tab w:val="clear" w:pos="567"/>
              </w:tabs>
              <w:spacing w:before="60"/>
              <w:rPr>
                <w:szCs w:val="22"/>
              </w:rPr>
            </w:pPr>
            <w:r>
              <w:rPr>
                <w:szCs w:val="22"/>
              </w:rPr>
              <w:t xml:space="preserve">6.15 plus </w:t>
            </w:r>
            <w:r>
              <w:rPr>
                <w:szCs w:val="22"/>
              </w:rPr>
              <w:br/>
              <w:t>2.55 per page</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provided within </w:t>
            </w:r>
            <w:r>
              <w:t>4</w:t>
            </w:r>
            <w:r>
              <w:rPr>
                <w:szCs w:val="22"/>
              </w:rPr>
              <w:t xml:space="preserve"> days after the day on which the fee is paid </w:t>
            </w:r>
          </w:p>
        </w:tc>
        <w:tc>
          <w:tcPr>
            <w:tcW w:w="1246"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7.30 per page</w:t>
            </w:r>
          </w:p>
        </w:tc>
        <w:tc>
          <w:tcPr>
            <w:tcW w:w="1220"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14.75 per page</w:t>
            </w:r>
          </w:p>
        </w:tc>
        <w:tc>
          <w:tcPr>
            <w:tcW w:w="1229" w:type="dxa"/>
            <w:tcBorders>
              <w:top w:val="nil"/>
              <w:left w:val="nil"/>
              <w:bottom w:val="nil"/>
              <w:right w:val="nil"/>
            </w:tcBorders>
          </w:tcPr>
          <w:p>
            <w:pPr>
              <w:pStyle w:val="yTableNAm"/>
              <w:tabs>
                <w:tab w:val="clear" w:pos="567"/>
              </w:tabs>
              <w:spacing w:before="60"/>
              <w:rPr>
                <w:szCs w:val="22"/>
              </w:rPr>
            </w:pPr>
            <w:r>
              <w:rPr>
                <w:szCs w:val="22"/>
              </w:rPr>
              <w:t xml:space="preserve">6.15 plus </w:t>
            </w:r>
            <w:r>
              <w:rPr>
                <w:szCs w:val="22"/>
              </w:rPr>
              <w:br/>
              <w:t>2.20 per page</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provided within 7 days after the day on </w:t>
            </w:r>
            <w:r>
              <w:t>which</w:t>
            </w:r>
            <w:r>
              <w:rPr>
                <w:szCs w:val="22"/>
              </w:rPr>
              <w:t xml:space="preserve"> the fee is paid </w:t>
            </w:r>
          </w:p>
        </w:tc>
        <w:tc>
          <w:tcPr>
            <w:tcW w:w="1246"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7.05 per page</w:t>
            </w:r>
          </w:p>
        </w:tc>
        <w:tc>
          <w:tcPr>
            <w:tcW w:w="1220"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14.05 per page</w:t>
            </w:r>
          </w:p>
        </w:tc>
        <w:tc>
          <w:tcPr>
            <w:tcW w:w="1229" w:type="dxa"/>
            <w:tcBorders>
              <w:top w:val="nil"/>
              <w:left w:val="nil"/>
              <w:bottom w:val="nil"/>
              <w:right w:val="nil"/>
            </w:tcBorders>
          </w:tcPr>
          <w:p>
            <w:pPr>
              <w:pStyle w:val="yTableNAm"/>
              <w:tabs>
                <w:tab w:val="clear" w:pos="567"/>
              </w:tabs>
              <w:spacing w:before="60"/>
              <w:rPr>
                <w:szCs w:val="22"/>
              </w:rPr>
            </w:pPr>
            <w:r>
              <w:rPr>
                <w:szCs w:val="22"/>
              </w:rPr>
              <w:t xml:space="preserve">6.15 plus </w:t>
            </w:r>
            <w:r>
              <w:rPr>
                <w:szCs w:val="22"/>
              </w:rPr>
              <w:br/>
              <w:t>2.15 per page</w:t>
            </w:r>
          </w:p>
        </w:tc>
      </w:tr>
      <w:tr>
        <w:trPr>
          <w:cantSplit/>
        </w:trPr>
        <w:tc>
          <w:tcPr>
            <w:tcW w:w="714"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an additional copy of the transcript, or part of the transcript, provided under paragraph (a) — </w:t>
            </w:r>
          </w:p>
        </w:tc>
        <w:tc>
          <w:tcPr>
            <w:tcW w:w="1246" w:type="dxa"/>
            <w:tcBorders>
              <w:top w:val="nil"/>
              <w:left w:val="nil"/>
              <w:bottom w:val="nil"/>
              <w:right w:val="nil"/>
            </w:tcBorders>
          </w:tcPr>
          <w:p>
            <w:pPr>
              <w:pStyle w:val="yTableNAm"/>
              <w:keepNext/>
              <w:tabs>
                <w:tab w:val="clear" w:pos="567"/>
              </w:tabs>
              <w:spacing w:before="60"/>
              <w:ind w:right="206"/>
              <w:jc w:val="right"/>
              <w:rPr>
                <w:szCs w:val="22"/>
              </w:rPr>
            </w:pPr>
          </w:p>
        </w:tc>
        <w:tc>
          <w:tcPr>
            <w:tcW w:w="1220" w:type="dxa"/>
            <w:tcBorders>
              <w:top w:val="nil"/>
              <w:left w:val="nil"/>
              <w:bottom w:val="nil"/>
              <w:right w:val="nil"/>
            </w:tcBorders>
          </w:tcPr>
          <w:p>
            <w:pPr>
              <w:pStyle w:val="yTableNAm"/>
              <w:keepNext/>
              <w:tabs>
                <w:tab w:val="clear" w:pos="567"/>
              </w:tabs>
              <w:spacing w:before="60"/>
              <w:ind w:right="203"/>
              <w:jc w:val="right"/>
              <w:rPr>
                <w:szCs w:val="22"/>
              </w:rPr>
            </w:pPr>
          </w:p>
        </w:tc>
        <w:tc>
          <w:tcPr>
            <w:tcW w:w="1229" w:type="dxa"/>
            <w:tcBorders>
              <w:top w:val="nil"/>
              <w:left w:val="nil"/>
              <w:bottom w:val="nil"/>
              <w:right w:val="nil"/>
            </w:tcBorders>
          </w:tcPr>
          <w:p>
            <w:pPr>
              <w:pStyle w:val="yTableNAm"/>
              <w:keepNext/>
              <w:tabs>
                <w:tab w:val="clear" w:pos="567"/>
              </w:tabs>
              <w:spacing w:before="60"/>
              <w:ind w:right="206"/>
              <w:jc w:val="right"/>
              <w:rPr>
                <w:szCs w:val="22"/>
              </w:rPr>
            </w:pP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in electronic format </w:t>
            </w:r>
          </w:p>
        </w:tc>
        <w:tc>
          <w:tcPr>
            <w:tcW w:w="1246" w:type="dxa"/>
            <w:tcBorders>
              <w:top w:val="nil"/>
              <w:left w:val="nil"/>
              <w:bottom w:val="nil"/>
              <w:right w:val="nil"/>
            </w:tcBorders>
            <w:shd w:val="clear" w:color="auto" w:fill="auto"/>
          </w:tcPr>
          <w:p>
            <w:pPr>
              <w:pStyle w:val="yTableNAm"/>
              <w:tabs>
                <w:tab w:val="clear" w:pos="567"/>
              </w:tabs>
              <w:spacing w:before="60"/>
              <w:rPr>
                <w:szCs w:val="22"/>
              </w:rPr>
            </w:pPr>
            <w:r>
              <w:rPr>
                <w:szCs w:val="22"/>
              </w:rPr>
              <w:t>21.40 per copy</w:t>
            </w:r>
          </w:p>
        </w:tc>
        <w:tc>
          <w:tcPr>
            <w:tcW w:w="1220" w:type="dxa"/>
            <w:tcBorders>
              <w:top w:val="nil"/>
              <w:left w:val="nil"/>
              <w:bottom w:val="nil"/>
              <w:right w:val="nil"/>
            </w:tcBorders>
            <w:shd w:val="clear" w:color="auto" w:fill="auto"/>
          </w:tcPr>
          <w:p>
            <w:pPr>
              <w:pStyle w:val="yTableNAm"/>
              <w:tabs>
                <w:tab w:val="clear" w:pos="567"/>
              </w:tabs>
              <w:spacing w:before="60"/>
              <w:rPr>
                <w:szCs w:val="22"/>
              </w:rPr>
            </w:pPr>
            <w:r>
              <w:rPr>
                <w:szCs w:val="22"/>
              </w:rPr>
              <w:t>21.40 per copy</w:t>
            </w:r>
          </w:p>
        </w:tc>
        <w:tc>
          <w:tcPr>
            <w:tcW w:w="1229" w:type="dxa"/>
            <w:tcBorders>
              <w:top w:val="nil"/>
              <w:left w:val="nil"/>
              <w:bottom w:val="nil"/>
              <w:right w:val="nil"/>
            </w:tcBorders>
            <w:shd w:val="clear" w:color="auto" w:fill="auto"/>
          </w:tcPr>
          <w:p>
            <w:pPr>
              <w:pStyle w:val="yTableNAm"/>
              <w:tabs>
                <w:tab w:val="clear" w:pos="567"/>
              </w:tabs>
              <w:spacing w:before="60"/>
              <w:rPr>
                <w:szCs w:val="22"/>
              </w:rPr>
            </w:pPr>
            <w:r>
              <w:rPr>
                <w:szCs w:val="22"/>
              </w:rPr>
              <w:t>6.45 per copy</w:t>
            </w:r>
          </w:p>
        </w:tc>
      </w:tr>
      <w:tr>
        <w:trPr>
          <w:cantSplit/>
        </w:trPr>
        <w:tc>
          <w:tcPr>
            <w:tcW w:w="714" w:type="dxa"/>
            <w:tcBorders>
              <w:top w:val="nil"/>
              <w:left w:val="nil"/>
              <w:right w:val="nil"/>
            </w:tcBorders>
          </w:tcPr>
          <w:p>
            <w:pPr>
              <w:pStyle w:val="yTableNAm"/>
              <w:spacing w:before="60"/>
              <w:rPr>
                <w:szCs w:val="22"/>
              </w:rPr>
            </w:pPr>
          </w:p>
        </w:tc>
        <w:tc>
          <w:tcPr>
            <w:tcW w:w="2562" w:type="dxa"/>
            <w:tcBorders>
              <w:top w:val="nil"/>
              <w:left w:val="nil"/>
              <w:right w:val="nil"/>
            </w:tcBorders>
          </w:tcPr>
          <w:p>
            <w:pPr>
              <w:pStyle w:val="yTableNAm"/>
            </w:pPr>
            <w:r>
              <w:rPr>
                <w:szCs w:val="22"/>
              </w:rPr>
              <w:tab/>
              <w:t>(ii)</w:t>
            </w:r>
            <w:r>
              <w:rPr>
                <w:szCs w:val="22"/>
              </w:rPr>
              <w:tab/>
              <w:t xml:space="preserve">paper copy </w:t>
            </w:r>
          </w:p>
        </w:tc>
        <w:tc>
          <w:tcPr>
            <w:tcW w:w="1246" w:type="dxa"/>
            <w:tcBorders>
              <w:top w:val="nil"/>
              <w:left w:val="nil"/>
              <w:right w:val="nil"/>
            </w:tcBorders>
            <w:shd w:val="clear" w:color="auto" w:fill="auto"/>
          </w:tcPr>
          <w:p>
            <w:pPr>
              <w:pStyle w:val="yTableNAm"/>
              <w:tabs>
                <w:tab w:val="clear" w:pos="567"/>
              </w:tabs>
              <w:spacing w:before="60"/>
              <w:rPr>
                <w:szCs w:val="22"/>
              </w:rPr>
            </w:pPr>
            <w:r>
              <w:rPr>
                <w:szCs w:val="22"/>
              </w:rPr>
              <w:t>2.10 per page</w:t>
            </w:r>
          </w:p>
        </w:tc>
        <w:tc>
          <w:tcPr>
            <w:tcW w:w="1220" w:type="dxa"/>
            <w:tcBorders>
              <w:top w:val="nil"/>
              <w:left w:val="nil"/>
              <w:right w:val="nil"/>
            </w:tcBorders>
            <w:shd w:val="clear" w:color="auto" w:fill="auto"/>
          </w:tcPr>
          <w:p>
            <w:pPr>
              <w:pStyle w:val="yTableNAm"/>
              <w:tabs>
                <w:tab w:val="clear" w:pos="567"/>
              </w:tabs>
              <w:spacing w:before="60"/>
              <w:rPr>
                <w:szCs w:val="22"/>
              </w:rPr>
            </w:pPr>
            <w:r>
              <w:rPr>
                <w:szCs w:val="22"/>
              </w:rPr>
              <w:t>2.10 per page</w:t>
            </w:r>
          </w:p>
        </w:tc>
        <w:tc>
          <w:tcPr>
            <w:tcW w:w="1229" w:type="dxa"/>
            <w:tcBorders>
              <w:top w:val="nil"/>
              <w:left w:val="nil"/>
              <w:right w:val="nil"/>
            </w:tcBorders>
            <w:shd w:val="clear" w:color="auto" w:fill="auto"/>
          </w:tcPr>
          <w:p>
            <w:pPr>
              <w:pStyle w:val="yTableNAm"/>
              <w:tabs>
                <w:tab w:val="clear" w:pos="567"/>
              </w:tabs>
              <w:spacing w:before="60"/>
              <w:rPr>
                <w:szCs w:val="22"/>
              </w:rPr>
            </w:pPr>
            <w:r>
              <w:rPr>
                <w:szCs w:val="22"/>
              </w:rPr>
              <w:t>0.60 per page</w:t>
            </w:r>
          </w:p>
        </w:tc>
      </w:tr>
    </w:tbl>
    <w:p>
      <w:pPr>
        <w:pStyle w:val="yFootnotesection"/>
      </w:pPr>
      <w:r>
        <w:tab/>
        <w:t>[Division 2 inserted in Gazette 15 Jun 2018 p. 2040</w:t>
      </w:r>
      <w:r>
        <w:noBreakHyphen/>
        <w:t>45.]</w:t>
      </w:r>
    </w:p>
    <w:p>
      <w:pPr>
        <w:pStyle w:val="yScheduleHeading"/>
      </w:pPr>
      <w:bookmarkStart w:id="30" w:name="_Toc531865503"/>
      <w:bookmarkStart w:id="31" w:name="_Toc531865729"/>
      <w:bookmarkStart w:id="32" w:name="_Toc531874550"/>
      <w:r>
        <w:rPr>
          <w:rStyle w:val="CharSchNo"/>
        </w:rPr>
        <w:t>Schedule 2</w:t>
      </w:r>
      <w:r>
        <w:rPr>
          <w:rStyle w:val="CharSDivNo"/>
        </w:rPr>
        <w:t> </w:t>
      </w:r>
      <w:r>
        <w:t>—</w:t>
      </w:r>
      <w:r>
        <w:rPr>
          <w:rStyle w:val="CharSDivText"/>
        </w:rPr>
        <w:t> </w:t>
      </w:r>
      <w:r>
        <w:rPr>
          <w:rStyle w:val="CharSchText"/>
        </w:rPr>
        <w:t>Sheriff’s fees</w:t>
      </w:r>
      <w:bookmarkEnd w:id="30"/>
      <w:bookmarkEnd w:id="31"/>
      <w:bookmarkEnd w:id="32"/>
    </w:p>
    <w:p>
      <w:pPr>
        <w:pStyle w:val="yShoulderClause"/>
      </w:pPr>
      <w:r>
        <w:t>[r. 4]</w:t>
      </w:r>
    </w:p>
    <w:p>
      <w:pPr>
        <w:pStyle w:val="yFootnoteheading"/>
      </w:pPr>
      <w:r>
        <w:tab/>
        <w:t>[Heading inserted in Gazette 15 Jun 2018 p. 2046.]</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44"/>
        <w:gridCol w:w="17"/>
        <w:gridCol w:w="1382"/>
      </w:tblGrid>
      <w:tr>
        <w:trPr>
          <w:tblHeader/>
        </w:trPr>
        <w:tc>
          <w:tcPr>
            <w:tcW w:w="709" w:type="dxa"/>
            <w:tcBorders>
              <w:left w:val="nil"/>
              <w:bottom w:val="single" w:sz="4" w:space="0" w:color="auto"/>
              <w:right w:val="nil"/>
            </w:tcBorders>
          </w:tcPr>
          <w:p>
            <w:pPr>
              <w:pStyle w:val="yTableNAm"/>
              <w:jc w:val="center"/>
            </w:pPr>
            <w:r>
              <w:rPr>
                <w:b/>
              </w:rPr>
              <w:t>Item</w:t>
            </w:r>
          </w:p>
        </w:tc>
        <w:tc>
          <w:tcPr>
            <w:tcW w:w="4944" w:type="dxa"/>
            <w:tcBorders>
              <w:left w:val="nil"/>
              <w:bottom w:val="single" w:sz="4" w:space="0" w:color="auto"/>
              <w:right w:val="nil"/>
            </w:tcBorders>
          </w:tcPr>
          <w:p>
            <w:pPr>
              <w:pStyle w:val="yTableNAm"/>
              <w:jc w:val="center"/>
            </w:pPr>
            <w:r>
              <w:rPr>
                <w:b/>
              </w:rPr>
              <w:t>Matter</w:t>
            </w:r>
          </w:p>
        </w:tc>
        <w:tc>
          <w:tcPr>
            <w:tcW w:w="1399" w:type="dxa"/>
            <w:gridSpan w:val="2"/>
            <w:tcBorders>
              <w:left w:val="nil"/>
              <w:bottom w:val="single" w:sz="4" w:space="0" w:color="auto"/>
              <w:right w:val="nil"/>
            </w:tcBorders>
          </w:tcPr>
          <w:p>
            <w:pPr>
              <w:pStyle w:val="yTableNAm"/>
              <w:jc w:val="center"/>
            </w:pPr>
            <w:r>
              <w:rPr>
                <w:b/>
              </w:rPr>
              <w:t>Fee</w:t>
            </w:r>
            <w:r>
              <w:rPr>
                <w:b/>
              </w:rPr>
              <w:br/>
              <w:t>$</w:t>
            </w:r>
          </w:p>
        </w:tc>
      </w:tr>
      <w:tr>
        <w:tc>
          <w:tcPr>
            <w:tcW w:w="709" w:type="dxa"/>
            <w:tcBorders>
              <w:left w:val="nil"/>
              <w:bottom w:val="nil"/>
              <w:right w:val="nil"/>
            </w:tcBorders>
          </w:tcPr>
          <w:p>
            <w:pPr>
              <w:pStyle w:val="yTableNAm"/>
            </w:pPr>
            <w:r>
              <w:t>1.</w:t>
            </w:r>
          </w:p>
        </w:tc>
        <w:tc>
          <w:tcPr>
            <w:tcW w:w="4944" w:type="dxa"/>
            <w:tcBorders>
              <w:left w:val="nil"/>
              <w:bottom w:val="nil"/>
              <w:right w:val="nil"/>
            </w:tcBorders>
          </w:tcPr>
          <w:p>
            <w:pPr>
              <w:pStyle w:val="yTableNAm"/>
            </w:pPr>
            <w:r>
              <w:t>On the execution of an arrest warrant of any kind —</w:t>
            </w:r>
          </w:p>
          <w:p>
            <w:pPr>
              <w:pStyle w:val="yTableNAm"/>
            </w:pPr>
            <w:r>
              <w:t>(a)</w:t>
            </w:r>
            <w:r>
              <w:tab/>
              <w:t xml:space="preserve">for arresting the person </w:t>
            </w:r>
          </w:p>
          <w:p>
            <w:pPr>
              <w:pStyle w:val="yTableNAm"/>
              <w:ind w:left="584" w:hanging="584"/>
            </w:pPr>
            <w:r>
              <w:t>(b)</w:t>
            </w:r>
            <w:r>
              <w:tab/>
              <w:t xml:space="preserve">for conveying the person to a court or a custodial place and releasing the person from arrest or custody </w:t>
            </w:r>
          </w:p>
        </w:tc>
        <w:tc>
          <w:tcPr>
            <w:tcW w:w="1399" w:type="dxa"/>
            <w:gridSpan w:val="2"/>
            <w:tcBorders>
              <w:left w:val="nil"/>
              <w:bottom w:val="nil"/>
              <w:right w:val="nil"/>
            </w:tcBorders>
          </w:tcPr>
          <w:p>
            <w:pPr>
              <w:pStyle w:val="yTableNAm"/>
              <w:spacing w:before="180"/>
            </w:pPr>
            <w:r>
              <w:br/>
            </w:r>
            <w:r>
              <w:rPr>
                <w:szCs w:val="22"/>
              </w:rPr>
              <w:t>141.50</w:t>
            </w:r>
          </w:p>
          <w:p>
            <w:pPr>
              <w:pStyle w:val="yTableNAm"/>
            </w:pPr>
            <w:r>
              <w:br/>
              <w:t>140.00</w:t>
            </w:r>
          </w:p>
        </w:tc>
      </w:tr>
      <w:tr>
        <w:tc>
          <w:tcPr>
            <w:tcW w:w="709" w:type="dxa"/>
            <w:tcBorders>
              <w:top w:val="nil"/>
              <w:left w:val="nil"/>
              <w:bottom w:val="nil"/>
              <w:right w:val="nil"/>
            </w:tcBorders>
          </w:tcPr>
          <w:p>
            <w:pPr>
              <w:pStyle w:val="zyTableNAm"/>
              <w:keepNext/>
            </w:pPr>
          </w:p>
        </w:tc>
        <w:tc>
          <w:tcPr>
            <w:tcW w:w="4944" w:type="dxa"/>
            <w:tcBorders>
              <w:top w:val="nil"/>
              <w:left w:val="nil"/>
              <w:bottom w:val="nil"/>
              <w:right w:val="nil"/>
            </w:tcBorders>
          </w:tcPr>
          <w:p>
            <w:pPr>
              <w:pStyle w:val="yTableNAm"/>
              <w:ind w:left="584" w:hanging="584"/>
            </w:pPr>
            <w:r>
              <w:t>(c)</w:t>
            </w:r>
            <w:r>
              <w:tab/>
              <w:t>for each 30 minutes after 2 hours and 30 minutes that an enforcement officer is required to keep the person in custody until the person is conveyed to a court or a custodial place</w:t>
            </w:r>
          </w:p>
        </w:tc>
        <w:tc>
          <w:tcPr>
            <w:tcW w:w="1399" w:type="dxa"/>
            <w:gridSpan w:val="2"/>
            <w:tcBorders>
              <w:top w:val="nil"/>
              <w:left w:val="nil"/>
              <w:bottom w:val="nil"/>
              <w:right w:val="nil"/>
            </w:tcBorders>
          </w:tcPr>
          <w:p>
            <w:pPr>
              <w:pStyle w:val="yTableNAm"/>
            </w:pPr>
            <w:r>
              <w:br/>
            </w:r>
            <w:r>
              <w:br/>
            </w:r>
            <w:r>
              <w:br/>
            </w:r>
            <w:r>
              <w:br/>
              <w:t>37.10</w:t>
            </w:r>
          </w:p>
        </w:tc>
      </w:tr>
      <w:tr>
        <w:trPr>
          <w:trHeight w:val="1046"/>
        </w:trPr>
        <w:tc>
          <w:tcPr>
            <w:tcW w:w="709"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trHeight w:val="1752"/>
        </w:trPr>
        <w:tc>
          <w:tcPr>
            <w:tcW w:w="709" w:type="dxa"/>
            <w:tcBorders>
              <w:top w:val="nil"/>
              <w:left w:val="nil"/>
              <w:bottom w:val="nil"/>
              <w:right w:val="nil"/>
            </w:tcBorders>
          </w:tcPr>
          <w:p>
            <w:pPr>
              <w:pStyle w:val="zyTableNAm"/>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under paragraph (a) includes the costs of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c>
          <w:tcPr>
            <w:tcW w:w="709" w:type="dxa"/>
            <w:tcBorders>
              <w:top w:val="nil"/>
              <w:left w:val="nil"/>
              <w:bottom w:val="nil"/>
              <w:right w:val="nil"/>
            </w:tcBorders>
          </w:tcPr>
          <w:p>
            <w:pPr>
              <w:pStyle w:val="yTableNAm"/>
            </w:pPr>
            <w:r>
              <w:t>2.</w:t>
            </w:r>
          </w:p>
        </w:tc>
        <w:tc>
          <w:tcPr>
            <w:tcW w:w="4961" w:type="dxa"/>
            <w:gridSpan w:val="2"/>
            <w:tcBorders>
              <w:top w:val="nil"/>
              <w:left w:val="nil"/>
              <w:bottom w:val="nil"/>
              <w:right w:val="nil"/>
            </w:tcBorders>
          </w:tcPr>
          <w:p>
            <w:pPr>
              <w:pStyle w:val="yTableNAm"/>
            </w:pPr>
            <w:r>
              <w:t>For the service of any writ, application, summons, originating process, notice or order of the Court or any other process requiring service</w:t>
            </w:r>
          </w:p>
        </w:tc>
        <w:tc>
          <w:tcPr>
            <w:tcW w:w="1382" w:type="dxa"/>
            <w:tcBorders>
              <w:top w:val="nil"/>
              <w:left w:val="nil"/>
              <w:bottom w:val="nil"/>
              <w:right w:val="nil"/>
            </w:tcBorders>
          </w:tcPr>
          <w:p>
            <w:pPr>
              <w:pStyle w:val="yTableNAm"/>
            </w:pPr>
            <w:r>
              <w:br/>
            </w:r>
            <w:r>
              <w:br/>
            </w:r>
            <w:r>
              <w:rPr>
                <w:szCs w:val="22"/>
              </w:rPr>
              <w:t>78.50</w:t>
            </w:r>
          </w:p>
        </w:tc>
      </w:tr>
      <w:tr>
        <w:trPr>
          <w:trHeight w:val="737"/>
        </w:trPr>
        <w:tc>
          <w:tcPr>
            <w:tcW w:w="709" w:type="dxa"/>
            <w:tcBorders>
              <w:top w:val="nil"/>
              <w:left w:val="nil"/>
              <w:bottom w:val="nil"/>
              <w:right w:val="nil"/>
            </w:tcBorders>
          </w:tcPr>
          <w:p>
            <w:pPr>
              <w:pStyle w:val="z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pacing w:val="-4"/>
                <w:sz w:val="18"/>
                <w:szCs w:val="18"/>
              </w:rPr>
            </w:pPr>
            <w:r>
              <w:rPr>
                <w:rFonts w:ascii="Arial" w:hAnsi="Arial" w:cs="Arial"/>
                <w:spacing w:val="-4"/>
                <w:sz w:val="18"/>
                <w:szCs w:val="18"/>
              </w:rPr>
              <w:t>The fee is payable whether or not the service is successful and covers up to 3 attempts at service at the same address.</w:t>
            </w:r>
          </w:p>
        </w:tc>
        <w:tc>
          <w:tcPr>
            <w:tcW w:w="1382" w:type="dxa"/>
            <w:tcBorders>
              <w:top w:val="nil"/>
              <w:left w:val="nil"/>
              <w:bottom w:val="nil"/>
              <w:right w:val="nil"/>
            </w:tcBorders>
          </w:tcPr>
          <w:p>
            <w:pPr>
              <w:pStyle w:val="yTableNAm"/>
              <w:rPr>
                <w:rFonts w:ascii="Arial" w:hAnsi="Arial" w:cs="Arial"/>
                <w:sz w:val="18"/>
                <w:szCs w:val="18"/>
              </w:rPr>
            </w:pPr>
          </w:p>
        </w:tc>
      </w:tr>
      <w:tr>
        <w:trPr>
          <w:trHeight w:val="598"/>
        </w:trPr>
        <w:tc>
          <w:tcPr>
            <w:tcW w:w="709" w:type="dxa"/>
            <w:tcBorders>
              <w:top w:val="nil"/>
              <w:left w:val="nil"/>
              <w:bottom w:val="nil"/>
              <w:right w:val="nil"/>
            </w:tcBorders>
          </w:tcPr>
          <w:p>
            <w:pPr>
              <w:pStyle w:val="z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pacing w:val="-6"/>
                <w:sz w:val="18"/>
                <w:szCs w:val="18"/>
              </w:rPr>
            </w:pPr>
            <w:r>
              <w:rPr>
                <w:rFonts w:ascii="Arial" w:hAnsi="Arial" w:cs="Arial"/>
                <w:spacing w:val="-6"/>
                <w:sz w:val="18"/>
                <w:szCs w:val="18"/>
              </w:rPr>
              <w:t xml:space="preserve">The fee includes the costs of receiving and </w:t>
            </w:r>
            <w:r>
              <w:rPr>
                <w:rFonts w:ascii="Arial" w:hAnsi="Arial" w:cs="Arial"/>
                <w:spacing w:val="-4"/>
                <w:sz w:val="18"/>
                <w:szCs w:val="18"/>
              </w:rPr>
              <w:t>printing</w:t>
            </w:r>
            <w:r>
              <w:rPr>
                <w:rFonts w:ascii="Arial" w:hAnsi="Arial" w:cs="Arial"/>
                <w:spacing w:val="-6"/>
                <w:sz w:val="18"/>
                <w:szCs w:val="18"/>
              </w:rPr>
              <w:t xml:space="preserve"> the process.</w:t>
            </w:r>
          </w:p>
        </w:tc>
        <w:tc>
          <w:tcPr>
            <w:tcW w:w="1382" w:type="dxa"/>
            <w:tcBorders>
              <w:top w:val="nil"/>
              <w:left w:val="nil"/>
              <w:bottom w:val="nil"/>
              <w:right w:val="nil"/>
            </w:tcBorders>
          </w:tcPr>
          <w:p>
            <w:pPr>
              <w:pStyle w:val="yTableNAm"/>
              <w:rPr>
                <w:rFonts w:ascii="Arial" w:hAnsi="Arial" w:cs="Arial"/>
                <w:sz w:val="18"/>
                <w:szCs w:val="18"/>
              </w:rPr>
            </w:pPr>
          </w:p>
        </w:tc>
      </w:tr>
      <w:tr>
        <w:tc>
          <w:tcPr>
            <w:tcW w:w="709" w:type="dxa"/>
            <w:tcBorders>
              <w:top w:val="nil"/>
              <w:left w:val="nil"/>
              <w:bottom w:val="nil"/>
              <w:right w:val="nil"/>
            </w:tcBorders>
          </w:tcPr>
          <w:p>
            <w:pPr>
              <w:pStyle w:val="yTableNAm"/>
            </w:pPr>
            <w:r>
              <w:t>3.</w:t>
            </w:r>
          </w:p>
        </w:tc>
        <w:tc>
          <w:tcPr>
            <w:tcW w:w="4961" w:type="dxa"/>
            <w:gridSpan w:val="2"/>
            <w:tcBorders>
              <w:top w:val="nil"/>
              <w:left w:val="nil"/>
              <w:bottom w:val="nil"/>
              <w:right w:val="nil"/>
            </w:tcBorders>
          </w:tcPr>
          <w:p>
            <w:pPr>
              <w:pStyle w:val="yTableNAm"/>
            </w:pPr>
            <w:r>
              <w:t>If it is necessary to travel to execute a warrant or other process, or on service of a writ, summons, order of the Court, other process or document, or on making an arrest or for all attempts, attendances and inspections, from the sheriff’s office or nearest bailiff’s office —</w:t>
            </w:r>
          </w:p>
          <w:p>
            <w:pPr>
              <w:pStyle w:val="yTableNAm"/>
              <w:ind w:left="584" w:hanging="584"/>
            </w:pPr>
            <w:r>
              <w:t>(a)</w:t>
            </w:r>
            <w:r>
              <w:tab/>
              <w:t>for each kilometre travelled (1 way) in the metropolitan area</w:t>
            </w:r>
          </w:p>
          <w:p>
            <w:pPr>
              <w:pStyle w:val="yTableNAm"/>
              <w:ind w:left="584" w:hanging="584"/>
              <w:rPr>
                <w:sz w:val="20"/>
              </w:rPr>
            </w:pPr>
            <w:r>
              <w:t>(b)</w:t>
            </w:r>
            <w:r>
              <w:tab/>
              <w:t>for each kilometre travelled (1 way) outside the metropolitan area</w:t>
            </w:r>
          </w:p>
        </w:tc>
        <w:tc>
          <w:tcPr>
            <w:tcW w:w="1382" w:type="dxa"/>
            <w:tcBorders>
              <w:top w:val="nil"/>
              <w:left w:val="nil"/>
              <w:bottom w:val="nil"/>
              <w:right w:val="nil"/>
            </w:tcBorders>
          </w:tcPr>
          <w:p>
            <w:pPr>
              <w:pStyle w:val="yTableNAm"/>
            </w:pPr>
            <w:r>
              <w:br/>
            </w:r>
            <w:r>
              <w:br/>
            </w:r>
            <w:r>
              <w:br/>
            </w:r>
            <w:r>
              <w:br/>
            </w:r>
            <w:r>
              <w:br/>
            </w:r>
          </w:p>
          <w:p>
            <w:pPr>
              <w:pStyle w:val="yTableNAm"/>
            </w:pPr>
            <w:r>
              <w:br/>
              <w:t>2.00</w:t>
            </w:r>
          </w:p>
          <w:p>
            <w:pPr>
              <w:pStyle w:val="yTableNAm"/>
            </w:pPr>
            <w:r>
              <w:br/>
              <w:t>2.20</w:t>
            </w:r>
          </w:p>
        </w:tc>
      </w:tr>
      <w:tr>
        <w:tc>
          <w:tcPr>
            <w:tcW w:w="709" w:type="dxa"/>
            <w:tcBorders>
              <w:top w:val="nil"/>
              <w:left w:val="nil"/>
              <w:bottom w:val="nil"/>
              <w:right w:val="nil"/>
            </w:tcBorders>
          </w:tcPr>
          <w:p>
            <w:pPr>
              <w:pStyle w:val="zyTableNAm"/>
              <w:spacing w:before="60"/>
              <w:rPr>
                <w:rFonts w:ascii="Arial" w:hAnsi="Arial" w:cs="Arial"/>
                <w:spacing w:val="-4"/>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pacing w:val="-4"/>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allowance for kilometres is chargeable.</w:t>
            </w:r>
          </w:p>
        </w:tc>
      </w:tr>
      <w:tr>
        <w:tc>
          <w:tcPr>
            <w:tcW w:w="709" w:type="dxa"/>
            <w:tcBorders>
              <w:top w:val="nil"/>
              <w:left w:val="nil"/>
              <w:bottom w:val="nil"/>
              <w:right w:val="nil"/>
            </w:tcBorders>
          </w:tcPr>
          <w:p>
            <w:pPr>
              <w:pStyle w:val="yTableNAm"/>
            </w:pPr>
            <w:r>
              <w:t>4.</w:t>
            </w:r>
          </w:p>
        </w:tc>
        <w:tc>
          <w:tcPr>
            <w:tcW w:w="4961" w:type="dxa"/>
            <w:gridSpan w:val="2"/>
            <w:tcBorders>
              <w:top w:val="nil"/>
              <w:left w:val="nil"/>
              <w:bottom w:val="nil"/>
              <w:right w:val="nil"/>
            </w:tcBorders>
          </w:tcPr>
          <w:p>
            <w:pPr>
              <w:pStyle w:val="yTableNAm"/>
            </w:pPr>
            <w:r>
              <w:t>Fee to the sheriff for attending a view — per hour or part of an hour</w:t>
            </w:r>
          </w:p>
        </w:tc>
        <w:tc>
          <w:tcPr>
            <w:tcW w:w="1382" w:type="dxa"/>
            <w:tcBorders>
              <w:top w:val="nil"/>
              <w:left w:val="nil"/>
              <w:bottom w:val="nil"/>
              <w:right w:val="nil"/>
            </w:tcBorders>
          </w:tcPr>
          <w:p>
            <w:pPr>
              <w:pStyle w:val="yTableNAm"/>
            </w:pPr>
            <w:r>
              <w:br/>
              <w:t>74.00</w:t>
            </w:r>
          </w:p>
        </w:tc>
      </w:tr>
      <w:tr>
        <w:tc>
          <w:tcPr>
            <w:tcW w:w="709" w:type="dxa"/>
            <w:tcBorders>
              <w:top w:val="nil"/>
              <w:left w:val="nil"/>
              <w:right w:val="nil"/>
            </w:tcBorders>
          </w:tcPr>
          <w:p>
            <w:pPr>
              <w:pStyle w:val="yTableNAm"/>
              <w:keepNext/>
              <w:keepLines/>
            </w:pPr>
            <w:r>
              <w:t>5.</w:t>
            </w:r>
          </w:p>
        </w:tc>
        <w:tc>
          <w:tcPr>
            <w:tcW w:w="4961" w:type="dxa"/>
            <w:gridSpan w:val="2"/>
            <w:tcBorders>
              <w:top w:val="nil"/>
              <w:left w:val="nil"/>
              <w:right w:val="nil"/>
            </w:tcBorders>
          </w:tcPr>
          <w:p>
            <w:pPr>
              <w:pStyle w:val="yTableNAm"/>
              <w:keepNext/>
              <w:keepLines/>
            </w:pPr>
            <w:r>
              <w:t>(a)</w:t>
            </w:r>
            <w:r>
              <w:tab/>
              <w:t>For striking a jury and preparing jury panel</w:t>
            </w:r>
          </w:p>
          <w:p>
            <w:pPr>
              <w:pStyle w:val="yTableNAm"/>
              <w:keepNext/>
              <w:keepLines/>
              <w:ind w:left="584" w:hanging="584"/>
            </w:pPr>
            <w:r>
              <w:t>(b)</w:t>
            </w:r>
            <w:r>
              <w:tab/>
              <w:t>For attendance of sheriff’s officer at hearing (per day or part of a day)</w:t>
            </w:r>
          </w:p>
        </w:tc>
        <w:tc>
          <w:tcPr>
            <w:tcW w:w="1382" w:type="dxa"/>
            <w:tcBorders>
              <w:top w:val="nil"/>
              <w:left w:val="nil"/>
              <w:right w:val="nil"/>
            </w:tcBorders>
          </w:tcPr>
          <w:p>
            <w:pPr>
              <w:pStyle w:val="yTableNAm"/>
              <w:keepNext/>
              <w:keepLines/>
            </w:pPr>
            <w:r>
              <w:t>238.00</w:t>
            </w:r>
          </w:p>
          <w:p>
            <w:pPr>
              <w:pStyle w:val="yTableNAm"/>
              <w:keepNext/>
              <w:keepLines/>
            </w:pPr>
            <w:r>
              <w:t>The sum actually and reasonably paid</w:t>
            </w:r>
          </w:p>
        </w:tc>
      </w:tr>
    </w:tbl>
    <w:p>
      <w:pPr>
        <w:pStyle w:val="yFootnotesection"/>
        <w:keepNext/>
      </w:pPr>
      <w:r>
        <w:tab/>
        <w:t>[Schedule 2 inserted in Gazette 15 Jun 2018 p. 2046</w:t>
      </w:r>
      <w:r>
        <w:noBreakHyphen/>
        <w:t>7.]</w:t>
      </w:r>
    </w:p>
    <w:p>
      <w:pPr>
        <w:pStyle w:val="yScheduleHeading"/>
      </w:pPr>
      <w:bookmarkStart w:id="33" w:name="_Toc531865504"/>
      <w:bookmarkStart w:id="34" w:name="_Toc531865730"/>
      <w:bookmarkStart w:id="35" w:name="_Toc531874551"/>
      <w:r>
        <w:rPr>
          <w:rStyle w:val="CharSchNo"/>
        </w:rPr>
        <w:t>Schedule 3</w:t>
      </w:r>
      <w:r>
        <w:rPr>
          <w:rStyle w:val="CharSDivNo"/>
        </w:rPr>
        <w:t> </w:t>
      </w:r>
      <w:r>
        <w:t>—</w:t>
      </w:r>
      <w:r>
        <w:rPr>
          <w:rStyle w:val="CharSDivText"/>
        </w:rPr>
        <w:t> </w:t>
      </w:r>
      <w:r>
        <w:rPr>
          <w:rStyle w:val="CharSchText"/>
        </w:rPr>
        <w:t>Probate fees</w:t>
      </w:r>
      <w:bookmarkEnd w:id="33"/>
      <w:bookmarkEnd w:id="34"/>
      <w:bookmarkEnd w:id="35"/>
    </w:p>
    <w:p>
      <w:pPr>
        <w:pStyle w:val="yShoulderClause"/>
      </w:pPr>
      <w:r>
        <w:t>[r. 4]</w:t>
      </w:r>
    </w:p>
    <w:p>
      <w:pPr>
        <w:pStyle w:val="yFootnoteheading"/>
      </w:pPr>
      <w:r>
        <w:tab/>
        <w:t>[Heading inserted in Gazette 15 Jun 2018 p. 2048.]</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Borders>
              <w:left w:val="nil"/>
              <w:bottom w:val="single" w:sz="4" w:space="0" w:color="auto"/>
              <w:right w:val="nil"/>
            </w:tcBorders>
          </w:tcPr>
          <w:p>
            <w:pPr>
              <w:pStyle w:val="yTableNAm"/>
              <w:jc w:val="center"/>
            </w:pPr>
            <w:r>
              <w:rPr>
                <w:b/>
              </w:rPr>
              <w:t>Item</w:t>
            </w:r>
          </w:p>
        </w:tc>
        <w:tc>
          <w:tcPr>
            <w:tcW w:w="4961" w:type="dxa"/>
            <w:tcBorders>
              <w:left w:val="nil"/>
              <w:bottom w:val="single" w:sz="4" w:space="0" w:color="auto"/>
              <w:right w:val="nil"/>
            </w:tcBorders>
          </w:tcPr>
          <w:p>
            <w:pPr>
              <w:pStyle w:val="yTableNAm"/>
              <w:jc w:val="center"/>
            </w:pPr>
            <w:r>
              <w:rPr>
                <w:b/>
              </w:rPr>
              <w:t>Matter</w:t>
            </w:r>
          </w:p>
        </w:tc>
        <w:tc>
          <w:tcPr>
            <w:tcW w:w="1382" w:type="dxa"/>
            <w:tcBorders>
              <w:left w:val="nil"/>
              <w:bottom w:val="single" w:sz="4" w:space="0" w:color="auto"/>
              <w:right w:val="nil"/>
            </w:tcBorders>
          </w:tcPr>
          <w:p>
            <w:pPr>
              <w:pStyle w:val="yTableNAm"/>
              <w:jc w:val="center"/>
            </w:pPr>
            <w:r>
              <w:rPr>
                <w:b/>
              </w:rPr>
              <w:t>Fee</w:t>
            </w:r>
            <w:r>
              <w:rPr>
                <w:b/>
              </w:rPr>
              <w:br/>
              <w:t>$</w:t>
            </w:r>
          </w:p>
        </w:tc>
      </w:tr>
      <w:tr>
        <w:tc>
          <w:tcPr>
            <w:tcW w:w="709" w:type="dxa"/>
            <w:tcBorders>
              <w:left w:val="nil"/>
              <w:bottom w:val="nil"/>
              <w:right w:val="nil"/>
            </w:tcBorders>
          </w:tcPr>
          <w:p>
            <w:pPr>
              <w:pStyle w:val="zyTableNAm"/>
              <w:spacing w:before="60"/>
              <w:rPr>
                <w:rFonts w:ascii="Arial" w:hAnsi="Arial" w:cs="Arial"/>
                <w:spacing w:val="-4"/>
                <w:sz w:val="18"/>
                <w:szCs w:val="18"/>
              </w:rPr>
            </w:pPr>
          </w:p>
        </w:tc>
        <w:tc>
          <w:tcPr>
            <w:tcW w:w="6343" w:type="dxa"/>
            <w:gridSpan w:val="2"/>
            <w:tcBorders>
              <w:left w:val="nil"/>
              <w:bottom w:val="nil"/>
              <w:right w:val="nil"/>
            </w:tcBorders>
          </w:tcPr>
          <w:p>
            <w:pPr>
              <w:pStyle w:val="yTableNAm"/>
              <w:rPr>
                <w:rFonts w:ascii="Arial" w:hAnsi="Arial" w:cs="Arial"/>
                <w:sz w:val="18"/>
                <w:szCs w:val="18"/>
              </w:rPr>
            </w:pPr>
            <w:r>
              <w:rPr>
                <w:rFonts w:ascii="Arial" w:hAnsi="Arial" w:cs="Arial"/>
                <w:spacing w:val="-4"/>
                <w:sz w:val="18"/>
                <w:szCs w:val="18"/>
              </w:rPr>
              <w:t>Note:</w:t>
            </w:r>
          </w:p>
          <w:p>
            <w:pPr>
              <w:pStyle w:val="yTableNAm"/>
              <w:rPr>
                <w:rFonts w:ascii="Arial" w:hAnsi="Arial" w:cs="Arial"/>
                <w:sz w:val="18"/>
                <w:szCs w:val="18"/>
              </w:rPr>
            </w:pPr>
            <w:r>
              <w:rPr>
                <w:rFonts w:ascii="Arial" w:hAnsi="Arial" w:cs="Arial"/>
                <w:sz w:val="18"/>
                <w:szCs w:val="18"/>
              </w:rPr>
              <w:t xml:space="preserve">In this Schedule, </w:t>
            </w:r>
            <w:r>
              <w:rPr>
                <w:rFonts w:ascii="Arial" w:hAnsi="Arial" w:cs="Arial"/>
                <w:b/>
                <w:i/>
                <w:sz w:val="18"/>
                <w:szCs w:val="18"/>
              </w:rPr>
              <w:t>grant</w:t>
            </w:r>
            <w:r>
              <w:rPr>
                <w:rFonts w:ascii="Arial" w:hAnsi="Arial" w:cs="Arial"/>
                <w:sz w:val="18"/>
                <w:szCs w:val="18"/>
              </w:rPr>
              <w:t xml:space="preserve"> means a grant of probate or administration with or without the will, or an order to administer.</w:t>
            </w:r>
          </w:p>
        </w:tc>
      </w:tr>
      <w:tr>
        <w:tc>
          <w:tcPr>
            <w:tcW w:w="709" w:type="dxa"/>
            <w:tcBorders>
              <w:top w:val="nil"/>
              <w:left w:val="nil"/>
              <w:bottom w:val="nil"/>
              <w:right w:val="nil"/>
            </w:tcBorders>
          </w:tcPr>
          <w:p>
            <w:pPr>
              <w:pStyle w:val="yTableNAm"/>
            </w:pPr>
            <w:r>
              <w:t>1.</w:t>
            </w:r>
          </w:p>
        </w:tc>
        <w:tc>
          <w:tcPr>
            <w:tcW w:w="4961" w:type="dxa"/>
            <w:tcBorders>
              <w:top w:val="nil"/>
              <w:left w:val="nil"/>
              <w:bottom w:val="nil"/>
              <w:right w:val="nil"/>
            </w:tcBorders>
          </w:tcPr>
          <w:p>
            <w:pPr>
              <w:pStyle w:val="yTableNAm"/>
            </w:pPr>
            <w:r>
              <w:t>On filing an application for an original grant or, for a second subsequent grant in relation to the same deceased, or to reseal a foreign grant</w:t>
            </w:r>
          </w:p>
        </w:tc>
        <w:tc>
          <w:tcPr>
            <w:tcW w:w="1382" w:type="dxa"/>
            <w:tcBorders>
              <w:top w:val="nil"/>
              <w:left w:val="nil"/>
              <w:bottom w:val="nil"/>
              <w:right w:val="nil"/>
            </w:tcBorders>
          </w:tcPr>
          <w:p>
            <w:pPr>
              <w:pStyle w:val="yTableNAm"/>
            </w:pPr>
            <w:r>
              <w:br/>
            </w:r>
            <w:r>
              <w:br/>
              <w:t>370.00</w:t>
            </w:r>
          </w:p>
        </w:tc>
      </w:tr>
      <w:tr>
        <w:tc>
          <w:tcPr>
            <w:tcW w:w="709" w:type="dxa"/>
            <w:tcBorders>
              <w:top w:val="nil"/>
              <w:left w:val="nil"/>
              <w:bottom w:val="nil"/>
              <w:right w:val="nil"/>
            </w:tcBorders>
          </w:tcPr>
          <w:p>
            <w:pPr>
              <w:pStyle w:val="zyTableNAm"/>
              <w:rPr>
                <w:rFonts w:ascii="Arial" w:hAnsi="Arial" w:cs="Arial"/>
                <w:sz w:val="18"/>
                <w:szCs w:val="18"/>
              </w:rPr>
            </w:pPr>
          </w:p>
        </w:tc>
        <w:tc>
          <w:tcPr>
            <w:tcW w:w="6343"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This fee covers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ind w:left="584" w:hanging="584"/>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photographic copies of documents including will (if any) required for the grant and Court files;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c>
          <w:tcPr>
            <w:tcW w:w="709" w:type="dxa"/>
            <w:tcBorders>
              <w:top w:val="nil"/>
              <w:left w:val="nil"/>
              <w:bottom w:val="nil"/>
              <w:right w:val="nil"/>
            </w:tcBorders>
          </w:tcPr>
          <w:p>
            <w:pPr>
              <w:pStyle w:val="yTableNAm"/>
            </w:pPr>
            <w:r>
              <w:t>2.</w:t>
            </w:r>
          </w:p>
        </w:tc>
        <w:tc>
          <w:tcPr>
            <w:tcW w:w="4961" w:type="dxa"/>
            <w:tcBorders>
              <w:top w:val="nil"/>
              <w:left w:val="nil"/>
              <w:bottom w:val="nil"/>
              <w:right w:val="nil"/>
            </w:tcBorders>
          </w:tcPr>
          <w:p>
            <w:pPr>
              <w:pStyle w:val="yTableNAm"/>
            </w:pPr>
            <w:r>
              <w:t>For depositing a will of a deceased person in the Registry (including renunciation of executor)</w:t>
            </w:r>
          </w:p>
        </w:tc>
        <w:tc>
          <w:tcPr>
            <w:tcW w:w="1382" w:type="dxa"/>
            <w:tcBorders>
              <w:top w:val="nil"/>
              <w:left w:val="nil"/>
              <w:bottom w:val="nil"/>
              <w:right w:val="nil"/>
            </w:tcBorders>
          </w:tcPr>
          <w:p>
            <w:pPr>
              <w:pStyle w:val="yTableNAm"/>
            </w:pPr>
            <w:r>
              <w:br/>
              <w:t>87.50</w:t>
            </w:r>
          </w:p>
        </w:tc>
      </w:tr>
      <w:tr>
        <w:tc>
          <w:tcPr>
            <w:tcW w:w="709" w:type="dxa"/>
            <w:tcBorders>
              <w:top w:val="nil"/>
              <w:left w:val="nil"/>
              <w:bottom w:val="nil"/>
              <w:right w:val="nil"/>
            </w:tcBorders>
          </w:tcPr>
          <w:p>
            <w:pPr>
              <w:pStyle w:val="yTableNAm"/>
            </w:pPr>
            <w:r>
              <w:t>3.</w:t>
            </w:r>
          </w:p>
        </w:tc>
        <w:tc>
          <w:tcPr>
            <w:tcW w:w="4961" w:type="dxa"/>
            <w:tcBorders>
              <w:top w:val="nil"/>
              <w:left w:val="nil"/>
              <w:bottom w:val="nil"/>
              <w:right w:val="nil"/>
            </w:tcBorders>
          </w:tcPr>
          <w:p>
            <w:pPr>
              <w:pStyle w:val="yTableNAm"/>
            </w:pPr>
            <w:r>
              <w:t xml:space="preserve">For depositing a will or instrument under the </w:t>
            </w:r>
            <w:r>
              <w:rPr>
                <w:i/>
                <w:iCs/>
              </w:rPr>
              <w:t>Wills Act 1970</w:t>
            </w:r>
            <w:r>
              <w:t xml:space="preserve"> s. 44(1) </w:t>
            </w:r>
          </w:p>
        </w:tc>
        <w:tc>
          <w:tcPr>
            <w:tcW w:w="1382" w:type="dxa"/>
            <w:tcBorders>
              <w:top w:val="nil"/>
              <w:left w:val="nil"/>
              <w:bottom w:val="nil"/>
              <w:right w:val="nil"/>
            </w:tcBorders>
          </w:tcPr>
          <w:p>
            <w:pPr>
              <w:pStyle w:val="yTableNAm"/>
            </w:pPr>
            <w:r>
              <w:br/>
              <w:t>87.50</w:t>
            </w:r>
          </w:p>
        </w:tc>
      </w:tr>
      <w:tr>
        <w:tc>
          <w:tcPr>
            <w:tcW w:w="709" w:type="dxa"/>
            <w:tcBorders>
              <w:top w:val="nil"/>
              <w:left w:val="nil"/>
              <w:bottom w:val="nil"/>
              <w:right w:val="nil"/>
            </w:tcBorders>
          </w:tcPr>
          <w:p>
            <w:pPr>
              <w:pStyle w:val="yTableNAm"/>
            </w:pPr>
            <w:r>
              <w:t>4.</w:t>
            </w:r>
          </w:p>
        </w:tc>
        <w:tc>
          <w:tcPr>
            <w:tcW w:w="4961" w:type="dxa"/>
            <w:tcBorders>
              <w:top w:val="nil"/>
              <w:left w:val="nil"/>
              <w:bottom w:val="nil"/>
              <w:right w:val="nil"/>
            </w:tcBorders>
          </w:tcPr>
          <w:p>
            <w:pPr>
              <w:pStyle w:val="yTableNAm"/>
              <w:ind w:left="584" w:hanging="584"/>
            </w:pPr>
            <w:r>
              <w:t>(a)</w:t>
            </w:r>
            <w:r>
              <w:tab/>
              <w:t xml:space="preserve">For the supply of copies of a will or other document, including marking as an office copy if required — for each page </w:t>
            </w:r>
          </w:p>
          <w:p>
            <w:pPr>
              <w:pStyle w:val="yTableNAm"/>
              <w:ind w:left="584" w:hanging="584"/>
            </w:pPr>
            <w:r>
              <w:t>(b)</w:t>
            </w:r>
            <w:r>
              <w:tab/>
              <w:t xml:space="preserve">For certifying under seal that a copy of a document is a true copy — an additional </w:t>
            </w:r>
            <w:r>
              <w:br/>
              <w:t xml:space="preserve">fee of </w:t>
            </w:r>
          </w:p>
        </w:tc>
        <w:tc>
          <w:tcPr>
            <w:tcW w:w="1382" w:type="dxa"/>
            <w:tcBorders>
              <w:top w:val="nil"/>
              <w:left w:val="nil"/>
              <w:bottom w:val="nil"/>
              <w:right w:val="nil"/>
            </w:tcBorders>
          </w:tcPr>
          <w:p>
            <w:pPr>
              <w:pStyle w:val="yTableNAm"/>
            </w:pPr>
            <w:r>
              <w:br/>
            </w:r>
            <w:r>
              <w:br/>
              <w:t>1.85</w:t>
            </w:r>
          </w:p>
          <w:p>
            <w:pPr>
              <w:pStyle w:val="yTableNAm"/>
            </w:pPr>
            <w:r>
              <w:br/>
            </w:r>
            <w:r>
              <w:br/>
              <w:t>21.40</w:t>
            </w:r>
          </w:p>
        </w:tc>
      </w:tr>
      <w:tr>
        <w:tc>
          <w:tcPr>
            <w:tcW w:w="709" w:type="dxa"/>
            <w:tcBorders>
              <w:top w:val="nil"/>
              <w:left w:val="nil"/>
              <w:bottom w:val="nil"/>
              <w:right w:val="nil"/>
            </w:tcBorders>
          </w:tcPr>
          <w:p>
            <w:pPr>
              <w:pStyle w:val="yTableNAm"/>
            </w:pPr>
            <w:r>
              <w:t>5.</w:t>
            </w:r>
          </w:p>
        </w:tc>
        <w:tc>
          <w:tcPr>
            <w:tcW w:w="4961" w:type="dxa"/>
            <w:tcBorders>
              <w:top w:val="nil"/>
              <w:left w:val="nil"/>
              <w:bottom w:val="nil"/>
              <w:right w:val="nil"/>
            </w:tcBorders>
          </w:tcPr>
          <w:p>
            <w:pPr>
              <w:pStyle w:val="yTableNAm"/>
              <w:ind w:left="584" w:hanging="584"/>
            </w:pPr>
            <w:r>
              <w:t>(a)</w:t>
            </w:r>
            <w:r>
              <w:tab/>
              <w:t xml:space="preserve">For an exemplification of a grant (in addition to the fee payable under item 4(a)) </w:t>
            </w:r>
          </w:p>
          <w:p>
            <w:pPr>
              <w:pStyle w:val="yTableNAm"/>
              <w:ind w:left="584" w:hanging="584"/>
            </w:pPr>
            <w:r>
              <w:t>(b)</w:t>
            </w:r>
            <w:r>
              <w:tab/>
              <w:t xml:space="preserve">For settling and sealing a citation or a subpoena </w:t>
            </w:r>
          </w:p>
        </w:tc>
        <w:tc>
          <w:tcPr>
            <w:tcW w:w="1382" w:type="dxa"/>
            <w:tcBorders>
              <w:top w:val="nil"/>
              <w:left w:val="nil"/>
              <w:bottom w:val="nil"/>
              <w:right w:val="nil"/>
            </w:tcBorders>
          </w:tcPr>
          <w:p>
            <w:pPr>
              <w:pStyle w:val="yTableNAm"/>
            </w:pPr>
            <w:r>
              <w:br/>
              <w:t>110.50</w:t>
            </w:r>
          </w:p>
          <w:p>
            <w:pPr>
              <w:pStyle w:val="yTableNAm"/>
            </w:pPr>
            <w:r>
              <w:br/>
              <w:t>110.50</w:t>
            </w:r>
          </w:p>
        </w:tc>
      </w:tr>
      <w:tr>
        <w:tc>
          <w:tcPr>
            <w:tcW w:w="709" w:type="dxa"/>
            <w:tcBorders>
              <w:top w:val="nil"/>
              <w:left w:val="nil"/>
              <w:right w:val="nil"/>
            </w:tcBorders>
          </w:tcPr>
          <w:p>
            <w:pPr>
              <w:pStyle w:val="yTableNAm"/>
            </w:pPr>
            <w:r>
              <w:t>6.</w:t>
            </w:r>
          </w:p>
        </w:tc>
        <w:tc>
          <w:tcPr>
            <w:tcW w:w="4961" w:type="dxa"/>
            <w:tcBorders>
              <w:top w:val="nil"/>
              <w:left w:val="nil"/>
              <w:right w:val="nil"/>
            </w:tcBorders>
          </w:tcPr>
          <w:p>
            <w:pPr>
              <w:pStyle w:val="yTableNAm"/>
            </w:pPr>
            <w:r>
              <w:t xml:space="preserve">For a search for and inspection of a document or file of documents </w:t>
            </w:r>
          </w:p>
        </w:tc>
        <w:tc>
          <w:tcPr>
            <w:tcW w:w="1382" w:type="dxa"/>
            <w:tcBorders>
              <w:top w:val="nil"/>
              <w:left w:val="nil"/>
              <w:right w:val="nil"/>
            </w:tcBorders>
          </w:tcPr>
          <w:p>
            <w:pPr>
              <w:pStyle w:val="yTableNAm"/>
            </w:pPr>
            <w:r>
              <w:br/>
              <w:t>44.50</w:t>
            </w:r>
          </w:p>
        </w:tc>
      </w:tr>
    </w:tbl>
    <w:p>
      <w:pPr>
        <w:pStyle w:val="yFootnotesection"/>
      </w:pPr>
      <w:r>
        <w:tab/>
        <w:t>[Schedule 3 inserted in Gazette 15 Jun 2018 p. 2048</w:t>
      </w:r>
      <w:r>
        <w:noBreakHyphen/>
        <w:t>9.]</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37" w:name="_Toc531865505"/>
      <w:bookmarkStart w:id="38" w:name="_Toc531865731"/>
      <w:bookmarkStart w:id="39" w:name="_Toc531874552"/>
      <w:r>
        <w:rPr>
          <w:rStyle w:val="CharSchNo"/>
        </w:rPr>
        <w:t>Schedule 4</w:t>
      </w:r>
      <w:r>
        <w:t xml:space="preserve"> — </w:t>
      </w:r>
      <w:r>
        <w:rPr>
          <w:rStyle w:val="CharSchText"/>
        </w:rPr>
        <w:t>Forms</w:t>
      </w:r>
      <w:bookmarkEnd w:id="37"/>
      <w:bookmarkEnd w:id="38"/>
      <w:bookmarkEnd w:id="39"/>
    </w:p>
    <w:p>
      <w:pPr>
        <w:pStyle w:val="yShoulderClause"/>
        <w:spacing w:after="120"/>
      </w:pPr>
      <w:r>
        <w:rPr>
          <w:szCs w:val="22"/>
        </w:rPr>
        <w:t>[r. 4A(1) and 8(2)]</w:t>
      </w:r>
      <w:r>
        <w:t xml:space="preserve"> </w:t>
      </w:r>
    </w:p>
    <w:p>
      <w:pPr>
        <w:pStyle w:val="yFootnoteheading"/>
        <w:spacing w:after="80"/>
      </w:pPr>
      <w:r>
        <w:tab/>
        <w:t>[Heading amended in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in Gazette 30 Dec 2003 p. 5700; 23 Jun 2005 p. 2700; 14 Jun 2016 p. 1981.]</w:t>
      </w:r>
    </w:p>
    <w:tbl>
      <w:tblPr>
        <w:tblStyle w:val="TableGrid"/>
        <w:tblW w:w="6596" w:type="dxa"/>
        <w:tblInd w:w="567" w:type="dxa"/>
        <w:tblLayout w:type="fixed"/>
        <w:tblLook w:val="04A0" w:firstRow="1" w:lastRow="0" w:firstColumn="1" w:lastColumn="0" w:noHBand="0" w:noVBand="1"/>
      </w:tblPr>
      <w:tblGrid>
        <w:gridCol w:w="1096"/>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6596" w:type="dxa"/>
            <w:gridSpan w:val="31"/>
          </w:tcPr>
          <w:p>
            <w:pPr>
              <w:pStyle w:val="yTableNAm"/>
              <w:jc w:val="center"/>
              <w:rPr>
                <w:b/>
              </w:rPr>
            </w:pPr>
            <w:r>
              <w:rPr>
                <w:b/>
                <w:bCs/>
              </w:rPr>
              <w:t>Form 2</w:t>
            </w:r>
          </w:p>
          <w:p>
            <w:pPr>
              <w:pStyle w:val="yTableNAm"/>
              <w:jc w:val="center"/>
            </w:pPr>
            <w:r>
              <w:rPr>
                <w:b/>
              </w:rPr>
              <w:t>APPLICATION TO REDUCE FEE</w:t>
            </w:r>
          </w:p>
        </w:tc>
      </w:tr>
      <w:tr>
        <w:tc>
          <w:tcPr>
            <w:tcW w:w="3300"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6596"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6596"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6596" w:type="dxa"/>
            <w:gridSpan w:val="31"/>
          </w:tcPr>
          <w:p>
            <w:pPr>
              <w:pStyle w:val="yTableNAm"/>
            </w:pPr>
            <w:r>
              <w:t>Fee type for which request is made:</w:t>
            </w:r>
          </w:p>
        </w:tc>
      </w:tr>
      <w:tr>
        <w:tc>
          <w:tcPr>
            <w:tcW w:w="1568"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2660"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2660"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2660"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1953" w:type="dxa"/>
            <w:gridSpan w:val="5"/>
            <w:vMerge w:val="restart"/>
            <w:vAlign w:val="center"/>
          </w:tcPr>
          <w:p>
            <w:pPr>
              <w:pStyle w:val="yTableNAm"/>
            </w:pPr>
            <w:r>
              <w:rPr>
                <w:b/>
              </w:rPr>
              <w:t>Applicant Details:</w:t>
            </w:r>
          </w:p>
        </w:tc>
        <w:tc>
          <w:tcPr>
            <w:tcW w:w="1303" w:type="dxa"/>
            <w:gridSpan w:val="10"/>
          </w:tcPr>
          <w:p>
            <w:pPr>
              <w:pStyle w:val="yTableNAm"/>
            </w:pPr>
            <w:r>
              <w:rPr>
                <w:b/>
              </w:rPr>
              <w:t>Full Name:</w:t>
            </w:r>
          </w:p>
        </w:tc>
        <w:tc>
          <w:tcPr>
            <w:tcW w:w="3340" w:type="dxa"/>
            <w:gridSpan w:val="16"/>
          </w:tcPr>
          <w:p>
            <w:pPr>
              <w:pStyle w:val="yTableNAm"/>
            </w:pPr>
          </w:p>
        </w:tc>
      </w:tr>
      <w:tr>
        <w:tc>
          <w:tcPr>
            <w:tcW w:w="1953" w:type="dxa"/>
            <w:gridSpan w:val="5"/>
            <w:vMerge/>
            <w:vAlign w:val="center"/>
          </w:tcPr>
          <w:p>
            <w:pPr>
              <w:pStyle w:val="zyTableNAm"/>
            </w:pPr>
          </w:p>
        </w:tc>
        <w:tc>
          <w:tcPr>
            <w:tcW w:w="4643" w:type="dxa"/>
            <w:gridSpan w:val="26"/>
          </w:tcPr>
          <w:p>
            <w:pPr>
              <w:pStyle w:val="yTableNAm"/>
            </w:pPr>
            <w:r>
              <w:t>Please indicate your party type:</w:t>
            </w:r>
          </w:p>
          <w:p>
            <w:pPr>
              <w:pStyle w:val="yTableNAm"/>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1953"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1953"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6596"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6596" w:type="dxa"/>
            <w:gridSpan w:val="31"/>
          </w:tcPr>
          <w:p>
            <w:pPr>
              <w:pStyle w:val="yTableNAm"/>
            </w:pPr>
          </w:p>
        </w:tc>
      </w:tr>
      <w:tr>
        <w:tc>
          <w:tcPr>
            <w:tcW w:w="6596" w:type="dxa"/>
            <w:gridSpan w:val="31"/>
          </w:tcPr>
          <w:p>
            <w:pPr>
              <w:pStyle w:val="yTableNAm"/>
            </w:pPr>
            <w:r>
              <w:rPr>
                <w:b/>
              </w:rPr>
              <w:t>I certify that the above information and disclosures in this form are true and correct.</w:t>
            </w:r>
          </w:p>
        </w:tc>
      </w:tr>
      <w:tr>
        <w:tc>
          <w:tcPr>
            <w:tcW w:w="3449"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6596"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310"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6596"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195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1796"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1796"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09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p>
          <w:p>
            <w:pPr>
              <w:pStyle w:val="yTableNAm"/>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___</w:t>
            </w:r>
          </w:p>
        </w:tc>
      </w:tr>
      <w:tr>
        <w:trPr>
          <w:trHeight w:val="715"/>
        </w:trPr>
        <w:tc>
          <w:tcPr>
            <w:tcW w:w="1377"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308"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6596"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294"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in Gazette 14 Jun 2016 p. 1982</w:t>
      </w:r>
      <w:r>
        <w:noBreakHyphen/>
        <w:t>6; amended in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40" w:name="_Toc531865506"/>
            <w:bookmarkStart w:id="41" w:name="_Toc531865732"/>
            <w:bookmarkStart w:id="42" w:name="_Toc531874553"/>
            <w:r>
              <w:rPr>
                <w:rStyle w:val="CharSClsNo"/>
              </w:rPr>
              <w:t>Form 3</w:t>
            </w:r>
            <w:bookmarkEnd w:id="40"/>
            <w:bookmarkEnd w:id="41"/>
            <w:bookmarkEnd w:id="42"/>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43" w:name="_Toc531865507"/>
      <w:bookmarkStart w:id="44" w:name="_Toc531865733"/>
      <w:bookmarkStart w:id="45" w:name="_Toc531874554"/>
      <w:r>
        <w:t>Notes</w:t>
      </w:r>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w:t>
      </w:r>
      <w:r>
        <w:rPr>
          <w:vertAlign w:val="superscript"/>
        </w:rPr>
        <w:t>1a</w:t>
      </w:r>
      <w:r>
        <w:rPr>
          <w:snapToGrid w:val="0"/>
        </w:rPr>
        <w:t>.  The table also contains information about any reprint.</w:t>
      </w:r>
    </w:p>
    <w:p>
      <w:pPr>
        <w:pStyle w:val="nHeading3"/>
      </w:pPr>
      <w:bookmarkStart w:id="46" w:name="_Toc531874555"/>
      <w:r>
        <w:t>Compilation table</w:t>
      </w:r>
      <w:bookmarkEnd w:id="46"/>
    </w:p>
    <w:tbl>
      <w:tblPr>
        <w:tblW w:w="7202" w:type="dxa"/>
        <w:tblInd w:w="84" w:type="dxa"/>
        <w:tblLayout w:type="fixed"/>
        <w:tblCellMar>
          <w:left w:w="56" w:type="dxa"/>
          <w:right w:w="56" w:type="dxa"/>
        </w:tblCellMar>
        <w:tblLook w:val="0000" w:firstRow="0" w:lastRow="0" w:firstColumn="0" w:lastColumn="0" w:noHBand="0" w:noVBand="0"/>
      </w:tblPr>
      <w:tblGrid>
        <w:gridCol w:w="3095"/>
        <w:gridCol w:w="1267"/>
        <w:gridCol w:w="2670"/>
        <w:gridCol w:w="61"/>
        <w:gridCol w:w="109"/>
      </w:tblGrid>
      <w:tr>
        <w:trPr>
          <w:gridAfter w:val="1"/>
          <w:wAfter w:w="109" w:type="dxa"/>
          <w:tblHeader/>
        </w:trPr>
        <w:tc>
          <w:tcPr>
            <w:tcW w:w="3095" w:type="dxa"/>
            <w:tcBorders>
              <w:top w:val="single" w:sz="8" w:space="0" w:color="auto"/>
              <w:bottom w:val="single" w:sz="8" w:space="0" w:color="auto"/>
            </w:tcBorders>
            <w:shd w:val="clear" w:color="auto" w:fill="auto"/>
          </w:tcPr>
          <w:p>
            <w:pPr>
              <w:pStyle w:val="nTable"/>
              <w:spacing w:after="40"/>
              <w:rPr>
                <w:b/>
              </w:rPr>
            </w:pPr>
            <w:r>
              <w:rPr>
                <w:b/>
              </w:rPr>
              <w:t>Citation</w:t>
            </w:r>
          </w:p>
        </w:tc>
        <w:tc>
          <w:tcPr>
            <w:tcW w:w="1267" w:type="dxa"/>
            <w:tcBorders>
              <w:top w:val="single" w:sz="8" w:space="0" w:color="auto"/>
              <w:bottom w:val="single" w:sz="8" w:space="0" w:color="auto"/>
            </w:tcBorders>
            <w:shd w:val="clear" w:color="auto" w:fill="auto"/>
          </w:tcPr>
          <w:p>
            <w:pPr>
              <w:pStyle w:val="nTable"/>
              <w:spacing w:after="40"/>
              <w:rPr>
                <w:b/>
              </w:rPr>
            </w:pPr>
            <w:r>
              <w:rPr>
                <w:b/>
              </w:rPr>
              <w:t>Gazettal</w:t>
            </w:r>
          </w:p>
        </w:tc>
        <w:tc>
          <w:tcPr>
            <w:tcW w:w="273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09" w:type="dxa"/>
        </w:trPr>
        <w:tc>
          <w:tcPr>
            <w:tcW w:w="3095" w:type="dxa"/>
            <w:tcBorders>
              <w:top w:val="single" w:sz="8" w:space="0" w:color="auto"/>
            </w:tcBorders>
          </w:tcPr>
          <w:p>
            <w:pPr>
              <w:pStyle w:val="nTable"/>
              <w:spacing w:after="40"/>
            </w:pPr>
            <w:r>
              <w:rPr>
                <w:i/>
              </w:rPr>
              <w:t>Supreme Court (Fees) Regulations 2002</w:t>
            </w:r>
          </w:p>
        </w:tc>
        <w:tc>
          <w:tcPr>
            <w:tcW w:w="1267" w:type="dxa"/>
            <w:tcBorders>
              <w:top w:val="single" w:sz="8" w:space="0" w:color="auto"/>
            </w:tcBorders>
          </w:tcPr>
          <w:p>
            <w:pPr>
              <w:pStyle w:val="nTable"/>
              <w:spacing w:after="40"/>
            </w:pPr>
            <w:r>
              <w:t>27 Dec 2001 p. 6583-616</w:t>
            </w:r>
          </w:p>
        </w:tc>
        <w:tc>
          <w:tcPr>
            <w:tcW w:w="2731" w:type="dxa"/>
            <w:gridSpan w:val="2"/>
            <w:tcBorders>
              <w:top w:val="single" w:sz="8" w:space="0" w:color="auto"/>
            </w:tcBorders>
          </w:tcPr>
          <w:p>
            <w:pPr>
              <w:pStyle w:val="nTable"/>
              <w:spacing w:after="40"/>
            </w:pPr>
            <w:r>
              <w:t>1 Jan 2002 (see r. 2)</w:t>
            </w:r>
          </w:p>
        </w:tc>
      </w:tr>
      <w:tr>
        <w:trPr>
          <w:gridAfter w:val="1"/>
          <w:wAfter w:w="109" w:type="dxa"/>
        </w:trPr>
        <w:tc>
          <w:tcPr>
            <w:tcW w:w="3095" w:type="dxa"/>
          </w:tcPr>
          <w:p>
            <w:pPr>
              <w:pStyle w:val="nTable"/>
              <w:spacing w:after="40"/>
              <w:rPr>
                <w:i/>
              </w:rPr>
            </w:pPr>
            <w:r>
              <w:rPr>
                <w:i/>
              </w:rPr>
              <w:t>Supreme Court (Fees) Amendment Regulations 2002</w:t>
            </w:r>
          </w:p>
        </w:tc>
        <w:tc>
          <w:tcPr>
            <w:tcW w:w="1267" w:type="dxa"/>
          </w:tcPr>
          <w:p>
            <w:pPr>
              <w:pStyle w:val="nTable"/>
              <w:spacing w:after="40"/>
            </w:pPr>
            <w:r>
              <w:t>15 Feb 2002 p. 643</w:t>
            </w:r>
          </w:p>
        </w:tc>
        <w:tc>
          <w:tcPr>
            <w:tcW w:w="2731" w:type="dxa"/>
            <w:gridSpan w:val="2"/>
          </w:tcPr>
          <w:p>
            <w:pPr>
              <w:pStyle w:val="nTable"/>
              <w:spacing w:after="40"/>
            </w:pPr>
            <w:r>
              <w:t>15 Feb 2002</w:t>
            </w:r>
          </w:p>
        </w:tc>
      </w:tr>
      <w:tr>
        <w:trPr>
          <w:gridAfter w:val="1"/>
          <w:wAfter w:w="109" w:type="dxa"/>
          <w:cantSplit/>
        </w:trPr>
        <w:tc>
          <w:tcPr>
            <w:tcW w:w="3095" w:type="dxa"/>
          </w:tcPr>
          <w:p>
            <w:pPr>
              <w:pStyle w:val="nTable"/>
              <w:spacing w:after="40"/>
              <w:ind w:right="113"/>
              <w:rPr>
                <w:i/>
                <w:spacing w:val="-2"/>
              </w:rPr>
            </w:pPr>
            <w:r>
              <w:rPr>
                <w:i/>
              </w:rPr>
              <w:t>Equality of Status Subsidiary Legislation Amendment Regulations 2003</w:t>
            </w:r>
            <w:r>
              <w:t xml:space="preserve"> Pt. 38</w:t>
            </w:r>
          </w:p>
        </w:tc>
        <w:tc>
          <w:tcPr>
            <w:tcW w:w="1267" w:type="dxa"/>
          </w:tcPr>
          <w:p>
            <w:pPr>
              <w:pStyle w:val="nTable"/>
              <w:spacing w:after="40"/>
              <w:rPr>
                <w:spacing w:val="-2"/>
              </w:rPr>
            </w:pPr>
            <w:r>
              <w:t>30 Jun 2003 p. 2581</w:t>
            </w:r>
            <w:r>
              <w:noBreakHyphen/>
              <w:t>638</w:t>
            </w:r>
          </w:p>
        </w:tc>
        <w:tc>
          <w:tcPr>
            <w:tcW w:w="2731" w:type="dxa"/>
            <w:gridSpan w:val="2"/>
          </w:tcPr>
          <w:p>
            <w:pPr>
              <w:pStyle w:val="nTable"/>
              <w:spacing w:after="40"/>
              <w:rPr>
                <w:spacing w:val="-2"/>
              </w:rPr>
            </w:pPr>
            <w:r>
              <w:t xml:space="preserve">1 Jul 2003 (see r. 2 and </w:t>
            </w:r>
            <w:r>
              <w:rPr>
                <w:i/>
              </w:rPr>
              <w:t xml:space="preserve">Gazette </w:t>
            </w:r>
            <w:r>
              <w:t>30 Jun 2003 p. 2579</w:t>
            </w:r>
            <w:r>
              <w:rPr>
                <w:iCs/>
              </w:rPr>
              <w:t>)</w:t>
            </w:r>
          </w:p>
        </w:tc>
      </w:tr>
      <w:tr>
        <w:trPr>
          <w:gridAfter w:val="1"/>
          <w:wAfter w:w="109" w:type="dxa"/>
          <w:cantSplit/>
        </w:trPr>
        <w:tc>
          <w:tcPr>
            <w:tcW w:w="3095" w:type="dxa"/>
          </w:tcPr>
          <w:p>
            <w:pPr>
              <w:pStyle w:val="nTable"/>
              <w:spacing w:after="40"/>
              <w:ind w:right="113"/>
              <w:rPr>
                <w:i/>
              </w:rPr>
            </w:pPr>
            <w:r>
              <w:rPr>
                <w:i/>
              </w:rPr>
              <w:t>Supreme Court (Fees) Amendment Regulations 2003</w:t>
            </w:r>
          </w:p>
        </w:tc>
        <w:tc>
          <w:tcPr>
            <w:tcW w:w="1267" w:type="dxa"/>
          </w:tcPr>
          <w:p>
            <w:pPr>
              <w:pStyle w:val="nTable"/>
              <w:spacing w:after="40"/>
            </w:pPr>
            <w:r>
              <w:t>30 Dec 2003 p. 5693-701</w:t>
            </w:r>
          </w:p>
        </w:tc>
        <w:tc>
          <w:tcPr>
            <w:tcW w:w="2731" w:type="dxa"/>
            <w:gridSpan w:val="2"/>
          </w:tcPr>
          <w:p>
            <w:pPr>
              <w:pStyle w:val="nTable"/>
              <w:spacing w:after="40"/>
              <w:rPr>
                <w:i/>
              </w:rPr>
            </w:pPr>
            <w:r>
              <w:t>1 Jan 2004 (see r. 2)</w:t>
            </w:r>
          </w:p>
        </w:tc>
      </w:tr>
      <w:tr>
        <w:trPr>
          <w:gridAfter w:val="1"/>
          <w:wAfter w:w="109" w:type="dxa"/>
          <w:cantSplit/>
        </w:trPr>
        <w:tc>
          <w:tcPr>
            <w:tcW w:w="3095" w:type="dxa"/>
          </w:tcPr>
          <w:p>
            <w:pPr>
              <w:pStyle w:val="nTable"/>
              <w:spacing w:after="40"/>
              <w:ind w:right="113"/>
              <w:rPr>
                <w:i/>
              </w:rPr>
            </w:pPr>
            <w:r>
              <w:rPr>
                <w:i/>
              </w:rPr>
              <w:t>Supreme Court (Fees) Amendment Regulations 2005</w:t>
            </w:r>
          </w:p>
        </w:tc>
        <w:tc>
          <w:tcPr>
            <w:tcW w:w="1267" w:type="dxa"/>
          </w:tcPr>
          <w:p>
            <w:pPr>
              <w:pStyle w:val="nTable"/>
              <w:spacing w:after="40"/>
            </w:pPr>
            <w:r>
              <w:t>28 Apr 2005 p. 1758-63</w:t>
            </w:r>
          </w:p>
        </w:tc>
        <w:tc>
          <w:tcPr>
            <w:tcW w:w="2731" w:type="dxa"/>
            <w:gridSpan w:val="2"/>
          </w:tcPr>
          <w:p>
            <w:pPr>
              <w:pStyle w:val="nTable"/>
              <w:spacing w:after="40"/>
            </w:pPr>
            <w:r>
              <w:t xml:space="preserve">1 May 2005 (see r. 2 and </w:t>
            </w:r>
            <w:r>
              <w:rPr>
                <w:i/>
                <w:iCs/>
              </w:rPr>
              <w:t>Gazette</w:t>
            </w:r>
            <w:r>
              <w:t xml:space="preserve"> 31 Dec 2004 p. 7128)</w:t>
            </w:r>
          </w:p>
        </w:tc>
      </w:tr>
      <w:tr>
        <w:trPr>
          <w:gridAfter w:val="1"/>
          <w:wAfter w:w="109" w:type="dxa"/>
          <w:cantSplit/>
        </w:trPr>
        <w:tc>
          <w:tcPr>
            <w:tcW w:w="3095" w:type="dxa"/>
          </w:tcPr>
          <w:p>
            <w:pPr>
              <w:pStyle w:val="nTable"/>
              <w:spacing w:after="40"/>
              <w:ind w:right="113"/>
              <w:rPr>
                <w:i/>
              </w:rPr>
            </w:pPr>
            <w:r>
              <w:rPr>
                <w:i/>
              </w:rPr>
              <w:t>Supreme Court (Fees) Amendment Regulations (No. 2) 2005</w:t>
            </w:r>
          </w:p>
        </w:tc>
        <w:tc>
          <w:tcPr>
            <w:tcW w:w="1267" w:type="dxa"/>
          </w:tcPr>
          <w:p>
            <w:pPr>
              <w:pStyle w:val="nTable"/>
              <w:spacing w:after="40"/>
            </w:pPr>
            <w:r>
              <w:t>23 Jun 2005 p. 2693-701</w:t>
            </w:r>
          </w:p>
        </w:tc>
        <w:tc>
          <w:tcPr>
            <w:tcW w:w="2731" w:type="dxa"/>
            <w:gridSpan w:val="2"/>
          </w:tcPr>
          <w:p>
            <w:pPr>
              <w:pStyle w:val="nTable"/>
              <w:spacing w:after="40"/>
            </w:pPr>
            <w:r>
              <w:t>1 Jul 2005 (see r. 2)</w:t>
            </w:r>
          </w:p>
        </w:tc>
      </w:tr>
      <w:tr>
        <w:trPr>
          <w:gridAfter w:val="1"/>
          <w:wAfter w:w="109" w:type="dxa"/>
          <w:cantSplit/>
        </w:trPr>
        <w:tc>
          <w:tcPr>
            <w:tcW w:w="3095" w:type="dxa"/>
          </w:tcPr>
          <w:p>
            <w:pPr>
              <w:pStyle w:val="nTable"/>
              <w:spacing w:after="40"/>
              <w:ind w:right="113"/>
              <w:rPr>
                <w:i/>
              </w:rPr>
            </w:pPr>
            <w:r>
              <w:rPr>
                <w:i/>
              </w:rPr>
              <w:t>Supreme Court (Fees) Amendment Regulations 2006</w:t>
            </w:r>
          </w:p>
        </w:tc>
        <w:tc>
          <w:tcPr>
            <w:tcW w:w="1267" w:type="dxa"/>
          </w:tcPr>
          <w:p>
            <w:pPr>
              <w:pStyle w:val="nTable"/>
              <w:spacing w:after="40"/>
            </w:pPr>
            <w:r>
              <w:t>23 Jun 2006 p. 2184</w:t>
            </w:r>
            <w:r>
              <w:noBreakHyphen/>
              <w:t>7</w:t>
            </w:r>
          </w:p>
        </w:tc>
        <w:tc>
          <w:tcPr>
            <w:tcW w:w="2731" w:type="dxa"/>
            <w:gridSpan w:val="2"/>
          </w:tcPr>
          <w:p>
            <w:pPr>
              <w:pStyle w:val="nTable"/>
              <w:spacing w:after="40"/>
            </w:pPr>
            <w:r>
              <w:t>1 Jul 2006 (see r. 2)</w:t>
            </w:r>
          </w:p>
        </w:tc>
      </w:tr>
      <w:tr>
        <w:trPr>
          <w:gridAfter w:val="1"/>
          <w:wAfter w:w="109" w:type="dxa"/>
          <w:cantSplit/>
        </w:trPr>
        <w:tc>
          <w:tcPr>
            <w:tcW w:w="7093" w:type="dxa"/>
            <w:gridSpan w:val="4"/>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gridAfter w:val="1"/>
          <w:wAfter w:w="109" w:type="dxa"/>
          <w:cantSplit/>
        </w:trPr>
        <w:tc>
          <w:tcPr>
            <w:tcW w:w="3095" w:type="dxa"/>
          </w:tcPr>
          <w:p>
            <w:pPr>
              <w:pStyle w:val="nTable"/>
              <w:spacing w:after="40"/>
              <w:ind w:right="113"/>
              <w:rPr>
                <w:i/>
              </w:rPr>
            </w:pPr>
            <w:r>
              <w:rPr>
                <w:i/>
              </w:rPr>
              <w:t>Supreme Court (Fees) Amendment Regulations 2007</w:t>
            </w:r>
          </w:p>
        </w:tc>
        <w:tc>
          <w:tcPr>
            <w:tcW w:w="1267" w:type="dxa"/>
          </w:tcPr>
          <w:p>
            <w:pPr>
              <w:pStyle w:val="nTable"/>
              <w:spacing w:after="40"/>
            </w:pPr>
            <w:r>
              <w:t>26 Jun 2007 p. 3042-4</w:t>
            </w:r>
          </w:p>
        </w:tc>
        <w:tc>
          <w:tcPr>
            <w:tcW w:w="2731" w:type="dxa"/>
            <w:gridSpan w:val="2"/>
          </w:tcPr>
          <w:p>
            <w:pPr>
              <w:pStyle w:val="nTable"/>
              <w:spacing w:after="40"/>
            </w:pPr>
            <w:r>
              <w:t>r. 1 and 2: 26 Jun 2007 (see r. 2(a));</w:t>
            </w:r>
            <w:r>
              <w:br/>
              <w:t>Regulations other than r. 1 and 2: 1 Jul 2007 (see r. 2(b)(i))</w:t>
            </w:r>
          </w:p>
        </w:tc>
      </w:tr>
      <w:tr>
        <w:trPr>
          <w:gridAfter w:val="1"/>
          <w:wAfter w:w="109" w:type="dxa"/>
          <w:cantSplit/>
        </w:trPr>
        <w:tc>
          <w:tcPr>
            <w:tcW w:w="3095" w:type="dxa"/>
          </w:tcPr>
          <w:p>
            <w:pPr>
              <w:pStyle w:val="nTable"/>
              <w:spacing w:after="40"/>
              <w:ind w:right="113"/>
              <w:rPr>
                <w:i/>
              </w:rPr>
            </w:pPr>
            <w:r>
              <w:rPr>
                <w:i/>
              </w:rPr>
              <w:t>Supreme Court (Fees) Amendment Regulations 2008</w:t>
            </w:r>
          </w:p>
        </w:tc>
        <w:tc>
          <w:tcPr>
            <w:tcW w:w="1267" w:type="dxa"/>
          </w:tcPr>
          <w:p>
            <w:pPr>
              <w:pStyle w:val="nTable"/>
              <w:spacing w:after="40"/>
            </w:pPr>
            <w:r>
              <w:t>8 Feb 2008 p. 313-14</w:t>
            </w:r>
          </w:p>
        </w:tc>
        <w:tc>
          <w:tcPr>
            <w:tcW w:w="2731" w:type="dxa"/>
            <w:gridSpan w:val="2"/>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gridAfter w:val="1"/>
          <w:wAfter w:w="109" w:type="dxa"/>
          <w:cantSplit/>
        </w:trPr>
        <w:tc>
          <w:tcPr>
            <w:tcW w:w="3095" w:type="dxa"/>
          </w:tcPr>
          <w:p>
            <w:pPr>
              <w:pStyle w:val="nTable"/>
              <w:spacing w:after="40"/>
              <w:ind w:right="113"/>
              <w:rPr>
                <w:i/>
              </w:rPr>
            </w:pPr>
            <w:r>
              <w:rPr>
                <w:i/>
              </w:rPr>
              <w:t>Supreme Court (Fees) Amendment Regulations (No. 2) 2008</w:t>
            </w:r>
          </w:p>
        </w:tc>
        <w:tc>
          <w:tcPr>
            <w:tcW w:w="1267" w:type="dxa"/>
          </w:tcPr>
          <w:p>
            <w:pPr>
              <w:pStyle w:val="nTable"/>
              <w:spacing w:after="40"/>
            </w:pPr>
            <w:r>
              <w:t>27 Jun 2008 p. 3059-62</w:t>
            </w:r>
          </w:p>
        </w:tc>
        <w:tc>
          <w:tcPr>
            <w:tcW w:w="2731" w:type="dxa"/>
            <w:gridSpan w:val="2"/>
          </w:tcPr>
          <w:p>
            <w:pPr>
              <w:pStyle w:val="nTable"/>
              <w:spacing w:after="40"/>
            </w:pPr>
            <w:r>
              <w:rPr>
                <w:snapToGrid w:val="0"/>
              </w:rPr>
              <w:t>r. 1 and 2: 27 Jun 2008 (see r. 2(a));</w:t>
            </w:r>
            <w:r>
              <w:rPr>
                <w:snapToGrid w:val="0"/>
              </w:rPr>
              <w:br/>
              <w:t>Regulations other than r. 1 and 2: 1 Jul 2008 (see r. 2(b))</w:t>
            </w:r>
          </w:p>
        </w:tc>
      </w:tr>
      <w:tr>
        <w:trPr>
          <w:gridAfter w:val="1"/>
          <w:wAfter w:w="109" w:type="dxa"/>
          <w:cantSplit/>
        </w:trPr>
        <w:tc>
          <w:tcPr>
            <w:tcW w:w="3095" w:type="dxa"/>
          </w:tcPr>
          <w:p>
            <w:pPr>
              <w:pStyle w:val="nTable"/>
              <w:spacing w:after="40"/>
              <w:ind w:right="113"/>
              <w:rPr>
                <w:i/>
              </w:rPr>
            </w:pPr>
            <w:r>
              <w:rPr>
                <w:i/>
              </w:rPr>
              <w:t>Supreme Court (Fees) Amendment Regulations 2009</w:t>
            </w:r>
          </w:p>
        </w:tc>
        <w:tc>
          <w:tcPr>
            <w:tcW w:w="1267" w:type="dxa"/>
          </w:tcPr>
          <w:p>
            <w:pPr>
              <w:pStyle w:val="nTable"/>
              <w:spacing w:after="40"/>
            </w:pPr>
            <w:r>
              <w:t>9 Jun 2009 p. 1921</w:t>
            </w:r>
            <w:r>
              <w:noBreakHyphen/>
              <w:t>2</w:t>
            </w:r>
          </w:p>
        </w:tc>
        <w:tc>
          <w:tcPr>
            <w:tcW w:w="2731" w:type="dxa"/>
            <w:gridSpan w:val="2"/>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gridAfter w:val="1"/>
          <w:wAfter w:w="109" w:type="dxa"/>
          <w:cantSplit/>
        </w:trPr>
        <w:tc>
          <w:tcPr>
            <w:tcW w:w="3095" w:type="dxa"/>
          </w:tcPr>
          <w:p>
            <w:pPr>
              <w:pStyle w:val="nTable"/>
              <w:spacing w:after="40"/>
              <w:ind w:right="113"/>
              <w:rPr>
                <w:i/>
              </w:rPr>
            </w:pPr>
            <w:r>
              <w:rPr>
                <w:i/>
              </w:rPr>
              <w:t>Supreme Court (Fees) Amendment Regulations (No. 2) 2009</w:t>
            </w:r>
          </w:p>
        </w:tc>
        <w:tc>
          <w:tcPr>
            <w:tcW w:w="1267" w:type="dxa"/>
          </w:tcPr>
          <w:p>
            <w:pPr>
              <w:pStyle w:val="nTable"/>
              <w:spacing w:after="40"/>
            </w:pPr>
            <w:r>
              <w:t>4 Sep 2009 p. 3461-72</w:t>
            </w:r>
          </w:p>
        </w:tc>
        <w:tc>
          <w:tcPr>
            <w:tcW w:w="2731" w:type="dxa"/>
            <w:gridSpan w:val="2"/>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gridAfter w:val="1"/>
          <w:wAfter w:w="109" w:type="dxa"/>
          <w:cantSplit/>
        </w:trPr>
        <w:tc>
          <w:tcPr>
            <w:tcW w:w="7093" w:type="dxa"/>
            <w:gridSpan w:val="4"/>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2010</w:t>
            </w:r>
          </w:p>
        </w:tc>
        <w:tc>
          <w:tcPr>
            <w:tcW w:w="1267" w:type="dxa"/>
          </w:tcPr>
          <w:p>
            <w:pPr>
              <w:pStyle w:val="nTable"/>
              <w:spacing w:after="40"/>
              <w:rPr>
                <w:rFonts w:ascii="Times" w:hAnsi="Times"/>
              </w:rPr>
            </w:pPr>
            <w:r>
              <w:rPr>
                <w:rFonts w:ascii="Times" w:hAnsi="Times"/>
              </w:rPr>
              <w:t>30 Jul 2010 p. 3496-7</w:t>
            </w:r>
          </w:p>
        </w:tc>
        <w:tc>
          <w:tcPr>
            <w:tcW w:w="2731" w:type="dxa"/>
            <w:gridSpan w:val="2"/>
          </w:tcPr>
          <w:p>
            <w:pPr>
              <w:pStyle w:val="nTable"/>
              <w:spacing w:after="40"/>
              <w:rPr>
                <w:rFonts w:ascii="Times" w:hAnsi="Times"/>
                <w:snapToGrid w:val="0"/>
              </w:rPr>
            </w:pPr>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2011</w:t>
            </w:r>
          </w:p>
        </w:tc>
        <w:tc>
          <w:tcPr>
            <w:tcW w:w="1267" w:type="dxa"/>
          </w:tcPr>
          <w:p>
            <w:pPr>
              <w:pStyle w:val="nTable"/>
              <w:spacing w:after="40"/>
              <w:rPr>
                <w:rFonts w:ascii="Times" w:hAnsi="Times"/>
              </w:rPr>
            </w:pPr>
            <w:r>
              <w:rPr>
                <w:rFonts w:ascii="Times" w:hAnsi="Times"/>
              </w:rPr>
              <w:t>8 Mar 2011 p. 781</w:t>
            </w:r>
            <w:r>
              <w:rPr>
                <w:rFonts w:ascii="Times" w:hAnsi="Times"/>
              </w:rPr>
              <w:noBreakHyphen/>
              <w:t>4</w:t>
            </w:r>
          </w:p>
        </w:tc>
        <w:tc>
          <w:tcPr>
            <w:tcW w:w="2731" w:type="dxa"/>
            <w:gridSpan w:val="2"/>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(No. 2) 2011</w:t>
            </w:r>
          </w:p>
        </w:tc>
        <w:tc>
          <w:tcPr>
            <w:tcW w:w="1267" w:type="dxa"/>
          </w:tcPr>
          <w:p>
            <w:pPr>
              <w:pStyle w:val="nTable"/>
              <w:spacing w:after="40"/>
              <w:rPr>
                <w:rFonts w:ascii="Times" w:hAnsi="Times"/>
              </w:rPr>
            </w:pPr>
            <w:r>
              <w:rPr>
                <w:rFonts w:ascii="Times" w:hAnsi="Times"/>
              </w:rPr>
              <w:t>20 Dec 2011 p. 5376-9</w:t>
            </w:r>
          </w:p>
        </w:tc>
        <w:tc>
          <w:tcPr>
            <w:tcW w:w="2731" w:type="dxa"/>
            <w:gridSpan w:val="2"/>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2012</w:t>
            </w:r>
          </w:p>
        </w:tc>
        <w:tc>
          <w:tcPr>
            <w:tcW w:w="1267" w:type="dxa"/>
          </w:tcPr>
          <w:p>
            <w:pPr>
              <w:pStyle w:val="nTable"/>
              <w:spacing w:after="40"/>
              <w:rPr>
                <w:rFonts w:ascii="Times" w:hAnsi="Times"/>
              </w:rPr>
            </w:pPr>
            <w:r>
              <w:rPr>
                <w:rFonts w:ascii="Times" w:hAnsi="Times"/>
              </w:rPr>
              <w:t>27 Mar 2012 p. 1508</w:t>
            </w:r>
          </w:p>
        </w:tc>
        <w:tc>
          <w:tcPr>
            <w:tcW w:w="2731"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(No. 3) 2012</w:t>
            </w:r>
          </w:p>
        </w:tc>
        <w:tc>
          <w:tcPr>
            <w:tcW w:w="1267" w:type="dxa"/>
          </w:tcPr>
          <w:p>
            <w:pPr>
              <w:pStyle w:val="nTable"/>
              <w:spacing w:after="40"/>
              <w:rPr>
                <w:rFonts w:ascii="Times" w:hAnsi="Times"/>
              </w:rPr>
            </w:pPr>
            <w:r>
              <w:rPr>
                <w:rFonts w:ascii="Times" w:hAnsi="Times"/>
              </w:rPr>
              <w:t>30 Nov 2012 p. 5784</w:t>
            </w:r>
            <w:r>
              <w:rPr>
                <w:rFonts w:ascii="Times" w:hAnsi="Times"/>
              </w:rPr>
              <w:noBreakHyphen/>
              <w:t>8</w:t>
            </w:r>
          </w:p>
        </w:tc>
        <w:tc>
          <w:tcPr>
            <w:tcW w:w="2731"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gridAfter w:val="1"/>
          <w:wAfter w:w="109" w:type="dxa"/>
          <w:cantSplit/>
        </w:trPr>
        <w:tc>
          <w:tcPr>
            <w:tcW w:w="3095" w:type="dxa"/>
          </w:tcPr>
          <w:p>
            <w:pPr>
              <w:pStyle w:val="nTable"/>
              <w:spacing w:after="40"/>
              <w:ind w:right="113"/>
              <w:rPr>
                <w:rFonts w:ascii="Times" w:hAnsi="Times"/>
                <w:i/>
              </w:rPr>
            </w:pPr>
            <w:r>
              <w:rPr>
                <w:i/>
              </w:rPr>
              <w:t>Supreme Court (Fees) Amendment Regulations 2013</w:t>
            </w:r>
          </w:p>
        </w:tc>
        <w:tc>
          <w:tcPr>
            <w:tcW w:w="1267" w:type="dxa"/>
          </w:tcPr>
          <w:p>
            <w:pPr>
              <w:pStyle w:val="nTable"/>
              <w:spacing w:after="40"/>
              <w:rPr>
                <w:rFonts w:ascii="Times" w:hAnsi="Times"/>
              </w:rPr>
            </w:pPr>
            <w:r>
              <w:t>19 Jul 2013 p. 3268-9</w:t>
            </w:r>
          </w:p>
        </w:tc>
        <w:tc>
          <w:tcPr>
            <w:tcW w:w="2731" w:type="dxa"/>
            <w:gridSpan w:val="2"/>
          </w:tcPr>
          <w:p>
            <w:pPr>
              <w:pStyle w:val="nTable"/>
              <w:spacing w:after="40"/>
              <w:rPr>
                <w:rFonts w:ascii="Times" w:hAnsi="Times"/>
                <w:snapToGrid w:val="0"/>
              </w:rPr>
            </w:pPr>
            <w:r>
              <w:t>r. 1 and 2: 19 Jul 2013 (see r. 2(a));</w:t>
            </w:r>
            <w:r>
              <w:br/>
              <w:t xml:space="preserve">Regulations other than r. 1 and 2: 7 Aug 2013 (see r. 2(b) and </w:t>
            </w:r>
            <w:r>
              <w:rPr>
                <w:i/>
              </w:rPr>
              <w:t>Gazette</w:t>
            </w:r>
            <w:r>
              <w:t xml:space="preserve"> 6 Aug 2013 p. 3677)</w:t>
            </w:r>
          </w:p>
        </w:tc>
      </w:tr>
      <w:tr>
        <w:trPr>
          <w:gridAfter w:val="1"/>
          <w:wAfter w:w="109" w:type="dxa"/>
          <w:cantSplit/>
        </w:trPr>
        <w:tc>
          <w:tcPr>
            <w:tcW w:w="3095" w:type="dxa"/>
          </w:tcPr>
          <w:p>
            <w:pPr>
              <w:pStyle w:val="nTable"/>
              <w:spacing w:after="40"/>
              <w:ind w:right="113"/>
              <w:rPr>
                <w:i/>
              </w:rPr>
            </w:pPr>
            <w:r>
              <w:rPr>
                <w:rFonts w:ascii="Times" w:hAnsi="Times"/>
                <w:i/>
              </w:rPr>
              <w:t>Supreme Court (Fees) Amendment Regulations (No. 2) 2013</w:t>
            </w:r>
          </w:p>
        </w:tc>
        <w:tc>
          <w:tcPr>
            <w:tcW w:w="1267" w:type="dxa"/>
          </w:tcPr>
          <w:p>
            <w:pPr>
              <w:pStyle w:val="nTable"/>
              <w:spacing w:after="40"/>
            </w:pPr>
            <w:r>
              <w:t>15 Nov 2013 p. 5239-42</w:t>
            </w:r>
          </w:p>
        </w:tc>
        <w:tc>
          <w:tcPr>
            <w:tcW w:w="2731" w:type="dxa"/>
            <w:gridSpan w:val="2"/>
          </w:tcPr>
          <w:p>
            <w:pPr>
              <w:pStyle w:val="nTable"/>
              <w:spacing w:after="40"/>
            </w:pPr>
            <w:r>
              <w:rPr>
                <w:rFonts w:ascii="Times" w:hAnsi="Times"/>
                <w:snapToGrid w:val="0"/>
              </w:rPr>
              <w:t>r. 1 and 2: 15 Nov 2013 (see r. 2(a));</w:t>
            </w:r>
            <w:r>
              <w:rPr>
                <w:rFonts w:ascii="Times" w:hAnsi="Times"/>
                <w:snapToGrid w:val="0"/>
              </w:rPr>
              <w:br/>
              <w:t>Regulations other than r. 1 and 2: 16 Nov 2013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(No. 2) 2014</w:t>
            </w:r>
          </w:p>
        </w:tc>
        <w:tc>
          <w:tcPr>
            <w:tcW w:w="1267" w:type="dxa"/>
          </w:tcPr>
          <w:p>
            <w:pPr>
              <w:pStyle w:val="nTable"/>
              <w:spacing w:after="40"/>
            </w:pPr>
            <w:r>
              <w:t>27 Jun 2014 p. 2347-50</w:t>
            </w:r>
          </w:p>
        </w:tc>
        <w:tc>
          <w:tcPr>
            <w:tcW w:w="2731" w:type="dxa"/>
            <w:gridSpan w:val="2"/>
          </w:tcPr>
          <w:p>
            <w:pPr>
              <w:pStyle w:val="nTable"/>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rPr>
          <w:gridAfter w:val="1"/>
          <w:wAfter w:w="109" w:type="dxa"/>
          <w:cantSplit/>
        </w:trPr>
        <w:tc>
          <w:tcPr>
            <w:tcW w:w="3095" w:type="dxa"/>
          </w:tcPr>
          <w:p>
            <w:pPr>
              <w:pStyle w:val="nTable"/>
              <w:spacing w:after="40"/>
              <w:ind w:right="113"/>
              <w:rPr>
                <w:i/>
              </w:rPr>
            </w:pPr>
            <w:r>
              <w:rPr>
                <w:i/>
              </w:rPr>
              <w:t>Supreme Court (Fees) Amendment Regulations (No. 3) 2014</w:t>
            </w:r>
          </w:p>
        </w:tc>
        <w:tc>
          <w:tcPr>
            <w:tcW w:w="1267" w:type="dxa"/>
          </w:tcPr>
          <w:p>
            <w:pPr>
              <w:pStyle w:val="nTable"/>
              <w:spacing w:after="40"/>
            </w:pPr>
            <w:r>
              <w:t>11 Jul 2014 p. 2437-8</w:t>
            </w:r>
          </w:p>
        </w:tc>
        <w:tc>
          <w:tcPr>
            <w:tcW w:w="2731" w:type="dxa"/>
            <w:gridSpan w:val="2"/>
          </w:tcPr>
          <w:p>
            <w:pPr>
              <w:pStyle w:val="nTable"/>
              <w:spacing w:after="40"/>
              <w:rPr>
                <w:snapToGrid w:val="0"/>
              </w:rPr>
            </w:pPr>
            <w:r>
              <w:rPr>
                <w:snapToGrid w:val="0"/>
              </w:rPr>
              <w:t>r. 1 and 2: 11 Jul 2014 (see r. 2(a));</w:t>
            </w:r>
            <w:r>
              <w:rPr>
                <w:snapToGrid w:val="0"/>
              </w:rPr>
              <w:br/>
              <w:t>Regulations other than r. 1 and 2: 12 Jul 2014 (see r. 2(b)(ii))</w:t>
            </w:r>
          </w:p>
        </w:tc>
      </w:tr>
      <w:tr>
        <w:trPr>
          <w:gridAfter w:val="1"/>
          <w:wAfter w:w="109" w:type="dxa"/>
          <w:cantSplit/>
        </w:trPr>
        <w:tc>
          <w:tcPr>
            <w:tcW w:w="7093" w:type="dxa"/>
            <w:gridSpan w:val="4"/>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gridAfter w:val="1"/>
          <w:wAfter w:w="109" w:type="dxa"/>
          <w:cantSplit/>
        </w:trPr>
        <w:tc>
          <w:tcPr>
            <w:tcW w:w="3095" w:type="dxa"/>
          </w:tcPr>
          <w:p>
            <w:pPr>
              <w:pStyle w:val="nTable"/>
              <w:spacing w:after="40"/>
              <w:ind w:right="113"/>
              <w:rPr>
                <w:i/>
              </w:rPr>
            </w:pPr>
            <w:r>
              <w:rPr>
                <w:i/>
              </w:rPr>
              <w:t>Supreme Court (Fees) Amendment Regulations (No. 2) 2015</w:t>
            </w:r>
          </w:p>
        </w:tc>
        <w:tc>
          <w:tcPr>
            <w:tcW w:w="1267" w:type="dxa"/>
          </w:tcPr>
          <w:p>
            <w:pPr>
              <w:pStyle w:val="nTable"/>
              <w:spacing w:after="40"/>
            </w:pPr>
            <w:r>
              <w:t>19 Jun 2015 p. 2130</w:t>
            </w:r>
            <w:r>
              <w:noBreakHyphen/>
              <w:t>4</w:t>
            </w:r>
          </w:p>
        </w:tc>
        <w:tc>
          <w:tcPr>
            <w:tcW w:w="2731" w:type="dxa"/>
            <w:gridSpan w:val="2"/>
          </w:tcPr>
          <w:p>
            <w:pPr>
              <w:pStyle w:val="nTable"/>
              <w:spacing w:after="40"/>
              <w:rPr>
                <w:snapToGrid w:val="0"/>
              </w:rPr>
            </w:pPr>
            <w:r>
              <w:rPr>
                <w:snapToGrid w:val="0"/>
              </w:rPr>
              <w:t>r. 1 and 2: 19 Jun 2015 (see r. 2(a));</w:t>
            </w:r>
            <w:r>
              <w:rPr>
                <w:snapToGrid w:val="0"/>
              </w:rPr>
              <w:br/>
              <w:t>Regulations other than r. 1 and 2: 1 Jul 2015 (see r. 2(b)(i))</w:t>
            </w:r>
          </w:p>
        </w:tc>
      </w:tr>
      <w:tr>
        <w:trPr>
          <w:gridAfter w:val="1"/>
          <w:wAfter w:w="109" w:type="dxa"/>
          <w:cantSplit/>
        </w:trPr>
        <w:tc>
          <w:tcPr>
            <w:tcW w:w="3095" w:type="dxa"/>
          </w:tcPr>
          <w:p>
            <w:pPr>
              <w:pStyle w:val="nTable"/>
              <w:spacing w:after="40"/>
              <w:ind w:right="113"/>
              <w:rPr>
                <w:i/>
              </w:rPr>
            </w:pPr>
            <w:r>
              <w:rPr>
                <w:i/>
              </w:rPr>
              <w:t>Attorney General Regulations Amendment (Fees) Regulations 2016</w:t>
            </w:r>
            <w:r>
              <w:t xml:space="preserve"> Pt. 10</w:t>
            </w:r>
          </w:p>
        </w:tc>
        <w:tc>
          <w:tcPr>
            <w:tcW w:w="1267" w:type="dxa"/>
          </w:tcPr>
          <w:p>
            <w:pPr>
              <w:pStyle w:val="nTable"/>
              <w:spacing w:after="40"/>
            </w:pPr>
            <w:r>
              <w:t>14 Jun 2016 p. 1849</w:t>
            </w:r>
            <w:r>
              <w:noBreakHyphen/>
              <w:t>986</w:t>
            </w:r>
          </w:p>
        </w:tc>
        <w:tc>
          <w:tcPr>
            <w:tcW w:w="2731" w:type="dxa"/>
            <w:gridSpan w:val="2"/>
          </w:tcPr>
          <w:p>
            <w:pPr>
              <w:pStyle w:val="nTable"/>
              <w:spacing w:after="40"/>
              <w:rPr>
                <w:snapToGrid w:val="0"/>
              </w:rPr>
            </w:pPr>
            <w:r>
              <w:t>4 Jul 2016 (see r. 2(b))</w:t>
            </w:r>
          </w:p>
        </w:tc>
      </w:tr>
      <w:tr>
        <w:tc>
          <w:tcPr>
            <w:tcW w:w="3095" w:type="dxa"/>
            <w:shd w:val="clear" w:color="auto" w:fill="auto"/>
          </w:tcPr>
          <w:p>
            <w:pPr>
              <w:pStyle w:val="nTable"/>
              <w:spacing w:after="40"/>
            </w:pPr>
            <w:r>
              <w:rPr>
                <w:i/>
              </w:rPr>
              <w:t xml:space="preserve">Attorney General Regulations Amendment (Fees and Charges) Regulations 2017 </w:t>
            </w:r>
            <w:r>
              <w:t>Pt. 10</w:t>
            </w:r>
          </w:p>
        </w:tc>
        <w:tc>
          <w:tcPr>
            <w:tcW w:w="1267" w:type="dxa"/>
            <w:shd w:val="clear" w:color="auto" w:fill="auto"/>
          </w:tcPr>
          <w:p>
            <w:pPr>
              <w:pStyle w:val="nTable"/>
              <w:spacing w:after="40"/>
            </w:pPr>
            <w:r>
              <w:t>7 Jul 2017 p. 3721</w:t>
            </w:r>
            <w:r>
              <w:noBreakHyphen/>
              <w:t>98</w:t>
            </w:r>
          </w:p>
        </w:tc>
        <w:tc>
          <w:tcPr>
            <w:tcW w:w="2840" w:type="dxa"/>
            <w:gridSpan w:val="3"/>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095" w:type="dxa"/>
            <w:shd w:val="clear" w:color="auto" w:fill="auto"/>
          </w:tcPr>
          <w:p>
            <w:pPr>
              <w:pStyle w:val="nTable"/>
              <w:spacing w:after="40"/>
              <w:rPr>
                <w:i/>
              </w:rPr>
            </w:pPr>
            <w:r>
              <w:rPr>
                <w:i/>
              </w:rPr>
              <w:t>Supreme Court (Fees) Amendment Regulations 2017</w:t>
            </w:r>
          </w:p>
        </w:tc>
        <w:tc>
          <w:tcPr>
            <w:tcW w:w="1267" w:type="dxa"/>
            <w:shd w:val="clear" w:color="auto" w:fill="auto"/>
          </w:tcPr>
          <w:p>
            <w:pPr>
              <w:pStyle w:val="nTable"/>
              <w:spacing w:after="40"/>
            </w:pPr>
            <w:r>
              <w:t>19 Sep 2017 p. 4885</w:t>
            </w:r>
            <w:r>
              <w:noBreakHyphen/>
              <w:t>6</w:t>
            </w:r>
          </w:p>
        </w:tc>
        <w:tc>
          <w:tcPr>
            <w:tcW w:w="2840" w:type="dxa"/>
            <w:gridSpan w:val="3"/>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c>
          <w:tcPr>
            <w:tcW w:w="3095" w:type="dxa"/>
            <w:shd w:val="clear" w:color="auto" w:fill="auto"/>
          </w:tcPr>
          <w:p>
            <w:pPr>
              <w:pStyle w:val="nTable"/>
              <w:spacing w:after="40"/>
              <w:rPr>
                <w:i/>
              </w:rPr>
            </w:pPr>
            <w:r>
              <w:rPr>
                <w:i/>
              </w:rPr>
              <w:t>Attorney General Regulations Amendment (Bailiff Fees) Regulations 2018</w:t>
            </w:r>
            <w:r>
              <w:t xml:space="preserve"> Pt. 6</w:t>
            </w:r>
          </w:p>
        </w:tc>
        <w:tc>
          <w:tcPr>
            <w:tcW w:w="1267" w:type="dxa"/>
            <w:shd w:val="clear" w:color="auto" w:fill="auto"/>
          </w:tcPr>
          <w:p>
            <w:pPr>
              <w:pStyle w:val="nTable"/>
              <w:spacing w:after="40"/>
            </w:pPr>
            <w:r>
              <w:t>9 Feb 2018 p. 401</w:t>
            </w:r>
            <w:r>
              <w:noBreakHyphen/>
              <w:t>5</w:t>
            </w:r>
          </w:p>
        </w:tc>
        <w:tc>
          <w:tcPr>
            <w:tcW w:w="2840" w:type="dxa"/>
            <w:gridSpan w:val="3"/>
            <w:shd w:val="clear" w:color="auto" w:fill="auto"/>
          </w:tcPr>
          <w:p>
            <w:pPr>
              <w:pStyle w:val="nTable"/>
              <w:spacing w:after="40"/>
              <w:rPr>
                <w:snapToGrid w:val="0"/>
              </w:rPr>
            </w:pPr>
            <w:r>
              <w:rPr>
                <w:bCs/>
                <w:snapToGrid w:val="0"/>
              </w:rPr>
              <w:t>10 Feb 2018 (see r. 2(b))</w:t>
            </w:r>
          </w:p>
        </w:tc>
      </w:tr>
      <w:tr>
        <w:tc>
          <w:tcPr>
            <w:tcW w:w="3095" w:type="dxa"/>
            <w:shd w:val="clear" w:color="auto" w:fill="auto"/>
          </w:tcPr>
          <w:p>
            <w:pPr>
              <w:pStyle w:val="nTable"/>
              <w:spacing w:after="40"/>
              <w:rPr>
                <w:i/>
              </w:rPr>
            </w:pPr>
            <w:r>
              <w:rPr>
                <w:i/>
              </w:rPr>
              <w:t>Attorney General Regulations Amendment (Fees and Charges) Regulations 2018</w:t>
            </w:r>
            <w:r>
              <w:t xml:space="preserve"> Pt. 10</w:t>
            </w:r>
          </w:p>
        </w:tc>
        <w:tc>
          <w:tcPr>
            <w:tcW w:w="1267" w:type="dxa"/>
            <w:shd w:val="clear" w:color="auto" w:fill="auto"/>
          </w:tcPr>
          <w:p>
            <w:pPr>
              <w:pStyle w:val="nTable"/>
              <w:spacing w:after="40"/>
            </w:pPr>
            <w:r>
              <w:t>15 Jun 2018 p. 1963</w:t>
            </w:r>
            <w:r>
              <w:noBreakHyphen/>
              <w:t>2049</w:t>
            </w:r>
          </w:p>
        </w:tc>
        <w:tc>
          <w:tcPr>
            <w:tcW w:w="2840" w:type="dxa"/>
            <w:gridSpan w:val="3"/>
            <w:shd w:val="clear" w:color="auto" w:fill="auto"/>
          </w:tcPr>
          <w:p>
            <w:pPr>
              <w:pStyle w:val="nTable"/>
              <w:spacing w:after="40"/>
              <w:rPr>
                <w:bCs/>
                <w:snapToGrid w:val="0"/>
              </w:rPr>
            </w:pPr>
            <w:r>
              <w:rPr>
                <w:bCs/>
                <w:snapToGrid w:val="0"/>
              </w:rPr>
              <w:t>1 Jul 2018 (see r. 2(b))</w:t>
            </w:r>
          </w:p>
        </w:tc>
      </w:tr>
      <w:tr>
        <w:trPr>
          <w:gridAfter w:val="2"/>
          <w:wAfter w:w="170" w:type="dxa"/>
        </w:trPr>
        <w:tc>
          <w:tcPr>
            <w:tcW w:w="3095" w:type="dxa"/>
            <w:tcBorders>
              <w:bottom w:val="single" w:sz="4" w:space="0" w:color="auto"/>
            </w:tcBorders>
            <w:shd w:val="clear" w:color="auto" w:fill="auto"/>
          </w:tcPr>
          <w:p>
            <w:pPr>
              <w:pStyle w:val="nTable"/>
              <w:keepNext/>
              <w:spacing w:after="40"/>
            </w:pPr>
            <w:r>
              <w:rPr>
                <w:i/>
              </w:rPr>
              <w:t>Justice Regulations Amendment (Fee Relief) Regulations 2018</w:t>
            </w:r>
            <w:r>
              <w:t xml:space="preserve"> Pt. 8</w:t>
            </w:r>
          </w:p>
        </w:tc>
        <w:tc>
          <w:tcPr>
            <w:tcW w:w="1267" w:type="dxa"/>
            <w:tcBorders>
              <w:bottom w:val="single" w:sz="4" w:space="0" w:color="auto"/>
            </w:tcBorders>
            <w:shd w:val="clear" w:color="auto" w:fill="auto"/>
          </w:tcPr>
          <w:p>
            <w:pPr>
              <w:pStyle w:val="nTable"/>
              <w:keepNext/>
              <w:spacing w:after="40"/>
            </w:pPr>
            <w:r>
              <w:t>20 Jul 2018 p. 2621</w:t>
            </w:r>
            <w:r>
              <w:noBreakHyphen/>
              <w:t>30</w:t>
            </w:r>
          </w:p>
        </w:tc>
        <w:tc>
          <w:tcPr>
            <w:tcW w:w="2670" w:type="dxa"/>
            <w:tcBorders>
              <w:bottom w:val="single" w:sz="4" w:space="0" w:color="auto"/>
            </w:tcBorders>
            <w:shd w:val="clear" w:color="auto" w:fill="auto"/>
          </w:tcPr>
          <w:p>
            <w:pPr>
              <w:pStyle w:val="nTable"/>
              <w:keepNext/>
              <w:spacing w:after="40"/>
              <w:rPr>
                <w:bCs/>
                <w:snapToGrid w:val="0"/>
              </w:rPr>
            </w:pPr>
            <w:r>
              <w:rPr>
                <w:rFonts w:ascii="Times" w:hAnsi="Times"/>
                <w:bCs/>
                <w:snapToGrid w:val="0"/>
              </w:rPr>
              <w:t>21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 w:name="_Toc531863342"/>
      <w:bookmarkStart w:id="48" w:name="_Toc531864839"/>
      <w:bookmarkStart w:id="49" w:name="_Toc531874556"/>
      <w:r>
        <w:t>Provisions that have not come into operation</w:t>
      </w:r>
      <w:bookmarkEnd w:id="47"/>
      <w:bookmarkEnd w:id="48"/>
      <w:bookmarkEnd w:id="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Attorney General Regulations Amendment (Transcript Fees) Regulations 2018 </w:t>
            </w:r>
            <w:r>
              <w:t>Pt. 7</w:t>
            </w:r>
            <w:r>
              <w:rPr>
                <w:i/>
              </w:rPr>
              <w:t> </w:t>
            </w:r>
            <w:r>
              <w:rPr>
                <w:vertAlign w:val="superscript"/>
              </w:rPr>
              <w:t>4</w:t>
            </w:r>
          </w:p>
        </w:tc>
        <w:tc>
          <w:tcPr>
            <w:tcW w:w="1276" w:type="dxa"/>
          </w:tcPr>
          <w:p>
            <w:pPr>
              <w:pStyle w:val="nTable"/>
              <w:spacing w:after="40"/>
            </w:pPr>
            <w:r>
              <w:t>7 Dec 2018 p. 4667-74</w:t>
            </w:r>
          </w:p>
        </w:tc>
        <w:tc>
          <w:tcPr>
            <w:tcW w:w="2693" w:type="dxa"/>
          </w:tcPr>
          <w:p>
            <w:pPr>
              <w:pStyle w:val="nTable"/>
              <w:spacing w:after="40"/>
            </w:pPr>
            <w:r>
              <w:t>18 Dec 2018 (see r. 2(b)(i))</w:t>
            </w:r>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Pr>
        <w:pStyle w:val="nSubsection"/>
        <w:spacing w:before="180"/>
      </w:pPr>
      <w:r>
        <w:rPr>
          <w:vertAlign w:val="superscript"/>
        </w:rPr>
        <w:t>4</w:t>
      </w:r>
      <w:r>
        <w:tab/>
        <w:t xml:space="preserve">On the date at which this compilation was prepared, the </w:t>
      </w:r>
      <w:r>
        <w:rPr>
          <w:i/>
        </w:rPr>
        <w:t xml:space="preserve">Attorney General Regulations Amendment (Transcript Fees) Regulations 2018 </w:t>
      </w:r>
      <w:r>
        <w:t>Pt. 7 had not come into operation. It reads as follows:</w:t>
      </w:r>
    </w:p>
    <w:p>
      <w:pPr>
        <w:pStyle w:val="BlankOpen"/>
      </w:pPr>
    </w:p>
    <w:p>
      <w:pPr>
        <w:pStyle w:val="nzHeading2"/>
      </w:pPr>
      <w:bookmarkStart w:id="50" w:name="_Toc529949422"/>
      <w:bookmarkStart w:id="51" w:name="_Toc529949443"/>
      <w:bookmarkStart w:id="52" w:name="_Toc529949836"/>
      <w:bookmarkStart w:id="53" w:name="_Toc529950664"/>
      <w:bookmarkStart w:id="54" w:name="_Toc529950746"/>
      <w:bookmarkStart w:id="55" w:name="_Toc529957762"/>
      <w:r>
        <w:rPr>
          <w:rStyle w:val="CharPartNo"/>
        </w:rPr>
        <w:t>Part 7</w:t>
      </w:r>
      <w:r>
        <w:rPr>
          <w:rStyle w:val="CharDivNo"/>
        </w:rPr>
        <w:t> </w:t>
      </w:r>
      <w:r>
        <w:t>—</w:t>
      </w:r>
      <w:r>
        <w:rPr>
          <w:rStyle w:val="CharDivText"/>
        </w:rPr>
        <w:t> </w:t>
      </w:r>
      <w:r>
        <w:rPr>
          <w:rStyle w:val="CharPartText"/>
          <w:i/>
        </w:rPr>
        <w:t>Supreme Court (Fees) Regulations 2002</w:t>
      </w:r>
      <w:r>
        <w:rPr>
          <w:rStyle w:val="CharPartText"/>
        </w:rPr>
        <w:t xml:space="preserve"> amended</w:t>
      </w:r>
      <w:bookmarkEnd w:id="50"/>
      <w:bookmarkEnd w:id="51"/>
      <w:bookmarkEnd w:id="52"/>
      <w:bookmarkEnd w:id="53"/>
      <w:bookmarkEnd w:id="54"/>
      <w:bookmarkEnd w:id="55"/>
    </w:p>
    <w:p>
      <w:pPr>
        <w:pStyle w:val="nzHeading5"/>
        <w:rPr>
          <w:snapToGrid w:val="0"/>
        </w:rPr>
      </w:pPr>
      <w:bookmarkStart w:id="56" w:name="_Toc529950665"/>
      <w:bookmarkStart w:id="57" w:name="_Toc529957763"/>
      <w:r>
        <w:rPr>
          <w:rStyle w:val="CharSectno"/>
        </w:rPr>
        <w:t>13</w:t>
      </w:r>
      <w:r>
        <w:rPr>
          <w:snapToGrid w:val="0"/>
        </w:rPr>
        <w:t>.</w:t>
      </w:r>
      <w:r>
        <w:rPr>
          <w:snapToGrid w:val="0"/>
        </w:rPr>
        <w:tab/>
        <w:t>Regulations amended</w:t>
      </w:r>
      <w:bookmarkEnd w:id="56"/>
      <w:bookmarkEnd w:id="57"/>
    </w:p>
    <w:p>
      <w:pPr>
        <w:pStyle w:val="nzSubsection"/>
      </w:pPr>
      <w:r>
        <w:tab/>
      </w:r>
      <w:r>
        <w:tab/>
        <w:t>This Part</w:t>
      </w:r>
      <w:r>
        <w:rPr>
          <w:spacing w:val="-2"/>
        </w:rPr>
        <w:t xml:space="preserve"> amends</w:t>
      </w:r>
      <w:r>
        <w:t xml:space="preserve"> the </w:t>
      </w:r>
      <w:r>
        <w:rPr>
          <w:i/>
        </w:rPr>
        <w:t>Supreme Court (Fees) Regulations 2002</w:t>
      </w:r>
      <w:r>
        <w:t>.</w:t>
      </w:r>
    </w:p>
    <w:p>
      <w:pPr>
        <w:pStyle w:val="nzHeading5"/>
      </w:pPr>
      <w:bookmarkStart w:id="58" w:name="_Toc529950666"/>
      <w:bookmarkStart w:id="59" w:name="_Toc529957764"/>
      <w:r>
        <w:rPr>
          <w:rStyle w:val="CharSectno"/>
        </w:rPr>
        <w:t>14</w:t>
      </w:r>
      <w:r>
        <w:t>.</w:t>
      </w:r>
      <w:r>
        <w:tab/>
        <w:t>Schedule 1 amended</w:t>
      </w:r>
      <w:bookmarkEnd w:id="58"/>
      <w:bookmarkEnd w:id="59"/>
    </w:p>
    <w:p>
      <w:pPr>
        <w:pStyle w:val="nzSubsection"/>
      </w:pPr>
      <w:r>
        <w:tab/>
        <w:t>(1)</w:t>
      </w:r>
      <w:r>
        <w:tab/>
        <w:t>Delete Schedule 1 Division 1 item 13 and insert:</w:t>
      </w:r>
    </w:p>
    <w:p>
      <w:pPr>
        <w:pStyle w:val="BlankOpen"/>
      </w:pPr>
    </w:p>
    <w:tbl>
      <w:tblPr>
        <w:tblW w:w="7088" w:type="dxa"/>
        <w:tblInd w:w="108" w:type="dxa"/>
        <w:tblLayout w:type="fixed"/>
        <w:tblLook w:val="0000" w:firstRow="0" w:lastRow="0" w:firstColumn="0" w:lastColumn="0" w:noHBand="0" w:noVBand="0"/>
      </w:tblPr>
      <w:tblGrid>
        <w:gridCol w:w="709"/>
        <w:gridCol w:w="2977"/>
        <w:gridCol w:w="1134"/>
        <w:gridCol w:w="1134"/>
        <w:gridCol w:w="1134"/>
      </w:tblGrid>
      <w:tr>
        <w:trPr>
          <w:cantSplit/>
        </w:trPr>
        <w:tc>
          <w:tcPr>
            <w:tcW w:w="709" w:type="dxa"/>
          </w:tcPr>
          <w:p>
            <w:pPr>
              <w:pStyle w:val="yTableNAm"/>
            </w:pPr>
            <w:r>
              <w:t>13.</w:t>
            </w:r>
          </w:p>
        </w:tc>
        <w:tc>
          <w:tcPr>
            <w:tcW w:w="2977" w:type="dxa"/>
          </w:tcPr>
          <w:p>
            <w:pPr>
              <w:pStyle w:val="yTableNAm"/>
              <w:ind w:left="601" w:hanging="601"/>
            </w:pPr>
            <w:r>
              <w:t>(a)</w:t>
            </w:r>
            <w:r>
              <w:tab/>
              <w:t xml:space="preserve">For the preparation of a transcript, or part of a transcript — </w:t>
            </w:r>
          </w:p>
        </w:tc>
        <w:tc>
          <w:tcPr>
            <w:tcW w:w="1134" w:type="dxa"/>
          </w:tcPr>
          <w:p>
            <w:pPr>
              <w:pStyle w:val="yTableNAm"/>
            </w:pPr>
          </w:p>
        </w:tc>
        <w:tc>
          <w:tcPr>
            <w:tcW w:w="1134" w:type="dxa"/>
          </w:tcPr>
          <w:p>
            <w:pPr>
              <w:pStyle w:val="yTableNAm"/>
            </w:pPr>
          </w:p>
        </w:tc>
        <w:tc>
          <w:tcPr>
            <w:tcW w:w="1134" w:type="dxa"/>
          </w:tcPr>
          <w:p>
            <w:pPr>
              <w:pStyle w:val="yTableNAm"/>
            </w:pPr>
          </w:p>
        </w:tc>
      </w:tr>
      <w:tr>
        <w:trPr>
          <w:cantSplit/>
        </w:trPr>
        <w:tc>
          <w:tcPr>
            <w:tcW w:w="709" w:type="dxa"/>
          </w:tcPr>
          <w:p>
            <w:pPr>
              <w:pStyle w:val="yTableNAm"/>
              <w:ind w:left="1168" w:hanging="1168"/>
            </w:pPr>
          </w:p>
        </w:tc>
        <w:tc>
          <w:tcPr>
            <w:tcW w:w="2977" w:type="dxa"/>
          </w:tcPr>
          <w:p>
            <w:pPr>
              <w:pStyle w:val="yTableNAm"/>
              <w:ind w:left="1168" w:hanging="1168"/>
            </w:pPr>
            <w:r>
              <w:tab/>
              <w:t>(i)</w:t>
            </w:r>
            <w:r>
              <w:tab/>
              <w:t xml:space="preserve">provided within 1 day after the day on which the fee is paid </w:t>
            </w:r>
          </w:p>
        </w:tc>
        <w:tc>
          <w:tcPr>
            <w:tcW w:w="1134" w:type="dxa"/>
          </w:tcPr>
          <w:p>
            <w:pPr>
              <w:pStyle w:val="yTableNAm"/>
            </w:pPr>
            <w:r>
              <w:t>20.50 plus</w:t>
            </w:r>
            <w:r>
              <w:br/>
              <w:t>8.45 per page</w:t>
            </w:r>
          </w:p>
        </w:tc>
        <w:tc>
          <w:tcPr>
            <w:tcW w:w="1134" w:type="dxa"/>
          </w:tcPr>
          <w:p>
            <w:pPr>
              <w:pStyle w:val="yTableNAm"/>
            </w:pPr>
            <w:r>
              <w:t>20.50 plus</w:t>
            </w:r>
            <w:r>
              <w:br/>
              <w:t>16.90 per page</w:t>
            </w:r>
          </w:p>
        </w:tc>
        <w:tc>
          <w:tcPr>
            <w:tcW w:w="1134" w:type="dxa"/>
          </w:tcPr>
          <w:p>
            <w:pPr>
              <w:pStyle w:val="yTableNAm"/>
            </w:pPr>
            <w:r>
              <w:t xml:space="preserve">6.15 plus </w:t>
            </w:r>
            <w:r>
              <w:br/>
              <w:t>2.55 per page</w:t>
            </w:r>
          </w:p>
        </w:tc>
      </w:tr>
      <w:tr>
        <w:trPr>
          <w:cantSplit/>
        </w:trPr>
        <w:tc>
          <w:tcPr>
            <w:tcW w:w="709" w:type="dxa"/>
          </w:tcPr>
          <w:p>
            <w:pPr>
              <w:pStyle w:val="yTableNAm"/>
              <w:ind w:left="1168" w:hanging="1168"/>
            </w:pPr>
          </w:p>
        </w:tc>
        <w:tc>
          <w:tcPr>
            <w:tcW w:w="2977" w:type="dxa"/>
          </w:tcPr>
          <w:p>
            <w:pPr>
              <w:pStyle w:val="yTableNAm"/>
              <w:ind w:left="1168" w:hanging="1168"/>
            </w:pPr>
            <w:r>
              <w:tab/>
              <w:t>(ii)</w:t>
            </w:r>
            <w:r>
              <w:tab/>
              <w:t xml:space="preserve">provided within 2 days after the day on which the fee is paid </w:t>
            </w:r>
          </w:p>
        </w:tc>
        <w:tc>
          <w:tcPr>
            <w:tcW w:w="1134" w:type="dxa"/>
          </w:tcPr>
          <w:p>
            <w:pPr>
              <w:pStyle w:val="yTableNAm"/>
            </w:pPr>
            <w:r>
              <w:t>20.50 plus</w:t>
            </w:r>
            <w:r>
              <w:br/>
              <w:t>7.75 per page</w:t>
            </w:r>
          </w:p>
        </w:tc>
        <w:tc>
          <w:tcPr>
            <w:tcW w:w="1134" w:type="dxa"/>
          </w:tcPr>
          <w:p>
            <w:pPr>
              <w:pStyle w:val="yTableNAm"/>
            </w:pPr>
            <w:r>
              <w:t>20.50 plus</w:t>
            </w:r>
            <w:r>
              <w:br/>
              <w:t>15.50 per page</w:t>
            </w:r>
          </w:p>
        </w:tc>
        <w:tc>
          <w:tcPr>
            <w:tcW w:w="1134" w:type="dxa"/>
          </w:tcPr>
          <w:p>
            <w:pPr>
              <w:pStyle w:val="yTableNAm"/>
            </w:pPr>
            <w:r>
              <w:t xml:space="preserve">6.15 plus </w:t>
            </w:r>
            <w:r>
              <w:br/>
              <w:t>2.35 per page</w:t>
            </w:r>
          </w:p>
        </w:tc>
      </w:tr>
      <w:tr>
        <w:trPr>
          <w:cantSplit/>
        </w:trPr>
        <w:tc>
          <w:tcPr>
            <w:tcW w:w="709" w:type="dxa"/>
          </w:tcPr>
          <w:p>
            <w:pPr>
              <w:pStyle w:val="yTableNAm"/>
              <w:ind w:left="1168" w:hanging="1168"/>
            </w:pPr>
          </w:p>
        </w:tc>
        <w:tc>
          <w:tcPr>
            <w:tcW w:w="2977" w:type="dxa"/>
          </w:tcPr>
          <w:p>
            <w:pPr>
              <w:pStyle w:val="yTableNAm"/>
              <w:ind w:left="1168" w:hanging="1168"/>
            </w:pPr>
            <w:r>
              <w:tab/>
              <w:t>(iii)</w:t>
            </w:r>
            <w:r>
              <w:tab/>
              <w:t xml:space="preserve">provided within 4 days after the day on which the fee is paid </w:t>
            </w:r>
          </w:p>
        </w:tc>
        <w:tc>
          <w:tcPr>
            <w:tcW w:w="1134" w:type="dxa"/>
          </w:tcPr>
          <w:p>
            <w:pPr>
              <w:pStyle w:val="yTableNAm"/>
            </w:pPr>
            <w:r>
              <w:t>20.50 plus</w:t>
            </w:r>
            <w:r>
              <w:br/>
              <w:t>7.30 per page</w:t>
            </w:r>
          </w:p>
        </w:tc>
        <w:tc>
          <w:tcPr>
            <w:tcW w:w="1134" w:type="dxa"/>
          </w:tcPr>
          <w:p>
            <w:pPr>
              <w:pStyle w:val="yTableNAm"/>
            </w:pPr>
            <w:r>
              <w:t>20.50 plus</w:t>
            </w:r>
            <w:r>
              <w:br/>
              <w:t>14.75 per page</w:t>
            </w:r>
          </w:p>
        </w:tc>
        <w:tc>
          <w:tcPr>
            <w:tcW w:w="1134" w:type="dxa"/>
          </w:tcPr>
          <w:p>
            <w:pPr>
              <w:pStyle w:val="yTableNAm"/>
            </w:pPr>
            <w:r>
              <w:t xml:space="preserve">6.15 plus </w:t>
            </w:r>
            <w:r>
              <w:br/>
              <w:t>2.20 per page</w:t>
            </w:r>
          </w:p>
        </w:tc>
      </w:tr>
      <w:tr>
        <w:trPr>
          <w:cantSplit/>
        </w:trPr>
        <w:tc>
          <w:tcPr>
            <w:tcW w:w="709" w:type="dxa"/>
          </w:tcPr>
          <w:p>
            <w:pPr>
              <w:pStyle w:val="yTableNAm"/>
              <w:ind w:left="1168" w:hanging="1168"/>
            </w:pPr>
          </w:p>
        </w:tc>
        <w:tc>
          <w:tcPr>
            <w:tcW w:w="2977" w:type="dxa"/>
          </w:tcPr>
          <w:p>
            <w:pPr>
              <w:pStyle w:val="yTableNAm"/>
              <w:ind w:left="1168" w:hanging="1168"/>
            </w:pPr>
            <w:r>
              <w:tab/>
              <w:t>(iv)</w:t>
            </w:r>
            <w:r>
              <w:tab/>
              <w:t xml:space="preserve">provided within 7 days after the day on which the fee is paid </w:t>
            </w:r>
          </w:p>
        </w:tc>
        <w:tc>
          <w:tcPr>
            <w:tcW w:w="1134" w:type="dxa"/>
          </w:tcPr>
          <w:p>
            <w:pPr>
              <w:pStyle w:val="yTableNAm"/>
            </w:pPr>
            <w:r>
              <w:t xml:space="preserve">20.50 plus </w:t>
            </w:r>
            <w:r>
              <w:br/>
              <w:t>7.05 per page</w:t>
            </w:r>
          </w:p>
        </w:tc>
        <w:tc>
          <w:tcPr>
            <w:tcW w:w="1134" w:type="dxa"/>
          </w:tcPr>
          <w:p>
            <w:pPr>
              <w:pStyle w:val="yTableNAm"/>
            </w:pPr>
            <w:r>
              <w:t>20.50 plus</w:t>
            </w:r>
            <w:r>
              <w:br/>
              <w:t>14.05 per page</w:t>
            </w:r>
          </w:p>
        </w:tc>
        <w:tc>
          <w:tcPr>
            <w:tcW w:w="1134" w:type="dxa"/>
          </w:tcPr>
          <w:p>
            <w:pPr>
              <w:pStyle w:val="yTableNAm"/>
            </w:pPr>
            <w:r>
              <w:t xml:space="preserve">6.15 plus </w:t>
            </w:r>
            <w:r>
              <w:br/>
              <w:t>2.15 per page</w:t>
            </w:r>
          </w:p>
        </w:tc>
      </w:tr>
      <w:tr>
        <w:trPr>
          <w:cantSplit/>
        </w:trPr>
        <w:tc>
          <w:tcPr>
            <w:tcW w:w="709" w:type="dxa"/>
          </w:tcPr>
          <w:p>
            <w:pPr>
              <w:pStyle w:val="yTableNAm"/>
              <w:ind w:left="1168" w:hanging="1168"/>
            </w:pPr>
          </w:p>
        </w:tc>
        <w:tc>
          <w:tcPr>
            <w:tcW w:w="2977" w:type="dxa"/>
          </w:tcPr>
          <w:p>
            <w:pPr>
              <w:pStyle w:val="yTableNAm"/>
              <w:ind w:left="1168" w:hanging="1168"/>
            </w:pPr>
            <w:r>
              <w:tab/>
              <w:t>(v)</w:t>
            </w:r>
            <w:r>
              <w:tab/>
              <w:t xml:space="preserve">provided within 14 days after the day on which the fee is paid </w:t>
            </w:r>
          </w:p>
        </w:tc>
        <w:tc>
          <w:tcPr>
            <w:tcW w:w="1134" w:type="dxa"/>
          </w:tcPr>
          <w:p>
            <w:pPr>
              <w:pStyle w:val="yTableNAm"/>
            </w:pPr>
            <w:r>
              <w:t xml:space="preserve">20.50 plus </w:t>
            </w:r>
            <w:r>
              <w:br/>
              <w:t>6.00 per page</w:t>
            </w:r>
          </w:p>
        </w:tc>
        <w:tc>
          <w:tcPr>
            <w:tcW w:w="1134" w:type="dxa"/>
          </w:tcPr>
          <w:p>
            <w:pPr>
              <w:pStyle w:val="yTableNAm"/>
            </w:pPr>
            <w:r>
              <w:t>20.50 plus</w:t>
            </w:r>
            <w:r>
              <w:br/>
              <w:t>12.00 per page</w:t>
            </w:r>
          </w:p>
        </w:tc>
        <w:tc>
          <w:tcPr>
            <w:tcW w:w="1134" w:type="dxa"/>
          </w:tcPr>
          <w:p>
            <w:pPr>
              <w:pStyle w:val="yTableNAm"/>
            </w:pPr>
            <w:r>
              <w:t xml:space="preserve">6.15 plus </w:t>
            </w:r>
            <w:r>
              <w:br/>
              <w:t>2.00 per page</w:t>
            </w:r>
          </w:p>
        </w:tc>
      </w:tr>
      <w:tr>
        <w:trPr>
          <w:cantSplit/>
        </w:trPr>
        <w:tc>
          <w:tcPr>
            <w:tcW w:w="709" w:type="dxa"/>
          </w:tcPr>
          <w:p>
            <w:pPr>
              <w:pStyle w:val="yTableNAm"/>
              <w:ind w:left="1168" w:hanging="1168"/>
            </w:pPr>
          </w:p>
        </w:tc>
        <w:tc>
          <w:tcPr>
            <w:tcW w:w="2977" w:type="dxa"/>
          </w:tcPr>
          <w:p>
            <w:pPr>
              <w:pStyle w:val="yTableNAm"/>
              <w:ind w:left="1168" w:hanging="1168"/>
            </w:pPr>
            <w:r>
              <w:tab/>
              <w:t>(vi)</w:t>
            </w:r>
            <w:r>
              <w:tab/>
              <w:t>provided on a running basis (i.e. periodically throughout or following the day of the proceedings)</w:t>
            </w:r>
          </w:p>
        </w:tc>
        <w:tc>
          <w:tcPr>
            <w:tcW w:w="1134" w:type="dxa"/>
          </w:tcPr>
          <w:p>
            <w:pPr>
              <w:pStyle w:val="yTableNAm"/>
            </w:pPr>
            <w:r>
              <w:t xml:space="preserve">20.50 plus </w:t>
            </w:r>
            <w:r>
              <w:br/>
              <w:t>9.00 per page</w:t>
            </w:r>
          </w:p>
        </w:tc>
        <w:tc>
          <w:tcPr>
            <w:tcW w:w="1134" w:type="dxa"/>
          </w:tcPr>
          <w:p>
            <w:pPr>
              <w:pStyle w:val="yTableNAm"/>
            </w:pPr>
            <w:r>
              <w:t>20.50 plus</w:t>
            </w:r>
            <w:r>
              <w:br/>
              <w:t>18.00 per page</w:t>
            </w:r>
          </w:p>
        </w:tc>
        <w:tc>
          <w:tcPr>
            <w:tcW w:w="1134" w:type="dxa"/>
          </w:tcPr>
          <w:p>
            <w:pPr>
              <w:pStyle w:val="yTableNAm"/>
            </w:pPr>
            <w:r>
              <w:t xml:space="preserve">6.15 plus </w:t>
            </w:r>
            <w:r>
              <w:br/>
              <w:t>3.00 per page</w:t>
            </w:r>
          </w:p>
        </w:tc>
      </w:tr>
      <w:tr>
        <w:trPr>
          <w:cantSplit/>
        </w:trPr>
        <w:tc>
          <w:tcPr>
            <w:tcW w:w="709" w:type="dxa"/>
          </w:tcPr>
          <w:p>
            <w:pPr>
              <w:pStyle w:val="yTableNAm"/>
              <w:ind w:left="1168" w:hanging="1168"/>
            </w:pPr>
          </w:p>
        </w:tc>
        <w:tc>
          <w:tcPr>
            <w:tcW w:w="2977" w:type="dxa"/>
          </w:tcPr>
          <w:p>
            <w:pPr>
              <w:pStyle w:val="yTableNAm"/>
              <w:ind w:left="601" w:hanging="601"/>
            </w:pPr>
            <w:r>
              <w:t>(b)</w:t>
            </w:r>
            <w:r>
              <w:tab/>
              <w:t xml:space="preserve">For a copy of a transcript, or part of a transcript, that has already been prepared — </w:t>
            </w:r>
          </w:p>
        </w:tc>
        <w:tc>
          <w:tcPr>
            <w:tcW w:w="1134" w:type="dxa"/>
          </w:tcPr>
          <w:p>
            <w:pPr>
              <w:pStyle w:val="yTableNAm"/>
            </w:pPr>
          </w:p>
        </w:tc>
        <w:tc>
          <w:tcPr>
            <w:tcW w:w="1134" w:type="dxa"/>
          </w:tcPr>
          <w:p>
            <w:pPr>
              <w:pStyle w:val="yTableNAm"/>
            </w:pPr>
          </w:p>
        </w:tc>
        <w:tc>
          <w:tcPr>
            <w:tcW w:w="1134" w:type="dxa"/>
          </w:tcPr>
          <w:p>
            <w:pPr>
              <w:pStyle w:val="yTableNAm"/>
            </w:pPr>
          </w:p>
        </w:tc>
      </w:tr>
      <w:tr>
        <w:trPr>
          <w:cantSplit/>
        </w:trPr>
        <w:tc>
          <w:tcPr>
            <w:tcW w:w="709" w:type="dxa"/>
          </w:tcPr>
          <w:p>
            <w:pPr>
              <w:pStyle w:val="yTableNAm"/>
              <w:ind w:left="1168" w:hanging="1168"/>
            </w:pPr>
          </w:p>
        </w:tc>
        <w:tc>
          <w:tcPr>
            <w:tcW w:w="2977" w:type="dxa"/>
          </w:tcPr>
          <w:p>
            <w:pPr>
              <w:pStyle w:val="yTableNAm"/>
              <w:ind w:left="1168" w:hanging="1168"/>
            </w:pPr>
            <w:r>
              <w:tab/>
              <w:t>(i)</w:t>
            </w:r>
            <w:r>
              <w:tab/>
              <w:t xml:space="preserve">electronic format </w:t>
            </w:r>
          </w:p>
        </w:tc>
        <w:tc>
          <w:tcPr>
            <w:tcW w:w="1134" w:type="dxa"/>
          </w:tcPr>
          <w:p>
            <w:pPr>
              <w:pStyle w:val="yTableNAm"/>
            </w:pPr>
            <w:r>
              <w:t>21.40 per copy</w:t>
            </w:r>
          </w:p>
        </w:tc>
        <w:tc>
          <w:tcPr>
            <w:tcW w:w="1134" w:type="dxa"/>
          </w:tcPr>
          <w:p>
            <w:pPr>
              <w:pStyle w:val="yTableNAm"/>
            </w:pPr>
            <w:r>
              <w:t>21.40 per copy</w:t>
            </w:r>
          </w:p>
        </w:tc>
        <w:tc>
          <w:tcPr>
            <w:tcW w:w="1134" w:type="dxa"/>
          </w:tcPr>
          <w:p>
            <w:pPr>
              <w:pStyle w:val="yTableNAm"/>
            </w:pPr>
            <w:r>
              <w:t>6.45 per copy</w:t>
            </w:r>
          </w:p>
        </w:tc>
      </w:tr>
      <w:tr>
        <w:trPr>
          <w:cantSplit/>
        </w:trPr>
        <w:tc>
          <w:tcPr>
            <w:tcW w:w="709" w:type="dxa"/>
          </w:tcPr>
          <w:p>
            <w:pPr>
              <w:pStyle w:val="yTableNAm"/>
              <w:ind w:left="1168" w:hanging="1168"/>
            </w:pPr>
          </w:p>
        </w:tc>
        <w:tc>
          <w:tcPr>
            <w:tcW w:w="2977" w:type="dxa"/>
          </w:tcPr>
          <w:p>
            <w:pPr>
              <w:pStyle w:val="yTableNAm"/>
              <w:ind w:left="1168" w:hanging="1168"/>
            </w:pPr>
            <w:r>
              <w:tab/>
              <w:t>(ii)</w:t>
            </w:r>
            <w:r>
              <w:tab/>
              <w:t xml:space="preserve">paper copy </w:t>
            </w:r>
          </w:p>
        </w:tc>
        <w:tc>
          <w:tcPr>
            <w:tcW w:w="1134" w:type="dxa"/>
          </w:tcPr>
          <w:p>
            <w:pPr>
              <w:pStyle w:val="yTableNAm"/>
            </w:pPr>
            <w:r>
              <w:t>2.10 per page</w:t>
            </w:r>
          </w:p>
        </w:tc>
        <w:tc>
          <w:tcPr>
            <w:tcW w:w="1134" w:type="dxa"/>
          </w:tcPr>
          <w:p>
            <w:pPr>
              <w:pStyle w:val="yTableNAm"/>
            </w:pPr>
            <w:r>
              <w:t>2.10 per page</w:t>
            </w:r>
          </w:p>
        </w:tc>
        <w:tc>
          <w:tcPr>
            <w:tcW w:w="1134" w:type="dxa"/>
          </w:tcPr>
          <w:p>
            <w:pPr>
              <w:pStyle w:val="yTableNAm"/>
            </w:pPr>
            <w:r>
              <w:t>0.60 per page</w:t>
            </w:r>
          </w:p>
        </w:tc>
      </w:tr>
    </w:tbl>
    <w:p>
      <w:pPr>
        <w:pStyle w:val="BlankClose"/>
      </w:pPr>
    </w:p>
    <w:p>
      <w:pPr>
        <w:pStyle w:val="nzSubsection"/>
      </w:pPr>
      <w:r>
        <w:tab/>
        <w:t>(2)</w:t>
      </w:r>
      <w:r>
        <w:tab/>
        <w:t>Delete Schedule 1 Division 2 item 10 and insert:</w:t>
      </w:r>
    </w:p>
    <w:p>
      <w:pPr>
        <w:pStyle w:val="BlankOpen"/>
      </w:pPr>
    </w:p>
    <w:tbl>
      <w:tblPr>
        <w:tblW w:w="7088" w:type="dxa"/>
        <w:tblInd w:w="108" w:type="dxa"/>
        <w:tblLayout w:type="fixed"/>
        <w:tblLook w:val="0000" w:firstRow="0" w:lastRow="0" w:firstColumn="0" w:lastColumn="0" w:noHBand="0" w:noVBand="0"/>
      </w:tblPr>
      <w:tblGrid>
        <w:gridCol w:w="709"/>
        <w:gridCol w:w="2977"/>
        <w:gridCol w:w="1134"/>
        <w:gridCol w:w="1134"/>
        <w:gridCol w:w="1134"/>
      </w:tblGrid>
      <w:tr>
        <w:trPr>
          <w:cantSplit/>
        </w:trPr>
        <w:tc>
          <w:tcPr>
            <w:tcW w:w="709" w:type="dxa"/>
          </w:tcPr>
          <w:p>
            <w:pPr>
              <w:pStyle w:val="yTableNAm"/>
            </w:pPr>
            <w:r>
              <w:t>10.</w:t>
            </w:r>
          </w:p>
        </w:tc>
        <w:tc>
          <w:tcPr>
            <w:tcW w:w="2977" w:type="dxa"/>
          </w:tcPr>
          <w:p>
            <w:pPr>
              <w:pStyle w:val="yTableNAm"/>
              <w:ind w:left="601" w:hanging="601"/>
            </w:pPr>
            <w:r>
              <w:t>(a)</w:t>
            </w:r>
            <w:r>
              <w:tab/>
              <w:t xml:space="preserve">For the preparation of a transcript, or part of a transcript — </w:t>
            </w:r>
          </w:p>
        </w:tc>
        <w:tc>
          <w:tcPr>
            <w:tcW w:w="1134" w:type="dxa"/>
          </w:tcPr>
          <w:p>
            <w:pPr>
              <w:pStyle w:val="yTableNAm"/>
            </w:pPr>
          </w:p>
        </w:tc>
        <w:tc>
          <w:tcPr>
            <w:tcW w:w="1134" w:type="dxa"/>
          </w:tcPr>
          <w:p>
            <w:pPr>
              <w:pStyle w:val="yTableNAm"/>
            </w:pPr>
          </w:p>
        </w:tc>
        <w:tc>
          <w:tcPr>
            <w:tcW w:w="1134" w:type="dxa"/>
          </w:tcPr>
          <w:p>
            <w:pPr>
              <w:pStyle w:val="yTableNAm"/>
            </w:pPr>
          </w:p>
        </w:tc>
      </w:tr>
      <w:tr>
        <w:trPr>
          <w:cantSplit/>
        </w:trPr>
        <w:tc>
          <w:tcPr>
            <w:tcW w:w="709" w:type="dxa"/>
          </w:tcPr>
          <w:p>
            <w:pPr>
              <w:pStyle w:val="yTableNAm"/>
            </w:pPr>
          </w:p>
        </w:tc>
        <w:tc>
          <w:tcPr>
            <w:tcW w:w="2977" w:type="dxa"/>
          </w:tcPr>
          <w:p>
            <w:pPr>
              <w:pStyle w:val="yTableNAm"/>
              <w:ind w:left="1168" w:hanging="1168"/>
            </w:pPr>
            <w:r>
              <w:tab/>
              <w:t>(i)</w:t>
            </w:r>
            <w:r>
              <w:tab/>
              <w:t xml:space="preserve">provided within 1 day after the day on which the fee is paid </w:t>
            </w:r>
          </w:p>
        </w:tc>
        <w:tc>
          <w:tcPr>
            <w:tcW w:w="1134" w:type="dxa"/>
          </w:tcPr>
          <w:p>
            <w:pPr>
              <w:pStyle w:val="yTableNAm"/>
            </w:pPr>
            <w:r>
              <w:t>20.50 plus</w:t>
            </w:r>
            <w:r>
              <w:br/>
              <w:t>8.45 per page</w:t>
            </w:r>
          </w:p>
        </w:tc>
        <w:tc>
          <w:tcPr>
            <w:tcW w:w="1134" w:type="dxa"/>
          </w:tcPr>
          <w:p>
            <w:pPr>
              <w:pStyle w:val="yTableNAm"/>
            </w:pPr>
            <w:r>
              <w:t>20.50 plus</w:t>
            </w:r>
            <w:r>
              <w:br/>
              <w:t>16.90 per page</w:t>
            </w:r>
          </w:p>
        </w:tc>
        <w:tc>
          <w:tcPr>
            <w:tcW w:w="1134" w:type="dxa"/>
          </w:tcPr>
          <w:p>
            <w:pPr>
              <w:pStyle w:val="yTableNAm"/>
            </w:pPr>
            <w:r>
              <w:t xml:space="preserve">6.15 plus </w:t>
            </w:r>
            <w:r>
              <w:br/>
              <w:t>2.55 per page</w:t>
            </w:r>
          </w:p>
        </w:tc>
      </w:tr>
      <w:tr>
        <w:trPr>
          <w:cantSplit/>
        </w:trPr>
        <w:tc>
          <w:tcPr>
            <w:tcW w:w="709" w:type="dxa"/>
          </w:tcPr>
          <w:p>
            <w:pPr>
              <w:pStyle w:val="yTableNAm"/>
            </w:pPr>
          </w:p>
        </w:tc>
        <w:tc>
          <w:tcPr>
            <w:tcW w:w="2977" w:type="dxa"/>
          </w:tcPr>
          <w:p>
            <w:pPr>
              <w:pStyle w:val="yTableNAm"/>
              <w:ind w:left="1168" w:hanging="1168"/>
            </w:pPr>
            <w:r>
              <w:tab/>
              <w:t>(ii)</w:t>
            </w:r>
            <w:r>
              <w:tab/>
              <w:t xml:space="preserve">provided within 2 days after the day on which the fee is paid </w:t>
            </w:r>
          </w:p>
        </w:tc>
        <w:tc>
          <w:tcPr>
            <w:tcW w:w="1134" w:type="dxa"/>
          </w:tcPr>
          <w:p>
            <w:pPr>
              <w:pStyle w:val="yTableNAm"/>
            </w:pPr>
            <w:r>
              <w:t>20.50 plus</w:t>
            </w:r>
            <w:r>
              <w:br/>
              <w:t>7.75 per page</w:t>
            </w:r>
          </w:p>
        </w:tc>
        <w:tc>
          <w:tcPr>
            <w:tcW w:w="1134" w:type="dxa"/>
          </w:tcPr>
          <w:p>
            <w:pPr>
              <w:pStyle w:val="yTableNAm"/>
            </w:pPr>
            <w:r>
              <w:t>20.50 plus</w:t>
            </w:r>
            <w:r>
              <w:br/>
              <w:t>15.50 per page</w:t>
            </w:r>
          </w:p>
        </w:tc>
        <w:tc>
          <w:tcPr>
            <w:tcW w:w="1134" w:type="dxa"/>
          </w:tcPr>
          <w:p>
            <w:pPr>
              <w:pStyle w:val="yTableNAm"/>
            </w:pPr>
            <w:r>
              <w:t xml:space="preserve">6.15 plus </w:t>
            </w:r>
            <w:r>
              <w:br/>
              <w:t>2.35 per page</w:t>
            </w:r>
          </w:p>
        </w:tc>
      </w:tr>
      <w:tr>
        <w:trPr>
          <w:cantSplit/>
        </w:trPr>
        <w:tc>
          <w:tcPr>
            <w:tcW w:w="709" w:type="dxa"/>
          </w:tcPr>
          <w:p>
            <w:pPr>
              <w:pStyle w:val="yTableNAm"/>
            </w:pPr>
          </w:p>
        </w:tc>
        <w:tc>
          <w:tcPr>
            <w:tcW w:w="2977" w:type="dxa"/>
          </w:tcPr>
          <w:p>
            <w:pPr>
              <w:pStyle w:val="yTableNAm"/>
              <w:ind w:left="1168" w:hanging="1168"/>
            </w:pPr>
            <w:r>
              <w:tab/>
              <w:t>(iii)</w:t>
            </w:r>
            <w:r>
              <w:tab/>
              <w:t xml:space="preserve">provided within 4 days after the day on which the fee is paid </w:t>
            </w:r>
          </w:p>
        </w:tc>
        <w:tc>
          <w:tcPr>
            <w:tcW w:w="1134" w:type="dxa"/>
          </w:tcPr>
          <w:p>
            <w:pPr>
              <w:pStyle w:val="yTableNAm"/>
            </w:pPr>
            <w:r>
              <w:t>20.50 plus</w:t>
            </w:r>
            <w:r>
              <w:br/>
              <w:t>7.30 per page</w:t>
            </w:r>
          </w:p>
        </w:tc>
        <w:tc>
          <w:tcPr>
            <w:tcW w:w="1134" w:type="dxa"/>
          </w:tcPr>
          <w:p>
            <w:pPr>
              <w:pStyle w:val="yTableNAm"/>
            </w:pPr>
            <w:r>
              <w:t>20.50 plus</w:t>
            </w:r>
            <w:r>
              <w:br/>
              <w:t>14.75 per page</w:t>
            </w:r>
          </w:p>
        </w:tc>
        <w:tc>
          <w:tcPr>
            <w:tcW w:w="1134" w:type="dxa"/>
          </w:tcPr>
          <w:p>
            <w:pPr>
              <w:pStyle w:val="yTableNAm"/>
            </w:pPr>
            <w:r>
              <w:t xml:space="preserve">6.15 plus </w:t>
            </w:r>
            <w:r>
              <w:br/>
              <w:t>2.20 per page</w:t>
            </w:r>
          </w:p>
        </w:tc>
      </w:tr>
      <w:tr>
        <w:trPr>
          <w:cantSplit/>
        </w:trPr>
        <w:tc>
          <w:tcPr>
            <w:tcW w:w="709" w:type="dxa"/>
          </w:tcPr>
          <w:p>
            <w:pPr>
              <w:pStyle w:val="yTableNAm"/>
              <w:ind w:left="1168" w:hanging="1168"/>
            </w:pPr>
          </w:p>
        </w:tc>
        <w:tc>
          <w:tcPr>
            <w:tcW w:w="2977" w:type="dxa"/>
          </w:tcPr>
          <w:p>
            <w:pPr>
              <w:pStyle w:val="yTableNAm"/>
              <w:ind w:left="1168" w:hanging="1168"/>
            </w:pPr>
            <w:r>
              <w:tab/>
              <w:t>(iv)</w:t>
            </w:r>
            <w:r>
              <w:tab/>
              <w:t xml:space="preserve">provided within 7 days after the day on which the fee is paid </w:t>
            </w:r>
          </w:p>
        </w:tc>
        <w:tc>
          <w:tcPr>
            <w:tcW w:w="1134" w:type="dxa"/>
          </w:tcPr>
          <w:p>
            <w:pPr>
              <w:pStyle w:val="yTableNAm"/>
            </w:pPr>
            <w:r>
              <w:t xml:space="preserve">20.50 plus </w:t>
            </w:r>
            <w:r>
              <w:br/>
              <w:t>7.05 per page</w:t>
            </w:r>
          </w:p>
        </w:tc>
        <w:tc>
          <w:tcPr>
            <w:tcW w:w="1134" w:type="dxa"/>
          </w:tcPr>
          <w:p>
            <w:pPr>
              <w:pStyle w:val="yTableNAm"/>
            </w:pPr>
            <w:r>
              <w:t>20.50 plus</w:t>
            </w:r>
            <w:r>
              <w:br/>
              <w:t>14.05 per page</w:t>
            </w:r>
          </w:p>
        </w:tc>
        <w:tc>
          <w:tcPr>
            <w:tcW w:w="1134" w:type="dxa"/>
          </w:tcPr>
          <w:p>
            <w:pPr>
              <w:pStyle w:val="yTableNAm"/>
            </w:pPr>
            <w:r>
              <w:t xml:space="preserve">6.15 plus </w:t>
            </w:r>
            <w:r>
              <w:br/>
              <w:t>2.15 per page</w:t>
            </w:r>
          </w:p>
        </w:tc>
      </w:tr>
      <w:tr>
        <w:trPr>
          <w:cantSplit/>
        </w:trPr>
        <w:tc>
          <w:tcPr>
            <w:tcW w:w="709" w:type="dxa"/>
          </w:tcPr>
          <w:p>
            <w:pPr>
              <w:pStyle w:val="yTableNAm"/>
              <w:ind w:left="1168" w:hanging="1168"/>
            </w:pPr>
          </w:p>
        </w:tc>
        <w:tc>
          <w:tcPr>
            <w:tcW w:w="2977" w:type="dxa"/>
          </w:tcPr>
          <w:p>
            <w:pPr>
              <w:pStyle w:val="yTableNAm"/>
              <w:ind w:left="1168" w:hanging="1168"/>
            </w:pPr>
            <w:r>
              <w:tab/>
              <w:t>(v)</w:t>
            </w:r>
            <w:r>
              <w:tab/>
              <w:t xml:space="preserve">provided within 14 days after the day on which the fee is paid </w:t>
            </w:r>
          </w:p>
        </w:tc>
        <w:tc>
          <w:tcPr>
            <w:tcW w:w="1134" w:type="dxa"/>
          </w:tcPr>
          <w:p>
            <w:pPr>
              <w:pStyle w:val="yTableNAm"/>
            </w:pPr>
            <w:r>
              <w:t xml:space="preserve">20.50 plus </w:t>
            </w:r>
            <w:r>
              <w:br/>
              <w:t>6.00 per page</w:t>
            </w:r>
          </w:p>
        </w:tc>
        <w:tc>
          <w:tcPr>
            <w:tcW w:w="1134" w:type="dxa"/>
          </w:tcPr>
          <w:p>
            <w:pPr>
              <w:pStyle w:val="yTableNAm"/>
            </w:pPr>
            <w:r>
              <w:t>20.50 plus</w:t>
            </w:r>
            <w:r>
              <w:br/>
              <w:t>12.00 per page</w:t>
            </w:r>
          </w:p>
        </w:tc>
        <w:tc>
          <w:tcPr>
            <w:tcW w:w="1134" w:type="dxa"/>
          </w:tcPr>
          <w:p>
            <w:pPr>
              <w:pStyle w:val="yTableNAm"/>
            </w:pPr>
            <w:r>
              <w:t xml:space="preserve">6.15 plus </w:t>
            </w:r>
            <w:r>
              <w:br/>
              <w:t>2.00 per page</w:t>
            </w:r>
          </w:p>
        </w:tc>
      </w:tr>
      <w:tr>
        <w:trPr>
          <w:cantSplit/>
        </w:trPr>
        <w:tc>
          <w:tcPr>
            <w:tcW w:w="709" w:type="dxa"/>
          </w:tcPr>
          <w:p>
            <w:pPr>
              <w:pStyle w:val="yTableNAm"/>
              <w:ind w:left="1168" w:hanging="1168"/>
            </w:pPr>
          </w:p>
        </w:tc>
        <w:tc>
          <w:tcPr>
            <w:tcW w:w="2977" w:type="dxa"/>
          </w:tcPr>
          <w:p>
            <w:pPr>
              <w:pStyle w:val="yTableNAm"/>
              <w:ind w:left="1168" w:hanging="1168"/>
            </w:pPr>
            <w:r>
              <w:tab/>
              <w:t>(vi)</w:t>
            </w:r>
            <w:r>
              <w:tab/>
              <w:t>provided on a running basis (i.e. periodically throughout or following the day of the proceedings)</w:t>
            </w:r>
          </w:p>
        </w:tc>
        <w:tc>
          <w:tcPr>
            <w:tcW w:w="1134" w:type="dxa"/>
          </w:tcPr>
          <w:p>
            <w:pPr>
              <w:pStyle w:val="yTableNAm"/>
            </w:pPr>
            <w:r>
              <w:t xml:space="preserve">20.50 plus </w:t>
            </w:r>
            <w:r>
              <w:br/>
              <w:t>9.00 per page</w:t>
            </w:r>
          </w:p>
        </w:tc>
        <w:tc>
          <w:tcPr>
            <w:tcW w:w="1134" w:type="dxa"/>
          </w:tcPr>
          <w:p>
            <w:pPr>
              <w:pStyle w:val="yTableNAm"/>
            </w:pPr>
            <w:r>
              <w:t>20.50 plus</w:t>
            </w:r>
            <w:r>
              <w:br/>
              <w:t>18.00 per page</w:t>
            </w:r>
          </w:p>
        </w:tc>
        <w:tc>
          <w:tcPr>
            <w:tcW w:w="1134" w:type="dxa"/>
          </w:tcPr>
          <w:p>
            <w:pPr>
              <w:pStyle w:val="yTableNAm"/>
            </w:pPr>
            <w:r>
              <w:t xml:space="preserve">6.15 plus </w:t>
            </w:r>
            <w:r>
              <w:br/>
              <w:t>3.00 per page</w:t>
            </w:r>
          </w:p>
        </w:tc>
      </w:tr>
      <w:tr>
        <w:trPr>
          <w:cantSplit/>
        </w:trPr>
        <w:tc>
          <w:tcPr>
            <w:tcW w:w="709" w:type="dxa"/>
          </w:tcPr>
          <w:p>
            <w:pPr>
              <w:pStyle w:val="yTableNAm"/>
              <w:ind w:left="1168" w:hanging="1168"/>
            </w:pPr>
          </w:p>
        </w:tc>
        <w:tc>
          <w:tcPr>
            <w:tcW w:w="2977" w:type="dxa"/>
          </w:tcPr>
          <w:p>
            <w:pPr>
              <w:pStyle w:val="yTableNAm"/>
              <w:ind w:left="601" w:hanging="601"/>
            </w:pPr>
            <w:r>
              <w:t>(b)</w:t>
            </w:r>
            <w:r>
              <w:tab/>
              <w:t xml:space="preserve">For a copy of a transcript, or part of a transcript, that has already been prepared — </w:t>
            </w:r>
          </w:p>
        </w:tc>
        <w:tc>
          <w:tcPr>
            <w:tcW w:w="1134" w:type="dxa"/>
          </w:tcPr>
          <w:p>
            <w:pPr>
              <w:pStyle w:val="yTableNAm"/>
            </w:pPr>
          </w:p>
        </w:tc>
        <w:tc>
          <w:tcPr>
            <w:tcW w:w="1134" w:type="dxa"/>
          </w:tcPr>
          <w:p>
            <w:pPr>
              <w:pStyle w:val="yTableNAm"/>
            </w:pPr>
          </w:p>
        </w:tc>
        <w:tc>
          <w:tcPr>
            <w:tcW w:w="1134" w:type="dxa"/>
          </w:tcPr>
          <w:p>
            <w:pPr>
              <w:pStyle w:val="yTableNAm"/>
            </w:pPr>
          </w:p>
        </w:tc>
      </w:tr>
      <w:tr>
        <w:trPr>
          <w:cantSplit/>
        </w:trPr>
        <w:tc>
          <w:tcPr>
            <w:tcW w:w="709" w:type="dxa"/>
          </w:tcPr>
          <w:p>
            <w:pPr>
              <w:pStyle w:val="yTableNAm"/>
              <w:ind w:left="1168" w:hanging="1168"/>
            </w:pPr>
          </w:p>
        </w:tc>
        <w:tc>
          <w:tcPr>
            <w:tcW w:w="2977" w:type="dxa"/>
          </w:tcPr>
          <w:p>
            <w:pPr>
              <w:pStyle w:val="yTableNAm"/>
              <w:ind w:left="1168" w:hanging="1168"/>
            </w:pPr>
            <w:r>
              <w:tab/>
              <w:t>(i)</w:t>
            </w:r>
            <w:r>
              <w:tab/>
              <w:t xml:space="preserve">electronic format </w:t>
            </w:r>
          </w:p>
        </w:tc>
        <w:tc>
          <w:tcPr>
            <w:tcW w:w="1134" w:type="dxa"/>
          </w:tcPr>
          <w:p>
            <w:pPr>
              <w:pStyle w:val="yTableNAm"/>
            </w:pPr>
            <w:r>
              <w:t>21.40 per copy</w:t>
            </w:r>
          </w:p>
        </w:tc>
        <w:tc>
          <w:tcPr>
            <w:tcW w:w="1134" w:type="dxa"/>
          </w:tcPr>
          <w:p>
            <w:pPr>
              <w:pStyle w:val="yTableNAm"/>
            </w:pPr>
            <w:r>
              <w:t>21.40 per copy</w:t>
            </w:r>
          </w:p>
        </w:tc>
        <w:tc>
          <w:tcPr>
            <w:tcW w:w="1134" w:type="dxa"/>
          </w:tcPr>
          <w:p>
            <w:pPr>
              <w:pStyle w:val="yTableNAm"/>
            </w:pPr>
            <w:r>
              <w:t>6.45 per copy</w:t>
            </w:r>
          </w:p>
        </w:tc>
      </w:tr>
      <w:tr>
        <w:trPr>
          <w:cantSplit/>
        </w:trPr>
        <w:tc>
          <w:tcPr>
            <w:tcW w:w="709" w:type="dxa"/>
          </w:tcPr>
          <w:p>
            <w:pPr>
              <w:pStyle w:val="yTableNAm"/>
              <w:ind w:left="1168" w:hanging="1168"/>
            </w:pPr>
          </w:p>
        </w:tc>
        <w:tc>
          <w:tcPr>
            <w:tcW w:w="2977" w:type="dxa"/>
          </w:tcPr>
          <w:p>
            <w:pPr>
              <w:pStyle w:val="yTableNAm"/>
              <w:ind w:left="1168" w:hanging="1168"/>
            </w:pPr>
            <w:r>
              <w:tab/>
              <w:t>(ii)</w:t>
            </w:r>
            <w:r>
              <w:tab/>
              <w:t xml:space="preserve">paper copy </w:t>
            </w:r>
          </w:p>
        </w:tc>
        <w:tc>
          <w:tcPr>
            <w:tcW w:w="1134" w:type="dxa"/>
          </w:tcPr>
          <w:p>
            <w:pPr>
              <w:pStyle w:val="yTableNAm"/>
            </w:pPr>
            <w:r>
              <w:t>2.10 per page</w:t>
            </w:r>
          </w:p>
        </w:tc>
        <w:tc>
          <w:tcPr>
            <w:tcW w:w="1134" w:type="dxa"/>
          </w:tcPr>
          <w:p>
            <w:pPr>
              <w:pStyle w:val="yTableNAm"/>
            </w:pPr>
            <w:r>
              <w:t>2.10 per page</w:t>
            </w:r>
          </w:p>
        </w:tc>
        <w:tc>
          <w:tcPr>
            <w:tcW w:w="1134" w:type="dxa"/>
          </w:tcPr>
          <w:p>
            <w:pPr>
              <w:pStyle w:val="yTableNAm"/>
            </w:pPr>
            <w:r>
              <w:t>0.60 per page</w:t>
            </w:r>
          </w:p>
        </w:tc>
      </w:tr>
    </w:tbl>
    <w:p>
      <w:pPr>
        <w:pStyle w:val="BlankClose"/>
      </w:pP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61" w:name="_Toc531865510"/>
      <w:bookmarkStart w:id="62" w:name="_Toc531865736"/>
      <w:bookmarkStart w:id="63" w:name="_Toc531874557"/>
      <w:r>
        <w:rPr>
          <w:sz w:val="28"/>
        </w:rPr>
        <w:t>Defined terms</w:t>
      </w:r>
      <w:bookmarkEnd w:id="61"/>
      <w:bookmarkEnd w:id="62"/>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bilateral convention</w:t>
      </w:r>
      <w:r>
        <w:tab/>
        <w:t>5(1)</w:t>
      </w:r>
    </w:p>
    <w:p>
      <w:pPr>
        <w:pStyle w:val="DefinedTerms"/>
      </w:pPr>
      <w:r>
        <w:t>Centrelink</w:t>
      </w:r>
      <w:r>
        <w:tab/>
        <w:t>7(1)</w:t>
      </w:r>
    </w:p>
    <w:p>
      <w:pPr>
        <w:pStyle w:val="DefinedTerms"/>
      </w:pPr>
      <w:r>
        <w:t>corporation</w:t>
      </w:r>
      <w:r>
        <w:tab/>
        <w:t>3</w:t>
      </w:r>
    </w:p>
    <w:p>
      <w:pPr>
        <w:pStyle w:val="DefinedTerms"/>
      </w:pPr>
      <w:r>
        <w:t>eligible entity</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entry fee</w:t>
      </w:r>
      <w:r>
        <w:tab/>
        <w:t>9(1)</w:t>
      </w:r>
    </w:p>
    <w:p>
      <w:pPr>
        <w:pStyle w:val="DefinedTerms"/>
      </w:pPr>
      <w:r>
        <w:t>evidence convention</w:t>
      </w:r>
      <w:r>
        <w:tab/>
        <w:t>5(1)</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subsidiary</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6130549"/>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2BA3D0-F178-4579-A9AA-3123ADE1C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10173</Words>
  <Characters>48323</Characters>
  <Application>Microsoft Office Word</Application>
  <DocSecurity>0</DocSecurity>
  <Lines>3221</Lines>
  <Paragraphs>1462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57034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2002 - 03-k0-00</dc:title>
  <dc:subject/>
  <dc:creator/>
  <cp:keywords/>
  <dc:description/>
  <cp:lastModifiedBy>svcMRProcess</cp:lastModifiedBy>
  <cp:revision>4</cp:revision>
  <cp:lastPrinted>2014-08-12T01:22:00Z</cp:lastPrinted>
  <dcterms:created xsi:type="dcterms:W3CDTF">2018-12-07T04:33:00Z</dcterms:created>
  <dcterms:modified xsi:type="dcterms:W3CDTF">2018-12-07T04:33:00Z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07 Dec 2018</vt:lpwstr>
  </property>
  <property fmtid="{D5CDD505-2E9C-101B-9397-08002B2CF9AE}" pid="8" name="Suffix">
    <vt:lpwstr>03-k0-00</vt:lpwstr>
  </property>
  <property fmtid="{D5CDD505-2E9C-101B-9397-08002B2CF9AE}" pid="9" name="CommencementDate">
    <vt:lpwstr>20181207</vt:lpwstr>
  </property>
</Properties>
</file>