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Taxation Administration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_Toc532472817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_Toc532472818 \h </w:instrText>
      </w:r>
      <w:r>
        <w:fldChar w:fldCharType="separate"/>
      </w:r>
      <w:r>
        <w:t>2</w:t>
      </w:r>
      <w:r>
        <w:fldChar w:fldCharType="end"/>
      </w:r>
    </w:p>
    <w:p>
      <w:pPr>
        <w:pStyle w:val="TOC8"/>
        <w:rPr>
          <w:rFonts w:asciiTheme="minorHAnsi" w:eastAsiaTheme="minorEastAsia" w:hAnsiTheme="minorHAnsi" w:cstheme="minorBidi"/>
          <w:szCs w:val="22"/>
        </w:rPr>
      </w:pPr>
      <w:r>
        <w:t>3.</w:t>
      </w:r>
      <w:r>
        <w:tab/>
        <w:t>Taxation Acts</w:t>
      </w:r>
      <w:r>
        <w:tab/>
      </w:r>
      <w:r>
        <w:fldChar w:fldCharType="begin"/>
      </w:r>
      <w:r>
        <w:instrText xml:space="preserve"> PAGEREF _Toc532472819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Terms used (Glossary)</w:t>
      </w:r>
      <w:r>
        <w:tab/>
      </w:r>
      <w:r>
        <w:fldChar w:fldCharType="begin"/>
      </w:r>
      <w:r>
        <w:instrText xml:space="preserve"> PAGEREF _Toc532472820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_Toc532472821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tab/>
        <w:t>Commissioner of State Revenue</w:t>
      </w:r>
      <w:r>
        <w:tab/>
      </w:r>
      <w:r>
        <w:fldChar w:fldCharType="begin"/>
      </w:r>
      <w:r>
        <w:instrText xml:space="preserve"> PAGEREF _Toc532472823 \h </w:instrText>
      </w:r>
      <w:r>
        <w:fldChar w:fldCharType="separate"/>
      </w:r>
      <w:r>
        <w:t>5</w:t>
      </w:r>
      <w:r>
        <w:fldChar w:fldCharType="end"/>
      </w:r>
    </w:p>
    <w:p>
      <w:pPr>
        <w:pStyle w:val="TOC8"/>
        <w:rPr>
          <w:rFonts w:asciiTheme="minorHAnsi" w:eastAsiaTheme="minorEastAsia" w:hAnsiTheme="minorHAnsi" w:cstheme="minorBidi"/>
          <w:szCs w:val="22"/>
        </w:rPr>
      </w:pPr>
      <w:r>
        <w:t>7.</w:t>
      </w:r>
      <w:r>
        <w:tab/>
        <w:t>Commissioner’s functions as to taxation Acts</w:t>
      </w:r>
      <w:r>
        <w:tab/>
      </w:r>
      <w:r>
        <w:fldChar w:fldCharType="begin"/>
      </w:r>
      <w:r>
        <w:instrText xml:space="preserve"> PAGEREF _Toc532472824 \h </w:instrText>
      </w:r>
      <w:r>
        <w:fldChar w:fldCharType="separate"/>
      </w:r>
      <w:r>
        <w:t>5</w:t>
      </w:r>
      <w:r>
        <w:fldChar w:fldCharType="end"/>
      </w:r>
    </w:p>
    <w:p>
      <w:pPr>
        <w:pStyle w:val="TOC8"/>
        <w:rPr>
          <w:rFonts w:asciiTheme="minorHAnsi" w:eastAsiaTheme="minorEastAsia" w:hAnsiTheme="minorHAnsi" w:cstheme="minorBidi"/>
          <w:szCs w:val="22"/>
        </w:rPr>
      </w:pPr>
      <w:r>
        <w:t>8.</w:t>
      </w:r>
      <w:r>
        <w:tab/>
        <w:t>Commissioner may perform investigators’ functions</w:t>
      </w:r>
      <w:r>
        <w:tab/>
      </w:r>
      <w:r>
        <w:fldChar w:fldCharType="begin"/>
      </w:r>
      <w:r>
        <w:instrText xml:space="preserve"> PAGEREF _Toc532472825 \h </w:instrText>
      </w:r>
      <w:r>
        <w:fldChar w:fldCharType="separate"/>
      </w:r>
      <w:r>
        <w:t>5</w:t>
      </w:r>
      <w:r>
        <w:fldChar w:fldCharType="end"/>
      </w:r>
    </w:p>
    <w:p>
      <w:pPr>
        <w:pStyle w:val="TOC8"/>
        <w:rPr>
          <w:rFonts w:asciiTheme="minorHAnsi" w:eastAsiaTheme="minorEastAsia" w:hAnsiTheme="minorHAnsi" w:cstheme="minorBidi"/>
          <w:szCs w:val="22"/>
        </w:rPr>
      </w:pPr>
      <w:r>
        <w:t>9.</w:t>
      </w:r>
      <w:r>
        <w:tab/>
        <w:t>Commissioner, judicial notice of appointment and signature</w:t>
      </w:r>
      <w:r>
        <w:tab/>
      </w:r>
      <w:r>
        <w:fldChar w:fldCharType="begin"/>
      </w:r>
      <w:r>
        <w:instrText xml:space="preserve"> PAGEREF _Toc532472826 \h </w:instrText>
      </w:r>
      <w:r>
        <w:fldChar w:fldCharType="separate"/>
      </w:r>
      <w:r>
        <w:t>5</w:t>
      </w:r>
      <w:r>
        <w:fldChar w:fldCharType="end"/>
      </w:r>
    </w:p>
    <w:p>
      <w:pPr>
        <w:pStyle w:val="TOC8"/>
        <w:rPr>
          <w:rFonts w:asciiTheme="minorHAnsi" w:eastAsiaTheme="minorEastAsia" w:hAnsiTheme="minorHAnsi" w:cstheme="minorBidi"/>
          <w:szCs w:val="22"/>
        </w:rPr>
      </w:pPr>
      <w:r>
        <w:t>10.</w:t>
      </w:r>
      <w:r>
        <w:tab/>
        <w:t>Delegation by Commissioner</w:t>
      </w:r>
      <w:r>
        <w:tab/>
      </w:r>
      <w:r>
        <w:fldChar w:fldCharType="begin"/>
      </w:r>
      <w:r>
        <w:instrText xml:space="preserve"> PAGEREF _Toc532472827 \h </w:instrText>
      </w:r>
      <w:r>
        <w:fldChar w:fldCharType="separate"/>
      </w:r>
      <w:r>
        <w:t>6</w:t>
      </w:r>
      <w:r>
        <w:fldChar w:fldCharType="end"/>
      </w:r>
    </w:p>
    <w:p>
      <w:pPr>
        <w:pStyle w:val="TOC8"/>
        <w:rPr>
          <w:rFonts w:asciiTheme="minorHAnsi" w:eastAsiaTheme="minorEastAsia" w:hAnsiTheme="minorHAnsi" w:cstheme="minorBidi"/>
          <w:szCs w:val="22"/>
        </w:rPr>
      </w:pPr>
      <w:r>
        <w:t>11.</w:t>
      </w:r>
      <w:r>
        <w:tab/>
        <w:t>Tax investigators</w:t>
      </w:r>
      <w:r>
        <w:tab/>
      </w:r>
      <w:r>
        <w:fldChar w:fldCharType="begin"/>
      </w:r>
      <w:r>
        <w:instrText xml:space="preserve"> PAGEREF _Toc532472828 \h </w:instrText>
      </w:r>
      <w:r>
        <w:fldChar w:fldCharType="separate"/>
      </w:r>
      <w:r>
        <w:t>7</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_Toc532472829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Assessments of tax</w:t>
      </w:r>
    </w:p>
    <w:p>
      <w:pPr>
        <w:pStyle w:val="TOC4"/>
        <w:tabs>
          <w:tab w:val="right" w:leader="dot" w:pos="7077"/>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_Toc532472832 \h </w:instrText>
      </w:r>
      <w:r>
        <w:fldChar w:fldCharType="separate"/>
      </w:r>
      <w:r>
        <w:t>8</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_Toc532472833 \h </w:instrText>
      </w:r>
      <w:r>
        <w:fldChar w:fldCharType="separate"/>
      </w:r>
      <w:r>
        <w:t>8</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_Toc532472834 \h </w:instrText>
      </w:r>
      <w:r>
        <w:fldChar w:fldCharType="separate"/>
      </w:r>
      <w:r>
        <w:t>8</w:t>
      </w:r>
      <w:r>
        <w:fldChar w:fldCharType="end"/>
      </w:r>
    </w:p>
    <w:p>
      <w:pPr>
        <w:pStyle w:val="TOC8"/>
        <w:rPr>
          <w:rFonts w:asciiTheme="minorHAnsi" w:eastAsiaTheme="minorEastAsia" w:hAnsiTheme="minorHAnsi" w:cstheme="minorBidi"/>
          <w:szCs w:val="22"/>
        </w:rPr>
      </w:pPr>
      <w:r>
        <w:t>16A.</w:t>
      </w:r>
      <w:r>
        <w:tab/>
        <w:t>Interim assessments</w:t>
      </w:r>
      <w:r>
        <w:tab/>
      </w:r>
      <w:r>
        <w:fldChar w:fldCharType="begin"/>
      </w:r>
      <w:r>
        <w:instrText xml:space="preserve"> PAGEREF _Toc532472835 \h </w:instrText>
      </w:r>
      <w:r>
        <w:fldChar w:fldCharType="separate"/>
      </w:r>
      <w:r>
        <w:t>9</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_Toc532472836 \h </w:instrText>
      </w:r>
      <w:r>
        <w:fldChar w:fldCharType="separate"/>
      </w:r>
      <w:r>
        <w:t>10</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_Toc532472837 \h </w:instrText>
      </w:r>
      <w:r>
        <w:fldChar w:fldCharType="separate"/>
      </w:r>
      <w:r>
        <w:t>11</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_Toc532472838 \h </w:instrText>
      </w:r>
      <w:r>
        <w:fldChar w:fldCharType="separate"/>
      </w:r>
      <w:r>
        <w:t>12</w:t>
      </w:r>
      <w:r>
        <w:fldChar w:fldCharType="end"/>
      </w:r>
    </w:p>
    <w:p>
      <w:pPr>
        <w:pStyle w:val="TOC8"/>
        <w:rPr>
          <w:rFonts w:asciiTheme="minorHAnsi" w:eastAsiaTheme="minorEastAsia" w:hAnsiTheme="minorHAnsi" w:cstheme="minorBidi"/>
          <w:szCs w:val="22"/>
        </w:rPr>
      </w:pPr>
      <w:r>
        <w:t>18A</w:t>
      </w:r>
      <w:r>
        <w:rPr>
          <w:color w:val="000000"/>
        </w:rPr>
        <w:t>.</w:t>
      </w:r>
      <w:r>
        <w:rPr>
          <w:color w:val="000000"/>
        </w:rPr>
        <w:tab/>
        <w:t>Withdrawal of assessments</w:t>
      </w:r>
      <w:r>
        <w:tab/>
      </w:r>
      <w:r>
        <w:fldChar w:fldCharType="begin"/>
      </w:r>
      <w:r>
        <w:instrText xml:space="preserve"> PAGEREF _Toc532472839 \h </w:instrText>
      </w:r>
      <w:r>
        <w:fldChar w:fldCharType="separate"/>
      </w:r>
      <w:r>
        <w:t>13</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_Toc532472840 \h </w:instrText>
      </w:r>
      <w:r>
        <w:fldChar w:fldCharType="separate"/>
      </w:r>
      <w:r>
        <w:t>13</w:t>
      </w:r>
      <w:r>
        <w:fldChar w:fldCharType="end"/>
      </w:r>
    </w:p>
    <w:p>
      <w:pPr>
        <w:pStyle w:val="TOC8"/>
        <w:rPr>
          <w:rFonts w:asciiTheme="minorHAnsi" w:eastAsiaTheme="minorEastAsia" w:hAnsiTheme="minorHAnsi" w:cstheme="minorBidi"/>
          <w:szCs w:val="22"/>
        </w:rPr>
      </w:pPr>
      <w:r>
        <w:t>20A.</w:t>
      </w:r>
      <w:r>
        <w:tab/>
        <w:t>Compromise assessments</w:t>
      </w:r>
      <w:r>
        <w:tab/>
      </w:r>
      <w:r>
        <w:fldChar w:fldCharType="begin"/>
      </w:r>
      <w:r>
        <w:instrText xml:space="preserve"> PAGEREF _Toc532472841 \h </w:instrText>
      </w:r>
      <w:r>
        <w:fldChar w:fldCharType="separate"/>
      </w:r>
      <w:r>
        <w:t>14</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_Toc532472842 \h </w:instrText>
      </w:r>
      <w:r>
        <w:fldChar w:fldCharType="separate"/>
      </w:r>
      <w:r>
        <w:t>15</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_Toc532472843 \h </w:instrText>
      </w:r>
      <w:r>
        <w:fldChar w:fldCharType="separate"/>
      </w:r>
      <w:r>
        <w:t>16</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_Toc532472844 \h </w:instrText>
      </w:r>
      <w:r>
        <w:fldChar w:fldCharType="separate"/>
      </w:r>
      <w:r>
        <w:t>17</w:t>
      </w:r>
      <w:r>
        <w:fldChar w:fldCharType="end"/>
      </w:r>
    </w:p>
    <w:p>
      <w:pPr>
        <w:pStyle w:val="TOC8"/>
        <w:rPr>
          <w:rFonts w:asciiTheme="minorHAnsi" w:eastAsiaTheme="minorEastAsia" w:hAnsiTheme="minorHAnsi" w:cstheme="minorBidi"/>
          <w:szCs w:val="22"/>
        </w:rPr>
      </w:pPr>
      <w:r>
        <w:t>23A.</w:t>
      </w:r>
      <w:r>
        <w:tab/>
        <w:t>Recovery of valuation costs</w:t>
      </w:r>
      <w:r>
        <w:tab/>
      </w:r>
      <w:r>
        <w:fldChar w:fldCharType="begin"/>
      </w:r>
      <w:r>
        <w:instrText xml:space="preserve"> PAGEREF _Toc532472845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_Toc532472847 \h </w:instrText>
      </w:r>
      <w:r>
        <w:fldChar w:fldCharType="separate"/>
      </w:r>
      <w:r>
        <w:t>19</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_Toc532472848 \h </w:instrText>
      </w:r>
      <w:r>
        <w:fldChar w:fldCharType="separate"/>
      </w:r>
      <w:r>
        <w:t>20</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_Toc532472849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_Toc532472851 \h </w:instrText>
      </w:r>
      <w:r>
        <w:fldChar w:fldCharType="separate"/>
      </w:r>
      <w:r>
        <w:t>22</w:t>
      </w:r>
      <w:r>
        <w:fldChar w:fldCharType="end"/>
      </w:r>
    </w:p>
    <w:p>
      <w:pPr>
        <w:pStyle w:val="TOC8"/>
        <w:rPr>
          <w:rFonts w:asciiTheme="minorHAnsi" w:eastAsiaTheme="minorEastAsia" w:hAnsiTheme="minorHAnsi" w:cstheme="minorBidi"/>
          <w:szCs w:val="22"/>
        </w:rPr>
      </w:pPr>
      <w:r>
        <w:t>27A.</w:t>
      </w:r>
      <w:r>
        <w:tab/>
        <w:t>Penalty tax for undervaluation</w:t>
      </w:r>
      <w:r>
        <w:tab/>
      </w:r>
      <w:r>
        <w:fldChar w:fldCharType="begin"/>
      </w:r>
      <w:r>
        <w:instrText xml:space="preserve"> PAGEREF _Toc532472852 \h </w:instrText>
      </w:r>
      <w:r>
        <w:fldChar w:fldCharType="separate"/>
      </w:r>
      <w:r>
        <w:t>23</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_Toc532472853 \h </w:instrText>
      </w:r>
      <w:r>
        <w:fldChar w:fldCharType="separate"/>
      </w:r>
      <w:r>
        <w:t>24</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_Toc532472854 \h </w:instrText>
      </w:r>
      <w:r>
        <w:fldChar w:fldCharType="separate"/>
      </w:r>
      <w:r>
        <w:t>25</w:t>
      </w:r>
      <w:r>
        <w:fldChar w:fldCharType="end"/>
      </w:r>
    </w:p>
    <w:p>
      <w:pPr>
        <w:pStyle w:val="TOC8"/>
        <w:rPr>
          <w:rFonts w:asciiTheme="minorHAnsi" w:eastAsiaTheme="minorEastAsia" w:hAnsiTheme="minorHAnsi" w:cstheme="minorBidi"/>
          <w:szCs w:val="22"/>
        </w:rPr>
      </w:pPr>
      <w:r>
        <w:t>29.</w:t>
      </w:r>
      <w:r>
        <w:tab/>
        <w:t>Remitting penalty tax</w:t>
      </w:r>
      <w:r>
        <w:tab/>
      </w:r>
      <w:r>
        <w:fldChar w:fldCharType="begin"/>
      </w:r>
      <w:r>
        <w:instrText xml:space="preserve"> PAGEREF _Toc532472855 \h </w:instrText>
      </w:r>
      <w:r>
        <w:fldChar w:fldCharType="separate"/>
      </w:r>
      <w:r>
        <w:t>25</w:t>
      </w:r>
      <w:r>
        <w:fldChar w:fldCharType="end"/>
      </w:r>
    </w:p>
    <w:p>
      <w:pPr>
        <w:pStyle w:val="TOC8"/>
        <w:rPr>
          <w:rFonts w:asciiTheme="minorHAnsi" w:eastAsiaTheme="minorEastAsia" w:hAnsiTheme="minorHAnsi" w:cstheme="minorBidi"/>
          <w:szCs w:val="22"/>
        </w:rPr>
      </w:pPr>
      <w:r>
        <w:t>30.</w:t>
      </w:r>
      <w:r>
        <w:tab/>
        <w:t>Guidelines for remitting penalty tax</w:t>
      </w:r>
      <w:r>
        <w:tab/>
      </w:r>
      <w:r>
        <w:fldChar w:fldCharType="begin"/>
      </w:r>
      <w:r>
        <w:instrText xml:space="preserve"> PAGEREF _Toc532472856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Objections and review proceedings</w:t>
      </w:r>
    </w:p>
    <w:p>
      <w:pPr>
        <w:pStyle w:val="TOC4"/>
        <w:tabs>
          <w:tab w:val="right" w:leader="dot" w:pos="7077"/>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_Toc532472859 \h </w:instrText>
      </w:r>
      <w:r>
        <w:fldChar w:fldCharType="separate"/>
      </w:r>
      <w:r>
        <w:t>26</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_Toc532472860 \h </w:instrText>
      </w:r>
      <w:r>
        <w:fldChar w:fldCharType="separate"/>
      </w:r>
      <w:r>
        <w:t>26</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_Toc532472861 \h </w:instrText>
      </w:r>
      <w:r>
        <w:fldChar w:fldCharType="separate"/>
      </w:r>
      <w:r>
        <w:t>26</w:t>
      </w:r>
      <w:r>
        <w:fldChar w:fldCharType="end"/>
      </w:r>
    </w:p>
    <w:p>
      <w:pPr>
        <w:pStyle w:val="TOC8"/>
        <w:rPr>
          <w:rFonts w:asciiTheme="minorHAnsi" w:eastAsiaTheme="minorEastAsia" w:hAnsiTheme="minorHAnsi" w:cstheme="minorBidi"/>
          <w:szCs w:val="22"/>
        </w:rPr>
      </w:pPr>
      <w:r>
        <w:t>34A.</w:t>
      </w:r>
      <w:r>
        <w:tab/>
        <w:t>Beneficial body determinations</w:t>
      </w:r>
      <w:r>
        <w:tab/>
      </w:r>
      <w:r>
        <w:fldChar w:fldCharType="begin"/>
      </w:r>
      <w:r>
        <w:instrText xml:space="preserve"> PAGEREF _Toc532472862 \h </w:instrText>
      </w:r>
      <w:r>
        <w:fldChar w:fldCharType="separate"/>
      </w:r>
      <w:r>
        <w:t>26</w:t>
      </w:r>
      <w:r>
        <w:fldChar w:fldCharType="end"/>
      </w:r>
    </w:p>
    <w:p>
      <w:pPr>
        <w:pStyle w:val="TOC8"/>
        <w:rPr>
          <w:rFonts w:asciiTheme="minorHAnsi" w:eastAsiaTheme="minorEastAsia" w:hAnsiTheme="minorHAnsi" w:cstheme="minorBidi"/>
          <w:szCs w:val="22"/>
        </w:rPr>
      </w:pPr>
      <w:r>
        <w:t>34B.</w:t>
      </w:r>
      <w:r>
        <w:tab/>
        <w:t>Surrender of right of objection or review</w:t>
      </w:r>
      <w:r>
        <w:tab/>
      </w:r>
      <w:r>
        <w:fldChar w:fldCharType="begin"/>
      </w:r>
      <w:r>
        <w:instrText xml:space="preserve"> PAGEREF _Toc532472863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_Toc532472865 \h </w:instrText>
      </w:r>
      <w:r>
        <w:fldChar w:fldCharType="separate"/>
      </w:r>
      <w:r>
        <w:t>27</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_Toc532472866 \h </w:instrText>
      </w:r>
      <w:r>
        <w:fldChar w:fldCharType="separate"/>
      </w:r>
      <w:r>
        <w:t>29</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_Toc532472867 \h </w:instrText>
      </w:r>
      <w:r>
        <w:fldChar w:fldCharType="separate"/>
      </w:r>
      <w:r>
        <w:t>29</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_Toc532472868 \h </w:instrText>
      </w:r>
      <w:r>
        <w:fldChar w:fldCharType="separate"/>
      </w:r>
      <w:r>
        <w:t>31</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_Toc532472869 \h </w:instrText>
      </w:r>
      <w:r>
        <w:fldChar w:fldCharType="separate"/>
      </w:r>
      <w:r>
        <w:t>32</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_Toc532472870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Reviews and stated cases</w:t>
      </w:r>
    </w:p>
    <w:p>
      <w:pPr>
        <w:pStyle w:val="TOC8"/>
        <w:rPr>
          <w:rFonts w:asciiTheme="minorHAnsi" w:eastAsiaTheme="minorEastAsia" w:hAnsiTheme="minorHAnsi" w:cstheme="minorBidi"/>
          <w:szCs w:val="22"/>
        </w:rPr>
      </w:pPr>
      <w:r>
        <w:t>40.</w:t>
      </w:r>
      <w:r>
        <w:tab/>
        <w:t xml:space="preserve">Right of review by State </w:t>
      </w:r>
      <w:r>
        <w:rPr>
          <w:snapToGrid w:val="0"/>
        </w:rPr>
        <w:t>Administrative Tribunal</w:t>
      </w:r>
      <w:r>
        <w:tab/>
      </w:r>
      <w:r>
        <w:fldChar w:fldCharType="begin"/>
      </w:r>
      <w:r>
        <w:instrText xml:space="preserve"> PAGEREF _Toc532472872 \h </w:instrText>
      </w:r>
      <w:r>
        <w:fldChar w:fldCharType="separate"/>
      </w:r>
      <w:r>
        <w:t>34</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_Toc532472873 \h </w:instrText>
      </w:r>
      <w:r>
        <w:fldChar w:fldCharType="separate"/>
      </w:r>
      <w:r>
        <w:t>35</w:t>
      </w:r>
      <w:r>
        <w:fldChar w:fldCharType="end"/>
      </w:r>
    </w:p>
    <w:p>
      <w:pPr>
        <w:pStyle w:val="TOC8"/>
        <w:rPr>
          <w:rFonts w:asciiTheme="minorHAnsi" w:eastAsiaTheme="minorEastAsia" w:hAnsiTheme="minorHAnsi" w:cstheme="minorBidi"/>
          <w:szCs w:val="22"/>
        </w:rPr>
      </w:pPr>
      <w:r>
        <w:t>43.</w:t>
      </w:r>
      <w:r>
        <w:tab/>
        <w:t xml:space="preserve">Proceedings before State </w:t>
      </w:r>
      <w:r>
        <w:rPr>
          <w:snapToGrid w:val="0"/>
        </w:rPr>
        <w:t>Administrative Tribunal</w:t>
      </w:r>
      <w:r>
        <w:tab/>
      </w:r>
      <w:r>
        <w:fldChar w:fldCharType="begin"/>
      </w:r>
      <w:r>
        <w:instrText xml:space="preserve"> PAGEREF _Toc532472874 \h </w:instrText>
      </w:r>
      <w:r>
        <w:fldChar w:fldCharType="separate"/>
      </w:r>
      <w:r>
        <w:t>35</w:t>
      </w:r>
      <w:r>
        <w:fldChar w:fldCharType="end"/>
      </w:r>
    </w:p>
    <w:p>
      <w:pPr>
        <w:pStyle w:val="TOC8"/>
        <w:rPr>
          <w:rFonts w:asciiTheme="minorHAnsi" w:eastAsiaTheme="minorEastAsia" w:hAnsiTheme="minorHAnsi" w:cstheme="minorBidi"/>
          <w:szCs w:val="22"/>
        </w:rPr>
      </w:pPr>
      <w:r>
        <w:t>43A.</w:t>
      </w:r>
      <w:r>
        <w:tab/>
        <w:t xml:space="preserve">Appeal from decision of State </w:t>
      </w:r>
      <w:r>
        <w:rPr>
          <w:snapToGrid w:val="0"/>
        </w:rPr>
        <w:t>Administrative Tribunal</w:t>
      </w:r>
      <w:r>
        <w:tab/>
      </w:r>
      <w:r>
        <w:fldChar w:fldCharType="begin"/>
      </w:r>
      <w:r>
        <w:instrText xml:space="preserve"> PAGEREF _Toc532472875 \h </w:instrText>
      </w:r>
      <w:r>
        <w:fldChar w:fldCharType="separate"/>
      </w:r>
      <w:r>
        <w:t>38</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_Toc532472876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Payment and refund of tax</w:t>
      </w:r>
    </w:p>
    <w:p>
      <w:pPr>
        <w:pStyle w:val="TOC4"/>
        <w:tabs>
          <w:tab w:val="right" w:leader="dot" w:pos="7077"/>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_Toc532472879 \h </w:instrText>
      </w:r>
      <w:r>
        <w:fldChar w:fldCharType="separate"/>
      </w:r>
      <w:r>
        <w:t>40</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_Toc532472880 \h </w:instrText>
      </w:r>
      <w:r>
        <w:fldChar w:fldCharType="separate"/>
      </w:r>
      <w:r>
        <w:t>40</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_Toc532472881 \h </w:instrText>
      </w:r>
      <w:r>
        <w:fldChar w:fldCharType="separate"/>
      </w:r>
      <w:r>
        <w:t>40</w:t>
      </w:r>
      <w:r>
        <w:fldChar w:fldCharType="end"/>
      </w:r>
    </w:p>
    <w:p>
      <w:pPr>
        <w:pStyle w:val="TOC8"/>
        <w:rPr>
          <w:rFonts w:asciiTheme="minorHAnsi" w:eastAsiaTheme="minorEastAsia" w:hAnsiTheme="minorHAnsi" w:cstheme="minorBidi"/>
          <w:szCs w:val="22"/>
        </w:rPr>
      </w:pPr>
      <w:r>
        <w:t>48.</w:t>
      </w:r>
      <w:r>
        <w:tab/>
        <w:t>No action to compel approval of tax payment arrangement</w:t>
      </w:r>
      <w:r>
        <w:tab/>
      </w:r>
      <w:r>
        <w:fldChar w:fldCharType="begin"/>
      </w:r>
      <w:r>
        <w:instrText xml:space="preserve"> PAGEREF _Toc532472882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_Toc532472884 \h </w:instrText>
      </w:r>
      <w:r>
        <w:fldChar w:fldCharType="separate"/>
      </w:r>
      <w:r>
        <w:t>42</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_Toc532472885 \h </w:instrText>
      </w:r>
      <w:r>
        <w:fldChar w:fldCharType="separate"/>
      </w:r>
      <w:r>
        <w:t>42</w:t>
      </w:r>
      <w:r>
        <w:fldChar w:fldCharType="end"/>
      </w:r>
    </w:p>
    <w:p>
      <w:pPr>
        <w:pStyle w:val="TOC8"/>
        <w:rPr>
          <w:rFonts w:asciiTheme="minorHAnsi" w:eastAsiaTheme="minorEastAsia" w:hAnsiTheme="minorHAnsi" w:cstheme="minorBidi"/>
          <w:szCs w:val="22"/>
        </w:rPr>
      </w:pPr>
      <w:r>
        <w:t>51.</w:t>
      </w:r>
      <w:r>
        <w:tab/>
        <w:t>Improper endorsement or certification of instrument</w:t>
      </w:r>
      <w:r>
        <w:tab/>
      </w:r>
      <w:r>
        <w:fldChar w:fldCharType="begin"/>
      </w:r>
      <w:r>
        <w:instrText xml:space="preserve"> PAGEREF _Toc532472886 \h </w:instrText>
      </w:r>
      <w:r>
        <w:fldChar w:fldCharType="separate"/>
      </w:r>
      <w:r>
        <w:t>43</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_Toc532472887 \h </w:instrText>
      </w:r>
      <w:r>
        <w:fldChar w:fldCharType="separate"/>
      </w:r>
      <w:r>
        <w:t>44</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_Toc532472888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Refunds</w:t>
      </w:r>
      <w:r>
        <w:tab/>
      </w:r>
      <w:r>
        <w:fldChar w:fldCharType="begin"/>
      </w:r>
      <w:r>
        <w:instrText xml:space="preserve"> PAGEREF _Toc532472890 \h </w:instrText>
      </w:r>
      <w:r>
        <w:fldChar w:fldCharType="separate"/>
      </w:r>
      <w:r>
        <w:t>45</w:t>
      </w:r>
      <w:r>
        <w:fldChar w:fldCharType="end"/>
      </w:r>
    </w:p>
    <w:p>
      <w:pPr>
        <w:pStyle w:val="TOC8"/>
        <w:rPr>
          <w:rFonts w:asciiTheme="minorHAnsi" w:eastAsiaTheme="minorEastAsia" w:hAnsiTheme="minorHAnsi" w:cstheme="minorBidi"/>
          <w:szCs w:val="22"/>
        </w:rPr>
      </w:pPr>
      <w:r>
        <w:t>55A.</w:t>
      </w:r>
      <w:r>
        <w:tab/>
        <w:t>Unused credit</w:t>
      </w:r>
      <w:r>
        <w:tab/>
      </w:r>
      <w:r>
        <w:fldChar w:fldCharType="begin"/>
      </w:r>
      <w:r>
        <w:instrText xml:space="preserve"> PAGEREF _Toc532472891 \h </w:instrText>
      </w:r>
      <w:r>
        <w:fldChar w:fldCharType="separate"/>
      </w:r>
      <w:r>
        <w:t>46</w:t>
      </w:r>
      <w:r>
        <w:fldChar w:fldCharType="end"/>
      </w:r>
    </w:p>
    <w:p>
      <w:pPr>
        <w:pStyle w:val="TOC8"/>
        <w:rPr>
          <w:rFonts w:asciiTheme="minorHAnsi" w:eastAsiaTheme="minorEastAsia" w:hAnsiTheme="minorHAnsi" w:cstheme="minorBidi"/>
          <w:szCs w:val="22"/>
        </w:rPr>
      </w:pPr>
      <w:r>
        <w:t>55.</w:t>
      </w:r>
      <w:r>
        <w:tab/>
        <w:t>Refunds or credits to be passed on to third parties in some cases</w:t>
      </w:r>
      <w:r>
        <w:tab/>
      </w:r>
      <w:r>
        <w:fldChar w:fldCharType="begin"/>
      </w:r>
      <w:r>
        <w:instrText xml:space="preserve"> PAGEREF _Toc532472892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Waiving tax</w:t>
      </w:r>
      <w:r>
        <w:tab/>
      </w:r>
      <w:r>
        <w:fldChar w:fldCharType="begin"/>
      </w:r>
      <w:r>
        <w:instrText xml:space="preserve"> PAGEREF _Toc532472894 \h </w:instrText>
      </w:r>
      <w:r>
        <w:fldChar w:fldCharType="separate"/>
      </w:r>
      <w:r>
        <w:t>48</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_Toc532472895 \h </w:instrText>
      </w:r>
      <w:r>
        <w:fldChar w:fldCharType="separate"/>
      </w:r>
      <w:r>
        <w:t>48</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_Toc532472896 \h </w:instrText>
      </w:r>
      <w:r>
        <w:fldChar w:fldCharType="separate"/>
      </w:r>
      <w:r>
        <w:t>49</w:t>
      </w:r>
      <w:r>
        <w:fldChar w:fldCharType="end"/>
      </w:r>
    </w:p>
    <w:p>
      <w:pPr>
        <w:pStyle w:val="TOC8"/>
        <w:rPr>
          <w:rFonts w:asciiTheme="minorHAnsi" w:eastAsiaTheme="minorEastAsia" w:hAnsiTheme="minorHAnsi" w:cstheme="minorBidi"/>
          <w:szCs w:val="22"/>
        </w:rPr>
      </w:pPr>
      <w:r>
        <w:t>59.</w:t>
      </w:r>
      <w:r>
        <w:tab/>
        <w:t>No action to compel waiver or writing off</w:t>
      </w:r>
      <w:r>
        <w:tab/>
      </w:r>
      <w:r>
        <w:fldChar w:fldCharType="begin"/>
      </w:r>
      <w:r>
        <w:instrText xml:space="preserve"> PAGEREF _Toc532472897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Recovery of tax</w:t>
      </w:r>
    </w:p>
    <w:p>
      <w:pPr>
        <w:pStyle w:val="TOC4"/>
        <w:tabs>
          <w:tab w:val="right" w:leader="dot" w:pos="7077"/>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tab/>
        <w:t>Recovery of unpaid tax</w:t>
      </w:r>
      <w:r>
        <w:tab/>
      </w:r>
      <w:r>
        <w:fldChar w:fldCharType="begin"/>
      </w:r>
      <w:r>
        <w:instrText xml:space="preserve"> PAGEREF _Toc532472900 \h </w:instrText>
      </w:r>
      <w:r>
        <w:fldChar w:fldCharType="separate"/>
      </w:r>
      <w:r>
        <w:t>50</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_Toc532472901 \h </w:instrText>
      </w:r>
      <w:r>
        <w:fldChar w:fldCharType="separate"/>
      </w:r>
      <w:r>
        <w:t>50</w:t>
      </w:r>
      <w:r>
        <w:fldChar w:fldCharType="end"/>
      </w:r>
    </w:p>
    <w:p>
      <w:pPr>
        <w:pStyle w:val="TOC8"/>
        <w:rPr>
          <w:rFonts w:asciiTheme="minorHAnsi" w:eastAsiaTheme="minorEastAsia" w:hAnsiTheme="minorHAnsi" w:cstheme="minorBidi"/>
          <w:szCs w:val="22"/>
        </w:rPr>
      </w:pPr>
      <w:r>
        <w:t>62.</w:t>
      </w:r>
      <w:r>
        <w:tab/>
        <w:t>This Part applies to tax and also costs and interest</w:t>
      </w:r>
      <w:r>
        <w:tab/>
      </w:r>
      <w:r>
        <w:fldChar w:fldCharType="begin"/>
      </w:r>
      <w:r>
        <w:instrText xml:space="preserve"> PAGEREF _Toc532472902 \h </w:instrText>
      </w:r>
      <w:r>
        <w:fldChar w:fldCharType="separate"/>
      </w:r>
      <w:r>
        <w:t>50</w:t>
      </w:r>
      <w:r>
        <w:fldChar w:fldCharType="end"/>
      </w:r>
    </w:p>
    <w:p>
      <w:pPr>
        <w:pStyle w:val="TOC8"/>
        <w:rPr>
          <w:rFonts w:asciiTheme="minorHAnsi" w:eastAsiaTheme="minorEastAsia" w:hAnsiTheme="minorHAnsi" w:cstheme="minorBidi"/>
          <w:szCs w:val="22"/>
        </w:rPr>
      </w:pPr>
      <w:r>
        <w:t>63.</w:t>
      </w:r>
      <w:r>
        <w:tab/>
        <w:t>Recovery in cases of joint liability</w:t>
      </w:r>
      <w:r>
        <w:tab/>
      </w:r>
      <w:r>
        <w:fldChar w:fldCharType="begin"/>
      </w:r>
      <w:r>
        <w:instrText xml:space="preserve"> PAGEREF _Toc532472903 \h </w:instrText>
      </w:r>
      <w:r>
        <w:fldChar w:fldCharType="separate"/>
      </w:r>
      <w:r>
        <w:t>50</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_Toc532472904 \h </w:instrText>
      </w:r>
      <w:r>
        <w:fldChar w:fldCharType="separate"/>
      </w:r>
      <w:r>
        <w:t>51</w:t>
      </w:r>
      <w:r>
        <w:fldChar w:fldCharType="end"/>
      </w:r>
    </w:p>
    <w:p>
      <w:pPr>
        <w:pStyle w:val="TOC8"/>
        <w:rPr>
          <w:rFonts w:asciiTheme="minorHAnsi" w:eastAsiaTheme="minorEastAsia" w:hAnsiTheme="minorHAnsi" w:cstheme="minorBidi"/>
          <w:szCs w:val="22"/>
        </w:rPr>
      </w:pPr>
      <w:r>
        <w:t>65.</w:t>
      </w:r>
      <w:r>
        <w:tab/>
        <w:t>Recovery from garnishee</w:t>
      </w:r>
      <w:r>
        <w:tab/>
      </w:r>
      <w:r>
        <w:fldChar w:fldCharType="begin"/>
      </w:r>
      <w:r>
        <w:instrText xml:space="preserve"> PAGEREF _Toc532472905 \h </w:instrText>
      </w:r>
      <w:r>
        <w:fldChar w:fldCharType="separate"/>
      </w:r>
      <w:r>
        <w:t>51</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_Toc532472906 \h </w:instrText>
      </w:r>
      <w:r>
        <w:fldChar w:fldCharType="separate"/>
      </w:r>
      <w:r>
        <w:t>53</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_Toc532472907 \h </w:instrText>
      </w:r>
      <w:r>
        <w:fldChar w:fldCharType="separate"/>
      </w:r>
      <w:r>
        <w:t>53</w:t>
      </w:r>
      <w:r>
        <w:fldChar w:fldCharType="end"/>
      </w:r>
    </w:p>
    <w:p>
      <w:pPr>
        <w:pStyle w:val="TOC8"/>
        <w:rPr>
          <w:rFonts w:asciiTheme="minorHAnsi" w:eastAsiaTheme="minorEastAsia" w:hAnsiTheme="minorHAnsi" w:cstheme="minorBidi"/>
          <w:szCs w:val="22"/>
        </w:rPr>
      </w:pPr>
      <w:r>
        <w:t>68.</w:t>
      </w:r>
      <w:r>
        <w:tab/>
        <w:t>Director or body corporate may apply to Supreme Court to set aside s. 67 notice</w:t>
      </w:r>
      <w:r>
        <w:tab/>
      </w:r>
      <w:r>
        <w:fldChar w:fldCharType="begin"/>
      </w:r>
      <w:r>
        <w:instrText xml:space="preserve"> PAGEREF _Toc532472908 \h </w:instrText>
      </w:r>
      <w:r>
        <w:fldChar w:fldCharType="separate"/>
      </w:r>
      <w:r>
        <w:t>55</w:t>
      </w:r>
      <w:r>
        <w:fldChar w:fldCharType="end"/>
      </w:r>
    </w:p>
    <w:p>
      <w:pPr>
        <w:pStyle w:val="TOC8"/>
        <w:rPr>
          <w:rFonts w:asciiTheme="minorHAnsi" w:eastAsiaTheme="minorEastAsia" w:hAnsiTheme="minorHAnsi" w:cstheme="minorBidi"/>
          <w:szCs w:val="22"/>
        </w:rPr>
      </w:pPr>
      <w:r>
        <w:t>69.</w:t>
      </w:r>
      <w:r>
        <w:tab/>
        <w:t>Proceedings on s. 68 application where genuine dispute as to assessment of pay-roll tax</w:t>
      </w:r>
      <w:r>
        <w:tab/>
      </w:r>
      <w:r>
        <w:fldChar w:fldCharType="begin"/>
      </w:r>
      <w:r>
        <w:instrText xml:space="preserve"> PAGEREF _Toc532472909 \h </w:instrText>
      </w:r>
      <w:r>
        <w:fldChar w:fldCharType="separate"/>
      </w:r>
      <w:r>
        <w:t>55</w:t>
      </w:r>
      <w:r>
        <w:fldChar w:fldCharType="end"/>
      </w:r>
    </w:p>
    <w:p>
      <w:pPr>
        <w:pStyle w:val="TOC8"/>
        <w:rPr>
          <w:rFonts w:asciiTheme="minorHAnsi" w:eastAsiaTheme="minorEastAsia" w:hAnsiTheme="minorHAnsi" w:cstheme="minorBidi"/>
          <w:szCs w:val="22"/>
        </w:rPr>
      </w:pPr>
      <w:r>
        <w:t>70.</w:t>
      </w:r>
      <w:r>
        <w:tab/>
        <w:t>On s. 68 application, court may set aside s. 67 notice etc.</w:t>
      </w:r>
      <w:r>
        <w:tab/>
      </w:r>
      <w:r>
        <w:fldChar w:fldCharType="begin"/>
      </w:r>
      <w:r>
        <w:instrText xml:space="preserve"> PAGEREF _Toc532472910 \h </w:instrText>
      </w:r>
      <w:r>
        <w:fldChar w:fldCharType="separate"/>
      </w:r>
      <w:r>
        <w:t>56</w:t>
      </w:r>
      <w:r>
        <w:fldChar w:fldCharType="end"/>
      </w:r>
    </w:p>
    <w:p>
      <w:pPr>
        <w:pStyle w:val="TOC8"/>
        <w:rPr>
          <w:rFonts w:asciiTheme="minorHAnsi" w:eastAsiaTheme="minorEastAsia" w:hAnsiTheme="minorHAnsi" w:cstheme="minorBidi"/>
          <w:szCs w:val="22"/>
        </w:rPr>
      </w:pPr>
      <w:r>
        <w:t>71.</w:t>
      </w:r>
      <w:r>
        <w:tab/>
        <w:t>Effect of order setting aside s. 67 notice</w:t>
      </w:r>
      <w:r>
        <w:tab/>
      </w:r>
      <w:r>
        <w:fldChar w:fldCharType="begin"/>
      </w:r>
      <w:r>
        <w:instrText xml:space="preserve"> PAGEREF _Toc532472911 \h </w:instrText>
      </w:r>
      <w:r>
        <w:fldChar w:fldCharType="separate"/>
      </w:r>
      <w:r>
        <w:t>56</w:t>
      </w:r>
      <w:r>
        <w:fldChar w:fldCharType="end"/>
      </w:r>
    </w:p>
    <w:p>
      <w:pPr>
        <w:pStyle w:val="TOC8"/>
        <w:rPr>
          <w:rFonts w:asciiTheme="minorHAnsi" w:eastAsiaTheme="minorEastAsia" w:hAnsiTheme="minorHAnsi" w:cstheme="minorBidi"/>
          <w:szCs w:val="22"/>
        </w:rPr>
      </w:pPr>
      <w:r>
        <w:t>72.</w:t>
      </w:r>
      <w:r>
        <w:tab/>
        <w:t>Dismissal of s. 68 application</w:t>
      </w:r>
      <w:r>
        <w:tab/>
      </w:r>
      <w:r>
        <w:fldChar w:fldCharType="begin"/>
      </w:r>
      <w:r>
        <w:instrText xml:space="preserve"> PAGEREF _Toc532472912 \h </w:instrText>
      </w:r>
      <w:r>
        <w:fldChar w:fldCharType="separate"/>
      </w:r>
      <w:r>
        <w:t>56</w:t>
      </w:r>
      <w:r>
        <w:fldChar w:fldCharType="end"/>
      </w:r>
    </w:p>
    <w:p>
      <w:pPr>
        <w:pStyle w:val="TOC8"/>
        <w:rPr>
          <w:rFonts w:asciiTheme="minorHAnsi" w:eastAsiaTheme="minorEastAsia" w:hAnsiTheme="minorHAnsi" w:cstheme="minorBidi"/>
          <w:szCs w:val="22"/>
        </w:rPr>
      </w:pPr>
      <w:r>
        <w:t>73.</w:t>
      </w:r>
      <w:r>
        <w:tab/>
        <w:t>Order under s. 69 or 70 may be subject to conditions</w:t>
      </w:r>
      <w:r>
        <w:tab/>
      </w:r>
      <w:r>
        <w:fldChar w:fldCharType="begin"/>
      </w:r>
      <w:r>
        <w:instrText xml:space="preserve"> PAGEREF _Toc532472913 \h </w:instrText>
      </w:r>
      <w:r>
        <w:fldChar w:fldCharType="separate"/>
      </w:r>
      <w:r>
        <w:t>57</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_Toc532472914 \h </w:instrText>
      </w:r>
      <w:r>
        <w:fldChar w:fldCharType="separate"/>
      </w:r>
      <w:r>
        <w:t>57</w:t>
      </w:r>
      <w:r>
        <w:fldChar w:fldCharType="end"/>
      </w:r>
    </w:p>
    <w:p>
      <w:pPr>
        <w:pStyle w:val="TOC8"/>
        <w:rPr>
          <w:rFonts w:asciiTheme="minorHAnsi" w:eastAsiaTheme="minorEastAsia" w:hAnsiTheme="minorHAnsi" w:cstheme="minorBidi"/>
          <w:szCs w:val="22"/>
        </w:rPr>
      </w:pPr>
      <w:r>
        <w:t>75.</w:t>
      </w:r>
      <w:r>
        <w:tab/>
        <w:t>Period for complying with s. 67 notice if s. 68 application made</w:t>
      </w:r>
      <w:r>
        <w:tab/>
      </w:r>
      <w:r>
        <w:fldChar w:fldCharType="begin"/>
      </w:r>
      <w:r>
        <w:instrText xml:space="preserve"> PAGEREF _Toc532472915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76A.</w:t>
      </w:r>
      <w:r>
        <w:tab/>
        <w:t>Terms used</w:t>
      </w:r>
      <w:r>
        <w:tab/>
      </w:r>
      <w:r>
        <w:fldChar w:fldCharType="begin"/>
      </w:r>
      <w:r>
        <w:instrText xml:space="preserve"> PAGEREF _Toc532472917 \h </w:instrText>
      </w:r>
      <w:r>
        <w:fldChar w:fldCharType="separate"/>
      </w:r>
      <w:r>
        <w:t>57</w:t>
      </w:r>
      <w:r>
        <w:fldChar w:fldCharType="end"/>
      </w:r>
    </w:p>
    <w:p>
      <w:pPr>
        <w:pStyle w:val="TOC8"/>
        <w:rPr>
          <w:rFonts w:asciiTheme="minorHAnsi" w:eastAsiaTheme="minorEastAsia" w:hAnsiTheme="minorHAnsi" w:cstheme="minorBidi"/>
          <w:szCs w:val="22"/>
        </w:rPr>
      </w:pPr>
      <w:r>
        <w:t>76.</w:t>
      </w:r>
      <w:r>
        <w:tab/>
        <w:t>Charge on land to secure land tax</w:t>
      </w:r>
      <w:r>
        <w:tab/>
      </w:r>
      <w:r>
        <w:fldChar w:fldCharType="begin"/>
      </w:r>
      <w:r>
        <w:instrText xml:space="preserve"> PAGEREF _Toc532472918 \h </w:instrText>
      </w:r>
      <w:r>
        <w:fldChar w:fldCharType="separate"/>
      </w:r>
      <w:r>
        <w:t>58</w:t>
      </w:r>
      <w:r>
        <w:fldChar w:fldCharType="end"/>
      </w:r>
    </w:p>
    <w:p>
      <w:pPr>
        <w:pStyle w:val="TOC8"/>
        <w:rPr>
          <w:rFonts w:asciiTheme="minorHAnsi" w:eastAsiaTheme="minorEastAsia" w:hAnsiTheme="minorHAnsi" w:cstheme="minorBidi"/>
          <w:szCs w:val="22"/>
        </w:rPr>
      </w:pPr>
      <w:r>
        <w:t>77.</w:t>
      </w:r>
      <w:r>
        <w:tab/>
        <w:t>Charge on land to secure stamp duty</w:t>
      </w:r>
      <w:r>
        <w:tab/>
      </w:r>
      <w:r>
        <w:fldChar w:fldCharType="begin"/>
      </w:r>
      <w:r>
        <w:instrText xml:space="preserve"> PAGEREF _Toc532472919 \h </w:instrText>
      </w:r>
      <w:r>
        <w:fldChar w:fldCharType="separate"/>
      </w:r>
      <w:r>
        <w:t>60</w:t>
      </w:r>
      <w:r>
        <w:fldChar w:fldCharType="end"/>
      </w:r>
    </w:p>
    <w:p>
      <w:pPr>
        <w:pStyle w:val="TOC8"/>
        <w:rPr>
          <w:rFonts w:asciiTheme="minorHAnsi" w:eastAsiaTheme="minorEastAsia" w:hAnsiTheme="minorHAnsi" w:cstheme="minorBidi"/>
          <w:szCs w:val="22"/>
        </w:rPr>
      </w:pPr>
      <w:r>
        <w:t>77A.</w:t>
      </w:r>
      <w:r>
        <w:tab/>
        <w:t>Charge on land to secure transfer duty or landholder duty</w:t>
      </w:r>
      <w:r>
        <w:tab/>
      </w:r>
      <w:r>
        <w:fldChar w:fldCharType="begin"/>
      </w:r>
      <w:r>
        <w:instrText xml:space="preserve"> PAGEREF _Toc532472920 \h </w:instrText>
      </w:r>
      <w:r>
        <w:fldChar w:fldCharType="separate"/>
      </w:r>
      <w:r>
        <w:t>61</w:t>
      </w:r>
      <w:r>
        <w:fldChar w:fldCharType="end"/>
      </w:r>
    </w:p>
    <w:p>
      <w:pPr>
        <w:pStyle w:val="TOC8"/>
        <w:rPr>
          <w:rFonts w:asciiTheme="minorHAnsi" w:eastAsiaTheme="minorEastAsia" w:hAnsiTheme="minorHAnsi" w:cstheme="minorBidi"/>
          <w:szCs w:val="22"/>
        </w:rPr>
      </w:pPr>
      <w:r>
        <w:t>78.</w:t>
      </w:r>
      <w:r>
        <w:tab/>
        <w:t>Charge on subsequent mining tenement</w:t>
      </w:r>
      <w:r>
        <w:tab/>
      </w:r>
      <w:r>
        <w:fldChar w:fldCharType="begin"/>
      </w:r>
      <w:r>
        <w:instrText xml:space="preserve"> PAGEREF _Toc532472921 \h </w:instrText>
      </w:r>
      <w:r>
        <w:fldChar w:fldCharType="separate"/>
      </w:r>
      <w:r>
        <w:t>63</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_Toc532472922 \h </w:instrText>
      </w:r>
      <w:r>
        <w:fldChar w:fldCharType="separate"/>
      </w:r>
      <w:r>
        <w:t>63</w:t>
      </w:r>
      <w:r>
        <w:fldChar w:fldCharType="end"/>
      </w:r>
    </w:p>
    <w:p>
      <w:pPr>
        <w:pStyle w:val="TOC8"/>
        <w:rPr>
          <w:rFonts w:asciiTheme="minorHAnsi" w:eastAsiaTheme="minorEastAsia" w:hAnsiTheme="minorHAnsi" w:cstheme="minorBidi"/>
          <w:szCs w:val="22"/>
        </w:rPr>
      </w:pPr>
      <w:r>
        <w:t>80.</w:t>
      </w:r>
      <w:r>
        <w:tab/>
        <w:t>Certificate as to charge to secure unpaid land tax</w:t>
      </w:r>
      <w:r>
        <w:tab/>
      </w:r>
      <w:r>
        <w:fldChar w:fldCharType="begin"/>
      </w:r>
      <w:r>
        <w:instrText xml:space="preserve"> PAGEREF _Toc532472923 \h </w:instrText>
      </w:r>
      <w:r>
        <w:fldChar w:fldCharType="separate"/>
      </w:r>
      <w:r>
        <w:t>63</w:t>
      </w:r>
      <w:r>
        <w:fldChar w:fldCharType="end"/>
      </w:r>
    </w:p>
    <w:p>
      <w:pPr>
        <w:pStyle w:val="TOC8"/>
        <w:rPr>
          <w:rFonts w:asciiTheme="minorHAnsi" w:eastAsiaTheme="minorEastAsia" w:hAnsiTheme="minorHAnsi" w:cstheme="minorBidi"/>
          <w:szCs w:val="22"/>
        </w:rPr>
      </w:pPr>
      <w:r>
        <w:t>81.</w:t>
      </w:r>
      <w:r>
        <w:tab/>
        <w:t>Withdrawal of memorial to be given when tax paid</w:t>
      </w:r>
      <w:r>
        <w:tab/>
      </w:r>
      <w:r>
        <w:fldChar w:fldCharType="begin"/>
      </w:r>
      <w:r>
        <w:instrText xml:space="preserve"> PAGEREF _Toc532472924 \h </w:instrText>
      </w:r>
      <w:r>
        <w:fldChar w:fldCharType="separate"/>
      </w:r>
      <w:r>
        <w:t>65</w:t>
      </w:r>
      <w:r>
        <w:fldChar w:fldCharType="end"/>
      </w:r>
    </w:p>
    <w:p>
      <w:pPr>
        <w:pStyle w:val="TOC8"/>
        <w:rPr>
          <w:rFonts w:asciiTheme="minorHAnsi" w:eastAsiaTheme="minorEastAsia" w:hAnsiTheme="minorHAnsi" w:cstheme="minorBidi"/>
          <w:szCs w:val="22"/>
        </w:rPr>
      </w:pPr>
      <w:r>
        <w:t>82.</w:t>
      </w:r>
      <w:r>
        <w:tab/>
        <w:t>Memorials etc. affecting TLA land or real property, lodging etc.</w:t>
      </w:r>
      <w:r>
        <w:tab/>
      </w:r>
      <w:r>
        <w:fldChar w:fldCharType="begin"/>
      </w:r>
      <w:r>
        <w:instrText xml:space="preserve"> PAGEREF _Toc532472925 \h </w:instrText>
      </w:r>
      <w:r>
        <w:fldChar w:fldCharType="separate"/>
      </w:r>
      <w:r>
        <w:t>66</w:t>
      </w:r>
      <w:r>
        <w:fldChar w:fldCharType="end"/>
      </w:r>
    </w:p>
    <w:p>
      <w:pPr>
        <w:pStyle w:val="TOC8"/>
        <w:rPr>
          <w:rFonts w:asciiTheme="minorHAnsi" w:eastAsiaTheme="minorEastAsia" w:hAnsiTheme="minorHAnsi" w:cstheme="minorBidi"/>
          <w:szCs w:val="22"/>
        </w:rPr>
      </w:pPr>
      <w:r>
        <w:t>83.</w:t>
      </w:r>
      <w:r>
        <w:tab/>
        <w:t>Memorials affecting mining tenements, lodging etc.</w:t>
      </w:r>
      <w:r>
        <w:tab/>
      </w:r>
      <w:r>
        <w:fldChar w:fldCharType="begin"/>
      </w:r>
      <w:r>
        <w:instrText xml:space="preserve"> PAGEREF _Toc532472926 \h </w:instrText>
      </w:r>
      <w:r>
        <w:fldChar w:fldCharType="separate"/>
      </w:r>
      <w:r>
        <w:t>67</w:t>
      </w:r>
      <w:r>
        <w:fldChar w:fldCharType="end"/>
      </w:r>
    </w:p>
    <w:p>
      <w:pPr>
        <w:pStyle w:val="TOC8"/>
        <w:rPr>
          <w:rFonts w:asciiTheme="minorHAnsi" w:eastAsiaTheme="minorEastAsia" w:hAnsiTheme="minorHAnsi" w:cstheme="minorBidi"/>
          <w:szCs w:val="22"/>
        </w:rPr>
      </w:pPr>
      <w:r>
        <w:t>84.</w:t>
      </w:r>
      <w:r>
        <w:tab/>
        <w:t>Mortgagees to be notified if memorial registered</w:t>
      </w:r>
      <w:r>
        <w:tab/>
      </w:r>
      <w:r>
        <w:fldChar w:fldCharType="begin"/>
      </w:r>
      <w:r>
        <w:instrText xml:space="preserve"> PAGEREF _Toc532472927 \h </w:instrText>
      </w:r>
      <w:r>
        <w:fldChar w:fldCharType="separate"/>
      </w:r>
      <w:r>
        <w:t>67</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_Toc532472928 \h </w:instrText>
      </w:r>
      <w:r>
        <w:fldChar w:fldCharType="separate"/>
      </w:r>
      <w:r>
        <w:t>67</w:t>
      </w:r>
      <w:r>
        <w:fldChar w:fldCharType="end"/>
      </w:r>
    </w:p>
    <w:p>
      <w:pPr>
        <w:pStyle w:val="TOC8"/>
        <w:rPr>
          <w:rFonts w:asciiTheme="minorHAnsi" w:eastAsiaTheme="minorEastAsia" w:hAnsiTheme="minorHAnsi" w:cstheme="minorBidi"/>
          <w:szCs w:val="22"/>
        </w:rPr>
      </w:pPr>
      <w:r>
        <w:t>86.</w:t>
      </w:r>
      <w:r>
        <w:tab/>
        <w:t>Means of enforcement not limited to charge</w:t>
      </w:r>
      <w:r>
        <w:tab/>
      </w:r>
      <w:r>
        <w:fldChar w:fldCharType="begin"/>
      </w:r>
      <w:r>
        <w:instrText xml:space="preserve"> PAGEREF _Toc532472929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to be kept</w:t>
      </w:r>
      <w:r>
        <w:tab/>
      </w:r>
      <w:r>
        <w:fldChar w:fldCharType="begin"/>
      </w:r>
      <w:r>
        <w:instrText xml:space="preserve"> PAGEREF _Toc532472931 \h </w:instrText>
      </w:r>
      <w:r>
        <w:fldChar w:fldCharType="separate"/>
      </w:r>
      <w:r>
        <w:t>70</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_Toc532472932 \h </w:instrText>
      </w:r>
      <w:r>
        <w:fldChar w:fldCharType="separate"/>
      </w:r>
      <w:r>
        <w:t>70</w:t>
      </w:r>
      <w:r>
        <w:fldChar w:fldCharType="end"/>
      </w:r>
    </w:p>
    <w:p>
      <w:pPr>
        <w:pStyle w:val="TOC8"/>
        <w:rPr>
          <w:rFonts w:asciiTheme="minorHAnsi" w:eastAsiaTheme="minorEastAsia" w:hAnsiTheme="minorHAnsi" w:cstheme="minorBidi"/>
          <w:szCs w:val="22"/>
        </w:rPr>
      </w:pPr>
      <w:r>
        <w:t>89.</w:t>
      </w:r>
      <w:r>
        <w:tab/>
        <w:t>Where tax records to be kept</w:t>
      </w:r>
      <w:r>
        <w:tab/>
      </w:r>
      <w:r>
        <w:fldChar w:fldCharType="begin"/>
      </w:r>
      <w:r>
        <w:instrText xml:space="preserve"> PAGEREF _Toc532472933 \h </w:instrText>
      </w:r>
      <w:r>
        <w:fldChar w:fldCharType="separate"/>
      </w:r>
      <w:r>
        <w:t>71</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_Toc532472934 \h </w:instrText>
      </w:r>
      <w:r>
        <w:fldChar w:fldCharType="separate"/>
      </w:r>
      <w:r>
        <w:t>71</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_Toc532472935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 — Investigations</w:t>
      </w:r>
    </w:p>
    <w:p>
      <w:pPr>
        <w:pStyle w:val="TOC4"/>
        <w:tabs>
          <w:tab w:val="right" w:leader="dot" w:pos="7077"/>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 purposes of</w:t>
      </w:r>
      <w:r>
        <w:tab/>
      </w:r>
      <w:r>
        <w:fldChar w:fldCharType="begin"/>
      </w:r>
      <w:r>
        <w:instrText xml:space="preserve"> PAGEREF _Toc532472938 \h </w:instrText>
      </w:r>
      <w:r>
        <w:fldChar w:fldCharType="separate"/>
      </w:r>
      <w:r>
        <w:t>73</w:t>
      </w:r>
      <w:r>
        <w:fldChar w:fldCharType="end"/>
      </w:r>
    </w:p>
    <w:p>
      <w:pPr>
        <w:pStyle w:val="TOC8"/>
        <w:rPr>
          <w:rFonts w:asciiTheme="minorHAnsi" w:eastAsiaTheme="minorEastAsia" w:hAnsiTheme="minorHAnsi" w:cstheme="minorBidi"/>
          <w:szCs w:val="22"/>
        </w:rPr>
      </w:pPr>
      <w:r>
        <w:t>93.</w:t>
      </w:r>
      <w:r>
        <w:tab/>
        <w:t>Investigations for purposes of recognised revenue laws</w:t>
      </w:r>
      <w:r>
        <w:tab/>
      </w:r>
      <w:r>
        <w:fldChar w:fldCharType="begin"/>
      </w:r>
      <w:r>
        <w:instrText xml:space="preserve"> PAGEREF _Toc532472939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Power to require person to provide information</w:t>
      </w:r>
      <w:r>
        <w:tab/>
      </w:r>
      <w:r>
        <w:fldChar w:fldCharType="begin"/>
      </w:r>
      <w:r>
        <w:instrText xml:space="preserve"> PAGEREF _Toc532472941 \h </w:instrText>
      </w:r>
      <w:r>
        <w:fldChar w:fldCharType="separate"/>
      </w:r>
      <w:r>
        <w:t>74</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_Toc532472942 \h </w:instrText>
      </w:r>
      <w:r>
        <w:fldChar w:fldCharType="separate"/>
      </w:r>
      <w:r>
        <w:t>75</w:t>
      </w:r>
      <w:r>
        <w:fldChar w:fldCharType="end"/>
      </w:r>
    </w:p>
    <w:p>
      <w:pPr>
        <w:pStyle w:val="TOC8"/>
        <w:rPr>
          <w:rFonts w:asciiTheme="minorHAnsi" w:eastAsiaTheme="minorEastAsia" w:hAnsiTheme="minorHAnsi" w:cstheme="minorBidi"/>
          <w:szCs w:val="22"/>
        </w:rPr>
      </w:pPr>
      <w:r>
        <w:t>96.</w:t>
      </w:r>
      <w:r>
        <w:tab/>
        <w:t>Power to retain documents and other records</w:t>
      </w:r>
      <w:r>
        <w:tab/>
      </w:r>
      <w:r>
        <w:fldChar w:fldCharType="begin"/>
      </w:r>
      <w:r>
        <w:instrText xml:space="preserve"> PAGEREF _Toc532472943 \h </w:instrText>
      </w:r>
      <w:r>
        <w:fldChar w:fldCharType="separate"/>
      </w:r>
      <w:r>
        <w:t>76</w:t>
      </w:r>
      <w:r>
        <w:fldChar w:fldCharType="end"/>
      </w:r>
    </w:p>
    <w:p>
      <w:pPr>
        <w:pStyle w:val="TOC8"/>
        <w:rPr>
          <w:rFonts w:asciiTheme="minorHAnsi" w:eastAsiaTheme="minorEastAsia" w:hAnsiTheme="minorHAnsi" w:cstheme="minorBidi"/>
          <w:szCs w:val="22"/>
        </w:rPr>
      </w:pPr>
      <w:r>
        <w:t>97.</w:t>
      </w:r>
      <w:r>
        <w:tab/>
        <w:t>Recording proceedings under s. 95</w:t>
      </w:r>
      <w:r>
        <w:tab/>
      </w:r>
      <w:r>
        <w:fldChar w:fldCharType="begin"/>
      </w:r>
      <w:r>
        <w:instrText xml:space="preserve"> PAGEREF _Toc532472944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Power to enter premises</w:t>
      </w:r>
      <w:r>
        <w:tab/>
      </w:r>
      <w:r>
        <w:fldChar w:fldCharType="begin"/>
      </w:r>
      <w:r>
        <w:instrText xml:space="preserve"> PAGEREF _Toc532472946 \h </w:instrText>
      </w:r>
      <w:r>
        <w:fldChar w:fldCharType="separate"/>
      </w:r>
      <w:r>
        <w:t>77</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_Toc532472947 \h </w:instrText>
      </w:r>
      <w:r>
        <w:fldChar w:fldCharType="separate"/>
      </w:r>
      <w:r>
        <w:t>78</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_Toc532472948 \h </w:instrText>
      </w:r>
      <w:r>
        <w:fldChar w:fldCharType="separate"/>
      </w:r>
      <w:r>
        <w:t>81</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_Toc532472949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requirements to provide information</w:t>
      </w:r>
      <w:r>
        <w:tab/>
      </w:r>
      <w:r>
        <w:fldChar w:fldCharType="begin"/>
      </w:r>
      <w:r>
        <w:instrText xml:space="preserve"> PAGEREF _Toc532472951 \h </w:instrText>
      </w:r>
      <w:r>
        <w:fldChar w:fldCharType="separate"/>
      </w:r>
      <w:r>
        <w:t>82</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_Toc532472952 \h </w:instrText>
      </w:r>
      <w:r>
        <w:fldChar w:fldCharType="separate"/>
      </w:r>
      <w:r>
        <w:t>82</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_Toc532472953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_Toc532472955 \h </w:instrText>
      </w:r>
      <w:r>
        <w:fldChar w:fldCharType="separate"/>
      </w:r>
      <w:r>
        <w:t>86</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_Toc532472956 \h </w:instrText>
      </w:r>
      <w:r>
        <w:fldChar w:fldCharType="separate"/>
      </w:r>
      <w:r>
        <w:t>86</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_Toc532472957 \h </w:instrText>
      </w:r>
      <w:r>
        <w:fldChar w:fldCharType="separate"/>
      </w:r>
      <w:r>
        <w:t>86</w:t>
      </w:r>
      <w:r>
        <w:fldChar w:fldCharType="end"/>
      </w:r>
    </w:p>
    <w:p>
      <w:pPr>
        <w:pStyle w:val="TOC8"/>
        <w:rPr>
          <w:rFonts w:asciiTheme="minorHAnsi" w:eastAsiaTheme="minorEastAsia" w:hAnsiTheme="minorHAnsi" w:cstheme="minorBidi"/>
          <w:szCs w:val="22"/>
        </w:rPr>
      </w:pPr>
      <w:r>
        <w:t>108.</w:t>
      </w:r>
      <w:r>
        <w:tab/>
        <w:t>Obstructing or misleading investigator</w:t>
      </w:r>
      <w:r>
        <w:tab/>
      </w:r>
      <w:r>
        <w:fldChar w:fldCharType="begin"/>
      </w:r>
      <w:r>
        <w:instrText xml:space="preserve"> PAGEREF _Toc532472958 \h </w:instrText>
      </w:r>
      <w:r>
        <w:fldChar w:fldCharType="separate"/>
      </w:r>
      <w:r>
        <w:t>87</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_Toc532472959 \h </w:instrText>
      </w:r>
      <w:r>
        <w:fldChar w:fldCharType="separate"/>
      </w:r>
      <w:r>
        <w:t>87</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_Toc532472960 \h </w:instrText>
      </w:r>
      <w:r>
        <w:fldChar w:fldCharType="separate"/>
      </w:r>
      <w:r>
        <w:t>88</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_Toc532472961 \h </w:instrText>
      </w:r>
      <w:r>
        <w:fldChar w:fldCharType="separate"/>
      </w:r>
      <w:r>
        <w:t>88</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_Toc532472962 \h </w:instrText>
      </w:r>
      <w:r>
        <w:fldChar w:fldCharType="separate"/>
      </w:r>
      <w:r>
        <w:t>88</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_Toc532472963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4"/>
        <w:tabs>
          <w:tab w:val="right" w:leader="dot" w:pos="7077"/>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tab/>
        <w:t>Duty of confidentiality</w:t>
      </w:r>
      <w:r>
        <w:tab/>
      </w:r>
      <w:r>
        <w:fldChar w:fldCharType="begin"/>
      </w:r>
      <w:r>
        <w:instrText xml:space="preserve"> PAGEREF _Toc532472966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Commissioner</w:t>
      </w:r>
      <w:r>
        <w:tab/>
      </w:r>
      <w:r>
        <w:fldChar w:fldCharType="begin"/>
      </w:r>
      <w:r>
        <w:instrText xml:space="preserve"> PAGEREF _Toc532472968 \h </w:instrText>
      </w:r>
      <w:r>
        <w:fldChar w:fldCharType="separate"/>
      </w:r>
      <w:r>
        <w:t>92</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_Toc532472969 \h </w:instrText>
      </w:r>
      <w:r>
        <w:fldChar w:fldCharType="separate"/>
      </w:r>
      <w:r>
        <w:t>92</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_Toc532472970 \h </w:instrText>
      </w:r>
      <w:r>
        <w:fldChar w:fldCharType="separate"/>
      </w:r>
      <w:r>
        <w:t>93</w:t>
      </w:r>
      <w:r>
        <w:fldChar w:fldCharType="end"/>
      </w:r>
    </w:p>
    <w:p>
      <w:pPr>
        <w:pStyle w:val="TOC8"/>
        <w:rPr>
          <w:rFonts w:asciiTheme="minorHAnsi" w:eastAsiaTheme="minorEastAsia" w:hAnsiTheme="minorHAnsi" w:cstheme="minorBidi"/>
          <w:szCs w:val="22"/>
        </w:rPr>
      </w:pPr>
      <w:r>
        <w:t>118.</w:t>
      </w:r>
      <w:r>
        <w:tab/>
        <w:t>This Division in addition to other laws about service</w:t>
      </w:r>
      <w:r>
        <w:tab/>
      </w:r>
      <w:r>
        <w:fldChar w:fldCharType="begin"/>
      </w:r>
      <w:r>
        <w:instrText xml:space="preserve"> PAGEREF _Toc532472971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_Toc532472973 \h </w:instrText>
      </w:r>
      <w:r>
        <w:fldChar w:fldCharType="separate"/>
      </w:r>
      <w:r>
        <w:t>94</w:t>
      </w:r>
      <w:r>
        <w:fldChar w:fldCharType="end"/>
      </w:r>
    </w:p>
    <w:p>
      <w:pPr>
        <w:pStyle w:val="TOC8"/>
        <w:rPr>
          <w:rFonts w:asciiTheme="minorHAnsi" w:eastAsiaTheme="minorEastAsia" w:hAnsiTheme="minorHAnsi" w:cstheme="minorBidi"/>
          <w:szCs w:val="22"/>
        </w:rPr>
      </w:pPr>
      <w:r>
        <w:t>120.</w:t>
      </w:r>
      <w:r>
        <w:tab/>
        <w:t>Evidentiary value of copies and reproductions of documents</w:t>
      </w:r>
      <w:r>
        <w:tab/>
      </w:r>
      <w:r>
        <w:fldChar w:fldCharType="begin"/>
      </w:r>
      <w:r>
        <w:instrText xml:space="preserve"> PAGEREF _Toc532472974 \h </w:instrText>
      </w:r>
      <w:r>
        <w:fldChar w:fldCharType="separate"/>
      </w:r>
      <w:r>
        <w:t>94</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_Toc532472975 \h </w:instrText>
      </w:r>
      <w:r>
        <w:fldChar w:fldCharType="separate"/>
      </w:r>
      <w:r>
        <w:t>95</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_Toc532472976 \h </w:instrText>
      </w:r>
      <w:r>
        <w:fldChar w:fldCharType="separate"/>
      </w:r>
      <w:r>
        <w:t>95</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_Toc532472977 \h </w:instrText>
      </w:r>
      <w:r>
        <w:fldChar w:fldCharType="separate"/>
      </w:r>
      <w:r>
        <w:t>96</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_Toc532472978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tab/>
        <w:t>Exemption from personal liability</w:t>
      </w:r>
      <w:r>
        <w:tab/>
      </w:r>
      <w:r>
        <w:fldChar w:fldCharType="begin"/>
      </w:r>
      <w:r>
        <w:instrText xml:space="preserve"> PAGEREF _Toc532472980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 — Regulations, practices and forms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_Toc532472982 \h </w:instrText>
      </w:r>
      <w:r>
        <w:fldChar w:fldCharType="separate"/>
      </w:r>
      <w:r>
        <w:t>97</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_Toc532472983 \h </w:instrText>
      </w:r>
      <w:r>
        <w:fldChar w:fldCharType="separate"/>
      </w:r>
      <w:r>
        <w:t>97</w:t>
      </w:r>
      <w:r>
        <w:fldChar w:fldCharType="end"/>
      </w:r>
    </w:p>
    <w:p>
      <w:pPr>
        <w:pStyle w:val="TOC8"/>
        <w:rPr>
          <w:rFonts w:asciiTheme="minorHAnsi" w:eastAsiaTheme="minorEastAsia" w:hAnsiTheme="minorHAnsi" w:cstheme="minorBidi"/>
          <w:szCs w:val="22"/>
        </w:rPr>
      </w:pPr>
      <w:r>
        <w:t>128.</w:t>
      </w:r>
      <w:r>
        <w:tab/>
        <w:t>Forms</w:t>
      </w:r>
      <w:r>
        <w:tab/>
      </w:r>
      <w:r>
        <w:fldChar w:fldCharType="begin"/>
      </w:r>
      <w:r>
        <w:instrText xml:space="preserve"> PAGEREF _Toc532472984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6 — Early operation of certain amendments to taxation Acts</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_Toc532472986 \h </w:instrText>
      </w:r>
      <w:r>
        <w:fldChar w:fldCharType="separate"/>
      </w:r>
      <w:r>
        <w:t>98</w:t>
      </w:r>
      <w:r>
        <w:fldChar w:fldCharType="end"/>
      </w:r>
    </w:p>
    <w:p>
      <w:pPr>
        <w:pStyle w:val="TOC8"/>
        <w:rPr>
          <w:rFonts w:asciiTheme="minorHAnsi" w:eastAsiaTheme="minorEastAsia" w:hAnsiTheme="minorHAnsi" w:cstheme="minorBidi"/>
          <w:szCs w:val="22"/>
        </w:rPr>
      </w:pPr>
      <w:r>
        <w:t>130.</w:t>
      </w:r>
      <w:r>
        <w:tab/>
        <w:t>Determination of pre</w:t>
      </w:r>
      <w:r>
        <w:noBreakHyphen/>
        <w:t>enactment provisions</w:t>
      </w:r>
      <w:r>
        <w:tab/>
      </w:r>
      <w:r>
        <w:fldChar w:fldCharType="begin"/>
      </w:r>
      <w:r>
        <w:instrText xml:space="preserve"> PAGEREF _Toc532472987 \h </w:instrText>
      </w:r>
      <w:r>
        <w:fldChar w:fldCharType="separate"/>
      </w:r>
      <w:r>
        <w:t>98</w:t>
      </w:r>
      <w:r>
        <w:fldChar w:fldCharType="end"/>
      </w:r>
    </w:p>
    <w:p>
      <w:pPr>
        <w:pStyle w:val="TOC8"/>
        <w:rPr>
          <w:rFonts w:asciiTheme="minorHAnsi" w:eastAsiaTheme="minorEastAsia" w:hAnsiTheme="minorHAnsi" w:cstheme="minorBidi"/>
          <w:szCs w:val="22"/>
        </w:rPr>
      </w:pPr>
      <w:r>
        <w:t>131.</w:t>
      </w:r>
      <w:r>
        <w:tab/>
        <w:t>Duration of determination notice</w:t>
      </w:r>
      <w:r>
        <w:tab/>
      </w:r>
      <w:r>
        <w:fldChar w:fldCharType="begin"/>
      </w:r>
      <w:r>
        <w:instrText xml:space="preserve"> PAGEREF _Toc532472988 \h </w:instrText>
      </w:r>
      <w:r>
        <w:fldChar w:fldCharType="separate"/>
      </w:r>
      <w:r>
        <w:t>99</w:t>
      </w:r>
      <w:r>
        <w:fldChar w:fldCharType="end"/>
      </w:r>
    </w:p>
    <w:p>
      <w:pPr>
        <w:pStyle w:val="TOC8"/>
        <w:rPr>
          <w:rFonts w:asciiTheme="minorHAnsi" w:eastAsiaTheme="minorEastAsia" w:hAnsiTheme="minorHAnsi" w:cstheme="minorBidi"/>
          <w:szCs w:val="22"/>
        </w:rPr>
      </w:pPr>
      <w:r>
        <w:t>132.</w:t>
      </w:r>
      <w:r>
        <w:tab/>
        <w:t>Amendment and replacement of determination notice</w:t>
      </w:r>
      <w:r>
        <w:tab/>
      </w:r>
      <w:r>
        <w:fldChar w:fldCharType="begin"/>
      </w:r>
      <w:r>
        <w:instrText xml:space="preserve"> PAGEREF _Toc532472989 \h </w:instrText>
      </w:r>
      <w:r>
        <w:fldChar w:fldCharType="separate"/>
      </w:r>
      <w:r>
        <w:t>100</w:t>
      </w:r>
      <w:r>
        <w:fldChar w:fldCharType="end"/>
      </w:r>
    </w:p>
    <w:p>
      <w:pPr>
        <w:pStyle w:val="TOC8"/>
        <w:rPr>
          <w:rFonts w:asciiTheme="minorHAnsi" w:eastAsiaTheme="minorEastAsia" w:hAnsiTheme="minorHAnsi" w:cstheme="minorBidi"/>
          <w:szCs w:val="22"/>
        </w:rPr>
      </w:pPr>
      <w:r>
        <w:t>133.</w:t>
      </w:r>
      <w:r>
        <w:tab/>
        <w:t>Effect of pre</w:t>
      </w:r>
      <w:r>
        <w:noBreakHyphen/>
        <w:t>enactment provisions</w:t>
      </w:r>
      <w:r>
        <w:tab/>
      </w:r>
      <w:r>
        <w:fldChar w:fldCharType="begin"/>
      </w:r>
      <w:r>
        <w:instrText xml:space="preserve"> PAGEREF _Toc532472990 \h </w:instrText>
      </w:r>
      <w:r>
        <w:fldChar w:fldCharType="separate"/>
      </w:r>
      <w:r>
        <w:t>101</w:t>
      </w:r>
      <w:r>
        <w:fldChar w:fldCharType="end"/>
      </w:r>
    </w:p>
    <w:p>
      <w:pPr>
        <w:pStyle w:val="TOC8"/>
        <w:rPr>
          <w:rFonts w:asciiTheme="minorHAnsi" w:eastAsiaTheme="minorEastAsia" w:hAnsiTheme="minorHAnsi" w:cstheme="minorBidi"/>
          <w:szCs w:val="22"/>
        </w:rPr>
      </w:pPr>
      <w:r>
        <w:t>134.</w:t>
      </w:r>
      <w:r>
        <w:tab/>
        <w:t>Review of Division</w:t>
      </w:r>
      <w:r>
        <w:tab/>
      </w:r>
      <w:r>
        <w:fldChar w:fldCharType="begin"/>
      </w:r>
      <w:r>
        <w:instrText xml:space="preserve"> PAGEREF _Toc532472991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7 — Review of operation and effectiveness of interim assessments</w:t>
      </w:r>
    </w:p>
    <w:p>
      <w:pPr>
        <w:pStyle w:val="TOC8"/>
        <w:rPr>
          <w:rFonts w:asciiTheme="minorHAnsi" w:eastAsiaTheme="minorEastAsia" w:hAnsiTheme="minorHAnsi" w:cstheme="minorBidi"/>
          <w:szCs w:val="22"/>
        </w:rPr>
      </w:pPr>
      <w:r>
        <w:t>135.</w:t>
      </w:r>
      <w:r>
        <w:tab/>
        <w:t>Review of operation and effectiveness</w:t>
      </w:r>
      <w:r>
        <w:tab/>
      </w:r>
      <w:r>
        <w:fldChar w:fldCharType="begin"/>
      </w:r>
      <w:r>
        <w:instrText xml:space="preserve"> PAGEREF _Toc532472993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matters</w:t>
      </w:r>
    </w:p>
    <w:p>
      <w:pPr>
        <w:pStyle w:val="TOC8"/>
        <w:rPr>
          <w:rFonts w:asciiTheme="minorHAnsi" w:eastAsiaTheme="minorEastAsia" w:hAnsiTheme="minorHAnsi" w:cstheme="minorBidi"/>
          <w:szCs w:val="22"/>
        </w:rPr>
      </w:pPr>
      <w:r>
        <w:t>136.</w:t>
      </w:r>
      <w:r>
        <w:tab/>
        <w:t xml:space="preserve">Provisions for </w:t>
      </w:r>
      <w:r>
        <w:rPr>
          <w:i/>
          <w:snapToGrid w:val="0"/>
        </w:rPr>
        <w:t>Revenue Laws Amendment Act 2013</w:t>
      </w:r>
      <w:r>
        <w:t xml:space="preserve"> Part 3</w:t>
      </w:r>
      <w:r>
        <w:tab/>
      </w:r>
      <w:r>
        <w:fldChar w:fldCharType="begin"/>
      </w:r>
      <w:r>
        <w:instrText xml:space="preserve"> PAGEREF _Toc532472995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_Toc532472997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_Toc532472999 \h </w:instrText>
      </w:r>
      <w:r>
        <w:fldChar w:fldCharType="separate"/>
      </w:r>
      <w:r>
        <w:t>110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_Toc532473000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3" w:name="_Toc440362504"/>
      <w:bookmarkStart w:id="4" w:name="_Toc450559940"/>
      <w:bookmarkStart w:id="5" w:name="_Toc455399470"/>
      <w:bookmarkStart w:id="6" w:name="_Toc528769055"/>
      <w:bookmarkStart w:id="7" w:name="_Toc53247281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p>
    <w:p>
      <w:pPr>
        <w:pStyle w:val="Heading5"/>
        <w:rPr>
          <w:snapToGrid w:val="0"/>
        </w:rPr>
      </w:pPr>
      <w:bookmarkStart w:id="8" w:name="_Toc532472817"/>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9" w:name="_Toc532472818"/>
      <w:r>
        <w:rPr>
          <w:rStyle w:val="CharSectno"/>
        </w:rPr>
        <w:t>2</w:t>
      </w:r>
      <w:r>
        <w:rPr>
          <w:snapToGrid w:val="0"/>
        </w:rPr>
        <w:t>.</w:t>
      </w:r>
      <w:r>
        <w:rPr>
          <w:snapToGrid w:val="0"/>
        </w:rPr>
        <w:tab/>
        <w:t>Commencement</w:t>
      </w:r>
      <w:bookmarkEnd w:id="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 w:name="_Toc532472819"/>
      <w:r>
        <w:rPr>
          <w:rStyle w:val="CharSectno"/>
        </w:rPr>
        <w:t>3</w:t>
      </w:r>
      <w:r>
        <w:t>.</w:t>
      </w:r>
      <w:r>
        <w:tab/>
        <w:t>Taxation Acts</w:t>
      </w:r>
      <w:bookmarkEnd w:id="10"/>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keepNext/>
      </w:pPr>
      <w:r>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24 of 2007 s. 94; No. 12 of 2008 s. 34; No. 17 of 2010 s. 30(2).]</w:t>
      </w:r>
    </w:p>
    <w:p>
      <w:pPr>
        <w:pStyle w:val="Footnotesection"/>
      </w:pPr>
      <w:r>
        <w:tab/>
        <w:t>[Section 3, modifications have effect under the Commonwealth Places (Mirror Taxes Administration) Act 1999, see note 1M.]</w:t>
      </w:r>
    </w:p>
    <w:p>
      <w:pPr>
        <w:pStyle w:val="Footnotesection"/>
      </w:pPr>
      <w:r>
        <w:tab/>
        <w:t>[Section 3, modifications have effect under the Commonwealth Places (Mirror Taxes) Act 1998 (Cth), see note 1MC.]</w:t>
      </w:r>
    </w:p>
    <w:p>
      <w:pPr>
        <w:pStyle w:val="Heading5"/>
      </w:pPr>
      <w:bookmarkStart w:id="11" w:name="_Toc532472820"/>
      <w:r>
        <w:rPr>
          <w:rStyle w:val="CharSectno"/>
        </w:rPr>
        <w:t>4</w:t>
      </w:r>
      <w:r>
        <w:rPr>
          <w:b w:val="0"/>
        </w:rPr>
        <w:t>.</w:t>
      </w:r>
      <w:r>
        <w:rPr>
          <w:snapToGrid w:val="0"/>
        </w:rPr>
        <w:tab/>
      </w:r>
      <w:r>
        <w:t>Terms used (Glossary)</w:t>
      </w:r>
      <w:bookmarkEnd w:id="11"/>
    </w:p>
    <w:p>
      <w:pPr>
        <w:pStyle w:val="Subsection"/>
      </w:pPr>
      <w:r>
        <w:tab/>
      </w:r>
      <w:r>
        <w:tab/>
        <w:t>The Glossary at the end of this Act defines or affects the meaning of some of the words and expressions used in this Act.</w:t>
      </w:r>
    </w:p>
    <w:p>
      <w:pPr>
        <w:pStyle w:val="Heading5"/>
      </w:pPr>
      <w:bookmarkStart w:id="12" w:name="_Toc532472821"/>
      <w:r>
        <w:rPr>
          <w:rStyle w:val="CharSectno"/>
        </w:rPr>
        <w:t>5</w:t>
      </w:r>
      <w:r>
        <w:t>.</w:t>
      </w:r>
      <w:r>
        <w:tab/>
        <w:t>Crown bound</w:t>
      </w:r>
      <w:bookmarkEnd w:id="12"/>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Footnotesection"/>
      </w:pPr>
      <w:r>
        <w:tab/>
        <w:t>[Section 5, modifications have effect under the Commonwealth Places (Mirror Taxes) Act 1998 (Cth), see note 1MC.]</w:t>
      </w:r>
    </w:p>
    <w:p>
      <w:pPr>
        <w:pStyle w:val="Footnotesection"/>
      </w:pPr>
      <w:r>
        <w:t>[</w:t>
      </w:r>
      <w:r>
        <w:rPr>
          <w:b/>
        </w:rPr>
        <w:t>5A.</w:t>
      </w:r>
      <w:r>
        <w:rPr>
          <w:vertAlign w:val="superscript"/>
        </w:rPr>
        <w:t> 1M</w:t>
      </w:r>
      <w:r>
        <w:tab/>
        <w:t>A modification, to insert section 5A, has effect under the Commonwealth Places (Mirror Taxes Administration) Act 1999, see note 1M.]</w:t>
      </w:r>
    </w:p>
    <w:p>
      <w:pPr>
        <w:pStyle w:val="Footnotesection"/>
      </w:pPr>
      <w:r>
        <w:t>[</w:t>
      </w:r>
      <w:r>
        <w:rPr>
          <w:b/>
        </w:rPr>
        <w:t>5A.</w:t>
      </w:r>
      <w:r>
        <w:rPr>
          <w:vertAlign w:val="superscript"/>
        </w:rPr>
        <w:t> 1MC</w:t>
      </w:r>
      <w:r>
        <w:tab/>
        <w:t>A modification, to insert section 5A, has effect under the Commonwealth Places (Mirror Taxes) Act 1998 (Cth), see note 1MC.]</w:t>
      </w:r>
    </w:p>
    <w:p>
      <w:pPr>
        <w:pStyle w:val="Footnotesection"/>
      </w:pPr>
      <w:r>
        <w:t xml:space="preserve"> [</w:t>
      </w:r>
      <w:r>
        <w:rPr>
          <w:b/>
        </w:rPr>
        <w:t>5B.</w:t>
      </w:r>
      <w:r>
        <w:rPr>
          <w:vertAlign w:val="superscript"/>
        </w:rPr>
        <w:t> 1M</w:t>
      </w:r>
      <w:r>
        <w:tab/>
        <w:t>A modification, to insert section 5B, has effect under the Commonwealth Places (Mirror Taxes Administration) Act 1999, see note 1M.]</w:t>
      </w:r>
    </w:p>
    <w:p>
      <w:pPr>
        <w:pStyle w:val="Footnotesection"/>
      </w:pPr>
      <w:r>
        <w:t>[</w:t>
      </w:r>
      <w:r>
        <w:rPr>
          <w:b/>
        </w:rPr>
        <w:t>5B.</w:t>
      </w:r>
      <w:r>
        <w:rPr>
          <w:vertAlign w:val="superscript"/>
        </w:rPr>
        <w:t> 1MC</w:t>
      </w:r>
      <w:r>
        <w:tab/>
        <w:t>A modification, to insert section 5B, has effect under the Commonwealth Places (Mirror Taxes) Act 1998 (Cth), see note 1MC.]</w:t>
      </w:r>
    </w:p>
    <w:p>
      <w:pPr>
        <w:pStyle w:val="Heading2"/>
      </w:pPr>
      <w:bookmarkStart w:id="13" w:name="_Toc440362510"/>
      <w:bookmarkStart w:id="14" w:name="_Toc450559946"/>
      <w:bookmarkStart w:id="15" w:name="_Toc455399476"/>
      <w:bookmarkStart w:id="16" w:name="_Toc528769061"/>
      <w:bookmarkStart w:id="17" w:name="_Toc532472822"/>
      <w:r>
        <w:rPr>
          <w:rStyle w:val="CharPartNo"/>
        </w:rPr>
        <w:t>Part 2</w:t>
      </w:r>
      <w:r>
        <w:rPr>
          <w:rStyle w:val="CharDivNo"/>
        </w:rPr>
        <w:t xml:space="preserve"> </w:t>
      </w:r>
      <w:r>
        <w:t>—</w:t>
      </w:r>
      <w:r>
        <w:rPr>
          <w:rStyle w:val="CharDivText"/>
        </w:rPr>
        <w:t xml:space="preserve"> </w:t>
      </w:r>
      <w:r>
        <w:rPr>
          <w:rStyle w:val="CharPartText"/>
        </w:rPr>
        <w:t>Tax administration generally</w:t>
      </w:r>
      <w:bookmarkEnd w:id="13"/>
      <w:bookmarkEnd w:id="14"/>
      <w:bookmarkEnd w:id="15"/>
      <w:bookmarkEnd w:id="16"/>
      <w:bookmarkEnd w:id="17"/>
    </w:p>
    <w:p>
      <w:pPr>
        <w:pStyle w:val="Heading5"/>
        <w:spacing w:before="180"/>
      </w:pPr>
      <w:bookmarkStart w:id="18" w:name="_Toc532472823"/>
      <w:r>
        <w:rPr>
          <w:rStyle w:val="CharSectno"/>
        </w:rPr>
        <w:t>6</w:t>
      </w:r>
      <w:r>
        <w:t>.</w:t>
      </w:r>
      <w:r>
        <w:tab/>
        <w:t>Commissioner of State Revenue</w:t>
      </w:r>
      <w:bookmarkEnd w:id="18"/>
    </w:p>
    <w:p>
      <w:pPr>
        <w:pStyle w:val="Subsection"/>
        <w:spacing w:before="120"/>
      </w:pPr>
      <w:r>
        <w:tab/>
      </w:r>
      <w:r>
        <w:tab/>
        <w:t xml:space="preserve">A Commissioner of State Revenue is to be appointed under Part 3 of the </w:t>
      </w:r>
      <w:r>
        <w:rPr>
          <w:i/>
        </w:rPr>
        <w:t>Public Sector Management Act 1994</w:t>
      </w:r>
      <w:r>
        <w:t>.</w:t>
      </w:r>
    </w:p>
    <w:p>
      <w:pPr>
        <w:pStyle w:val="Footnotesection"/>
        <w:spacing w:before="80"/>
        <w:ind w:left="890" w:hanging="890"/>
      </w:pPr>
      <w:r>
        <w:tab/>
        <w:t>[A modification, to repeal section 6, has effect under the Commonwealth Places (Mirror Taxes) Act 1998 (Cth), see note 1MC.]</w:t>
      </w:r>
    </w:p>
    <w:p>
      <w:pPr>
        <w:pStyle w:val="Heading5"/>
        <w:spacing w:before="160"/>
      </w:pPr>
      <w:bookmarkStart w:id="19" w:name="_Toc532472824"/>
      <w:r>
        <w:rPr>
          <w:rStyle w:val="CharSectno"/>
        </w:rPr>
        <w:t>7</w:t>
      </w:r>
      <w:r>
        <w:t>.</w:t>
      </w:r>
      <w:r>
        <w:tab/>
        <w:t>Commissioner’s functions as to taxation Acts</w:t>
      </w:r>
      <w:bookmarkEnd w:id="19"/>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spacing w:before="80"/>
        <w:ind w:left="890" w:hanging="890"/>
      </w:pPr>
      <w:r>
        <w:tab/>
        <w:t>[Section 7 inserted by No. 31 of 2008 s. 23.]</w:t>
      </w:r>
    </w:p>
    <w:p>
      <w:pPr>
        <w:pStyle w:val="Heading5"/>
        <w:spacing w:before="160"/>
      </w:pPr>
      <w:bookmarkStart w:id="20" w:name="_Toc532472825"/>
      <w:r>
        <w:rPr>
          <w:rStyle w:val="CharSectno"/>
        </w:rPr>
        <w:t>8</w:t>
      </w:r>
      <w:r>
        <w:t>.</w:t>
      </w:r>
      <w:r>
        <w:tab/>
        <w:t>Commissioner may perform investigators’ functions</w:t>
      </w:r>
      <w:bookmarkEnd w:id="20"/>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21" w:name="_Toc532472826"/>
      <w:r>
        <w:rPr>
          <w:rStyle w:val="CharSectno"/>
        </w:rPr>
        <w:t>9</w:t>
      </w:r>
      <w:r>
        <w:t>.</w:t>
      </w:r>
      <w:r>
        <w:tab/>
        <w:t>Commissioner, judicial notice of appointment and signature</w:t>
      </w:r>
      <w:bookmarkEnd w:id="21"/>
    </w:p>
    <w:p>
      <w:pPr>
        <w:pStyle w:val="Subsection"/>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22" w:name="_Toc532472827"/>
      <w:r>
        <w:rPr>
          <w:rStyle w:val="CharSectno"/>
        </w:rPr>
        <w:t>10</w:t>
      </w:r>
      <w:r>
        <w:t>.</w:t>
      </w:r>
      <w:r>
        <w:tab/>
        <w:t>Delegation by Commissioner</w:t>
      </w:r>
      <w:bookmarkEnd w:id="22"/>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keepLines w:val="0"/>
        <w:ind w:left="890" w:hanging="890"/>
      </w:pPr>
      <w:r>
        <w:tab/>
        <w:t>[Section 10, modifications have effect under the Commonwealth Places (Mirror Taxes Administration) Act 1999, see note 1M.]</w:t>
      </w:r>
    </w:p>
    <w:p>
      <w:pPr>
        <w:pStyle w:val="Footnotesection"/>
      </w:pPr>
      <w:r>
        <w:tab/>
        <w:t>[A modification, to replace section 10, has effect under the Commonwealth Places (Mirror Taxes) Act 1998 (Cth), see note 1MC.]</w:t>
      </w:r>
    </w:p>
    <w:p>
      <w:pPr>
        <w:pStyle w:val="Heading5"/>
      </w:pPr>
      <w:bookmarkStart w:id="23" w:name="_Toc532472828"/>
      <w:r>
        <w:rPr>
          <w:rStyle w:val="CharSectno"/>
        </w:rPr>
        <w:t>11</w:t>
      </w:r>
      <w:r>
        <w:t>.</w:t>
      </w:r>
      <w:r>
        <w:tab/>
        <w:t>Tax investigators</w:t>
      </w:r>
      <w:bookmarkEnd w:id="23"/>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Footnotesection"/>
      </w:pPr>
      <w:r>
        <w:tab/>
        <w:t>[A modification, to replace section 11, has effect under the Commonwealth Places (Mirror Taxes) Act 1998 (Cth), see note 1MC.]</w:t>
      </w:r>
    </w:p>
    <w:p>
      <w:pPr>
        <w:pStyle w:val="Heading5"/>
      </w:pPr>
      <w:bookmarkStart w:id="24" w:name="_Toc532472829"/>
      <w:r>
        <w:rPr>
          <w:rStyle w:val="CharSectno"/>
        </w:rPr>
        <w:t>12</w:t>
      </w:r>
      <w:r>
        <w:t>.</w:t>
      </w:r>
      <w:r>
        <w:tab/>
        <w:t>Appointed representatives for court proceedings</w:t>
      </w:r>
      <w:bookmarkEnd w:id="24"/>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25" w:name="_Toc440362518"/>
      <w:bookmarkStart w:id="26" w:name="_Toc450559954"/>
      <w:bookmarkStart w:id="27" w:name="_Toc455399484"/>
      <w:bookmarkStart w:id="28" w:name="_Toc528769069"/>
      <w:bookmarkStart w:id="29" w:name="_Toc532472830"/>
      <w:r>
        <w:rPr>
          <w:rStyle w:val="CharPartNo"/>
        </w:rPr>
        <w:t>Part 3</w:t>
      </w:r>
      <w:r>
        <w:t xml:space="preserve"> — </w:t>
      </w:r>
      <w:r>
        <w:rPr>
          <w:rStyle w:val="CharPartText"/>
        </w:rPr>
        <w:t>Assessments of tax</w:t>
      </w:r>
      <w:bookmarkEnd w:id="25"/>
      <w:bookmarkEnd w:id="26"/>
      <w:bookmarkEnd w:id="27"/>
      <w:bookmarkEnd w:id="28"/>
      <w:bookmarkEnd w:id="29"/>
    </w:p>
    <w:p>
      <w:pPr>
        <w:pStyle w:val="Heading3"/>
      </w:pPr>
      <w:bookmarkStart w:id="30" w:name="_Toc440362519"/>
      <w:bookmarkStart w:id="31" w:name="_Toc450559955"/>
      <w:bookmarkStart w:id="32" w:name="_Toc455399485"/>
      <w:bookmarkStart w:id="33" w:name="_Toc528769070"/>
      <w:bookmarkStart w:id="34" w:name="_Toc532472831"/>
      <w:r>
        <w:rPr>
          <w:rStyle w:val="CharDivNo"/>
        </w:rPr>
        <w:t>Division 1</w:t>
      </w:r>
      <w:r>
        <w:t xml:space="preserve"> — </w:t>
      </w:r>
      <w:r>
        <w:rPr>
          <w:rStyle w:val="CharDivText"/>
        </w:rPr>
        <w:t>Assessments</w:t>
      </w:r>
      <w:bookmarkEnd w:id="30"/>
      <w:bookmarkEnd w:id="31"/>
      <w:bookmarkEnd w:id="32"/>
      <w:bookmarkEnd w:id="33"/>
      <w:bookmarkEnd w:id="34"/>
    </w:p>
    <w:p>
      <w:pPr>
        <w:pStyle w:val="Heading5"/>
      </w:pPr>
      <w:bookmarkStart w:id="35" w:name="_Toc532472832"/>
      <w:r>
        <w:rPr>
          <w:rStyle w:val="CharSectno"/>
        </w:rPr>
        <w:t>13</w:t>
      </w:r>
      <w:r>
        <w:t>.</w:t>
      </w:r>
      <w:r>
        <w:tab/>
        <w:t>Assessments</w:t>
      </w:r>
      <w:bookmarkEnd w:id="35"/>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by No. 10 of 2013 s. 11.]</w:t>
      </w:r>
    </w:p>
    <w:p>
      <w:pPr>
        <w:pStyle w:val="Heading5"/>
      </w:pPr>
      <w:bookmarkStart w:id="36" w:name="_Toc532472833"/>
      <w:r>
        <w:rPr>
          <w:rStyle w:val="CharSectno"/>
        </w:rPr>
        <w:t>14</w:t>
      </w:r>
      <w:r>
        <w:t>.</w:t>
      </w:r>
      <w:r>
        <w:tab/>
        <w:t>Self</w:t>
      </w:r>
      <w:r>
        <w:noBreakHyphen/>
        <w:t>assessments</w:t>
      </w:r>
      <w:bookmarkEnd w:id="36"/>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37" w:name="_Toc532472834"/>
      <w:r>
        <w:rPr>
          <w:rStyle w:val="CharSectno"/>
        </w:rPr>
        <w:t>15</w:t>
      </w:r>
      <w:r>
        <w:t>.</w:t>
      </w:r>
      <w:r>
        <w:tab/>
        <w:t>Official assessments</w:t>
      </w:r>
      <w:bookmarkEnd w:id="37"/>
    </w:p>
    <w:p>
      <w:pPr>
        <w:pStyle w:val="Subsection"/>
      </w:pPr>
      <w:r>
        <w:tab/>
        <w:t>(1)</w:t>
      </w:r>
      <w:r>
        <w:tab/>
        <w:t>An official assessment is an assessment made by the Commissioner.</w:t>
      </w:r>
    </w:p>
    <w:p>
      <w:pPr>
        <w:pStyle w:val="Subsection"/>
        <w:keepNext/>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38" w:name="_Toc532472835"/>
      <w:r>
        <w:rPr>
          <w:rStyle w:val="CharSectno"/>
        </w:rPr>
        <w:t>16A</w:t>
      </w:r>
      <w:r>
        <w:t>.</w:t>
      </w:r>
      <w:r>
        <w:tab/>
        <w:t>Interim assessments</w:t>
      </w:r>
      <w:bookmarkEnd w:id="38"/>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by No. 10 of 2013 s. 12.]</w:t>
      </w:r>
    </w:p>
    <w:p>
      <w:pPr>
        <w:pStyle w:val="Heading5"/>
        <w:spacing w:before="240"/>
      </w:pPr>
      <w:bookmarkStart w:id="39" w:name="_Toc532472836"/>
      <w:r>
        <w:rPr>
          <w:rStyle w:val="CharSectno"/>
        </w:rPr>
        <w:t>16</w:t>
      </w:r>
      <w:r>
        <w:t>.</w:t>
      </w:r>
      <w:r>
        <w:tab/>
        <w:t>Reassessments</w:t>
      </w:r>
      <w:bookmarkEnd w:id="39"/>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 No. 10 of 2013 s. 13.]</w:t>
      </w:r>
    </w:p>
    <w:p>
      <w:pPr>
        <w:pStyle w:val="Heading5"/>
      </w:pPr>
      <w:bookmarkStart w:id="40" w:name="_Toc532472837"/>
      <w:r>
        <w:rPr>
          <w:rStyle w:val="CharSectno"/>
        </w:rPr>
        <w:t>17</w:t>
      </w:r>
      <w:r>
        <w:t>.</w:t>
      </w:r>
      <w:r>
        <w:tab/>
        <w:t>Time limits on reassessments</w:t>
      </w:r>
      <w:bookmarkEnd w:id="40"/>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41" w:name="_Toc532472838"/>
      <w:r>
        <w:rPr>
          <w:rStyle w:val="CharSectno"/>
        </w:rPr>
        <w:t>18</w:t>
      </w:r>
      <w:r>
        <w:t>.</w:t>
      </w:r>
      <w:r>
        <w:tab/>
        <w:t>Effect of reassessment</w:t>
      </w:r>
      <w:bookmarkEnd w:id="41"/>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 No. 10 of 2013 s. 14.]</w:t>
      </w:r>
    </w:p>
    <w:p>
      <w:pPr>
        <w:pStyle w:val="Heading5"/>
        <w:spacing w:before="180"/>
      </w:pPr>
      <w:bookmarkStart w:id="42" w:name="_Toc532472839"/>
      <w:r>
        <w:rPr>
          <w:rStyle w:val="CharSectno"/>
        </w:rPr>
        <w:t>18A</w:t>
      </w:r>
      <w:r>
        <w:rPr>
          <w:color w:val="000000"/>
        </w:rPr>
        <w:t>.</w:t>
      </w:r>
      <w:r>
        <w:rPr>
          <w:color w:val="000000"/>
        </w:rPr>
        <w:tab/>
        <w:t>Withdrawal of assessments</w:t>
      </w:r>
      <w:bookmarkEnd w:id="42"/>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spacing w:before="180"/>
      </w:pPr>
      <w:bookmarkStart w:id="43" w:name="_Toc532472840"/>
      <w:r>
        <w:rPr>
          <w:rStyle w:val="CharSectno"/>
        </w:rPr>
        <w:t>19</w:t>
      </w:r>
      <w:r>
        <w:t>.</w:t>
      </w:r>
      <w:r>
        <w:tab/>
        <w:t>Assessments based on estimated or suspected liability</w:t>
      </w:r>
      <w:bookmarkEnd w:id="43"/>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by No. 10 of 2013 s. 15.]</w:t>
      </w:r>
    </w:p>
    <w:p>
      <w:pPr>
        <w:pStyle w:val="Heading5"/>
      </w:pPr>
      <w:bookmarkStart w:id="44" w:name="_Toc532472841"/>
      <w:r>
        <w:rPr>
          <w:rStyle w:val="CharSectno"/>
        </w:rPr>
        <w:t>20A</w:t>
      </w:r>
      <w:r>
        <w:t>.</w:t>
      </w:r>
      <w:r>
        <w:tab/>
        <w:t>Compromise assessments</w:t>
      </w:r>
      <w:bookmarkEnd w:id="44"/>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by No. 31 of 2008 s. 29; amended by No. 17 of 2010 s. 23; No. 10 of 2013 s. 16.]</w:t>
      </w:r>
    </w:p>
    <w:p>
      <w:pPr>
        <w:pStyle w:val="Heading5"/>
        <w:spacing w:before="180"/>
      </w:pPr>
      <w:bookmarkStart w:id="45" w:name="_Toc532472842"/>
      <w:r>
        <w:rPr>
          <w:rStyle w:val="CharSectno"/>
        </w:rPr>
        <w:t>20</w:t>
      </w:r>
      <w:r>
        <w:t>.</w:t>
      </w:r>
      <w:r>
        <w:tab/>
        <w:t>Assessments when instrument misleading or unavailable</w:t>
      </w:r>
      <w:bookmarkEnd w:id="45"/>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240"/>
      </w:pPr>
      <w:bookmarkStart w:id="46" w:name="_Toc532472843"/>
      <w:r>
        <w:rPr>
          <w:rStyle w:val="CharSectno"/>
        </w:rPr>
        <w:t>21</w:t>
      </w:r>
      <w:r>
        <w:t>.</w:t>
      </w:r>
      <w:r>
        <w:tab/>
        <w:t>Ascertaining value of property, consideration or benefit</w:t>
      </w:r>
      <w:bookmarkEnd w:id="46"/>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by No. 10 of 2013 s. 29.]</w:t>
      </w:r>
    </w:p>
    <w:p>
      <w:pPr>
        <w:pStyle w:val="Heading5"/>
        <w:spacing w:before="240"/>
      </w:pPr>
      <w:bookmarkStart w:id="47" w:name="_Toc532472844"/>
      <w:r>
        <w:rPr>
          <w:rStyle w:val="CharSectno"/>
        </w:rPr>
        <w:t>22</w:t>
      </w:r>
      <w:r>
        <w:t>.</w:t>
      </w:r>
      <w:r>
        <w:tab/>
        <w:t>Commissioner’s power to have valuation made</w:t>
      </w:r>
      <w:bookmarkEnd w:id="47"/>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48" w:name="_Toc532472845"/>
      <w:r>
        <w:rPr>
          <w:rStyle w:val="CharSectno"/>
        </w:rPr>
        <w:t>23A</w:t>
      </w:r>
      <w:r>
        <w:t>.</w:t>
      </w:r>
      <w:r>
        <w:tab/>
        <w:t>Recovery of valuation costs</w:t>
      </w:r>
      <w:bookmarkEnd w:id="48"/>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by No. 10 of 2013 s. 30.]</w:t>
      </w:r>
    </w:p>
    <w:p>
      <w:pPr>
        <w:pStyle w:val="Heading3"/>
        <w:spacing w:before="180"/>
      </w:pPr>
      <w:bookmarkStart w:id="49" w:name="_Toc440362534"/>
      <w:bookmarkStart w:id="50" w:name="_Toc450559970"/>
      <w:bookmarkStart w:id="51" w:name="_Toc455399500"/>
      <w:bookmarkStart w:id="52" w:name="_Toc528769085"/>
      <w:bookmarkStart w:id="53" w:name="_Toc532472846"/>
      <w:r>
        <w:rPr>
          <w:rStyle w:val="CharDivNo"/>
        </w:rPr>
        <w:t>Division 2</w:t>
      </w:r>
      <w:r>
        <w:t xml:space="preserve"> — </w:t>
      </w:r>
      <w:r>
        <w:rPr>
          <w:rStyle w:val="CharDivText"/>
        </w:rPr>
        <w:t>Assessment notices and returns</w:t>
      </w:r>
      <w:bookmarkEnd w:id="49"/>
      <w:bookmarkEnd w:id="50"/>
      <w:bookmarkEnd w:id="51"/>
      <w:bookmarkEnd w:id="52"/>
      <w:bookmarkEnd w:id="53"/>
    </w:p>
    <w:p>
      <w:pPr>
        <w:pStyle w:val="Heading5"/>
        <w:spacing w:before="180"/>
      </w:pPr>
      <w:bookmarkStart w:id="54" w:name="_Toc532472847"/>
      <w:r>
        <w:rPr>
          <w:rStyle w:val="CharSectno"/>
        </w:rPr>
        <w:t>23</w:t>
      </w:r>
      <w:r>
        <w:t>.</w:t>
      </w:r>
      <w:r>
        <w:tab/>
        <w:t>Assessment notices</w:t>
      </w:r>
      <w:bookmarkEnd w:id="54"/>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spacing w:before="180"/>
      </w:pPr>
      <w:bookmarkStart w:id="55" w:name="_Toc532472848"/>
      <w:r>
        <w:rPr>
          <w:rStyle w:val="CharSectno"/>
        </w:rPr>
        <w:t>24</w:t>
      </w:r>
      <w:r>
        <w:t>.</w:t>
      </w:r>
      <w:r>
        <w:tab/>
        <w:t>Form of assessment notice</w:t>
      </w:r>
      <w:bookmarkEnd w:id="55"/>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by No. 12 of 2004 s. 9; No. 12 of 2008 s. 38; No. 10 of 2013 s. 17 and 31.]</w:t>
      </w:r>
    </w:p>
    <w:p>
      <w:pPr>
        <w:pStyle w:val="Heading5"/>
      </w:pPr>
      <w:bookmarkStart w:id="56" w:name="_Toc532472849"/>
      <w:r>
        <w:rPr>
          <w:rStyle w:val="CharSectno"/>
        </w:rPr>
        <w:t>25</w:t>
      </w:r>
      <w:r>
        <w:t>.</w:t>
      </w:r>
      <w:r>
        <w:tab/>
        <w:t>Statement of grounds of assessment</w:t>
      </w:r>
      <w:bookmarkEnd w:id="56"/>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by No. 10 of 2013 s. 18 and 32.]</w:t>
      </w:r>
    </w:p>
    <w:p>
      <w:pPr>
        <w:pStyle w:val="Heading3"/>
        <w:spacing w:before="180"/>
      </w:pPr>
      <w:bookmarkStart w:id="57" w:name="_Toc440362538"/>
      <w:bookmarkStart w:id="58" w:name="_Toc450559974"/>
      <w:bookmarkStart w:id="59" w:name="_Toc455399504"/>
      <w:bookmarkStart w:id="60" w:name="_Toc528769089"/>
      <w:bookmarkStart w:id="61" w:name="_Toc532472850"/>
      <w:r>
        <w:rPr>
          <w:rStyle w:val="CharDivNo"/>
        </w:rPr>
        <w:t>Division 3</w:t>
      </w:r>
      <w:r>
        <w:t xml:space="preserve"> — </w:t>
      </w:r>
      <w:r>
        <w:rPr>
          <w:rStyle w:val="CharDivText"/>
        </w:rPr>
        <w:t>Penalty tax</w:t>
      </w:r>
      <w:bookmarkEnd w:id="57"/>
      <w:bookmarkEnd w:id="58"/>
      <w:bookmarkEnd w:id="59"/>
      <w:bookmarkEnd w:id="60"/>
      <w:bookmarkEnd w:id="61"/>
    </w:p>
    <w:p>
      <w:pPr>
        <w:pStyle w:val="Heading5"/>
        <w:spacing w:before="180"/>
      </w:pPr>
      <w:bookmarkStart w:id="62" w:name="_Toc532472851"/>
      <w:r>
        <w:rPr>
          <w:rStyle w:val="CharSectno"/>
        </w:rPr>
        <w:t>26</w:t>
      </w:r>
      <w:r>
        <w:t>.</w:t>
      </w:r>
      <w:r>
        <w:tab/>
        <w:t>Penalty tax for contravention of taxation Act</w:t>
      </w:r>
      <w:bookmarkEnd w:id="62"/>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63" w:name="_Toc532472852"/>
      <w:r>
        <w:rPr>
          <w:rStyle w:val="CharSectno"/>
        </w:rPr>
        <w:t>27A</w:t>
      </w:r>
      <w:r>
        <w:t>.</w:t>
      </w:r>
      <w:r>
        <w:tab/>
        <w:t>Penalty tax for undervaluation</w:t>
      </w:r>
      <w:bookmarkEnd w:id="63"/>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by No. 10 of 2013 s. 33.]</w:t>
      </w:r>
    </w:p>
    <w:p>
      <w:pPr>
        <w:pStyle w:val="Heading5"/>
      </w:pPr>
      <w:bookmarkStart w:id="64" w:name="_Toc532472853"/>
      <w:r>
        <w:rPr>
          <w:rStyle w:val="CharSectno"/>
        </w:rPr>
        <w:t>27</w:t>
      </w:r>
      <w:r>
        <w:t>.</w:t>
      </w:r>
      <w:r>
        <w:tab/>
        <w:t>Penalty tax for late payment</w:t>
      </w:r>
      <w:bookmarkEnd w:id="64"/>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65" w:name="_Toc532472854"/>
      <w:r>
        <w:rPr>
          <w:rStyle w:val="CharSectno"/>
        </w:rPr>
        <w:t>28</w:t>
      </w:r>
      <w:r>
        <w:t>.</w:t>
      </w:r>
      <w:r>
        <w:tab/>
        <w:t>Limitation on amount of penalty tax</w:t>
      </w:r>
      <w:bookmarkEnd w:id="65"/>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66" w:name="_Toc532472855"/>
      <w:r>
        <w:rPr>
          <w:rStyle w:val="CharSectno"/>
        </w:rPr>
        <w:t>29</w:t>
      </w:r>
      <w:r>
        <w:t>.</w:t>
      </w:r>
      <w:r>
        <w:tab/>
        <w:t>Remitting penalty tax</w:t>
      </w:r>
      <w:bookmarkEnd w:id="66"/>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67" w:name="_Toc532472856"/>
      <w:r>
        <w:rPr>
          <w:rStyle w:val="CharSectno"/>
        </w:rPr>
        <w:t>30</w:t>
      </w:r>
      <w:r>
        <w:t>.</w:t>
      </w:r>
      <w:r>
        <w:tab/>
        <w:t>Guidelines for remitting penalty tax</w:t>
      </w:r>
      <w:bookmarkEnd w:id="67"/>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68" w:name="_Toc440362545"/>
      <w:bookmarkStart w:id="69" w:name="_Toc450559981"/>
      <w:bookmarkStart w:id="70" w:name="_Toc455399511"/>
      <w:bookmarkStart w:id="71" w:name="_Toc528769096"/>
      <w:bookmarkStart w:id="72" w:name="_Toc532472857"/>
      <w:r>
        <w:rPr>
          <w:rStyle w:val="CharPartNo"/>
        </w:rPr>
        <w:t>Part 4</w:t>
      </w:r>
      <w:r>
        <w:t xml:space="preserve"> — </w:t>
      </w:r>
      <w:r>
        <w:rPr>
          <w:rStyle w:val="CharPartText"/>
        </w:rPr>
        <w:t>Objections and review proceedings</w:t>
      </w:r>
      <w:bookmarkEnd w:id="68"/>
      <w:bookmarkEnd w:id="69"/>
      <w:bookmarkEnd w:id="70"/>
      <w:bookmarkEnd w:id="71"/>
      <w:bookmarkEnd w:id="72"/>
    </w:p>
    <w:p>
      <w:pPr>
        <w:pStyle w:val="Footnoteheading"/>
        <w:tabs>
          <w:tab w:val="left" w:pos="851"/>
        </w:tabs>
      </w:pPr>
      <w:r>
        <w:tab/>
        <w:t>[Heading amended by No. 55 of 2004 s. 1167.]</w:t>
      </w:r>
    </w:p>
    <w:p>
      <w:pPr>
        <w:pStyle w:val="Heading3"/>
      </w:pPr>
      <w:bookmarkStart w:id="73" w:name="_Toc440362546"/>
      <w:bookmarkStart w:id="74" w:name="_Toc450559982"/>
      <w:bookmarkStart w:id="75" w:name="_Toc455399512"/>
      <w:bookmarkStart w:id="76" w:name="_Toc528769097"/>
      <w:bookmarkStart w:id="77" w:name="_Toc532472858"/>
      <w:r>
        <w:rPr>
          <w:rStyle w:val="CharDivNo"/>
        </w:rPr>
        <w:t>Division 1</w:t>
      </w:r>
      <w:r>
        <w:t xml:space="preserve"> — </w:t>
      </w:r>
      <w:r>
        <w:rPr>
          <w:rStyle w:val="CharDivText"/>
        </w:rPr>
        <w:t>Procedures and restrictions</w:t>
      </w:r>
      <w:bookmarkEnd w:id="73"/>
      <w:bookmarkEnd w:id="74"/>
      <w:bookmarkEnd w:id="75"/>
      <w:bookmarkEnd w:id="76"/>
      <w:bookmarkEnd w:id="77"/>
    </w:p>
    <w:p>
      <w:pPr>
        <w:pStyle w:val="Heading5"/>
      </w:pPr>
      <w:bookmarkStart w:id="78" w:name="_Toc532472859"/>
      <w:r>
        <w:rPr>
          <w:rStyle w:val="CharSectno"/>
        </w:rPr>
        <w:t>31</w:t>
      </w:r>
      <w:r>
        <w:t>.</w:t>
      </w:r>
      <w:r>
        <w:tab/>
        <w:t>Procedure for challenging assessments</w:t>
      </w:r>
      <w:bookmarkEnd w:id="78"/>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79" w:name="_Toc532472860"/>
      <w:r>
        <w:rPr>
          <w:rStyle w:val="CharSectno"/>
        </w:rPr>
        <w:t>32</w:t>
      </w:r>
      <w:r>
        <w:t>.</w:t>
      </w:r>
      <w:r>
        <w:tab/>
        <w:t>Objections to land valuations</w:t>
      </w:r>
      <w:bookmarkEnd w:id="79"/>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80" w:name="_Toc532472861"/>
      <w:r>
        <w:t>33.</w:t>
      </w:r>
      <w:r>
        <w:tab/>
        <w:t>Continuing obligation to pay assessed tax</w:t>
      </w:r>
      <w:bookmarkEnd w:id="80"/>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5"/>
      </w:pPr>
      <w:bookmarkStart w:id="81" w:name="_Toc532472862"/>
      <w:r>
        <w:t>34A.</w:t>
      </w:r>
      <w:r>
        <w:tab/>
        <w:t>Beneficial body determinations</w:t>
      </w:r>
      <w:bookmarkEnd w:id="81"/>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by No. 8 of 2015 s. 18.]</w:t>
      </w:r>
    </w:p>
    <w:p>
      <w:pPr>
        <w:pStyle w:val="Heading5"/>
      </w:pPr>
      <w:bookmarkStart w:id="82" w:name="_Toc532472863"/>
      <w:r>
        <w:rPr>
          <w:rStyle w:val="CharSectno"/>
        </w:rPr>
        <w:t>34B</w:t>
      </w:r>
      <w:r>
        <w:t>.</w:t>
      </w:r>
      <w:r>
        <w:tab/>
        <w:t>Surrender of right of objection or review</w:t>
      </w:r>
      <w:bookmarkEnd w:id="82"/>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by No. 8 of 2015 s. 18.]</w:t>
      </w:r>
    </w:p>
    <w:p>
      <w:pPr>
        <w:pStyle w:val="Heading3"/>
      </w:pPr>
      <w:bookmarkStart w:id="83" w:name="_Toc440362552"/>
      <w:bookmarkStart w:id="84" w:name="_Toc450559988"/>
      <w:bookmarkStart w:id="85" w:name="_Toc455399518"/>
      <w:bookmarkStart w:id="86" w:name="_Toc528769103"/>
      <w:bookmarkStart w:id="87" w:name="_Toc532472864"/>
      <w:r>
        <w:rPr>
          <w:rStyle w:val="CharDivNo"/>
        </w:rPr>
        <w:t>Division 2</w:t>
      </w:r>
      <w:r>
        <w:t xml:space="preserve"> — </w:t>
      </w:r>
      <w:r>
        <w:rPr>
          <w:rStyle w:val="CharDivText"/>
        </w:rPr>
        <w:t>Objections</w:t>
      </w:r>
      <w:bookmarkEnd w:id="83"/>
      <w:bookmarkEnd w:id="84"/>
      <w:bookmarkEnd w:id="85"/>
      <w:bookmarkEnd w:id="86"/>
      <w:bookmarkEnd w:id="87"/>
    </w:p>
    <w:p>
      <w:pPr>
        <w:pStyle w:val="Heading5"/>
        <w:spacing w:before="200"/>
      </w:pPr>
      <w:bookmarkStart w:id="88" w:name="_Toc532472865"/>
      <w:r>
        <w:rPr>
          <w:rStyle w:val="CharSectno"/>
        </w:rPr>
        <w:t>34</w:t>
      </w:r>
      <w:r>
        <w:t>.</w:t>
      </w:r>
      <w:r>
        <w:tab/>
        <w:t>Right to object</w:t>
      </w:r>
      <w:bookmarkEnd w:id="88"/>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by No. 55 of 2004 s. 1171; No. 12 of 2008 s. 39; No. 31 of 2008 s. 24 and 30; No. 8 of 2012 s. 178; No. 10 of 2013 s. 19 and 34; No. 8 of 2015 s. 19.]</w:t>
      </w:r>
    </w:p>
    <w:p>
      <w:pPr>
        <w:pStyle w:val="Heading5"/>
        <w:spacing w:before="240"/>
      </w:pPr>
      <w:bookmarkStart w:id="89" w:name="_Toc532472866"/>
      <w:r>
        <w:rPr>
          <w:rStyle w:val="CharSectno"/>
        </w:rPr>
        <w:t>35</w:t>
      </w:r>
      <w:r>
        <w:t>.</w:t>
      </w:r>
      <w:r>
        <w:tab/>
        <w:t>Form of objection</w:t>
      </w:r>
      <w:bookmarkEnd w:id="89"/>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90" w:name="_Toc532472867"/>
      <w:r>
        <w:rPr>
          <w:rStyle w:val="CharSectno"/>
        </w:rPr>
        <w:t>36</w:t>
      </w:r>
      <w:r>
        <w:t>.</w:t>
      </w:r>
      <w:r>
        <w:tab/>
        <w:t>Time for lodging objection</w:t>
      </w:r>
      <w:bookmarkEnd w:id="90"/>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 No. 10 of 2013 s. 20.]</w:t>
      </w:r>
    </w:p>
    <w:p>
      <w:pPr>
        <w:pStyle w:val="Heading5"/>
      </w:pPr>
      <w:bookmarkStart w:id="91" w:name="_Toc532472868"/>
      <w:r>
        <w:rPr>
          <w:rStyle w:val="CharSectno"/>
        </w:rPr>
        <w:t>37</w:t>
      </w:r>
      <w:r>
        <w:t>.</w:t>
      </w:r>
      <w:r>
        <w:tab/>
        <w:t>Consideration of objections</w:t>
      </w:r>
      <w:bookmarkEnd w:id="91"/>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by No. 10 of 2013 s. 21.]</w:t>
      </w:r>
    </w:p>
    <w:p>
      <w:pPr>
        <w:pStyle w:val="Heading5"/>
      </w:pPr>
      <w:bookmarkStart w:id="92" w:name="_Toc532472869"/>
      <w:r>
        <w:rPr>
          <w:rStyle w:val="CharSectno"/>
        </w:rPr>
        <w:t>38</w:t>
      </w:r>
      <w:r>
        <w:t>.</w:t>
      </w:r>
      <w:r>
        <w:tab/>
        <w:t>Time limit for determining objections</w:t>
      </w:r>
      <w:bookmarkEnd w:id="92"/>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93" w:name="_Toc532472870"/>
      <w:r>
        <w:rPr>
          <w:rStyle w:val="CharSectno"/>
        </w:rPr>
        <w:t>39</w:t>
      </w:r>
      <w:r>
        <w:t>.</w:t>
      </w:r>
      <w:r>
        <w:tab/>
        <w:t>Reassessment on determination of objection</w:t>
      </w:r>
      <w:bookmarkEnd w:id="93"/>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keepNext/>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94" w:name="_Toc440362559"/>
      <w:bookmarkStart w:id="95" w:name="_Toc450559995"/>
      <w:bookmarkStart w:id="96" w:name="_Toc455399525"/>
      <w:bookmarkStart w:id="97" w:name="_Toc528769110"/>
      <w:bookmarkStart w:id="98" w:name="_Toc532472871"/>
      <w:r>
        <w:rPr>
          <w:rStyle w:val="CharDivNo"/>
        </w:rPr>
        <w:t>Division 3</w:t>
      </w:r>
      <w:r>
        <w:t> — </w:t>
      </w:r>
      <w:r>
        <w:rPr>
          <w:rStyle w:val="CharDivText"/>
        </w:rPr>
        <w:t>Reviews and stated cases</w:t>
      </w:r>
      <w:bookmarkEnd w:id="94"/>
      <w:bookmarkEnd w:id="95"/>
      <w:bookmarkEnd w:id="96"/>
      <w:bookmarkEnd w:id="97"/>
      <w:bookmarkEnd w:id="98"/>
    </w:p>
    <w:p>
      <w:pPr>
        <w:pStyle w:val="Footnoteheading"/>
        <w:tabs>
          <w:tab w:val="left" w:pos="851"/>
        </w:tabs>
      </w:pPr>
      <w:r>
        <w:rPr>
          <w:i w:val="0"/>
        </w:rPr>
        <w:tab/>
      </w:r>
      <w:r>
        <w:t>[Heading amended by No. 55 of 2004 s. 1173.]</w:t>
      </w:r>
    </w:p>
    <w:p>
      <w:pPr>
        <w:pStyle w:val="Heading5"/>
      </w:pPr>
      <w:bookmarkStart w:id="99" w:name="_Toc532472872"/>
      <w:r>
        <w:rPr>
          <w:rStyle w:val="CharSectno"/>
        </w:rPr>
        <w:t>40</w:t>
      </w:r>
      <w:r>
        <w:t>.</w:t>
      </w:r>
      <w:r>
        <w:tab/>
        <w:t xml:space="preserve">Right of review by State </w:t>
      </w:r>
      <w:r>
        <w:rPr>
          <w:snapToGrid w:val="0"/>
        </w:rPr>
        <w:t>Administrative Tribunal</w:t>
      </w:r>
      <w:bookmarkEnd w:id="99"/>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keepNext/>
      </w:pPr>
      <w:r>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by No. 55 of 2004 s. 1174; No. 10 of 2013 s. 22; No. 8 of 2015 s. 20.]</w:t>
      </w:r>
    </w:p>
    <w:p>
      <w:pPr>
        <w:pStyle w:val="Ednotesection"/>
        <w:rPr>
          <w:i w:val="0"/>
        </w:rPr>
      </w:pPr>
      <w:r>
        <w:t>[</w:t>
      </w:r>
      <w:r>
        <w:rPr>
          <w:b/>
        </w:rPr>
        <w:t>41.</w:t>
      </w:r>
      <w:r>
        <w:tab/>
        <w:t>Deleted by No. 55 of 2004 s. 1175.]</w:t>
      </w:r>
    </w:p>
    <w:p>
      <w:pPr>
        <w:pStyle w:val="Heading5"/>
      </w:pPr>
      <w:bookmarkStart w:id="100" w:name="_Toc532472873"/>
      <w:r>
        <w:rPr>
          <w:rStyle w:val="CharSectno"/>
        </w:rPr>
        <w:t>42</w:t>
      </w:r>
      <w:r>
        <w:t>.</w:t>
      </w:r>
      <w:r>
        <w:tab/>
        <w:t>Time for review</w:t>
      </w:r>
      <w:bookmarkEnd w:id="100"/>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101" w:name="_Toc532472874"/>
      <w:r>
        <w:rPr>
          <w:rStyle w:val="CharSectno"/>
        </w:rPr>
        <w:t>43</w:t>
      </w:r>
      <w:r>
        <w:t>.</w:t>
      </w:r>
      <w:r>
        <w:tab/>
        <w:t xml:space="preserve">Proceedings before State </w:t>
      </w:r>
      <w:r>
        <w:rPr>
          <w:snapToGrid w:val="0"/>
        </w:rPr>
        <w:t>Administrative Tribunal</w:t>
      </w:r>
      <w:bookmarkEnd w:id="101"/>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by No. 55 of 2004 s. 1177; No. 12 of 2008 s. 41; No. 17 of 2010 s. 25 and 30(3); No. 29 of 2012 s. 41; No. 10 of 2013 s. 23.]</w:t>
      </w:r>
    </w:p>
    <w:p>
      <w:pPr>
        <w:pStyle w:val="Footnotesection"/>
      </w:pPr>
      <w:r>
        <w:tab/>
        <w:t>[Section 43, modifications have effect under the Commonwealth Places (Mirror Taxes) Act 1998 (Cth), see note 1MC.]</w:t>
      </w:r>
    </w:p>
    <w:p>
      <w:pPr>
        <w:pStyle w:val="Heading5"/>
      </w:pPr>
      <w:bookmarkStart w:id="102" w:name="_Toc532472875"/>
      <w:r>
        <w:rPr>
          <w:rStyle w:val="CharSectno"/>
        </w:rPr>
        <w:t>43A</w:t>
      </w:r>
      <w:r>
        <w:t>.</w:t>
      </w:r>
      <w:r>
        <w:tab/>
        <w:t xml:space="preserve">Appeal from decision of State </w:t>
      </w:r>
      <w:r>
        <w:rPr>
          <w:snapToGrid w:val="0"/>
        </w:rPr>
        <w:t>Administrative Tribunal</w:t>
      </w:r>
      <w:bookmarkEnd w:id="102"/>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103" w:name="_Toc532472876"/>
      <w:r>
        <w:rPr>
          <w:rStyle w:val="CharSectno"/>
        </w:rPr>
        <w:t>44</w:t>
      </w:r>
      <w:r>
        <w:t>.</w:t>
      </w:r>
      <w:r>
        <w:tab/>
        <w:t>Cases stated by Commissioner</w:t>
      </w:r>
      <w:bookmarkEnd w:id="103"/>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04" w:name="_Toc440362565"/>
      <w:bookmarkStart w:id="105" w:name="_Toc450560001"/>
      <w:bookmarkStart w:id="106" w:name="_Toc455399531"/>
      <w:bookmarkStart w:id="107" w:name="_Toc528769116"/>
      <w:bookmarkStart w:id="108" w:name="_Toc532472877"/>
      <w:r>
        <w:rPr>
          <w:rStyle w:val="CharPartNo"/>
        </w:rPr>
        <w:t>Part 5</w:t>
      </w:r>
      <w:r>
        <w:t xml:space="preserve"> — </w:t>
      </w:r>
      <w:r>
        <w:rPr>
          <w:rStyle w:val="CharPartText"/>
        </w:rPr>
        <w:t>Payment and refund of tax</w:t>
      </w:r>
      <w:bookmarkEnd w:id="104"/>
      <w:bookmarkEnd w:id="105"/>
      <w:bookmarkEnd w:id="106"/>
      <w:bookmarkEnd w:id="107"/>
      <w:bookmarkEnd w:id="108"/>
    </w:p>
    <w:p>
      <w:pPr>
        <w:pStyle w:val="Heading3"/>
      </w:pPr>
      <w:bookmarkStart w:id="109" w:name="_Toc440362566"/>
      <w:bookmarkStart w:id="110" w:name="_Toc450560002"/>
      <w:bookmarkStart w:id="111" w:name="_Toc455399532"/>
      <w:bookmarkStart w:id="112" w:name="_Toc528769117"/>
      <w:bookmarkStart w:id="113" w:name="_Toc532472878"/>
      <w:r>
        <w:rPr>
          <w:rStyle w:val="CharDivNo"/>
        </w:rPr>
        <w:t>Division 1</w:t>
      </w:r>
      <w:r>
        <w:t xml:space="preserve"> — </w:t>
      </w:r>
      <w:r>
        <w:rPr>
          <w:rStyle w:val="CharDivText"/>
        </w:rPr>
        <w:t>Payment</w:t>
      </w:r>
      <w:bookmarkEnd w:id="109"/>
      <w:bookmarkEnd w:id="110"/>
      <w:bookmarkEnd w:id="111"/>
      <w:bookmarkEnd w:id="112"/>
      <w:bookmarkEnd w:id="113"/>
    </w:p>
    <w:p>
      <w:pPr>
        <w:pStyle w:val="Heading5"/>
      </w:pPr>
      <w:bookmarkStart w:id="114" w:name="_Toc532472879"/>
      <w:r>
        <w:rPr>
          <w:rStyle w:val="CharSectno"/>
        </w:rPr>
        <w:t>45</w:t>
      </w:r>
      <w:r>
        <w:t>.</w:t>
      </w:r>
      <w:r>
        <w:tab/>
        <w:t>When tax is due for payment</w:t>
      </w:r>
      <w:bookmarkEnd w:id="114"/>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115" w:name="_Toc532472880"/>
      <w:r>
        <w:rPr>
          <w:rStyle w:val="CharSectno"/>
        </w:rPr>
        <w:t>46</w:t>
      </w:r>
      <w:r>
        <w:t>.</w:t>
      </w:r>
      <w:r>
        <w:tab/>
        <w:t>Allocation of payment</w:t>
      </w:r>
      <w:bookmarkEnd w:id="115"/>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16" w:name="_Toc532472881"/>
      <w:r>
        <w:rPr>
          <w:rStyle w:val="CharSectno"/>
        </w:rPr>
        <w:t>47</w:t>
      </w:r>
      <w:r>
        <w:t>.</w:t>
      </w:r>
      <w:r>
        <w:tab/>
        <w:t>Arrangements for instalments and extensions of time</w:t>
      </w:r>
      <w:bookmarkEnd w:id="116"/>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117" w:name="_Toc532472882"/>
      <w:r>
        <w:rPr>
          <w:rStyle w:val="CharSectno"/>
        </w:rPr>
        <w:t>48</w:t>
      </w:r>
      <w:r>
        <w:t>.</w:t>
      </w:r>
      <w:r>
        <w:tab/>
        <w:t>No action to compel approval of tax payment arrangement</w:t>
      </w:r>
      <w:bookmarkEnd w:id="117"/>
    </w:p>
    <w:p>
      <w:pPr>
        <w:pStyle w:val="Subsection"/>
      </w:pPr>
      <w:r>
        <w:tab/>
      </w:r>
      <w:r>
        <w:tab/>
        <w:t>No action can be brought in a court to compel the Commissioner to approve a tax payment arrangement.</w:t>
      </w:r>
    </w:p>
    <w:p>
      <w:pPr>
        <w:pStyle w:val="Heading3"/>
      </w:pPr>
      <w:bookmarkStart w:id="118" w:name="_Toc440362571"/>
      <w:bookmarkStart w:id="119" w:name="_Toc450560007"/>
      <w:bookmarkStart w:id="120" w:name="_Toc455399537"/>
      <w:bookmarkStart w:id="121" w:name="_Toc528769122"/>
      <w:bookmarkStart w:id="122" w:name="_Toc532472883"/>
      <w:r>
        <w:rPr>
          <w:rStyle w:val="CharDivNo"/>
        </w:rPr>
        <w:t>Division 2</w:t>
      </w:r>
      <w:r>
        <w:t xml:space="preserve"> — </w:t>
      </w:r>
      <w:r>
        <w:rPr>
          <w:rStyle w:val="CharDivText"/>
        </w:rPr>
        <w:t>Special tax return arrangements</w:t>
      </w:r>
      <w:bookmarkEnd w:id="118"/>
      <w:bookmarkEnd w:id="119"/>
      <w:bookmarkEnd w:id="120"/>
      <w:bookmarkEnd w:id="121"/>
      <w:bookmarkEnd w:id="122"/>
    </w:p>
    <w:p>
      <w:pPr>
        <w:pStyle w:val="Heading5"/>
      </w:pPr>
      <w:bookmarkStart w:id="123" w:name="_Toc532472884"/>
      <w:r>
        <w:rPr>
          <w:rStyle w:val="CharSectno"/>
        </w:rPr>
        <w:t>49</w:t>
      </w:r>
      <w:r>
        <w:t>.</w:t>
      </w:r>
      <w:r>
        <w:tab/>
        <w:t>Approval of special tax return arrangements</w:t>
      </w:r>
      <w:bookmarkEnd w:id="123"/>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124" w:name="_Toc532472885"/>
      <w:r>
        <w:rPr>
          <w:rStyle w:val="CharSectno"/>
        </w:rPr>
        <w:t>50</w:t>
      </w:r>
      <w:r>
        <w:t>.</w:t>
      </w:r>
      <w:r>
        <w:tab/>
        <w:t>Content of special tax return arrangement</w:t>
      </w:r>
      <w:bookmarkEnd w:id="124"/>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125" w:name="_Toc532472886"/>
      <w:r>
        <w:rPr>
          <w:rStyle w:val="CharSectno"/>
        </w:rPr>
        <w:t>51</w:t>
      </w:r>
      <w:r>
        <w:t>.</w:t>
      </w:r>
      <w:r>
        <w:tab/>
        <w:t>Improper endorsement or certification of instrument</w:t>
      </w:r>
      <w:bookmarkEnd w:id="125"/>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126" w:name="_Toc532472887"/>
      <w:r>
        <w:rPr>
          <w:rStyle w:val="CharSectno"/>
        </w:rPr>
        <w:t>52</w:t>
      </w:r>
      <w:r>
        <w:t>.</w:t>
      </w:r>
      <w:r>
        <w:tab/>
        <w:t>Lodging returns under special tax return arrangement</w:t>
      </w:r>
      <w:bookmarkEnd w:id="126"/>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27" w:name="_Toc532472888"/>
      <w:r>
        <w:rPr>
          <w:rStyle w:val="CharSectno"/>
        </w:rPr>
        <w:t>53</w:t>
      </w:r>
      <w:r>
        <w:t>.</w:t>
      </w:r>
      <w:r>
        <w:tab/>
        <w:t>Amendment or cancellation of arrangement</w:t>
      </w:r>
      <w:bookmarkEnd w:id="127"/>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ageBreakBefore/>
        <w:spacing w:before="0"/>
      </w:pPr>
      <w:bookmarkStart w:id="128" w:name="_Toc440362577"/>
      <w:bookmarkStart w:id="129" w:name="_Toc450560013"/>
      <w:bookmarkStart w:id="130" w:name="_Toc455399543"/>
      <w:bookmarkStart w:id="131" w:name="_Toc528769128"/>
      <w:bookmarkStart w:id="132" w:name="_Toc532472889"/>
      <w:r>
        <w:rPr>
          <w:rStyle w:val="CharDivNo"/>
        </w:rPr>
        <w:t>Division 3</w:t>
      </w:r>
      <w:r>
        <w:t xml:space="preserve"> — </w:t>
      </w:r>
      <w:r>
        <w:rPr>
          <w:rStyle w:val="CharDivText"/>
        </w:rPr>
        <w:t>Refunds of tax</w:t>
      </w:r>
      <w:bookmarkEnd w:id="128"/>
      <w:bookmarkEnd w:id="129"/>
      <w:bookmarkEnd w:id="130"/>
      <w:bookmarkEnd w:id="131"/>
      <w:bookmarkEnd w:id="132"/>
    </w:p>
    <w:p>
      <w:pPr>
        <w:pStyle w:val="Heading5"/>
      </w:pPr>
      <w:bookmarkStart w:id="133" w:name="_Toc532472890"/>
      <w:r>
        <w:rPr>
          <w:rStyle w:val="CharSectno"/>
        </w:rPr>
        <w:t>54</w:t>
      </w:r>
      <w:r>
        <w:t>.</w:t>
      </w:r>
      <w:r>
        <w:tab/>
        <w:t>Refunds</w:t>
      </w:r>
      <w:bookmarkEnd w:id="133"/>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by No. 10 of 2013 s. 24.]</w:t>
      </w:r>
    </w:p>
    <w:p>
      <w:pPr>
        <w:pStyle w:val="Heading5"/>
      </w:pPr>
      <w:bookmarkStart w:id="134" w:name="_Toc532472891"/>
      <w:r>
        <w:rPr>
          <w:rStyle w:val="CharSectno"/>
        </w:rPr>
        <w:t>55A</w:t>
      </w:r>
      <w:r>
        <w:t>.</w:t>
      </w:r>
      <w:r>
        <w:tab/>
        <w:t>Unused credit</w:t>
      </w:r>
      <w:bookmarkEnd w:id="134"/>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keepLines w:val="0"/>
        <w:pageBreakBefore/>
        <w:spacing w:before="0"/>
      </w:pPr>
      <w:bookmarkStart w:id="135" w:name="_Toc532472892"/>
      <w:r>
        <w:rPr>
          <w:rStyle w:val="CharSectno"/>
        </w:rPr>
        <w:t>55</w:t>
      </w:r>
      <w:r>
        <w:t>.</w:t>
      </w:r>
      <w:r>
        <w:tab/>
        <w:t>Refunds or credits to be passed on to third parties in some cases</w:t>
      </w:r>
      <w:bookmarkEnd w:id="135"/>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by No. 12 of 2008 s. 44; No. 17 of 2010 s. 30(4).]</w:t>
      </w:r>
    </w:p>
    <w:p>
      <w:pPr>
        <w:pStyle w:val="Heading3"/>
        <w:spacing w:before="280"/>
      </w:pPr>
      <w:bookmarkStart w:id="136" w:name="_Toc440362581"/>
      <w:bookmarkStart w:id="137" w:name="_Toc450560017"/>
      <w:bookmarkStart w:id="138" w:name="_Toc455399547"/>
      <w:bookmarkStart w:id="139" w:name="_Toc528769132"/>
      <w:bookmarkStart w:id="140" w:name="_Toc532472893"/>
      <w:r>
        <w:rPr>
          <w:rStyle w:val="CharDivNo"/>
        </w:rPr>
        <w:t>Division 4</w:t>
      </w:r>
      <w:r>
        <w:t xml:space="preserve"> — </w:t>
      </w:r>
      <w:r>
        <w:rPr>
          <w:rStyle w:val="CharDivText"/>
        </w:rPr>
        <w:t>Power to waive or write off liability</w:t>
      </w:r>
      <w:bookmarkEnd w:id="136"/>
      <w:bookmarkEnd w:id="137"/>
      <w:bookmarkEnd w:id="138"/>
      <w:bookmarkEnd w:id="139"/>
      <w:bookmarkEnd w:id="140"/>
    </w:p>
    <w:p>
      <w:pPr>
        <w:pStyle w:val="Heading5"/>
      </w:pPr>
      <w:bookmarkStart w:id="141" w:name="_Toc532472894"/>
      <w:r>
        <w:rPr>
          <w:rStyle w:val="CharSectno"/>
        </w:rPr>
        <w:t>56</w:t>
      </w:r>
      <w:r>
        <w:t>.</w:t>
      </w:r>
      <w:r>
        <w:tab/>
        <w:t>Waiving tax</w:t>
      </w:r>
      <w:bookmarkEnd w:id="141"/>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Subsection"/>
      </w:pPr>
      <w:r>
        <w:tab/>
        <w:t>(3)</w:t>
      </w:r>
      <w:r>
        <w:tab/>
        <w:t>A decision by the Commissioner to waive tax, or not to waive tax, is directly reviewable.</w:t>
      </w:r>
    </w:p>
    <w:p>
      <w:pPr>
        <w:pStyle w:val="Footnotesection"/>
      </w:pPr>
      <w:r>
        <w:tab/>
        <w:t>[Section 56 amended by No. 55 of 2004 s. 1180.]</w:t>
      </w:r>
    </w:p>
    <w:p>
      <w:pPr>
        <w:pStyle w:val="Heading5"/>
      </w:pPr>
      <w:bookmarkStart w:id="142" w:name="_Toc532472895"/>
      <w:r>
        <w:rPr>
          <w:rStyle w:val="CharSectno"/>
        </w:rPr>
        <w:t>57</w:t>
      </w:r>
      <w:r>
        <w:t>.</w:t>
      </w:r>
      <w:r>
        <w:tab/>
        <w:t>Writing off tax liability</w:t>
      </w:r>
      <w:bookmarkEnd w:id="142"/>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143" w:name="_Toc532472896"/>
      <w:r>
        <w:rPr>
          <w:rStyle w:val="CharSectno"/>
        </w:rPr>
        <w:t>58</w:t>
      </w:r>
      <w:r>
        <w:t>.</w:t>
      </w:r>
      <w:r>
        <w:tab/>
        <w:t>Powers subject to</w:t>
      </w:r>
      <w:r>
        <w:rPr>
          <w:i/>
        </w:rPr>
        <w:t xml:space="preserve"> Financial Management Act 2006</w:t>
      </w:r>
      <w:bookmarkEnd w:id="143"/>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144" w:name="_Toc532472897"/>
      <w:r>
        <w:rPr>
          <w:rStyle w:val="CharSectno"/>
        </w:rPr>
        <w:t>59.</w:t>
      </w:r>
      <w:r>
        <w:tab/>
        <w:t>No action to compel waiver or writing off</w:t>
      </w:r>
      <w:bookmarkEnd w:id="144"/>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145" w:name="_Toc440362586"/>
      <w:bookmarkStart w:id="146" w:name="_Toc450560022"/>
      <w:bookmarkStart w:id="147" w:name="_Toc455399552"/>
      <w:bookmarkStart w:id="148" w:name="_Toc528769137"/>
      <w:bookmarkStart w:id="149" w:name="_Toc532472898"/>
      <w:r>
        <w:rPr>
          <w:rStyle w:val="CharPartNo"/>
        </w:rPr>
        <w:t>Part 6</w:t>
      </w:r>
      <w:r>
        <w:t xml:space="preserve"> — </w:t>
      </w:r>
      <w:r>
        <w:rPr>
          <w:rStyle w:val="CharPartText"/>
        </w:rPr>
        <w:t>Recovery of tax</w:t>
      </w:r>
      <w:bookmarkEnd w:id="145"/>
      <w:bookmarkEnd w:id="146"/>
      <w:bookmarkEnd w:id="147"/>
      <w:bookmarkEnd w:id="148"/>
      <w:bookmarkEnd w:id="149"/>
    </w:p>
    <w:p>
      <w:pPr>
        <w:pStyle w:val="Heading3"/>
      </w:pPr>
      <w:bookmarkStart w:id="150" w:name="_Toc440362587"/>
      <w:bookmarkStart w:id="151" w:name="_Toc450560023"/>
      <w:bookmarkStart w:id="152" w:name="_Toc455399553"/>
      <w:bookmarkStart w:id="153" w:name="_Toc528769138"/>
      <w:bookmarkStart w:id="154" w:name="_Toc532472899"/>
      <w:r>
        <w:rPr>
          <w:rStyle w:val="CharDivNo"/>
        </w:rPr>
        <w:t>Division 1</w:t>
      </w:r>
      <w:r>
        <w:t xml:space="preserve"> — </w:t>
      </w:r>
      <w:r>
        <w:rPr>
          <w:rStyle w:val="CharDivText"/>
        </w:rPr>
        <w:t>Recovery generally</w:t>
      </w:r>
      <w:bookmarkEnd w:id="150"/>
      <w:bookmarkEnd w:id="151"/>
      <w:bookmarkEnd w:id="152"/>
      <w:bookmarkEnd w:id="153"/>
      <w:bookmarkEnd w:id="154"/>
    </w:p>
    <w:p>
      <w:pPr>
        <w:pStyle w:val="Heading5"/>
      </w:pPr>
      <w:bookmarkStart w:id="155" w:name="_Toc532472900"/>
      <w:r>
        <w:rPr>
          <w:rStyle w:val="CharSectno"/>
        </w:rPr>
        <w:t>60</w:t>
      </w:r>
      <w:r>
        <w:t>.</w:t>
      </w:r>
      <w:r>
        <w:tab/>
        <w:t>Recovery of unpaid tax</w:t>
      </w:r>
      <w:bookmarkEnd w:id="155"/>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Footnotesection"/>
      </w:pPr>
      <w:r>
        <w:tab/>
        <w:t>[Section 60, modifications have effect under the Commonwealth Places (Mirror Taxes) Act 1998 (Cth), see note 1MC.]</w:t>
      </w:r>
    </w:p>
    <w:p>
      <w:pPr>
        <w:pStyle w:val="Heading5"/>
      </w:pPr>
      <w:bookmarkStart w:id="156" w:name="_Toc532472901"/>
      <w:r>
        <w:rPr>
          <w:rStyle w:val="CharSectno"/>
        </w:rPr>
        <w:t>61</w:t>
      </w:r>
      <w:r>
        <w:t>.</w:t>
      </w:r>
      <w:r>
        <w:tab/>
        <w:t>Power of court to order payment of tax</w:t>
      </w:r>
      <w:bookmarkEnd w:id="156"/>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57" w:name="_Toc532472902"/>
      <w:r>
        <w:rPr>
          <w:rStyle w:val="CharSectno"/>
        </w:rPr>
        <w:t>62</w:t>
      </w:r>
      <w:r>
        <w:t>.</w:t>
      </w:r>
      <w:r>
        <w:tab/>
        <w:t>This Part applies to tax and also costs and interest</w:t>
      </w:r>
      <w:bookmarkEnd w:id="157"/>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158" w:name="_Toc532472903"/>
      <w:r>
        <w:rPr>
          <w:rStyle w:val="CharSectno"/>
        </w:rPr>
        <w:t>63</w:t>
      </w:r>
      <w:r>
        <w:t>.</w:t>
      </w:r>
      <w:r>
        <w:tab/>
        <w:t>Recovery in cases of joint liability</w:t>
      </w:r>
      <w:bookmarkEnd w:id="158"/>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59" w:name="_Toc532472904"/>
      <w:r>
        <w:rPr>
          <w:rStyle w:val="CharSectno"/>
        </w:rPr>
        <w:t>64</w:t>
      </w:r>
      <w:r>
        <w:t>.</w:t>
      </w:r>
      <w:r>
        <w:tab/>
        <w:t>Notice of administrator’s appointment</w:t>
      </w:r>
      <w:bookmarkEnd w:id="159"/>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60" w:name="_Toc532472905"/>
      <w:r>
        <w:rPr>
          <w:rStyle w:val="CharSectno"/>
        </w:rPr>
        <w:t>65</w:t>
      </w:r>
      <w:r>
        <w:t>.</w:t>
      </w:r>
      <w:r>
        <w:tab/>
        <w:t>Recovery from garnishee</w:t>
      </w:r>
      <w:bookmarkEnd w:id="160"/>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spacing w:before="140"/>
      </w:pPr>
      <w:r>
        <w:tab/>
        <w:t>(7)</w:t>
      </w:r>
      <w:r>
        <w:tab/>
        <w:t>A garnishee who does not comply with a garnishee notice commits an offence.</w:t>
      </w:r>
    </w:p>
    <w:p>
      <w:pPr>
        <w:pStyle w:val="Penstart"/>
      </w:pPr>
      <w:r>
        <w:tab/>
        <w:t>Penalty: $20 000.</w:t>
      </w:r>
    </w:p>
    <w:p>
      <w:pPr>
        <w:pStyle w:val="Subsection"/>
        <w:spacing w:before="140"/>
      </w:pPr>
      <w:r>
        <w:tab/>
        <w:t>(8)</w:t>
      </w:r>
      <w:r>
        <w:tab/>
        <w:t>A garnishee who is under an obligation to pay money to the taxpayer is taken to have satisfied that obligation to the extent of the payment made under the garnishee notice.</w:t>
      </w:r>
    </w:p>
    <w:p>
      <w:pPr>
        <w:pStyle w:val="Heading5"/>
        <w:keepNext w:val="0"/>
        <w:keepLines w:val="0"/>
        <w:pageBreakBefore/>
      </w:pPr>
      <w:bookmarkStart w:id="161" w:name="_Toc532472906"/>
      <w:r>
        <w:rPr>
          <w:rStyle w:val="CharSectno"/>
        </w:rPr>
        <w:t>66</w:t>
      </w:r>
      <w:r>
        <w:t>.</w:t>
      </w:r>
      <w:r>
        <w:tab/>
        <w:t>Recovery from partnerships</w:t>
      </w:r>
      <w:bookmarkEnd w:id="161"/>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162" w:name="_Toc532472907"/>
      <w:r>
        <w:rPr>
          <w:rStyle w:val="CharSectno"/>
        </w:rPr>
        <w:t>67</w:t>
      </w:r>
      <w:r>
        <w:t>.</w:t>
      </w:r>
      <w:r>
        <w:tab/>
        <w:t>Recovery from directors of body corporate</w:t>
      </w:r>
      <w:bookmarkEnd w:id="162"/>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that is incorporated or taken to be incorporated under the </w:t>
      </w:r>
      <w:r>
        <w:rPr>
          <w:i/>
        </w:rPr>
        <w:t>Associations Incorporation Act 2015</w:t>
      </w:r>
      <w:r>
        <w:t>.</w:t>
      </w:r>
    </w:p>
    <w:p>
      <w:pPr>
        <w:pStyle w:val="Footnotesection"/>
      </w:pPr>
      <w:r>
        <w:tab/>
        <w:t>[Section 67 amended by No. 30 of 2015 s. 229.]</w:t>
      </w:r>
    </w:p>
    <w:p>
      <w:pPr>
        <w:pStyle w:val="Heading5"/>
        <w:spacing w:before="180"/>
      </w:pPr>
      <w:bookmarkStart w:id="163" w:name="_Toc532472908"/>
      <w:r>
        <w:rPr>
          <w:rStyle w:val="CharSectno"/>
        </w:rPr>
        <w:t>68</w:t>
      </w:r>
      <w:r>
        <w:t>.</w:t>
      </w:r>
      <w:r>
        <w:tab/>
        <w:t>Director or body corporate may apply to Supreme Court to set aside s. 67 notice</w:t>
      </w:r>
      <w:bookmarkEnd w:id="163"/>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spacing w:before="180"/>
      </w:pPr>
      <w:bookmarkStart w:id="164" w:name="_Toc532472909"/>
      <w:r>
        <w:rPr>
          <w:rStyle w:val="CharSectno"/>
        </w:rPr>
        <w:t>69</w:t>
      </w:r>
      <w:r>
        <w:t>.</w:t>
      </w:r>
      <w:r>
        <w:tab/>
        <w:t>Proceedings on s. 68 application where genuine dispute as to assessment of pay-roll tax</w:t>
      </w:r>
      <w:bookmarkEnd w:id="164"/>
    </w:p>
    <w:p>
      <w:pPr>
        <w:pStyle w:val="Subsection"/>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65" w:name="_Toc532472910"/>
      <w:r>
        <w:rPr>
          <w:rStyle w:val="CharSectno"/>
        </w:rPr>
        <w:t>70</w:t>
      </w:r>
      <w:r>
        <w:t>.</w:t>
      </w:r>
      <w:r>
        <w:tab/>
        <w:t>On s. 68 application, court may set aside s. 67 notice etc.</w:t>
      </w:r>
      <w:bookmarkEnd w:id="165"/>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66" w:name="_Toc532472911"/>
      <w:r>
        <w:rPr>
          <w:rStyle w:val="CharSectno"/>
        </w:rPr>
        <w:t>71</w:t>
      </w:r>
      <w:r>
        <w:t>.</w:t>
      </w:r>
      <w:r>
        <w:tab/>
        <w:t>Effect of order setting aside s. 67 notice</w:t>
      </w:r>
      <w:bookmarkEnd w:id="166"/>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67" w:name="_Toc532472912"/>
      <w:r>
        <w:rPr>
          <w:rStyle w:val="CharSectno"/>
        </w:rPr>
        <w:t>72</w:t>
      </w:r>
      <w:r>
        <w:t>.</w:t>
      </w:r>
      <w:r>
        <w:tab/>
        <w:t>Dismissal of s. 68 application</w:t>
      </w:r>
      <w:bookmarkEnd w:id="167"/>
    </w:p>
    <w:p>
      <w:pPr>
        <w:pStyle w:val="Subsection"/>
      </w:pPr>
      <w:r>
        <w:tab/>
      </w:r>
      <w:r>
        <w:tab/>
        <w:t>Unless the court makes, on an application under section 68, an order under section 69 or 70, the court is to dismiss the application.</w:t>
      </w:r>
    </w:p>
    <w:p>
      <w:pPr>
        <w:pStyle w:val="Heading5"/>
      </w:pPr>
      <w:bookmarkStart w:id="168" w:name="_Toc532472913"/>
      <w:r>
        <w:rPr>
          <w:rStyle w:val="CharSectno"/>
        </w:rPr>
        <w:t>73</w:t>
      </w:r>
      <w:r>
        <w:t>.</w:t>
      </w:r>
      <w:r>
        <w:tab/>
        <w:t>Order under s. 69 or 70 may be subject to conditions</w:t>
      </w:r>
      <w:bookmarkEnd w:id="168"/>
    </w:p>
    <w:p>
      <w:pPr>
        <w:pStyle w:val="Subsection"/>
      </w:pPr>
      <w:r>
        <w:tab/>
      </w:r>
      <w:r>
        <w:tab/>
        <w:t>An order under section 69 or 70 may be made subject to conditions.</w:t>
      </w:r>
    </w:p>
    <w:p>
      <w:pPr>
        <w:pStyle w:val="Heading5"/>
      </w:pPr>
      <w:bookmarkStart w:id="169" w:name="_Toc532472914"/>
      <w:r>
        <w:rPr>
          <w:rStyle w:val="CharSectno"/>
        </w:rPr>
        <w:t>74</w:t>
      </w:r>
      <w:r>
        <w:t>.</w:t>
      </w:r>
      <w:r>
        <w:tab/>
        <w:t>Costs where applicant successful</w:t>
      </w:r>
      <w:bookmarkEnd w:id="169"/>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70" w:name="_Toc532472915"/>
      <w:r>
        <w:rPr>
          <w:rStyle w:val="CharSectno"/>
        </w:rPr>
        <w:t>75</w:t>
      </w:r>
      <w:r>
        <w:t>.</w:t>
      </w:r>
      <w:r>
        <w:tab/>
        <w:t>Period for complying with s. 67 notice if s. 68 application made</w:t>
      </w:r>
      <w:bookmarkEnd w:id="170"/>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71" w:name="_Toc440362604"/>
      <w:bookmarkStart w:id="172" w:name="_Toc450560040"/>
      <w:bookmarkStart w:id="173" w:name="_Toc455399570"/>
      <w:bookmarkStart w:id="174" w:name="_Toc528769155"/>
      <w:bookmarkStart w:id="175" w:name="_Toc532472916"/>
      <w:r>
        <w:rPr>
          <w:rStyle w:val="CharDivNo"/>
        </w:rPr>
        <w:t>Division 2</w:t>
      </w:r>
      <w:r>
        <w:t xml:space="preserve"> — </w:t>
      </w:r>
      <w:r>
        <w:rPr>
          <w:rStyle w:val="CharDivText"/>
        </w:rPr>
        <w:t>Charges on land</w:t>
      </w:r>
      <w:bookmarkEnd w:id="171"/>
      <w:bookmarkEnd w:id="172"/>
      <w:bookmarkEnd w:id="173"/>
      <w:bookmarkEnd w:id="174"/>
      <w:bookmarkEnd w:id="175"/>
    </w:p>
    <w:p>
      <w:pPr>
        <w:pStyle w:val="Heading5"/>
        <w:spacing w:before="180"/>
      </w:pPr>
      <w:bookmarkStart w:id="176" w:name="_Toc532472917"/>
      <w:r>
        <w:rPr>
          <w:rStyle w:val="CharSectno"/>
        </w:rPr>
        <w:t>76A</w:t>
      </w:r>
      <w:r>
        <w:t>.</w:t>
      </w:r>
      <w:r>
        <w:tab/>
        <w:t>Terms used</w:t>
      </w:r>
      <w:bookmarkEnd w:id="176"/>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Footnotesection"/>
      </w:pPr>
      <w:r>
        <w:tab/>
        <w:t>[Section 76A inserted by No. 31 of 2008 s. 4; amended by No. 31 of 2008 s. 18; No. 10 of 2013 s. 35.]</w:t>
      </w:r>
    </w:p>
    <w:p>
      <w:pPr>
        <w:pStyle w:val="Heading5"/>
      </w:pPr>
      <w:bookmarkStart w:id="177" w:name="_Toc532472918"/>
      <w:r>
        <w:rPr>
          <w:rStyle w:val="CharSectno"/>
        </w:rPr>
        <w:t>76</w:t>
      </w:r>
      <w:r>
        <w:t>.</w:t>
      </w:r>
      <w:r>
        <w:tab/>
        <w:t>Charge on land to secure land tax</w:t>
      </w:r>
      <w:bookmarkEnd w:id="177"/>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Ednotesubsection"/>
        <w:spacing w:before="120"/>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by No. 31 of 2008 s. 5 and 26; No. 29 of 2012 s. 42 </w:t>
      </w:r>
      <w:r>
        <w:rPr>
          <w:vertAlign w:val="superscript"/>
        </w:rPr>
        <w:t>3</w:t>
      </w:r>
      <w:r>
        <w:t>.]</w:t>
      </w:r>
    </w:p>
    <w:p>
      <w:pPr>
        <w:pStyle w:val="Footnotesection"/>
      </w:pPr>
      <w:r>
        <w:tab/>
        <w:t>[Section 76, modifications have effect under the Commonwealth Places (Mirror Taxes) Act 1998 (Cth), see note 1MC.]</w:t>
      </w:r>
    </w:p>
    <w:p>
      <w:pPr>
        <w:pStyle w:val="Heading5"/>
        <w:keepNext w:val="0"/>
        <w:keepLines w:val="0"/>
        <w:spacing w:before="180"/>
      </w:pPr>
      <w:bookmarkStart w:id="178" w:name="_Toc532472919"/>
      <w:r>
        <w:rPr>
          <w:rStyle w:val="CharSectno"/>
        </w:rPr>
        <w:t>77</w:t>
      </w:r>
      <w:r>
        <w:t>.</w:t>
      </w:r>
      <w:r>
        <w:tab/>
        <w:t>Charge on land to secure stamp duty</w:t>
      </w:r>
      <w:bookmarkEnd w:id="178"/>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Footnotesection"/>
        <w:ind w:left="890" w:hanging="890"/>
      </w:pPr>
      <w:r>
        <w:tab/>
        <w:t>[Section 77, modifications have effect under the Commonwealth Places (Mirror Taxes) Act 1998 (Cth), see note 1MC.]</w:t>
      </w:r>
    </w:p>
    <w:p>
      <w:pPr>
        <w:pStyle w:val="Heading5"/>
      </w:pPr>
      <w:bookmarkStart w:id="179" w:name="_Toc532472920"/>
      <w:r>
        <w:rPr>
          <w:rStyle w:val="CharSectno"/>
        </w:rPr>
        <w:t>77A</w:t>
      </w:r>
      <w:r>
        <w:t>.</w:t>
      </w:r>
      <w:r>
        <w:tab/>
        <w:t>Charge on land to secure transfer duty or landholder duty</w:t>
      </w:r>
      <w:bookmarkEnd w:id="179"/>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spacing w:before="180"/>
      </w:pPr>
      <w:r>
        <w:tab/>
        <w:t>(5)</w:t>
      </w:r>
      <w:r>
        <w:tab/>
        <w:t xml:space="preserve">The charge arises on the land when the memorial is registered. </w:t>
      </w:r>
    </w:p>
    <w:p>
      <w:pPr>
        <w:pStyle w:val="Subsection"/>
        <w:spacing w:before="180"/>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spacing w:before="180"/>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ind w:left="890" w:hanging="890"/>
      </w:pPr>
      <w:r>
        <w:tab/>
        <w:t>[Section 77A inserted by No. 12 of 2008 s. 45; amended by No. 31 of 2008 s. 19; No. 17 of 2010 s. 27.]</w:t>
      </w:r>
    </w:p>
    <w:p>
      <w:pPr>
        <w:pStyle w:val="Heading5"/>
        <w:spacing w:before="240"/>
      </w:pPr>
      <w:bookmarkStart w:id="180" w:name="_Toc532472921"/>
      <w:r>
        <w:rPr>
          <w:rStyle w:val="CharSectno"/>
        </w:rPr>
        <w:t>78</w:t>
      </w:r>
      <w:r>
        <w:t>.</w:t>
      </w:r>
      <w:r>
        <w:tab/>
        <w:t>Charge on subsequent mining tenement</w:t>
      </w:r>
      <w:bookmarkEnd w:id="180"/>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by No. 31 of 2008 s. 7.]</w:t>
      </w:r>
    </w:p>
    <w:p>
      <w:pPr>
        <w:pStyle w:val="Heading5"/>
        <w:keepNext w:val="0"/>
        <w:keepLines w:val="0"/>
        <w:spacing w:before="240"/>
      </w:pPr>
      <w:bookmarkStart w:id="181" w:name="_Toc532472922"/>
      <w:r>
        <w:rPr>
          <w:rStyle w:val="CharSectno"/>
        </w:rPr>
        <w:t>79</w:t>
      </w:r>
      <w:r>
        <w:t>.</w:t>
      </w:r>
      <w:r>
        <w:tab/>
        <w:t>Priority of charge</w:t>
      </w:r>
      <w:bookmarkEnd w:id="181"/>
    </w:p>
    <w:p>
      <w:pPr>
        <w:pStyle w:val="Subsection"/>
      </w:pPr>
      <w:r>
        <w:tab/>
        <w:t>(1)</w:t>
      </w:r>
      <w:r>
        <w:tab/>
        <w:t>A charge arising under this Division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pPr>
      <w:bookmarkStart w:id="182" w:name="_Toc532472923"/>
      <w:r>
        <w:rPr>
          <w:rStyle w:val="CharSectno"/>
        </w:rPr>
        <w:t>80</w:t>
      </w:r>
      <w:r>
        <w:t>.</w:t>
      </w:r>
      <w:r>
        <w:tab/>
        <w:t>Certificate as to charge to secure unpaid land tax</w:t>
      </w:r>
      <w:bookmarkEnd w:id="182"/>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by No. 29 of 2012 s. 43.]</w:t>
      </w:r>
    </w:p>
    <w:p>
      <w:pPr>
        <w:pStyle w:val="Heading5"/>
      </w:pPr>
      <w:bookmarkStart w:id="183" w:name="_Toc532472924"/>
      <w:r>
        <w:rPr>
          <w:rStyle w:val="CharSectno"/>
        </w:rPr>
        <w:t>81</w:t>
      </w:r>
      <w:r>
        <w:t>.</w:t>
      </w:r>
      <w:r>
        <w:tab/>
        <w:t>Withdrawal of memorial to be given when tax paid</w:t>
      </w:r>
      <w:bookmarkEnd w:id="183"/>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spacing w:before="180"/>
      </w:pPr>
      <w:bookmarkStart w:id="184" w:name="_Toc532472925"/>
      <w:r>
        <w:rPr>
          <w:rStyle w:val="CharSectno"/>
        </w:rPr>
        <w:t>82</w:t>
      </w:r>
      <w:r>
        <w:t>.</w:t>
      </w:r>
      <w:r>
        <w:tab/>
        <w:t>Memorials etc. affecting TLA land or real property, lodging etc.</w:t>
      </w:r>
      <w:bookmarkEnd w:id="184"/>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185" w:name="_Toc532472926"/>
      <w:r>
        <w:rPr>
          <w:rStyle w:val="CharSectno"/>
        </w:rPr>
        <w:t>83</w:t>
      </w:r>
      <w:r>
        <w:t>.</w:t>
      </w:r>
      <w:r>
        <w:tab/>
        <w:t>Memorials affecting mining tenements, lodging etc.</w:t>
      </w:r>
      <w:bookmarkEnd w:id="185"/>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186" w:name="_Toc532472927"/>
      <w:r>
        <w:rPr>
          <w:rStyle w:val="CharSectno"/>
        </w:rPr>
        <w:t>84</w:t>
      </w:r>
      <w:r>
        <w:t>.</w:t>
      </w:r>
      <w:r>
        <w:tab/>
        <w:t>Mortgagees to be notified if memorial registered</w:t>
      </w:r>
      <w:bookmarkEnd w:id="186"/>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187" w:name="_Toc532472928"/>
      <w:r>
        <w:rPr>
          <w:rStyle w:val="CharSectno"/>
        </w:rPr>
        <w:t>85</w:t>
      </w:r>
      <w:r>
        <w:t>.</w:t>
      </w:r>
      <w:r>
        <w:tab/>
        <w:t>Orders for sale of land</w:t>
      </w:r>
      <w:bookmarkEnd w:id="187"/>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188" w:name="_Toc532472929"/>
      <w:r>
        <w:rPr>
          <w:rStyle w:val="CharSectno"/>
        </w:rPr>
        <w:t>86</w:t>
      </w:r>
      <w:r>
        <w:t>.</w:t>
      </w:r>
      <w:r>
        <w:tab/>
        <w:t>Means of enforcement not limited to charge</w:t>
      </w:r>
      <w:bookmarkEnd w:id="188"/>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189" w:name="_Toc440362618"/>
      <w:bookmarkStart w:id="190" w:name="_Toc450560054"/>
      <w:bookmarkStart w:id="191" w:name="_Toc455399584"/>
      <w:bookmarkStart w:id="192" w:name="_Toc528769169"/>
      <w:bookmarkStart w:id="193" w:name="_Toc532472930"/>
      <w:r>
        <w:rPr>
          <w:rStyle w:val="CharPartNo"/>
        </w:rPr>
        <w:t>Part 7</w:t>
      </w:r>
      <w:r>
        <w:rPr>
          <w:rStyle w:val="CharDivNo"/>
        </w:rPr>
        <w:t xml:space="preserve"> </w:t>
      </w:r>
      <w:r>
        <w:t>—</w:t>
      </w:r>
      <w:r>
        <w:rPr>
          <w:rStyle w:val="CharDivText"/>
        </w:rPr>
        <w:t xml:space="preserve"> </w:t>
      </w:r>
      <w:r>
        <w:rPr>
          <w:rStyle w:val="CharPartText"/>
        </w:rPr>
        <w:t>Tax records</w:t>
      </w:r>
      <w:bookmarkEnd w:id="189"/>
      <w:bookmarkEnd w:id="190"/>
      <w:bookmarkEnd w:id="191"/>
      <w:bookmarkEnd w:id="192"/>
      <w:bookmarkEnd w:id="193"/>
    </w:p>
    <w:p>
      <w:pPr>
        <w:pStyle w:val="Heading5"/>
      </w:pPr>
      <w:bookmarkStart w:id="194" w:name="_Toc532472931"/>
      <w:r>
        <w:rPr>
          <w:rStyle w:val="CharSectno"/>
        </w:rPr>
        <w:t>87</w:t>
      </w:r>
      <w:r>
        <w:t>.</w:t>
      </w:r>
      <w:r>
        <w:tab/>
        <w:t>How long tax records to be kept</w:t>
      </w:r>
      <w:bookmarkEnd w:id="194"/>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95" w:name="_Toc532472932"/>
      <w:r>
        <w:rPr>
          <w:rStyle w:val="CharSectno"/>
        </w:rPr>
        <w:t>88</w:t>
      </w:r>
      <w:r>
        <w:t>.</w:t>
      </w:r>
      <w:r>
        <w:tab/>
        <w:t>Form of tax records</w:t>
      </w:r>
      <w:bookmarkEnd w:id="195"/>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96" w:name="_Toc532472933"/>
      <w:r>
        <w:rPr>
          <w:rStyle w:val="CharSectno"/>
        </w:rPr>
        <w:t>89</w:t>
      </w:r>
      <w:r>
        <w:t>.</w:t>
      </w:r>
      <w:r>
        <w:tab/>
        <w:t>Where tax records to be kept</w:t>
      </w:r>
      <w:bookmarkEnd w:id="196"/>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197" w:name="_Toc532472934"/>
      <w:r>
        <w:rPr>
          <w:rStyle w:val="CharSectno"/>
        </w:rPr>
        <w:t>90</w:t>
      </w:r>
      <w:r>
        <w:t>.</w:t>
      </w:r>
      <w:r>
        <w:tab/>
        <w:t>Failure to keep proper tax records</w:t>
      </w:r>
      <w:bookmarkEnd w:id="197"/>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98" w:name="_Toc532472935"/>
      <w:r>
        <w:rPr>
          <w:rStyle w:val="CharSectno"/>
        </w:rPr>
        <w:t>91</w:t>
      </w:r>
      <w:r>
        <w:t>.</w:t>
      </w:r>
      <w:r>
        <w:tab/>
        <w:t>General and specific exemptions</w:t>
      </w:r>
      <w:bookmarkEnd w:id="198"/>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99" w:name="_Toc440362624"/>
      <w:bookmarkStart w:id="200" w:name="_Toc450560060"/>
      <w:bookmarkStart w:id="201" w:name="_Toc455399590"/>
      <w:bookmarkStart w:id="202" w:name="_Toc528769175"/>
      <w:bookmarkStart w:id="203" w:name="_Toc532472936"/>
      <w:r>
        <w:rPr>
          <w:rStyle w:val="CharPartNo"/>
        </w:rPr>
        <w:t>Part 8</w:t>
      </w:r>
      <w:r>
        <w:t xml:space="preserve"> — </w:t>
      </w:r>
      <w:r>
        <w:rPr>
          <w:rStyle w:val="CharPartText"/>
        </w:rPr>
        <w:t>Investigations</w:t>
      </w:r>
      <w:bookmarkEnd w:id="199"/>
      <w:bookmarkEnd w:id="200"/>
      <w:bookmarkEnd w:id="201"/>
      <w:bookmarkEnd w:id="202"/>
      <w:bookmarkEnd w:id="203"/>
    </w:p>
    <w:p>
      <w:pPr>
        <w:pStyle w:val="Heading3"/>
      </w:pPr>
      <w:bookmarkStart w:id="204" w:name="_Toc440362625"/>
      <w:bookmarkStart w:id="205" w:name="_Toc450560061"/>
      <w:bookmarkStart w:id="206" w:name="_Toc455399591"/>
      <w:bookmarkStart w:id="207" w:name="_Toc528769176"/>
      <w:bookmarkStart w:id="208" w:name="_Toc532472937"/>
      <w:r>
        <w:rPr>
          <w:rStyle w:val="CharDivNo"/>
        </w:rPr>
        <w:t>Division 1</w:t>
      </w:r>
      <w:r>
        <w:t xml:space="preserve"> — </w:t>
      </w:r>
      <w:r>
        <w:rPr>
          <w:rStyle w:val="CharDivText"/>
        </w:rPr>
        <w:t>Investigations</w:t>
      </w:r>
      <w:bookmarkEnd w:id="204"/>
      <w:bookmarkEnd w:id="205"/>
      <w:bookmarkEnd w:id="206"/>
      <w:bookmarkEnd w:id="207"/>
      <w:bookmarkEnd w:id="208"/>
    </w:p>
    <w:p>
      <w:pPr>
        <w:pStyle w:val="Heading5"/>
      </w:pPr>
      <w:bookmarkStart w:id="209" w:name="_Toc532472938"/>
      <w:r>
        <w:rPr>
          <w:rStyle w:val="CharSectno"/>
        </w:rPr>
        <w:t>92</w:t>
      </w:r>
      <w:r>
        <w:t>.</w:t>
      </w:r>
      <w:r>
        <w:tab/>
        <w:t>Investigations, purposes of</w:t>
      </w:r>
      <w:bookmarkEnd w:id="209"/>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210" w:name="_Toc532472939"/>
      <w:r>
        <w:rPr>
          <w:rStyle w:val="CharSectno"/>
        </w:rPr>
        <w:t>93</w:t>
      </w:r>
      <w:r>
        <w:t>.</w:t>
      </w:r>
      <w:r>
        <w:tab/>
        <w:t>Investigations for purposes of recognised revenue laws</w:t>
      </w:r>
      <w:bookmarkEnd w:id="210"/>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211" w:name="_Toc440362628"/>
      <w:bookmarkStart w:id="212" w:name="_Toc450560064"/>
      <w:bookmarkStart w:id="213" w:name="_Toc455399594"/>
      <w:bookmarkStart w:id="214" w:name="_Toc528769179"/>
      <w:bookmarkStart w:id="215" w:name="_Toc532472940"/>
      <w:r>
        <w:rPr>
          <w:rStyle w:val="CharDivNo"/>
        </w:rPr>
        <w:t>Division 2</w:t>
      </w:r>
      <w:r>
        <w:t xml:space="preserve"> — </w:t>
      </w:r>
      <w:r>
        <w:rPr>
          <w:rStyle w:val="CharDivText"/>
        </w:rPr>
        <w:t>Obtaining tax records and other information</w:t>
      </w:r>
      <w:bookmarkEnd w:id="211"/>
      <w:bookmarkEnd w:id="212"/>
      <w:bookmarkEnd w:id="213"/>
      <w:bookmarkEnd w:id="214"/>
      <w:bookmarkEnd w:id="215"/>
    </w:p>
    <w:p>
      <w:pPr>
        <w:pStyle w:val="Heading5"/>
      </w:pPr>
      <w:bookmarkStart w:id="216" w:name="_Toc532472941"/>
      <w:r>
        <w:rPr>
          <w:rStyle w:val="CharSectno"/>
        </w:rPr>
        <w:t>94</w:t>
      </w:r>
      <w:r>
        <w:t>.</w:t>
      </w:r>
      <w:r>
        <w:tab/>
        <w:t>Power to require person to provide information</w:t>
      </w:r>
      <w:bookmarkEnd w:id="216"/>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217" w:name="_Toc532472942"/>
      <w:r>
        <w:rPr>
          <w:rStyle w:val="CharSectno"/>
        </w:rPr>
        <w:t>95</w:t>
      </w:r>
      <w:r>
        <w:t>.</w:t>
      </w:r>
      <w:r>
        <w:tab/>
        <w:t>Power to require person to attend for examination</w:t>
      </w:r>
      <w:bookmarkEnd w:id="217"/>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218" w:name="_Toc532472943"/>
      <w:r>
        <w:rPr>
          <w:rStyle w:val="CharSectno"/>
        </w:rPr>
        <w:t>96</w:t>
      </w:r>
      <w:r>
        <w:t>.</w:t>
      </w:r>
      <w:r>
        <w:tab/>
        <w:t>Power to retain documents and other records</w:t>
      </w:r>
      <w:bookmarkEnd w:id="218"/>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by No. 12 of 2008 s. 48; No. 10 of 2013 s. 25 and 36.]</w:t>
      </w:r>
    </w:p>
    <w:p>
      <w:pPr>
        <w:pStyle w:val="Heading5"/>
      </w:pPr>
      <w:bookmarkStart w:id="219" w:name="_Toc532472944"/>
      <w:r>
        <w:rPr>
          <w:rStyle w:val="CharSectno"/>
        </w:rPr>
        <w:t>97</w:t>
      </w:r>
      <w:r>
        <w:t>.</w:t>
      </w:r>
      <w:r>
        <w:tab/>
        <w:t>Recording proceedings under s. 95</w:t>
      </w:r>
      <w:bookmarkEnd w:id="219"/>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keepNext w:val="0"/>
      </w:pPr>
      <w:bookmarkStart w:id="220" w:name="_Toc440362633"/>
      <w:bookmarkStart w:id="221" w:name="_Toc450560069"/>
      <w:bookmarkStart w:id="222" w:name="_Toc455399599"/>
      <w:bookmarkStart w:id="223" w:name="_Toc528769184"/>
      <w:bookmarkStart w:id="224" w:name="_Toc532472945"/>
      <w:r>
        <w:rPr>
          <w:rStyle w:val="CharDivNo"/>
        </w:rPr>
        <w:t>Division 3</w:t>
      </w:r>
      <w:r>
        <w:t xml:space="preserve"> — </w:t>
      </w:r>
      <w:r>
        <w:rPr>
          <w:rStyle w:val="CharDivText"/>
        </w:rPr>
        <w:t>Access to premises</w:t>
      </w:r>
      <w:bookmarkEnd w:id="220"/>
      <w:bookmarkEnd w:id="221"/>
      <w:bookmarkEnd w:id="222"/>
      <w:bookmarkEnd w:id="223"/>
      <w:bookmarkEnd w:id="224"/>
    </w:p>
    <w:p>
      <w:pPr>
        <w:pStyle w:val="Heading5"/>
      </w:pPr>
      <w:bookmarkStart w:id="225" w:name="_Toc532472946"/>
      <w:r>
        <w:rPr>
          <w:rStyle w:val="CharSectno"/>
        </w:rPr>
        <w:t>98</w:t>
      </w:r>
      <w:r>
        <w:t>.</w:t>
      </w:r>
      <w:r>
        <w:tab/>
        <w:t>Power to enter premises</w:t>
      </w:r>
      <w:bookmarkEnd w:id="225"/>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keepNext w:val="0"/>
        <w:keepLines w:val="0"/>
        <w:spacing w:before="180"/>
      </w:pPr>
      <w:bookmarkStart w:id="226" w:name="_Toc532472947"/>
      <w:r>
        <w:rPr>
          <w:rStyle w:val="CharSectno"/>
        </w:rPr>
        <w:t>99</w:t>
      </w:r>
      <w:r>
        <w:t>.</w:t>
      </w:r>
      <w:r>
        <w:tab/>
        <w:t>Powers of investigator while on premises</w:t>
      </w:r>
      <w:bookmarkEnd w:id="226"/>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by No. 10 of 2013 s. 37.]</w:t>
      </w:r>
    </w:p>
    <w:p>
      <w:pPr>
        <w:pStyle w:val="Heading5"/>
        <w:spacing w:before="180"/>
      </w:pPr>
      <w:bookmarkStart w:id="227" w:name="_Toc532472948"/>
      <w:r>
        <w:rPr>
          <w:rStyle w:val="CharSectno"/>
        </w:rPr>
        <w:t>100</w:t>
      </w:r>
      <w:r>
        <w:t>.</w:t>
      </w:r>
      <w:r>
        <w:tab/>
        <w:t>Warrants to enter premises</w:t>
      </w:r>
      <w:bookmarkEnd w:id="227"/>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spacing w:before="180"/>
      </w:pPr>
      <w:bookmarkStart w:id="228" w:name="_Toc532472949"/>
      <w:r>
        <w:rPr>
          <w:rStyle w:val="CharSectno"/>
        </w:rPr>
        <w:t>101</w:t>
      </w:r>
      <w:r>
        <w:t>.</w:t>
      </w:r>
      <w:r>
        <w:tab/>
        <w:t>Use of force</w:t>
      </w:r>
      <w:bookmarkEnd w:id="228"/>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229" w:name="_Toc440362638"/>
      <w:bookmarkStart w:id="230" w:name="_Toc450560074"/>
      <w:bookmarkStart w:id="231" w:name="_Toc455399604"/>
      <w:bookmarkStart w:id="232" w:name="_Toc528769189"/>
      <w:bookmarkStart w:id="233" w:name="_Toc532472950"/>
      <w:r>
        <w:rPr>
          <w:rStyle w:val="CharDivNo"/>
        </w:rPr>
        <w:t>Division 4</w:t>
      </w:r>
      <w:r>
        <w:t xml:space="preserve"> — </w:t>
      </w:r>
      <w:r>
        <w:rPr>
          <w:rStyle w:val="CharDivText"/>
        </w:rPr>
        <w:t>General provisions</w:t>
      </w:r>
      <w:bookmarkEnd w:id="229"/>
      <w:bookmarkEnd w:id="230"/>
      <w:bookmarkEnd w:id="231"/>
      <w:bookmarkEnd w:id="232"/>
      <w:bookmarkEnd w:id="233"/>
    </w:p>
    <w:p>
      <w:pPr>
        <w:pStyle w:val="Heading5"/>
      </w:pPr>
      <w:bookmarkStart w:id="234" w:name="_Toc532472951"/>
      <w:r>
        <w:rPr>
          <w:rStyle w:val="CharSectno"/>
        </w:rPr>
        <w:t>102</w:t>
      </w:r>
      <w:r>
        <w:t>.</w:t>
      </w:r>
      <w:r>
        <w:tab/>
        <w:t>Complying with requirements to provide information</w:t>
      </w:r>
      <w:bookmarkEnd w:id="234"/>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235" w:name="_Toc532472952"/>
      <w:r>
        <w:rPr>
          <w:rStyle w:val="CharSectno"/>
        </w:rPr>
        <w:t>103</w:t>
      </w:r>
      <w:r>
        <w:t>.</w:t>
      </w:r>
      <w:r>
        <w:tab/>
        <w:t>Legal professional privilege</w:t>
      </w:r>
      <w:bookmarkEnd w:id="235"/>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236" w:name="_Toc532472953"/>
      <w:r>
        <w:rPr>
          <w:rStyle w:val="CharSectno"/>
        </w:rPr>
        <w:t>104</w:t>
      </w:r>
      <w:r>
        <w:t>.</w:t>
      </w:r>
      <w:r>
        <w:tab/>
        <w:t>Interaction with other Acts</w:t>
      </w:r>
      <w:bookmarkEnd w:id="236"/>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237" w:name="_Toc440362642"/>
      <w:bookmarkStart w:id="238" w:name="_Toc450560078"/>
      <w:bookmarkStart w:id="239" w:name="_Toc455399608"/>
      <w:bookmarkStart w:id="240" w:name="_Toc528769193"/>
      <w:bookmarkStart w:id="241" w:name="_Toc532472954"/>
      <w:r>
        <w:rPr>
          <w:rStyle w:val="CharPartNo"/>
        </w:rPr>
        <w:t>Part 9</w:t>
      </w:r>
      <w:r>
        <w:rPr>
          <w:rStyle w:val="CharDivNo"/>
        </w:rPr>
        <w:t xml:space="preserve"> </w:t>
      </w:r>
      <w:r>
        <w:t>—</w:t>
      </w:r>
      <w:r>
        <w:rPr>
          <w:rStyle w:val="CharDivText"/>
        </w:rPr>
        <w:t xml:space="preserve"> </w:t>
      </w:r>
      <w:r>
        <w:rPr>
          <w:rStyle w:val="CharPartText"/>
        </w:rPr>
        <w:t>Offences</w:t>
      </w:r>
      <w:bookmarkEnd w:id="237"/>
      <w:bookmarkEnd w:id="238"/>
      <w:bookmarkEnd w:id="239"/>
      <w:bookmarkEnd w:id="240"/>
      <w:bookmarkEnd w:id="241"/>
    </w:p>
    <w:p>
      <w:pPr>
        <w:pStyle w:val="Heading5"/>
        <w:spacing w:before="180"/>
      </w:pPr>
      <w:bookmarkStart w:id="242" w:name="_Toc532472955"/>
      <w:r>
        <w:rPr>
          <w:rStyle w:val="CharSectno"/>
        </w:rPr>
        <w:t>105</w:t>
      </w:r>
      <w:r>
        <w:t>.</w:t>
      </w:r>
      <w:r>
        <w:tab/>
        <w:t>General penalty provision</w:t>
      </w:r>
      <w:bookmarkEnd w:id="242"/>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243" w:name="_Toc532472956"/>
      <w:r>
        <w:rPr>
          <w:rStyle w:val="CharSectno"/>
        </w:rPr>
        <w:t>106</w:t>
      </w:r>
      <w:r>
        <w:t>.</w:t>
      </w:r>
      <w:r>
        <w:tab/>
        <w:t>Evasion of tax</w:t>
      </w:r>
      <w:bookmarkEnd w:id="243"/>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244" w:name="_Toc532472957"/>
      <w:r>
        <w:rPr>
          <w:rStyle w:val="CharSectno"/>
        </w:rPr>
        <w:t>107</w:t>
      </w:r>
      <w:r>
        <w:t>.</w:t>
      </w:r>
      <w:r>
        <w:tab/>
        <w:t>False or misleading information</w:t>
      </w:r>
      <w:bookmarkEnd w:id="244"/>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245" w:name="_Toc532472958"/>
      <w:r>
        <w:rPr>
          <w:rStyle w:val="CharSectno"/>
        </w:rPr>
        <w:t>108</w:t>
      </w:r>
      <w:r>
        <w:t>.</w:t>
      </w:r>
      <w:r>
        <w:tab/>
        <w:t>Obstructing or misleading investigator</w:t>
      </w:r>
      <w:bookmarkEnd w:id="245"/>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246" w:name="_Toc532472959"/>
      <w:r>
        <w:rPr>
          <w:rStyle w:val="CharSectno"/>
        </w:rPr>
        <w:t>109</w:t>
      </w:r>
      <w:r>
        <w:t>.</w:t>
      </w:r>
      <w:r>
        <w:tab/>
        <w:t>Offence by body corporate</w:t>
      </w:r>
      <w:bookmarkEnd w:id="246"/>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247" w:name="_Toc532472960"/>
      <w:r>
        <w:rPr>
          <w:rStyle w:val="CharSectno"/>
        </w:rPr>
        <w:t>110</w:t>
      </w:r>
      <w:r>
        <w:t>.</w:t>
      </w:r>
      <w:r>
        <w:tab/>
        <w:t>Criminal penalties not to affect civil liabilities</w:t>
      </w:r>
      <w:bookmarkEnd w:id="247"/>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248" w:name="_Toc532472961"/>
      <w:r>
        <w:rPr>
          <w:rStyle w:val="CharSectno"/>
        </w:rPr>
        <w:t>111</w:t>
      </w:r>
      <w:r>
        <w:t>.</w:t>
      </w:r>
      <w:r>
        <w:tab/>
        <w:t>Time for commencing prosecutions</w:t>
      </w:r>
      <w:bookmarkEnd w:id="248"/>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249" w:name="_Toc532472962"/>
      <w:r>
        <w:rPr>
          <w:rStyle w:val="CharSectno"/>
        </w:rPr>
        <w:t>112</w:t>
      </w:r>
      <w:r>
        <w:t>.</w:t>
      </w:r>
      <w:r>
        <w:tab/>
        <w:t>Authority required for prosecution</w:t>
      </w:r>
      <w:bookmarkEnd w:id="249"/>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250" w:name="_Toc532472963"/>
      <w:r>
        <w:rPr>
          <w:rStyle w:val="CharSectno"/>
        </w:rPr>
        <w:t>113</w:t>
      </w:r>
      <w:r>
        <w:t>.</w:t>
      </w:r>
      <w:r>
        <w:tab/>
        <w:t>General defence</w:t>
      </w:r>
      <w:bookmarkEnd w:id="250"/>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251" w:name="_Toc440362652"/>
      <w:bookmarkStart w:id="252" w:name="_Toc450560088"/>
      <w:bookmarkStart w:id="253" w:name="_Toc455399618"/>
      <w:bookmarkStart w:id="254" w:name="_Toc528769203"/>
      <w:bookmarkStart w:id="255" w:name="_Toc532472964"/>
      <w:r>
        <w:rPr>
          <w:rStyle w:val="CharPartNo"/>
        </w:rPr>
        <w:t>Part 10</w:t>
      </w:r>
      <w:r>
        <w:t xml:space="preserve"> — </w:t>
      </w:r>
      <w:r>
        <w:rPr>
          <w:rStyle w:val="CharPartText"/>
        </w:rPr>
        <w:t>Miscellaneous</w:t>
      </w:r>
      <w:bookmarkEnd w:id="251"/>
      <w:bookmarkEnd w:id="252"/>
      <w:bookmarkEnd w:id="253"/>
      <w:bookmarkEnd w:id="254"/>
      <w:bookmarkEnd w:id="255"/>
    </w:p>
    <w:p>
      <w:pPr>
        <w:pStyle w:val="Heading3"/>
      </w:pPr>
      <w:bookmarkStart w:id="256" w:name="_Toc440362653"/>
      <w:bookmarkStart w:id="257" w:name="_Toc450560089"/>
      <w:bookmarkStart w:id="258" w:name="_Toc455399619"/>
      <w:bookmarkStart w:id="259" w:name="_Toc528769204"/>
      <w:bookmarkStart w:id="260" w:name="_Toc532472965"/>
      <w:r>
        <w:rPr>
          <w:rStyle w:val="CharDivNo"/>
        </w:rPr>
        <w:t>Division 1</w:t>
      </w:r>
      <w:r>
        <w:t xml:space="preserve"> — </w:t>
      </w:r>
      <w:r>
        <w:rPr>
          <w:rStyle w:val="CharDivText"/>
        </w:rPr>
        <w:t>Confidentiality</w:t>
      </w:r>
      <w:bookmarkEnd w:id="256"/>
      <w:bookmarkEnd w:id="257"/>
      <w:bookmarkEnd w:id="258"/>
      <w:bookmarkEnd w:id="259"/>
      <w:bookmarkEnd w:id="260"/>
    </w:p>
    <w:p>
      <w:pPr>
        <w:pStyle w:val="Heading5"/>
      </w:pPr>
      <w:bookmarkStart w:id="261" w:name="_Toc532472966"/>
      <w:r>
        <w:rPr>
          <w:rStyle w:val="CharSectno"/>
        </w:rPr>
        <w:t>114</w:t>
      </w:r>
      <w:r>
        <w:t>.</w:t>
      </w:r>
      <w:r>
        <w:tab/>
        <w:t>Duty of confidentiality</w:t>
      </w:r>
      <w:bookmarkEnd w:id="261"/>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by No. 66 of 2003 s. 100; No. 31 of 2008 s. 27; No. 17 of 2010 s. 28; No. 29 of 2012 s. 44; No. 2 of 2014 s. 60.]</w:t>
      </w:r>
    </w:p>
    <w:p>
      <w:pPr>
        <w:pStyle w:val="Footnotesection"/>
        <w:keepLines w:val="0"/>
        <w:ind w:left="890" w:hanging="890"/>
      </w:pPr>
      <w:r>
        <w:tab/>
        <w:t>[Section 114, modifications have effect under the Commonwealth Places (Mirror Taxes Administration) Act 1999, see note 1M.]</w:t>
      </w:r>
    </w:p>
    <w:p>
      <w:pPr>
        <w:pStyle w:val="Footnotesection"/>
      </w:pPr>
      <w:r>
        <w:tab/>
        <w:t>[Section 114, modifications have effect under the Commonwealth Places (Mirror Taxes) Act 1998 (Cth), see note 1MC.]</w:t>
      </w:r>
    </w:p>
    <w:p>
      <w:pPr>
        <w:pStyle w:val="Heading3"/>
      </w:pPr>
      <w:bookmarkStart w:id="262" w:name="_Toc440362655"/>
      <w:bookmarkStart w:id="263" w:name="_Toc450560091"/>
      <w:bookmarkStart w:id="264" w:name="_Toc455399621"/>
      <w:bookmarkStart w:id="265" w:name="_Toc528769206"/>
      <w:bookmarkStart w:id="266" w:name="_Toc532472967"/>
      <w:r>
        <w:rPr>
          <w:rStyle w:val="CharDivNo"/>
        </w:rPr>
        <w:t>Division 2</w:t>
      </w:r>
      <w:r>
        <w:t xml:space="preserve"> — </w:t>
      </w:r>
      <w:r>
        <w:rPr>
          <w:rStyle w:val="CharDivText"/>
        </w:rPr>
        <w:t>Service of documents</w:t>
      </w:r>
      <w:bookmarkEnd w:id="262"/>
      <w:bookmarkEnd w:id="263"/>
      <w:bookmarkEnd w:id="264"/>
      <w:bookmarkEnd w:id="265"/>
      <w:bookmarkEnd w:id="266"/>
    </w:p>
    <w:p>
      <w:pPr>
        <w:pStyle w:val="Heading5"/>
      </w:pPr>
      <w:bookmarkStart w:id="267" w:name="_Toc532472968"/>
      <w:r>
        <w:rPr>
          <w:rStyle w:val="CharSectno"/>
        </w:rPr>
        <w:t>115</w:t>
      </w:r>
      <w:r>
        <w:t>.</w:t>
      </w:r>
      <w:r>
        <w:tab/>
        <w:t>Service on Commissioner</w:t>
      </w:r>
      <w:bookmarkEnd w:id="267"/>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268" w:name="_Toc532472969"/>
      <w:r>
        <w:rPr>
          <w:rStyle w:val="CharSectno"/>
        </w:rPr>
        <w:t>116</w:t>
      </w:r>
      <w:r>
        <w:t>.</w:t>
      </w:r>
      <w:r>
        <w:tab/>
        <w:t>Service on agent or representative of taxpayer</w:t>
      </w:r>
      <w:bookmarkEnd w:id="268"/>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269" w:name="_Toc532472970"/>
      <w:r>
        <w:rPr>
          <w:rStyle w:val="CharSectno"/>
        </w:rPr>
        <w:t>117</w:t>
      </w:r>
      <w:r>
        <w:t>.</w:t>
      </w:r>
      <w:r>
        <w:tab/>
        <w:t>Method of service by Commissioner</w:t>
      </w:r>
      <w:bookmarkEnd w:id="269"/>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270" w:name="_Toc532472971"/>
      <w:r>
        <w:rPr>
          <w:rStyle w:val="CharSectno"/>
        </w:rPr>
        <w:t>118</w:t>
      </w:r>
      <w:r>
        <w:t>.</w:t>
      </w:r>
      <w:r>
        <w:tab/>
        <w:t>This Division in addition to other laws about service</w:t>
      </w:r>
      <w:bookmarkEnd w:id="270"/>
    </w:p>
    <w:p>
      <w:pPr>
        <w:pStyle w:val="Subsection"/>
      </w:pPr>
      <w:r>
        <w:tab/>
      </w:r>
      <w:r>
        <w:tab/>
        <w:t>The provisions of this Division are in addition to, and do not derogate from, other provisions of an enactment for facilitating service.</w:t>
      </w:r>
    </w:p>
    <w:p>
      <w:pPr>
        <w:pStyle w:val="Heading3"/>
      </w:pPr>
      <w:bookmarkStart w:id="271" w:name="_Toc440362660"/>
      <w:bookmarkStart w:id="272" w:name="_Toc450560096"/>
      <w:bookmarkStart w:id="273" w:name="_Toc455399626"/>
      <w:bookmarkStart w:id="274" w:name="_Toc528769211"/>
      <w:bookmarkStart w:id="275" w:name="_Toc532472972"/>
      <w:r>
        <w:rPr>
          <w:rStyle w:val="CharDivNo"/>
        </w:rPr>
        <w:t>Division 3</w:t>
      </w:r>
      <w:r>
        <w:t xml:space="preserve"> — </w:t>
      </w:r>
      <w:r>
        <w:rPr>
          <w:rStyle w:val="CharDivText"/>
        </w:rPr>
        <w:t>Evidentiary provisions</w:t>
      </w:r>
      <w:bookmarkEnd w:id="271"/>
      <w:bookmarkEnd w:id="272"/>
      <w:bookmarkEnd w:id="273"/>
      <w:bookmarkEnd w:id="274"/>
      <w:bookmarkEnd w:id="275"/>
    </w:p>
    <w:p>
      <w:pPr>
        <w:pStyle w:val="Heading5"/>
        <w:spacing w:before="240"/>
      </w:pPr>
      <w:bookmarkStart w:id="276" w:name="_Toc532472973"/>
      <w:r>
        <w:rPr>
          <w:rStyle w:val="CharSectno"/>
        </w:rPr>
        <w:t>119</w:t>
      </w:r>
      <w:r>
        <w:t>.</w:t>
      </w:r>
      <w:r>
        <w:tab/>
        <w:t>Evidentiary value of assessment notice</w:t>
      </w:r>
      <w:bookmarkEnd w:id="276"/>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277" w:name="_Toc532472974"/>
      <w:r>
        <w:rPr>
          <w:rStyle w:val="CharSectno"/>
        </w:rPr>
        <w:t>120</w:t>
      </w:r>
      <w:r>
        <w:t>.</w:t>
      </w:r>
      <w:r>
        <w:tab/>
        <w:t>Evidentiary value of copies and reproductions of documents</w:t>
      </w:r>
      <w:bookmarkEnd w:id="277"/>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278" w:name="_Toc532472975"/>
      <w:r>
        <w:rPr>
          <w:rStyle w:val="CharSectno"/>
        </w:rPr>
        <w:t>121</w:t>
      </w:r>
      <w:r>
        <w:t>.</w:t>
      </w:r>
      <w:r>
        <w:tab/>
        <w:t>Evidentiary certificates</w:t>
      </w:r>
      <w:bookmarkEnd w:id="278"/>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279" w:name="_Toc532472976"/>
      <w:r>
        <w:rPr>
          <w:rStyle w:val="CharSectno"/>
        </w:rPr>
        <w:t>122</w:t>
      </w:r>
      <w:r>
        <w:t>.</w:t>
      </w:r>
      <w:r>
        <w:tab/>
        <w:t>Extracts from register of delegates</w:t>
      </w:r>
      <w:bookmarkEnd w:id="279"/>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280" w:name="_Toc532472977"/>
      <w:r>
        <w:rPr>
          <w:rStyle w:val="CharSectno"/>
        </w:rPr>
        <w:t>123</w:t>
      </w:r>
      <w:r>
        <w:t>.</w:t>
      </w:r>
      <w:r>
        <w:tab/>
        <w:t>Averments in charges</w:t>
      </w:r>
      <w:bookmarkEnd w:id="280"/>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281" w:name="_Toc532472978"/>
      <w:r>
        <w:rPr>
          <w:rStyle w:val="CharSectno"/>
        </w:rPr>
        <w:t>124</w:t>
      </w:r>
      <w:r>
        <w:t>.</w:t>
      </w:r>
      <w:r>
        <w:tab/>
        <w:t>Presumption of regularity</w:t>
      </w:r>
      <w:bookmarkEnd w:id="281"/>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282" w:name="_Toc440362667"/>
      <w:bookmarkStart w:id="283" w:name="_Toc450560103"/>
      <w:bookmarkStart w:id="284" w:name="_Toc455399633"/>
      <w:bookmarkStart w:id="285" w:name="_Toc528769218"/>
      <w:bookmarkStart w:id="286" w:name="_Toc532472979"/>
      <w:r>
        <w:rPr>
          <w:rStyle w:val="CharDivNo"/>
        </w:rPr>
        <w:t>Division 4</w:t>
      </w:r>
      <w:r>
        <w:t xml:space="preserve"> — </w:t>
      </w:r>
      <w:r>
        <w:rPr>
          <w:rStyle w:val="CharDivText"/>
        </w:rPr>
        <w:t>Exemption from personal liability</w:t>
      </w:r>
      <w:bookmarkEnd w:id="282"/>
      <w:bookmarkEnd w:id="283"/>
      <w:bookmarkEnd w:id="284"/>
      <w:bookmarkEnd w:id="285"/>
      <w:bookmarkEnd w:id="286"/>
    </w:p>
    <w:p>
      <w:pPr>
        <w:pStyle w:val="Heading5"/>
      </w:pPr>
      <w:bookmarkStart w:id="287" w:name="_Toc532472980"/>
      <w:r>
        <w:rPr>
          <w:rStyle w:val="CharSectno"/>
        </w:rPr>
        <w:t>125</w:t>
      </w:r>
      <w:r>
        <w:t>.</w:t>
      </w:r>
      <w:r>
        <w:tab/>
        <w:t>Exemption from personal liability</w:t>
      </w:r>
      <w:bookmarkEnd w:id="287"/>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ind w:left="890" w:hanging="890"/>
      </w:pPr>
      <w:r>
        <w:tab/>
        <w:t>[Section 3, modifications have effect under the Commonwealth Places (Mirror Taxes) Act 1998 (Cth), see note 1MC.]</w:t>
      </w:r>
    </w:p>
    <w:p>
      <w:pPr>
        <w:pStyle w:val="Heading3"/>
      </w:pPr>
      <w:bookmarkStart w:id="288" w:name="_Toc440362669"/>
      <w:bookmarkStart w:id="289" w:name="_Toc450560105"/>
      <w:bookmarkStart w:id="290" w:name="_Toc455399635"/>
      <w:bookmarkStart w:id="291" w:name="_Toc528769220"/>
      <w:bookmarkStart w:id="292" w:name="_Toc532472981"/>
      <w:r>
        <w:rPr>
          <w:rStyle w:val="CharDivNo"/>
        </w:rPr>
        <w:t>Division 5</w:t>
      </w:r>
      <w:r>
        <w:t xml:space="preserve"> — </w:t>
      </w:r>
      <w:r>
        <w:rPr>
          <w:rStyle w:val="CharDivText"/>
        </w:rPr>
        <w:t>Regulations, practices and forms</w:t>
      </w:r>
      <w:bookmarkEnd w:id="288"/>
      <w:bookmarkEnd w:id="289"/>
      <w:bookmarkEnd w:id="290"/>
      <w:bookmarkEnd w:id="291"/>
      <w:bookmarkEnd w:id="292"/>
    </w:p>
    <w:p>
      <w:pPr>
        <w:pStyle w:val="Footnoteheading"/>
      </w:pPr>
      <w:r>
        <w:tab/>
        <w:t>[Heading amended by No. 12 of 2008 s. 49.]</w:t>
      </w:r>
    </w:p>
    <w:p>
      <w:pPr>
        <w:pStyle w:val="Heading5"/>
        <w:spacing w:before="240"/>
      </w:pPr>
      <w:bookmarkStart w:id="293" w:name="_Toc532472982"/>
      <w:r>
        <w:rPr>
          <w:rStyle w:val="CharSectno"/>
        </w:rPr>
        <w:t>126</w:t>
      </w:r>
      <w:r>
        <w:t>.</w:t>
      </w:r>
      <w:r>
        <w:tab/>
        <w:t>Regulations</w:t>
      </w:r>
      <w:bookmarkEnd w:id="29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294" w:name="_Toc532472983"/>
      <w:r>
        <w:rPr>
          <w:rStyle w:val="CharSectno"/>
        </w:rPr>
        <w:t>127</w:t>
      </w:r>
      <w:r>
        <w:t>.</w:t>
      </w:r>
      <w:r>
        <w:tab/>
        <w:t>Practices</w:t>
      </w:r>
      <w:bookmarkEnd w:id="294"/>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keepNext w:val="0"/>
        <w:keepLines w:val="0"/>
      </w:pPr>
      <w:bookmarkStart w:id="295" w:name="_Toc532472984"/>
      <w:r>
        <w:rPr>
          <w:rStyle w:val="CharSectno"/>
        </w:rPr>
        <w:t>128</w:t>
      </w:r>
      <w:r>
        <w:t>.</w:t>
      </w:r>
      <w:r>
        <w:tab/>
        <w:t>Forms</w:t>
      </w:r>
      <w:bookmarkEnd w:id="295"/>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by No. 12 of 2008 s. 50.]</w:t>
      </w:r>
    </w:p>
    <w:p>
      <w:pPr>
        <w:pStyle w:val="Heading3"/>
        <w:pageBreakBefore/>
        <w:spacing w:before="0"/>
      </w:pPr>
      <w:bookmarkStart w:id="296" w:name="_Toc440362673"/>
      <w:bookmarkStart w:id="297" w:name="_Toc450560109"/>
      <w:bookmarkStart w:id="298" w:name="_Toc455399639"/>
      <w:bookmarkStart w:id="299" w:name="_Toc528769224"/>
      <w:bookmarkStart w:id="300" w:name="_Toc532472985"/>
      <w:r>
        <w:rPr>
          <w:rStyle w:val="CharDivNo"/>
        </w:rPr>
        <w:t>Division 6</w:t>
      </w:r>
      <w:r>
        <w:t> — </w:t>
      </w:r>
      <w:r>
        <w:rPr>
          <w:rStyle w:val="CharDivText"/>
        </w:rPr>
        <w:t>Early operation of certain amendments to taxation Acts</w:t>
      </w:r>
      <w:bookmarkEnd w:id="296"/>
      <w:bookmarkEnd w:id="297"/>
      <w:bookmarkEnd w:id="298"/>
      <w:bookmarkEnd w:id="299"/>
      <w:bookmarkEnd w:id="300"/>
    </w:p>
    <w:p>
      <w:pPr>
        <w:pStyle w:val="Footnoteheading"/>
        <w:spacing w:before="100"/>
      </w:pPr>
      <w:r>
        <w:tab/>
        <w:t>[Heading inserted by No. 31 of 2008 s. 28.]</w:t>
      </w:r>
    </w:p>
    <w:p>
      <w:pPr>
        <w:pStyle w:val="Heading5"/>
        <w:spacing w:before="180"/>
      </w:pPr>
      <w:bookmarkStart w:id="301" w:name="_Toc532472986"/>
      <w:r>
        <w:rPr>
          <w:rStyle w:val="CharSectno"/>
        </w:rPr>
        <w:t>129</w:t>
      </w:r>
      <w:r>
        <w:t>.</w:t>
      </w:r>
      <w:r>
        <w:tab/>
        <w:t>Terms used</w:t>
      </w:r>
      <w:bookmarkEnd w:id="301"/>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spacing w:before="180"/>
      </w:pPr>
      <w:bookmarkStart w:id="302" w:name="_Toc532472987"/>
      <w:r>
        <w:rPr>
          <w:rStyle w:val="CharSectno"/>
        </w:rPr>
        <w:t>130</w:t>
      </w:r>
      <w:r>
        <w:t>.</w:t>
      </w:r>
      <w:r>
        <w:tab/>
        <w:t>Determination of pre</w:t>
      </w:r>
      <w:r>
        <w:noBreakHyphen/>
        <w:t>enactment provisions</w:t>
      </w:r>
      <w:bookmarkEnd w:id="302"/>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303" w:name="_Toc532472988"/>
      <w:r>
        <w:rPr>
          <w:rStyle w:val="CharSectno"/>
        </w:rPr>
        <w:t>131</w:t>
      </w:r>
      <w:r>
        <w:t>.</w:t>
      </w:r>
      <w:r>
        <w:tab/>
        <w:t>Duration of determination notice</w:t>
      </w:r>
      <w:bookmarkEnd w:id="303"/>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304" w:name="_Toc532472989"/>
      <w:r>
        <w:rPr>
          <w:rStyle w:val="CharSectno"/>
        </w:rPr>
        <w:t>132</w:t>
      </w:r>
      <w:r>
        <w:t>.</w:t>
      </w:r>
      <w:r>
        <w:tab/>
        <w:t>Amendment and replacement of determination notice</w:t>
      </w:r>
      <w:bookmarkEnd w:id="304"/>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305" w:name="_Toc532472990"/>
      <w:r>
        <w:rPr>
          <w:rStyle w:val="CharSectno"/>
        </w:rPr>
        <w:t>133</w:t>
      </w:r>
      <w:r>
        <w:t>.</w:t>
      </w:r>
      <w:r>
        <w:tab/>
        <w:t>Effect of pre</w:t>
      </w:r>
      <w:r>
        <w:noBreakHyphen/>
        <w:t>enactment provisions</w:t>
      </w:r>
      <w:bookmarkEnd w:id="305"/>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306" w:name="_Toc532472991"/>
      <w:r>
        <w:rPr>
          <w:rStyle w:val="CharSectno"/>
        </w:rPr>
        <w:t>134</w:t>
      </w:r>
      <w:r>
        <w:t>.</w:t>
      </w:r>
      <w:r>
        <w:tab/>
        <w:t>Review of Division</w:t>
      </w:r>
      <w:bookmarkEnd w:id="306"/>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w:t>
      </w:r>
      <w:r>
        <w:rPr>
          <w:vertAlign w:val="superscript"/>
        </w:rPr>
        <w:t> 1</w:t>
      </w:r>
      <w:r>
        <w: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pStyle w:val="Heading3"/>
        <w:keepNext w:val="0"/>
        <w:pageBreakBefore/>
        <w:spacing w:before="0"/>
      </w:pPr>
      <w:bookmarkStart w:id="307" w:name="_Toc440362680"/>
      <w:bookmarkStart w:id="308" w:name="_Toc450560116"/>
      <w:bookmarkStart w:id="309" w:name="_Toc455399646"/>
      <w:bookmarkStart w:id="310" w:name="_Toc528769231"/>
      <w:bookmarkStart w:id="311" w:name="_Toc532472992"/>
      <w:r>
        <w:rPr>
          <w:rStyle w:val="CharDivNo"/>
        </w:rPr>
        <w:t>Division 7</w:t>
      </w:r>
      <w:r>
        <w:t> — </w:t>
      </w:r>
      <w:r>
        <w:rPr>
          <w:rStyle w:val="CharDivText"/>
        </w:rPr>
        <w:t>Review of operation and effectiveness of interim assessments</w:t>
      </w:r>
      <w:bookmarkEnd w:id="307"/>
      <w:bookmarkEnd w:id="308"/>
      <w:bookmarkEnd w:id="309"/>
      <w:bookmarkEnd w:id="310"/>
      <w:bookmarkEnd w:id="311"/>
    </w:p>
    <w:p>
      <w:pPr>
        <w:pStyle w:val="Footnoteheading"/>
      </w:pPr>
      <w:r>
        <w:tab/>
        <w:t>[Heading inserted by No. 10 of 2013 s. 26.]</w:t>
      </w:r>
    </w:p>
    <w:p>
      <w:pPr>
        <w:pStyle w:val="Heading5"/>
      </w:pPr>
      <w:bookmarkStart w:id="312" w:name="_Toc532472993"/>
      <w:r>
        <w:rPr>
          <w:rStyle w:val="CharSectno"/>
        </w:rPr>
        <w:t>135</w:t>
      </w:r>
      <w:r>
        <w:t>.</w:t>
      </w:r>
      <w:r>
        <w:tab/>
        <w:t>Review of operation and effectiveness</w:t>
      </w:r>
      <w:bookmarkEnd w:id="312"/>
    </w:p>
    <w:p>
      <w:pPr>
        <w:pStyle w:val="Subsection"/>
        <w:rPr>
          <w:snapToGrid w:val="0"/>
        </w:rPr>
      </w:pPr>
      <w:r>
        <w:tab/>
        <w:t>(1)</w:t>
      </w:r>
      <w:r>
        <w:tab/>
        <w:t xml:space="preserve">The Minister must carry out a review of the operation and effectiveness of the provisions of this Act and the </w:t>
      </w:r>
      <w:r>
        <w:rPr>
          <w:i/>
        </w:rPr>
        <w:t>Duties Act 2008</w:t>
      </w:r>
      <w:r>
        <w:t xml:space="preserve"> relating to interim assessments as soon as practicable after the 3</w:t>
      </w:r>
      <w:r>
        <w:rPr>
          <w:vertAlign w:val="superscript"/>
        </w:rPr>
        <w:t>rd</w:t>
      </w:r>
      <w:r>
        <w:t xml:space="preserve"> anniversary of the commencement of the </w:t>
      </w:r>
      <w:r>
        <w:rPr>
          <w:i/>
          <w:snapToGrid w:val="0"/>
        </w:rPr>
        <w:t>Revenue Laws Amendment Act 2013</w:t>
      </w:r>
      <w:r>
        <w:rPr>
          <w:snapToGrid w:val="0"/>
        </w:rPr>
        <w:t xml:space="preserve"> Part 2</w:t>
      </w:r>
      <w:r>
        <w:rPr>
          <w:vertAlign w:val="superscript"/>
        </w:rPr>
        <w:t> 1</w:t>
      </w:r>
      <w:r>
        <w:rPr>
          <w:snapToGrid w:val="0"/>
        </w:rPr>
        <w:t>.</w:t>
      </w:r>
    </w:p>
    <w:p>
      <w:pPr>
        <w:pStyle w:val="Subsection"/>
      </w:pPr>
      <w:r>
        <w:tab/>
        <w:t>(2)</w:t>
      </w:r>
      <w:r>
        <w:tab/>
        <w:t>The Minister must prepare a report based on the review and, as soon as is practicable after the report is prepared, and in any event not more than 12 months after the anniversary referred to in subsection (1), cause it to be laid before each House of Parliament.</w:t>
      </w:r>
    </w:p>
    <w:p>
      <w:pPr>
        <w:pStyle w:val="Footnotesection"/>
      </w:pPr>
      <w:r>
        <w:tab/>
        <w:t>[Section 135 inserted by No. 10 of 2013 s. 26.]</w:t>
      </w:r>
    </w:p>
    <w:p>
      <w:pPr>
        <w:pStyle w:val="Heading2"/>
      </w:pPr>
      <w:bookmarkStart w:id="313" w:name="_Toc440362682"/>
      <w:bookmarkStart w:id="314" w:name="_Toc450560118"/>
      <w:bookmarkStart w:id="315" w:name="_Toc455399648"/>
      <w:bookmarkStart w:id="316" w:name="_Toc528769233"/>
      <w:bookmarkStart w:id="317" w:name="_Toc532472994"/>
      <w:r>
        <w:rPr>
          <w:rStyle w:val="CharPartNo"/>
        </w:rPr>
        <w:t>Part 11</w:t>
      </w:r>
      <w:r>
        <w:rPr>
          <w:rStyle w:val="CharDivNo"/>
        </w:rPr>
        <w:t> </w:t>
      </w:r>
      <w:r>
        <w:t>—</w:t>
      </w:r>
      <w:r>
        <w:rPr>
          <w:rStyle w:val="CharDivText"/>
        </w:rPr>
        <w:t> </w:t>
      </w:r>
      <w:r>
        <w:rPr>
          <w:rStyle w:val="CharPartText"/>
        </w:rPr>
        <w:t>Transitional matters</w:t>
      </w:r>
      <w:bookmarkEnd w:id="313"/>
      <w:bookmarkEnd w:id="314"/>
      <w:bookmarkEnd w:id="315"/>
      <w:bookmarkEnd w:id="316"/>
      <w:bookmarkEnd w:id="317"/>
    </w:p>
    <w:p>
      <w:pPr>
        <w:pStyle w:val="Footnoteheading"/>
      </w:pPr>
      <w:r>
        <w:tab/>
        <w:t>[Heading inserted by No. 10 of 2013 s. 38.]</w:t>
      </w:r>
    </w:p>
    <w:p>
      <w:pPr>
        <w:pStyle w:val="Heading5"/>
      </w:pPr>
      <w:bookmarkStart w:id="318" w:name="_Toc532472995"/>
      <w:r>
        <w:rPr>
          <w:rStyle w:val="CharSectno"/>
        </w:rPr>
        <w:t>136</w:t>
      </w:r>
      <w:r>
        <w:t>.</w:t>
      </w:r>
      <w:r>
        <w:tab/>
        <w:t xml:space="preserve">Provisions for </w:t>
      </w:r>
      <w:r>
        <w:rPr>
          <w:i/>
          <w:snapToGrid w:val="0"/>
        </w:rPr>
        <w:t>Revenue Laws Amendment Act 2013</w:t>
      </w:r>
      <w:r>
        <w:t xml:space="preserve"> Part 3</w:t>
      </w:r>
      <w:bookmarkEnd w:id="31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r>
        <w:rPr>
          <w:vertAlign w:val="superscript"/>
        </w:rPr>
        <w:t> 1</w:t>
      </w:r>
      <w:r>
        <w:t>.</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by No. 10 of 2013 s. 38.]</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319" w:name="_Toc440362684"/>
      <w:bookmarkStart w:id="320" w:name="_Toc450560120"/>
      <w:bookmarkStart w:id="321" w:name="_Toc455399650"/>
      <w:bookmarkStart w:id="322" w:name="_Toc528769235"/>
      <w:bookmarkStart w:id="323" w:name="_Toc532472996"/>
      <w:r>
        <w:rPr>
          <w:rStyle w:val="CharSchNo"/>
        </w:rPr>
        <w:t>Glossary</w:t>
      </w:r>
      <w:bookmarkEnd w:id="319"/>
      <w:bookmarkEnd w:id="320"/>
      <w:bookmarkEnd w:id="321"/>
      <w:bookmarkEnd w:id="322"/>
      <w:bookmarkEnd w:id="323"/>
    </w:p>
    <w:p>
      <w:pPr>
        <w:pStyle w:val="yShoulderClause"/>
      </w:pPr>
      <w:r>
        <w:t>[s. 4]</w:t>
      </w:r>
    </w:p>
    <w:p>
      <w:pPr>
        <w:pStyle w:val="yHeading5"/>
      </w:pPr>
      <w:bookmarkStart w:id="324" w:name="_Toc532472997"/>
      <w:r>
        <w:rPr>
          <w:rStyle w:val="CharSClsNo"/>
        </w:rPr>
        <w:t>1</w:t>
      </w:r>
      <w:r>
        <w:t>.</w:t>
      </w:r>
      <w:r>
        <w:tab/>
        <w:t>Terms used</w:t>
      </w:r>
      <w:bookmarkEnd w:id="324"/>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 No. 10 of 2013 s. 27 and 39; No. 8 of 2015 s. 21.]</w:t>
      </w:r>
    </w:p>
    <w:p>
      <w:pPr>
        <w:pStyle w:val="Footnotesection"/>
      </w:pPr>
      <w:r>
        <w:tab/>
        <w:t>[Glossary, modifications have effect under the Commonwealth Places (Mirror Taxes Administration) Act 1999, see note 1M.]</w:t>
      </w:r>
    </w:p>
    <w:p>
      <w:pPr>
        <w:pStyle w:val="Footnotesection"/>
      </w:pPr>
      <w:r>
        <w:tab/>
        <w:t>[Glossary, modifications have effect under the Commonwealth Places (Mirror Taxes) Act 1998 (Cth), see note 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326" w:name="_Toc440362686"/>
      <w:bookmarkStart w:id="327" w:name="_Toc450560122"/>
      <w:bookmarkStart w:id="328" w:name="_Toc455399652"/>
      <w:bookmarkStart w:id="329" w:name="_Toc528769237"/>
      <w:bookmarkStart w:id="330" w:name="_Toc532472998"/>
      <w:r>
        <w:t>Notes</w:t>
      </w:r>
      <w:bookmarkEnd w:id="326"/>
      <w:bookmarkEnd w:id="327"/>
      <w:bookmarkEnd w:id="328"/>
      <w:bookmarkEnd w:id="329"/>
      <w:bookmarkEnd w:id="330"/>
    </w:p>
    <w:p>
      <w:pPr>
        <w:pStyle w:val="nSubsection"/>
        <w:spacing w:before="40"/>
      </w:pPr>
      <w:r>
        <w:rPr>
          <w:vertAlign w:val="superscript"/>
        </w:rPr>
        <w:t>1</w:t>
      </w:r>
      <w:r>
        <w:tab/>
        <w:t xml:space="preserve">This is a compilation of the </w:t>
      </w:r>
      <w:r>
        <w:rPr>
          <w:i/>
          <w:noProof/>
        </w:rPr>
        <w:t>Taxation Administration Act 2003</w:t>
      </w:r>
      <w:r>
        <w:t xml:space="preserve"> and includes the amendments made by the other written laws referred to in the following table</w:t>
      </w:r>
      <w:r>
        <w:rPr>
          <w:vertAlign w:val="superscript"/>
        </w:rPr>
        <w:t> 1a, </w:t>
      </w:r>
      <w:r>
        <w:rPr>
          <w:snapToGrid w:val="0"/>
          <w:vertAlign w:val="superscript"/>
        </w:rPr>
        <w:t>1M, 1MC</w:t>
      </w:r>
      <w:r>
        <w:t>.  The table also contains information about any reprint.</w:t>
      </w:r>
    </w:p>
    <w:p>
      <w:pPr>
        <w:pStyle w:val="nHeading3"/>
      </w:pPr>
      <w:bookmarkStart w:id="331" w:name="_Toc532472999"/>
      <w:r>
        <w:t>Compilation table</w:t>
      </w:r>
      <w:bookmarkEnd w:id="331"/>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6"/>
        <w:gridCol w:w="2551"/>
        <w:gridCol w:w="11"/>
      </w:tblGrid>
      <w:tr>
        <w:trPr>
          <w:tblHeader/>
        </w:trPr>
        <w:tc>
          <w:tcPr>
            <w:tcW w:w="2273"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1139"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6"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62" w:type="dxa"/>
            <w:gridSpan w:val="2"/>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rPr>
          <w:gridAfter w:val="1"/>
          <w:wAfter w:w="11" w:type="dxa"/>
        </w:trPr>
        <w:tc>
          <w:tcPr>
            <w:tcW w:w="2273" w:type="dxa"/>
            <w:tcBorders>
              <w:top w:val="single" w:sz="8" w:space="0" w:color="auto"/>
            </w:tcBorders>
          </w:tcPr>
          <w:p>
            <w:pPr>
              <w:pStyle w:val="nTable"/>
              <w:spacing w:after="40"/>
              <w:rPr>
                <w:rFonts w:ascii="Times New Roman" w:hAnsi="Times New Roman"/>
                <w:szCs w:val="19"/>
              </w:rPr>
            </w:pPr>
            <w:r>
              <w:rPr>
                <w:rFonts w:ascii="Times New Roman" w:hAnsi="Times New Roman"/>
                <w:i/>
                <w:snapToGrid w:val="0"/>
                <w:szCs w:val="19"/>
              </w:rPr>
              <w:t>Taxation Administration Act 2003</w:t>
            </w:r>
            <w:r>
              <w:rPr>
                <w:rFonts w:ascii="Times New Roman" w:hAnsi="Times New Roman"/>
                <w:snapToGrid w:val="0"/>
                <w:szCs w:val="19"/>
                <w:vertAlign w:val="superscript"/>
              </w:rPr>
              <w:t> 4</w:t>
            </w:r>
          </w:p>
        </w:tc>
        <w:tc>
          <w:tcPr>
            <w:tcW w:w="1139"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 xml:space="preserve">1 of 2003 </w:t>
            </w:r>
          </w:p>
        </w:tc>
        <w:tc>
          <w:tcPr>
            <w:tcW w:w="1136"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20 Mar 2003</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s. 1 and 2: 20 Mar 2003;</w:t>
            </w:r>
            <w:r>
              <w:rPr>
                <w:rFonts w:ascii="Times New Roman" w:hAnsi="Times New Roman"/>
                <w:szCs w:val="19"/>
              </w:rPr>
              <w:br/>
              <w:t xml:space="preserve">Act other than s. 1, 2, 34(2)(c), (4) and (5), 41(2) and (4), 47(8), 48, 56(3), 57(3), 59 and 127 and the definition of </w:t>
            </w:r>
            <w:r>
              <w:rPr>
                <w:rFonts w:ascii="Times New Roman" w:hAnsi="Times New Roman"/>
                <w:b/>
                <w:bCs/>
                <w:i/>
                <w:iCs/>
                <w:szCs w:val="19"/>
              </w:rPr>
              <w:t>non</w:t>
            </w:r>
            <w:r>
              <w:rPr>
                <w:rFonts w:ascii="Times New Roman" w:hAnsi="Times New Roman"/>
                <w:b/>
                <w:bCs/>
                <w:i/>
                <w:iCs/>
                <w:szCs w:val="19"/>
              </w:rPr>
              <w:noBreakHyphen/>
              <w:t>reviewable decision</w:t>
            </w:r>
            <w:r>
              <w:rPr>
                <w:rFonts w:ascii="Times New Roman" w:hAnsi="Times New Roman"/>
                <w:szCs w:val="19"/>
              </w:rPr>
              <w:t xml:space="preserve"> in the Glossary: 1 Jul 2003 (see s. 2 and </w:t>
            </w:r>
            <w:r>
              <w:rPr>
                <w:rFonts w:ascii="Times New Roman" w:hAnsi="Times New Roman"/>
                <w:i/>
                <w:szCs w:val="19"/>
              </w:rPr>
              <w:t>Gazette</w:t>
            </w:r>
            <w:r>
              <w:rPr>
                <w:rFonts w:ascii="Times New Roman" w:hAnsi="Times New Roman"/>
                <w:szCs w:val="19"/>
              </w:rPr>
              <w:t xml:space="preserve"> 27 Jun 2003 p. 2383);</w:t>
            </w:r>
            <w:r>
              <w:rPr>
                <w:rFonts w:ascii="Times New Roman" w:hAnsi="Times New Roman"/>
                <w:szCs w:val="19"/>
              </w:rPr>
              <w:br/>
            </w:r>
            <w:r>
              <w:rPr>
                <w:rFonts w:ascii="Times New Roman" w:hAnsi="Times New Roman"/>
                <w:spacing w:val="-2"/>
                <w:szCs w:val="19"/>
              </w:rPr>
              <w:t xml:space="preserve">s. 127: 2 Jan 2004 (see s. 2 and </w:t>
            </w:r>
            <w:r>
              <w:rPr>
                <w:rFonts w:ascii="Times New Roman" w:hAnsi="Times New Roman"/>
                <w:i/>
                <w:spacing w:val="-2"/>
                <w:szCs w:val="19"/>
              </w:rPr>
              <w:t>Gazette</w:t>
            </w:r>
            <w:r>
              <w:rPr>
                <w:rFonts w:ascii="Times New Roman" w:hAnsi="Times New Roman"/>
                <w:spacing w:val="-2"/>
                <w:szCs w:val="19"/>
              </w:rPr>
              <w:t xml:space="preserve"> 19 Dec 2003 p. 5137);</w:t>
            </w:r>
            <w:r>
              <w:rPr>
                <w:rFonts w:ascii="Times New Roman" w:hAnsi="Times New Roman"/>
                <w:spacing w:val="-2"/>
                <w:szCs w:val="19"/>
              </w:rPr>
              <w:br/>
            </w:r>
            <w:r>
              <w:rPr>
                <w:rFonts w:ascii="Times New Roman" w:hAnsi="Times New Roman"/>
                <w:szCs w:val="19"/>
              </w:rPr>
              <w:t xml:space="preserve">s. 34(2)(c) and (4), 47(8), 48, 56(3), 57(3) and 59: 2 Mar 2009 (see s. 2 and </w:t>
            </w:r>
            <w:r>
              <w:rPr>
                <w:rFonts w:ascii="Times New Roman" w:hAnsi="Times New Roman"/>
                <w:i/>
                <w:iCs/>
                <w:szCs w:val="19"/>
              </w:rPr>
              <w:t xml:space="preserve">Gazette </w:t>
            </w:r>
            <w:r>
              <w:rPr>
                <w:rFonts w:ascii="Times New Roman" w:hAnsi="Times New Roman"/>
                <w:szCs w:val="19"/>
              </w:rPr>
              <w:t>24 Feb 2009 p. 385)</w:t>
            </w:r>
          </w:p>
        </w:tc>
      </w:tr>
      <w:tr>
        <w:trPr>
          <w:gridAfter w:val="1"/>
          <w:wAfter w:w="11" w:type="dxa"/>
        </w:trPr>
        <w:tc>
          <w:tcPr>
            <w:tcW w:w="2273" w:type="dxa"/>
          </w:tcPr>
          <w:p>
            <w:pPr>
              <w:pStyle w:val="nTable"/>
              <w:spacing w:after="40"/>
              <w:rPr>
                <w:rFonts w:ascii="Times New Roman" w:hAnsi="Times New Roman"/>
                <w:snapToGrid w:val="0"/>
                <w:szCs w:val="19"/>
              </w:rPr>
            </w:pPr>
            <w:r>
              <w:rPr>
                <w:rFonts w:ascii="Times New Roman" w:hAnsi="Times New Roman"/>
                <w:i/>
                <w:snapToGrid w:val="0"/>
                <w:szCs w:val="19"/>
              </w:rPr>
              <w:t>Business Tax Review (Assessment) Act (No. 2) 2003</w:t>
            </w:r>
            <w:r>
              <w:rPr>
                <w:rFonts w:ascii="Times New Roman" w:hAnsi="Times New Roman"/>
                <w:snapToGrid w:val="0"/>
                <w:szCs w:val="19"/>
              </w:rPr>
              <w:t xml:space="preserve"> s. 95, 100 and 108</w:t>
            </w:r>
            <w:r>
              <w:rPr>
                <w:rFonts w:ascii="Times New Roman" w:hAnsi="Times New Roman"/>
                <w:snapToGrid w:val="0"/>
                <w:szCs w:val="19"/>
                <w:vertAlign w:val="superscript"/>
              </w:rPr>
              <w:t> 5</w:t>
            </w:r>
          </w:p>
        </w:tc>
        <w:tc>
          <w:tcPr>
            <w:tcW w:w="1139" w:type="dxa"/>
          </w:tcPr>
          <w:p>
            <w:pPr>
              <w:pStyle w:val="nTable"/>
              <w:spacing w:after="40"/>
              <w:rPr>
                <w:rFonts w:ascii="Times New Roman" w:hAnsi="Times New Roman"/>
                <w:szCs w:val="19"/>
              </w:rPr>
            </w:pPr>
            <w:r>
              <w:rPr>
                <w:rFonts w:ascii="Times New Roman" w:hAnsi="Times New Roman"/>
                <w:szCs w:val="19"/>
              </w:rPr>
              <w:t>66 of 2003</w:t>
            </w:r>
          </w:p>
        </w:tc>
        <w:tc>
          <w:tcPr>
            <w:tcW w:w="1136" w:type="dxa"/>
          </w:tcPr>
          <w:p>
            <w:pPr>
              <w:pStyle w:val="nTable"/>
              <w:spacing w:after="40"/>
              <w:rPr>
                <w:rFonts w:ascii="Times New Roman" w:hAnsi="Times New Roman"/>
                <w:szCs w:val="19"/>
              </w:rPr>
            </w:pPr>
            <w:r>
              <w:rPr>
                <w:rFonts w:ascii="Times New Roman" w:hAnsi="Times New Roman"/>
                <w:szCs w:val="19"/>
              </w:rPr>
              <w:t>5 Dec 2003</w:t>
            </w:r>
          </w:p>
        </w:tc>
        <w:tc>
          <w:tcPr>
            <w:tcW w:w="2551" w:type="dxa"/>
          </w:tcPr>
          <w:p>
            <w:pPr>
              <w:pStyle w:val="nTable"/>
              <w:spacing w:after="40"/>
              <w:rPr>
                <w:rFonts w:ascii="Times New Roman" w:hAnsi="Times New Roman"/>
                <w:b/>
                <w:szCs w:val="19"/>
              </w:rPr>
            </w:pPr>
            <w:r>
              <w:rPr>
                <w:rFonts w:ascii="Times New Roman" w:hAnsi="Times New Roman"/>
                <w:szCs w:val="19"/>
              </w:rPr>
              <w:t xml:space="preserve">s. 108: 1 Jul 2003 (see s. 2(5) and </w:t>
            </w:r>
            <w:r>
              <w:rPr>
                <w:rFonts w:ascii="Times New Roman" w:hAnsi="Times New Roman"/>
                <w:i/>
                <w:szCs w:val="19"/>
              </w:rPr>
              <w:t>Gazette</w:t>
            </w:r>
            <w:r>
              <w:rPr>
                <w:rFonts w:ascii="Times New Roman" w:hAnsi="Times New Roman"/>
                <w:szCs w:val="19"/>
              </w:rPr>
              <w:t xml:space="preserve"> 27 Jun 2003 p. 2383);</w:t>
            </w:r>
            <w:r>
              <w:rPr>
                <w:rFonts w:ascii="Times New Roman" w:hAnsi="Times New Roman"/>
                <w:szCs w:val="19"/>
              </w:rPr>
              <w:br/>
              <w:t>s. 95(1)</w:t>
            </w:r>
            <w:r>
              <w:rPr>
                <w:rFonts w:ascii="Times New Roman" w:hAnsi="Times New Roman"/>
                <w:szCs w:val="19"/>
              </w:rPr>
              <w:noBreakHyphen/>
              <w:t xml:space="preserve">(4) and (5)(a): 1 Jan 2004 (see s. 2(1) and (2) and </w:t>
            </w:r>
            <w:r>
              <w:rPr>
                <w:rFonts w:ascii="Times New Roman" w:hAnsi="Times New Roman"/>
                <w:i/>
                <w:szCs w:val="19"/>
              </w:rPr>
              <w:t>Gazette</w:t>
            </w:r>
            <w:r>
              <w:rPr>
                <w:rFonts w:ascii="Times New Roman" w:hAnsi="Times New Roman"/>
                <w:szCs w:val="19"/>
              </w:rPr>
              <w:t xml:space="preserve"> 30 Dec 2003 p. 5721);</w:t>
            </w:r>
            <w:r>
              <w:rPr>
                <w:rFonts w:ascii="Times New Roman" w:hAnsi="Times New Roman"/>
                <w:szCs w:val="19"/>
              </w:rPr>
              <w:br/>
              <w:t>s. 100: 1 Jul 2004 (see s. 2(3));</w:t>
            </w:r>
            <w:r>
              <w:rPr>
                <w:rFonts w:ascii="Times New Roman" w:hAnsi="Times New Roman"/>
                <w:szCs w:val="19"/>
              </w:rPr>
              <w:br/>
              <w:t xml:space="preserve">s. 95(5)(b): </w:t>
            </w:r>
            <w:r>
              <w:rPr>
                <w:rFonts w:ascii="Times New Roman" w:hAnsi="Times New Roman"/>
                <w:spacing w:val="-2"/>
                <w:szCs w:val="19"/>
              </w:rPr>
              <w:t xml:space="preserve">1 Jul 2004 (see s. 2(1) and (2) and </w:t>
            </w:r>
            <w:r>
              <w:rPr>
                <w:rFonts w:ascii="Times New Roman" w:hAnsi="Times New Roman"/>
                <w:i/>
                <w:spacing w:val="-2"/>
                <w:szCs w:val="19"/>
              </w:rPr>
              <w:t>Gazette</w:t>
            </w:r>
            <w:r>
              <w:rPr>
                <w:rFonts w:ascii="Times New Roman" w:hAnsi="Times New Roman"/>
                <w:spacing w:val="-2"/>
                <w:szCs w:val="19"/>
              </w:rPr>
              <w:t xml:space="preserve"> 21 May 2004 p. 1711)</w:t>
            </w:r>
          </w:p>
        </w:tc>
      </w:tr>
      <w:tr>
        <w:trPr>
          <w:gridAfter w:val="1"/>
          <w:wAfter w:w="11" w:type="dxa"/>
        </w:trPr>
        <w:tc>
          <w:tcPr>
            <w:tcW w:w="2273" w:type="dxa"/>
          </w:tcPr>
          <w:p>
            <w:pPr>
              <w:pStyle w:val="nTable"/>
              <w:spacing w:after="40"/>
              <w:rPr>
                <w:rFonts w:ascii="Times New Roman" w:hAnsi="Times New Roman"/>
                <w:i/>
                <w:snapToGrid w:val="0"/>
                <w:szCs w:val="19"/>
              </w:rPr>
            </w:pPr>
            <w:r>
              <w:rPr>
                <w:rFonts w:ascii="Times New Roman" w:hAnsi="Times New Roman"/>
                <w:i/>
                <w:noProof/>
                <w:snapToGrid w:val="0"/>
                <w:szCs w:val="19"/>
              </w:rPr>
              <w:t xml:space="preserve">Revenue Laws Amendment and Repeal Act 2004 </w:t>
            </w:r>
            <w:r>
              <w:rPr>
                <w:rFonts w:ascii="Times New Roman" w:hAnsi="Times New Roman"/>
                <w:noProof/>
                <w:snapToGrid w:val="0"/>
                <w:szCs w:val="19"/>
              </w:rPr>
              <w:t>Pt. 4</w:t>
            </w:r>
          </w:p>
        </w:tc>
        <w:tc>
          <w:tcPr>
            <w:tcW w:w="1139" w:type="dxa"/>
          </w:tcPr>
          <w:p>
            <w:pPr>
              <w:pStyle w:val="nTable"/>
              <w:spacing w:after="40"/>
              <w:rPr>
                <w:rFonts w:ascii="Times New Roman" w:hAnsi="Times New Roman"/>
                <w:szCs w:val="19"/>
              </w:rPr>
            </w:pPr>
            <w:r>
              <w:rPr>
                <w:rFonts w:ascii="Times New Roman" w:hAnsi="Times New Roman"/>
                <w:szCs w:val="19"/>
              </w:rPr>
              <w:t>12 of 2004</w:t>
            </w:r>
          </w:p>
        </w:tc>
        <w:tc>
          <w:tcPr>
            <w:tcW w:w="1136" w:type="dxa"/>
          </w:tcPr>
          <w:p>
            <w:pPr>
              <w:pStyle w:val="nTable"/>
              <w:spacing w:after="40"/>
              <w:rPr>
                <w:rFonts w:ascii="Times New Roman" w:hAnsi="Times New Roman"/>
                <w:szCs w:val="19"/>
              </w:rPr>
            </w:pPr>
            <w:r>
              <w:rPr>
                <w:rFonts w:ascii="Times New Roman" w:hAnsi="Times New Roman"/>
                <w:szCs w:val="19"/>
              </w:rPr>
              <w:t>29 Jun 2004</w:t>
            </w:r>
          </w:p>
        </w:tc>
        <w:tc>
          <w:tcPr>
            <w:tcW w:w="2551" w:type="dxa"/>
          </w:tcPr>
          <w:p>
            <w:pPr>
              <w:pStyle w:val="nTable"/>
              <w:spacing w:after="40"/>
              <w:rPr>
                <w:rFonts w:ascii="Times New Roman" w:hAnsi="Times New Roman"/>
                <w:szCs w:val="19"/>
              </w:rPr>
            </w:pPr>
            <w:r>
              <w:rPr>
                <w:rFonts w:ascii="Times New Roman" w:hAnsi="Times New Roman"/>
                <w:szCs w:val="19"/>
              </w:rPr>
              <w:t>29 Jun 2004 (see s. 2(1))</w:t>
            </w:r>
          </w:p>
        </w:tc>
      </w:tr>
      <w:tr>
        <w:trPr>
          <w:gridAfter w:val="1"/>
          <w:wAfter w:w="11" w:type="dxa"/>
        </w:trPr>
        <w:tc>
          <w:tcPr>
            <w:tcW w:w="2273" w:type="dxa"/>
          </w:tcPr>
          <w:p>
            <w:pPr>
              <w:pStyle w:val="nTable"/>
              <w:spacing w:after="40"/>
              <w:rPr>
                <w:rFonts w:ascii="Times New Roman" w:hAnsi="Times New Roman"/>
                <w:i/>
                <w:szCs w:val="19"/>
              </w:rPr>
            </w:pPr>
            <w:r>
              <w:rPr>
                <w:rFonts w:ascii="Times New Roman" w:hAnsi="Times New Roman"/>
                <w:i/>
                <w:szCs w:val="19"/>
              </w:rPr>
              <w:t>State Administrative Tribunal (Conferral of Jurisdiction) Amendment and Repeal Act 2004</w:t>
            </w:r>
            <w:r>
              <w:rPr>
                <w:rFonts w:ascii="Times New Roman" w:hAnsi="Times New Roman"/>
                <w:szCs w:val="19"/>
              </w:rPr>
              <w:t xml:space="preserve"> Pt. 2 Div. 124</w:t>
            </w:r>
            <w:r>
              <w:rPr>
                <w:rFonts w:ascii="Times New Roman" w:hAnsi="Times New Roman"/>
                <w:szCs w:val="19"/>
                <w:vertAlign w:val="superscript"/>
              </w:rPr>
              <w:t> 6</w:t>
            </w:r>
          </w:p>
        </w:tc>
        <w:tc>
          <w:tcPr>
            <w:tcW w:w="1139" w:type="dxa"/>
          </w:tcPr>
          <w:p>
            <w:pPr>
              <w:pStyle w:val="nTable"/>
              <w:spacing w:after="40"/>
              <w:rPr>
                <w:rFonts w:ascii="Times New Roman" w:hAnsi="Times New Roman"/>
                <w:szCs w:val="19"/>
              </w:rPr>
            </w:pPr>
            <w:r>
              <w:rPr>
                <w:rFonts w:ascii="Times New Roman" w:hAnsi="Times New Roman"/>
                <w:szCs w:val="19"/>
              </w:rPr>
              <w:t>55 of 2004</w:t>
            </w:r>
          </w:p>
        </w:tc>
        <w:tc>
          <w:tcPr>
            <w:tcW w:w="1136" w:type="dxa"/>
          </w:tcPr>
          <w:p>
            <w:pPr>
              <w:pStyle w:val="nTable"/>
              <w:spacing w:after="40"/>
              <w:rPr>
                <w:rFonts w:ascii="Times New Roman" w:hAnsi="Times New Roman"/>
                <w:szCs w:val="19"/>
              </w:rPr>
            </w:pPr>
            <w:r>
              <w:rPr>
                <w:rFonts w:ascii="Times New Roman" w:hAnsi="Times New Roman"/>
                <w:szCs w:val="19"/>
              </w:rPr>
              <w:t>24 Nov 2004</w:t>
            </w:r>
          </w:p>
        </w:tc>
        <w:tc>
          <w:tcPr>
            <w:tcW w:w="2551" w:type="dxa"/>
          </w:tcPr>
          <w:p>
            <w:pPr>
              <w:pStyle w:val="nTable"/>
              <w:spacing w:after="40"/>
              <w:rPr>
                <w:rFonts w:ascii="Times New Roman" w:hAnsi="Times New Roman"/>
                <w:szCs w:val="19"/>
              </w:rPr>
            </w:pPr>
            <w:r>
              <w:rPr>
                <w:rFonts w:ascii="Times New Roman" w:hAnsi="Times New Roman"/>
                <w:szCs w:val="19"/>
              </w:rPr>
              <w:t xml:space="preserve">1 Jan 2005 (see s. 2 and </w:t>
            </w:r>
            <w:r>
              <w:rPr>
                <w:rFonts w:ascii="Times New Roman" w:hAnsi="Times New Roman"/>
                <w:i/>
                <w:szCs w:val="19"/>
              </w:rPr>
              <w:t>Gazette</w:t>
            </w:r>
            <w:r>
              <w:rPr>
                <w:rFonts w:ascii="Times New Roman" w:hAnsi="Times New Roman"/>
                <w:szCs w:val="19"/>
              </w:rPr>
              <w:t xml:space="preserve"> 31 Dec 2004 p. 7130)</w:t>
            </w:r>
          </w:p>
        </w:tc>
      </w:tr>
      <w:tr>
        <w:trPr>
          <w:gridAfter w:val="1"/>
          <w:wAfter w:w="11" w:type="dxa"/>
          <w:cantSplit/>
        </w:trPr>
        <w:tc>
          <w:tcPr>
            <w:tcW w:w="2273" w:type="dxa"/>
          </w:tcPr>
          <w:p>
            <w:pPr>
              <w:pStyle w:val="nTable"/>
              <w:spacing w:after="40"/>
              <w:rPr>
                <w:rFonts w:ascii="Times New Roman" w:hAnsi="Times New Roman"/>
                <w:i/>
                <w:szCs w:val="19"/>
              </w:rPr>
            </w:pPr>
            <w:r>
              <w:rPr>
                <w:rFonts w:ascii="Times New Roman" w:hAnsi="Times New Roman"/>
                <w:i/>
                <w:szCs w:val="19"/>
              </w:rPr>
              <w:t xml:space="preserve">Revenue Laws Amendment (Tax Relief) Act 2004 </w:t>
            </w:r>
            <w:r>
              <w:rPr>
                <w:rFonts w:ascii="Times New Roman" w:hAnsi="Times New Roman"/>
                <w:szCs w:val="19"/>
              </w:rPr>
              <w:t>Pt. 3</w:t>
            </w:r>
            <w:r>
              <w:rPr>
                <w:rFonts w:ascii="Times New Roman" w:hAnsi="Times New Roman"/>
                <w:szCs w:val="19"/>
                <w:vertAlign w:val="superscript"/>
              </w:rPr>
              <w:t> 7</w:t>
            </w:r>
          </w:p>
        </w:tc>
        <w:tc>
          <w:tcPr>
            <w:tcW w:w="1139" w:type="dxa"/>
          </w:tcPr>
          <w:p>
            <w:pPr>
              <w:pStyle w:val="nTable"/>
              <w:spacing w:after="40"/>
              <w:rPr>
                <w:rFonts w:ascii="Times New Roman" w:hAnsi="Times New Roman"/>
                <w:szCs w:val="19"/>
              </w:rPr>
            </w:pPr>
            <w:r>
              <w:rPr>
                <w:rFonts w:ascii="Times New Roman" w:hAnsi="Times New Roman"/>
                <w:szCs w:val="19"/>
              </w:rPr>
              <w:t>82 of 2004</w:t>
            </w:r>
          </w:p>
        </w:tc>
        <w:tc>
          <w:tcPr>
            <w:tcW w:w="1136" w:type="dxa"/>
          </w:tcPr>
          <w:p>
            <w:pPr>
              <w:pStyle w:val="nTable"/>
              <w:spacing w:after="40"/>
              <w:rPr>
                <w:rFonts w:ascii="Times New Roman" w:hAnsi="Times New Roman"/>
                <w:szCs w:val="19"/>
              </w:rPr>
            </w:pPr>
            <w:r>
              <w:rPr>
                <w:rFonts w:ascii="Times New Roman" w:hAnsi="Times New Roman"/>
                <w:szCs w:val="19"/>
              </w:rPr>
              <w:t>8 Dec 2004</w:t>
            </w:r>
          </w:p>
        </w:tc>
        <w:tc>
          <w:tcPr>
            <w:tcW w:w="2551" w:type="dxa"/>
          </w:tcPr>
          <w:p>
            <w:pPr>
              <w:pStyle w:val="nTable"/>
              <w:spacing w:after="40"/>
              <w:rPr>
                <w:rFonts w:ascii="Times New Roman" w:hAnsi="Times New Roman"/>
                <w:szCs w:val="19"/>
              </w:rPr>
            </w:pPr>
            <w:r>
              <w:rPr>
                <w:rFonts w:ascii="Times New Roman" w:hAnsi="Times New Roman"/>
                <w:szCs w:val="19"/>
              </w:rPr>
              <w:t>8 Dec 2004 (see s. 2(1))</w:t>
            </w:r>
          </w:p>
        </w:tc>
      </w:tr>
      <w:tr>
        <w:trPr>
          <w:gridAfter w:val="1"/>
          <w:wAfter w:w="11" w:type="dxa"/>
          <w:cantSplit/>
        </w:trPr>
        <w:tc>
          <w:tcPr>
            <w:tcW w:w="2273" w:type="dxa"/>
          </w:tcPr>
          <w:p>
            <w:pPr>
              <w:pStyle w:val="nTable"/>
              <w:spacing w:after="40"/>
              <w:rPr>
                <w:rFonts w:ascii="Times New Roman" w:hAnsi="Times New Roman"/>
                <w:i/>
                <w:szCs w:val="19"/>
              </w:rPr>
            </w:pPr>
            <w:r>
              <w:rPr>
                <w:rFonts w:ascii="Times New Roman" w:hAnsi="Times New Roman"/>
                <w:i/>
                <w:snapToGrid w:val="0"/>
                <w:szCs w:val="19"/>
              </w:rPr>
              <w:t>Criminal Procedure and Appeals (Consequential and Other Provisions) Act 2004</w:t>
            </w:r>
            <w:r>
              <w:rPr>
                <w:rFonts w:ascii="Times New Roman" w:hAnsi="Times New Roman"/>
                <w:snapToGrid w:val="0"/>
                <w:szCs w:val="19"/>
              </w:rPr>
              <w:t xml:space="preserve"> s. 80 and 82</w:t>
            </w:r>
          </w:p>
        </w:tc>
        <w:tc>
          <w:tcPr>
            <w:tcW w:w="1139" w:type="dxa"/>
          </w:tcPr>
          <w:p>
            <w:pPr>
              <w:pStyle w:val="nTable"/>
              <w:spacing w:after="40"/>
              <w:rPr>
                <w:rFonts w:ascii="Times New Roman" w:hAnsi="Times New Roman"/>
                <w:szCs w:val="19"/>
              </w:rPr>
            </w:pPr>
            <w:r>
              <w:rPr>
                <w:rFonts w:ascii="Times New Roman" w:hAnsi="Times New Roman"/>
                <w:snapToGrid w:val="0"/>
                <w:szCs w:val="19"/>
              </w:rPr>
              <w:t>84 of 2004</w:t>
            </w:r>
          </w:p>
        </w:tc>
        <w:tc>
          <w:tcPr>
            <w:tcW w:w="1136" w:type="dxa"/>
          </w:tcPr>
          <w:p>
            <w:pPr>
              <w:pStyle w:val="nTable"/>
              <w:spacing w:after="40"/>
              <w:rPr>
                <w:rFonts w:ascii="Times New Roman" w:hAnsi="Times New Roman"/>
                <w:szCs w:val="19"/>
              </w:rPr>
            </w:pPr>
            <w:r>
              <w:rPr>
                <w:rFonts w:ascii="Times New Roman" w:hAnsi="Times New Roman"/>
                <w:szCs w:val="19"/>
              </w:rPr>
              <w:t>16 Dec 2004</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2 May 2005 (see s. 2 and </w:t>
            </w:r>
            <w:r>
              <w:rPr>
                <w:rFonts w:ascii="Times New Roman" w:hAnsi="Times New Roman"/>
                <w:i/>
                <w:snapToGrid w:val="0"/>
                <w:szCs w:val="19"/>
              </w:rPr>
              <w:t>Gazette</w:t>
            </w:r>
            <w:r>
              <w:rPr>
                <w:rFonts w:ascii="Times New Roman" w:hAnsi="Times New Roman"/>
                <w:snapToGrid w:val="0"/>
                <w:szCs w:val="19"/>
              </w:rPr>
              <w:t xml:space="preserve"> 31 Dec 2004 p. 7129 (correction by </w:t>
            </w:r>
            <w:r>
              <w:rPr>
                <w:rFonts w:ascii="Times New Roman" w:hAnsi="Times New Roman"/>
                <w:i/>
                <w:snapToGrid w:val="0"/>
                <w:szCs w:val="19"/>
              </w:rPr>
              <w:t>Gazette</w:t>
            </w:r>
            <w:r>
              <w:rPr>
                <w:rFonts w:ascii="Times New Roman" w:hAnsi="Times New Roman"/>
                <w:snapToGrid w:val="0"/>
                <w:szCs w:val="19"/>
              </w:rPr>
              <w:t xml:space="preserve"> 7 Jan 2005 p. 53))</w:t>
            </w:r>
          </w:p>
        </w:tc>
      </w:tr>
      <w:tr>
        <w:trPr>
          <w:gridAfter w:val="1"/>
          <w:wAfter w:w="11" w:type="dxa"/>
        </w:trPr>
        <w:tc>
          <w:tcPr>
            <w:tcW w:w="2273" w:type="dxa"/>
          </w:tcPr>
          <w:p>
            <w:pPr>
              <w:pStyle w:val="nTable"/>
              <w:spacing w:after="40"/>
              <w:rPr>
                <w:rFonts w:ascii="Times New Roman" w:hAnsi="Times New Roman"/>
                <w:snapToGrid w:val="0"/>
                <w:szCs w:val="19"/>
              </w:rPr>
            </w:pPr>
            <w:r>
              <w:rPr>
                <w:rFonts w:ascii="Times New Roman" w:hAnsi="Times New Roman"/>
                <w:i/>
                <w:snapToGrid w:val="0"/>
                <w:szCs w:val="19"/>
              </w:rPr>
              <w:t>Revenue Laws Amendment Act (No. 2) 2005</w:t>
            </w:r>
            <w:r>
              <w:rPr>
                <w:rFonts w:ascii="Times New Roman" w:hAnsi="Times New Roman"/>
                <w:snapToGrid w:val="0"/>
                <w:szCs w:val="19"/>
              </w:rPr>
              <w:t xml:space="preserve"> Pt. 4</w:t>
            </w:r>
          </w:p>
        </w:tc>
        <w:tc>
          <w:tcPr>
            <w:tcW w:w="1139" w:type="dxa"/>
          </w:tcPr>
          <w:p>
            <w:pPr>
              <w:pStyle w:val="nTable"/>
              <w:keepNext/>
              <w:keepLines/>
              <w:spacing w:after="40"/>
              <w:rPr>
                <w:rFonts w:ascii="Times New Roman" w:hAnsi="Times New Roman"/>
                <w:snapToGrid w:val="0"/>
                <w:szCs w:val="19"/>
              </w:rPr>
            </w:pPr>
            <w:r>
              <w:rPr>
                <w:rFonts w:ascii="Times New Roman" w:hAnsi="Times New Roman"/>
                <w:snapToGrid w:val="0"/>
                <w:szCs w:val="19"/>
              </w:rPr>
              <w:t>12 of 2005</w:t>
            </w:r>
          </w:p>
        </w:tc>
        <w:tc>
          <w:tcPr>
            <w:tcW w:w="1136" w:type="dxa"/>
          </w:tcPr>
          <w:p>
            <w:pPr>
              <w:pStyle w:val="nTable"/>
              <w:keepNext/>
              <w:keepLines/>
              <w:spacing w:after="40"/>
              <w:rPr>
                <w:rFonts w:ascii="Times New Roman" w:hAnsi="Times New Roman"/>
                <w:szCs w:val="19"/>
              </w:rPr>
            </w:pPr>
            <w:r>
              <w:rPr>
                <w:rFonts w:ascii="Times New Roman" w:hAnsi="Times New Roman"/>
                <w:szCs w:val="19"/>
              </w:rPr>
              <w:t>30 Aug 2005</w:t>
            </w:r>
          </w:p>
        </w:tc>
        <w:tc>
          <w:tcPr>
            <w:tcW w:w="2551" w:type="dxa"/>
          </w:tcPr>
          <w:p>
            <w:pPr>
              <w:pStyle w:val="nTable"/>
              <w:keepNext/>
              <w:keepLines/>
              <w:spacing w:after="40"/>
              <w:rPr>
                <w:rFonts w:ascii="Times New Roman" w:hAnsi="Times New Roman"/>
                <w:snapToGrid w:val="0"/>
                <w:szCs w:val="19"/>
              </w:rPr>
            </w:pPr>
            <w:r>
              <w:rPr>
                <w:rFonts w:ascii="Times New Roman" w:hAnsi="Times New Roman"/>
                <w:snapToGrid w:val="0"/>
                <w:szCs w:val="19"/>
              </w:rPr>
              <w:t>30 Aug 2005 (see s. 2(1))</w:t>
            </w:r>
          </w:p>
        </w:tc>
      </w:tr>
      <w:tr>
        <w:trPr>
          <w:gridAfter w:val="1"/>
          <w:wAfter w:w="11" w:type="dxa"/>
          <w:cantSplit/>
        </w:trPr>
        <w:tc>
          <w:tcPr>
            <w:tcW w:w="7099" w:type="dxa"/>
            <w:gridSpan w:val="4"/>
          </w:tcPr>
          <w:p>
            <w:pPr>
              <w:pStyle w:val="nTable"/>
              <w:spacing w:after="40"/>
              <w:rPr>
                <w:rFonts w:ascii="Times New Roman" w:hAnsi="Times New Roman"/>
                <w:snapToGrid w:val="0"/>
                <w:szCs w:val="19"/>
              </w:rPr>
            </w:pPr>
            <w:r>
              <w:rPr>
                <w:rFonts w:ascii="Times New Roman" w:hAnsi="Times New Roman"/>
                <w:b/>
                <w:snapToGrid w:val="0"/>
                <w:szCs w:val="19"/>
              </w:rPr>
              <w:t xml:space="preserve">Reprint 1: The </w:t>
            </w:r>
            <w:r>
              <w:rPr>
                <w:rFonts w:ascii="Times New Roman" w:hAnsi="Times New Roman"/>
                <w:b/>
                <w:i/>
                <w:snapToGrid w:val="0"/>
                <w:szCs w:val="19"/>
              </w:rPr>
              <w:t xml:space="preserve">Taxation Administration Act 2003 </w:t>
            </w:r>
            <w:r>
              <w:rPr>
                <w:rFonts w:ascii="Times New Roman" w:hAnsi="Times New Roman"/>
                <w:b/>
                <w:snapToGrid w:val="0"/>
                <w:szCs w:val="19"/>
              </w:rPr>
              <w:t xml:space="preserve">as at 14 Oct 2005 </w:t>
            </w:r>
            <w:r>
              <w:rPr>
                <w:rFonts w:ascii="Times New Roman" w:hAnsi="Times New Roman"/>
                <w:snapToGrid w:val="0"/>
                <w:szCs w:val="19"/>
              </w:rPr>
              <w:t>(includes amendments listed above)</w:t>
            </w:r>
          </w:p>
        </w:tc>
      </w:tr>
      <w:tr>
        <w:trPr>
          <w:gridAfter w:val="1"/>
          <w:wAfter w:w="11" w:type="dxa"/>
        </w:trPr>
        <w:tc>
          <w:tcPr>
            <w:tcW w:w="2273" w:type="dxa"/>
          </w:tcPr>
          <w:p>
            <w:pPr>
              <w:pStyle w:val="nTable"/>
              <w:spacing w:after="40"/>
              <w:rPr>
                <w:rFonts w:ascii="Times New Roman" w:hAnsi="Times New Roman"/>
                <w:szCs w:val="19"/>
              </w:rPr>
            </w:pPr>
            <w:r>
              <w:rPr>
                <w:rFonts w:ascii="Times New Roman" w:hAnsi="Times New Roman"/>
                <w:i/>
                <w:snapToGrid w:val="0"/>
                <w:szCs w:val="19"/>
              </w:rPr>
              <w:t>Planning and Development (Consequential and Transitional Provisions) Act 2005</w:t>
            </w:r>
            <w:r>
              <w:rPr>
                <w:rFonts w:ascii="Times New Roman" w:hAnsi="Times New Roman"/>
                <w:szCs w:val="19"/>
              </w:rPr>
              <w:t xml:space="preserve"> s. 15</w:t>
            </w:r>
          </w:p>
        </w:tc>
        <w:tc>
          <w:tcPr>
            <w:tcW w:w="1139" w:type="dxa"/>
          </w:tcPr>
          <w:p>
            <w:pPr>
              <w:pStyle w:val="nTable"/>
              <w:spacing w:after="40"/>
              <w:rPr>
                <w:rFonts w:ascii="Times New Roman" w:hAnsi="Times New Roman"/>
                <w:szCs w:val="19"/>
              </w:rPr>
            </w:pPr>
            <w:r>
              <w:rPr>
                <w:rFonts w:ascii="Times New Roman" w:hAnsi="Times New Roman"/>
                <w:snapToGrid w:val="0"/>
                <w:szCs w:val="19"/>
              </w:rPr>
              <w:t>38 of 2005</w:t>
            </w:r>
          </w:p>
        </w:tc>
        <w:tc>
          <w:tcPr>
            <w:tcW w:w="1136"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9 Apr 2006 (see s. 2 and </w:t>
            </w:r>
            <w:r>
              <w:rPr>
                <w:rFonts w:ascii="Times New Roman" w:hAnsi="Times New Roman"/>
                <w:i/>
                <w:szCs w:val="19"/>
              </w:rPr>
              <w:t>Gazette</w:t>
            </w:r>
            <w:r>
              <w:rPr>
                <w:rFonts w:ascii="Times New Roman" w:hAnsi="Times New Roman"/>
                <w:szCs w:val="19"/>
              </w:rPr>
              <w:t xml:space="preserve"> 21 Mar 2006 p. 1078)</w:t>
            </w:r>
          </w:p>
        </w:tc>
      </w:tr>
      <w:tr>
        <w:trPr>
          <w:gridAfter w:val="1"/>
          <w:wAfter w:w="11" w:type="dxa"/>
        </w:trPr>
        <w:tc>
          <w:tcPr>
            <w:tcW w:w="2273" w:type="dxa"/>
          </w:tcPr>
          <w:p>
            <w:pPr>
              <w:pStyle w:val="nTable"/>
              <w:spacing w:after="40"/>
              <w:rPr>
                <w:rFonts w:ascii="Times New Roman" w:hAnsi="Times New Roman"/>
                <w:i/>
                <w:snapToGrid w:val="0"/>
                <w:szCs w:val="19"/>
              </w:rPr>
            </w:pPr>
            <w:r>
              <w:rPr>
                <w:rFonts w:ascii="Times New Roman" w:hAnsi="Times New Roman"/>
                <w:i/>
                <w:snapToGrid w:val="0"/>
                <w:szCs w:val="19"/>
              </w:rPr>
              <w:t>Land Information Authority Act 2006</w:t>
            </w:r>
            <w:r>
              <w:rPr>
                <w:rFonts w:ascii="Times New Roman" w:hAnsi="Times New Roman"/>
                <w:snapToGrid w:val="0"/>
                <w:szCs w:val="19"/>
              </w:rPr>
              <w:t xml:space="preserve"> s. 184</w:t>
            </w:r>
            <w:r>
              <w:rPr>
                <w:rFonts w:ascii="Times New Roman" w:hAnsi="Times New Roman"/>
                <w:snapToGrid w:val="0"/>
                <w:szCs w:val="19"/>
                <w:vertAlign w:val="superscript"/>
              </w:rPr>
              <w:t xml:space="preserve"> </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60 of 2006</w:t>
            </w:r>
          </w:p>
        </w:tc>
        <w:tc>
          <w:tcPr>
            <w:tcW w:w="1136" w:type="dxa"/>
          </w:tcPr>
          <w:p>
            <w:pPr>
              <w:pStyle w:val="nTable"/>
              <w:spacing w:after="40"/>
              <w:rPr>
                <w:rFonts w:ascii="Times New Roman" w:hAnsi="Times New Roman"/>
                <w:szCs w:val="19"/>
              </w:rPr>
            </w:pPr>
            <w:r>
              <w:rPr>
                <w:rFonts w:ascii="Times New Roman" w:hAnsi="Times New Roman"/>
                <w:snapToGrid w:val="0"/>
                <w:szCs w:val="19"/>
              </w:rPr>
              <w:t>16 Nov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Jan 2007 (see s. 2(1) and </w:t>
            </w:r>
            <w:r>
              <w:rPr>
                <w:rFonts w:ascii="Times New Roman" w:hAnsi="Times New Roman"/>
                <w:i/>
                <w:szCs w:val="19"/>
              </w:rPr>
              <w:t xml:space="preserve">Gazette </w:t>
            </w:r>
            <w:r>
              <w:rPr>
                <w:rFonts w:ascii="Times New Roman" w:hAnsi="Times New Roman"/>
                <w:szCs w:val="19"/>
              </w:rPr>
              <w:t>8 Dec 2006 p. 5369)</w:t>
            </w:r>
          </w:p>
        </w:tc>
      </w:tr>
      <w:tr>
        <w:trPr>
          <w:gridAfter w:val="1"/>
          <w:wAfter w:w="11" w:type="dxa"/>
        </w:trPr>
        <w:tc>
          <w:tcPr>
            <w:tcW w:w="2273" w:type="dxa"/>
          </w:tcPr>
          <w:p>
            <w:pPr>
              <w:pStyle w:val="nTable"/>
              <w:spacing w:after="40"/>
              <w:rPr>
                <w:rFonts w:ascii="Times New Roman" w:hAnsi="Times New Roman"/>
                <w:i/>
                <w:snapToGrid w:val="0"/>
                <w:szCs w:val="19"/>
              </w:rPr>
            </w:pPr>
            <w:r>
              <w:rPr>
                <w:rFonts w:ascii="Times New Roman" w:hAnsi="Times New Roman"/>
                <w:i/>
                <w:snapToGrid w:val="0"/>
                <w:szCs w:val="19"/>
              </w:rPr>
              <w:t>Financial Legislation Amendment and Repeal Act 2006</w:t>
            </w:r>
            <w:r>
              <w:rPr>
                <w:rFonts w:ascii="Times New Roman" w:hAnsi="Times New Roman"/>
                <w:snapToGrid w:val="0"/>
                <w:szCs w:val="19"/>
              </w:rPr>
              <w:t xml:space="preserve"> Sch. 1 cl. 166</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77 of 2006</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21 Dec 2006</w:t>
            </w:r>
          </w:p>
        </w:tc>
        <w:tc>
          <w:tcPr>
            <w:tcW w:w="2551" w:type="dxa"/>
          </w:tcPr>
          <w:p>
            <w:pPr>
              <w:pStyle w:val="nTable"/>
              <w:spacing w:after="40"/>
              <w:rPr>
                <w:rFonts w:ascii="Times New Roman" w:hAnsi="Times New Roman"/>
                <w:szCs w:val="19"/>
              </w:rPr>
            </w:pPr>
            <w:r>
              <w:rPr>
                <w:rFonts w:ascii="Times New Roman" w:hAnsi="Times New Roman"/>
                <w:szCs w:val="19"/>
              </w:rPr>
              <w:t xml:space="preserve">1 Feb 2007 (see s. 2(1) and </w:t>
            </w:r>
            <w:r>
              <w:rPr>
                <w:rFonts w:ascii="Times New Roman" w:hAnsi="Times New Roman"/>
                <w:i/>
                <w:szCs w:val="19"/>
              </w:rPr>
              <w:t>Gazette</w:t>
            </w:r>
            <w:r>
              <w:rPr>
                <w:rFonts w:ascii="Times New Roman" w:hAnsi="Times New Roman"/>
                <w:szCs w:val="19"/>
              </w:rPr>
              <w:t xml:space="preserve"> 19 Jan 2007 p. 137)</w:t>
            </w:r>
          </w:p>
        </w:tc>
      </w:tr>
      <w:tr>
        <w:trPr>
          <w:gridAfter w:val="1"/>
          <w:wAfter w:w="11" w:type="dxa"/>
        </w:trPr>
        <w:tc>
          <w:tcPr>
            <w:tcW w:w="2273" w:type="dxa"/>
          </w:tcPr>
          <w:p>
            <w:pPr>
              <w:pStyle w:val="nTable"/>
              <w:spacing w:after="40"/>
              <w:rPr>
                <w:rFonts w:ascii="Times New Roman" w:hAnsi="Times New Roman"/>
                <w:iCs/>
                <w:snapToGrid w:val="0"/>
                <w:szCs w:val="19"/>
              </w:rPr>
            </w:pPr>
            <w:r>
              <w:rPr>
                <w:rFonts w:ascii="Times New Roman" w:hAnsi="Times New Roman"/>
                <w:i/>
                <w:snapToGrid w:val="0"/>
                <w:szCs w:val="19"/>
              </w:rPr>
              <w:t>Revenue Laws Amendment (Assessment) Act 2007</w:t>
            </w:r>
            <w:r>
              <w:rPr>
                <w:rFonts w:ascii="Times New Roman" w:hAnsi="Times New Roman"/>
                <w:iCs/>
                <w:snapToGrid w:val="0"/>
                <w:szCs w:val="19"/>
              </w:rPr>
              <w:t xml:space="preserve"> Pt. 3</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 xml:space="preserve">13 of 2007 </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29 Jun 2007</w:t>
            </w:r>
          </w:p>
        </w:tc>
        <w:tc>
          <w:tcPr>
            <w:tcW w:w="2551" w:type="dxa"/>
          </w:tcPr>
          <w:p>
            <w:pPr>
              <w:pStyle w:val="nTable"/>
              <w:spacing w:after="40"/>
              <w:rPr>
                <w:rFonts w:ascii="Times New Roman" w:hAnsi="Times New Roman"/>
                <w:szCs w:val="19"/>
              </w:rPr>
            </w:pPr>
            <w:r>
              <w:rPr>
                <w:rFonts w:ascii="Times New Roman" w:hAnsi="Times New Roman"/>
                <w:szCs w:val="19"/>
              </w:rPr>
              <w:t>30 Jun 2007 (see s. 2(b))</w:t>
            </w:r>
          </w:p>
        </w:tc>
      </w:tr>
      <w:tr>
        <w:trPr>
          <w:gridAfter w:val="1"/>
          <w:wAfter w:w="11" w:type="dxa"/>
          <w:cantSplit/>
        </w:trPr>
        <w:tc>
          <w:tcPr>
            <w:tcW w:w="7099" w:type="dxa"/>
            <w:gridSpan w:val="4"/>
          </w:tcPr>
          <w:p>
            <w:pPr>
              <w:pStyle w:val="nTable"/>
              <w:spacing w:after="40"/>
              <w:rPr>
                <w:rFonts w:ascii="Times New Roman" w:hAnsi="Times New Roman"/>
                <w:szCs w:val="19"/>
              </w:rPr>
            </w:pPr>
            <w:r>
              <w:rPr>
                <w:rFonts w:ascii="Times New Roman" w:hAnsi="Times New Roman"/>
                <w:b/>
                <w:bCs/>
                <w:szCs w:val="19"/>
              </w:rPr>
              <w:t xml:space="preserve">Reprint 2:  The </w:t>
            </w:r>
            <w:r>
              <w:rPr>
                <w:rFonts w:ascii="Times New Roman" w:hAnsi="Times New Roman"/>
                <w:b/>
                <w:bCs/>
                <w:i/>
                <w:snapToGrid w:val="0"/>
                <w:szCs w:val="19"/>
              </w:rPr>
              <w:t xml:space="preserve">Taxation Administration Act 2003 </w:t>
            </w:r>
            <w:r>
              <w:rPr>
                <w:rFonts w:ascii="Times New Roman" w:hAnsi="Times New Roman"/>
                <w:b/>
                <w:bCs/>
                <w:szCs w:val="19"/>
              </w:rPr>
              <w:t>as at 7 Sep 2007</w:t>
            </w:r>
            <w:r>
              <w:rPr>
                <w:rFonts w:ascii="Times New Roman" w:hAnsi="Times New Roman"/>
                <w:szCs w:val="19"/>
              </w:rPr>
              <w:t xml:space="preserve"> (includes amendments listed above)</w:t>
            </w:r>
          </w:p>
        </w:tc>
      </w:tr>
      <w:tr>
        <w:trPr>
          <w:gridAfter w:val="1"/>
          <w:wAfter w:w="11" w:type="dxa"/>
        </w:trPr>
        <w:tc>
          <w:tcPr>
            <w:tcW w:w="2273" w:type="dxa"/>
          </w:tcPr>
          <w:p>
            <w:pPr>
              <w:pStyle w:val="nTable"/>
              <w:spacing w:after="40"/>
              <w:rPr>
                <w:rFonts w:ascii="Times New Roman" w:hAnsi="Times New Roman"/>
                <w:i/>
                <w:iCs/>
                <w:snapToGrid w:val="0"/>
                <w:szCs w:val="19"/>
                <w:vertAlign w:val="superscript"/>
              </w:rPr>
            </w:pPr>
            <w:r>
              <w:rPr>
                <w:rFonts w:ascii="Times New Roman" w:hAnsi="Times New Roman"/>
                <w:i/>
                <w:snapToGrid w:val="0"/>
                <w:szCs w:val="19"/>
              </w:rPr>
              <w:t>Biosecurity and Agriculture Management (Repeal and Consequential Provisions) Act 2007</w:t>
            </w:r>
            <w:r>
              <w:rPr>
                <w:rFonts w:ascii="Times New Roman" w:hAnsi="Times New Roman"/>
                <w:iCs/>
                <w:snapToGrid w:val="0"/>
                <w:szCs w:val="19"/>
              </w:rPr>
              <w:t xml:space="preserve"> s. 94</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24 of 2007</w:t>
            </w:r>
          </w:p>
        </w:tc>
        <w:tc>
          <w:tcPr>
            <w:tcW w:w="1136" w:type="dxa"/>
          </w:tcPr>
          <w:p>
            <w:pPr>
              <w:pStyle w:val="nTable"/>
              <w:spacing w:after="40"/>
              <w:rPr>
                <w:rFonts w:ascii="Times New Roman" w:hAnsi="Times New Roman"/>
                <w:szCs w:val="19"/>
              </w:rPr>
            </w:pPr>
            <w:r>
              <w:rPr>
                <w:rFonts w:ascii="Times New Roman" w:hAnsi="Times New Roman"/>
                <w:snapToGrid w:val="0"/>
                <w:szCs w:val="19"/>
              </w:rPr>
              <w:t>12 Oct 2007</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May 2013 (see s. 2(2) and </w:t>
            </w:r>
            <w:r>
              <w:rPr>
                <w:rFonts w:ascii="Times New Roman" w:hAnsi="Times New Roman"/>
                <w:i/>
                <w:snapToGrid w:val="0"/>
                <w:szCs w:val="19"/>
              </w:rPr>
              <w:t>Gazette</w:t>
            </w:r>
            <w:r>
              <w:rPr>
                <w:rFonts w:ascii="Times New Roman" w:hAnsi="Times New Roman"/>
                <w:snapToGrid w:val="0"/>
                <w:szCs w:val="19"/>
              </w:rPr>
              <w:t xml:space="preserve"> 5 Feb 2013 p. 823)</w:t>
            </w:r>
          </w:p>
        </w:tc>
      </w:tr>
      <w:tr>
        <w:trPr>
          <w:gridAfter w:val="1"/>
          <w:wAfter w:w="11" w:type="dxa"/>
        </w:trPr>
        <w:tc>
          <w:tcPr>
            <w:tcW w:w="2273" w:type="dxa"/>
          </w:tcPr>
          <w:p>
            <w:pPr>
              <w:pStyle w:val="nTable"/>
              <w:spacing w:after="40"/>
              <w:rPr>
                <w:rFonts w:ascii="Times New Roman" w:hAnsi="Times New Roman"/>
                <w:i/>
                <w:snapToGrid w:val="0"/>
                <w:szCs w:val="19"/>
              </w:rPr>
            </w:pPr>
            <w:r>
              <w:rPr>
                <w:rFonts w:ascii="Times New Roman" w:hAnsi="Times New Roman"/>
                <w:i/>
                <w:szCs w:val="19"/>
              </w:rPr>
              <w:t>Duties Legislation Amendment Act 2008</w:t>
            </w:r>
            <w:r>
              <w:rPr>
                <w:rFonts w:ascii="Times New Roman" w:hAnsi="Times New Roman"/>
                <w:iCs/>
                <w:szCs w:val="19"/>
              </w:rPr>
              <w:t xml:space="preserve"> Pt. 2 Div. 3</w:t>
            </w:r>
            <w:r>
              <w:rPr>
                <w:rFonts w:ascii="Times New Roman" w:hAnsi="Times New Roman"/>
                <w:iCs/>
                <w:szCs w:val="19"/>
                <w:vertAlign w:val="superscript"/>
              </w:rPr>
              <w:t> 8</w:t>
            </w:r>
          </w:p>
        </w:tc>
        <w:tc>
          <w:tcPr>
            <w:tcW w:w="1139" w:type="dxa"/>
          </w:tcPr>
          <w:p>
            <w:pPr>
              <w:pStyle w:val="nTable"/>
              <w:spacing w:after="40"/>
              <w:rPr>
                <w:rFonts w:ascii="Times New Roman" w:hAnsi="Times New Roman"/>
                <w:snapToGrid w:val="0"/>
                <w:szCs w:val="19"/>
              </w:rPr>
            </w:pPr>
            <w:r>
              <w:rPr>
                <w:rFonts w:ascii="Times New Roman" w:hAnsi="Times New Roman"/>
                <w:szCs w:val="19"/>
              </w:rPr>
              <w:t>12 of 2008</w:t>
            </w:r>
          </w:p>
        </w:tc>
        <w:tc>
          <w:tcPr>
            <w:tcW w:w="1136" w:type="dxa"/>
          </w:tcPr>
          <w:p>
            <w:pPr>
              <w:pStyle w:val="nTable"/>
              <w:spacing w:after="40"/>
              <w:rPr>
                <w:rFonts w:ascii="Times New Roman" w:hAnsi="Times New Roman"/>
                <w:snapToGrid w:val="0"/>
                <w:szCs w:val="19"/>
              </w:rPr>
            </w:pPr>
            <w:r>
              <w:rPr>
                <w:rFonts w:ascii="Times New Roman" w:hAnsi="Times New Roman"/>
                <w:szCs w:val="19"/>
              </w:rPr>
              <w:t>14 Apr 2008</w:t>
            </w:r>
          </w:p>
        </w:tc>
        <w:tc>
          <w:tcPr>
            <w:tcW w:w="2551" w:type="dxa"/>
          </w:tcPr>
          <w:p>
            <w:pPr>
              <w:pStyle w:val="nTable"/>
              <w:spacing w:after="40"/>
              <w:rPr>
                <w:rFonts w:ascii="Times New Roman" w:hAnsi="Times New Roman"/>
                <w:snapToGrid w:val="0"/>
                <w:szCs w:val="19"/>
              </w:rPr>
            </w:pPr>
            <w:r>
              <w:rPr>
                <w:rFonts w:ascii="Times New Roman" w:hAnsi="Times New Roman"/>
                <w:szCs w:val="19"/>
              </w:rPr>
              <w:t>1 Jul 2008 (see s. 2(d))</w:t>
            </w:r>
          </w:p>
        </w:tc>
      </w:tr>
      <w:tr>
        <w:trPr>
          <w:gridAfter w:val="1"/>
          <w:wAfter w:w="11" w:type="dxa"/>
        </w:trPr>
        <w:tc>
          <w:tcPr>
            <w:tcW w:w="2273" w:type="dxa"/>
          </w:tcPr>
          <w:p>
            <w:pPr>
              <w:pStyle w:val="nTable"/>
              <w:spacing w:after="40"/>
              <w:rPr>
                <w:rFonts w:ascii="Times New Roman" w:hAnsi="Times New Roman"/>
                <w:iCs/>
                <w:snapToGrid w:val="0"/>
                <w:szCs w:val="19"/>
              </w:rPr>
            </w:pPr>
            <w:r>
              <w:rPr>
                <w:rFonts w:ascii="Times New Roman" w:hAnsi="Times New Roman"/>
                <w:i/>
                <w:snapToGrid w:val="0"/>
                <w:szCs w:val="19"/>
              </w:rPr>
              <w:t>Revenue Laws Amendment Act (No. 2) 2008</w:t>
            </w:r>
            <w:r>
              <w:rPr>
                <w:rFonts w:ascii="Times New Roman" w:hAnsi="Times New Roman"/>
                <w:iCs/>
                <w:snapToGrid w:val="0"/>
                <w:szCs w:val="19"/>
              </w:rPr>
              <w:t xml:space="preserve"> Pt. 2 Div. 1 and 3 and Pt. 3</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31 of 2008</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27 Jun 2008</w:t>
            </w:r>
          </w:p>
        </w:tc>
        <w:tc>
          <w:tcPr>
            <w:tcW w:w="2551" w:type="dxa"/>
          </w:tcPr>
          <w:p>
            <w:pPr>
              <w:pStyle w:val="nTable"/>
              <w:spacing w:after="40"/>
              <w:ind w:right="-76"/>
              <w:rPr>
                <w:rFonts w:ascii="Times New Roman" w:hAnsi="Times New Roman"/>
                <w:szCs w:val="19"/>
              </w:rPr>
            </w:pPr>
            <w:r>
              <w:rPr>
                <w:rFonts w:ascii="Times New Roman" w:hAnsi="Times New Roman"/>
                <w:szCs w:val="19"/>
              </w:rPr>
              <w:t>Pt. 2 Div. 1 and Pt. 3 Div. 1 and 2: 28 Jun 2008 (see s. 2(b));</w:t>
            </w:r>
            <w:r>
              <w:rPr>
                <w:rFonts w:ascii="Times New Roman" w:hAnsi="Times New Roman"/>
                <w:szCs w:val="19"/>
              </w:rPr>
              <w:br/>
              <w:t>Pt. 2 Div. 3: 1 Jul 2008 (see s. 2(c)(ii));</w:t>
            </w:r>
            <w:r>
              <w:rPr>
                <w:rFonts w:ascii="Times New Roman" w:hAnsi="Times New Roman"/>
                <w:szCs w:val="19"/>
              </w:rPr>
              <w:br/>
              <w:t xml:space="preserve">Pt. 3 Div. 3: 11 Oct 2008 (see s. 2(d) and </w:t>
            </w:r>
            <w:r>
              <w:rPr>
                <w:rFonts w:ascii="Times New Roman" w:hAnsi="Times New Roman"/>
                <w:i/>
                <w:iCs/>
                <w:szCs w:val="19"/>
              </w:rPr>
              <w:t>Gazette</w:t>
            </w:r>
            <w:r>
              <w:rPr>
                <w:rFonts w:ascii="Times New Roman" w:hAnsi="Times New Roman"/>
                <w:szCs w:val="19"/>
              </w:rPr>
              <w:t xml:space="preserve"> 10 Oct 2008 p. 4539)</w:t>
            </w:r>
          </w:p>
        </w:tc>
      </w:tr>
      <w:tr>
        <w:trPr>
          <w:gridAfter w:val="1"/>
          <w:wAfter w:w="11" w:type="dxa"/>
          <w:cantSplit/>
        </w:trPr>
        <w:tc>
          <w:tcPr>
            <w:tcW w:w="7099" w:type="dxa"/>
            <w:gridSpan w:val="4"/>
          </w:tcPr>
          <w:p>
            <w:pPr>
              <w:pStyle w:val="nTable"/>
              <w:spacing w:after="40"/>
              <w:rPr>
                <w:rFonts w:ascii="Times New Roman" w:hAnsi="Times New Roman"/>
                <w:szCs w:val="19"/>
              </w:rPr>
            </w:pPr>
            <w:r>
              <w:rPr>
                <w:rFonts w:ascii="Times New Roman" w:hAnsi="Times New Roman"/>
                <w:b/>
                <w:bCs/>
                <w:szCs w:val="19"/>
              </w:rPr>
              <w:t xml:space="preserve">Reprint 3:  The </w:t>
            </w:r>
            <w:r>
              <w:rPr>
                <w:rFonts w:ascii="Times New Roman" w:hAnsi="Times New Roman"/>
                <w:b/>
                <w:bCs/>
                <w:i/>
                <w:snapToGrid w:val="0"/>
                <w:szCs w:val="19"/>
              </w:rPr>
              <w:t xml:space="preserve">Taxation Administration Act 2003 </w:t>
            </w:r>
            <w:r>
              <w:rPr>
                <w:rFonts w:ascii="Times New Roman" w:hAnsi="Times New Roman"/>
                <w:b/>
                <w:bCs/>
                <w:szCs w:val="19"/>
              </w:rPr>
              <w:t>as at 22 Aug 2008</w:t>
            </w:r>
            <w:r>
              <w:rPr>
                <w:rFonts w:ascii="Times New Roman" w:hAnsi="Times New Roman"/>
                <w:szCs w:val="19"/>
              </w:rPr>
              <w:t xml:space="preserve"> (includes amendments listed above except those in the </w:t>
            </w:r>
            <w:r>
              <w:rPr>
                <w:rFonts w:ascii="Times New Roman" w:hAnsi="Times New Roman"/>
                <w:i/>
                <w:snapToGrid w:val="0"/>
                <w:szCs w:val="19"/>
              </w:rPr>
              <w:t>Biosecurity and Agriculture Management (Repeal and Consequential Provisions) Act 2007</w:t>
            </w:r>
            <w:r>
              <w:rPr>
                <w:rFonts w:ascii="Times New Roman" w:hAnsi="Times New Roman"/>
                <w:iCs/>
                <w:snapToGrid w:val="0"/>
                <w:szCs w:val="19"/>
              </w:rPr>
              <w:t xml:space="preserve"> and the</w:t>
            </w:r>
            <w:r>
              <w:rPr>
                <w:rFonts w:ascii="Times New Roman" w:hAnsi="Times New Roman"/>
                <w:szCs w:val="19"/>
              </w:rPr>
              <w:t xml:space="preserve"> </w:t>
            </w:r>
            <w:r>
              <w:rPr>
                <w:rFonts w:ascii="Times New Roman" w:hAnsi="Times New Roman"/>
                <w:i/>
                <w:iCs/>
                <w:szCs w:val="19"/>
              </w:rPr>
              <w:t>Revenue Laws Amendment Act (No. 2) 2008</w:t>
            </w:r>
            <w:r>
              <w:rPr>
                <w:rFonts w:ascii="Times New Roman" w:hAnsi="Times New Roman"/>
                <w:szCs w:val="19"/>
              </w:rPr>
              <w:t xml:space="preserve"> Pt. 3 Div. 3)</w:t>
            </w:r>
          </w:p>
        </w:tc>
      </w:tr>
      <w:tr>
        <w:trPr>
          <w:gridAfter w:val="1"/>
          <w:wAfter w:w="11" w:type="dxa"/>
        </w:trPr>
        <w:tc>
          <w:tcPr>
            <w:tcW w:w="2273" w:type="dxa"/>
          </w:tcPr>
          <w:p>
            <w:pPr>
              <w:pStyle w:val="nTable"/>
              <w:spacing w:after="40"/>
              <w:rPr>
                <w:rFonts w:ascii="Times New Roman" w:hAnsi="Times New Roman"/>
                <w:iCs/>
                <w:snapToGrid w:val="0"/>
                <w:szCs w:val="19"/>
              </w:rPr>
            </w:pPr>
            <w:r>
              <w:rPr>
                <w:rFonts w:ascii="Times New Roman" w:hAnsi="Times New Roman"/>
                <w:i/>
                <w:snapToGrid w:val="0"/>
                <w:szCs w:val="19"/>
              </w:rPr>
              <w:t>Revenue Laws Amendment and Repeal Act 2010</w:t>
            </w:r>
            <w:r>
              <w:rPr>
                <w:rFonts w:ascii="Times New Roman" w:hAnsi="Times New Roman"/>
                <w:iCs/>
                <w:snapToGrid w:val="0"/>
                <w:szCs w:val="19"/>
              </w:rPr>
              <w:t xml:space="preserve"> Pt. 5 and s. 30</w:t>
            </w:r>
          </w:p>
        </w:tc>
        <w:tc>
          <w:tcPr>
            <w:tcW w:w="1139" w:type="dxa"/>
          </w:tcPr>
          <w:p>
            <w:pPr>
              <w:pStyle w:val="nTable"/>
              <w:keepNext/>
              <w:keepLines/>
              <w:spacing w:after="40"/>
              <w:rPr>
                <w:rFonts w:ascii="Times New Roman" w:hAnsi="Times New Roman"/>
                <w:snapToGrid w:val="0"/>
                <w:szCs w:val="19"/>
              </w:rPr>
            </w:pPr>
            <w:r>
              <w:rPr>
                <w:rFonts w:ascii="Times New Roman" w:hAnsi="Times New Roman"/>
                <w:snapToGrid w:val="0"/>
                <w:szCs w:val="19"/>
              </w:rPr>
              <w:t>17 of 2010</w:t>
            </w:r>
          </w:p>
        </w:tc>
        <w:tc>
          <w:tcPr>
            <w:tcW w:w="1136" w:type="dxa"/>
          </w:tcPr>
          <w:p>
            <w:pPr>
              <w:pStyle w:val="nTable"/>
              <w:keepNext/>
              <w:keepLines/>
              <w:spacing w:after="40"/>
              <w:rPr>
                <w:rFonts w:ascii="Times New Roman" w:hAnsi="Times New Roman"/>
                <w:snapToGrid w:val="0"/>
                <w:szCs w:val="19"/>
              </w:rPr>
            </w:pPr>
            <w:r>
              <w:rPr>
                <w:rFonts w:ascii="Times New Roman" w:hAnsi="Times New Roman"/>
                <w:snapToGrid w:val="0"/>
                <w:szCs w:val="19"/>
              </w:rPr>
              <w:t>25 Jun 2010</w:t>
            </w:r>
          </w:p>
        </w:tc>
        <w:tc>
          <w:tcPr>
            <w:tcW w:w="2551" w:type="dxa"/>
          </w:tcPr>
          <w:p>
            <w:pPr>
              <w:pStyle w:val="nTable"/>
              <w:keepNext/>
              <w:keepLines/>
              <w:spacing w:after="40"/>
              <w:ind w:right="-76"/>
              <w:rPr>
                <w:rFonts w:ascii="Times New Roman" w:hAnsi="Times New Roman"/>
                <w:szCs w:val="19"/>
              </w:rPr>
            </w:pPr>
            <w:r>
              <w:rPr>
                <w:rFonts w:ascii="Times New Roman" w:hAnsi="Times New Roman"/>
                <w:szCs w:val="19"/>
              </w:rPr>
              <w:t>26 Jun 2010 (see s. 2(b))</w:t>
            </w:r>
          </w:p>
        </w:tc>
      </w:tr>
      <w:tr>
        <w:trPr>
          <w:gridAfter w:val="1"/>
          <w:wAfter w:w="11" w:type="dxa"/>
          <w:cantSplit/>
        </w:trPr>
        <w:tc>
          <w:tcPr>
            <w:tcW w:w="2273" w:type="dxa"/>
          </w:tcPr>
          <w:p>
            <w:pPr>
              <w:pStyle w:val="nTable"/>
              <w:spacing w:after="40"/>
              <w:ind w:right="113"/>
              <w:rPr>
                <w:rFonts w:ascii="Times New Roman" w:hAnsi="Times New Roman"/>
                <w:iCs/>
                <w:snapToGrid w:val="0"/>
                <w:szCs w:val="19"/>
              </w:rPr>
            </w:pPr>
            <w:r>
              <w:rPr>
                <w:rFonts w:ascii="Times New Roman" w:hAnsi="Times New Roman"/>
                <w:i/>
                <w:snapToGrid w:val="0"/>
                <w:szCs w:val="19"/>
              </w:rPr>
              <w:t>Standardisation of Formatting Act 2010</w:t>
            </w:r>
            <w:r>
              <w:rPr>
                <w:rFonts w:ascii="Times New Roman" w:hAnsi="Times New Roman"/>
                <w:iCs/>
                <w:snapToGrid w:val="0"/>
                <w:szCs w:val="19"/>
              </w:rPr>
              <w:t xml:space="preserve"> s. 51</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19 of 2010</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28 Jun 2010</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11 Sep 2010 (see s. 2(b) and </w:t>
            </w:r>
            <w:r>
              <w:rPr>
                <w:rFonts w:ascii="Times New Roman" w:hAnsi="Times New Roman"/>
                <w:i/>
                <w:iCs/>
                <w:snapToGrid w:val="0"/>
                <w:szCs w:val="19"/>
              </w:rPr>
              <w:t>Gazette</w:t>
            </w:r>
            <w:r>
              <w:rPr>
                <w:rFonts w:ascii="Times New Roman" w:hAnsi="Times New Roman"/>
                <w:snapToGrid w:val="0"/>
                <w:szCs w:val="19"/>
              </w:rPr>
              <w:t xml:space="preserve"> 10 Sep 2010 p. 4341)</w:t>
            </w:r>
          </w:p>
        </w:tc>
      </w:tr>
      <w:tr>
        <w:trPr>
          <w:gridAfter w:val="1"/>
          <w:wAfter w:w="11" w:type="dxa"/>
          <w:cantSplit/>
        </w:trPr>
        <w:tc>
          <w:tcPr>
            <w:tcW w:w="7099" w:type="dxa"/>
            <w:gridSpan w:val="4"/>
          </w:tcPr>
          <w:p>
            <w:pPr>
              <w:pStyle w:val="nTable"/>
              <w:spacing w:after="40"/>
              <w:rPr>
                <w:rFonts w:ascii="Times New Roman" w:hAnsi="Times New Roman"/>
                <w:snapToGrid w:val="0"/>
                <w:szCs w:val="19"/>
              </w:rPr>
            </w:pPr>
            <w:r>
              <w:rPr>
                <w:rFonts w:ascii="Times New Roman" w:hAnsi="Times New Roman"/>
                <w:b/>
                <w:bCs/>
                <w:szCs w:val="19"/>
              </w:rPr>
              <w:t xml:space="preserve">Reprint 4:  The </w:t>
            </w:r>
            <w:r>
              <w:rPr>
                <w:rFonts w:ascii="Times New Roman" w:hAnsi="Times New Roman"/>
                <w:b/>
                <w:bCs/>
                <w:i/>
                <w:snapToGrid w:val="0"/>
                <w:szCs w:val="19"/>
              </w:rPr>
              <w:t xml:space="preserve">Taxation Administration Act 2003 </w:t>
            </w:r>
            <w:r>
              <w:rPr>
                <w:rFonts w:ascii="Times New Roman" w:hAnsi="Times New Roman"/>
                <w:b/>
                <w:bCs/>
                <w:szCs w:val="19"/>
              </w:rPr>
              <w:t>as at 3 Dec 2010</w:t>
            </w:r>
            <w:r>
              <w:rPr>
                <w:rFonts w:ascii="Times New Roman" w:hAnsi="Times New Roman"/>
                <w:szCs w:val="19"/>
              </w:rPr>
              <w:t xml:space="preserve"> (includes amendments listed above except those in the </w:t>
            </w:r>
            <w:r>
              <w:rPr>
                <w:rFonts w:ascii="Times New Roman" w:hAnsi="Times New Roman"/>
                <w:i/>
                <w:snapToGrid w:val="0"/>
                <w:szCs w:val="19"/>
              </w:rPr>
              <w:t>Biosecurity and Agriculture Management (Repeal and Consequential Provisions) Act 2007</w:t>
            </w:r>
            <w:r>
              <w:rPr>
                <w:rFonts w:ascii="Times New Roman" w:hAnsi="Times New Roman"/>
                <w:szCs w:val="19"/>
              </w:rPr>
              <w:t>)</w:t>
            </w:r>
          </w:p>
        </w:tc>
      </w:tr>
      <w:tr>
        <w:trPr>
          <w:gridAfter w:val="1"/>
          <w:wAfter w:w="11" w:type="dxa"/>
          <w:cantSplit/>
        </w:trPr>
        <w:tc>
          <w:tcPr>
            <w:tcW w:w="2273" w:type="dxa"/>
          </w:tcPr>
          <w:p>
            <w:pPr>
              <w:pStyle w:val="nTable"/>
              <w:spacing w:after="40"/>
              <w:ind w:right="113"/>
              <w:rPr>
                <w:rFonts w:ascii="Times New Roman" w:hAnsi="Times New Roman"/>
                <w:i/>
                <w:snapToGrid w:val="0"/>
                <w:szCs w:val="19"/>
              </w:rPr>
            </w:pPr>
            <w:r>
              <w:rPr>
                <w:rFonts w:ascii="Times New Roman" w:hAnsi="Times New Roman"/>
                <w:i/>
                <w:snapToGrid w:val="0"/>
                <w:szCs w:val="19"/>
              </w:rPr>
              <w:t xml:space="preserve">Road Traffic Legislation Amendment Act 2012 </w:t>
            </w:r>
            <w:r>
              <w:rPr>
                <w:rFonts w:ascii="Times New Roman" w:hAnsi="Times New Roman"/>
                <w:snapToGrid w:val="0"/>
                <w:szCs w:val="19"/>
              </w:rPr>
              <w:t>Pt. 4 Div. 48</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8 of 2012</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21 May 2012</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27 Apr 2015 (see s. 2(d) and </w:t>
            </w:r>
            <w:r>
              <w:rPr>
                <w:rFonts w:ascii="Times New Roman" w:hAnsi="Times New Roman"/>
                <w:i/>
                <w:snapToGrid w:val="0"/>
                <w:szCs w:val="19"/>
              </w:rPr>
              <w:t>Gazette</w:t>
            </w:r>
            <w:r>
              <w:rPr>
                <w:rFonts w:ascii="Times New Roman" w:hAnsi="Times New Roman"/>
                <w:snapToGrid w:val="0"/>
                <w:szCs w:val="19"/>
              </w:rPr>
              <w:t xml:space="preserve"> 17 Apr 2015 p. 1371) </w:t>
            </w:r>
          </w:p>
        </w:tc>
      </w:tr>
      <w:tr>
        <w:trPr>
          <w:gridAfter w:val="1"/>
          <w:wAfter w:w="11" w:type="dxa"/>
          <w:cantSplit/>
        </w:trPr>
        <w:tc>
          <w:tcPr>
            <w:tcW w:w="2273" w:type="dxa"/>
          </w:tcPr>
          <w:p>
            <w:pPr>
              <w:pStyle w:val="nTable"/>
              <w:spacing w:after="40"/>
              <w:ind w:right="113"/>
              <w:rPr>
                <w:rFonts w:ascii="Times New Roman" w:hAnsi="Times New Roman"/>
                <w:iCs/>
                <w:snapToGrid w:val="0"/>
                <w:szCs w:val="19"/>
              </w:rPr>
            </w:pPr>
            <w:r>
              <w:rPr>
                <w:rFonts w:ascii="Times New Roman" w:hAnsi="Times New Roman"/>
                <w:i/>
                <w:snapToGrid w:val="0"/>
                <w:szCs w:val="19"/>
              </w:rPr>
              <w:t>Revenue Laws Amendment Act 2012</w:t>
            </w:r>
            <w:r>
              <w:rPr>
                <w:rFonts w:ascii="Times New Roman" w:hAnsi="Times New Roman"/>
                <w:snapToGrid w:val="0"/>
                <w:szCs w:val="19"/>
              </w:rPr>
              <w:t xml:space="preserve"> Pt. 8</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29 of 2012</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3 Sep 2012</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Heading to Pt. 8, s. 40 and 42(4): 1 Jul 2009 (see s. 2(d));</w:t>
            </w:r>
            <w:r>
              <w:rPr>
                <w:rFonts w:ascii="Times New Roman" w:hAnsi="Times New Roman"/>
                <w:snapToGrid w:val="0"/>
                <w:szCs w:val="19"/>
              </w:rPr>
              <w:br/>
              <w:t>s. 41, 42(1)-(3), 43 and 44: 4 Sep 2012 (see s. 2(e))</w:t>
            </w:r>
          </w:p>
        </w:tc>
      </w:tr>
      <w:tr>
        <w:trPr>
          <w:gridAfter w:val="1"/>
          <w:wAfter w:w="11" w:type="dxa"/>
          <w:cantSplit/>
        </w:trPr>
        <w:tc>
          <w:tcPr>
            <w:tcW w:w="2273" w:type="dxa"/>
          </w:tcPr>
          <w:p>
            <w:pPr>
              <w:pStyle w:val="nTable"/>
              <w:spacing w:after="40"/>
              <w:ind w:right="113"/>
              <w:rPr>
                <w:rFonts w:ascii="Times New Roman" w:hAnsi="Times New Roman"/>
                <w:snapToGrid w:val="0"/>
                <w:szCs w:val="19"/>
              </w:rPr>
            </w:pPr>
            <w:r>
              <w:rPr>
                <w:rFonts w:ascii="Times New Roman" w:hAnsi="Times New Roman"/>
                <w:i/>
                <w:snapToGrid w:val="0"/>
                <w:szCs w:val="19"/>
              </w:rPr>
              <w:t>Revenue Laws Amendment Act 2013</w:t>
            </w:r>
            <w:r>
              <w:rPr>
                <w:rFonts w:ascii="Times New Roman" w:hAnsi="Times New Roman"/>
                <w:snapToGrid w:val="0"/>
                <w:szCs w:val="19"/>
              </w:rPr>
              <w:t xml:space="preserve"> Pt. 2 Div. 2 and Pt. 3</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10 of 2013</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24 Sep 2013</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25 Sep 2013 (see s. 2(b))</w:t>
            </w:r>
          </w:p>
        </w:tc>
      </w:tr>
      <w:tr>
        <w:trPr>
          <w:gridAfter w:val="1"/>
          <w:wAfter w:w="11" w:type="dxa"/>
          <w:cantSplit/>
        </w:trPr>
        <w:tc>
          <w:tcPr>
            <w:tcW w:w="2273" w:type="dxa"/>
            <w:shd w:val="clear" w:color="auto" w:fill="auto"/>
          </w:tcPr>
          <w:p>
            <w:pPr>
              <w:pStyle w:val="nTable"/>
              <w:spacing w:after="40"/>
              <w:ind w:right="113"/>
              <w:rPr>
                <w:rFonts w:ascii="Times New Roman" w:hAnsi="Times New Roman"/>
                <w:i/>
                <w:snapToGrid w:val="0"/>
                <w:szCs w:val="19"/>
              </w:rPr>
            </w:pPr>
            <w:r>
              <w:rPr>
                <w:rFonts w:ascii="Times New Roman" w:hAnsi="Times New Roman"/>
                <w:i/>
                <w:snapToGrid w:val="0"/>
                <w:szCs w:val="19"/>
              </w:rPr>
              <w:t xml:space="preserve">Electronic Conveyancing Act 2014 </w:t>
            </w:r>
            <w:r>
              <w:rPr>
                <w:rFonts w:ascii="Times New Roman" w:hAnsi="Times New Roman"/>
                <w:snapToGrid w:val="0"/>
                <w:szCs w:val="19"/>
              </w:rPr>
              <w:t>Pt. 8 </w:t>
            </w:r>
          </w:p>
        </w:tc>
        <w:tc>
          <w:tcPr>
            <w:tcW w:w="1139"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 of 2014</w:t>
            </w:r>
          </w:p>
        </w:tc>
        <w:tc>
          <w:tcPr>
            <w:tcW w:w="1136"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24 Mar 2014</w:t>
            </w:r>
          </w:p>
        </w:tc>
        <w:tc>
          <w:tcPr>
            <w:tcW w:w="2551"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 xml:space="preserve">3 Jun 2014 (see s. 2(c) and </w:t>
            </w:r>
            <w:r>
              <w:rPr>
                <w:rFonts w:ascii="Times New Roman" w:hAnsi="Times New Roman"/>
                <w:i/>
                <w:snapToGrid w:val="0"/>
                <w:szCs w:val="19"/>
              </w:rPr>
              <w:t xml:space="preserve">Gazette </w:t>
            </w:r>
            <w:r>
              <w:rPr>
                <w:rFonts w:ascii="Times New Roman" w:hAnsi="Times New Roman"/>
                <w:snapToGrid w:val="0"/>
                <w:szCs w:val="19"/>
              </w:rPr>
              <w:t>30 May 2014 p. 1679)</w:t>
            </w:r>
          </w:p>
        </w:tc>
      </w:tr>
      <w:tr>
        <w:tblPrEx>
          <w:tblBorders>
            <w:top w:val="single" w:sz="8" w:space="0" w:color="auto"/>
            <w:bottom w:val="single" w:sz="8" w:space="0" w:color="auto"/>
            <w:insideH w:val="single" w:sz="8" w:space="0" w:color="auto"/>
          </w:tblBorders>
        </w:tblPrEx>
        <w:trPr>
          <w:gridAfter w:val="1"/>
          <w:wAfter w:w="11" w:type="dxa"/>
          <w:cantSplit/>
        </w:trPr>
        <w:tc>
          <w:tcPr>
            <w:tcW w:w="2273" w:type="dxa"/>
            <w:tcBorders>
              <w:top w:val="nil"/>
              <w:bottom w:val="nil"/>
              <w:right w:val="nil"/>
            </w:tcBorders>
            <w:shd w:val="clear" w:color="auto" w:fill="auto"/>
          </w:tcPr>
          <w:p>
            <w:pPr>
              <w:pStyle w:val="nTable"/>
              <w:spacing w:after="40"/>
              <w:rPr>
                <w:rFonts w:ascii="Times New Roman" w:hAnsi="Times New Roman"/>
                <w:szCs w:val="19"/>
              </w:rPr>
            </w:pPr>
            <w:r>
              <w:rPr>
                <w:rFonts w:ascii="Times New Roman" w:hAnsi="Times New Roman"/>
                <w:i/>
                <w:szCs w:val="19"/>
              </w:rPr>
              <w:t>Taxation Legislation Amendment Act (No. 2) 2015</w:t>
            </w:r>
            <w:r>
              <w:rPr>
                <w:rFonts w:ascii="Times New Roman" w:hAnsi="Times New Roman"/>
                <w:szCs w:val="19"/>
              </w:rPr>
              <w:t xml:space="preserve"> Pt. 5</w:t>
            </w:r>
          </w:p>
        </w:tc>
        <w:tc>
          <w:tcPr>
            <w:tcW w:w="1139" w:type="dxa"/>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 xml:space="preserve">8 of 2015 </w:t>
            </w:r>
          </w:p>
        </w:tc>
        <w:tc>
          <w:tcPr>
            <w:tcW w:w="1136" w:type="dxa"/>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9 Mar 2015</w:t>
            </w:r>
          </w:p>
        </w:tc>
        <w:tc>
          <w:tcPr>
            <w:tcW w:w="2551" w:type="dxa"/>
            <w:tcBorders>
              <w:top w:val="nil"/>
              <w:left w:val="nil"/>
              <w:bottom w:val="nil"/>
            </w:tcBorders>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10 Mar 2015 (see s. 2(b))</w:t>
            </w:r>
          </w:p>
        </w:tc>
      </w:tr>
      <w:tr>
        <w:tblPrEx>
          <w:tblBorders>
            <w:top w:val="single" w:sz="8" w:space="0" w:color="auto"/>
            <w:bottom w:val="single" w:sz="8" w:space="0" w:color="auto"/>
            <w:insideH w:val="single" w:sz="8" w:space="0" w:color="auto"/>
          </w:tblBorders>
        </w:tblPrEx>
        <w:trPr>
          <w:gridAfter w:val="1"/>
          <w:wAfter w:w="11" w:type="dxa"/>
          <w:cantSplit/>
        </w:trPr>
        <w:tc>
          <w:tcPr>
            <w:tcW w:w="2273" w:type="dxa"/>
            <w:tcBorders>
              <w:top w:val="nil"/>
              <w:bottom w:val="nil"/>
              <w:right w:val="nil"/>
            </w:tcBorders>
            <w:shd w:val="clear" w:color="auto" w:fill="auto"/>
          </w:tcPr>
          <w:p>
            <w:pPr>
              <w:pStyle w:val="nTable"/>
              <w:spacing w:after="40"/>
              <w:rPr>
                <w:rFonts w:ascii="Times New Roman" w:hAnsi="Times New Roman"/>
                <w:i/>
                <w:szCs w:val="19"/>
              </w:rPr>
            </w:pPr>
            <w:r>
              <w:rPr>
                <w:rFonts w:ascii="Times New Roman" w:hAnsi="Times New Roman"/>
                <w:i/>
                <w:noProof/>
                <w:szCs w:val="19"/>
              </w:rPr>
              <w:t xml:space="preserve">Associations Incorporation Act 2015 </w:t>
            </w:r>
            <w:r>
              <w:rPr>
                <w:rFonts w:ascii="Times New Roman" w:hAnsi="Times New Roman"/>
                <w:noProof/>
                <w:szCs w:val="19"/>
              </w:rPr>
              <w:t>s. 229</w:t>
            </w:r>
          </w:p>
        </w:tc>
        <w:tc>
          <w:tcPr>
            <w:tcW w:w="1139" w:type="dxa"/>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30 of 2015</w:t>
            </w:r>
          </w:p>
        </w:tc>
        <w:tc>
          <w:tcPr>
            <w:tcW w:w="1136" w:type="dxa"/>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2 Nov 2015</w:t>
            </w:r>
          </w:p>
        </w:tc>
        <w:tc>
          <w:tcPr>
            <w:tcW w:w="2551" w:type="dxa"/>
            <w:tcBorders>
              <w:top w:val="nil"/>
              <w:left w:val="nil"/>
              <w:bottom w:val="nil"/>
            </w:tcBorders>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 xml:space="preserve">1 Jul 2016 (see s. 2(b) and </w:t>
            </w:r>
            <w:r>
              <w:rPr>
                <w:rFonts w:ascii="Times New Roman" w:hAnsi="Times New Roman"/>
                <w:i/>
                <w:snapToGrid w:val="0"/>
                <w:szCs w:val="19"/>
              </w:rPr>
              <w:t>Gazette</w:t>
            </w:r>
            <w:r>
              <w:rPr>
                <w:rFonts w:ascii="Times New Roman" w:hAnsi="Times New Roman"/>
                <w:snapToGrid w:val="0"/>
                <w:szCs w:val="19"/>
              </w:rPr>
              <w:t xml:space="preserve"> 24 Jun 2016 p. 2291-2)</w:t>
            </w:r>
          </w:p>
        </w:tc>
      </w:tr>
      <w:tr>
        <w:tblPrEx>
          <w:tblBorders>
            <w:top w:val="single" w:sz="8" w:space="0" w:color="auto"/>
            <w:bottom w:val="single" w:sz="8" w:space="0" w:color="auto"/>
            <w:insideH w:val="single" w:sz="8" w:space="0" w:color="auto"/>
          </w:tblBorders>
        </w:tblPrEx>
        <w:trPr>
          <w:gridAfter w:val="1"/>
          <w:wAfter w:w="11" w:type="dxa"/>
          <w:cantSplit/>
        </w:trPr>
        <w:tc>
          <w:tcPr>
            <w:tcW w:w="7099" w:type="dxa"/>
            <w:gridSpan w:val="4"/>
            <w:tcBorders>
              <w:top w:val="nil"/>
              <w:bottom w:val="single" w:sz="8" w:space="0" w:color="auto"/>
            </w:tcBorders>
            <w:shd w:val="clear" w:color="auto" w:fill="auto"/>
          </w:tcPr>
          <w:p>
            <w:pPr>
              <w:pStyle w:val="nTable"/>
              <w:spacing w:after="40"/>
              <w:rPr>
                <w:rFonts w:ascii="Times New Roman" w:hAnsi="Times New Roman"/>
                <w:snapToGrid w:val="0"/>
                <w:szCs w:val="19"/>
              </w:rPr>
            </w:pPr>
            <w:r>
              <w:rPr>
                <w:rFonts w:ascii="Times New Roman" w:hAnsi="Times New Roman"/>
                <w:b/>
                <w:snapToGrid w:val="0"/>
                <w:szCs w:val="19"/>
              </w:rPr>
              <w:t xml:space="preserve">Reprint 5: The </w:t>
            </w:r>
            <w:r>
              <w:rPr>
                <w:rFonts w:ascii="Times New Roman" w:hAnsi="Times New Roman"/>
                <w:b/>
                <w:i/>
                <w:noProof/>
                <w:snapToGrid w:val="0"/>
                <w:szCs w:val="19"/>
              </w:rPr>
              <w:t>Taxation Administration Act 2003</w:t>
            </w:r>
            <w:r>
              <w:rPr>
                <w:rFonts w:ascii="Times New Roman" w:hAnsi="Times New Roman"/>
                <w:b/>
                <w:snapToGrid w:val="0"/>
                <w:szCs w:val="19"/>
              </w:rPr>
              <w:t xml:space="preserve"> as at 22 Apr 2016</w:t>
            </w:r>
            <w:r>
              <w:rPr>
                <w:rFonts w:ascii="Times New Roman" w:hAnsi="Times New Roman"/>
                <w:snapToGrid w:val="0"/>
                <w:szCs w:val="19"/>
              </w:rPr>
              <w:t xml:space="preserve"> (includes amendments listed above except those in the </w:t>
            </w:r>
            <w:r>
              <w:rPr>
                <w:rFonts w:ascii="Times New Roman" w:hAnsi="Times New Roman"/>
                <w:i/>
                <w:snapToGrid w:val="0"/>
                <w:szCs w:val="19"/>
              </w:rPr>
              <w:t>Associations Incorporation Act 2015</w:t>
            </w:r>
            <w:r>
              <w:rPr>
                <w:rFonts w:ascii="Times New Roman" w:hAnsi="Times New Roman"/>
                <w:snapToGrid w:val="0"/>
                <w:szCs w:val="19"/>
              </w:rPr>
              <w:t>)</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2" w:name="_Toc525286585"/>
      <w:bookmarkStart w:id="333" w:name="_Toc532473000"/>
      <w:r>
        <w:t>Provisions that have not come into operation</w:t>
      </w:r>
      <w:bookmarkEnd w:id="332"/>
      <w:bookmarkEnd w:id="333"/>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blPrEx>
          <w:tblBorders>
            <w:top w:val="single" w:sz="8" w:space="0" w:color="auto"/>
            <w:bottom w:val="single" w:sz="8" w:space="0" w:color="auto"/>
            <w:insideH w:val="single" w:sz="8" w:space="0" w:color="auto"/>
          </w:tblBorders>
        </w:tblPrEx>
        <w:tc>
          <w:tcPr>
            <w:tcW w:w="2338" w:type="dxa"/>
            <w:tcBorders>
              <w:top w:val="nil"/>
              <w:bottom w:val="nil"/>
              <w:right w:val="nil"/>
            </w:tcBorders>
            <w:shd w:val="clear" w:color="auto" w:fill="auto"/>
          </w:tcPr>
          <w:p>
            <w:pPr>
              <w:pStyle w:val="nTable"/>
              <w:spacing w:after="40"/>
              <w:rPr>
                <w:snapToGrid w:val="0"/>
              </w:rPr>
            </w:pPr>
            <w:r>
              <w:rPr>
                <w:i/>
                <w:snapToGrid w:val="0"/>
              </w:rPr>
              <w:t>Transport (Road Passenger Services) Act 2018</w:t>
            </w:r>
            <w:r>
              <w:rPr>
                <w:snapToGrid w:val="0"/>
              </w:rPr>
              <w:t xml:space="preserve"> Pt. 14 Div. 2 Subdiv. 8</w:t>
            </w:r>
            <w:r>
              <w:rPr>
                <w:snapToGrid w:val="0"/>
                <w:vertAlign w:val="superscript"/>
              </w:rPr>
              <w:t> 10</w:t>
            </w:r>
          </w:p>
        </w:tc>
        <w:tc>
          <w:tcPr>
            <w:tcW w:w="1064" w:type="dxa"/>
            <w:tcBorders>
              <w:top w:val="nil"/>
              <w:left w:val="nil"/>
              <w:bottom w:val="nil"/>
              <w:right w:val="nil"/>
            </w:tcBorders>
            <w:shd w:val="clear" w:color="auto" w:fill="auto"/>
          </w:tcPr>
          <w:p>
            <w:pPr>
              <w:pStyle w:val="nTable"/>
              <w:spacing w:after="40"/>
            </w:pPr>
            <w:r>
              <w:t>26 of 2018</w:t>
            </w:r>
          </w:p>
        </w:tc>
        <w:tc>
          <w:tcPr>
            <w:tcW w:w="1134" w:type="dxa"/>
            <w:tcBorders>
              <w:top w:val="nil"/>
              <w:left w:val="nil"/>
              <w:bottom w:val="nil"/>
              <w:right w:val="nil"/>
            </w:tcBorders>
            <w:shd w:val="clear" w:color="auto" w:fill="auto"/>
          </w:tcPr>
          <w:p>
            <w:pPr>
              <w:pStyle w:val="nTable"/>
              <w:spacing w:after="40"/>
            </w:pPr>
            <w:r>
              <w:t>30 Oct 2018</w:t>
            </w:r>
          </w:p>
        </w:tc>
        <w:tc>
          <w:tcPr>
            <w:tcW w:w="2547" w:type="dxa"/>
            <w:tcBorders>
              <w:top w:val="nil"/>
              <w:left w:val="nil"/>
              <w:bottom w:val="nil"/>
            </w:tcBorders>
            <w:shd w:val="clear" w:color="auto" w:fill="auto"/>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right w:val="nil"/>
            </w:tcBorders>
            <w:shd w:val="clear" w:color="auto" w:fill="auto"/>
          </w:tcPr>
          <w:p>
            <w:pPr>
              <w:pStyle w:val="nTable"/>
              <w:spacing w:after="40"/>
              <w:rPr>
                <w:i/>
                <w:snapToGrid w:val="0"/>
              </w:rPr>
            </w:pPr>
            <w:r>
              <w:rPr>
                <w:i/>
              </w:rPr>
              <w:t>Betting Tax Assessment Act 2018</w:t>
            </w:r>
            <w:r>
              <w:t xml:space="preserve"> Pt. 8 Div. 1 Subdiv. 4</w:t>
            </w:r>
            <w:r>
              <w:rPr>
                <w:vertAlign w:val="superscript"/>
              </w:rPr>
              <w:t> 11</w:t>
            </w:r>
          </w:p>
        </w:tc>
        <w:tc>
          <w:tcPr>
            <w:tcW w:w="1064" w:type="dxa"/>
            <w:tcBorders>
              <w:top w:val="nil"/>
              <w:left w:val="nil"/>
              <w:bottom w:val="single" w:sz="4" w:space="0" w:color="auto"/>
              <w:right w:val="nil"/>
            </w:tcBorders>
            <w:shd w:val="clear" w:color="auto" w:fill="auto"/>
          </w:tcPr>
          <w:p>
            <w:pPr>
              <w:pStyle w:val="nTable"/>
              <w:spacing w:after="40"/>
            </w:pPr>
            <w:r>
              <w:t>37 of 2018</w:t>
            </w:r>
          </w:p>
        </w:tc>
        <w:tc>
          <w:tcPr>
            <w:tcW w:w="1134" w:type="dxa"/>
            <w:tcBorders>
              <w:top w:val="nil"/>
              <w:left w:val="nil"/>
              <w:bottom w:val="single" w:sz="4" w:space="0" w:color="auto"/>
              <w:right w:val="nil"/>
            </w:tcBorders>
            <w:shd w:val="clear" w:color="auto" w:fill="auto"/>
          </w:tcPr>
          <w:p>
            <w:pPr>
              <w:pStyle w:val="nTable"/>
              <w:spacing w:after="40"/>
            </w:pPr>
            <w:r>
              <w:t>12 Dec 2018</w:t>
            </w:r>
          </w:p>
        </w:tc>
        <w:tc>
          <w:tcPr>
            <w:tcW w:w="2547" w:type="dxa"/>
            <w:tcBorders>
              <w:top w:val="nil"/>
              <w:left w:val="nil"/>
              <w:bottom w:val="single" w:sz="4" w:space="0" w:color="auto"/>
            </w:tcBorders>
            <w:shd w:val="clear" w:color="auto" w:fill="auto"/>
          </w:tcPr>
          <w:p>
            <w:pPr>
              <w:pStyle w:val="nTable"/>
              <w:spacing w:after="40"/>
              <w:rPr>
                <w:snapToGrid w:val="0"/>
              </w:rPr>
            </w:pPr>
            <w:r>
              <w:t>1 Jan 2019 (see s. 2(c))</w:t>
            </w:r>
          </w:p>
        </w:tc>
      </w:tr>
    </w:tbl>
    <w:p>
      <w:pPr>
        <w:pStyle w:val="nSubsection"/>
        <w:keepNext/>
        <w:spacing w:before="120"/>
      </w:pPr>
      <w:r>
        <w:rPr>
          <w:vertAlign w:val="superscript"/>
        </w:rPr>
        <w:t>1M</w:t>
      </w:r>
      <w:r>
        <w:tab/>
        <w:t xml:space="preserve">Under the </w:t>
      </w:r>
      <w:r>
        <w:rPr>
          <w:i/>
        </w:rPr>
        <w:t>Commonwealth Places (Mirror Taxes Administration) Act 1999</w:t>
      </w:r>
      <w:r>
        <w:t xml:space="preserve"> s. 7 this Act is to be read and construed with any modifications referred to in subsection (1) of that section and with the modifications provided for in the </w:t>
      </w:r>
      <w:r>
        <w:rPr>
          <w:i/>
        </w:rPr>
        <w:t xml:space="preserve">Commonwealth Places (Mirror Taxes Administration) Regulations </w:t>
      </w:r>
      <w:r>
        <w:t>2007 r. 4 and Pt. 7 Div. 1. Part 7 Div. 1 of those regulations reads as follows:</w:t>
      </w:r>
    </w:p>
    <w:p>
      <w:pPr>
        <w:pStyle w:val="BlankOpen"/>
      </w:pP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keepNext w:val="0"/>
        <w:keepLines w:val="0"/>
        <w:spacing w:before="80"/>
      </w:pPr>
      <w:r>
        <w:t>47.</w:t>
      </w:r>
      <w:r>
        <w:tab/>
        <w:t>Sections 5A and 5B inserted</w:t>
      </w:r>
    </w:p>
    <w:p>
      <w:pPr>
        <w:pStyle w:val="nzSubsection"/>
      </w:pPr>
      <w:r>
        <w:tab/>
      </w:r>
      <w:r>
        <w:tab/>
        <w:t xml:space="preserve">After section 5 the following sections are inserted — </w:t>
      </w:r>
    </w:p>
    <w:p>
      <w:pPr>
        <w:pStyle w:val="MiscOpen"/>
        <w:ind w:left="567"/>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keepNext/>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keepNext/>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8"/>
      </w:pPr>
      <w:r>
        <w:t xml:space="preserve">    ”.</w:t>
      </w:r>
    </w:p>
    <w:p>
      <w:pPr>
        <w:pStyle w:val="nzHeading5"/>
        <w:keepNext w:val="0"/>
        <w:keepLines w:val="0"/>
        <w:spacing w:before="60"/>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spacing w:before="80"/>
        <w:ind w:left="879"/>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spacing w:before="60"/>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keepNext/>
        <w:keepLines/>
      </w:pPr>
      <w:r>
        <w:tab/>
        <w:t>(b)</w:t>
      </w:r>
      <w:r>
        <w:tab/>
        <w:t xml:space="preserve">in paragraph (a) by inserting after “the taxation Act” — </w:t>
      </w:r>
    </w:p>
    <w:p>
      <w:pPr>
        <w:pStyle w:val="nzMiscellaneousBody"/>
        <w:keepNext/>
        <w:keepLines/>
        <w:tabs>
          <w:tab w:val="left" w:pos="1418"/>
          <w:tab w:val="left" w:pos="2160"/>
        </w:tabs>
        <w:spacing w:before="40"/>
        <w:ind w:left="1985" w:hanging="1418"/>
      </w:pPr>
      <w:r>
        <w:tab/>
      </w:r>
      <w:r>
        <w:tab/>
      </w:r>
      <w:r>
        <w:tab/>
        <w:t>“    or the applied taxation Act    ”;</w:t>
      </w:r>
    </w:p>
    <w:p>
      <w:pPr>
        <w:pStyle w:val="nzIndenta"/>
        <w:keepNext/>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spacing w:before="60"/>
      </w:pPr>
      <w:r>
        <w:t>50.</w:t>
      </w:r>
      <w:r>
        <w:tab/>
        <w:t>Glossary modified</w:t>
      </w:r>
    </w:p>
    <w:p>
      <w:pPr>
        <w:pStyle w:val="nzSubsection"/>
      </w:pPr>
      <w:r>
        <w:tab/>
      </w:r>
      <w:r>
        <w:tab/>
        <w:t>The Glossary is modified by inserting in their appropriate alphabetical positions —</w:t>
      </w:r>
    </w:p>
    <w:p>
      <w:pPr>
        <w:pStyle w:val="MiscOpen"/>
        <w:keepNext w:val="0"/>
        <w:keepLines w:val="0"/>
        <w:spacing w:before="80"/>
        <w:ind w:left="879"/>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1MC</w:t>
      </w:r>
      <w:r>
        <w:tab/>
        <w:t xml:space="preserve">Under the </w:t>
      </w:r>
      <w:r>
        <w:rPr>
          <w:i/>
        </w:rPr>
        <w:t>Commonwealth Places (Mirror Taxes) Act 1998</w:t>
      </w:r>
      <w:r>
        <w:t xml:space="preserve"> (Cth) s. 8, modifications to this Act, in its application as a Commonwealth law in Commonwealth places in Western Australia, may be prescribed. Modifications to this Act are prescribed in the </w:t>
      </w:r>
      <w:r>
        <w:rPr>
          <w:i/>
        </w:rPr>
        <w:t xml:space="preserve">Commonwealth Places (Mirror Taxes) (Modification of Applied Laws (WA)) Notice 2007 </w:t>
      </w:r>
      <w:r>
        <w:t>(Cth) cl. 5 and Pt. 7 Div. 1. Part 7 Div. 1 of that notice reads as follows:</w:t>
      </w:r>
    </w:p>
    <w:p>
      <w:pPr>
        <w:pStyle w:val="BlankClose"/>
        <w:rPr>
          <w:strike/>
        </w:rPr>
      </w:pPr>
    </w:p>
    <w:p>
      <w:pPr>
        <w:pStyle w:val="nzHeading2"/>
        <w:spacing w:before="160"/>
      </w:pPr>
      <w:r>
        <w:rPr>
          <w:rStyle w:val="CharPartNo"/>
        </w:rPr>
        <w:t>Part 7</w:t>
      </w:r>
      <w:r>
        <w:t> — </w:t>
      </w:r>
      <w:r>
        <w:rPr>
          <w:rStyle w:val="CharPartText"/>
        </w:rPr>
        <w:t>Taxation administration</w:t>
      </w:r>
    </w:p>
    <w:p>
      <w:pPr>
        <w:pStyle w:val="nzHeading3"/>
        <w:spacing w:before="240"/>
      </w:pPr>
      <w:r>
        <w:rPr>
          <w:rStyle w:val="CharDivNo"/>
        </w:rPr>
        <w:t>Division 1</w:t>
      </w:r>
      <w:r>
        <w:t> — </w:t>
      </w:r>
      <w:r>
        <w:rPr>
          <w:rStyle w:val="CharDivText"/>
        </w:rPr>
        <w:t xml:space="preserve">The applied </w:t>
      </w:r>
      <w:r>
        <w:rPr>
          <w:rStyle w:val="CharDivText"/>
          <w:i/>
          <w:iCs/>
        </w:rPr>
        <w:t>Taxation Administration Act 2003</w:t>
      </w:r>
    </w:p>
    <w:p>
      <w:pPr>
        <w:pStyle w:val="nzHeading5"/>
        <w:spacing w:before="220"/>
      </w:pPr>
      <w:r>
        <w:rPr>
          <w:rStyle w:val="CharSectno"/>
        </w:rPr>
        <w:t>48</w:t>
      </w:r>
      <w:r>
        <w:t>.</w:t>
      </w:r>
      <w:r>
        <w:tab/>
        <w:t xml:space="preserve">Modification of the applied </w:t>
      </w:r>
      <w:r>
        <w:rPr>
          <w:i/>
          <w:iCs/>
        </w:rPr>
        <w:t>Taxation Administration Act 2003</w:t>
      </w:r>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spacing w:before="60"/>
        <w:ind w:left="1338"/>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keepNext/>
        <w:keepLines/>
      </w:pPr>
      <w:r>
        <w:tab/>
      </w:r>
      <w:r>
        <w:tab/>
        <w:t xml:space="preserve">After section 5 the following sections are inserted — </w:t>
      </w:r>
    </w:p>
    <w:p>
      <w:pPr>
        <w:pStyle w:val="MiscOpen"/>
        <w:spacing w:before="80"/>
        <w:ind w:left="567"/>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keepNext/>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ind w:left="567"/>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spacing w:before="160"/>
        <w:rPr>
          <w:snapToGrid w:val="0"/>
        </w:rPr>
      </w:pPr>
      <w:r>
        <w:rPr>
          <w:snapToGrid w:val="0"/>
          <w:vertAlign w:val="superscript"/>
        </w:rPr>
        <w:t>2</w:t>
      </w:r>
      <w:r>
        <w:rPr>
          <w:snapToGrid w:val="0"/>
        </w:rPr>
        <w:tab/>
        <w:t>R</w:t>
      </w:r>
      <w:r>
        <w:t xml:space="preserve">epealed by the </w:t>
      </w:r>
      <w:r>
        <w:rPr>
          <w:i/>
          <w:iCs/>
        </w:rPr>
        <w:t xml:space="preserve">Planning and Development (Consequential and Transitional Provisions) Act 2005 </w:t>
      </w:r>
      <w:r>
        <w:t>s. 4.</w:t>
      </w:r>
    </w:p>
    <w:p>
      <w:pPr>
        <w:pStyle w:val="nSubsection"/>
      </w:pPr>
      <w:r>
        <w:rPr>
          <w:vertAlign w:val="superscript"/>
        </w:rPr>
        <w:t>3</w:t>
      </w:r>
      <w:r>
        <w:tab/>
        <w:t xml:space="preserve">The </w:t>
      </w:r>
      <w:r>
        <w:rPr>
          <w:i/>
        </w:rPr>
        <w:t>Revenue Laws Amendment Act 2012</w:t>
      </w:r>
      <w:r>
        <w:t xml:space="preserve"> s. 42(4) was deemed to have come into operation on 1 Jul 2009, see s. 2(d) of that Act).</w:t>
      </w:r>
    </w:p>
    <w:p>
      <w:pPr>
        <w:pStyle w:val="nSubsection"/>
        <w:rPr>
          <w:snapToGrid w:val="0"/>
          <w:vertAlign w:val="superscript"/>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seeks to amend was deleted by the </w:t>
      </w:r>
      <w:r>
        <w:rPr>
          <w:i/>
          <w:snapToGrid w:val="0"/>
        </w:rPr>
        <w:t>Business Tax Review (Assessment) Act (No. 2) 2003</w:t>
      </w:r>
      <w:r>
        <w:rPr>
          <w:snapToGrid w:val="0"/>
        </w:rPr>
        <w:t xml:space="preserve"> s. 100.</w:t>
      </w:r>
    </w:p>
    <w:p>
      <w:pPr>
        <w:pStyle w:val="nSubsection"/>
        <w:rPr>
          <w:snapToGrid w:val="0"/>
        </w:rPr>
      </w:pPr>
      <w:r>
        <w:rPr>
          <w:snapToGrid w:val="0"/>
          <w:vertAlign w:val="superscript"/>
        </w:rPr>
        <w:t>5</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6</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8</w:t>
      </w:r>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9</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Pr>
        <w:pStyle w:val="nSubsection"/>
      </w:pPr>
      <w:r>
        <w:rPr>
          <w:vertAlign w:val="superscript"/>
        </w:rPr>
        <w:t>10</w:t>
      </w:r>
      <w:r>
        <w:tab/>
        <w:t xml:space="preserve">On the date as at which this compilation was prepared, the </w:t>
      </w:r>
      <w:r>
        <w:rPr>
          <w:i/>
        </w:rPr>
        <w:t>Transport (Road Passenger Services) Act 2018</w:t>
      </w:r>
      <w:r>
        <w:t xml:space="preserve"> Pt. 14 Div. 2 Subdiv. 8 had not come into operation. It reads as follows:</w:t>
      </w:r>
    </w:p>
    <w:p>
      <w:pPr>
        <w:pStyle w:val="BlankOpen"/>
      </w:pPr>
    </w:p>
    <w:p>
      <w:pPr>
        <w:pStyle w:val="nzHeading2"/>
      </w:pPr>
      <w:bookmarkStart w:id="334" w:name="_Toc522618304"/>
      <w:bookmarkStart w:id="335" w:name="_Toc522618742"/>
      <w:bookmarkStart w:id="336" w:name="_Toc522708578"/>
      <w:bookmarkStart w:id="337" w:name="_Toc525292154"/>
      <w:bookmarkStart w:id="338" w:name="_Toc527705435"/>
      <w:bookmarkStart w:id="339" w:name="_Toc527706503"/>
      <w:bookmarkStart w:id="340" w:name="_Toc527706941"/>
      <w:bookmarkStart w:id="341" w:name="_Toc528145702"/>
      <w:bookmarkStart w:id="342" w:name="_Toc528676301"/>
      <w:r>
        <w:rPr>
          <w:rStyle w:val="CharPartNo"/>
        </w:rPr>
        <w:t>Part 14</w:t>
      </w:r>
      <w:r>
        <w:t> — </w:t>
      </w:r>
      <w:r>
        <w:rPr>
          <w:rStyle w:val="CharPartText"/>
        </w:rPr>
        <w:t>Repeals and consequential amendments</w:t>
      </w:r>
      <w:bookmarkEnd w:id="334"/>
      <w:bookmarkEnd w:id="335"/>
      <w:bookmarkEnd w:id="336"/>
      <w:bookmarkEnd w:id="337"/>
      <w:bookmarkEnd w:id="338"/>
      <w:bookmarkEnd w:id="339"/>
      <w:bookmarkEnd w:id="340"/>
      <w:bookmarkEnd w:id="341"/>
      <w:bookmarkEnd w:id="342"/>
    </w:p>
    <w:p>
      <w:pPr>
        <w:pStyle w:val="nzHeading3"/>
      </w:pPr>
      <w:bookmarkStart w:id="343" w:name="_Toc522618309"/>
      <w:bookmarkStart w:id="344" w:name="_Toc522618747"/>
      <w:bookmarkStart w:id="345" w:name="_Toc522708583"/>
      <w:bookmarkStart w:id="346" w:name="_Toc525292159"/>
      <w:bookmarkStart w:id="347" w:name="_Toc527705440"/>
      <w:bookmarkStart w:id="348" w:name="_Toc527706508"/>
      <w:bookmarkStart w:id="349" w:name="_Toc527706946"/>
      <w:bookmarkStart w:id="350" w:name="_Toc528145707"/>
      <w:bookmarkStart w:id="351" w:name="_Toc528676306"/>
      <w:r>
        <w:rPr>
          <w:rStyle w:val="CharDivNo"/>
        </w:rPr>
        <w:t>Division 2</w:t>
      </w:r>
      <w:r>
        <w:t> — </w:t>
      </w:r>
      <w:r>
        <w:rPr>
          <w:rStyle w:val="CharDivText"/>
        </w:rPr>
        <w:t>Consequential amendments</w:t>
      </w:r>
      <w:bookmarkEnd w:id="343"/>
      <w:bookmarkEnd w:id="344"/>
      <w:bookmarkEnd w:id="345"/>
      <w:bookmarkEnd w:id="346"/>
      <w:bookmarkEnd w:id="347"/>
      <w:bookmarkEnd w:id="348"/>
      <w:bookmarkEnd w:id="349"/>
      <w:bookmarkEnd w:id="350"/>
      <w:bookmarkEnd w:id="351"/>
    </w:p>
    <w:p>
      <w:pPr>
        <w:pStyle w:val="nzHeading4"/>
      </w:pPr>
      <w:bookmarkStart w:id="352" w:name="_Toc522618341"/>
      <w:bookmarkStart w:id="353" w:name="_Toc522618779"/>
      <w:bookmarkStart w:id="354" w:name="_Toc522708615"/>
      <w:bookmarkStart w:id="355" w:name="_Toc525292191"/>
      <w:bookmarkStart w:id="356" w:name="_Toc527705472"/>
      <w:bookmarkStart w:id="357" w:name="_Toc527706540"/>
      <w:bookmarkStart w:id="358" w:name="_Toc527706978"/>
      <w:bookmarkStart w:id="359" w:name="_Toc528145739"/>
      <w:bookmarkStart w:id="360" w:name="_Toc528676338"/>
      <w:r>
        <w:t>Subdivision 8 — </w:t>
      </w:r>
      <w:r>
        <w:rPr>
          <w:i/>
        </w:rPr>
        <w:t>Taxation Administration Act 2003</w:t>
      </w:r>
      <w:r>
        <w:t xml:space="preserve"> amended</w:t>
      </w:r>
      <w:bookmarkEnd w:id="352"/>
      <w:bookmarkEnd w:id="353"/>
      <w:bookmarkEnd w:id="354"/>
      <w:bookmarkEnd w:id="355"/>
      <w:bookmarkEnd w:id="356"/>
      <w:bookmarkEnd w:id="357"/>
      <w:bookmarkEnd w:id="358"/>
      <w:bookmarkEnd w:id="359"/>
      <w:bookmarkEnd w:id="360"/>
    </w:p>
    <w:p>
      <w:pPr>
        <w:pStyle w:val="nzHeading5"/>
      </w:pPr>
      <w:bookmarkStart w:id="361" w:name="_Toc522618780"/>
      <w:bookmarkStart w:id="362" w:name="_Toc528676339"/>
      <w:r>
        <w:rPr>
          <w:rStyle w:val="CharSectno"/>
        </w:rPr>
        <w:t>328</w:t>
      </w:r>
      <w:r>
        <w:t>.</w:t>
      </w:r>
      <w:r>
        <w:tab/>
        <w:t>Act amended</w:t>
      </w:r>
      <w:bookmarkEnd w:id="361"/>
      <w:bookmarkEnd w:id="362"/>
    </w:p>
    <w:p>
      <w:pPr>
        <w:pStyle w:val="nzSubsection"/>
      </w:pPr>
      <w:r>
        <w:tab/>
      </w:r>
      <w:r>
        <w:tab/>
        <w:t xml:space="preserve">This Subdivision amends the </w:t>
      </w:r>
      <w:r>
        <w:rPr>
          <w:i/>
        </w:rPr>
        <w:t>Taxation Administration Act 2003</w:t>
      </w:r>
      <w:r>
        <w:t>.</w:t>
      </w:r>
    </w:p>
    <w:p>
      <w:pPr>
        <w:pStyle w:val="nzHeading5"/>
      </w:pPr>
      <w:bookmarkStart w:id="363" w:name="_Toc522618781"/>
      <w:bookmarkStart w:id="364" w:name="_Toc528676340"/>
      <w:r>
        <w:rPr>
          <w:rStyle w:val="CharSectno"/>
        </w:rPr>
        <w:t>329</w:t>
      </w:r>
      <w:r>
        <w:t>.</w:t>
      </w:r>
      <w:r>
        <w:tab/>
        <w:t>Section 3 amended</w:t>
      </w:r>
      <w:bookmarkEnd w:id="363"/>
      <w:bookmarkEnd w:id="364"/>
    </w:p>
    <w:p>
      <w:pPr>
        <w:pStyle w:val="nzSubsection"/>
      </w:pPr>
      <w:r>
        <w:tab/>
      </w:r>
      <w:r>
        <w:tab/>
        <w:t xml:space="preserve">After section 3(1)(j) insert — </w:t>
      </w:r>
    </w:p>
    <w:p>
      <w:pPr>
        <w:pStyle w:val="BlankOpen"/>
      </w:pPr>
    </w:p>
    <w:p>
      <w:pPr>
        <w:pStyle w:val="nzIndenta"/>
      </w:pPr>
      <w:r>
        <w:tab/>
        <w:t>(jaa)</w:t>
      </w:r>
      <w:r>
        <w:tab/>
        <w:t xml:space="preserve">the </w:t>
      </w:r>
      <w:r>
        <w:rPr>
          <w:i/>
        </w:rPr>
        <w:t xml:space="preserve">Transport (Road Passenger Services) Act 2018 </w:t>
      </w:r>
      <w:r>
        <w:t>Part 9 Division 2;</w:t>
      </w:r>
    </w:p>
    <w:p>
      <w:pPr>
        <w:pStyle w:val="BlankClose"/>
      </w:pPr>
    </w:p>
    <w:p>
      <w:pPr>
        <w:pStyle w:val="nSubsection"/>
        <w:rPr>
          <w:snapToGrid w:val="0"/>
        </w:rPr>
      </w:pPr>
      <w:r>
        <w:rPr>
          <w:vertAlign w:val="superscript"/>
        </w:rPr>
        <w:t>11</w:t>
      </w:r>
      <w:r>
        <w:tab/>
        <w:t xml:space="preserve">On the date as at which this compilation was prepared, </w:t>
      </w:r>
      <w:r>
        <w:rPr>
          <w:snapToGrid w:val="0"/>
        </w:rPr>
        <w:t xml:space="preserve">the </w:t>
      </w:r>
      <w:r>
        <w:rPr>
          <w:i/>
        </w:rPr>
        <w:t>Betting Tax Assessment Act 2018</w:t>
      </w:r>
      <w:r>
        <w:t xml:space="preserve"> Pt. 8 Div. 1 Subdiv. 4</w:t>
      </w:r>
      <w:r>
        <w:rPr>
          <w:noProof/>
        </w:rPr>
        <w:t xml:space="preserve"> </w:t>
      </w:r>
      <w:r>
        <w:rPr>
          <w:snapToGrid w:val="0"/>
        </w:rPr>
        <w:t>had not come into operation.  It reads as follows:</w:t>
      </w:r>
    </w:p>
    <w:p>
      <w:pPr>
        <w:pStyle w:val="BlankOpen"/>
      </w:pPr>
    </w:p>
    <w:p>
      <w:pPr>
        <w:pStyle w:val="nzHeading2"/>
      </w:pPr>
      <w:bookmarkStart w:id="365" w:name="_Toc523134699"/>
      <w:bookmarkStart w:id="366" w:name="_Toc523134797"/>
      <w:bookmarkStart w:id="367" w:name="_Toc523989723"/>
      <w:bookmarkStart w:id="368" w:name="_Toc523990269"/>
      <w:bookmarkStart w:id="369" w:name="_Toc523991666"/>
      <w:bookmarkStart w:id="370" w:name="_Toc524430555"/>
      <w:bookmarkStart w:id="371" w:name="_Toc524430653"/>
      <w:bookmarkStart w:id="372" w:name="_Toc524956197"/>
      <w:bookmarkStart w:id="373" w:name="_Toc527353453"/>
      <w:bookmarkStart w:id="374" w:name="_Toc528788321"/>
      <w:bookmarkStart w:id="375" w:name="_Toc528789785"/>
      <w:bookmarkStart w:id="376" w:name="_Toc531771695"/>
      <w:bookmarkStart w:id="377" w:name="_Toc532382837"/>
      <w:bookmarkStart w:id="378" w:name="_Toc532395008"/>
      <w:r>
        <w:rPr>
          <w:rStyle w:val="CharPartNo"/>
        </w:rPr>
        <w:t>Part 8</w:t>
      </w:r>
      <w:r>
        <w:t> — </w:t>
      </w:r>
      <w:r>
        <w:rPr>
          <w:rStyle w:val="CharPartText"/>
        </w:rPr>
        <w:t>Other Acts amended</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nzHeading3"/>
      </w:pPr>
      <w:bookmarkStart w:id="379" w:name="_Toc523134700"/>
      <w:bookmarkStart w:id="380" w:name="_Toc523134798"/>
      <w:bookmarkStart w:id="381" w:name="_Toc523989724"/>
      <w:bookmarkStart w:id="382" w:name="_Toc523990270"/>
      <w:bookmarkStart w:id="383" w:name="_Toc523991667"/>
      <w:bookmarkStart w:id="384" w:name="_Toc524430556"/>
      <w:bookmarkStart w:id="385" w:name="_Toc524430654"/>
      <w:bookmarkStart w:id="386" w:name="_Toc524956198"/>
      <w:bookmarkStart w:id="387" w:name="_Toc527353454"/>
      <w:bookmarkStart w:id="388" w:name="_Toc528788322"/>
      <w:bookmarkStart w:id="389" w:name="_Toc528789786"/>
      <w:bookmarkStart w:id="390" w:name="_Toc531771696"/>
      <w:bookmarkStart w:id="391" w:name="_Toc532382838"/>
      <w:bookmarkStart w:id="392" w:name="_Toc532395009"/>
      <w:r>
        <w:rPr>
          <w:rStyle w:val="CharDivNo"/>
        </w:rPr>
        <w:t>Division 1</w:t>
      </w:r>
      <w:r>
        <w:t> — </w:t>
      </w:r>
      <w:r>
        <w:rPr>
          <w:rStyle w:val="CharDivText"/>
        </w:rPr>
        <w:t>Amendments commencing on 1 January 2019</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nzHeading4"/>
      </w:pPr>
      <w:bookmarkStart w:id="393" w:name="_Toc523134719"/>
      <w:bookmarkStart w:id="394" w:name="_Toc523134817"/>
      <w:bookmarkStart w:id="395" w:name="_Toc523989743"/>
      <w:bookmarkStart w:id="396" w:name="_Toc523990289"/>
      <w:bookmarkStart w:id="397" w:name="_Toc523991686"/>
      <w:bookmarkStart w:id="398" w:name="_Toc524430575"/>
      <w:bookmarkStart w:id="399" w:name="_Toc524430673"/>
      <w:bookmarkStart w:id="400" w:name="_Toc524956217"/>
      <w:bookmarkStart w:id="401" w:name="_Toc527353473"/>
      <w:bookmarkStart w:id="402" w:name="_Toc528788345"/>
      <w:bookmarkStart w:id="403" w:name="_Toc528789809"/>
      <w:bookmarkStart w:id="404" w:name="_Toc531771719"/>
      <w:bookmarkStart w:id="405" w:name="_Toc532382861"/>
      <w:bookmarkStart w:id="406" w:name="_Toc532395032"/>
      <w:r>
        <w:t>Subdivision 4 — </w:t>
      </w:r>
      <w:r>
        <w:rPr>
          <w:i/>
        </w:rPr>
        <w:t>Taxation Administration Act 2003</w:t>
      </w:r>
      <w:r>
        <w:t xml:space="preserve"> amended</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nzHeading5"/>
        <w:rPr>
          <w:snapToGrid w:val="0"/>
        </w:rPr>
      </w:pPr>
      <w:bookmarkStart w:id="407" w:name="_Toc532382862"/>
      <w:bookmarkStart w:id="408" w:name="_Toc532395033"/>
      <w:r>
        <w:rPr>
          <w:rStyle w:val="CharSectno"/>
        </w:rPr>
        <w:t>44</w:t>
      </w:r>
      <w:r>
        <w:rPr>
          <w:snapToGrid w:val="0"/>
        </w:rPr>
        <w:t>.</w:t>
      </w:r>
      <w:r>
        <w:rPr>
          <w:snapToGrid w:val="0"/>
        </w:rPr>
        <w:tab/>
        <w:t>Act amended</w:t>
      </w:r>
      <w:bookmarkEnd w:id="407"/>
      <w:bookmarkEnd w:id="408"/>
    </w:p>
    <w:p>
      <w:pPr>
        <w:pStyle w:val="nzSubsection"/>
      </w:pPr>
      <w:r>
        <w:tab/>
      </w:r>
      <w:r>
        <w:tab/>
        <w:t xml:space="preserve">This Subdivision amends the </w:t>
      </w:r>
      <w:r>
        <w:rPr>
          <w:i/>
        </w:rPr>
        <w:t>Taxation Administration Act 2003</w:t>
      </w:r>
      <w:r>
        <w:t>.</w:t>
      </w:r>
    </w:p>
    <w:p>
      <w:pPr>
        <w:pStyle w:val="nzHeading5"/>
      </w:pPr>
      <w:bookmarkStart w:id="409" w:name="_Toc532382863"/>
      <w:bookmarkStart w:id="410" w:name="_Toc532395034"/>
      <w:r>
        <w:rPr>
          <w:rStyle w:val="CharSectno"/>
        </w:rPr>
        <w:t>45</w:t>
      </w:r>
      <w:r>
        <w:t>.</w:t>
      </w:r>
      <w:r>
        <w:tab/>
        <w:t>Section 3 amended</w:t>
      </w:r>
      <w:bookmarkEnd w:id="409"/>
      <w:bookmarkEnd w:id="410"/>
    </w:p>
    <w:p>
      <w:pPr>
        <w:pStyle w:val="nzSubsection"/>
      </w:pPr>
      <w:r>
        <w:tab/>
      </w:r>
      <w:r>
        <w:tab/>
        <w:t>After section 3(1)(jb) insert:</w:t>
      </w:r>
    </w:p>
    <w:p>
      <w:pPr>
        <w:pStyle w:val="BlankOpen"/>
      </w:pPr>
    </w:p>
    <w:p>
      <w:pPr>
        <w:pStyle w:val="nzIndenta"/>
      </w:pPr>
      <w:r>
        <w:tab/>
        <w:t>(jc)</w:t>
      </w:r>
      <w:r>
        <w:tab/>
        <w:t xml:space="preserve">the </w:t>
      </w:r>
      <w:r>
        <w:rPr>
          <w:i/>
        </w:rPr>
        <w:t>Betting Tax Act 2018</w:t>
      </w:r>
      <w:r>
        <w:t>;</w:t>
      </w:r>
    </w:p>
    <w:p>
      <w:pPr>
        <w:pStyle w:val="nzIndenta"/>
      </w:pPr>
      <w:r>
        <w:tab/>
        <w:t>(jd)</w:t>
      </w:r>
      <w:r>
        <w:tab/>
        <w:t xml:space="preserve">the </w:t>
      </w:r>
      <w:r>
        <w:rPr>
          <w:i/>
        </w:rPr>
        <w:t>Betting Tax Assessment Act 2018</w:t>
      </w:r>
      <w:r>
        <w:t>;</w:t>
      </w:r>
    </w:p>
    <w:p>
      <w:pPr>
        <w:pStyle w:val="BlankClose"/>
      </w:pPr>
    </w:p>
    <w:p>
      <w:pPr>
        <w:pStyle w:val="nzHeading5"/>
      </w:pPr>
      <w:bookmarkStart w:id="411" w:name="_Toc532382864"/>
      <w:bookmarkStart w:id="412" w:name="_Toc532395035"/>
      <w:r>
        <w:rPr>
          <w:rStyle w:val="CharSectno"/>
        </w:rPr>
        <w:t>46</w:t>
      </w:r>
      <w:r>
        <w:t>.</w:t>
      </w:r>
      <w:r>
        <w:tab/>
        <w:t>Section 17 amended</w:t>
      </w:r>
      <w:bookmarkEnd w:id="411"/>
      <w:bookmarkEnd w:id="412"/>
    </w:p>
    <w:p>
      <w:pPr>
        <w:pStyle w:val="nzSubsection"/>
      </w:pPr>
      <w:r>
        <w:tab/>
      </w:r>
      <w:r>
        <w:tab/>
        <w:t>In section 17(3) after “pay</w:t>
      </w:r>
      <w:r>
        <w:noBreakHyphen/>
        <w:t>roll tax” insert:</w:t>
      </w:r>
    </w:p>
    <w:p>
      <w:pPr>
        <w:pStyle w:val="BlankOpen"/>
        <w:keepNext w:val="0"/>
      </w:pPr>
    </w:p>
    <w:p>
      <w:pPr>
        <w:pStyle w:val="nzSubsection"/>
      </w:pPr>
      <w:r>
        <w:tab/>
      </w:r>
      <w:r>
        <w:tab/>
        <w:t>or betting tax</w:t>
      </w:r>
    </w:p>
    <w:p>
      <w:pPr>
        <w:pStyle w:val="BlankClose"/>
      </w:pPr>
    </w:p>
    <w:p>
      <w:pPr>
        <w:pStyle w:val="nzHeading5"/>
      </w:pPr>
      <w:bookmarkStart w:id="413" w:name="_Toc532382865"/>
      <w:bookmarkStart w:id="414" w:name="_Toc532395036"/>
      <w:r>
        <w:rPr>
          <w:rStyle w:val="CharSectno"/>
        </w:rPr>
        <w:t>47</w:t>
      </w:r>
      <w:r>
        <w:t>.</w:t>
      </w:r>
      <w:r>
        <w:tab/>
        <w:t>Section 114 amended</w:t>
      </w:r>
      <w:bookmarkEnd w:id="413"/>
      <w:bookmarkEnd w:id="414"/>
    </w:p>
    <w:p>
      <w:pPr>
        <w:pStyle w:val="nzSubsection"/>
      </w:pPr>
      <w:r>
        <w:tab/>
      </w:r>
      <w:r>
        <w:tab/>
        <w:t>In section 114(3):</w:t>
      </w:r>
    </w:p>
    <w:p>
      <w:pPr>
        <w:pStyle w:val="nzIndenta"/>
      </w:pPr>
      <w:r>
        <w:tab/>
        <w:t>(a)</w:t>
      </w:r>
      <w:r>
        <w:tab/>
        <w:t>in paragraph (c)(ii) delete “Treasurer;” and insert:</w:t>
      </w:r>
    </w:p>
    <w:p>
      <w:pPr>
        <w:pStyle w:val="BlankOpen"/>
      </w:pPr>
    </w:p>
    <w:p>
      <w:pPr>
        <w:pStyle w:val="nzIndenta"/>
      </w:pPr>
      <w:r>
        <w:tab/>
      </w:r>
      <w:r>
        <w:tab/>
        <w:t>Treasurer; or</w:t>
      </w:r>
    </w:p>
    <w:p>
      <w:pPr>
        <w:pStyle w:val="BlankClose"/>
      </w:pPr>
    </w:p>
    <w:p>
      <w:pPr>
        <w:pStyle w:val="nzIndenta"/>
      </w:pPr>
      <w:r>
        <w:tab/>
        <w:t>(b)</w:t>
      </w:r>
      <w:r>
        <w:tab/>
        <w:t>after paragraph (c)(ii) insert:</w:t>
      </w:r>
    </w:p>
    <w:p>
      <w:pPr>
        <w:pStyle w:val="BlankOpen"/>
      </w:pPr>
    </w:p>
    <w:p>
      <w:pPr>
        <w:pStyle w:val="nzIndenti"/>
      </w:pPr>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p>
    <w:p>
      <w:pPr>
        <w:pStyle w:val="BlankClose"/>
      </w:pPr>
    </w:p>
    <w:p>
      <w:pPr>
        <w:pStyle w:val="BlankClose"/>
      </w:pPr>
    </w:p>
    <w:p/>
    <w:p>
      <w:pPr>
        <w:rPr>
          <w:u w:val="words"/>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416" w:name="_Toc440362689"/>
      <w:bookmarkStart w:id="417" w:name="_Toc450560125"/>
      <w:bookmarkStart w:id="418" w:name="_Toc455399654"/>
      <w:bookmarkStart w:id="419" w:name="_Toc528769240"/>
      <w:bookmarkStart w:id="420" w:name="_Toc532473001"/>
      <w:r>
        <w:rPr>
          <w:sz w:val="28"/>
        </w:rPr>
        <w:t>Defined terms</w:t>
      </w:r>
      <w:bookmarkEnd w:id="416"/>
      <w:bookmarkEnd w:id="417"/>
      <w:bookmarkEnd w:id="418"/>
      <w:bookmarkEnd w:id="419"/>
      <w:bookmarkEnd w:id="4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Gl.</w:t>
      </w:r>
    </w:p>
    <w:p>
      <w:pPr>
        <w:pStyle w:val="DefinedTerms"/>
      </w:pPr>
      <w:r>
        <w:t>amending Bill</w:t>
      </w:r>
      <w:r>
        <w:tab/>
        <w:t>129(1)</w:t>
      </w:r>
    </w:p>
    <w:p>
      <w:pPr>
        <w:pStyle w:val="DefinedTerms"/>
      </w:pPr>
      <w:r>
        <w:t>appointed representative</w:t>
      </w:r>
      <w:r>
        <w:tab/>
        <w:t>Gl.</w:t>
      </w:r>
    </w:p>
    <w:p>
      <w:pPr>
        <w:pStyle w:val="DefinedTerms"/>
      </w:pPr>
      <w:r>
        <w:t>approved</w:t>
      </w:r>
      <w:r>
        <w:tab/>
        <w:t>Gl.</w:t>
      </w:r>
    </w:p>
    <w:p>
      <w:pPr>
        <w:pStyle w:val="DefinedTerms"/>
      </w:pPr>
      <w:r>
        <w:t>assessment</w:t>
      </w:r>
      <w:r>
        <w:tab/>
        <w:t>Gl.</w:t>
      </w:r>
    </w:p>
    <w:p>
      <w:pPr>
        <w:pStyle w:val="DefinedTerms"/>
      </w:pPr>
      <w:r>
        <w:t>assessment notice</w:t>
      </w:r>
      <w:r>
        <w:tab/>
        <w:t>Gl.</w:t>
      </w:r>
    </w:p>
    <w:p>
      <w:pPr>
        <w:pStyle w:val="DefinedTerms"/>
      </w:pPr>
      <w:r>
        <w:t>before</w:t>
      </w:r>
      <w:r>
        <w:tab/>
        <w:t>129(2)</w:t>
      </w:r>
    </w:p>
    <w:p>
      <w:pPr>
        <w:pStyle w:val="DefinedTerms"/>
      </w:pPr>
      <w:r>
        <w:t>beneficial body determination</w:t>
      </w:r>
      <w:r>
        <w:tab/>
        <w:t>Gl.</w:t>
      </w:r>
    </w:p>
    <w:p>
      <w:pPr>
        <w:pStyle w:val="DefinedTerms"/>
      </w:pPr>
      <w:r>
        <w:t>charge</w:t>
      </w:r>
      <w:r>
        <w:tab/>
        <w:t>Gl.</w:t>
      </w:r>
    </w:p>
    <w:p>
      <w:pPr>
        <w:pStyle w:val="DefinedTerms"/>
      </w:pPr>
      <w:r>
        <w:t>commencement day</w:t>
      </w:r>
      <w:r>
        <w:tab/>
        <w:t>136(1)</w:t>
      </w:r>
    </w:p>
    <w:p>
      <w:pPr>
        <w:pStyle w:val="DefinedTerms"/>
      </w:pPr>
      <w:r>
        <w:t>Commissioner</w:t>
      </w:r>
      <w:r>
        <w:tab/>
        <w:t>Gl.</w:t>
      </w:r>
    </w:p>
    <w:p>
      <w:pPr>
        <w:pStyle w:val="DefinedTerms"/>
      </w:pPr>
      <w:r>
        <w:t>complete</w:t>
      </w:r>
      <w:r>
        <w:tab/>
        <w:t>Gl.</w:t>
      </w:r>
    </w:p>
    <w:p>
      <w:pPr>
        <w:pStyle w:val="DefinedTerms"/>
      </w:pPr>
      <w:r>
        <w:t>compromise agreement</w:t>
      </w:r>
      <w:r>
        <w:tab/>
        <w:t>20A(1)(a)</w:t>
      </w:r>
    </w:p>
    <w:p>
      <w:pPr>
        <w:pStyle w:val="DefinedTerms"/>
      </w:pPr>
      <w:r>
        <w:t>compromise assessment</w:t>
      </w:r>
      <w:r>
        <w:tab/>
        <w:t>Gl.</w:t>
      </w:r>
    </w:p>
    <w:p>
      <w:pPr>
        <w:pStyle w:val="DefinedTerms"/>
      </w:pPr>
      <w:r>
        <w:t>corresponding Commissioner</w:t>
      </w:r>
      <w:r>
        <w:tab/>
        <w:t>Gl.</w:t>
      </w:r>
    </w:p>
    <w:p>
      <w:pPr>
        <w:pStyle w:val="DefinedTerms"/>
      </w:pPr>
      <w:r>
        <w:t>costs of valuation</w:t>
      </w:r>
      <w:r>
        <w:tab/>
        <w:t>24(7)</w:t>
      </w:r>
    </w:p>
    <w:p>
      <w:pPr>
        <w:pStyle w:val="DefinedTerms"/>
      </w:pPr>
      <w:r>
        <w:t>date</w:t>
      </w:r>
      <w:r>
        <w:tab/>
        <w:t>Gl.</w:t>
      </w:r>
    </w:p>
    <w:p>
      <w:pPr>
        <w:pStyle w:val="DefinedTerms"/>
      </w:pPr>
      <w:r>
        <w:t>decision</w:t>
      </w:r>
      <w:r>
        <w:tab/>
        <w:t>Gl.</w:t>
      </w:r>
    </w:p>
    <w:p>
      <w:pPr>
        <w:pStyle w:val="DefinedTerms"/>
      </w:pPr>
      <w:r>
        <w:t>determination notice</w:t>
      </w:r>
      <w:r>
        <w:tab/>
        <w:t>129(1)</w:t>
      </w:r>
    </w:p>
    <w:p>
      <w:pPr>
        <w:pStyle w:val="DefinedTerms"/>
      </w:pPr>
      <w:r>
        <w:t>directly reviewable decision</w:t>
      </w:r>
      <w:r>
        <w:tab/>
        <w:t>Gl.</w:t>
      </w:r>
    </w:p>
    <w:p>
      <w:pPr>
        <w:pStyle w:val="DefinedTerms"/>
      </w:pPr>
      <w:r>
        <w:t>document</w:t>
      </w:r>
      <w:r>
        <w:tab/>
        <w:t>Gl.</w:t>
      </w:r>
    </w:p>
    <w:p>
      <w:pPr>
        <w:pStyle w:val="DefinedTerms"/>
      </w:pPr>
      <w:r>
        <w:t>due date</w:t>
      </w:r>
      <w:r>
        <w:tab/>
        <w:t>Gl.</w:t>
      </w:r>
    </w:p>
    <w:p>
      <w:pPr>
        <w:pStyle w:val="DefinedTerms"/>
      </w:pPr>
      <w:r>
        <w:t>endorse</w:t>
      </w:r>
      <w:r>
        <w:tab/>
        <w:t>Gl.</w:t>
      </w:r>
    </w:p>
    <w:p>
      <w:pPr>
        <w:pStyle w:val="DefinedTerms"/>
      </w:pPr>
      <w:r>
        <w:t>garnishee</w:t>
      </w:r>
      <w:r>
        <w:tab/>
        <w:t>65(1), Gl.</w:t>
      </w:r>
    </w:p>
    <w:p>
      <w:pPr>
        <w:pStyle w:val="DefinedTerms"/>
      </w:pPr>
      <w:r>
        <w:t>group</w:t>
      </w:r>
      <w:r>
        <w:tab/>
        <w:t>Gl.</w:t>
      </w:r>
    </w:p>
    <w:p>
      <w:pPr>
        <w:pStyle w:val="DefinedTerms"/>
      </w:pPr>
      <w:r>
        <w:t>identity card</w:t>
      </w:r>
      <w:r>
        <w:tab/>
        <w:t>Gl.</w:t>
      </w:r>
    </w:p>
    <w:p>
      <w:pPr>
        <w:pStyle w:val="DefinedTerms"/>
      </w:pPr>
      <w:r>
        <w:t>instrument</w:t>
      </w:r>
      <w:r>
        <w:tab/>
        <w:t>82(1), Gl.</w:t>
      </w:r>
    </w:p>
    <w:p>
      <w:pPr>
        <w:pStyle w:val="DefinedTerms"/>
      </w:pPr>
      <w:r>
        <w:t>interim assessment</w:t>
      </w:r>
      <w:r>
        <w:tab/>
        <w:t>16A(1), Gl.</w:t>
      </w:r>
    </w:p>
    <w:p>
      <w:pPr>
        <w:pStyle w:val="DefinedTerms"/>
      </w:pPr>
      <w:r>
        <w:t>investigation purposes</w:t>
      </w:r>
      <w:r>
        <w:tab/>
        <w:t>Gl.</w:t>
      </w:r>
    </w:p>
    <w:p>
      <w:pPr>
        <w:pStyle w:val="DefinedTerms"/>
      </w:pPr>
      <w:r>
        <w:t>investigator</w:t>
      </w:r>
      <w:r>
        <w:tab/>
        <w:t>Gl.</w:t>
      </w:r>
    </w:p>
    <w:p>
      <w:pPr>
        <w:pStyle w:val="DefinedTerms"/>
      </w:pPr>
      <w:r>
        <w:t>land</w:t>
      </w:r>
      <w:r>
        <w:tab/>
        <w:t>76A(1)</w:t>
      </w:r>
    </w:p>
    <w:p>
      <w:pPr>
        <w:pStyle w:val="DefinedTerms"/>
      </w:pPr>
      <w:r>
        <w:t>landholder</w:t>
      </w:r>
      <w:r>
        <w:tab/>
        <w:t>77A(1)</w:t>
      </w:r>
    </w:p>
    <w:p>
      <w:pPr>
        <w:pStyle w:val="DefinedTerms"/>
      </w:pPr>
      <w:r>
        <w:t>landholder duty</w:t>
      </w:r>
      <w:r>
        <w:tab/>
        <w:t>77A(1)</w:t>
      </w:r>
    </w:p>
    <w:p>
      <w:pPr>
        <w:pStyle w:val="DefinedTerms"/>
      </w:pPr>
      <w:r>
        <w:t>linked entity</w:t>
      </w:r>
      <w:r>
        <w:tab/>
        <w:t>77A(1)</w:t>
      </w:r>
    </w:p>
    <w:p>
      <w:pPr>
        <w:pStyle w:val="DefinedTerms"/>
      </w:pPr>
      <w:r>
        <w:t>lodge</w:t>
      </w:r>
      <w:r>
        <w:tab/>
        <w:t>76A(1)</w:t>
      </w:r>
    </w:p>
    <w:p>
      <w:pPr>
        <w:pStyle w:val="DefinedTerms"/>
      </w:pPr>
      <w:r>
        <w:t>mining tenement</w:t>
      </w:r>
      <w:r>
        <w:tab/>
        <w:t>76A(1)</w:t>
      </w:r>
    </w:p>
    <w:p>
      <w:pPr>
        <w:pStyle w:val="DefinedTerms"/>
      </w:pPr>
      <w:r>
        <w:t>objection</w:t>
      </w:r>
      <w:r>
        <w:tab/>
        <w:t>Gl.</w:t>
      </w:r>
    </w:p>
    <w:p>
      <w:pPr>
        <w:pStyle w:val="DefinedTerms"/>
      </w:pPr>
      <w:r>
        <w:t>official assessment</w:t>
      </w:r>
      <w:r>
        <w:tab/>
        <w:t>Gl.</w:t>
      </w:r>
    </w:p>
    <w:p>
      <w:pPr>
        <w:pStyle w:val="DefinedTerms"/>
      </w:pPr>
      <w:r>
        <w:t>official document</w:t>
      </w:r>
      <w:r>
        <w:tab/>
        <w:t>Gl.</w:t>
      </w:r>
    </w:p>
    <w:p>
      <w:pPr>
        <w:pStyle w:val="DefinedTerms"/>
      </w:pPr>
      <w:r>
        <w:t>original assessment</w:t>
      </w:r>
      <w:r>
        <w:tab/>
        <w:t>Gl.</w:t>
      </w:r>
    </w:p>
    <w:p>
      <w:pPr>
        <w:pStyle w:val="DefinedTerms"/>
      </w:pPr>
      <w:r>
        <w:t>original notice</w:t>
      </w:r>
      <w:r>
        <w:tab/>
        <w:t>132(3)(a)</w:t>
      </w:r>
    </w:p>
    <w:p>
      <w:pPr>
        <w:pStyle w:val="DefinedTerms"/>
      </w:pPr>
      <w:r>
        <w:t>penalty tax</w:t>
      </w:r>
      <w:r>
        <w:tab/>
        <w:t>Gl.</w:t>
      </w:r>
    </w:p>
    <w:p>
      <w:pPr>
        <w:pStyle w:val="DefinedTerms"/>
      </w:pPr>
      <w:r>
        <w:t>person</w:t>
      </w:r>
      <w:r>
        <w:tab/>
        <w:t>Gl.</w:t>
      </w:r>
    </w:p>
    <w:p>
      <w:pPr>
        <w:pStyle w:val="DefinedTerms"/>
      </w:pPr>
      <w:r>
        <w:t>premises</w:t>
      </w:r>
      <w:r>
        <w:tab/>
        <w:t>Gl.</w:t>
      </w:r>
    </w:p>
    <w:p>
      <w:pPr>
        <w:pStyle w:val="DefinedTerms"/>
      </w:pPr>
      <w:r>
        <w:t>previous assessment</w:t>
      </w:r>
      <w:r>
        <w:tab/>
        <w:t>Gl.</w:t>
      </w:r>
    </w:p>
    <w:p>
      <w:pPr>
        <w:pStyle w:val="DefinedTerms"/>
      </w:pPr>
      <w:r>
        <w:t>primary liability</w:t>
      </w:r>
      <w:r>
        <w:tab/>
        <w:t>Gl.</w:t>
      </w:r>
    </w:p>
    <w:p>
      <w:pPr>
        <w:pStyle w:val="DefinedTerms"/>
      </w:pPr>
      <w:r>
        <w:t>publish</w:t>
      </w:r>
      <w:r>
        <w:tab/>
        <w:t>Gl.</w:t>
      </w:r>
    </w:p>
    <w:p>
      <w:pPr>
        <w:pStyle w:val="DefinedTerms"/>
      </w:pPr>
      <w:r>
        <w:t>qualified valuer</w:t>
      </w:r>
      <w:r>
        <w:tab/>
        <w:t>Gl.</w:t>
      </w:r>
    </w:p>
    <w:p>
      <w:pPr>
        <w:pStyle w:val="DefinedTerms"/>
      </w:pPr>
      <w:r>
        <w:t>real property</w:t>
      </w:r>
      <w:r>
        <w:tab/>
        <w:t>76A(1)</w:t>
      </w:r>
    </w:p>
    <w:p>
      <w:pPr>
        <w:pStyle w:val="DefinedTerms"/>
      </w:pPr>
      <w:r>
        <w:t>reassessment</w:t>
      </w:r>
      <w:r>
        <w:tab/>
        <w:t>Gl.</w:t>
      </w:r>
    </w:p>
    <w:p>
      <w:pPr>
        <w:pStyle w:val="DefinedTerms"/>
      </w:pPr>
      <w:r>
        <w:t>reassessment period</w:t>
      </w:r>
      <w:r>
        <w:tab/>
        <w:t>39(3), 43(4A)</w:t>
      </w:r>
    </w:p>
    <w:p>
      <w:pPr>
        <w:pStyle w:val="DefinedTerms"/>
      </w:pPr>
      <w:r>
        <w:t>recognised jurisdiction</w:t>
      </w:r>
      <w:r>
        <w:tab/>
        <w:t>Gl.</w:t>
      </w:r>
    </w:p>
    <w:p>
      <w:pPr>
        <w:pStyle w:val="DefinedTerms"/>
      </w:pPr>
      <w:r>
        <w:t>recognised revenue law</w:t>
      </w:r>
      <w:r>
        <w:tab/>
        <w:t>Gl.</w:t>
      </w:r>
    </w:p>
    <w:p>
      <w:pPr>
        <w:pStyle w:val="DefinedTerms"/>
      </w:pPr>
      <w:r>
        <w:t>record</w:t>
      </w:r>
      <w:r>
        <w:tab/>
        <w:t>Gl.</w:t>
      </w:r>
    </w:p>
    <w:p>
      <w:pPr>
        <w:pStyle w:val="DefinedTerms"/>
      </w:pPr>
      <w:r>
        <w:t>register</w:t>
      </w:r>
      <w:r>
        <w:tab/>
        <w:t>76A(1)</w:t>
      </w:r>
    </w:p>
    <w:p>
      <w:pPr>
        <w:pStyle w:val="DefinedTerms"/>
      </w:pPr>
      <w:r>
        <w:t>Registrar</w:t>
      </w:r>
      <w:r>
        <w:tab/>
        <w:t>82(1)</w:t>
      </w:r>
    </w:p>
    <w:p>
      <w:pPr>
        <w:pStyle w:val="DefinedTerms"/>
      </w:pPr>
      <w:r>
        <w:t>Registrar of Titles</w:t>
      </w:r>
      <w:r>
        <w:tab/>
        <w:t>Gl.</w:t>
      </w:r>
    </w:p>
    <w:p>
      <w:pPr>
        <w:pStyle w:val="DefinedTerms"/>
      </w:pPr>
      <w:r>
        <w:t>relevant land Act</w:t>
      </w:r>
      <w:r>
        <w:tab/>
        <w:t>76A(1)</w:t>
      </w:r>
    </w:p>
    <w:p>
      <w:pPr>
        <w:pStyle w:val="DefinedTerms"/>
      </w:pPr>
      <w:r>
        <w:t>relevant material</w:t>
      </w:r>
      <w:r>
        <w:tab/>
        <w:t>Gl.</w:t>
      </w:r>
    </w:p>
    <w:p>
      <w:pPr>
        <w:pStyle w:val="DefinedTerms"/>
      </w:pPr>
      <w:r>
        <w:t>responsible party</w:t>
      </w:r>
      <w:r>
        <w:tab/>
        <w:t>Gl.</w:t>
      </w:r>
    </w:p>
    <w:p>
      <w:pPr>
        <w:pStyle w:val="DefinedTerms"/>
      </w:pPr>
      <w:r>
        <w:t>review proceedings</w:t>
      </w:r>
      <w:r>
        <w:tab/>
        <w:t>Gl.</w:t>
      </w:r>
    </w:p>
    <w:p>
      <w:pPr>
        <w:pStyle w:val="DefinedTerms"/>
      </w:pPr>
      <w:r>
        <w:t>self</w:t>
      </w:r>
      <w:r>
        <w:noBreakHyphen/>
        <w:t>assessment</w:t>
      </w:r>
      <w:r>
        <w:tab/>
        <w:t>Gl.</w:t>
      </w:r>
    </w:p>
    <w:p>
      <w:pPr>
        <w:pStyle w:val="DefinedTerms"/>
      </w:pPr>
      <w:r>
        <w:t>special tax return arrangement</w:t>
      </w:r>
      <w:r>
        <w:tab/>
        <w:t>Gl.</w:t>
      </w:r>
    </w:p>
    <w:p>
      <w:pPr>
        <w:pStyle w:val="DefinedTerms"/>
      </w:pPr>
      <w:r>
        <w:t>State</w:t>
      </w:r>
      <w:r>
        <w:tab/>
        <w:t>Gl.</w:t>
      </w:r>
    </w:p>
    <w:p>
      <w:pPr>
        <w:pStyle w:val="DefinedTerms"/>
      </w:pPr>
      <w:r>
        <w:t>statutory administrator of a taxpayer’s assets</w:t>
      </w:r>
      <w:r>
        <w:tab/>
        <w:t>64(3)</w:t>
      </w:r>
    </w:p>
    <w:p>
      <w:pPr>
        <w:pStyle w:val="DefinedTerms"/>
      </w:pPr>
      <w:r>
        <w:t>tax</w:t>
      </w:r>
      <w:r>
        <w:tab/>
        <w:t>Gl.</w:t>
      </w:r>
    </w:p>
    <w:p>
      <w:pPr>
        <w:pStyle w:val="DefinedTerms"/>
      </w:pPr>
      <w:r>
        <w:t>tax liability</w:t>
      </w:r>
      <w:r>
        <w:tab/>
        <w:t>Gl.</w:t>
      </w:r>
    </w:p>
    <w:p>
      <w:pPr>
        <w:pStyle w:val="DefinedTerms"/>
      </w:pPr>
      <w:r>
        <w:t>tax payment arrangement</w:t>
      </w:r>
      <w:r>
        <w:tab/>
        <w:t>Gl.</w:t>
      </w:r>
    </w:p>
    <w:p>
      <w:pPr>
        <w:pStyle w:val="DefinedTerms"/>
      </w:pPr>
      <w:r>
        <w:t>tax record</w:t>
      </w:r>
      <w:r>
        <w:tab/>
        <w:t>Gl.</w:t>
      </w:r>
    </w:p>
    <w:p>
      <w:pPr>
        <w:pStyle w:val="DefinedTerms"/>
      </w:pPr>
      <w:r>
        <w:t>tax threshold</w:t>
      </w:r>
      <w:r>
        <w:tab/>
        <w:t>129(1)</w:t>
      </w:r>
    </w:p>
    <w:p>
      <w:pPr>
        <w:pStyle w:val="DefinedTerms"/>
      </w:pPr>
      <w:r>
        <w:t>taxation Act</w:t>
      </w:r>
      <w:r>
        <w:tab/>
        <w:t>129(1), Gl.</w:t>
      </w:r>
    </w:p>
    <w:p>
      <w:pPr>
        <w:pStyle w:val="DefinedTerms"/>
      </w:pPr>
      <w:r>
        <w:t>taxation matter</w:t>
      </w:r>
      <w:r>
        <w:tab/>
        <w:t>7(3)</w:t>
      </w:r>
    </w:p>
    <w:p>
      <w:pPr>
        <w:pStyle w:val="DefinedTerms"/>
      </w:pPr>
      <w:r>
        <w:t>taxpayer</w:t>
      </w:r>
      <w:r>
        <w:tab/>
        <w:t>Gl.</w:t>
      </w:r>
    </w:p>
    <w:p>
      <w:pPr>
        <w:pStyle w:val="DefinedTerms"/>
      </w:pPr>
      <w:r>
        <w:t>TLA land</w:t>
      </w:r>
      <w:r>
        <w:tab/>
        <w:t>76A(1)</w:t>
      </w:r>
    </w:p>
    <w:p>
      <w:pPr>
        <w:pStyle w:val="DefinedTerms"/>
      </w:pPr>
      <w:r>
        <w:t>transfer duty</w:t>
      </w:r>
      <w:r>
        <w:tab/>
        <w:t>77A(1)</w:t>
      </w:r>
    </w:p>
    <w:p>
      <w:pPr>
        <w:pStyle w:val="DefinedTerms"/>
      </w:pPr>
      <w:r>
        <w:t>unaffected amount</w:t>
      </w:r>
      <w:r>
        <w:tab/>
        <w:t>133(2)</w:t>
      </w:r>
    </w:p>
    <w:p>
      <w:pPr>
        <w:pStyle w:val="DefinedTerms"/>
      </w:pPr>
      <w:r>
        <w:t>vehicle</w:t>
      </w:r>
      <w:r>
        <w:tab/>
        <w:t>Gl.</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25" w:name="Schedule"/>
    <w:bookmarkEnd w:id="3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5" w:name="Compilation"/>
    <w:bookmarkEnd w:id="4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1" w:name="DefinedTerms"/>
    <w:bookmarkEnd w:id="42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2" w:name="Coversheet"/>
    <w:bookmarkEnd w:id="4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lvlText w:val="%1."/>
      <w:lvlJc w:val="left"/>
      <w:pPr>
        <w:tabs>
          <w:tab w:val="num" w:pos="1492"/>
        </w:tabs>
        <w:ind w:left="1492" w:hanging="360"/>
      </w:pPr>
    </w:lvl>
  </w:abstractNum>
  <w:abstractNum w:abstractNumId="1">
    <w:nsid w:val="FFFFFF7D"/>
    <w:multiLevelType w:val="singleLevel"/>
    <w:tmpl w:val="20860632"/>
    <w:lvl w:ilvl="0">
      <w:start w:val="1"/>
      <w:numFmt w:val="decimal"/>
      <w:lvlText w:val="%1."/>
      <w:lvlJc w:val="left"/>
      <w:pPr>
        <w:tabs>
          <w:tab w:val="num" w:pos="1209"/>
        </w:tabs>
        <w:ind w:left="1209" w:hanging="360"/>
      </w:pPr>
    </w:lvl>
  </w:abstractNum>
  <w:abstractNum w:abstractNumId="2">
    <w:nsid w:val="FFFFFF7E"/>
    <w:multiLevelType w:val="singleLevel"/>
    <w:tmpl w:val="17E29B3E"/>
    <w:lvl w:ilvl="0">
      <w:start w:val="1"/>
      <w:numFmt w:val="decimal"/>
      <w:lvlText w:val="%1."/>
      <w:lvlJc w:val="left"/>
      <w:pPr>
        <w:tabs>
          <w:tab w:val="num" w:pos="926"/>
        </w:tabs>
        <w:ind w:left="926" w:hanging="360"/>
      </w:pPr>
    </w:lvl>
  </w:abstractNum>
  <w:abstractNum w:abstractNumId="3">
    <w:nsid w:val="FFFFFF7F"/>
    <w:multiLevelType w:val="singleLevel"/>
    <w:tmpl w:val="C016C124"/>
    <w:lvl w:ilvl="0">
      <w:start w:val="1"/>
      <w:numFmt w:val="decimal"/>
      <w:lvlText w:val="%1."/>
      <w:lvlJc w:val="left"/>
      <w:pPr>
        <w:tabs>
          <w:tab w:val="num" w:pos="643"/>
        </w:tabs>
        <w:ind w:left="643" w:hanging="360"/>
      </w:pPr>
    </w:lvl>
  </w:abstractNum>
  <w:abstractNum w:abstractNumId="4">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lvlText w:val="%1."/>
      <w:lvlJc w:val="left"/>
      <w:pPr>
        <w:tabs>
          <w:tab w:val="num" w:pos="360"/>
        </w:tabs>
        <w:ind w:left="360" w:hanging="360"/>
      </w:pPr>
    </w:lvl>
  </w:abstractNum>
  <w:abstractNum w:abstractNumId="9">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416478"/>
    <w:multiLevelType w:val="multilevel"/>
    <w:tmpl w:val="EF24B7C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12114538"/>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063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034E42-D2D1-45E6-9215-E56B87F9E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136</Pages>
  <Words>33180</Words>
  <Characters>159599</Characters>
  <Application>Microsoft Office Word</Application>
  <DocSecurity>0</DocSecurity>
  <Lines>4313</Lines>
  <Paragraphs>2536</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190243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2003 - 05-d0-00</dc:title>
  <dc:subject/>
  <dc:creator/>
  <cp:keywords/>
  <dc:description/>
  <cp:lastModifiedBy>svcMRProcess</cp:lastModifiedBy>
  <cp:revision>4</cp:revision>
  <cp:lastPrinted>2016-05-05T02:09:00Z</cp:lastPrinted>
  <dcterms:created xsi:type="dcterms:W3CDTF">2018-12-13T07:49:00Z</dcterms:created>
  <dcterms:modified xsi:type="dcterms:W3CDTF">2018-12-13T07:49:00Z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DocumentType">
    <vt:lpwstr>Act</vt:lpwstr>
  </property>
  <property fmtid="{D5CDD505-2E9C-101B-9397-08002B2CF9AE}" pid="4" name="OwlsUID">
    <vt:i4>6343</vt:i4>
  </property>
  <property fmtid="{D5CDD505-2E9C-101B-9397-08002B2CF9AE}" pid="5" name="ReprintedAsAt">
    <vt:filetime>2016-04-21T16:00:00Z</vt:filetime>
  </property>
  <property fmtid="{D5CDD505-2E9C-101B-9397-08002B2CF9AE}" pid="6" name="ReprintNo">
    <vt:lpwstr>5</vt:lpwstr>
  </property>
  <property fmtid="{D5CDD505-2E9C-101B-9397-08002B2CF9AE}" pid="7" name="AsAtDate">
    <vt:lpwstr>12 Dec 2018</vt:lpwstr>
  </property>
  <property fmtid="{D5CDD505-2E9C-101B-9397-08002B2CF9AE}" pid="8" name="Suffix">
    <vt:lpwstr>05-d0-00</vt:lpwstr>
  </property>
  <property fmtid="{D5CDD505-2E9C-101B-9397-08002B2CF9AE}" pid="9" name="CommencementDate">
    <vt:lpwstr>20181212</vt:lpwstr>
  </property>
</Properties>
</file>