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_Toc536620757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_Toc536620758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_Toc536620759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_Toc536620760 \h </w:instrText>
      </w:r>
      <w:r>
        <w:fldChar w:fldCharType="separate"/>
      </w:r>
      <w:r>
        <w:t>7</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_Toc536620761 \h </w:instrText>
      </w:r>
      <w:r>
        <w:fldChar w:fldCharType="separate"/>
      </w:r>
      <w:r>
        <w:t>8</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events</w:t>
      </w:r>
      <w:r>
        <w:tab/>
      </w:r>
      <w:r>
        <w:fldChar w:fldCharType="begin"/>
      </w:r>
      <w:r>
        <w:instrText xml:space="preserve"> PAGEREF _Toc536620762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 with bookmakers</w:t>
      </w:r>
      <w:r>
        <w:tab/>
      </w:r>
      <w:r>
        <w:fldChar w:fldCharType="begin"/>
      </w:r>
      <w:r>
        <w:instrText xml:space="preserve"> PAGEREF _Toc536620763 \h </w:instrText>
      </w:r>
      <w:r>
        <w:fldChar w:fldCharType="separate"/>
      </w:r>
      <w:r>
        <w:t>10</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_Toc536620764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_Toc536620766 \h </w:instrText>
      </w:r>
      <w:r>
        <w:fldChar w:fldCharType="separate"/>
      </w:r>
      <w:r>
        <w:t>13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_Toc536620767 \h </w:instrText>
      </w:r>
      <w:r>
        <w:fldChar w:fldCharType="separate"/>
      </w:r>
      <w:r>
        <w:t>15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_Toc536620768 \h </w:instrText>
      </w:r>
      <w:r>
        <w:fldChar w:fldCharType="separate"/>
      </w:r>
      <w:r>
        <w:t>16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_Toc536620769 \h </w:instrText>
      </w:r>
      <w:r>
        <w:fldChar w:fldCharType="separate"/>
      </w:r>
      <w:r>
        <w:t>20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_Toc536620770 \h </w:instrText>
      </w:r>
      <w:r>
        <w:fldChar w:fldCharType="separate"/>
      </w:r>
      <w:r>
        <w:t>23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_Toc536620771 \h </w:instrText>
      </w:r>
      <w:r>
        <w:fldChar w:fldCharType="separate"/>
      </w:r>
      <w:r>
        <w:t>26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_Toc536620772 \h </w:instrText>
      </w:r>
      <w:r>
        <w:fldChar w:fldCharType="separate"/>
      </w:r>
      <w:r>
        <w:t>29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_Toc536620773 \h </w:instrText>
      </w:r>
      <w:r>
        <w:fldChar w:fldCharType="separate"/>
      </w:r>
      <w:r>
        <w:t>30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Permits required to bet on race courses etc.</w:t>
      </w:r>
      <w:r>
        <w:tab/>
      </w:r>
      <w:r>
        <w:fldChar w:fldCharType="begin"/>
      </w:r>
      <w:r>
        <w:instrText xml:space="preserve"> PAGEREF _Toc536620774 \h </w:instrText>
      </w:r>
      <w:r>
        <w:fldChar w:fldCharType="separate"/>
      </w:r>
      <w:r>
        <w:t>31</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_Toc536620775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_Toc536620776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_Toc536620778 \h </w:instrText>
      </w:r>
      <w:r>
        <w:fldChar w:fldCharType="separate"/>
      </w:r>
      <w:r>
        <w:t>40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_Toc536620779 \h </w:instrText>
      </w:r>
      <w:r>
        <w:fldChar w:fldCharType="separate"/>
      </w:r>
      <w:r>
        <w:t>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annual licence fee of not being entitled to receive or retain consideration</w:t>
      </w:r>
      <w:r>
        <w:tab/>
      </w:r>
      <w:r>
        <w:fldChar w:fldCharType="begin"/>
      </w:r>
      <w:r>
        <w:instrText xml:space="preserve"> PAGEREF _Toc536620780 \h </w:instrText>
      </w:r>
      <w:r>
        <w:fldChar w:fldCharType="separate"/>
      </w:r>
      <w:r>
        <w:t>44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_Toc536620781 \h </w:instrText>
      </w:r>
      <w:r>
        <w:fldChar w:fldCharType="separate"/>
      </w:r>
      <w:r>
        <w:t>45</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_Toc536620782 \h </w:instrText>
      </w:r>
      <w:r>
        <w:fldChar w:fldCharType="separate"/>
      </w:r>
      <w:r>
        <w:t>46</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_Toc536620783 \h </w:instrText>
      </w:r>
      <w:r>
        <w:fldChar w:fldCharType="separate"/>
      </w:r>
      <w:r>
        <w:t>48</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_Toc536620784 \h </w:instrText>
      </w:r>
      <w:r>
        <w:fldChar w:fldCharType="separate"/>
      </w:r>
      <w:r>
        <w:t>49</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_Toc536620785 \h </w:instrText>
      </w:r>
      <w:r>
        <w:fldChar w:fldCharType="separate"/>
      </w:r>
      <w:r>
        <w:t>49</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_Toc536620786 \h </w:instrText>
      </w:r>
      <w:r>
        <w:fldChar w:fldCharType="separate"/>
      </w:r>
      <w:r>
        <w:t>50</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_Toc536620787 \h </w:instrText>
      </w:r>
      <w:r>
        <w:fldChar w:fldCharType="separate"/>
      </w:r>
      <w:r>
        <w:t>51</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 of annual licence fee</w:t>
      </w:r>
      <w:r>
        <w:tab/>
      </w:r>
      <w:r>
        <w:fldChar w:fldCharType="begin"/>
      </w:r>
      <w:r>
        <w:instrText xml:space="preserve"> PAGEREF _Toc536620788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_Toc536620790 \h </w:instrText>
      </w:r>
      <w:r>
        <w:fldChar w:fldCharType="separate"/>
      </w:r>
      <w:r>
        <w:t>54</w:t>
      </w:r>
      <w:r>
        <w:fldChar w:fldCharType="end"/>
      </w:r>
    </w:p>
    <w:p>
      <w:pPr>
        <w:pStyle w:val="TOC8"/>
        <w:rPr>
          <w:rFonts w:asciiTheme="minorHAnsi" w:eastAsiaTheme="minorEastAsia" w:hAnsiTheme="minorHAnsi" w:cstheme="minorBidi"/>
          <w:szCs w:val="22"/>
        </w:rPr>
      </w:pPr>
      <w:r>
        <w:t>20.</w:t>
      </w:r>
      <w:r>
        <w:tab/>
        <w:t>Entry and inspection of race courses and certain other premises</w:t>
      </w:r>
      <w:r>
        <w:tab/>
      </w:r>
      <w:r>
        <w:fldChar w:fldCharType="begin"/>
      </w:r>
      <w:r>
        <w:instrText xml:space="preserve"> PAGEREF _Toc536620791 \h </w:instrText>
      </w:r>
      <w:r>
        <w:fldChar w:fldCharType="separate"/>
      </w:r>
      <w:r>
        <w:t>54</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_Toc536620792 \h </w:instrText>
      </w:r>
      <w:r>
        <w:fldChar w:fldCharType="separate"/>
      </w:r>
      <w:r>
        <w:t>56</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_Toc536620793 \h </w:instrText>
      </w:r>
      <w:r>
        <w:fldChar w:fldCharType="separate"/>
      </w:r>
      <w:r>
        <w:t>59</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_Toc536620794 \h </w:instrText>
      </w:r>
      <w:r>
        <w:fldChar w:fldCharType="separate"/>
      </w:r>
      <w:r>
        <w:t>60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_Toc536620795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_Toc536620796 \h </w:instrText>
      </w:r>
      <w:r>
        <w:fldChar w:fldCharType="separate"/>
      </w:r>
      <w:r>
        <w:t>63</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_Toc536620797 \h </w:instrText>
      </w:r>
      <w:r>
        <w:fldChar w:fldCharType="separate"/>
      </w:r>
      <w:r>
        <w:t>63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on races unless in accordance with this Act</w:t>
      </w:r>
      <w:r>
        <w:tab/>
      </w:r>
      <w:r>
        <w:fldChar w:fldCharType="begin"/>
      </w:r>
      <w:r>
        <w:instrText xml:space="preserve"> PAGEREF _Toc536620798 \h </w:instrText>
      </w:r>
      <w:r>
        <w:fldChar w:fldCharType="separate"/>
      </w:r>
      <w:r>
        <w:t>64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_Toc536620799 \h </w:instrText>
      </w:r>
      <w:r>
        <w:fldChar w:fldCharType="separate"/>
      </w:r>
      <w:r>
        <w:t>65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_Toc536620800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_Toc536620801 \h </w:instrText>
      </w:r>
      <w:r>
        <w:fldChar w:fldCharType="separate"/>
      </w:r>
      <w:r>
        <w:t>68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_Toc536620802 \h </w:instrText>
      </w:r>
      <w:r>
        <w:fldChar w:fldCharType="separate"/>
      </w:r>
      <w:r>
        <w:t>68</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_Toc536620803 \h </w:instrText>
      </w:r>
      <w:r>
        <w:fldChar w:fldCharType="separate"/>
      </w:r>
      <w:r>
        <w:t>69</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_Toc536620804 \h </w:instrText>
      </w:r>
      <w:r>
        <w:fldChar w:fldCharType="separate"/>
      </w:r>
      <w:r>
        <w:t>69</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_Toc536620805 \h </w:instrText>
      </w:r>
      <w:r>
        <w:fldChar w:fldCharType="separate"/>
      </w:r>
      <w:r>
        <w:t>71</w:t>
      </w:r>
      <w:r>
        <w:fldChar w:fldCharType="end"/>
      </w:r>
    </w:p>
    <w:p>
      <w:pPr>
        <w:pStyle w:val="TOC8"/>
        <w:rPr>
          <w:rFonts w:asciiTheme="minorHAnsi" w:eastAsiaTheme="minorEastAsia" w:hAnsiTheme="minorHAnsi" w:cstheme="minorBidi"/>
          <w:szCs w:val="22"/>
        </w:rPr>
      </w:pPr>
      <w:r>
        <w:t>27A.</w:t>
      </w:r>
      <w:r>
        <w:tab/>
        <w:t>Interstate and offshore betting</w:t>
      </w:r>
      <w:r>
        <w:tab/>
      </w:r>
      <w:r>
        <w:fldChar w:fldCharType="begin"/>
      </w:r>
      <w:r>
        <w:instrText xml:space="preserve"> PAGEREF _Toc536620806 \h </w:instrText>
      </w:r>
      <w:r>
        <w:fldChar w:fldCharType="separate"/>
      </w:r>
      <w:r>
        <w:t>72</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_Toc536620807 \h </w:instrText>
      </w:r>
      <w:r>
        <w:fldChar w:fldCharType="separate"/>
      </w:r>
      <w:r>
        <w:t>74</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_Toc536620808 \h </w:instrText>
      </w:r>
      <w:r>
        <w:fldChar w:fldCharType="separate"/>
      </w:r>
      <w:r>
        <w:t>76</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_Toc536620809 \h </w:instrText>
      </w:r>
      <w:r>
        <w:fldChar w:fldCharType="separate"/>
      </w:r>
      <w:r>
        <w:t>78</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_Toc536620810 \h </w:instrText>
      </w:r>
      <w:r>
        <w:fldChar w:fldCharType="separate"/>
      </w:r>
      <w:r>
        <w:t>79</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_Toc536620811 \h </w:instrText>
      </w:r>
      <w:r>
        <w:fldChar w:fldCharType="separate"/>
      </w:r>
      <w:r>
        <w:t>79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_Toc536620812 \h </w:instrText>
      </w:r>
      <w:r>
        <w:fldChar w:fldCharType="separate"/>
      </w:r>
      <w:r>
        <w:t>81</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_Toc536620813 \h </w:instrText>
      </w:r>
      <w:r>
        <w:fldChar w:fldCharType="separate"/>
      </w:r>
      <w:r>
        <w:t>81</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_Toc536620814 \h </w:instrText>
      </w:r>
      <w:r>
        <w:fldChar w:fldCharType="separate"/>
      </w:r>
      <w:r>
        <w:t>82</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totalisator agencies</w:t>
      </w:r>
      <w:r>
        <w:tab/>
      </w:r>
      <w:r>
        <w:fldChar w:fldCharType="begin"/>
      </w:r>
      <w:r>
        <w:instrText xml:space="preserve"> PAGEREF _Toc536620815 \h </w:instrText>
      </w:r>
      <w:r>
        <w:fldChar w:fldCharType="separate"/>
      </w:r>
      <w:r>
        <w:t>84</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_Toc536620816 \h </w:instrText>
      </w:r>
      <w:r>
        <w:fldChar w:fldCharType="separate"/>
      </w:r>
      <w:r>
        <w:t>84</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_Toc536620817 \h </w:instrText>
      </w:r>
      <w:r>
        <w:fldChar w:fldCharType="separate"/>
      </w:r>
      <w:r>
        <w:t>85</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_Toc536620818 \h </w:instrText>
      </w:r>
      <w:r>
        <w:fldChar w:fldCharType="separate"/>
      </w:r>
      <w:r>
        <w:t>85</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_Toc536620819 \h </w:instrText>
      </w:r>
      <w:r>
        <w:fldChar w:fldCharType="separate"/>
      </w:r>
      <w:r>
        <w:t>86</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_Toc536620820 \h </w:instrText>
      </w:r>
      <w:r>
        <w:fldChar w:fldCharType="separate"/>
      </w:r>
      <w:r>
        <w:t>87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_Toc536620821 \h </w:instrText>
      </w:r>
      <w:r>
        <w:fldChar w:fldCharType="separate"/>
      </w:r>
      <w:r>
        <w:t>87</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_Toc536620822 \h </w:instrText>
      </w:r>
      <w:r>
        <w:fldChar w:fldCharType="separate"/>
      </w:r>
      <w:r>
        <w:t>88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_Toc536620823 \h </w:instrText>
      </w:r>
      <w:r>
        <w:fldChar w:fldCharType="separate"/>
      </w:r>
      <w:r>
        <w:t>88</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_Toc536620824 \h </w:instrText>
      </w:r>
      <w:r>
        <w:fldChar w:fldCharType="separate"/>
      </w:r>
      <w:r>
        <w:t>90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_Toc536620825 \h </w:instrText>
      </w:r>
      <w:r>
        <w:fldChar w:fldCharType="separate"/>
      </w:r>
      <w:r>
        <w:t>92</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w:t>
      </w:r>
      <w:r>
        <w:tab/>
      </w:r>
      <w:r>
        <w:fldChar w:fldCharType="begin"/>
      </w:r>
      <w:r>
        <w:instrText xml:space="preserve"> PAGEREF _Toc536620826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_Toc536620828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_Toc536620831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racing bets levy on the gross revenue or turnover of betting operators; to authorise, regulate and control the use of totalisators and betting with, or through, RWWA; and for other purposes. </w:t>
      </w:r>
    </w:p>
    <w:p>
      <w:pPr>
        <w:pStyle w:val="Footnotelongtitle"/>
      </w:pPr>
      <w:r>
        <w:tab/>
        <w:t xml:space="preserve">[Long title amended: No. 49 of 1960 s. 3; No. 77 of 1976 s. 3; No. 63 of 1995 s. 42; No. 35 of 2003 s. 75; No. 70 of 2006 s. 4; No. 29 of 2009 s. 4; No. 37 of 2018 s. 49.] </w:t>
      </w:r>
    </w:p>
    <w:p>
      <w:pPr>
        <w:pStyle w:val="Heading2"/>
      </w:pPr>
      <w:bookmarkStart w:id="3" w:name="_Toc473796944"/>
      <w:bookmarkStart w:id="4" w:name="_Toc473797028"/>
      <w:bookmarkStart w:id="5" w:name="_Toc473797112"/>
      <w:bookmarkStart w:id="6" w:name="_Toc532473570"/>
      <w:bookmarkStart w:id="7" w:name="_Toc532473668"/>
      <w:bookmarkStart w:id="8" w:name="_Toc532478994"/>
      <w:bookmarkStart w:id="9" w:name="_Toc532810478"/>
      <w:bookmarkStart w:id="10" w:name="_Toc532810601"/>
      <w:bookmarkStart w:id="11" w:name="_Toc536525278"/>
      <w:bookmarkStart w:id="12" w:name="_Toc536540221"/>
      <w:bookmarkStart w:id="13" w:name="_Toc536619502"/>
      <w:bookmarkStart w:id="14" w:name="_Toc536620756"/>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Footnoteheading"/>
        <w:tabs>
          <w:tab w:val="left" w:pos="851"/>
        </w:tabs>
      </w:pPr>
      <w:r>
        <w:tab/>
        <w:t>[Heading inserted: No. 35 of 2003 s. 101(1).]</w:t>
      </w:r>
    </w:p>
    <w:p>
      <w:pPr>
        <w:pStyle w:val="Heading5"/>
        <w:spacing w:before="180"/>
        <w:rPr>
          <w:snapToGrid w:val="0"/>
        </w:rPr>
      </w:pPr>
      <w:bookmarkStart w:id="15" w:name="_Toc536620757"/>
      <w:r>
        <w:rPr>
          <w:rStyle w:val="CharSectno"/>
        </w:rPr>
        <w:t>1</w:t>
      </w:r>
      <w:r>
        <w:rPr>
          <w:snapToGrid w:val="0"/>
        </w:rPr>
        <w:t>.</w:t>
      </w:r>
      <w:r>
        <w:rPr>
          <w:snapToGrid w:val="0"/>
        </w:rPr>
        <w:tab/>
        <w:t>Short title</w:t>
      </w:r>
      <w:bookmarkEnd w:id="1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16" w:name="_Toc536620758"/>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7" w:name="_Toc536620759"/>
      <w:r>
        <w:rPr>
          <w:rStyle w:val="CharSectno"/>
        </w:rPr>
        <w:t>4</w:t>
      </w:r>
      <w:r>
        <w:rPr>
          <w:snapToGrid w:val="0"/>
        </w:rPr>
        <w:t>.</w:t>
      </w:r>
      <w:r>
        <w:rPr>
          <w:snapToGrid w:val="0"/>
        </w:rPr>
        <w:tab/>
        <w:t>Terms used</w:t>
      </w:r>
      <w:bookmarkEnd w:id="17"/>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fixed odds wager as defined in the RWWA Act section 3(1); </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w:t>
      </w:r>
    </w:p>
    <w:p>
      <w:pPr>
        <w:pStyle w:val="Heading5"/>
      </w:pPr>
      <w:bookmarkStart w:id="18" w:name="_Toc536620760"/>
      <w:r>
        <w:rPr>
          <w:rStyle w:val="CharSectno"/>
        </w:rPr>
        <w:t>4AA</w:t>
      </w:r>
      <w:r>
        <w:t>.</w:t>
      </w:r>
      <w:r>
        <w:tab/>
        <w:t>Term used: betting exchange</w:t>
      </w:r>
      <w:bookmarkEnd w:id="18"/>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9" w:name="_Toc536620761"/>
      <w:r>
        <w:rPr>
          <w:rStyle w:val="CharSectno"/>
        </w:rPr>
        <w:t>4A</w:t>
      </w:r>
      <w:r>
        <w:t>.</w:t>
      </w:r>
      <w:r>
        <w:tab/>
        <w:t>Application of this Act to certain sporting events other than races</w:t>
      </w:r>
      <w:bookmarkEnd w:id="19"/>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w:t>
      </w:r>
    </w:p>
    <w:p>
      <w:pPr>
        <w:pStyle w:val="Heading5"/>
        <w:spacing w:before="180"/>
        <w:rPr>
          <w:snapToGrid w:val="0"/>
        </w:rPr>
      </w:pPr>
      <w:bookmarkStart w:id="20" w:name="_Toc536620762"/>
      <w:r>
        <w:rPr>
          <w:rStyle w:val="CharSectno"/>
        </w:rPr>
        <w:t>4B</w:t>
      </w:r>
      <w:r>
        <w:rPr>
          <w:snapToGrid w:val="0"/>
        </w:rPr>
        <w:t>.</w:t>
      </w:r>
      <w:r>
        <w:rPr>
          <w:snapToGrid w:val="0"/>
        </w:rPr>
        <w:tab/>
        <w:t>Application of this Act to events</w:t>
      </w:r>
      <w:bookmarkEnd w:id="20"/>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21" w:name="_Toc536620763"/>
      <w:r>
        <w:rPr>
          <w:rStyle w:val="CharSectno"/>
        </w:rPr>
        <w:t>5</w:t>
      </w:r>
      <w:r>
        <w:rPr>
          <w:snapToGrid w:val="0"/>
        </w:rPr>
        <w:t>.</w:t>
      </w:r>
      <w:r>
        <w:rPr>
          <w:snapToGrid w:val="0"/>
        </w:rPr>
        <w:tab/>
        <w:t>Legalisation of betting with bookmakers</w:t>
      </w:r>
      <w:bookmarkEnd w:id="21"/>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22" w:name="_Toc536620764"/>
      <w:r>
        <w:rPr>
          <w:rStyle w:val="CharSectno"/>
        </w:rPr>
        <w:t>5A</w:t>
      </w:r>
      <w:r>
        <w:t>.</w:t>
      </w:r>
      <w:r>
        <w:tab/>
        <w:t>Communication and broadcasting of information</w:t>
      </w:r>
      <w:bookmarkEnd w:id="22"/>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Ednotesection"/>
        <w:ind w:left="890" w:hanging="890"/>
      </w:pPr>
      <w:r>
        <w:t>[</w:t>
      </w:r>
      <w:r>
        <w:rPr>
          <w:b/>
        </w:rPr>
        <w:t>6, 6A</w:t>
      </w:r>
      <w:r>
        <w:rPr>
          <w:b/>
        </w:rPr>
        <w:noBreakHyphen/>
        <w:t>6G, 7.</w:t>
      </w:r>
      <w:r>
        <w:rPr>
          <w:b/>
        </w:rPr>
        <w:tab/>
      </w:r>
      <w:r>
        <w:t>Deleted: No. 35 of 2003 s. 79.]</w:t>
      </w:r>
    </w:p>
    <w:p>
      <w:pPr>
        <w:pStyle w:val="Ednotesection"/>
        <w:ind w:left="890" w:hanging="890"/>
      </w:pPr>
      <w:r>
        <w:t>[</w:t>
      </w:r>
      <w:r>
        <w:rPr>
          <w:b/>
        </w:rPr>
        <w:t>8.</w:t>
      </w:r>
      <w:r>
        <w:tab/>
        <w:t xml:space="preserve">Deleted: No. 6 of 1987 s. 8] </w:t>
      </w:r>
    </w:p>
    <w:p>
      <w:pPr>
        <w:pStyle w:val="Ednotesection"/>
        <w:ind w:left="890" w:hanging="890"/>
      </w:pPr>
      <w:r>
        <w:t>[</w:t>
      </w:r>
      <w:r>
        <w:rPr>
          <w:b/>
        </w:rPr>
        <w:t>9, 10.</w:t>
      </w:r>
      <w:r>
        <w:rPr>
          <w:b/>
        </w:rPr>
        <w:tab/>
      </w:r>
      <w:r>
        <w:t>Deleted: No. 35 of 2003 s. 79.]</w:t>
      </w:r>
    </w:p>
    <w:p>
      <w:pPr>
        <w:pStyle w:val="Heading2"/>
      </w:pPr>
      <w:bookmarkStart w:id="23" w:name="_Toc473796953"/>
      <w:bookmarkStart w:id="24" w:name="_Toc473797037"/>
      <w:bookmarkStart w:id="25" w:name="_Toc473797121"/>
      <w:bookmarkStart w:id="26" w:name="_Toc532473579"/>
      <w:bookmarkStart w:id="27" w:name="_Toc532473677"/>
      <w:bookmarkStart w:id="28" w:name="_Toc532479003"/>
      <w:bookmarkStart w:id="29" w:name="_Toc532810487"/>
      <w:bookmarkStart w:id="30" w:name="_Toc532810610"/>
      <w:bookmarkStart w:id="31" w:name="_Toc536525287"/>
      <w:bookmarkStart w:id="32" w:name="_Toc536540230"/>
      <w:bookmarkStart w:id="33" w:name="_Toc536619511"/>
      <w:bookmarkStart w:id="34" w:name="_Toc536620765"/>
      <w:r>
        <w:rPr>
          <w:rStyle w:val="CharPartNo"/>
        </w:rPr>
        <w:t>Part 2</w:t>
      </w:r>
      <w:r>
        <w:rPr>
          <w:b w:val="0"/>
        </w:rPr>
        <w:t> </w:t>
      </w:r>
      <w:r>
        <w:t>—</w:t>
      </w:r>
      <w:r>
        <w:rPr>
          <w:b w:val="0"/>
        </w:rPr>
        <w:t> </w:t>
      </w:r>
      <w:r>
        <w:rPr>
          <w:rStyle w:val="CharPartText"/>
        </w:rPr>
        <w:t>Licences, approvals and permits</w:t>
      </w:r>
      <w:bookmarkEnd w:id="23"/>
      <w:bookmarkEnd w:id="24"/>
      <w:bookmarkEnd w:id="25"/>
      <w:bookmarkEnd w:id="26"/>
      <w:bookmarkEnd w:id="27"/>
      <w:bookmarkEnd w:id="28"/>
      <w:bookmarkEnd w:id="29"/>
      <w:bookmarkEnd w:id="30"/>
      <w:bookmarkEnd w:id="31"/>
      <w:bookmarkEnd w:id="32"/>
      <w:bookmarkEnd w:id="33"/>
      <w:bookmarkEnd w:id="34"/>
    </w:p>
    <w:p>
      <w:pPr>
        <w:pStyle w:val="Footnoteheading"/>
        <w:tabs>
          <w:tab w:val="left" w:pos="851"/>
        </w:tabs>
      </w:pPr>
      <w:r>
        <w:tab/>
        <w:t>[Heading inserted: No. 35 of 2003 s. 101(2).]</w:t>
      </w:r>
    </w:p>
    <w:p>
      <w:pPr>
        <w:pStyle w:val="Heading5"/>
      </w:pPr>
      <w:bookmarkStart w:id="35" w:name="_Toc536620766"/>
      <w:r>
        <w:rPr>
          <w:rStyle w:val="CharSectno"/>
        </w:rPr>
        <w:t>11</w:t>
      </w:r>
      <w:r>
        <w:t>.</w:t>
      </w:r>
      <w:r>
        <w:tab/>
        <w:t>Licences and approvals relating to bookmaking</w:t>
      </w:r>
      <w:bookmarkEnd w:id="35"/>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36" w:name="_Toc536620767"/>
      <w:r>
        <w:rPr>
          <w:rStyle w:val="CharSectno"/>
        </w:rPr>
        <w:t>11A</w:t>
      </w:r>
      <w:r>
        <w:t>.</w:t>
      </w:r>
      <w:r>
        <w:tab/>
        <w:t>Bookmaker’s licence — natural person</w:t>
      </w:r>
      <w:bookmarkEnd w:id="36"/>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w:t>
      </w:r>
    </w:p>
    <w:p>
      <w:pPr>
        <w:pStyle w:val="Heading5"/>
        <w:spacing w:before="240"/>
      </w:pPr>
      <w:bookmarkStart w:id="37" w:name="_Toc536620768"/>
      <w:r>
        <w:rPr>
          <w:rStyle w:val="CharSectno"/>
        </w:rPr>
        <w:t>11B</w:t>
      </w:r>
      <w:r>
        <w:t>.</w:t>
      </w:r>
      <w:r>
        <w:tab/>
        <w:t>Bookmaker’s licence — partnership</w:t>
      </w:r>
      <w:bookmarkEnd w:id="37"/>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w:t>
      </w:r>
    </w:p>
    <w:p>
      <w:pPr>
        <w:pStyle w:val="Heading5"/>
        <w:keepNext w:val="0"/>
        <w:keepLines w:val="0"/>
      </w:pPr>
      <w:bookmarkStart w:id="38" w:name="_Toc536620769"/>
      <w:r>
        <w:rPr>
          <w:rStyle w:val="CharSectno"/>
        </w:rPr>
        <w:t>11C</w:t>
      </w:r>
      <w:r>
        <w:t>.</w:t>
      </w:r>
      <w:r>
        <w:tab/>
        <w:t>Bookmaker’s licences — body corporate</w:t>
      </w:r>
      <w:bookmarkEnd w:id="38"/>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w:t>
      </w:r>
    </w:p>
    <w:p>
      <w:pPr>
        <w:pStyle w:val="Heading5"/>
        <w:spacing w:before="180"/>
      </w:pPr>
      <w:bookmarkStart w:id="39" w:name="_Toc536620770"/>
      <w:r>
        <w:rPr>
          <w:rStyle w:val="CharSectno"/>
        </w:rPr>
        <w:t>11D</w:t>
      </w:r>
      <w:r>
        <w:t>.</w:t>
      </w:r>
      <w:r>
        <w:tab/>
        <w:t>Licences — manager or employee</w:t>
      </w:r>
      <w:bookmarkEnd w:id="3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w:t>
      </w:r>
    </w:p>
    <w:p>
      <w:pPr>
        <w:pStyle w:val="Heading5"/>
      </w:pPr>
      <w:bookmarkStart w:id="40" w:name="_Toc536620771"/>
      <w:r>
        <w:rPr>
          <w:rStyle w:val="CharSectno"/>
        </w:rPr>
        <w:t>11E</w:t>
      </w:r>
      <w:r>
        <w:t>.</w:t>
      </w:r>
      <w:r>
        <w:tab/>
        <w:t>Security</w:t>
      </w:r>
      <w:bookmarkEnd w:id="40"/>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w:t>
      </w:r>
    </w:p>
    <w:p>
      <w:pPr>
        <w:pStyle w:val="Heading5"/>
        <w:spacing w:before="180"/>
      </w:pPr>
      <w:bookmarkStart w:id="41" w:name="_Toc536620772"/>
      <w:r>
        <w:rPr>
          <w:rStyle w:val="CharSectno"/>
        </w:rPr>
        <w:t>11F</w:t>
      </w:r>
      <w:r>
        <w:t>.</w:t>
      </w:r>
      <w:r>
        <w:tab/>
        <w:t>Notification of Commission in relation to licensed manager</w:t>
      </w:r>
      <w:bookmarkEnd w:id="41"/>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42" w:name="_Toc536620773"/>
      <w:r>
        <w:rPr>
          <w:rStyle w:val="CharSectno"/>
        </w:rPr>
        <w:t>11G</w:t>
      </w:r>
      <w:r>
        <w:t>.</w:t>
      </w:r>
      <w:r>
        <w:tab/>
        <w:t>Offences</w:t>
      </w:r>
      <w:bookmarkEnd w:id="42"/>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43" w:name="_Toc536620774"/>
      <w:r>
        <w:rPr>
          <w:rStyle w:val="CharSectno"/>
        </w:rPr>
        <w:t>12</w:t>
      </w:r>
      <w:r>
        <w:rPr>
          <w:snapToGrid w:val="0"/>
        </w:rPr>
        <w:t>.</w:t>
      </w:r>
      <w:r>
        <w:rPr>
          <w:snapToGrid w:val="0"/>
        </w:rPr>
        <w:tab/>
        <w:t>Permits required to bet on race courses etc.</w:t>
      </w:r>
      <w:bookmarkEnd w:id="43"/>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w:t>
      </w:r>
    </w:p>
    <w:p>
      <w:pPr>
        <w:pStyle w:val="Heading5"/>
      </w:pPr>
      <w:bookmarkStart w:id="44" w:name="_Toc536620775"/>
      <w:r>
        <w:rPr>
          <w:rStyle w:val="CharSectno"/>
        </w:rPr>
        <w:t>12A</w:t>
      </w:r>
      <w:r>
        <w:t>.</w:t>
      </w:r>
      <w:r>
        <w:tab/>
        <w:t>Temporary bookmakers’ employees’ licences</w:t>
      </w:r>
      <w:bookmarkEnd w:id="44"/>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w:t>
      </w:r>
    </w:p>
    <w:p>
      <w:pPr>
        <w:pStyle w:val="Heading5"/>
        <w:rPr>
          <w:snapToGrid w:val="0"/>
        </w:rPr>
      </w:pPr>
      <w:bookmarkStart w:id="45" w:name="_Toc536620776"/>
      <w:r>
        <w:rPr>
          <w:rStyle w:val="CharSectno"/>
        </w:rPr>
        <w:t>13</w:t>
      </w:r>
      <w:r>
        <w:rPr>
          <w:snapToGrid w:val="0"/>
        </w:rPr>
        <w:t>.</w:t>
      </w:r>
      <w:r>
        <w:rPr>
          <w:snapToGrid w:val="0"/>
        </w:rPr>
        <w:tab/>
        <w:t>Bookmakers’ annual licence fee</w:t>
      </w:r>
      <w:bookmarkEnd w:id="45"/>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46" w:name="_Toc473796965"/>
      <w:bookmarkStart w:id="47" w:name="_Toc473797049"/>
      <w:bookmarkStart w:id="48" w:name="_Toc473797133"/>
      <w:bookmarkStart w:id="49" w:name="_Toc532473591"/>
      <w:bookmarkStart w:id="50" w:name="_Toc532473689"/>
      <w:bookmarkStart w:id="51" w:name="_Toc532479015"/>
      <w:bookmarkStart w:id="52" w:name="_Toc532810499"/>
      <w:bookmarkStart w:id="53" w:name="_Toc532810622"/>
      <w:bookmarkStart w:id="54" w:name="_Toc536525299"/>
      <w:bookmarkStart w:id="55" w:name="_Toc536540242"/>
      <w:bookmarkStart w:id="56" w:name="_Toc536619523"/>
      <w:bookmarkStart w:id="57" w:name="_Toc536620777"/>
      <w:r>
        <w:rPr>
          <w:rStyle w:val="CharPartNo"/>
        </w:rPr>
        <w:t>Part 3</w:t>
      </w:r>
      <w:r>
        <w:rPr>
          <w:b w:val="0"/>
        </w:rPr>
        <w:t> </w:t>
      </w:r>
      <w:r>
        <w:t>—</w:t>
      </w:r>
      <w:r>
        <w:rPr>
          <w:b w:val="0"/>
        </w:rPr>
        <w:t> </w:t>
      </w:r>
      <w:r>
        <w:rPr>
          <w:rStyle w:val="CharPartText"/>
        </w:rPr>
        <w:t>Levies and totalisators</w:t>
      </w:r>
      <w:bookmarkEnd w:id="46"/>
      <w:bookmarkEnd w:id="47"/>
      <w:bookmarkEnd w:id="48"/>
      <w:bookmarkEnd w:id="49"/>
      <w:bookmarkEnd w:id="50"/>
      <w:bookmarkEnd w:id="51"/>
      <w:bookmarkEnd w:id="52"/>
      <w:bookmarkEnd w:id="53"/>
      <w:bookmarkEnd w:id="54"/>
      <w:bookmarkEnd w:id="55"/>
      <w:bookmarkEnd w:id="56"/>
      <w:bookmarkEnd w:id="57"/>
    </w:p>
    <w:p>
      <w:pPr>
        <w:pStyle w:val="Footnoteheading"/>
        <w:tabs>
          <w:tab w:val="left" w:pos="851"/>
        </w:tabs>
      </w:pPr>
      <w:r>
        <w:tab/>
        <w:t>[Heading inserted: No. 35 of 2003 s. 101(3).]</w:t>
      </w:r>
    </w:p>
    <w:p>
      <w:pPr>
        <w:pStyle w:val="Heading5"/>
        <w:spacing w:before="180"/>
      </w:pPr>
      <w:bookmarkStart w:id="58" w:name="_Toc536620778"/>
      <w:r>
        <w:rPr>
          <w:rStyle w:val="CharSectno"/>
        </w:rPr>
        <w:t>14A</w:t>
      </w:r>
      <w:r>
        <w:t>.</w:t>
      </w:r>
      <w:r>
        <w:tab/>
        <w:t>Betting operators’ liability to lodge returns and to pay racing bets levy</w:t>
      </w:r>
      <w:bookmarkEnd w:id="58"/>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59" w:name="_Toc536620779"/>
      <w:r>
        <w:rPr>
          <w:rStyle w:val="CharSectno"/>
        </w:rPr>
        <w:t>16A</w:t>
      </w:r>
      <w:r>
        <w:rPr>
          <w:snapToGrid w:val="0"/>
        </w:rPr>
        <w:t>.</w:t>
      </w:r>
      <w:r>
        <w:rPr>
          <w:snapToGrid w:val="0"/>
        </w:rPr>
        <w:tab/>
        <w:t>Books of account, records etc.</w:t>
      </w:r>
      <w:bookmarkEnd w:id="59"/>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60" w:name="_Toc536620780"/>
      <w:r>
        <w:rPr>
          <w:rStyle w:val="CharSectno"/>
        </w:rPr>
        <w:t>17</w:t>
      </w:r>
      <w:r>
        <w:rPr>
          <w:snapToGrid w:val="0"/>
        </w:rPr>
        <w:t>.</w:t>
      </w:r>
      <w:r>
        <w:rPr>
          <w:snapToGrid w:val="0"/>
        </w:rPr>
        <w:tab/>
        <w:t>Effect on annual licence fee of not being entitled to receive or retain consideration</w:t>
      </w:r>
      <w:bookmarkEnd w:id="60"/>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61" w:name="_Toc536620781"/>
      <w:r>
        <w:rPr>
          <w:rStyle w:val="CharSectno"/>
        </w:rPr>
        <w:t>17A</w:t>
      </w:r>
      <w:r>
        <w:rPr>
          <w:snapToGrid w:val="0"/>
        </w:rPr>
        <w:t>.</w:t>
      </w:r>
      <w:r>
        <w:rPr>
          <w:snapToGrid w:val="0"/>
        </w:rPr>
        <w:tab/>
        <w:t>Annual licence fee in respect of totalisators</w:t>
      </w:r>
      <w:bookmarkEnd w:id="61"/>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62" w:name="_Toc536620782"/>
      <w:r>
        <w:rPr>
          <w:rStyle w:val="CharSectno"/>
        </w:rPr>
        <w:t>17B</w:t>
      </w:r>
      <w:r>
        <w:rPr>
          <w:snapToGrid w:val="0"/>
        </w:rPr>
        <w:t>.</w:t>
      </w:r>
      <w:r>
        <w:rPr>
          <w:snapToGrid w:val="0"/>
        </w:rPr>
        <w:tab/>
        <w:t>Use of the totalisator by racing clubs</w:t>
      </w:r>
      <w:bookmarkEnd w:id="62"/>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vertAlign w:val="superscript"/>
        </w:rPr>
        <w:t> 2</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w:t>
      </w:r>
    </w:p>
    <w:p>
      <w:pPr>
        <w:pStyle w:val="Heading5"/>
        <w:rPr>
          <w:snapToGrid w:val="0"/>
        </w:rPr>
      </w:pPr>
      <w:bookmarkStart w:id="63" w:name="_Toc536620783"/>
      <w:r>
        <w:rPr>
          <w:rStyle w:val="CharSectno"/>
        </w:rPr>
        <w:t>17C</w:t>
      </w:r>
      <w:r>
        <w:rPr>
          <w:snapToGrid w:val="0"/>
        </w:rPr>
        <w:t>.</w:t>
      </w:r>
      <w:r>
        <w:rPr>
          <w:snapToGrid w:val="0"/>
        </w:rPr>
        <w:tab/>
        <w:t>Making of bets on designated sporting events not authorised</w:t>
      </w:r>
      <w:bookmarkEnd w:id="63"/>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64" w:name="_Toc536620784"/>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64"/>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65" w:name="_Toc536620785"/>
      <w:r>
        <w:rPr>
          <w:rStyle w:val="CharSectno"/>
        </w:rPr>
        <w:t>17E</w:t>
      </w:r>
      <w:r>
        <w:rPr>
          <w:snapToGrid w:val="0"/>
        </w:rPr>
        <w:t>.</w:t>
      </w:r>
      <w:r>
        <w:rPr>
          <w:snapToGrid w:val="0"/>
        </w:rPr>
        <w:tab/>
        <w:t>Percentage of off course bets to belong to RWWA</w:t>
      </w:r>
      <w:bookmarkEnd w:id="65"/>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66" w:name="_Toc536620786"/>
      <w:r>
        <w:rPr>
          <w:rStyle w:val="CharSectno"/>
        </w:rPr>
        <w:t>17EA</w:t>
      </w:r>
      <w:r>
        <w:t>.</w:t>
      </w:r>
      <w:r>
        <w:tab/>
        <w:t xml:space="preserve">Management of fixed odds </w:t>
      </w:r>
      <w:r>
        <w:rPr>
          <w:snapToGrid w:val="0"/>
        </w:rPr>
        <w:t>—</w:t>
      </w:r>
      <w:r>
        <w:t xml:space="preserve"> prescribed margin</w:t>
      </w:r>
      <w:bookmarkEnd w:id="66"/>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9.5pt" o:ole="">
            <v:imagedata r:id="rId22" o:title=""/>
          </v:shape>
          <o:OLEObject Type="Embed" ProgID="Equation.3" ShapeID="_x0000_i1025" DrawAspect="Content" ObjectID="_1643150342" r:id="rId23"/>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67" w:name="_Toc536620787"/>
      <w:r>
        <w:rPr>
          <w:rStyle w:val="CharSectno"/>
        </w:rPr>
        <w:t>17F</w:t>
      </w:r>
      <w:r>
        <w:rPr>
          <w:snapToGrid w:val="0"/>
        </w:rPr>
        <w:t>.</w:t>
      </w:r>
      <w:r>
        <w:rPr>
          <w:snapToGrid w:val="0"/>
        </w:rPr>
        <w:tab/>
        <w:t>Percentage of bets to belong to racing club</w:t>
      </w:r>
      <w:bookmarkEnd w:id="6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68" w:name="_Toc536620788"/>
      <w:r>
        <w:rPr>
          <w:rStyle w:val="CharSectno"/>
        </w:rPr>
        <w:t>18B</w:t>
      </w:r>
      <w:r>
        <w:rPr>
          <w:snapToGrid w:val="0"/>
        </w:rPr>
        <w:t>.</w:t>
      </w:r>
      <w:r>
        <w:rPr>
          <w:snapToGrid w:val="0"/>
        </w:rPr>
        <w:tab/>
        <w:t>Assessment of annual licence fee</w:t>
      </w:r>
      <w:bookmarkEnd w:id="68"/>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69" w:name="_Toc473796983"/>
      <w:bookmarkStart w:id="70" w:name="_Toc473797067"/>
      <w:bookmarkStart w:id="71" w:name="_Toc473797151"/>
      <w:bookmarkStart w:id="72" w:name="_Toc532473609"/>
      <w:bookmarkStart w:id="73" w:name="_Toc532473707"/>
      <w:bookmarkStart w:id="74" w:name="_Toc532479033"/>
      <w:bookmarkStart w:id="75" w:name="_Toc532810517"/>
      <w:bookmarkStart w:id="76" w:name="_Toc532810640"/>
      <w:bookmarkStart w:id="77" w:name="_Toc536525311"/>
      <w:bookmarkStart w:id="78" w:name="_Toc536540254"/>
      <w:bookmarkStart w:id="79" w:name="_Toc536619535"/>
      <w:bookmarkStart w:id="80" w:name="_Toc536620789"/>
      <w:r>
        <w:rPr>
          <w:rStyle w:val="CharPartNo"/>
        </w:rPr>
        <w:t>Part 4</w:t>
      </w:r>
      <w:r>
        <w:rPr>
          <w:b w:val="0"/>
        </w:rPr>
        <w:t> </w:t>
      </w:r>
      <w:r>
        <w:t>—</w:t>
      </w:r>
      <w:r>
        <w:rPr>
          <w:b w:val="0"/>
        </w:rPr>
        <w:t> </w:t>
      </w:r>
      <w:r>
        <w:rPr>
          <w:rStyle w:val="CharPartText"/>
        </w:rPr>
        <w:t>Enforcement and offences</w:t>
      </w:r>
      <w:bookmarkEnd w:id="69"/>
      <w:bookmarkEnd w:id="70"/>
      <w:bookmarkEnd w:id="71"/>
      <w:bookmarkEnd w:id="72"/>
      <w:bookmarkEnd w:id="73"/>
      <w:bookmarkEnd w:id="74"/>
      <w:bookmarkEnd w:id="75"/>
      <w:bookmarkEnd w:id="76"/>
      <w:bookmarkEnd w:id="77"/>
      <w:bookmarkEnd w:id="78"/>
      <w:bookmarkEnd w:id="79"/>
      <w:bookmarkEnd w:id="80"/>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81" w:name="_Toc536620790"/>
      <w:r>
        <w:rPr>
          <w:rStyle w:val="CharSectno"/>
        </w:rPr>
        <w:t>19A</w:t>
      </w:r>
      <w:r>
        <w:rPr>
          <w:snapToGrid w:val="0"/>
        </w:rPr>
        <w:t>.</w:t>
      </w:r>
      <w:r>
        <w:rPr>
          <w:snapToGrid w:val="0"/>
        </w:rPr>
        <w:tab/>
      </w:r>
      <w:r>
        <w:t>Commission</w:t>
      </w:r>
      <w:r>
        <w:rPr>
          <w:snapToGrid w:val="0"/>
        </w:rPr>
        <w:t xml:space="preserve"> may recover unpaid money in respect of annual licence fee</w:t>
      </w:r>
      <w:bookmarkEnd w:id="8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82" w:name="_Toc536620791"/>
      <w:r>
        <w:rPr>
          <w:rStyle w:val="CharSectno"/>
        </w:rPr>
        <w:t>20</w:t>
      </w:r>
      <w:r>
        <w:t>.</w:t>
      </w:r>
      <w:r>
        <w:tab/>
        <w:t>Entry and inspection of race courses and certain other premises</w:t>
      </w:r>
      <w:bookmarkEnd w:id="82"/>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 or</w:t>
      </w:r>
    </w:p>
    <w:p>
      <w:pPr>
        <w:pStyle w:val="Indenta"/>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w:t>
      </w:r>
    </w:p>
    <w:p>
      <w:pPr>
        <w:pStyle w:val="Heading5"/>
      </w:pPr>
      <w:bookmarkStart w:id="83" w:name="_Toc536620792"/>
      <w:r>
        <w:rPr>
          <w:rStyle w:val="CharSectno"/>
        </w:rPr>
        <w:t>20A</w:t>
      </w:r>
      <w:r>
        <w:t>.</w:t>
      </w:r>
      <w:r>
        <w:tab/>
        <w:t>Powers of Commission representative</w:t>
      </w:r>
      <w:bookmarkEnd w:id="83"/>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pageBreakBefore/>
        <w:spacing w:before="0"/>
      </w:pPr>
      <w:bookmarkStart w:id="84" w:name="_Toc536620793"/>
      <w:r>
        <w:rPr>
          <w:rStyle w:val="CharSectno"/>
        </w:rPr>
        <w:t>20B</w:t>
      </w:r>
      <w:r>
        <w:t>.</w:t>
      </w:r>
      <w:r>
        <w:tab/>
        <w:t>Requirement to provide information</w:t>
      </w:r>
      <w:bookmarkEnd w:id="8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w:t>
      </w:r>
    </w:p>
    <w:p>
      <w:pPr>
        <w:pStyle w:val="Heading5"/>
      </w:pPr>
      <w:bookmarkStart w:id="85" w:name="_Toc536620794"/>
      <w:r>
        <w:rPr>
          <w:rStyle w:val="CharSectno"/>
        </w:rPr>
        <w:t>20C</w:t>
      </w:r>
      <w:r>
        <w:t>.</w:t>
      </w:r>
      <w:r>
        <w:tab/>
        <w:t>Complying with information requirements</w:t>
      </w:r>
      <w:bookmarkEnd w:id="85"/>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86" w:name="_Toc536620795"/>
      <w:r>
        <w:rPr>
          <w:rStyle w:val="CharSectno"/>
        </w:rPr>
        <w:t>21</w:t>
      </w:r>
      <w:r>
        <w:rPr>
          <w:snapToGrid w:val="0"/>
        </w:rPr>
        <w:t>.</w:t>
      </w:r>
      <w:r>
        <w:rPr>
          <w:snapToGrid w:val="0"/>
        </w:rPr>
        <w:tab/>
        <w:t>Prohibition of betting with minors, intoxicated persons, etc.</w:t>
      </w:r>
      <w:bookmarkEnd w:id="86"/>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87" w:name="_Toc536620796"/>
      <w:r>
        <w:rPr>
          <w:rStyle w:val="CharSectno"/>
        </w:rPr>
        <w:t>22</w:t>
      </w:r>
      <w:r>
        <w:rPr>
          <w:snapToGrid w:val="0"/>
        </w:rPr>
        <w:t>.</w:t>
      </w:r>
      <w:r>
        <w:rPr>
          <w:snapToGrid w:val="0"/>
        </w:rPr>
        <w:tab/>
        <w:t>Offences by minors</w:t>
      </w:r>
      <w:bookmarkEnd w:id="87"/>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88" w:name="_Toc536620797"/>
      <w:r>
        <w:rPr>
          <w:rStyle w:val="CharSectno"/>
        </w:rPr>
        <w:t>22A</w:t>
      </w:r>
      <w:r>
        <w:t>.</w:t>
      </w:r>
      <w:r>
        <w:tab/>
        <w:t>Prohibition on assisting minors to bet</w:t>
      </w:r>
      <w:bookmarkEnd w:id="88"/>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89" w:name="_Toc536620798"/>
      <w:r>
        <w:rPr>
          <w:rStyle w:val="CharSectno"/>
        </w:rPr>
        <w:t>23</w:t>
      </w:r>
      <w:r>
        <w:rPr>
          <w:snapToGrid w:val="0"/>
        </w:rPr>
        <w:t>.</w:t>
      </w:r>
      <w:r>
        <w:rPr>
          <w:snapToGrid w:val="0"/>
        </w:rPr>
        <w:tab/>
        <w:t>Prohibition of betting on races unless in accordance with this Act</w:t>
      </w:r>
      <w:bookmarkEnd w:id="89"/>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 course where a race meeting is being held under a licence issued by RWWA under the RWWA Act or the </w:t>
      </w:r>
      <w:r>
        <w:rPr>
          <w:i/>
        </w:rPr>
        <w:t>Racing Restriction Act 2003</w:t>
      </w:r>
      <w:r>
        <w:t>; or</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w:t>
      </w:r>
    </w:p>
    <w:p>
      <w:pPr>
        <w:pStyle w:val="Heading5"/>
        <w:rPr>
          <w:snapToGrid w:val="0"/>
        </w:rPr>
      </w:pPr>
      <w:bookmarkStart w:id="90" w:name="_Toc536620799"/>
      <w:r>
        <w:rPr>
          <w:rStyle w:val="CharSectno"/>
        </w:rPr>
        <w:t>24</w:t>
      </w:r>
      <w:r>
        <w:rPr>
          <w:snapToGrid w:val="0"/>
        </w:rPr>
        <w:t>.</w:t>
      </w:r>
      <w:r>
        <w:rPr>
          <w:snapToGrid w:val="0"/>
        </w:rPr>
        <w:tab/>
        <w:t>Unlawful betting</w:t>
      </w:r>
      <w:bookmarkEnd w:id="90"/>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91" w:name="_Toc536620800"/>
      <w:r>
        <w:rPr>
          <w:rStyle w:val="CharSectno"/>
        </w:rPr>
        <w:t>25</w:t>
      </w:r>
      <w:r>
        <w:rPr>
          <w:snapToGrid w:val="0"/>
        </w:rPr>
        <w:t>.</w:t>
      </w:r>
      <w:r>
        <w:rPr>
          <w:snapToGrid w:val="0"/>
        </w:rPr>
        <w:tab/>
        <w:t>Bookmakers may be ordered not to bet</w:t>
      </w:r>
      <w:bookmarkEnd w:id="91"/>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92" w:name="_Toc536620801"/>
      <w:r>
        <w:rPr>
          <w:rStyle w:val="CharSectno"/>
        </w:rPr>
        <w:t>26</w:t>
      </w:r>
      <w:r>
        <w:rPr>
          <w:snapToGrid w:val="0"/>
        </w:rPr>
        <w:t>.</w:t>
      </w:r>
      <w:r>
        <w:rPr>
          <w:snapToGrid w:val="0"/>
        </w:rPr>
        <w:tab/>
        <w:t>Loitering in street or public place</w:t>
      </w:r>
      <w:bookmarkEnd w:id="92"/>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93" w:name="_Toc536620802"/>
      <w:r>
        <w:rPr>
          <w:rStyle w:val="CharSectno"/>
        </w:rPr>
        <w:t>26A</w:t>
      </w:r>
      <w:r>
        <w:rPr>
          <w:snapToGrid w:val="0"/>
        </w:rPr>
        <w:t>.</w:t>
      </w:r>
      <w:r>
        <w:rPr>
          <w:snapToGrid w:val="0"/>
        </w:rPr>
        <w:tab/>
        <w:t>Removal of persons</w:t>
      </w:r>
      <w:bookmarkEnd w:id="9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94" w:name="_Toc536620803"/>
      <w:r>
        <w:rPr>
          <w:rStyle w:val="CharSectno"/>
        </w:rPr>
        <w:t>26B</w:t>
      </w:r>
      <w:r>
        <w:rPr>
          <w:snapToGrid w:val="0"/>
        </w:rPr>
        <w:t>.</w:t>
      </w:r>
      <w:r>
        <w:rPr>
          <w:snapToGrid w:val="0"/>
        </w:rPr>
        <w:tab/>
        <w:t>Penalty for persons warning offenders of approach of member of Police Force</w:t>
      </w:r>
      <w:bookmarkEnd w:id="94"/>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95" w:name="_Toc536620804"/>
      <w:r>
        <w:rPr>
          <w:rStyle w:val="CharSectno"/>
        </w:rPr>
        <w:t>26C</w:t>
      </w:r>
      <w:r>
        <w:rPr>
          <w:snapToGrid w:val="0"/>
        </w:rPr>
        <w:t>.</w:t>
      </w:r>
      <w:r>
        <w:rPr>
          <w:snapToGrid w:val="0"/>
        </w:rPr>
        <w:tab/>
        <w:t>Unlawful betting on licensed premises</w:t>
      </w:r>
      <w:bookmarkEnd w:id="9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96" w:name="_Toc536620805"/>
      <w:r>
        <w:rPr>
          <w:rStyle w:val="CharSectno"/>
        </w:rPr>
        <w:t>27</w:t>
      </w:r>
      <w:r>
        <w:t>.</w:t>
      </w:r>
      <w:r>
        <w:tab/>
        <w:t>Penalty on owner or occupier of premises used for unlawful betting</w:t>
      </w:r>
      <w:bookmarkEnd w:id="96"/>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w:t>
      </w:r>
    </w:p>
    <w:p>
      <w:pPr>
        <w:pStyle w:val="Heading5"/>
        <w:spacing w:before="180"/>
      </w:pPr>
      <w:bookmarkStart w:id="97" w:name="_Toc536620806"/>
      <w:r>
        <w:rPr>
          <w:rStyle w:val="CharSectno"/>
        </w:rPr>
        <w:t>27A</w:t>
      </w:r>
      <w:r>
        <w:t>.</w:t>
      </w:r>
      <w:r>
        <w:tab/>
        <w:t>Interstate and offshore betting</w:t>
      </w:r>
      <w:bookmarkEnd w:id="97"/>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98" w:name="_Toc536620807"/>
      <w:r>
        <w:rPr>
          <w:rStyle w:val="CharSectno"/>
        </w:rPr>
        <w:t>27D</w:t>
      </w:r>
      <w:r>
        <w:t>.</w:t>
      </w:r>
      <w:r>
        <w:tab/>
        <w:t>Publication of WA race fields restricted</w:t>
      </w:r>
      <w:bookmarkEnd w:id="98"/>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99" w:name="_Toc536620808"/>
      <w:r>
        <w:rPr>
          <w:rStyle w:val="CharSectno"/>
        </w:rPr>
        <w:t>27E</w:t>
      </w:r>
      <w:r>
        <w:t>.</w:t>
      </w:r>
      <w:r>
        <w:tab/>
        <w:t>Confidentiality</w:t>
      </w:r>
      <w:bookmarkEnd w:id="99"/>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100" w:name="_Toc536620809"/>
      <w:r>
        <w:rPr>
          <w:rStyle w:val="CharSectno"/>
        </w:rPr>
        <w:t>27F</w:t>
      </w:r>
      <w:r>
        <w:t>.</w:t>
      </w:r>
      <w:r>
        <w:tab/>
        <w:t>Authorisation of publication of WA race fields by domestic betting operators</w:t>
      </w:r>
      <w:bookmarkEnd w:id="100"/>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Next w:val="0"/>
        <w:keepLines w:val="0"/>
        <w:spacing w:before="240"/>
      </w:pPr>
      <w:bookmarkStart w:id="101" w:name="_Toc536620810"/>
      <w:r>
        <w:rPr>
          <w:rStyle w:val="CharSectno"/>
        </w:rPr>
        <w:t>27G</w:t>
      </w:r>
      <w:r>
        <w:t>.</w:t>
      </w:r>
      <w:r>
        <w:tab/>
        <w:t>Liability of persons who occupy a position of authority in a body corporate</w:t>
      </w:r>
      <w:bookmarkEnd w:id="101"/>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102" w:name="_Toc536620811"/>
      <w:r>
        <w:rPr>
          <w:rStyle w:val="CharSectno"/>
        </w:rPr>
        <w:t>27H</w:t>
      </w:r>
      <w:r>
        <w:t>.</w:t>
      </w:r>
      <w:r>
        <w:tab/>
        <w:t>Liability of natural persons, partners, bodies corporate and officers</w:t>
      </w:r>
      <w:bookmarkEnd w:id="102"/>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103" w:name="_Toc536620812"/>
      <w:r>
        <w:rPr>
          <w:rStyle w:val="CharSectno"/>
        </w:rPr>
        <w:t>28</w:t>
      </w:r>
      <w:r>
        <w:rPr>
          <w:snapToGrid w:val="0"/>
        </w:rPr>
        <w:t>.</w:t>
      </w:r>
      <w:r>
        <w:rPr>
          <w:snapToGrid w:val="0"/>
        </w:rPr>
        <w:tab/>
        <w:t>Forfeiture of betting material and money in certain cases</w:t>
      </w:r>
      <w:bookmarkEnd w:id="103"/>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04" w:name="_Toc536620813"/>
      <w:r>
        <w:rPr>
          <w:rStyle w:val="CharSectno"/>
        </w:rPr>
        <w:t>28A</w:t>
      </w:r>
      <w:r>
        <w:rPr>
          <w:snapToGrid w:val="0"/>
        </w:rPr>
        <w:t>.</w:t>
      </w:r>
      <w:r>
        <w:rPr>
          <w:snapToGrid w:val="0"/>
        </w:rPr>
        <w:tab/>
        <w:t>Search warrant</w:t>
      </w:r>
      <w:bookmarkEnd w:id="104"/>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05" w:name="_Toc536620814"/>
      <w:r>
        <w:rPr>
          <w:rStyle w:val="CharSectno"/>
        </w:rPr>
        <w:t>28B</w:t>
      </w:r>
      <w:r>
        <w:rPr>
          <w:snapToGrid w:val="0"/>
        </w:rPr>
        <w:t>.</w:t>
      </w:r>
      <w:r>
        <w:rPr>
          <w:snapToGrid w:val="0"/>
        </w:rPr>
        <w:tab/>
        <w:t>Prima facie evidence of offence</w:t>
      </w:r>
      <w:bookmarkEnd w:id="105"/>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pageBreakBefore/>
        <w:spacing w:before="0"/>
        <w:rPr>
          <w:snapToGrid w:val="0"/>
        </w:rPr>
      </w:pPr>
      <w:bookmarkStart w:id="106" w:name="_Toc536620815"/>
      <w:r>
        <w:rPr>
          <w:rStyle w:val="CharSectno"/>
        </w:rPr>
        <w:t>28C</w:t>
      </w:r>
      <w:r>
        <w:rPr>
          <w:snapToGrid w:val="0"/>
        </w:rPr>
        <w:t>.</w:t>
      </w:r>
      <w:r>
        <w:rPr>
          <w:snapToGrid w:val="0"/>
        </w:rPr>
        <w:tab/>
        <w:t>Offences in respect of conducting totalisator agencies</w:t>
      </w:r>
      <w:bookmarkEnd w:id="10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107" w:name="_Toc536620816"/>
      <w:r>
        <w:rPr>
          <w:rStyle w:val="CharSectno"/>
        </w:rPr>
        <w:t>28D</w:t>
      </w:r>
      <w:r>
        <w:rPr>
          <w:snapToGrid w:val="0"/>
        </w:rPr>
        <w:t>.</w:t>
      </w:r>
      <w:r>
        <w:rPr>
          <w:snapToGrid w:val="0"/>
        </w:rPr>
        <w:tab/>
        <w:t>Penalty for acting as totalisator agent</w:t>
      </w:r>
      <w:bookmarkEnd w:id="107"/>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108" w:name="_Toc536620817"/>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08"/>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109" w:name="_Toc536620818"/>
      <w:r>
        <w:rPr>
          <w:rStyle w:val="CharSectno"/>
        </w:rPr>
        <w:t>28F</w:t>
      </w:r>
      <w:r>
        <w:rPr>
          <w:snapToGrid w:val="0"/>
        </w:rPr>
        <w:t>.</w:t>
      </w:r>
      <w:r>
        <w:rPr>
          <w:snapToGrid w:val="0"/>
        </w:rPr>
        <w:tab/>
        <w:t>Non</w:t>
      </w:r>
      <w:r>
        <w:rPr>
          <w:snapToGrid w:val="0"/>
        </w:rPr>
        <w:noBreakHyphen/>
        <w:t>application of sections 28D and 28E</w:t>
      </w:r>
      <w:bookmarkEnd w:id="109"/>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10" w:name="_Toc536620819"/>
      <w:r>
        <w:rPr>
          <w:rStyle w:val="CharSectno"/>
        </w:rPr>
        <w:t>28G</w:t>
      </w:r>
      <w:r>
        <w:rPr>
          <w:snapToGrid w:val="0"/>
        </w:rPr>
        <w:t>.</w:t>
      </w:r>
      <w:r>
        <w:rPr>
          <w:snapToGrid w:val="0"/>
        </w:rPr>
        <w:tab/>
        <w:t>Penalty for accepting bets after closing time</w:t>
      </w:r>
      <w:bookmarkEnd w:id="110"/>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11" w:name="_Toc536620820"/>
      <w:r>
        <w:rPr>
          <w:rStyle w:val="CharSectno"/>
        </w:rPr>
        <w:t>29</w:t>
      </w:r>
      <w:r>
        <w:t>.</w:t>
      </w:r>
      <w:r>
        <w:tab/>
        <w:t>Penalty for providing credit</w:t>
      </w:r>
      <w:bookmarkEnd w:id="111"/>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112" w:name="_Toc536620821"/>
      <w:r>
        <w:rPr>
          <w:rStyle w:val="CharSectno"/>
        </w:rPr>
        <w:t>30</w:t>
      </w:r>
      <w:r>
        <w:rPr>
          <w:snapToGrid w:val="0"/>
        </w:rPr>
        <w:t>.</w:t>
      </w:r>
      <w:r>
        <w:rPr>
          <w:snapToGrid w:val="0"/>
        </w:rPr>
        <w:tab/>
        <w:t>General penalty</w:t>
      </w:r>
      <w:bookmarkEnd w:id="112"/>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113" w:name="_Toc536620822"/>
      <w:r>
        <w:rPr>
          <w:rStyle w:val="CharSectno"/>
        </w:rPr>
        <w:t>30A</w:t>
      </w:r>
      <w:r>
        <w:t>.</w:t>
      </w:r>
      <w:r>
        <w:rPr>
          <w:b w:val="0"/>
        </w:rPr>
        <w:tab/>
      </w:r>
      <w:r>
        <w:rPr>
          <w:snapToGrid w:val="0"/>
        </w:rPr>
        <w:t>Offences to be dealt with by magistrate</w:t>
      </w:r>
      <w:bookmarkEnd w:id="113"/>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14" w:name="_Toc536620823"/>
      <w:r>
        <w:rPr>
          <w:rStyle w:val="CharSectno"/>
        </w:rPr>
        <w:t>31</w:t>
      </w:r>
      <w:r>
        <w:rPr>
          <w:snapToGrid w:val="0"/>
        </w:rPr>
        <w:t>.</w:t>
      </w:r>
      <w:r>
        <w:rPr>
          <w:snapToGrid w:val="0"/>
        </w:rPr>
        <w:tab/>
        <w:t>Conduct of betting</w:t>
      </w:r>
      <w:bookmarkEnd w:id="114"/>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w:t>
      </w:r>
    </w:p>
    <w:p>
      <w:pPr>
        <w:pStyle w:val="Heading5"/>
        <w:rPr>
          <w:snapToGrid w:val="0"/>
        </w:rPr>
      </w:pPr>
      <w:bookmarkStart w:id="115" w:name="_Toc536620824"/>
      <w:r>
        <w:rPr>
          <w:rStyle w:val="CharSectno"/>
        </w:rPr>
        <w:t>31A</w:t>
      </w:r>
      <w:r>
        <w:rPr>
          <w:snapToGrid w:val="0"/>
        </w:rPr>
        <w:t>.</w:t>
      </w:r>
      <w:r>
        <w:rPr>
          <w:snapToGrid w:val="0"/>
        </w:rPr>
        <w:tab/>
        <w:t>Evidence</w:t>
      </w:r>
      <w:bookmarkEnd w:id="115"/>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116" w:name="_Toc536620825"/>
      <w:r>
        <w:rPr>
          <w:rStyle w:val="CharSectno"/>
        </w:rPr>
        <w:t>32</w:t>
      </w:r>
      <w:r>
        <w:rPr>
          <w:snapToGrid w:val="0"/>
        </w:rPr>
        <w:t>.</w:t>
      </w:r>
      <w:r>
        <w:rPr>
          <w:snapToGrid w:val="0"/>
        </w:rPr>
        <w:tab/>
        <w:t>Disputes as to bets with bookmakers</w:t>
      </w:r>
      <w:bookmarkEnd w:id="116"/>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w:t>
      </w:r>
    </w:p>
    <w:p>
      <w:pPr>
        <w:pStyle w:val="Heading5"/>
        <w:spacing w:before="180"/>
        <w:rPr>
          <w:snapToGrid w:val="0"/>
        </w:rPr>
      </w:pPr>
      <w:bookmarkStart w:id="117" w:name="_Toc536620826"/>
      <w:r>
        <w:rPr>
          <w:rStyle w:val="CharSectno"/>
        </w:rPr>
        <w:t>32A</w:t>
      </w:r>
      <w:r>
        <w:rPr>
          <w:snapToGrid w:val="0"/>
        </w:rPr>
        <w:t>.</w:t>
      </w:r>
      <w:r>
        <w:rPr>
          <w:snapToGrid w:val="0"/>
        </w:rPr>
        <w:tab/>
        <w:t>Disciplinary powers</w:t>
      </w:r>
      <w:bookmarkEnd w:id="117"/>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w:t>
      </w:r>
    </w:p>
    <w:p>
      <w:pPr>
        <w:pStyle w:val="Heading2"/>
      </w:pPr>
      <w:bookmarkStart w:id="118" w:name="_Toc473797022"/>
      <w:bookmarkStart w:id="119" w:name="_Toc473797106"/>
      <w:bookmarkStart w:id="120" w:name="_Toc473797190"/>
      <w:bookmarkStart w:id="121" w:name="_Toc532473648"/>
      <w:bookmarkStart w:id="122" w:name="_Toc532473746"/>
      <w:bookmarkStart w:id="123" w:name="_Toc532479072"/>
      <w:bookmarkStart w:id="124" w:name="_Toc532810556"/>
      <w:bookmarkStart w:id="125" w:name="_Toc532810679"/>
      <w:bookmarkStart w:id="126" w:name="_Toc536525349"/>
      <w:bookmarkStart w:id="127" w:name="_Toc536540292"/>
      <w:bookmarkStart w:id="128" w:name="_Toc536619573"/>
      <w:bookmarkStart w:id="129" w:name="_Toc536620827"/>
      <w:r>
        <w:rPr>
          <w:rStyle w:val="CharPartNo"/>
        </w:rPr>
        <w:t>Part 5</w:t>
      </w:r>
      <w:r>
        <w:rPr>
          <w:b w:val="0"/>
        </w:rPr>
        <w:t> </w:t>
      </w:r>
      <w:r>
        <w:t>—</w:t>
      </w:r>
      <w:r>
        <w:rPr>
          <w:b w:val="0"/>
        </w:rPr>
        <w:t> </w:t>
      </w:r>
      <w:r>
        <w:rPr>
          <w:rStyle w:val="CharPartText"/>
        </w:rPr>
        <w:t>Miscellaneous</w:t>
      </w:r>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tabs>
          <w:tab w:val="left" w:pos="851"/>
        </w:tabs>
      </w:pPr>
      <w:r>
        <w:tab/>
        <w:t>[Heading inserted: No. 35 of 2003 s. 101(5).]</w:t>
      </w:r>
    </w:p>
    <w:p>
      <w:pPr>
        <w:pStyle w:val="Heading5"/>
        <w:rPr>
          <w:snapToGrid w:val="0"/>
        </w:rPr>
      </w:pPr>
      <w:bookmarkStart w:id="130" w:name="_Toc536620828"/>
      <w:r>
        <w:rPr>
          <w:rStyle w:val="CharSectno"/>
        </w:rPr>
        <w:t>33</w:t>
      </w:r>
      <w:r>
        <w:rPr>
          <w:snapToGrid w:val="0"/>
        </w:rPr>
        <w:t>.</w:t>
      </w:r>
      <w:r>
        <w:rPr>
          <w:snapToGrid w:val="0"/>
        </w:rPr>
        <w:tab/>
        <w:t>Regulations</w:t>
      </w:r>
      <w:bookmarkEnd w:id="1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bookmarkStart w:id="131" w:name="_Toc532810558"/>
      <w:bookmarkStart w:id="132" w:name="_Toc532810681"/>
      <w:r>
        <w:t xml:space="preserve">[Part 6: </w:t>
      </w:r>
      <w:r>
        <w:tab/>
        <w:t>s. 34 and 35 deleted: No. 37 of 2018 s. 61;</w:t>
      </w:r>
      <w:r>
        <w:br/>
      </w:r>
      <w:r>
        <w:tab/>
        <w:t>s. </w:t>
      </w:r>
      <w:bookmarkEnd w:id="131"/>
      <w:bookmarkEnd w:id="132"/>
      <w:r>
        <w:t xml:space="preserve">36 deleted: No. 35 of 2003 s. 98.] </w:t>
      </w:r>
    </w:p>
    <w:p>
      <w:pPr>
        <w:pStyle w:val="yEdnoteschedule"/>
      </w:pPr>
      <w:r>
        <w:t>[Schedule 1 deleted: No. 35 of 2003 s. 99.]</w:t>
      </w:r>
    </w:p>
    <w:p>
      <w:pPr>
        <w:pStyle w:val="yEdnoteschedule"/>
      </w:pPr>
      <w:r>
        <w:t>[Schedule 2 deleted: No. 35 of 2003 s. 100.]</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33" w:name="_Toc473797024"/>
      <w:bookmarkStart w:id="134" w:name="_Toc473797108"/>
      <w:bookmarkStart w:id="135" w:name="_Toc473797192"/>
      <w:bookmarkStart w:id="136" w:name="_Toc532473650"/>
      <w:bookmarkStart w:id="137" w:name="_Toc532473748"/>
      <w:bookmarkStart w:id="138" w:name="_Toc532479074"/>
      <w:bookmarkStart w:id="139" w:name="_Toc532810561"/>
      <w:bookmarkStart w:id="140" w:name="_Toc532810684"/>
      <w:bookmarkStart w:id="141" w:name="_Toc536525351"/>
      <w:bookmarkStart w:id="142" w:name="_Toc536540294"/>
      <w:bookmarkStart w:id="143" w:name="_Toc536619575"/>
      <w:bookmarkStart w:id="144" w:name="_Toc536620829"/>
      <w:r>
        <w:rPr>
          <w:rStyle w:val="CharSchNo"/>
        </w:rPr>
        <w:t>Schedule 3</w:t>
      </w:r>
      <w:r>
        <w:t xml:space="preserve"> — </w:t>
      </w:r>
      <w:r>
        <w:rPr>
          <w:rStyle w:val="CharSchText"/>
        </w:rPr>
        <w:t>Requirements for licensing of a body corporate and continuation of the licence of a body corporate</w:t>
      </w:r>
      <w:bookmarkEnd w:id="133"/>
      <w:bookmarkEnd w:id="134"/>
      <w:bookmarkEnd w:id="135"/>
      <w:bookmarkEnd w:id="136"/>
      <w:bookmarkEnd w:id="137"/>
      <w:bookmarkEnd w:id="138"/>
      <w:bookmarkEnd w:id="139"/>
      <w:bookmarkEnd w:id="140"/>
      <w:bookmarkEnd w:id="141"/>
      <w:bookmarkEnd w:id="142"/>
      <w:bookmarkEnd w:id="143"/>
      <w:bookmarkEnd w:id="144"/>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46" w:name="_Toc473797025"/>
      <w:bookmarkStart w:id="147" w:name="_Toc473797109"/>
      <w:bookmarkStart w:id="148" w:name="_Toc473797193"/>
      <w:bookmarkStart w:id="149" w:name="_Toc532473651"/>
      <w:bookmarkStart w:id="150" w:name="_Toc532473749"/>
      <w:bookmarkStart w:id="151" w:name="_Toc532479075"/>
      <w:bookmarkStart w:id="152" w:name="_Toc532810562"/>
      <w:bookmarkStart w:id="153" w:name="_Toc532810685"/>
      <w:bookmarkStart w:id="154" w:name="_Toc536525352"/>
      <w:bookmarkStart w:id="155" w:name="_Toc536540295"/>
      <w:bookmarkStart w:id="156" w:name="_Toc536619576"/>
      <w:bookmarkStart w:id="157" w:name="_Toc536620830"/>
      <w:r>
        <w:t>Notes</w:t>
      </w:r>
      <w:bookmarkEnd w:id="146"/>
      <w:bookmarkEnd w:id="147"/>
      <w:bookmarkEnd w:id="148"/>
      <w:bookmarkEnd w:id="149"/>
      <w:bookmarkEnd w:id="150"/>
      <w:bookmarkEnd w:id="151"/>
      <w:bookmarkEnd w:id="152"/>
      <w:bookmarkEnd w:id="153"/>
      <w:bookmarkEnd w:id="154"/>
      <w:bookmarkEnd w:id="155"/>
      <w:bookmarkEnd w:id="156"/>
      <w:bookmarkEnd w:id="157"/>
    </w:p>
    <w:p>
      <w:pPr>
        <w:pStyle w:val="nSubsection"/>
      </w:pPr>
      <w:r>
        <w:rPr>
          <w:vertAlign w:val="superscript"/>
        </w:rPr>
        <w:t>1</w:t>
      </w:r>
      <w:r>
        <w:tab/>
        <w:t xml:space="preserve">This is a compilation of the </w:t>
      </w:r>
      <w:r>
        <w:rPr>
          <w:i/>
          <w:noProof/>
        </w:rPr>
        <w:t>Betting Control Act 1954</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58" w:name="_Toc536620831"/>
      <w:r>
        <w:rPr>
          <w:snapToGrid w:val="0"/>
        </w:rPr>
        <w:t>Compilation table</w:t>
      </w:r>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
              </w:rPr>
            </w:pPr>
            <w:r>
              <w:rPr>
                <w:i/>
              </w:rPr>
              <w:t>Gaming and Wagering Legislation Amendment Act 2018</w:t>
            </w:r>
            <w:r>
              <w:t xml:space="preserve"> Pt. 2</w:t>
            </w:r>
          </w:p>
        </w:tc>
        <w:tc>
          <w:tcPr>
            <w:tcW w:w="1134" w:type="dxa"/>
            <w:tcBorders>
              <w:top w:val="nil"/>
              <w:bottom w:val="single" w:sz="4" w:space="0" w:color="auto"/>
            </w:tcBorders>
          </w:tcPr>
          <w:p>
            <w:pPr>
              <w:pStyle w:val="nTable"/>
              <w:spacing w:after="40"/>
            </w:pPr>
            <w:r>
              <w:t>41 of 2018</w:t>
            </w:r>
          </w:p>
        </w:tc>
        <w:tc>
          <w:tcPr>
            <w:tcW w:w="1134" w:type="dxa"/>
            <w:tcBorders>
              <w:top w:val="nil"/>
              <w:bottom w:val="single" w:sz="4" w:space="0" w:color="auto"/>
            </w:tcBorders>
          </w:tcPr>
          <w:p>
            <w:pPr>
              <w:pStyle w:val="nTable"/>
              <w:spacing w:after="40"/>
            </w:pPr>
            <w:r>
              <w:t>12 Dec 2018</w:t>
            </w:r>
          </w:p>
        </w:tc>
        <w:tc>
          <w:tcPr>
            <w:tcW w:w="2552" w:type="dxa"/>
            <w:tcBorders>
              <w:top w:val="nil"/>
              <w:bottom w:val="single" w:sz="4" w:space="0" w:color="auto"/>
            </w:tcBorders>
          </w:tcPr>
          <w:p>
            <w:pPr>
              <w:pStyle w:val="nTable"/>
              <w:spacing w:after="40"/>
            </w:pPr>
            <w:r>
              <w:t xml:space="preserve">1 Feb 2019 (see s. 2(b) and </w:t>
            </w:r>
            <w:r>
              <w:rPr>
                <w:i/>
              </w:rPr>
              <w:t>Gazette</w:t>
            </w:r>
            <w:r>
              <w:t xml:space="preserve"> 25 Jan 2019 p. 193</w:t>
            </w:r>
            <w:r>
              <w:noBreakHyphen/>
              <w:t>4)</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 </w:t>
      </w:r>
      <w:r>
        <w:rPr>
          <w:color w:val="000000"/>
        </w:rPr>
        <w:t>s. 72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keepNext/>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60" w:name="_Toc536619578"/>
      <w:bookmarkStart w:id="161" w:name="_Toc536620832"/>
      <w:r>
        <w:rPr>
          <w:sz w:val="28"/>
        </w:rPr>
        <w:t>Defined terms</w:t>
      </w:r>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 back</w:t>
      </w:r>
      <w:r>
        <w:tab/>
        <w:t>14A(1)</w:t>
      </w:r>
    </w:p>
    <w:p>
      <w:pPr>
        <w:pStyle w:val="DefinedTerms"/>
      </w:pPr>
      <w:r>
        <w:t>bets</w:t>
      </w:r>
      <w:r>
        <w:tab/>
        <w:t>24(2)</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contingency</w:t>
      </w:r>
      <w:r>
        <w:tab/>
        <w:t>4(1)</w:t>
      </w:r>
    </w:p>
    <w:p>
      <w:pPr>
        <w:pStyle w:val="DefinedTerms"/>
      </w:pPr>
      <w:r>
        <w:t>controlling interest</w:t>
      </w:r>
      <w:r>
        <w:tab/>
        <w:t>4(1)</w:t>
      </w:r>
    </w:p>
    <w:p>
      <w:pPr>
        <w:pStyle w:val="DefinedTerms"/>
      </w:pPr>
      <w:r>
        <w:t>designated sporting event</w:t>
      </w:r>
      <w:r>
        <w:tab/>
        <w:t>4(1)</w:t>
      </w:r>
    </w:p>
    <w:p>
      <w:pPr>
        <w:pStyle w:val="DefinedTerms"/>
      </w:pPr>
      <w:r>
        <w:t>domestic betting operator</w:t>
      </w:r>
      <w:r>
        <w:tab/>
        <w:t>4(1)</w:t>
      </w:r>
    </w:p>
    <w:p>
      <w:pPr>
        <w:pStyle w:val="DefinedTerms"/>
      </w:pPr>
      <w:r>
        <w:t>employee</w:t>
      </w:r>
      <w:r>
        <w:tab/>
        <w:t>4(1)</w:t>
      </w:r>
    </w:p>
    <w:p>
      <w:pPr>
        <w:pStyle w:val="DefinedTerms"/>
      </w:pPr>
      <w:r>
        <w:t>equipment</w:t>
      </w:r>
      <w:r>
        <w:tab/>
        <w:t>4(1)</w:t>
      </w:r>
    </w:p>
    <w:p>
      <w:pPr>
        <w:pStyle w:val="DefinedTerms"/>
      </w:pPr>
      <w:r>
        <w:t>event</w:t>
      </w:r>
      <w:r>
        <w:tab/>
        <w:t>4(1)</w:t>
      </w:r>
    </w:p>
    <w:p>
      <w:pPr>
        <w:pStyle w:val="DefinedTerms"/>
      </w:pPr>
      <w:r>
        <w:t>fixed odds bet</w:t>
      </w:r>
      <w:r>
        <w:tab/>
        <w:t>4(1)</w:t>
      </w:r>
    </w:p>
    <w:p>
      <w:pPr>
        <w:pStyle w:val="DefinedTerms"/>
      </w:pPr>
      <w:r>
        <w:t>gross revenue</w:t>
      </w:r>
      <w:r>
        <w:tab/>
        <w:t>14A(1)</w:t>
      </w:r>
    </w:p>
    <w:p>
      <w:pPr>
        <w:pStyle w:val="DefinedTerms"/>
      </w:pPr>
      <w:r>
        <w:t>interstate offence</w:t>
      </w:r>
      <w:r>
        <w:tab/>
        <w:t>11G(6), 24(2)</w:t>
      </w:r>
    </w:p>
    <w:p>
      <w:pPr>
        <w:pStyle w:val="DefinedTerms"/>
      </w:pPr>
      <w:r>
        <w:t>interstate or offshore bet</w:t>
      </w:r>
      <w:r>
        <w:tab/>
        <w:t>27A(1)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offshore betting operator</w:t>
      </w:r>
      <w:r>
        <w:tab/>
        <w:t>4(1)</w:t>
      </w:r>
    </w:p>
    <w:p>
      <w:pPr>
        <w:pStyle w:val="DefinedTerms"/>
      </w:pPr>
      <w:r>
        <w:t>permit</w:t>
      </w:r>
      <w:r>
        <w:tab/>
        <w:t>4A(8)</w:t>
      </w:r>
    </w:p>
    <w:p>
      <w:pPr>
        <w:pStyle w:val="DefinedTerms"/>
      </w:pPr>
      <w:r>
        <w:t>permitted event or contingency</w:t>
      </w:r>
      <w:r>
        <w:tab/>
        <w:t>27A(1)</w:t>
      </w:r>
    </w:p>
    <w:p>
      <w:pPr>
        <w:pStyle w:val="DefinedTerms"/>
      </w:pPr>
      <w:r>
        <w:t>permittee</w:t>
      </w:r>
      <w:r>
        <w:tab/>
        <w:t>4(1)</w:t>
      </w:r>
    </w:p>
    <w:p>
      <w:pPr>
        <w:pStyle w:val="DefinedTerms"/>
      </w:pPr>
      <w:r>
        <w:t>place</w:t>
      </w:r>
      <w:r>
        <w:tab/>
        <w:t>4(1)</w:t>
      </w:r>
    </w:p>
    <w:p>
      <w:pPr>
        <w:pStyle w:val="DefinedTerms"/>
      </w:pPr>
      <w:r>
        <w:t>possession</w:t>
      </w:r>
      <w:r>
        <w:tab/>
        <w:t>4(1)</w:t>
      </w:r>
    </w:p>
    <w:p>
      <w:pPr>
        <w:pStyle w:val="DefinedTerms"/>
      </w:pPr>
      <w:r>
        <w:t>prohibited event or contingency</w:t>
      </w:r>
      <w:r>
        <w:tab/>
        <w:t>4(1)</w:t>
      </w:r>
    </w:p>
    <w:p>
      <w:pPr>
        <w:pStyle w:val="DefinedTerms"/>
      </w:pPr>
      <w:r>
        <w:t>public place</w:t>
      </w:r>
      <w:r>
        <w:tab/>
        <w:t>4(1)</w:t>
      </w:r>
    </w:p>
    <w:p>
      <w:pPr>
        <w:pStyle w:val="DefinedTerms"/>
      </w:pPr>
      <w:r>
        <w:t>race</w:t>
      </w:r>
      <w:r>
        <w:tab/>
        <w:t>4(1)</w:t>
      </w:r>
    </w:p>
    <w:p>
      <w:pPr>
        <w:pStyle w:val="DefinedTerms"/>
      </w:pPr>
      <w:r>
        <w:t>race course</w:t>
      </w:r>
      <w:r>
        <w:tab/>
        <w:t>4(1)</w:t>
      </w:r>
    </w:p>
    <w:p>
      <w:pPr>
        <w:pStyle w:val="DefinedTerms"/>
      </w:pPr>
      <w:r>
        <w:t>race meeting</w:t>
      </w:r>
      <w:r>
        <w:tab/>
        <w:t>4(1)</w:t>
      </w:r>
    </w:p>
    <w:p>
      <w:pPr>
        <w:pStyle w:val="DefinedTerms"/>
      </w:pPr>
      <w:r>
        <w:t>racing bet</w:t>
      </w:r>
      <w:r>
        <w:tab/>
        <w:t>14A(1)</w:t>
      </w:r>
    </w:p>
    <w:p>
      <w:pPr>
        <w:pStyle w:val="DefinedTerms"/>
      </w:pPr>
      <w:r>
        <w:t>racing club</w:t>
      </w:r>
      <w:r>
        <w:tab/>
        <w:t>4(1)</w:t>
      </w:r>
    </w:p>
    <w:p>
      <w:pPr>
        <w:pStyle w:val="DefinedTerms"/>
      </w:pPr>
      <w:r>
        <w:t>record</w:t>
      </w:r>
      <w:r>
        <w:tab/>
        <w:t>4(1)</w:t>
      </w:r>
    </w:p>
    <w:p>
      <w:pPr>
        <w:pStyle w:val="DefinedTerms"/>
      </w:pPr>
      <w:r>
        <w:t>registered place</w:t>
      </w:r>
      <w:r>
        <w:tab/>
        <w:t>4(1)</w:t>
      </w:r>
    </w:p>
    <w:p>
      <w:pPr>
        <w:pStyle w:val="DefinedTerms"/>
      </w:pPr>
      <w:r>
        <w:t>RWWA</w:t>
      </w:r>
      <w:r>
        <w:tab/>
        <w:t>4(1)</w:t>
      </w:r>
    </w:p>
    <w:p>
      <w:pPr>
        <w:pStyle w:val="DefinedTerms"/>
      </w:pPr>
      <w:r>
        <w:t>RWWA Act</w:t>
      </w:r>
      <w:r>
        <w:tab/>
        <w:t>4(1)</w:t>
      </w:r>
    </w:p>
    <w:p>
      <w:pPr>
        <w:pStyle w:val="DefinedTerms"/>
      </w:pPr>
      <w:r>
        <w:t>steward</w:t>
      </w:r>
      <w:r>
        <w:tab/>
        <w:t>4(1)</w:t>
      </w:r>
    </w:p>
    <w:p>
      <w:pPr>
        <w:pStyle w:val="DefinedTerms"/>
      </w:pPr>
      <w:r>
        <w:t>temporary licence</w:t>
      </w:r>
      <w:r>
        <w:tab/>
        <w:t>12A(8)</w:t>
      </w:r>
    </w:p>
    <w:p>
      <w:pPr>
        <w:pStyle w:val="DefinedTerms"/>
      </w:pPr>
      <w:r>
        <w:t>ticket</w:t>
      </w:r>
      <w:r>
        <w:tab/>
        <w:t>4(1)</w:t>
      </w:r>
    </w:p>
    <w:p>
      <w:pPr>
        <w:pStyle w:val="DefinedTerms"/>
      </w:pPr>
      <w:r>
        <w:t>to bet</w:t>
      </w:r>
      <w:r>
        <w:tab/>
        <w:t>4(1), 4(1)</w:t>
      </w:r>
    </w:p>
    <w:p>
      <w:pPr>
        <w:pStyle w:val="DefinedTerms"/>
      </w:pPr>
      <w:r>
        <w:t>total turnover</w:t>
      </w:r>
      <w:r>
        <w:tab/>
        <w:t>13(1A), 17A(1A)</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13(1A), 14A(1), 17A(1A)</w:t>
      </w:r>
    </w:p>
    <w:p>
      <w:pPr>
        <w:pStyle w:val="DefinedTerms"/>
      </w:pPr>
      <w:r>
        <w:t>unlawful betting</w:t>
      </w:r>
      <w:r>
        <w:tab/>
        <w:t>28A(3)</w:t>
      </w:r>
    </w:p>
    <w:p>
      <w:pPr>
        <w:pStyle w:val="DefinedTerms"/>
      </w:pPr>
      <w:r>
        <w:t>WA race field</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5" w:name="Schedule"/>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1045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character" w:customStyle="1" w:styleId="Heading2Char">
    <w:name w:val="Heading 2 Char"/>
    <w:basedOn w:val="DefaultParagraphFont"/>
    <w:link w:val="Heading2"/>
    <w:rPr>
      <w:b/>
      <w:snapToGrid w:val="0"/>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character" w:customStyle="1" w:styleId="Heading2Char">
    <w:name w:val="Heading 2 Char"/>
    <w:basedOn w:val="DefaultParagraphFont"/>
    <w:link w:val="Heading2"/>
    <w:rPr>
      <w:b/>
      <w:snapToGrid w:val="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CA7F6-5908-4FF7-9A26-F820E4179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30802</Words>
  <Characters>141691</Characters>
  <Application>Microsoft Office Word</Application>
  <DocSecurity>0</DocSecurity>
  <Lines>3935</Lines>
  <Paragraphs>2078</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170415</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1954 - 10-d0-00</dc:title>
  <dc:subject/>
  <dc:creator/>
  <cp:keywords/>
  <dc:description/>
  <cp:lastModifiedBy>svcMRProcess</cp:lastModifiedBy>
  <cp:revision>4</cp:revision>
  <cp:lastPrinted>2019-01-30T04:58:00Z</cp:lastPrinted>
  <dcterms:created xsi:type="dcterms:W3CDTF">2020-02-13T17:53:00Z</dcterms:created>
  <dcterms:modified xsi:type="dcterms:W3CDTF">2020-02-13T17:53:00Z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01 Feb 2019</vt:lpwstr>
  </property>
  <property fmtid="{D5CDD505-2E9C-101B-9397-08002B2CF9AE}" pid="8" name="Suffix">
    <vt:lpwstr>10-d0-00</vt:lpwstr>
  </property>
  <property fmtid="{D5CDD505-2E9C-101B-9397-08002B2CF9AE}" pid="9" name="CommencementDate">
    <vt:lpwstr>20190201</vt:lpwstr>
  </property>
</Properties>
</file>