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Racing Penalties (Appeals)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_Toc536631281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_Toc536631282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_Toc536631283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The Racing Penalties Appeal Tribunal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administration</w:t>
      </w:r>
    </w:p>
    <w:p>
      <w:pPr>
        <w:pStyle w:val="TOC8"/>
        <w:rPr>
          <w:rFonts w:asciiTheme="minorHAnsi" w:eastAsiaTheme="minorEastAsia" w:hAnsiTheme="minorHAnsi" w:cstheme="minorBidi"/>
          <w:szCs w:val="22"/>
        </w:rPr>
      </w:pPr>
      <w:r>
        <w:t>4</w:t>
      </w:r>
      <w:r>
        <w:rPr>
          <w:snapToGrid w:val="0"/>
        </w:rPr>
        <w:t>.</w:t>
      </w:r>
      <w:r>
        <w:rPr>
          <w:snapToGrid w:val="0"/>
        </w:rPr>
        <w:tab/>
        <w:t>Racing Penalties Appeal Tribunal of Western Australia</w:t>
      </w:r>
      <w:r>
        <w:tab/>
      </w:r>
      <w:r>
        <w:fldChar w:fldCharType="begin"/>
      </w:r>
      <w:r>
        <w:instrText xml:space="preserve"> PAGEREF _Toc536631286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Chairperson and acting Chairperson</w:t>
      </w:r>
      <w:r>
        <w:tab/>
      </w:r>
      <w:r>
        <w:fldChar w:fldCharType="begin"/>
      </w:r>
      <w:r>
        <w:instrText xml:space="preserve"> PAGEREF _Toc536631287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Panel of members</w:t>
      </w:r>
      <w:r>
        <w:tab/>
      </w:r>
      <w:r>
        <w:fldChar w:fldCharType="begin"/>
      </w:r>
      <w:r>
        <w:instrText xml:space="preserve"> PAGEREF _Toc536631288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Eligibility to sit on particular Tribunal</w:t>
      </w:r>
      <w:r>
        <w:tab/>
      </w:r>
      <w:r>
        <w:fldChar w:fldCharType="begin"/>
      </w:r>
      <w:r>
        <w:instrText xml:space="preserve"> PAGEREF _Toc536631289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Registrar</w:t>
      </w:r>
      <w:r>
        <w:tab/>
      </w:r>
      <w:r>
        <w:fldChar w:fldCharType="begin"/>
      </w:r>
      <w:r>
        <w:instrText xml:space="preserve"> PAGEREF _Toc536631290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with Minister</w:t>
      </w:r>
      <w:r>
        <w:tab/>
      </w:r>
      <w:r>
        <w:fldChar w:fldCharType="begin"/>
      </w:r>
      <w:r>
        <w:instrText xml:space="preserve"> PAGEREF _Toc536631291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and functions</w:t>
      </w:r>
    </w:p>
    <w:p>
      <w:pPr>
        <w:pStyle w:val="TOC8"/>
        <w:rPr>
          <w:rFonts w:asciiTheme="minorHAnsi" w:eastAsiaTheme="minorEastAsia" w:hAnsiTheme="minorHAnsi" w:cstheme="minorBidi"/>
          <w:szCs w:val="22"/>
        </w:rPr>
      </w:pPr>
      <w:r>
        <w:t>10</w:t>
      </w:r>
      <w:r>
        <w:rPr>
          <w:snapToGrid w:val="0"/>
        </w:rPr>
        <w:t>.</w:t>
      </w:r>
      <w:r>
        <w:rPr>
          <w:snapToGrid w:val="0"/>
        </w:rPr>
        <w:tab/>
        <w:t>Jurisdiction, as variously constituted</w:t>
      </w:r>
      <w:r>
        <w:tab/>
      </w:r>
      <w:r>
        <w:fldChar w:fldCharType="begin"/>
      </w:r>
      <w:r>
        <w:instrText xml:space="preserve"> PAGEREF _Toc536631293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Proceedings before Tribunal</w:t>
      </w:r>
      <w:r>
        <w:tab/>
      </w:r>
      <w:r>
        <w:fldChar w:fldCharType="begin"/>
      </w:r>
      <w:r>
        <w:instrText xml:space="preserve"> PAGEREF _Toc536631294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Appeals which are not to be heard by Tribunal</w:t>
      </w:r>
      <w:r>
        <w:tab/>
      </w:r>
      <w:r>
        <w:fldChar w:fldCharType="begin"/>
      </w:r>
      <w:r>
        <w:instrText xml:space="preserve"> PAGEREF _Toc536631295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Appeals which shall be heard by Tribunal</w:t>
      </w:r>
      <w:r>
        <w:tab/>
      </w:r>
      <w:r>
        <w:fldChar w:fldCharType="begin"/>
      </w:r>
      <w:r>
        <w:instrText xml:space="preserve"> PAGEREF _Toc536631296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Determination of an appeal</w:t>
      </w:r>
      <w:r>
        <w:tab/>
      </w:r>
      <w:r>
        <w:fldChar w:fldCharType="begin"/>
      </w:r>
      <w:r>
        <w:instrText xml:space="preserve"> PAGEREF _Toc536631297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Other avenues of appeal may no longer be applicable</w:t>
      </w:r>
      <w:r>
        <w:tab/>
      </w:r>
      <w:r>
        <w:fldChar w:fldCharType="begin"/>
      </w:r>
      <w:r>
        <w:instrText xml:space="preserve"> PAGEREF _Toc536631298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Procedures and powers</w:t>
      </w:r>
    </w:p>
    <w:p>
      <w:pPr>
        <w:pStyle w:val="TOC8"/>
        <w:rPr>
          <w:rFonts w:asciiTheme="minorHAnsi" w:eastAsiaTheme="minorEastAsia" w:hAnsiTheme="minorHAnsi" w:cstheme="minorBidi"/>
          <w:szCs w:val="22"/>
        </w:rPr>
      </w:pPr>
      <w:r>
        <w:t>16</w:t>
      </w:r>
      <w:r>
        <w:rPr>
          <w:snapToGrid w:val="0"/>
        </w:rPr>
        <w:t>.</w:t>
      </w:r>
      <w:r>
        <w:rPr>
          <w:snapToGrid w:val="0"/>
        </w:rPr>
        <w:tab/>
        <w:t>Procedure on making an appeal</w:t>
      </w:r>
      <w:r>
        <w:tab/>
      </w:r>
      <w:r>
        <w:fldChar w:fldCharType="begin"/>
      </w:r>
      <w:r>
        <w:instrText xml:space="preserve"> PAGEREF _Toc536631300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Hearing powers</w:t>
      </w:r>
      <w:r>
        <w:tab/>
      </w:r>
      <w:r>
        <w:fldChar w:fldCharType="begin"/>
      </w:r>
      <w:r>
        <w:instrText xml:space="preserve"> PAGEREF _Toc536631301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Withdrawal of appeals</w:t>
      </w:r>
      <w:r>
        <w:tab/>
      </w:r>
      <w:r>
        <w:fldChar w:fldCharType="begin"/>
      </w:r>
      <w:r>
        <w:instrText xml:space="preserve"> PAGEREF _Toc536631302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Disobedience to determinations of Tribunal</w:t>
      </w:r>
      <w:r>
        <w:tab/>
      </w:r>
      <w:r>
        <w:fldChar w:fldCharType="begin"/>
      </w:r>
      <w:r>
        <w:instrText xml:space="preserve"> PAGEREF _Toc536631303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20</w:t>
      </w:r>
      <w:r>
        <w:rPr>
          <w:snapToGrid w:val="0"/>
        </w:rPr>
        <w:t>.</w:t>
      </w:r>
      <w:r>
        <w:rPr>
          <w:snapToGrid w:val="0"/>
        </w:rPr>
        <w:tab/>
        <w:t>Offences</w:t>
      </w:r>
      <w:r>
        <w:tab/>
      </w:r>
      <w:r>
        <w:fldChar w:fldCharType="begin"/>
      </w:r>
      <w:r>
        <w:instrText xml:space="preserve"> PAGEREF _Toc536631305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Reasons for determinations</w:t>
      </w:r>
      <w:r>
        <w:tab/>
      </w:r>
      <w:r>
        <w:fldChar w:fldCharType="begin"/>
      </w:r>
      <w:r>
        <w:instrText xml:space="preserve"> PAGEREF _Toc536631306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Protection</w:t>
      </w:r>
      <w:r>
        <w:tab/>
      </w:r>
      <w:r>
        <w:fldChar w:fldCharType="begin"/>
      </w:r>
      <w:r>
        <w:instrText xml:space="preserve"> PAGEREF _Toc536631307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Evidentiary provisions, and recovery of moneys ordered to be paid</w:t>
      </w:r>
      <w:r>
        <w:tab/>
      </w:r>
      <w:r>
        <w:fldChar w:fldCharType="begin"/>
      </w:r>
      <w:r>
        <w:instrText xml:space="preserve"> PAGEREF _Toc536631308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Finance and audit</w:t>
      </w:r>
      <w:r>
        <w:tab/>
      </w:r>
      <w:r>
        <w:fldChar w:fldCharType="begin"/>
      </w:r>
      <w:r>
        <w:instrText xml:space="preserve"> PAGEREF _Toc536631309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_Toc536631310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Transitional</w:t>
      </w:r>
      <w:r>
        <w:tab/>
      </w:r>
      <w:r>
        <w:fldChar w:fldCharType="begin"/>
      </w:r>
      <w:r>
        <w:instrText xml:space="preserve"> PAGEREF _Toc536631311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 </w:t>
      </w:r>
      <w:r>
        <w:rPr>
          <w:bCs/>
        </w:rPr>
        <w:t>Provisions with respect to the constitution and membership of the Racing Penalties Appeal Tribunal of Western Australia</w:t>
      </w:r>
    </w:p>
    <w:p>
      <w:pPr>
        <w:pStyle w:val="TOC8"/>
        <w:rPr>
          <w:rFonts w:asciiTheme="minorHAnsi" w:eastAsiaTheme="minorEastAsia" w:hAnsiTheme="minorHAnsi" w:cstheme="minorBidi"/>
          <w:szCs w:val="22"/>
        </w:rPr>
      </w:pPr>
      <w:r>
        <w:t>1</w:t>
      </w:r>
      <w:r>
        <w:rPr>
          <w:snapToGrid w:val="0"/>
        </w:rPr>
        <w:t>.</w:t>
      </w:r>
      <w:r>
        <w:rPr>
          <w:snapToGrid w:val="0"/>
        </w:rPr>
        <w:tab/>
        <w:t>Public service officer may be member of a Tribunal</w:t>
      </w:r>
      <w:r>
        <w:tab/>
      </w:r>
      <w:r>
        <w:fldChar w:fldCharType="begin"/>
      </w:r>
      <w:r>
        <w:instrText xml:space="preserve"> PAGEREF _Toc536631313 \h </w:instrText>
      </w:r>
      <w:r>
        <w:fldChar w:fldCharType="separate"/>
      </w:r>
      <w:r>
        <w:t>32</w:t>
      </w:r>
      <w:r>
        <w:fldChar w:fldCharType="end"/>
      </w:r>
    </w:p>
    <w:p>
      <w:pPr>
        <w:pStyle w:val="TOC8"/>
        <w:rPr>
          <w:rFonts w:asciiTheme="minorHAnsi" w:eastAsiaTheme="minorEastAsia" w:hAnsiTheme="minorHAnsi" w:cstheme="minorBidi"/>
          <w:szCs w:val="22"/>
        </w:rPr>
      </w:pPr>
      <w:r>
        <w:rPr>
          <w:snapToGrid w:val="0"/>
        </w:rPr>
        <w:t>2.</w:t>
      </w:r>
      <w:r>
        <w:rPr>
          <w:snapToGrid w:val="0"/>
        </w:rPr>
        <w:tab/>
        <w:t>Remuneration</w:t>
      </w:r>
      <w:r>
        <w:tab/>
      </w:r>
      <w:r>
        <w:fldChar w:fldCharType="begin"/>
      </w:r>
      <w:r>
        <w:instrText xml:space="preserve"> PAGEREF _Toc536631314 \h </w:instrText>
      </w:r>
      <w:r>
        <w:fldChar w:fldCharType="separate"/>
      </w:r>
      <w:r>
        <w:t>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Eligibility for, and vacation of, office and conditions of appointment</w:t>
      </w:r>
      <w:r>
        <w:tab/>
      </w:r>
      <w:r>
        <w:fldChar w:fldCharType="begin"/>
      </w:r>
      <w:r>
        <w:instrText xml:space="preserve"> PAGEREF _Toc536631315 \h </w:instrText>
      </w:r>
      <w:r>
        <w:fldChar w:fldCharType="separate"/>
      </w:r>
      <w:r>
        <w:t>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Removal from office</w:t>
      </w:r>
      <w:r>
        <w:tab/>
      </w:r>
      <w:r>
        <w:fldChar w:fldCharType="begin"/>
      </w:r>
      <w:r>
        <w:instrText xml:space="preserve"> PAGEREF _Toc536631316 \h </w:instrText>
      </w:r>
      <w:r>
        <w:fldChar w:fldCharType="separate"/>
      </w:r>
      <w:r>
        <w:t>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Validity of proceedings etc.</w:t>
      </w:r>
      <w:r>
        <w:tab/>
      </w:r>
      <w:r>
        <w:fldChar w:fldCharType="begin"/>
      </w:r>
      <w:r>
        <w:instrText xml:space="preserve"> PAGEREF _Toc536631317 \h </w:instrText>
      </w:r>
      <w:r>
        <w:fldChar w:fldCharType="separate"/>
      </w:r>
      <w:r>
        <w:t>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Presumptions</w:t>
      </w:r>
      <w:r>
        <w:tab/>
      </w:r>
      <w:r>
        <w:fldChar w:fldCharType="begin"/>
      </w:r>
      <w:r>
        <w:instrText xml:space="preserve"> PAGEREF _Toc536631318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_Toc536631320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80" w:after="1080"/>
      </w:pPr>
      <w:r>
        <w:t>Racing Penalties (Appeals) Act 1990</w:t>
      </w:r>
    </w:p>
    <w:p>
      <w:pPr>
        <w:pStyle w:val="LongTitle"/>
        <w:rPr>
          <w:snapToGrid w:val="0"/>
        </w:rPr>
      </w:pPr>
      <w:r>
        <w:rPr>
          <w:snapToGrid w:val="0"/>
        </w:rPr>
        <w:t>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3" w:name="_Toc377110028"/>
      <w:bookmarkStart w:id="4" w:name="_Toc424292311"/>
      <w:bookmarkStart w:id="5" w:name="_Toc435023272"/>
      <w:bookmarkStart w:id="6" w:name="_Toc532474807"/>
      <w:bookmarkStart w:id="7" w:name="_Toc53663128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77110029"/>
      <w:bookmarkStart w:id="9" w:name="_Toc53663128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10" w:name="_Toc377110030"/>
      <w:bookmarkStart w:id="11" w:name="_Toc536631282"/>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12" w:name="_Toc377110031"/>
      <w:bookmarkStart w:id="13" w:name="_Toc536631283"/>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No. 11 of 1992 s. 70; No. 23 of 1998 s. 20; No. 35 of 2003 s. 180.]</w:t>
      </w:r>
    </w:p>
    <w:p>
      <w:pPr>
        <w:pStyle w:val="Heading2"/>
      </w:pPr>
      <w:bookmarkStart w:id="14" w:name="_Toc377110032"/>
      <w:bookmarkStart w:id="15" w:name="_Toc424292315"/>
      <w:bookmarkStart w:id="16" w:name="_Toc435023276"/>
      <w:bookmarkStart w:id="17" w:name="_Toc532474811"/>
      <w:bookmarkStart w:id="18" w:name="_Toc536631284"/>
      <w:r>
        <w:rPr>
          <w:rStyle w:val="CharPartNo"/>
        </w:rPr>
        <w:t>Part 2</w:t>
      </w:r>
      <w:r>
        <w:t> — </w:t>
      </w:r>
      <w:r>
        <w:rPr>
          <w:rStyle w:val="CharPartText"/>
        </w:rPr>
        <w:t>The Racing Penalties Appeal Tribunal of Western Australia</w:t>
      </w:r>
      <w:bookmarkEnd w:id="14"/>
      <w:bookmarkEnd w:id="15"/>
      <w:bookmarkEnd w:id="16"/>
      <w:bookmarkEnd w:id="17"/>
      <w:bookmarkEnd w:id="18"/>
    </w:p>
    <w:p>
      <w:pPr>
        <w:pStyle w:val="Heading3"/>
      </w:pPr>
      <w:bookmarkStart w:id="19" w:name="_Toc377110033"/>
      <w:bookmarkStart w:id="20" w:name="_Toc424292316"/>
      <w:bookmarkStart w:id="21" w:name="_Toc435023277"/>
      <w:bookmarkStart w:id="22" w:name="_Toc532474812"/>
      <w:bookmarkStart w:id="23" w:name="_Toc536631285"/>
      <w:r>
        <w:rPr>
          <w:rStyle w:val="CharDivNo"/>
        </w:rPr>
        <w:t>Division 1</w:t>
      </w:r>
      <w:r>
        <w:rPr>
          <w:snapToGrid w:val="0"/>
        </w:rPr>
        <w:t> — </w:t>
      </w:r>
      <w:r>
        <w:rPr>
          <w:rStyle w:val="CharDivText"/>
        </w:rPr>
        <w:t>Constitution and administration</w:t>
      </w:r>
      <w:bookmarkEnd w:id="19"/>
      <w:bookmarkEnd w:id="20"/>
      <w:bookmarkEnd w:id="21"/>
      <w:bookmarkEnd w:id="22"/>
      <w:bookmarkEnd w:id="23"/>
    </w:p>
    <w:p>
      <w:pPr>
        <w:pStyle w:val="Heading5"/>
        <w:rPr>
          <w:snapToGrid w:val="0"/>
        </w:rPr>
      </w:pPr>
      <w:bookmarkStart w:id="24" w:name="_Toc377110034"/>
      <w:bookmarkStart w:id="25" w:name="_Toc536631286"/>
      <w:r>
        <w:rPr>
          <w:rStyle w:val="CharSectno"/>
        </w:rPr>
        <w:t>4</w:t>
      </w:r>
      <w:r>
        <w:rPr>
          <w:snapToGrid w:val="0"/>
        </w:rPr>
        <w:t>.</w:t>
      </w:r>
      <w:r>
        <w:rPr>
          <w:snapToGrid w:val="0"/>
        </w:rPr>
        <w:tab/>
        <w:t>Racing Penalties Appeal Tribunal of Western Australia</w:t>
      </w:r>
      <w:bookmarkEnd w:id="24"/>
      <w:bookmarkEnd w:id="25"/>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No. 32 of 1994 s. 19.]</w:t>
      </w:r>
    </w:p>
    <w:p>
      <w:pPr>
        <w:pStyle w:val="Heading5"/>
        <w:rPr>
          <w:snapToGrid w:val="0"/>
        </w:rPr>
      </w:pPr>
      <w:bookmarkStart w:id="26" w:name="_Toc377110035"/>
      <w:bookmarkStart w:id="27" w:name="_Toc536631287"/>
      <w:r>
        <w:rPr>
          <w:rStyle w:val="CharSectno"/>
        </w:rPr>
        <w:t>5</w:t>
      </w:r>
      <w:r>
        <w:rPr>
          <w:snapToGrid w:val="0"/>
        </w:rPr>
        <w:t>.</w:t>
      </w:r>
      <w:r>
        <w:rPr>
          <w:snapToGrid w:val="0"/>
        </w:rPr>
        <w:tab/>
        <w:t>Chairperson and acting Chairperson</w:t>
      </w:r>
      <w:bookmarkEnd w:id="26"/>
      <w:bookmarkEnd w:id="27"/>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No. 65 of 2003 s. 116; No. 21 of 2008 s. 695(2).]</w:t>
      </w:r>
    </w:p>
    <w:p>
      <w:pPr>
        <w:pStyle w:val="Heading5"/>
        <w:spacing w:before="180"/>
        <w:rPr>
          <w:snapToGrid w:val="0"/>
        </w:rPr>
      </w:pPr>
      <w:bookmarkStart w:id="28" w:name="_Toc377110036"/>
      <w:bookmarkStart w:id="29" w:name="_Toc536631288"/>
      <w:r>
        <w:rPr>
          <w:rStyle w:val="CharSectno"/>
        </w:rPr>
        <w:t>6</w:t>
      </w:r>
      <w:r>
        <w:rPr>
          <w:snapToGrid w:val="0"/>
        </w:rPr>
        <w:t>.</w:t>
      </w:r>
      <w:r>
        <w:rPr>
          <w:snapToGrid w:val="0"/>
        </w:rPr>
        <w:tab/>
        <w:t>Panel of members</w:t>
      </w:r>
      <w:bookmarkEnd w:id="28"/>
      <w:bookmarkEnd w:id="29"/>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No. 24 of 2000 s. 37.]</w:t>
      </w:r>
    </w:p>
    <w:p>
      <w:pPr>
        <w:pStyle w:val="Heading5"/>
        <w:rPr>
          <w:snapToGrid w:val="0"/>
        </w:rPr>
      </w:pPr>
      <w:bookmarkStart w:id="30" w:name="_Toc377110037"/>
      <w:bookmarkStart w:id="31" w:name="_Toc536631289"/>
      <w:r>
        <w:rPr>
          <w:rStyle w:val="CharSectno"/>
        </w:rPr>
        <w:t>7</w:t>
      </w:r>
      <w:r>
        <w:rPr>
          <w:snapToGrid w:val="0"/>
        </w:rPr>
        <w:t>.</w:t>
      </w:r>
      <w:r>
        <w:rPr>
          <w:snapToGrid w:val="0"/>
        </w:rPr>
        <w:tab/>
        <w:t>Eligibility to sit on particular Tribunal</w:t>
      </w:r>
      <w:bookmarkEnd w:id="30"/>
      <w:bookmarkEnd w:id="31"/>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No. 35 of 2003 s. 181.]</w:t>
      </w:r>
    </w:p>
    <w:p>
      <w:pPr>
        <w:pStyle w:val="Heading5"/>
        <w:rPr>
          <w:snapToGrid w:val="0"/>
        </w:rPr>
      </w:pPr>
      <w:bookmarkStart w:id="32" w:name="_Toc377110038"/>
      <w:bookmarkStart w:id="33" w:name="_Toc536631290"/>
      <w:r>
        <w:rPr>
          <w:rStyle w:val="CharSectno"/>
        </w:rPr>
        <w:t>8</w:t>
      </w:r>
      <w:r>
        <w:rPr>
          <w:snapToGrid w:val="0"/>
        </w:rPr>
        <w:t>.</w:t>
      </w:r>
      <w:r>
        <w:rPr>
          <w:snapToGrid w:val="0"/>
        </w:rPr>
        <w:tab/>
        <w:t>Registrar</w:t>
      </w:r>
      <w:bookmarkEnd w:id="32"/>
      <w:bookmarkEnd w:id="33"/>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No. 32 of 1994 s. 19.]</w:t>
      </w:r>
    </w:p>
    <w:p>
      <w:pPr>
        <w:pStyle w:val="Heading5"/>
        <w:rPr>
          <w:snapToGrid w:val="0"/>
        </w:rPr>
      </w:pPr>
      <w:bookmarkStart w:id="34" w:name="_Toc377110039"/>
      <w:bookmarkStart w:id="35" w:name="_Toc536631291"/>
      <w:r>
        <w:rPr>
          <w:rStyle w:val="CharSectno"/>
        </w:rPr>
        <w:t>9</w:t>
      </w:r>
      <w:r>
        <w:rPr>
          <w:snapToGrid w:val="0"/>
        </w:rPr>
        <w:t>.</w:t>
      </w:r>
      <w:r>
        <w:rPr>
          <w:snapToGrid w:val="0"/>
        </w:rPr>
        <w:tab/>
        <w:t>Relationship with Minister</w:t>
      </w:r>
      <w:bookmarkEnd w:id="34"/>
      <w:bookmarkEnd w:id="35"/>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No. 77 of 2006 Sch. 1 cl. 143(1).]</w:t>
      </w:r>
    </w:p>
    <w:p>
      <w:pPr>
        <w:pStyle w:val="Heading3"/>
      </w:pPr>
      <w:bookmarkStart w:id="36" w:name="_Toc377110040"/>
      <w:bookmarkStart w:id="37" w:name="_Toc424292323"/>
      <w:bookmarkStart w:id="38" w:name="_Toc435023284"/>
      <w:bookmarkStart w:id="39" w:name="_Toc532474819"/>
      <w:bookmarkStart w:id="40" w:name="_Toc536631292"/>
      <w:r>
        <w:rPr>
          <w:rStyle w:val="CharDivNo"/>
        </w:rPr>
        <w:t>Division 2</w:t>
      </w:r>
      <w:r>
        <w:rPr>
          <w:snapToGrid w:val="0"/>
        </w:rPr>
        <w:t> — </w:t>
      </w:r>
      <w:r>
        <w:rPr>
          <w:rStyle w:val="CharDivText"/>
        </w:rPr>
        <w:t>Jurisdiction and functions</w:t>
      </w:r>
      <w:bookmarkEnd w:id="36"/>
      <w:bookmarkEnd w:id="37"/>
      <w:bookmarkEnd w:id="38"/>
      <w:bookmarkEnd w:id="39"/>
      <w:bookmarkEnd w:id="40"/>
    </w:p>
    <w:p>
      <w:pPr>
        <w:pStyle w:val="Heading5"/>
        <w:rPr>
          <w:snapToGrid w:val="0"/>
        </w:rPr>
      </w:pPr>
      <w:bookmarkStart w:id="41" w:name="_Toc377110041"/>
      <w:bookmarkStart w:id="42" w:name="_Toc536631293"/>
      <w:r>
        <w:rPr>
          <w:rStyle w:val="CharSectno"/>
        </w:rPr>
        <w:t>10</w:t>
      </w:r>
      <w:r>
        <w:rPr>
          <w:snapToGrid w:val="0"/>
        </w:rPr>
        <w:t>.</w:t>
      </w:r>
      <w:r>
        <w:rPr>
          <w:snapToGrid w:val="0"/>
        </w:rPr>
        <w:tab/>
        <w:t>Jurisdiction, as variously constituted</w:t>
      </w:r>
      <w:bookmarkEnd w:id="41"/>
      <w:bookmarkEnd w:id="42"/>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43" w:name="_Toc377110042"/>
      <w:bookmarkStart w:id="44" w:name="_Toc536631294"/>
      <w:r>
        <w:rPr>
          <w:rStyle w:val="CharSectno"/>
        </w:rPr>
        <w:t>11</w:t>
      </w:r>
      <w:r>
        <w:rPr>
          <w:snapToGrid w:val="0"/>
        </w:rPr>
        <w:t>.</w:t>
      </w:r>
      <w:r>
        <w:rPr>
          <w:snapToGrid w:val="0"/>
        </w:rPr>
        <w:tab/>
        <w:t>Proceedings before Tribunal</w:t>
      </w:r>
      <w:bookmarkEnd w:id="43"/>
      <w:bookmarkEnd w:id="44"/>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45" w:name="_Toc377110043"/>
      <w:bookmarkStart w:id="46" w:name="_Toc536631295"/>
      <w:r>
        <w:rPr>
          <w:rStyle w:val="CharSectno"/>
        </w:rPr>
        <w:t>12</w:t>
      </w:r>
      <w:r>
        <w:rPr>
          <w:snapToGrid w:val="0"/>
        </w:rPr>
        <w:t>.</w:t>
      </w:r>
      <w:r>
        <w:rPr>
          <w:snapToGrid w:val="0"/>
        </w:rPr>
        <w:tab/>
        <w:t>Appeals which are not to be heard by Tribunal</w:t>
      </w:r>
      <w:bookmarkEnd w:id="45"/>
      <w:bookmarkEnd w:id="46"/>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r>
        <w:tab/>
        <w:t>[Section 12 amended: No. 35 of 2003 s. 182.]</w:t>
      </w:r>
    </w:p>
    <w:p>
      <w:pPr>
        <w:pStyle w:val="Heading5"/>
        <w:rPr>
          <w:snapToGrid w:val="0"/>
        </w:rPr>
      </w:pPr>
      <w:bookmarkStart w:id="47" w:name="_Toc377110044"/>
      <w:bookmarkStart w:id="48" w:name="_Toc536631296"/>
      <w:r>
        <w:rPr>
          <w:rStyle w:val="CharSectno"/>
        </w:rPr>
        <w:t>13</w:t>
      </w:r>
      <w:r>
        <w:rPr>
          <w:snapToGrid w:val="0"/>
        </w:rPr>
        <w:t>.</w:t>
      </w:r>
      <w:r>
        <w:rPr>
          <w:snapToGrid w:val="0"/>
        </w:rPr>
        <w:tab/>
        <w:t>Appeals which shall be heard by Tribunal</w:t>
      </w:r>
      <w:bookmarkEnd w:id="47"/>
      <w:bookmarkEnd w:id="48"/>
    </w:p>
    <w:p>
      <w:pPr>
        <w:pStyle w:val="Subsection"/>
        <w:rPr>
          <w:snapToGrid w:val="0"/>
        </w:rPr>
      </w:pPr>
      <w:r>
        <w:rPr>
          <w:snapToGrid w:val="0"/>
        </w:rPr>
        <w:tab/>
        <w:t>(1)</w:t>
      </w:r>
      <w:r>
        <w:rPr>
          <w:snapToGrid w:val="0"/>
        </w:rPr>
        <w:tab/>
        <w:t xml:space="preserve">A person (in this Part referred to as </w:t>
      </w:r>
      <w:r>
        <w:t>the</w:t>
      </w:r>
      <w:r>
        <w:rPr>
          <w:b/>
          <w:i/>
          <w:snapToGrid w:val="0"/>
        </w:rPr>
        <w:t xml:space="preserve"> </w:t>
      </w:r>
      <w:r>
        <w:rPr>
          <w:rStyle w:val="CharDefText"/>
        </w:rPr>
        <w:t>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r>
        <w:tab/>
        <w:t>[Section 13 amended: No. 35 of 2003 s. 183.]</w:t>
      </w:r>
    </w:p>
    <w:p>
      <w:pPr>
        <w:pStyle w:val="Heading5"/>
        <w:rPr>
          <w:snapToGrid w:val="0"/>
        </w:rPr>
      </w:pPr>
      <w:bookmarkStart w:id="49" w:name="_Toc377110045"/>
      <w:bookmarkStart w:id="50" w:name="_Toc536631297"/>
      <w:r>
        <w:rPr>
          <w:rStyle w:val="CharSectno"/>
        </w:rPr>
        <w:t>14</w:t>
      </w:r>
      <w:r>
        <w:rPr>
          <w:snapToGrid w:val="0"/>
        </w:rPr>
        <w:t>.</w:t>
      </w:r>
      <w:r>
        <w:rPr>
          <w:snapToGrid w:val="0"/>
        </w:rPr>
        <w:tab/>
        <w:t>Determination of an appeal</w:t>
      </w:r>
      <w:bookmarkEnd w:id="49"/>
      <w:bookmarkEnd w:id="50"/>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r>
        <w:tab/>
        <w:t>[Section 14 amended: No. 35 of 2003 s. 184.]</w:t>
      </w:r>
    </w:p>
    <w:p>
      <w:pPr>
        <w:pStyle w:val="Heading5"/>
        <w:rPr>
          <w:snapToGrid w:val="0"/>
        </w:rPr>
      </w:pPr>
      <w:bookmarkStart w:id="51" w:name="_Toc377110046"/>
      <w:bookmarkStart w:id="52" w:name="_Toc536631298"/>
      <w:r>
        <w:rPr>
          <w:rStyle w:val="CharSectno"/>
        </w:rPr>
        <w:t>15</w:t>
      </w:r>
      <w:r>
        <w:rPr>
          <w:snapToGrid w:val="0"/>
        </w:rPr>
        <w:t>.</w:t>
      </w:r>
      <w:r>
        <w:rPr>
          <w:snapToGrid w:val="0"/>
        </w:rPr>
        <w:tab/>
        <w:t>Other avenues of appeal may no longer be applicable</w:t>
      </w:r>
      <w:bookmarkEnd w:id="51"/>
      <w:bookmarkEnd w:id="52"/>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No. 35 of 2003 s. 185.]</w:t>
      </w:r>
    </w:p>
    <w:p>
      <w:pPr>
        <w:pStyle w:val="Heading3"/>
      </w:pPr>
      <w:bookmarkStart w:id="53" w:name="_Toc377110047"/>
      <w:bookmarkStart w:id="54" w:name="_Toc424292330"/>
      <w:bookmarkStart w:id="55" w:name="_Toc435023291"/>
      <w:bookmarkStart w:id="56" w:name="_Toc532474826"/>
      <w:bookmarkStart w:id="57" w:name="_Toc536631299"/>
      <w:r>
        <w:rPr>
          <w:rStyle w:val="CharDivNo"/>
        </w:rPr>
        <w:t>Division 3</w:t>
      </w:r>
      <w:r>
        <w:rPr>
          <w:snapToGrid w:val="0"/>
        </w:rPr>
        <w:t> — </w:t>
      </w:r>
      <w:r>
        <w:rPr>
          <w:rStyle w:val="CharDivText"/>
        </w:rPr>
        <w:t>Procedures and powers</w:t>
      </w:r>
      <w:bookmarkEnd w:id="53"/>
      <w:bookmarkEnd w:id="54"/>
      <w:bookmarkEnd w:id="55"/>
      <w:bookmarkEnd w:id="56"/>
      <w:bookmarkEnd w:id="57"/>
    </w:p>
    <w:p>
      <w:pPr>
        <w:pStyle w:val="Heading5"/>
        <w:rPr>
          <w:snapToGrid w:val="0"/>
        </w:rPr>
      </w:pPr>
      <w:bookmarkStart w:id="58" w:name="_Toc377110048"/>
      <w:bookmarkStart w:id="59" w:name="_Toc536631300"/>
      <w:r>
        <w:rPr>
          <w:rStyle w:val="CharSectno"/>
        </w:rPr>
        <w:t>16</w:t>
      </w:r>
      <w:r>
        <w:rPr>
          <w:snapToGrid w:val="0"/>
        </w:rPr>
        <w:t>.</w:t>
      </w:r>
      <w:r>
        <w:rPr>
          <w:snapToGrid w:val="0"/>
        </w:rPr>
        <w:tab/>
        <w:t>Procedure on making an appeal</w:t>
      </w:r>
      <w:bookmarkEnd w:id="58"/>
      <w:bookmarkEnd w:id="59"/>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r>
        <w:tab/>
        <w:t>[Section 16 amended: No. 35 of 2003 s. 186; No. 65 of 2003 s. 58(2); No. 21 of 2008 s. 695(3).]</w:t>
      </w:r>
    </w:p>
    <w:p>
      <w:pPr>
        <w:pStyle w:val="Heading5"/>
        <w:rPr>
          <w:snapToGrid w:val="0"/>
        </w:rPr>
      </w:pPr>
      <w:bookmarkStart w:id="60" w:name="_Toc377110049"/>
      <w:bookmarkStart w:id="61" w:name="_Toc536631301"/>
      <w:r>
        <w:rPr>
          <w:rStyle w:val="CharSectno"/>
        </w:rPr>
        <w:t>17</w:t>
      </w:r>
      <w:r>
        <w:rPr>
          <w:snapToGrid w:val="0"/>
        </w:rPr>
        <w:t>.</w:t>
      </w:r>
      <w:r>
        <w:rPr>
          <w:snapToGrid w:val="0"/>
        </w:rPr>
        <w:tab/>
        <w:t>Hearing powers</w:t>
      </w:r>
      <w:bookmarkEnd w:id="60"/>
      <w:bookmarkEnd w:id="61"/>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spacing w:before="80"/>
        <w:ind w:left="890" w:hanging="890"/>
      </w:pPr>
      <w:r>
        <w:tab/>
        <w:t>[Section 17 amended: No. 35 of 2003 s. 187.]</w:t>
      </w:r>
    </w:p>
    <w:p>
      <w:pPr>
        <w:pStyle w:val="Heading5"/>
        <w:rPr>
          <w:snapToGrid w:val="0"/>
        </w:rPr>
      </w:pPr>
      <w:bookmarkStart w:id="62" w:name="_Toc377110050"/>
      <w:bookmarkStart w:id="63" w:name="_Toc536631302"/>
      <w:r>
        <w:rPr>
          <w:rStyle w:val="CharSectno"/>
        </w:rPr>
        <w:t>18</w:t>
      </w:r>
      <w:r>
        <w:rPr>
          <w:snapToGrid w:val="0"/>
        </w:rPr>
        <w:t>.</w:t>
      </w:r>
      <w:r>
        <w:rPr>
          <w:snapToGrid w:val="0"/>
        </w:rPr>
        <w:tab/>
        <w:t>Withdrawal of appeals</w:t>
      </w:r>
      <w:bookmarkEnd w:id="62"/>
      <w:bookmarkEnd w:id="63"/>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64" w:name="_Toc377110051"/>
      <w:bookmarkStart w:id="65" w:name="_Toc536631303"/>
      <w:r>
        <w:rPr>
          <w:rStyle w:val="CharSectno"/>
        </w:rPr>
        <w:t>19</w:t>
      </w:r>
      <w:r>
        <w:rPr>
          <w:snapToGrid w:val="0"/>
        </w:rPr>
        <w:t>.</w:t>
      </w:r>
      <w:r>
        <w:rPr>
          <w:snapToGrid w:val="0"/>
        </w:rPr>
        <w:tab/>
        <w:t>Disobedience to determinations of Tribunal</w:t>
      </w:r>
      <w:bookmarkEnd w:id="64"/>
      <w:bookmarkEnd w:id="65"/>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No. 35 of 2003 s. 188.]</w:t>
      </w:r>
    </w:p>
    <w:p>
      <w:pPr>
        <w:pStyle w:val="Heading2"/>
      </w:pPr>
      <w:bookmarkStart w:id="66" w:name="_Toc377110052"/>
      <w:bookmarkStart w:id="67" w:name="_Toc424292335"/>
      <w:bookmarkStart w:id="68" w:name="_Toc435023296"/>
      <w:bookmarkStart w:id="69" w:name="_Toc532474831"/>
      <w:bookmarkStart w:id="70" w:name="_Toc536631304"/>
      <w:r>
        <w:rPr>
          <w:rStyle w:val="CharPartNo"/>
        </w:rPr>
        <w:t>Part 3</w:t>
      </w:r>
      <w:r>
        <w:rPr>
          <w:rStyle w:val="CharDivNo"/>
        </w:rPr>
        <w:t> </w:t>
      </w:r>
      <w:r>
        <w:t>—</w:t>
      </w:r>
      <w:r>
        <w:rPr>
          <w:rStyle w:val="CharDivText"/>
        </w:rPr>
        <w:t> </w:t>
      </w:r>
      <w:r>
        <w:rPr>
          <w:rStyle w:val="CharPartText"/>
        </w:rPr>
        <w:t>Miscellaneous</w:t>
      </w:r>
      <w:bookmarkEnd w:id="66"/>
      <w:bookmarkEnd w:id="67"/>
      <w:bookmarkEnd w:id="68"/>
      <w:bookmarkEnd w:id="69"/>
      <w:bookmarkEnd w:id="70"/>
    </w:p>
    <w:p>
      <w:pPr>
        <w:pStyle w:val="Heading5"/>
        <w:rPr>
          <w:snapToGrid w:val="0"/>
        </w:rPr>
      </w:pPr>
      <w:bookmarkStart w:id="71" w:name="_Toc377110053"/>
      <w:bookmarkStart w:id="72" w:name="_Toc536631305"/>
      <w:r>
        <w:rPr>
          <w:rStyle w:val="CharSectno"/>
        </w:rPr>
        <w:t>20</w:t>
      </w:r>
      <w:r>
        <w:rPr>
          <w:snapToGrid w:val="0"/>
        </w:rPr>
        <w:t>.</w:t>
      </w:r>
      <w:r>
        <w:rPr>
          <w:snapToGrid w:val="0"/>
        </w:rPr>
        <w:tab/>
        <w:t>Offences</w:t>
      </w:r>
      <w:bookmarkEnd w:id="71"/>
      <w:bookmarkEnd w:id="72"/>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73" w:name="_Toc377110054"/>
      <w:bookmarkStart w:id="74" w:name="_Toc536631306"/>
      <w:r>
        <w:rPr>
          <w:rStyle w:val="CharSectno"/>
        </w:rPr>
        <w:t>21</w:t>
      </w:r>
      <w:r>
        <w:rPr>
          <w:snapToGrid w:val="0"/>
        </w:rPr>
        <w:t>.</w:t>
      </w:r>
      <w:r>
        <w:rPr>
          <w:snapToGrid w:val="0"/>
        </w:rPr>
        <w:tab/>
        <w:t>Reasons for determinations</w:t>
      </w:r>
      <w:bookmarkEnd w:id="73"/>
      <w:bookmarkEnd w:id="74"/>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75" w:name="_Toc377110055"/>
      <w:bookmarkStart w:id="76" w:name="_Toc536631307"/>
      <w:r>
        <w:rPr>
          <w:rStyle w:val="CharSectno"/>
        </w:rPr>
        <w:t>22</w:t>
      </w:r>
      <w:r>
        <w:rPr>
          <w:snapToGrid w:val="0"/>
        </w:rPr>
        <w:t>.</w:t>
      </w:r>
      <w:r>
        <w:rPr>
          <w:snapToGrid w:val="0"/>
        </w:rPr>
        <w:tab/>
        <w:t>Protection</w:t>
      </w:r>
      <w:bookmarkEnd w:id="75"/>
      <w:bookmarkEnd w:id="76"/>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77" w:name="_Toc377110056"/>
      <w:bookmarkStart w:id="78" w:name="_Toc536631308"/>
      <w:r>
        <w:rPr>
          <w:rStyle w:val="CharSectno"/>
        </w:rPr>
        <w:t>23</w:t>
      </w:r>
      <w:r>
        <w:rPr>
          <w:snapToGrid w:val="0"/>
        </w:rPr>
        <w:t>.</w:t>
      </w:r>
      <w:r>
        <w:rPr>
          <w:snapToGrid w:val="0"/>
        </w:rPr>
        <w:tab/>
        <w:t>Evidentiary provisions, and recovery of moneys ordered to be paid</w:t>
      </w:r>
      <w:bookmarkEnd w:id="77"/>
      <w:bookmarkEnd w:id="78"/>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No. 59 of 2004 s. 142.]</w:t>
      </w:r>
    </w:p>
    <w:p>
      <w:pPr>
        <w:pStyle w:val="Heading5"/>
        <w:spacing w:before="240"/>
        <w:rPr>
          <w:snapToGrid w:val="0"/>
        </w:rPr>
      </w:pPr>
      <w:bookmarkStart w:id="79" w:name="_Toc377110057"/>
      <w:bookmarkStart w:id="80" w:name="_Toc536631309"/>
      <w:r>
        <w:rPr>
          <w:rStyle w:val="CharSectno"/>
        </w:rPr>
        <w:t>24</w:t>
      </w:r>
      <w:r>
        <w:rPr>
          <w:snapToGrid w:val="0"/>
        </w:rPr>
        <w:t>.</w:t>
      </w:r>
      <w:r>
        <w:rPr>
          <w:snapToGrid w:val="0"/>
        </w:rPr>
        <w:tab/>
        <w:t>Finance and audit</w:t>
      </w:r>
      <w:bookmarkEnd w:id="79"/>
      <w:bookmarkEnd w:id="80"/>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106(1)(h) of the RWWA Act, would otherwise be available to be paid or credited to racing clubs by RWWA under section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 No. 11 of 1992 s. 71; No. 49 of 1996 s. 59; No. 35 of 2003 s. 189; No. 28 of 2006 s. 407; No. 77 of 2006 Sch. 1 cl. 143(2)</w:t>
      </w:r>
      <w:r>
        <w:noBreakHyphen/>
        <w:t>(4); No. 2 of 2007 s. 7; No. 37 of 2018 s. 77.]</w:t>
      </w:r>
    </w:p>
    <w:p>
      <w:pPr>
        <w:pStyle w:val="Heading5"/>
        <w:rPr>
          <w:snapToGrid w:val="0"/>
        </w:rPr>
      </w:pPr>
      <w:bookmarkStart w:id="81" w:name="_Toc377110058"/>
      <w:bookmarkStart w:id="82" w:name="_Toc536631310"/>
      <w:r>
        <w:rPr>
          <w:rStyle w:val="CharSectno"/>
        </w:rPr>
        <w:t>25</w:t>
      </w:r>
      <w:r>
        <w:rPr>
          <w:snapToGrid w:val="0"/>
        </w:rPr>
        <w:t>.</w:t>
      </w:r>
      <w:r>
        <w:rPr>
          <w:snapToGrid w:val="0"/>
        </w:rPr>
        <w:tab/>
        <w:t>Regulations</w:t>
      </w:r>
      <w:bookmarkEnd w:id="81"/>
      <w:bookmarkEnd w:id="8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r>
        <w:tab/>
        <w:t>[Section 25 amended: No. 35 of 2003 s. 190; No. 65 of 2003 s. 58(3); No. 21 of 2008 s. 695(4).]</w:t>
      </w:r>
    </w:p>
    <w:p>
      <w:pPr>
        <w:pStyle w:val="Heading5"/>
        <w:rPr>
          <w:snapToGrid w:val="0"/>
        </w:rPr>
      </w:pPr>
      <w:bookmarkStart w:id="83" w:name="_Toc377110059"/>
      <w:bookmarkStart w:id="84" w:name="_Toc536631311"/>
      <w:r>
        <w:rPr>
          <w:rStyle w:val="CharSectno"/>
        </w:rPr>
        <w:t>26</w:t>
      </w:r>
      <w:r>
        <w:rPr>
          <w:snapToGrid w:val="0"/>
        </w:rPr>
        <w:t>.</w:t>
      </w:r>
      <w:r>
        <w:rPr>
          <w:snapToGrid w:val="0"/>
        </w:rPr>
        <w:tab/>
        <w:t>Transitional</w:t>
      </w:r>
      <w:bookmarkEnd w:id="83"/>
      <w:bookmarkEnd w:id="84"/>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No. 35 of 2003 s. 191.]</w:t>
      </w:r>
    </w:p>
    <w:p>
      <w:pPr>
        <w:pStyle w:val="Ednotesection"/>
        <w:ind w:left="0" w:firstLine="0"/>
      </w:pPr>
      <w:r>
        <w:t>[</w:t>
      </w:r>
      <w:r>
        <w:rPr>
          <w:b/>
        </w:rPr>
        <w:t>28, 29.</w:t>
      </w:r>
      <w:r>
        <w:tab/>
        <w:t>Omitted under the Reprints Act 1984 s. 7(4)(e).]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85" w:name="_Toc377110060"/>
      <w:bookmarkStart w:id="86" w:name="_Toc424292343"/>
      <w:bookmarkStart w:id="87" w:name="_Toc435023304"/>
      <w:bookmarkStart w:id="88" w:name="_Toc532474839"/>
      <w:bookmarkStart w:id="89" w:name="_Toc536631312"/>
      <w:r>
        <w:rPr>
          <w:rStyle w:val="CharSchNo"/>
        </w:rPr>
        <w:t>Schedule</w:t>
      </w:r>
      <w:r>
        <w:t> — </w:t>
      </w:r>
      <w:r>
        <w:rPr>
          <w:rStyle w:val="CharSchText"/>
          <w:bCs/>
        </w:rPr>
        <w:t>Provisions with respect to the constitution and membership of the Racing Penalties Appeal Tribunal of Western Australia</w:t>
      </w:r>
      <w:bookmarkEnd w:id="85"/>
      <w:bookmarkEnd w:id="86"/>
      <w:bookmarkEnd w:id="87"/>
      <w:bookmarkEnd w:id="88"/>
      <w:bookmarkEnd w:id="89"/>
    </w:p>
    <w:p>
      <w:pPr>
        <w:pStyle w:val="yShoulderClause"/>
        <w:spacing w:before="100"/>
        <w:rPr>
          <w:snapToGrid w:val="0"/>
        </w:rPr>
      </w:pPr>
      <w:r>
        <w:rPr>
          <w:snapToGrid w:val="0"/>
        </w:rPr>
        <w:t>[s. 4(4)]</w:t>
      </w:r>
    </w:p>
    <w:p>
      <w:pPr>
        <w:pStyle w:val="yFootnoteheading"/>
      </w:pPr>
      <w:r>
        <w:tab/>
        <w:t>[Heading amended: No. 19 of 2010 s. 4.]</w:t>
      </w:r>
    </w:p>
    <w:p>
      <w:pPr>
        <w:pStyle w:val="yHeading5"/>
        <w:spacing w:before="240"/>
        <w:outlineLvl w:val="9"/>
        <w:rPr>
          <w:snapToGrid w:val="0"/>
        </w:rPr>
      </w:pPr>
      <w:bookmarkStart w:id="90" w:name="_Toc377110061"/>
      <w:bookmarkStart w:id="91" w:name="_Toc536631313"/>
      <w:r>
        <w:rPr>
          <w:rStyle w:val="CharSClsNo"/>
        </w:rPr>
        <w:t>1</w:t>
      </w:r>
      <w:r>
        <w:rPr>
          <w:snapToGrid w:val="0"/>
        </w:rPr>
        <w:t>.</w:t>
      </w:r>
      <w:r>
        <w:rPr>
          <w:snapToGrid w:val="0"/>
        </w:rPr>
        <w:tab/>
        <w:t>Public service officer may be member of a Tribunal</w:t>
      </w:r>
      <w:bookmarkEnd w:id="90"/>
      <w:bookmarkEnd w:id="91"/>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w:t>
      </w:r>
      <w:r>
        <w:t xml:space="preserve"> Public Sector Commissioner</w:t>
      </w:r>
      <w:r>
        <w:rPr>
          <w:snapToGrid w:val="0"/>
        </w:rPr>
        <w:t>, may from time to time determine.</w:t>
      </w:r>
    </w:p>
    <w:p>
      <w:pPr>
        <w:pStyle w:val="yFootnotesection"/>
      </w:pPr>
      <w:r>
        <w:tab/>
        <w:t>[Clause 1 amended: No. 32 of 1994 s. 19; No. 39 of 2010 s. 89.]</w:t>
      </w:r>
    </w:p>
    <w:p>
      <w:pPr>
        <w:pStyle w:val="yHeading5"/>
        <w:spacing w:before="240"/>
        <w:outlineLvl w:val="9"/>
        <w:rPr>
          <w:snapToGrid w:val="0"/>
        </w:rPr>
      </w:pPr>
      <w:bookmarkStart w:id="92" w:name="_Toc377110062"/>
      <w:bookmarkStart w:id="93" w:name="_Toc536631314"/>
      <w:r>
        <w:rPr>
          <w:snapToGrid w:val="0"/>
        </w:rPr>
        <w:t>2.</w:t>
      </w:r>
      <w:r>
        <w:rPr>
          <w:snapToGrid w:val="0"/>
        </w:rPr>
        <w:tab/>
        <w:t>Remuneration</w:t>
      </w:r>
      <w:bookmarkEnd w:id="92"/>
      <w:bookmarkEnd w:id="93"/>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w:t>
      </w:r>
      <w:r>
        <w:t xml:space="preserve"> Public Sector Commissioner</w:t>
      </w:r>
      <w:r>
        <w:rPr>
          <w:snapToGrid w:val="0"/>
        </w:rPr>
        <w:t>, may from time to time determine.</w:t>
      </w:r>
    </w:p>
    <w:p>
      <w:pPr>
        <w:pStyle w:val="yFootnotesection"/>
      </w:pPr>
      <w:r>
        <w:tab/>
        <w:t>[Clause 2 amended: No. 39 of 2010 s. 89.]</w:t>
      </w:r>
    </w:p>
    <w:p>
      <w:pPr>
        <w:pStyle w:val="yHeading5"/>
        <w:spacing w:before="240"/>
        <w:outlineLvl w:val="9"/>
        <w:rPr>
          <w:snapToGrid w:val="0"/>
        </w:rPr>
      </w:pPr>
      <w:bookmarkStart w:id="94" w:name="_Toc377110063"/>
      <w:bookmarkStart w:id="95" w:name="_Toc536631315"/>
      <w:r>
        <w:rPr>
          <w:rStyle w:val="CharSClsNo"/>
        </w:rPr>
        <w:t>3</w:t>
      </w:r>
      <w:r>
        <w:rPr>
          <w:snapToGrid w:val="0"/>
        </w:rPr>
        <w:t>.</w:t>
      </w:r>
      <w:r>
        <w:rPr>
          <w:snapToGrid w:val="0"/>
        </w:rPr>
        <w:tab/>
        <w:t>Eligibility for, and vacation of, office and conditions of appointment</w:t>
      </w:r>
      <w:bookmarkEnd w:id="94"/>
      <w:bookmarkEnd w:id="95"/>
    </w:p>
    <w:p>
      <w:pPr>
        <w:pStyle w:val="yEdnotesubsection"/>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No. 42 of 1997 s. 8; No. 23 of 1998 s. 20; No. 35 of 2003 s. 192.]</w:t>
      </w:r>
    </w:p>
    <w:p>
      <w:pPr>
        <w:pStyle w:val="yHeading5"/>
        <w:spacing w:before="240"/>
        <w:outlineLvl w:val="9"/>
        <w:rPr>
          <w:snapToGrid w:val="0"/>
        </w:rPr>
      </w:pPr>
      <w:bookmarkStart w:id="96" w:name="_Toc377110064"/>
      <w:bookmarkStart w:id="97" w:name="_Toc536631316"/>
      <w:r>
        <w:rPr>
          <w:rStyle w:val="CharSClsNo"/>
        </w:rPr>
        <w:t>4</w:t>
      </w:r>
      <w:r>
        <w:rPr>
          <w:snapToGrid w:val="0"/>
        </w:rPr>
        <w:t>.</w:t>
      </w:r>
      <w:r>
        <w:rPr>
          <w:snapToGrid w:val="0"/>
        </w:rPr>
        <w:tab/>
        <w:t>Removal from office</w:t>
      </w:r>
      <w:bookmarkEnd w:id="96"/>
      <w:bookmarkEnd w:id="97"/>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No. 18 of 2009 s. 72.]</w:t>
      </w:r>
    </w:p>
    <w:p>
      <w:pPr>
        <w:pStyle w:val="yHeading5"/>
        <w:spacing w:before="240"/>
        <w:outlineLvl w:val="9"/>
        <w:rPr>
          <w:snapToGrid w:val="0"/>
        </w:rPr>
      </w:pPr>
      <w:bookmarkStart w:id="98" w:name="_Toc377110065"/>
      <w:bookmarkStart w:id="99" w:name="_Toc536631317"/>
      <w:r>
        <w:rPr>
          <w:rStyle w:val="CharSClsNo"/>
        </w:rPr>
        <w:t>5</w:t>
      </w:r>
      <w:r>
        <w:rPr>
          <w:snapToGrid w:val="0"/>
        </w:rPr>
        <w:t>.</w:t>
      </w:r>
      <w:r>
        <w:rPr>
          <w:snapToGrid w:val="0"/>
        </w:rPr>
        <w:tab/>
        <w:t>Validity of proceedings etc.</w:t>
      </w:r>
      <w:bookmarkEnd w:id="98"/>
      <w:bookmarkEnd w:id="99"/>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100" w:name="_Toc377110066"/>
      <w:bookmarkStart w:id="101" w:name="_Toc536631318"/>
      <w:r>
        <w:rPr>
          <w:rStyle w:val="CharSClsNo"/>
        </w:rPr>
        <w:t>6</w:t>
      </w:r>
      <w:r>
        <w:rPr>
          <w:snapToGrid w:val="0"/>
        </w:rPr>
        <w:t>.</w:t>
      </w:r>
      <w:r>
        <w:rPr>
          <w:snapToGrid w:val="0"/>
        </w:rPr>
        <w:tab/>
        <w:t>Presumptions</w:t>
      </w:r>
      <w:bookmarkEnd w:id="100"/>
      <w:bookmarkEnd w:id="101"/>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03" w:name="_Toc377110067"/>
      <w:bookmarkStart w:id="104" w:name="_Toc424292350"/>
      <w:bookmarkStart w:id="105" w:name="_Toc435023311"/>
      <w:bookmarkStart w:id="106" w:name="_Toc532474846"/>
      <w:bookmarkStart w:id="107" w:name="_Toc536631319"/>
      <w:r>
        <w:t>Notes</w:t>
      </w:r>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108" w:name="_Toc377110068"/>
      <w:bookmarkStart w:id="109" w:name="_Toc536631320"/>
      <w:r>
        <w:rPr>
          <w:snapToGrid w:val="0"/>
        </w:rPr>
        <w:t>Compilation table</w:t>
      </w:r>
      <w:bookmarkEnd w:id="108"/>
      <w:bookmarkEnd w:id="10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9" w:type="dxa"/>
            <w:tcBorders>
              <w:top w:val="single" w:sz="8" w:space="0" w:color="auto"/>
            </w:tcBorders>
          </w:tcPr>
          <w:p>
            <w:pPr>
              <w:pStyle w:val="nTable"/>
              <w:spacing w:before="60" w:after="60"/>
              <w:ind w:right="113"/>
            </w:pPr>
            <w:r>
              <w:rPr>
                <w:i/>
              </w:rPr>
              <w:t>Racing Penalties (Appeals) Act 1990</w:t>
            </w:r>
          </w:p>
        </w:tc>
        <w:tc>
          <w:tcPr>
            <w:tcW w:w="1134" w:type="dxa"/>
            <w:tcBorders>
              <w:top w:val="single" w:sz="8" w:space="0" w:color="auto"/>
            </w:tcBorders>
          </w:tcPr>
          <w:p>
            <w:pPr>
              <w:pStyle w:val="nTable"/>
              <w:spacing w:before="60" w:after="60"/>
            </w:pPr>
            <w:r>
              <w:t>46 of 1990</w:t>
            </w:r>
          </w:p>
        </w:tc>
        <w:tc>
          <w:tcPr>
            <w:tcW w:w="1134" w:type="dxa"/>
            <w:tcBorders>
              <w:top w:val="single" w:sz="8" w:space="0" w:color="auto"/>
            </w:tcBorders>
          </w:tcPr>
          <w:p>
            <w:pPr>
              <w:pStyle w:val="nTable"/>
              <w:spacing w:before="60" w:after="60"/>
            </w:pPr>
            <w:r>
              <w:t>26 Nov 1990</w:t>
            </w:r>
          </w:p>
        </w:tc>
        <w:tc>
          <w:tcPr>
            <w:tcW w:w="2552" w:type="dxa"/>
            <w:tcBorders>
              <w:top w:val="single" w:sz="8" w:space="0" w:color="auto"/>
            </w:tcBorders>
          </w:tcPr>
          <w:p>
            <w:pPr>
              <w:pStyle w:val="nTable"/>
              <w:spacing w:before="60" w:after="60"/>
            </w:pPr>
            <w:r>
              <w:t>s. 1 and 2: 26 Nov 1990;</w:t>
            </w:r>
            <w:r>
              <w:br/>
              <w:t xml:space="preserve">Act other than s. 1 and 2: 15 Apr 1991 (see s. 2 and </w:t>
            </w:r>
            <w:r>
              <w:rPr>
                <w:i/>
              </w:rPr>
              <w:t>Gazette</w:t>
            </w:r>
            <w:r>
              <w:t xml:space="preserve"> 12 Apr 1991 p. 1597)</w:t>
            </w:r>
          </w:p>
        </w:tc>
      </w:tr>
      <w:tr>
        <w:trPr>
          <w:cantSplit/>
        </w:trPr>
        <w:tc>
          <w:tcPr>
            <w:tcW w:w="2269" w:type="dxa"/>
          </w:tcPr>
          <w:p>
            <w:pPr>
              <w:pStyle w:val="nTable"/>
              <w:spacing w:before="60" w:after="60"/>
              <w:ind w:right="113"/>
            </w:pPr>
            <w:r>
              <w:rPr>
                <w:i/>
              </w:rPr>
              <w:t>Acts Amendment and Repeal (Betting) Act 1992</w:t>
            </w:r>
            <w:r>
              <w:t xml:space="preserve"> Pt. 6</w:t>
            </w:r>
          </w:p>
        </w:tc>
        <w:tc>
          <w:tcPr>
            <w:tcW w:w="1134" w:type="dxa"/>
          </w:tcPr>
          <w:p>
            <w:pPr>
              <w:pStyle w:val="nTable"/>
              <w:spacing w:before="60" w:after="60"/>
            </w:pPr>
            <w:r>
              <w:t>11 of 1992</w:t>
            </w:r>
          </w:p>
        </w:tc>
        <w:tc>
          <w:tcPr>
            <w:tcW w:w="1134" w:type="dxa"/>
          </w:tcPr>
          <w:p>
            <w:pPr>
              <w:pStyle w:val="nTable"/>
              <w:spacing w:before="60" w:after="60"/>
            </w:pPr>
            <w:r>
              <w:t>16 Jun 1992</w:t>
            </w:r>
          </w:p>
        </w:tc>
        <w:tc>
          <w:tcPr>
            <w:tcW w:w="2552" w:type="dxa"/>
          </w:tcPr>
          <w:p>
            <w:pPr>
              <w:pStyle w:val="nTable"/>
              <w:spacing w:before="60" w:after="60"/>
            </w:pPr>
            <w:r>
              <w:t xml:space="preserve">31 Jul 1992 (see s. 2(1) and </w:t>
            </w:r>
            <w:r>
              <w:rPr>
                <w:i/>
              </w:rPr>
              <w:t>Gazette</w:t>
            </w:r>
            <w:r>
              <w:t xml:space="preserve"> 31 Jul 1992 p. 3735)</w:t>
            </w:r>
          </w:p>
        </w:tc>
      </w:tr>
      <w:tr>
        <w:trPr>
          <w:cantSplit/>
        </w:trPr>
        <w:tc>
          <w:tcPr>
            <w:tcW w:w="2269" w:type="dxa"/>
          </w:tcPr>
          <w:p>
            <w:pPr>
              <w:pStyle w:val="nTable"/>
              <w:spacing w:before="60" w:after="60"/>
              <w:ind w:right="113"/>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2" w:type="dxa"/>
          </w:tcPr>
          <w:p>
            <w:pPr>
              <w:pStyle w:val="nTable"/>
              <w:spacing w:before="60" w:after="60"/>
            </w:pPr>
            <w:r>
              <w:t xml:space="preserve">1 Oct 1994 (see s. 2 and </w:t>
            </w:r>
            <w:r>
              <w:rPr>
                <w:i/>
              </w:rPr>
              <w:t>Gazette</w:t>
            </w:r>
            <w:r>
              <w:t xml:space="preserve"> 30 Sep 1994 p. 4948)</w:t>
            </w:r>
          </w:p>
        </w:tc>
      </w:tr>
      <w:tr>
        <w:trPr>
          <w:cantSplit/>
        </w:trPr>
        <w:tc>
          <w:tcPr>
            <w:tcW w:w="2269" w:type="dxa"/>
          </w:tcPr>
          <w:p>
            <w:pPr>
              <w:pStyle w:val="nTable"/>
              <w:spacing w:before="60" w:after="60"/>
              <w:ind w:right="113"/>
            </w:pPr>
            <w:r>
              <w:rPr>
                <w:i/>
              </w:rPr>
              <w:t>Statutes (Repeals and Minor Amendments) Act 1994</w:t>
            </w:r>
            <w:r>
              <w:t xml:space="preserve"> s. 4</w:t>
            </w:r>
          </w:p>
        </w:tc>
        <w:tc>
          <w:tcPr>
            <w:tcW w:w="1134" w:type="dxa"/>
          </w:tcPr>
          <w:p>
            <w:pPr>
              <w:pStyle w:val="nTable"/>
              <w:spacing w:before="60" w:after="60"/>
            </w:pPr>
            <w:r>
              <w:t>73 of 1994</w:t>
            </w:r>
          </w:p>
        </w:tc>
        <w:tc>
          <w:tcPr>
            <w:tcW w:w="1134" w:type="dxa"/>
          </w:tcPr>
          <w:p>
            <w:pPr>
              <w:pStyle w:val="nTable"/>
              <w:spacing w:before="60" w:after="60"/>
            </w:pPr>
            <w:r>
              <w:t>9 Dec 1994</w:t>
            </w:r>
          </w:p>
        </w:tc>
        <w:tc>
          <w:tcPr>
            <w:tcW w:w="2552" w:type="dxa"/>
          </w:tcPr>
          <w:p>
            <w:pPr>
              <w:pStyle w:val="nTable"/>
              <w:spacing w:before="60" w:after="60"/>
            </w:pPr>
            <w:r>
              <w:t>9 Dec 1994 (see s. 2)</w:t>
            </w:r>
          </w:p>
        </w:tc>
      </w:tr>
      <w:tr>
        <w:trPr>
          <w:cantSplit/>
        </w:trPr>
        <w:tc>
          <w:tcPr>
            <w:tcW w:w="2269" w:type="dxa"/>
          </w:tcPr>
          <w:p>
            <w:pPr>
              <w:pStyle w:val="nTable"/>
              <w:spacing w:before="60" w:after="60"/>
              <w:ind w:right="113"/>
            </w:pPr>
            <w:r>
              <w:rPr>
                <w:i/>
              </w:rPr>
              <w:t>Financial Legislation Amendment Act 1996</w:t>
            </w:r>
            <w:r>
              <w:t xml:space="preserve"> s. 59</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2" w:type="dxa"/>
          </w:tcPr>
          <w:p>
            <w:pPr>
              <w:pStyle w:val="nTable"/>
              <w:spacing w:before="60" w:after="60"/>
            </w:pPr>
            <w:r>
              <w:t>25 Oct 1996 (see s. 2(1))</w:t>
            </w:r>
          </w:p>
        </w:tc>
      </w:tr>
      <w:tr>
        <w:trPr>
          <w:cantSplit/>
        </w:trPr>
        <w:tc>
          <w:tcPr>
            <w:tcW w:w="2269" w:type="dxa"/>
          </w:tcPr>
          <w:p>
            <w:pPr>
              <w:pStyle w:val="nTable"/>
              <w:spacing w:before="60" w:after="60"/>
              <w:ind w:right="113"/>
            </w:pPr>
            <w:r>
              <w:rPr>
                <w:i/>
              </w:rPr>
              <w:t>Equal Opportunity Amendment Act (No. 3) 1997</w:t>
            </w:r>
            <w:r>
              <w:t xml:space="preserve"> s. 8</w:t>
            </w:r>
          </w:p>
        </w:tc>
        <w:tc>
          <w:tcPr>
            <w:tcW w:w="1134" w:type="dxa"/>
          </w:tcPr>
          <w:p>
            <w:pPr>
              <w:pStyle w:val="nTable"/>
              <w:spacing w:before="60" w:after="60"/>
            </w:pPr>
            <w:r>
              <w:t>42 of 1997</w:t>
            </w:r>
          </w:p>
        </w:tc>
        <w:tc>
          <w:tcPr>
            <w:tcW w:w="1134" w:type="dxa"/>
          </w:tcPr>
          <w:p>
            <w:pPr>
              <w:pStyle w:val="nTable"/>
              <w:spacing w:before="60" w:after="60"/>
            </w:pPr>
            <w:r>
              <w:t>9 Dec 1997</w:t>
            </w:r>
          </w:p>
        </w:tc>
        <w:tc>
          <w:tcPr>
            <w:tcW w:w="2552" w:type="dxa"/>
          </w:tcPr>
          <w:p>
            <w:pPr>
              <w:pStyle w:val="nTable"/>
              <w:spacing w:before="60" w:after="60"/>
            </w:pPr>
            <w:r>
              <w:t>6 Jan 1998 (see s. 2(1))</w:t>
            </w:r>
          </w:p>
        </w:tc>
      </w:tr>
      <w:tr>
        <w:trPr>
          <w:cantSplit/>
        </w:trPr>
        <w:tc>
          <w:tcPr>
            <w:tcW w:w="2269" w:type="dxa"/>
          </w:tcPr>
          <w:p>
            <w:pPr>
              <w:pStyle w:val="nTable"/>
              <w:spacing w:before="60" w:after="60"/>
              <w:ind w:right="113"/>
            </w:pPr>
            <w:r>
              <w:rPr>
                <w:i/>
              </w:rPr>
              <w:t>Western Australian Greyhound Racing Association Amendment Act 1998</w:t>
            </w:r>
            <w:r>
              <w:t xml:space="preserve"> s. 20</w:t>
            </w:r>
          </w:p>
        </w:tc>
        <w:tc>
          <w:tcPr>
            <w:tcW w:w="1134" w:type="dxa"/>
          </w:tcPr>
          <w:p>
            <w:pPr>
              <w:pStyle w:val="nTable"/>
              <w:spacing w:before="60" w:after="60"/>
            </w:pPr>
            <w:r>
              <w:t>23 of 1998</w:t>
            </w:r>
          </w:p>
        </w:tc>
        <w:tc>
          <w:tcPr>
            <w:tcW w:w="1134" w:type="dxa"/>
          </w:tcPr>
          <w:p>
            <w:pPr>
              <w:pStyle w:val="nTable"/>
              <w:spacing w:before="60" w:after="60"/>
            </w:pPr>
            <w:r>
              <w:t>30 Jun 1998</w:t>
            </w:r>
          </w:p>
        </w:tc>
        <w:tc>
          <w:tcPr>
            <w:tcW w:w="2552" w:type="dxa"/>
          </w:tcPr>
          <w:p>
            <w:pPr>
              <w:pStyle w:val="nTable"/>
              <w:spacing w:before="60" w:after="60"/>
            </w:pPr>
            <w:r>
              <w:t xml:space="preserve">1 Aug 1998 (see s. 3 and </w:t>
            </w:r>
            <w:r>
              <w:rPr>
                <w:i/>
              </w:rPr>
              <w:t>Gazette</w:t>
            </w:r>
            <w:r>
              <w:t xml:space="preserve"> 21 Jul 1998 p. 3825)</w:t>
            </w:r>
          </w:p>
        </w:tc>
      </w:tr>
      <w:tr>
        <w:trPr>
          <w:cantSplit/>
        </w:trPr>
        <w:tc>
          <w:tcPr>
            <w:tcW w:w="2269" w:type="dxa"/>
          </w:tcPr>
          <w:p>
            <w:pPr>
              <w:pStyle w:val="nTable"/>
              <w:spacing w:before="60" w:after="60"/>
              <w:ind w:right="113"/>
              <w:rPr>
                <w:i/>
              </w:rPr>
            </w:pPr>
            <w:r>
              <w:rPr>
                <w:i/>
              </w:rPr>
              <w:t>Statutes (Repeals and Minor Amendments) Act 2000</w:t>
            </w:r>
            <w:r>
              <w:t xml:space="preserve"> s. 37</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52" w:type="dxa"/>
          </w:tcPr>
          <w:p>
            <w:pPr>
              <w:pStyle w:val="nTable"/>
              <w:spacing w:before="60" w:after="60"/>
            </w:pPr>
            <w:r>
              <w:t>4 Jul 2000 (see s. 2)</w:t>
            </w:r>
          </w:p>
        </w:tc>
      </w:tr>
      <w:tr>
        <w:trPr>
          <w:cantSplit/>
        </w:trPr>
        <w:tc>
          <w:tcPr>
            <w:tcW w:w="7089" w:type="dxa"/>
            <w:gridSpan w:val="4"/>
          </w:tcPr>
          <w:p>
            <w:pPr>
              <w:pStyle w:val="nTable"/>
              <w:spacing w:before="60" w:after="60"/>
            </w:pPr>
            <w:r>
              <w:rPr>
                <w:b/>
              </w:rPr>
              <w:t xml:space="preserve">Reprint of the </w:t>
            </w:r>
            <w:r>
              <w:rPr>
                <w:b/>
                <w:i/>
              </w:rPr>
              <w:t>Racing Penalties (Appeals) Act 1990</w:t>
            </w:r>
            <w:r>
              <w:rPr>
                <w:b/>
              </w:rPr>
              <w:t xml:space="preserve"> as at 19 Oct 2001 </w:t>
            </w:r>
            <w:r>
              <w:t>(includes amendments listed above)</w:t>
            </w:r>
          </w:p>
        </w:tc>
      </w:tr>
      <w:tr>
        <w:trPr>
          <w:cantSplit/>
        </w:trPr>
        <w:tc>
          <w:tcPr>
            <w:tcW w:w="2269" w:type="dxa"/>
          </w:tcPr>
          <w:p>
            <w:pPr>
              <w:pStyle w:val="nTable"/>
              <w:spacing w:after="36"/>
              <w:ind w:right="113"/>
            </w:pPr>
            <w:r>
              <w:rPr>
                <w:i/>
              </w:rPr>
              <w:t>Racing and Gambling Legislation Amendment and Repeal Act 2003</w:t>
            </w:r>
            <w:r>
              <w:t xml:space="preserve"> Pt. 11</w:t>
            </w:r>
            <w:r>
              <w:rPr>
                <w:vertAlign w:val="superscript"/>
              </w:rPr>
              <w:t> 3, 4</w:t>
            </w:r>
          </w:p>
        </w:tc>
        <w:tc>
          <w:tcPr>
            <w:tcW w:w="1134" w:type="dxa"/>
          </w:tcPr>
          <w:p>
            <w:pPr>
              <w:pStyle w:val="nTable"/>
              <w:spacing w:after="36"/>
            </w:pPr>
            <w:r>
              <w:t>35 of 2003</w:t>
            </w:r>
          </w:p>
        </w:tc>
        <w:tc>
          <w:tcPr>
            <w:tcW w:w="1134" w:type="dxa"/>
          </w:tcPr>
          <w:p>
            <w:pPr>
              <w:pStyle w:val="nTable"/>
              <w:spacing w:after="36"/>
            </w:pPr>
            <w:r>
              <w:t>26 Jun 2003</w:t>
            </w:r>
          </w:p>
        </w:tc>
        <w:tc>
          <w:tcPr>
            <w:tcW w:w="2552" w:type="dxa"/>
          </w:tcPr>
          <w:p>
            <w:pPr>
              <w:pStyle w:val="nTable"/>
              <w:spacing w:after="36"/>
            </w:pPr>
            <w:r>
              <w:t>s. 179, 180(1)(a), (b), (d)</w:t>
            </w:r>
            <w:r>
              <w:noBreakHyphen/>
              <w:t>(g) and 181</w:t>
            </w:r>
            <w:r>
              <w:noBreakHyphen/>
              <w:t xml:space="preserve">194: 1 Aug 2003 (see s. 2 and </w:t>
            </w:r>
            <w:r>
              <w:rPr>
                <w:i/>
              </w:rPr>
              <w:t>Gazette</w:t>
            </w:r>
            <w:r>
              <w:t xml:space="preserve"> 29 Jul 2003 p. 3259); s. 180(1)(c) and (2): 30 Jan 2004 (see s. 2 and </w:t>
            </w:r>
            <w:r>
              <w:rPr>
                <w:i/>
              </w:rPr>
              <w:t>Gazette</w:t>
            </w:r>
            <w:r>
              <w:t xml:space="preserve"> 30 Jan 2004 p. 397)</w:t>
            </w:r>
          </w:p>
        </w:tc>
      </w:tr>
      <w:tr>
        <w:trPr>
          <w:cantSplit/>
        </w:trPr>
        <w:tc>
          <w:tcPr>
            <w:tcW w:w="2269" w:type="dxa"/>
          </w:tcPr>
          <w:p>
            <w:pPr>
              <w:pStyle w:val="nTable"/>
              <w:spacing w:after="36"/>
              <w:ind w:right="113"/>
            </w:pPr>
            <w:r>
              <w:rPr>
                <w:i/>
              </w:rPr>
              <w:t>Acts Amendment and Repeal (Courts and Legal Practice) Act 2003</w:t>
            </w:r>
            <w:r>
              <w:t xml:space="preserve"> s. 58 and 116</w:t>
            </w:r>
          </w:p>
        </w:tc>
        <w:tc>
          <w:tcPr>
            <w:tcW w:w="1134" w:type="dxa"/>
          </w:tcPr>
          <w:p>
            <w:pPr>
              <w:pStyle w:val="nTable"/>
              <w:spacing w:after="36"/>
            </w:pPr>
            <w:r>
              <w:t>65 of 2003</w:t>
            </w:r>
          </w:p>
        </w:tc>
        <w:tc>
          <w:tcPr>
            <w:tcW w:w="1134" w:type="dxa"/>
          </w:tcPr>
          <w:p>
            <w:pPr>
              <w:pStyle w:val="nTable"/>
              <w:spacing w:after="36"/>
            </w:pPr>
            <w:r>
              <w:t>4 Dec 2003</w:t>
            </w:r>
          </w:p>
        </w:tc>
        <w:tc>
          <w:tcPr>
            <w:tcW w:w="2552" w:type="dxa"/>
          </w:tcPr>
          <w:p>
            <w:pPr>
              <w:pStyle w:val="nTable"/>
              <w:spacing w:after="36"/>
            </w:pPr>
            <w:r>
              <w:t xml:space="preserve">1 Jan 2004 (see s. 2 and </w:t>
            </w:r>
            <w:r>
              <w:rPr>
                <w:i/>
              </w:rPr>
              <w:t>Gazette</w:t>
            </w:r>
            <w:r>
              <w:t xml:space="preserve"> 30 Dec 2003 p. 5722)</w:t>
            </w:r>
          </w:p>
        </w:tc>
      </w:tr>
      <w:tr>
        <w:trPr>
          <w:cantSplit/>
        </w:trPr>
        <w:tc>
          <w:tcPr>
            <w:tcW w:w="2269" w:type="dxa"/>
          </w:tcPr>
          <w:p>
            <w:pPr>
              <w:pStyle w:val="nTable"/>
              <w:spacing w:after="36"/>
              <w:ind w:right="113"/>
              <w:rPr>
                <w:i/>
              </w:rPr>
            </w:pPr>
            <w:r>
              <w:rPr>
                <w:i/>
                <w:snapToGrid w:val="0"/>
              </w:rPr>
              <w:t>Courts Legislation Amendment and Repeal Act 2004</w:t>
            </w:r>
            <w:r>
              <w:rPr>
                <w:snapToGrid w:val="0"/>
              </w:rPr>
              <w:t xml:space="preserve"> s. 142</w:t>
            </w:r>
          </w:p>
        </w:tc>
        <w:tc>
          <w:tcPr>
            <w:tcW w:w="1134" w:type="dxa"/>
          </w:tcPr>
          <w:p>
            <w:pPr>
              <w:pStyle w:val="nTable"/>
              <w:spacing w:after="36"/>
            </w:pPr>
            <w:r>
              <w:rPr>
                <w:snapToGrid w:val="0"/>
              </w:rPr>
              <w:t>59 of 2004</w:t>
            </w:r>
          </w:p>
        </w:tc>
        <w:tc>
          <w:tcPr>
            <w:tcW w:w="1134" w:type="dxa"/>
          </w:tcPr>
          <w:p>
            <w:pPr>
              <w:pStyle w:val="nTable"/>
              <w:spacing w:after="36"/>
            </w:pPr>
            <w:r>
              <w:t>23 Nov 2004</w:t>
            </w:r>
          </w:p>
        </w:tc>
        <w:tc>
          <w:tcPr>
            <w:tcW w:w="2552" w:type="dxa"/>
          </w:tcPr>
          <w:p>
            <w:pPr>
              <w:pStyle w:val="nTable"/>
              <w:spacing w:after="36"/>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36"/>
              <w:ind w:right="113"/>
              <w:rPr>
                <w:i/>
                <w:snapToGrid w:val="0"/>
              </w:rPr>
            </w:pPr>
            <w:r>
              <w:rPr>
                <w:i/>
                <w:snapToGrid w:val="0"/>
              </w:rPr>
              <w:t xml:space="preserve">Machinery of Government (Miscellaneous Amendments) Act 2006 </w:t>
            </w:r>
            <w:r>
              <w:rPr>
                <w:snapToGrid w:val="0"/>
              </w:rPr>
              <w:t>Pt. 16 Div. 3</w:t>
            </w:r>
          </w:p>
        </w:tc>
        <w:tc>
          <w:tcPr>
            <w:tcW w:w="1134" w:type="dxa"/>
          </w:tcPr>
          <w:p>
            <w:pPr>
              <w:pStyle w:val="nTable"/>
              <w:spacing w:after="36"/>
              <w:rPr>
                <w:snapToGrid w:val="0"/>
              </w:rPr>
            </w:pPr>
            <w:r>
              <w:rPr>
                <w:snapToGrid w:val="0"/>
              </w:rPr>
              <w:t>28 of 2006</w:t>
            </w:r>
          </w:p>
        </w:tc>
        <w:tc>
          <w:tcPr>
            <w:tcW w:w="1134" w:type="dxa"/>
          </w:tcPr>
          <w:p>
            <w:pPr>
              <w:pStyle w:val="nTable"/>
              <w:spacing w:after="36"/>
            </w:pPr>
            <w:r>
              <w:t>26 Jun 2006</w:t>
            </w:r>
          </w:p>
        </w:tc>
        <w:tc>
          <w:tcPr>
            <w:tcW w:w="2552" w:type="dxa"/>
          </w:tcPr>
          <w:p>
            <w:pPr>
              <w:pStyle w:val="nTable"/>
              <w:spacing w:after="36"/>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7089" w:type="dxa"/>
            <w:gridSpan w:val="4"/>
          </w:tcPr>
          <w:p>
            <w:pPr>
              <w:pStyle w:val="nTable"/>
              <w:spacing w:after="36"/>
              <w:rPr>
                <w:snapToGrid w:val="0"/>
              </w:rPr>
            </w:pPr>
            <w:r>
              <w:rPr>
                <w:b/>
              </w:rPr>
              <w:t xml:space="preserve">Reprint 2:  The </w:t>
            </w:r>
            <w:r>
              <w:rPr>
                <w:b/>
                <w:i/>
              </w:rPr>
              <w:t>Racing Penalties (Appeals) Act 1990</w:t>
            </w:r>
            <w:r>
              <w:rPr>
                <w:b/>
              </w:rPr>
              <w:t xml:space="preserve"> as at 18 Aug 2006 </w:t>
            </w:r>
            <w:r>
              <w:t>(includes amendments listed above)</w:t>
            </w:r>
          </w:p>
        </w:tc>
      </w:tr>
      <w:tr>
        <w:trPr>
          <w:cantSplit/>
        </w:trPr>
        <w:tc>
          <w:tcPr>
            <w:tcW w:w="2269" w:type="dxa"/>
          </w:tcPr>
          <w:p>
            <w:pPr>
              <w:pStyle w:val="nTable"/>
              <w:spacing w:after="36"/>
              <w:ind w:right="113"/>
              <w:rPr>
                <w:i/>
                <w:snapToGrid w:val="0"/>
              </w:rPr>
            </w:pPr>
            <w:r>
              <w:rPr>
                <w:i/>
                <w:snapToGrid w:val="0"/>
              </w:rPr>
              <w:t>Financial Legislation Amendment and Repeal Act 2006</w:t>
            </w:r>
            <w:r>
              <w:rPr>
                <w:snapToGrid w:val="0"/>
              </w:rPr>
              <w:t xml:space="preserve"> Sch. 1 cl. 143</w:t>
            </w:r>
          </w:p>
        </w:tc>
        <w:tc>
          <w:tcPr>
            <w:tcW w:w="1134" w:type="dxa"/>
          </w:tcPr>
          <w:p>
            <w:pPr>
              <w:pStyle w:val="nTable"/>
              <w:spacing w:after="36"/>
              <w:rPr>
                <w:snapToGrid w:val="0"/>
              </w:rPr>
            </w:pPr>
            <w:r>
              <w:rPr>
                <w:snapToGrid w:val="0"/>
              </w:rPr>
              <w:t>77 of 2006</w:t>
            </w:r>
          </w:p>
        </w:tc>
        <w:tc>
          <w:tcPr>
            <w:tcW w:w="1134" w:type="dxa"/>
          </w:tcPr>
          <w:p>
            <w:pPr>
              <w:pStyle w:val="nTable"/>
              <w:spacing w:after="36"/>
            </w:pPr>
            <w:r>
              <w:rPr>
                <w:snapToGrid w:val="0"/>
              </w:rPr>
              <w:t>21 Dec 2006</w:t>
            </w:r>
          </w:p>
        </w:tc>
        <w:tc>
          <w:tcPr>
            <w:tcW w:w="2552" w:type="dxa"/>
          </w:tcPr>
          <w:p>
            <w:pPr>
              <w:pStyle w:val="nTable"/>
              <w:spacing w:after="36"/>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36"/>
              <w:ind w:right="113"/>
              <w:rPr>
                <w:i/>
                <w:snapToGrid w:val="0"/>
              </w:rPr>
            </w:pPr>
            <w:r>
              <w:rPr>
                <w:i/>
                <w:snapToGrid w:val="0"/>
              </w:rPr>
              <w:t>Racing and Wagering Legislation Amendment Act 2007</w:t>
            </w:r>
            <w:r>
              <w:rPr>
                <w:iCs/>
                <w:snapToGrid w:val="0"/>
              </w:rPr>
              <w:t xml:space="preserve"> Pt. 3</w:t>
            </w:r>
          </w:p>
        </w:tc>
        <w:tc>
          <w:tcPr>
            <w:tcW w:w="1134" w:type="dxa"/>
          </w:tcPr>
          <w:p>
            <w:pPr>
              <w:pStyle w:val="nTable"/>
              <w:spacing w:after="36"/>
              <w:rPr>
                <w:snapToGrid w:val="0"/>
              </w:rPr>
            </w:pPr>
            <w:r>
              <w:t>2 of 2007</w:t>
            </w:r>
          </w:p>
        </w:tc>
        <w:tc>
          <w:tcPr>
            <w:tcW w:w="1134" w:type="dxa"/>
          </w:tcPr>
          <w:p>
            <w:pPr>
              <w:pStyle w:val="nTable"/>
              <w:spacing w:after="36"/>
              <w:rPr>
                <w:snapToGrid w:val="0"/>
              </w:rPr>
            </w:pPr>
            <w:r>
              <w:t>28 Mar 2007</w:t>
            </w:r>
          </w:p>
        </w:tc>
        <w:tc>
          <w:tcPr>
            <w:tcW w:w="2552" w:type="dxa"/>
          </w:tcPr>
          <w:p>
            <w:pPr>
              <w:pStyle w:val="nTable"/>
              <w:spacing w:after="36"/>
              <w:rPr>
                <w:snapToGrid w:val="0"/>
              </w:rPr>
            </w:pPr>
            <w:r>
              <w:rPr>
                <w:snapToGrid w:val="0"/>
              </w:rPr>
              <w:t>1 Jul 2007 (see s. 2)</w:t>
            </w:r>
          </w:p>
        </w:tc>
      </w:tr>
      <w:tr>
        <w:trPr>
          <w:cantSplit/>
        </w:trPr>
        <w:tc>
          <w:tcPr>
            <w:tcW w:w="2269" w:type="dxa"/>
          </w:tcPr>
          <w:p>
            <w:pPr>
              <w:pStyle w:val="nTable"/>
              <w:spacing w:after="36"/>
              <w:ind w:right="113"/>
              <w:rPr>
                <w:i/>
                <w:snapToGrid w:val="0"/>
              </w:rPr>
            </w:pPr>
            <w:r>
              <w:rPr>
                <w:i/>
                <w:iCs/>
                <w:snapToGrid w:val="0"/>
              </w:rPr>
              <w:t>Legal Profession Act 2008</w:t>
            </w:r>
            <w:r>
              <w:rPr>
                <w:snapToGrid w:val="0"/>
              </w:rPr>
              <w:t xml:space="preserve"> s. 695</w:t>
            </w:r>
          </w:p>
        </w:tc>
        <w:tc>
          <w:tcPr>
            <w:tcW w:w="1134" w:type="dxa"/>
          </w:tcPr>
          <w:p>
            <w:pPr>
              <w:pStyle w:val="nTable"/>
              <w:spacing w:after="36"/>
            </w:pPr>
            <w:r>
              <w:t>21 of 2008</w:t>
            </w:r>
          </w:p>
        </w:tc>
        <w:tc>
          <w:tcPr>
            <w:tcW w:w="1134" w:type="dxa"/>
          </w:tcPr>
          <w:p>
            <w:pPr>
              <w:pStyle w:val="nTable"/>
              <w:spacing w:after="36"/>
            </w:pPr>
            <w:r>
              <w:t>27 May 2008</w:t>
            </w:r>
          </w:p>
        </w:tc>
        <w:tc>
          <w:tcPr>
            <w:tcW w:w="2552" w:type="dxa"/>
          </w:tcPr>
          <w:p>
            <w:pPr>
              <w:pStyle w:val="nTable"/>
              <w:spacing w:after="36"/>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36"/>
              <w:rPr>
                <w:iCs/>
                <w:snapToGrid w:val="0"/>
              </w:rPr>
            </w:pPr>
            <w:r>
              <w:rPr>
                <w:i/>
                <w:snapToGrid w:val="0"/>
              </w:rPr>
              <w:t>Acts Amendment (Bankruptcy) Act 2009</w:t>
            </w:r>
            <w:r>
              <w:rPr>
                <w:iCs/>
                <w:snapToGrid w:val="0"/>
              </w:rPr>
              <w:t xml:space="preserve"> s. 72</w:t>
            </w:r>
          </w:p>
        </w:tc>
        <w:tc>
          <w:tcPr>
            <w:tcW w:w="1134" w:type="dxa"/>
          </w:tcPr>
          <w:p>
            <w:pPr>
              <w:pStyle w:val="nTable"/>
              <w:spacing w:after="36"/>
            </w:pPr>
            <w:r>
              <w:t>18 of 2009</w:t>
            </w:r>
          </w:p>
        </w:tc>
        <w:tc>
          <w:tcPr>
            <w:tcW w:w="1134" w:type="dxa"/>
          </w:tcPr>
          <w:p>
            <w:pPr>
              <w:pStyle w:val="nTable"/>
              <w:spacing w:after="36"/>
            </w:pPr>
            <w:r>
              <w:t>16 Sep 2009</w:t>
            </w:r>
          </w:p>
        </w:tc>
        <w:tc>
          <w:tcPr>
            <w:tcW w:w="2552" w:type="dxa"/>
          </w:tcPr>
          <w:p>
            <w:pPr>
              <w:pStyle w:val="nTable"/>
              <w:spacing w:after="36"/>
            </w:pPr>
            <w:r>
              <w:t>17 Sep 2009 (see s. 2(b))</w:t>
            </w:r>
          </w:p>
        </w:tc>
      </w:tr>
      <w:tr>
        <w:trPr>
          <w:cantSplit/>
        </w:trPr>
        <w:tc>
          <w:tcPr>
            <w:tcW w:w="2269" w:type="dxa"/>
          </w:tcPr>
          <w:p>
            <w:pPr>
              <w:pStyle w:val="nTable"/>
              <w:spacing w:after="36"/>
              <w:rPr>
                <w:i/>
                <w:snapToGrid w:val="0"/>
              </w:rPr>
            </w:pPr>
            <w:r>
              <w:rPr>
                <w:i/>
                <w:snapToGrid w:val="0"/>
              </w:rPr>
              <w:t>Standardisation of Formatting Act 2010</w:t>
            </w:r>
            <w:r>
              <w:rPr>
                <w:iCs/>
                <w:snapToGrid w:val="0"/>
              </w:rPr>
              <w:t xml:space="preserve"> s. 4</w:t>
            </w:r>
          </w:p>
        </w:tc>
        <w:tc>
          <w:tcPr>
            <w:tcW w:w="1134" w:type="dxa"/>
          </w:tcPr>
          <w:p>
            <w:pPr>
              <w:pStyle w:val="nTable"/>
              <w:spacing w:after="36"/>
            </w:pPr>
            <w:r>
              <w:rPr>
                <w:snapToGrid w:val="0"/>
              </w:rPr>
              <w:t>19 of 2010</w:t>
            </w:r>
          </w:p>
        </w:tc>
        <w:tc>
          <w:tcPr>
            <w:tcW w:w="1134" w:type="dxa"/>
          </w:tcPr>
          <w:p>
            <w:pPr>
              <w:pStyle w:val="nTable"/>
              <w:spacing w:after="36"/>
            </w:pPr>
            <w:r>
              <w:rPr>
                <w:snapToGrid w:val="0"/>
              </w:rPr>
              <w:t>28 Jun 2010</w:t>
            </w:r>
          </w:p>
        </w:tc>
        <w:tc>
          <w:tcPr>
            <w:tcW w:w="2552" w:type="dxa"/>
          </w:tcPr>
          <w:p>
            <w:pPr>
              <w:pStyle w:val="nTable"/>
              <w:spacing w:after="36"/>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Pr>
          <w:p>
            <w:pPr>
              <w:pStyle w:val="nTable"/>
              <w:spacing w:after="36"/>
            </w:pPr>
            <w:r>
              <w:rPr>
                <w:b/>
              </w:rPr>
              <w:t xml:space="preserve">Reprint 3:  The </w:t>
            </w:r>
            <w:r>
              <w:rPr>
                <w:b/>
                <w:i/>
              </w:rPr>
              <w:t>Racing Penalties (Appeals) Act 1990</w:t>
            </w:r>
            <w:r>
              <w:rPr>
                <w:b/>
              </w:rPr>
              <w:t xml:space="preserve"> as at 24 Sep 2010 </w:t>
            </w:r>
            <w:r>
              <w:t>(includes amendments listed above)</w:t>
            </w:r>
          </w:p>
        </w:tc>
      </w:tr>
      <w:tr>
        <w:trPr>
          <w:cantSplit/>
        </w:trPr>
        <w:tc>
          <w:tcPr>
            <w:tcW w:w="2269" w:type="dxa"/>
          </w:tcPr>
          <w:p>
            <w:pPr>
              <w:pStyle w:val="nTable"/>
              <w:spacing w:after="36"/>
              <w:rPr>
                <w:iCs/>
                <w:snapToGrid w:val="0"/>
              </w:rPr>
            </w:pPr>
            <w:r>
              <w:rPr>
                <w:i/>
                <w:iCs/>
                <w:snapToGrid w:val="0"/>
              </w:rPr>
              <w:t>Public Sector Reform Act 2010</w:t>
            </w:r>
            <w:r>
              <w:rPr>
                <w:iCs/>
                <w:snapToGrid w:val="0"/>
              </w:rPr>
              <w:t xml:space="preserve"> s. 89</w:t>
            </w:r>
          </w:p>
        </w:tc>
        <w:tc>
          <w:tcPr>
            <w:tcW w:w="1134" w:type="dxa"/>
          </w:tcPr>
          <w:p>
            <w:pPr>
              <w:pStyle w:val="nTable"/>
              <w:spacing w:after="36"/>
            </w:pPr>
            <w:r>
              <w:rPr>
                <w:snapToGrid w:val="0"/>
              </w:rPr>
              <w:t>39 of 2010</w:t>
            </w:r>
          </w:p>
        </w:tc>
        <w:tc>
          <w:tcPr>
            <w:tcW w:w="1134" w:type="dxa"/>
          </w:tcPr>
          <w:p>
            <w:pPr>
              <w:pStyle w:val="nTable"/>
              <w:spacing w:after="36"/>
            </w:pPr>
            <w:r>
              <w:rPr>
                <w:snapToGrid w:val="0"/>
              </w:rPr>
              <w:t>1 Oct 2010</w:t>
            </w:r>
          </w:p>
        </w:tc>
        <w:tc>
          <w:tcPr>
            <w:tcW w:w="2552" w:type="dxa"/>
          </w:tcPr>
          <w:p>
            <w:pPr>
              <w:pStyle w:val="nTable"/>
              <w:spacing w:after="36"/>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Borders>
              <w:bottom w:val="single" w:sz="8" w:space="0" w:color="auto"/>
            </w:tcBorders>
          </w:tcPr>
          <w:p>
            <w:pPr>
              <w:pStyle w:val="nTable"/>
              <w:spacing w:after="36"/>
              <w:rPr>
                <w:i/>
                <w:iCs/>
                <w:snapToGrid w:val="0"/>
              </w:rPr>
            </w:pPr>
            <w:r>
              <w:rPr>
                <w:i/>
              </w:rPr>
              <w:t>Betting Tax Assessment Act 2018</w:t>
            </w:r>
            <w:r>
              <w:t xml:space="preserve"> Pt. 8 Div 2 Subdiv. 4</w:t>
            </w:r>
            <w:r>
              <w:rPr>
                <w:vertAlign w:val="superscript"/>
              </w:rPr>
              <w:t> </w:t>
            </w:r>
          </w:p>
        </w:tc>
        <w:tc>
          <w:tcPr>
            <w:tcW w:w="1134" w:type="dxa"/>
            <w:tcBorders>
              <w:bottom w:val="single" w:sz="8" w:space="0" w:color="auto"/>
            </w:tcBorders>
          </w:tcPr>
          <w:p>
            <w:pPr>
              <w:pStyle w:val="nTable"/>
              <w:spacing w:after="36"/>
              <w:rPr>
                <w:snapToGrid w:val="0"/>
              </w:rPr>
            </w:pPr>
            <w:r>
              <w:t>37 of 2018</w:t>
            </w:r>
          </w:p>
        </w:tc>
        <w:tc>
          <w:tcPr>
            <w:tcW w:w="1134" w:type="dxa"/>
            <w:tcBorders>
              <w:bottom w:val="single" w:sz="8" w:space="0" w:color="auto"/>
            </w:tcBorders>
          </w:tcPr>
          <w:p>
            <w:pPr>
              <w:pStyle w:val="nTable"/>
              <w:spacing w:after="36"/>
              <w:rPr>
                <w:snapToGrid w:val="0"/>
              </w:rPr>
            </w:pPr>
            <w:r>
              <w:t>12 Dec 2018</w:t>
            </w:r>
          </w:p>
        </w:tc>
        <w:tc>
          <w:tcPr>
            <w:tcW w:w="2552" w:type="dxa"/>
            <w:tcBorders>
              <w:bottom w:val="single" w:sz="8" w:space="0" w:color="auto"/>
            </w:tcBorders>
          </w:tcPr>
          <w:p>
            <w:pPr>
              <w:pStyle w:val="nTable"/>
              <w:spacing w:after="36"/>
              <w:rPr>
                <w:snapToGrid w:val="0"/>
              </w:rPr>
            </w:pPr>
            <w:r>
              <w:t xml:space="preserve">1 Feb 2019 (see s. 2(b) and </w:t>
            </w:r>
            <w:r>
              <w:rPr>
                <w:i/>
              </w:rPr>
              <w:t>Gazette</w:t>
            </w:r>
            <w:r>
              <w:t xml:space="preserve"> 25 Jan 2019 p. 193)</w:t>
            </w:r>
          </w:p>
        </w:tc>
      </w:tr>
    </w:tbl>
    <w:p>
      <w:pPr>
        <w:pStyle w:val="nSubsection"/>
        <w:spacing w:before="100"/>
        <w:rPr>
          <w:snapToGrid w:val="0"/>
        </w:rPr>
      </w:pPr>
      <w:r>
        <w:rPr>
          <w:snapToGrid w:val="0"/>
          <w:vertAlign w:val="superscript"/>
        </w:rPr>
        <w:t>2</w:t>
      </w:r>
      <w:r>
        <w:rPr>
          <w:snapToGrid w:val="0"/>
        </w:rPr>
        <w:tab/>
        <w:t>Footnote no longer applicable.</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Power to amend regulations</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spacing w:before="160"/>
      </w:pPr>
      <w:r>
        <w:rPr>
          <w:vertAlign w:val="superscript"/>
        </w:rPr>
        <w:t>4</w:t>
      </w:r>
      <w:r>
        <w:tab/>
        <w:t xml:space="preserve">The </w:t>
      </w:r>
      <w:r>
        <w:rPr>
          <w:i/>
        </w:rPr>
        <w:t>Racing and Gambling Legislation Amendment and Repeal Act 2003</w:t>
      </w:r>
      <w:r>
        <w:t xml:space="preserve"> Pt. 11 Div. 2 are transitional provisions that are of no further effect.</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11" w:name="_Toc435023313"/>
      <w:bookmarkStart w:id="112" w:name="_Toc532474849"/>
      <w:bookmarkStart w:id="113" w:name="_Toc536631321"/>
      <w:r>
        <w:rPr>
          <w:sz w:val="28"/>
        </w:rPr>
        <w:t>Defined terms</w:t>
      </w:r>
      <w:bookmarkEnd w:id="111"/>
      <w:bookmarkEnd w:id="112"/>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appellant</w:t>
      </w:r>
      <w:r>
        <w:tab/>
        <w:t>13(1)</w:t>
      </w:r>
    </w:p>
    <w:p>
      <w:pPr>
        <w:pStyle w:val="DefinedTerms"/>
      </w:pPr>
      <w:r>
        <w:t>bet</w:t>
      </w:r>
      <w:r>
        <w:tab/>
        <w:t>3(1)</w:t>
      </w:r>
    </w:p>
    <w:p>
      <w:pPr>
        <w:pStyle w:val="DefinedTerms"/>
      </w:pPr>
      <w:r>
        <w:t>bookmaker</w:t>
      </w:r>
      <w:r>
        <w:tab/>
        <w:t>3(1)</w:t>
      </w:r>
    </w:p>
    <w:p>
      <w:pPr>
        <w:pStyle w:val="DefinedTerms"/>
      </w:pPr>
      <w:r>
        <w:t>Chairperson</w:t>
      </w:r>
      <w:r>
        <w:tab/>
        <w:t>3(1)</w:t>
      </w:r>
    </w:p>
    <w:p>
      <w:pPr>
        <w:pStyle w:val="DefinedTerms"/>
      </w:pPr>
      <w:r>
        <w:t>determination</w:t>
      </w:r>
      <w:r>
        <w:tab/>
        <w:t>3(1)</w:t>
      </w:r>
    </w:p>
    <w:p>
      <w:pPr>
        <w:pStyle w:val="DefinedTerms"/>
      </w:pPr>
      <w:r>
        <w:t>document</w:t>
      </w:r>
      <w:r>
        <w:tab/>
        <w:t>9(6)</w:t>
      </w:r>
    </w:p>
    <w:p>
      <w:pPr>
        <w:pStyle w:val="DefinedTerms"/>
      </w:pPr>
      <w:r>
        <w:t>horse</w:t>
      </w:r>
      <w:r>
        <w:tab/>
        <w:t>3(1)</w:t>
      </w:r>
    </w:p>
    <w:p>
      <w:pPr>
        <w:pStyle w:val="DefinedTerms"/>
      </w:pPr>
      <w:r>
        <w:t>information</w:t>
      </w:r>
      <w:r>
        <w:tab/>
        <w:t>9(6)</w:t>
      </w:r>
    </w:p>
    <w:p>
      <w:pPr>
        <w:pStyle w:val="DefinedTerms"/>
      </w:pPr>
      <w:r>
        <w:t>member</w:t>
      </w:r>
      <w:r>
        <w:tab/>
        <w:t>3(1)</w:t>
      </w:r>
    </w:p>
    <w:p>
      <w:pPr>
        <w:pStyle w:val="DefinedTerms"/>
      </w:pPr>
      <w:r>
        <w:t>owner</w:t>
      </w:r>
      <w:r>
        <w:tab/>
        <w:t>3(1)</w:t>
      </w:r>
    </w:p>
    <w:p>
      <w:pPr>
        <w:pStyle w:val="DefinedTerms"/>
      </w:pPr>
      <w:r>
        <w:t>pacer</w:t>
      </w:r>
      <w:r>
        <w:tab/>
        <w:t>3(1)</w:t>
      </w:r>
    </w:p>
    <w:p>
      <w:pPr>
        <w:pStyle w:val="DefinedTerms"/>
      </w:pPr>
      <w:r>
        <w:t>parliamentary purposes</w:t>
      </w:r>
      <w:r>
        <w:tab/>
        <w:t>9(6)</w:t>
      </w:r>
    </w:p>
    <w:p>
      <w:pPr>
        <w:pStyle w:val="DefinedTerms"/>
      </w:pPr>
      <w:r>
        <w:t>race</w:t>
      </w:r>
      <w:r>
        <w:tab/>
        <w:t>3(1)</w:t>
      </w:r>
    </w:p>
    <w:p>
      <w:pPr>
        <w:pStyle w:val="DefinedTerms"/>
      </w:pPr>
      <w:r>
        <w:t>race meeting</w:t>
      </w:r>
      <w:r>
        <w:tab/>
        <w:t>3(1)</w:t>
      </w:r>
    </w:p>
    <w:p>
      <w:pPr>
        <w:pStyle w:val="DefinedTerms"/>
      </w:pPr>
      <w:r>
        <w:t>racecourse</w:t>
      </w:r>
      <w:r>
        <w:tab/>
        <w:t>3(1)</w:t>
      </w:r>
    </w:p>
    <w:p>
      <w:pPr>
        <w:pStyle w:val="DefinedTerms"/>
      </w:pPr>
      <w:r>
        <w:t>racing</w:t>
      </w:r>
      <w:r>
        <w:tab/>
        <w:t>3(1)</w:t>
      </w:r>
    </w:p>
    <w:p>
      <w:pPr>
        <w:pStyle w:val="DefinedTerms"/>
      </w:pPr>
      <w:r>
        <w:t>Registrar</w:t>
      </w:r>
      <w:r>
        <w:tab/>
        <w:t>3(1)</w:t>
      </w:r>
    </w:p>
    <w:p>
      <w:pPr>
        <w:pStyle w:val="DefinedTerms"/>
      </w:pPr>
      <w:r>
        <w:t>runner</w:t>
      </w:r>
      <w:r>
        <w:tab/>
        <w:t>3(1)</w:t>
      </w:r>
    </w:p>
    <w:p>
      <w:pPr>
        <w:pStyle w:val="DefinedTerms"/>
      </w:pPr>
      <w:r>
        <w:t>RWWA</w:t>
      </w:r>
      <w:r>
        <w:tab/>
        <w:t>3(1)</w:t>
      </w:r>
    </w:p>
    <w:p>
      <w:pPr>
        <w:pStyle w:val="DefinedTerms"/>
      </w:pPr>
      <w:r>
        <w:t>RWWA Act</w:t>
      </w:r>
      <w:r>
        <w:tab/>
        <w:t>3(1)</w:t>
      </w:r>
    </w:p>
    <w:p>
      <w:pPr>
        <w:pStyle w:val="DefinedTerms"/>
      </w:pPr>
      <w:r>
        <w:t>steward</w:t>
      </w:r>
      <w:r>
        <w:tab/>
        <w:t>3(1)</w:t>
      </w:r>
    </w:p>
    <w:p>
      <w:pPr>
        <w:pStyle w:val="DefinedTerms"/>
      </w:pPr>
      <w:r>
        <w:t>thoroughbred</w:t>
      </w:r>
      <w:r>
        <w:tab/>
        <w:t>3(1)</w:t>
      </w:r>
    </w:p>
    <w:p>
      <w:pPr>
        <w:pStyle w:val="DefinedTerms"/>
      </w:pPr>
      <w:r>
        <w:t>trial</w:t>
      </w:r>
      <w:r>
        <w:tab/>
        <w:t>3(1)</w:t>
      </w:r>
    </w:p>
    <w:p>
      <w:pPr>
        <w:pStyle w:val="DefinedTerms"/>
      </w:pPr>
      <w:r>
        <w:t>Tribunal</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2" w:name="Schedule"/>
    <w:bookmarkEnd w:id="1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2A4E7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313"/>
    <w:docVar w:name="WAFER_20140109165447" w:val="RemoveTocBookmarks,RemoveUnusedBookmarks,RemoveLanguageTags,UsedStyles,ResetPageSize,UpdateArrangement"/>
    <w:docVar w:name="WAFER_20140109165447_GUID" w:val="6b87b2cc-8606-49fb-8909-3d99212435da"/>
    <w:docVar w:name="WAFER_20150710113952" w:val="ResetPageSize,UpdateArrangement,UpdateNTable"/>
    <w:docVar w:name="WAFER_20150710113952_GUID" w:val="6034f98e-fada-46c7-8923-48a2cd62a042"/>
    <w:docVar w:name="WAFER_20151111162313" w:val="UpdateStyles,UsedStyles"/>
    <w:docVar w:name="WAFER_20151111162313_GUID" w:val="30314c33-4dff-4386-8348-e564aa6803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9785</Words>
  <Characters>45701</Characters>
  <Application>Microsoft Office Word</Application>
  <DocSecurity>0</DocSecurity>
  <Lines>1305</Lines>
  <Paragraphs>730</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54756</CharactersWithSpaces>
  <SharedDoc>false</SharedDoc>
  <HLinks>
    <vt:vector size="12" baseType="variant">
      <vt:variant>
        <vt:i4>5439608</vt:i4>
      </vt:variant>
      <vt:variant>
        <vt:i4>52136</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1990 - 03-f0-00</dc:title>
  <dc:subject/>
  <dc:creator/>
  <cp:keywords/>
  <dc:description/>
  <cp:lastModifiedBy>svcMRProcess</cp:lastModifiedBy>
  <cp:revision>4</cp:revision>
  <cp:lastPrinted>2010-10-01T03:28:00Z</cp:lastPrinted>
  <dcterms:created xsi:type="dcterms:W3CDTF">2019-01-31T05:50:00Z</dcterms:created>
  <dcterms:modified xsi:type="dcterms:W3CDTF">2019-01-31T05:50:00Z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DocumentType">
    <vt:lpwstr>Act</vt:lpwstr>
  </property>
  <property fmtid="{D5CDD505-2E9C-101B-9397-08002B2CF9AE}" pid="4" name="OwlsUID">
    <vt:i4>652</vt:i4>
  </property>
  <property fmtid="{D5CDD505-2E9C-101B-9397-08002B2CF9AE}" pid="5" name="ReprintedAsAt">
    <vt:filetime>2010-09-23T16:00:00Z</vt:filetime>
  </property>
  <property fmtid="{D5CDD505-2E9C-101B-9397-08002B2CF9AE}" pid="6" name="ReprintNo">
    <vt:lpwstr>3</vt:lpwstr>
  </property>
  <property fmtid="{D5CDD505-2E9C-101B-9397-08002B2CF9AE}" pid="7" name="AsAtDate">
    <vt:lpwstr>01 Feb 2019</vt:lpwstr>
  </property>
  <property fmtid="{D5CDD505-2E9C-101B-9397-08002B2CF9AE}" pid="8" name="Suffix">
    <vt:lpwstr>03-f0-00</vt:lpwstr>
  </property>
  <property fmtid="{D5CDD505-2E9C-101B-9397-08002B2CF9AE}" pid="9" name="CommencementDate">
    <vt:lpwstr>20190201</vt:lpwstr>
  </property>
</Properties>
</file>