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_Toc854088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_Toc854089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_Toc854090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_Toc854091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_Toc854092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_Toc854093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_Toc854094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_Toc854095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_Toc854096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_Toc854097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_Toc854098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_Toc854099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_Toc854100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_Toc854101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_Toc854102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_Toc854103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_Toc854104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_Toc854105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_Toc854106 \h </w:instrText>
      </w:r>
      <w:r>
        <w:fldChar w:fldCharType="separate"/>
      </w:r>
      <w:r>
        <w:t>9</w:t>
      </w:r>
      <w:r>
        <w:fldChar w:fldCharType="end"/>
      </w:r>
    </w:p>
    <w:p>
      <w:pPr>
        <w:pStyle w:val="TOC8"/>
        <w:rPr>
          <w:rFonts w:asciiTheme="minorHAnsi" w:eastAsiaTheme="minorEastAsia" w:hAnsiTheme="minorHAnsi" w:cstheme="minorBidi"/>
          <w:szCs w:val="22"/>
        </w:rPr>
      </w:pPr>
      <w:r>
        <w:lastRenderedPageBreak/>
        <w:t>8B</w:t>
      </w:r>
      <w:r>
        <w:rPr>
          <w:snapToGrid w:val="0"/>
        </w:rPr>
        <w:t>.</w:t>
      </w:r>
      <w:r>
        <w:rPr>
          <w:snapToGrid w:val="0"/>
        </w:rPr>
        <w:tab/>
        <w:t>Enforcement proceedings after an appeal (Act s. 101B)</w:t>
      </w:r>
      <w:r>
        <w:tab/>
      </w:r>
      <w:r>
        <w:fldChar w:fldCharType="begin"/>
      </w:r>
      <w:r>
        <w:instrText xml:space="preserve"> PAGEREF _Toc854107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_Toc854108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_Toc854109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_Toc854110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_Toc854111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_Toc854112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_Toc854113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_Toc854120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_Toc854121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_Toc854122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_Toc854123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_Toc854124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_Toc854125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_Toc854126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_Toc854127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_Toc854128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_Toc854129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_Toc854131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85408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85408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854090"/>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Gazette 13 Nov 2015 p. 4656.]</w:t>
      </w:r>
    </w:p>
    <w:p>
      <w:pPr>
        <w:pStyle w:val="Heading5"/>
        <w:rPr>
          <w:snapToGrid w:val="0"/>
        </w:rPr>
      </w:pPr>
      <w:bookmarkStart w:id="6" w:name="_Toc854091"/>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854092"/>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8" w:name="_Toc854093"/>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9" w:name="_Toc854094"/>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75pt" o:ole="">
            <v:imagedata r:id="rId22" o:title=""/>
          </v:shape>
          <o:OLEObject Type="Embed" ProgID="Equation.3" ShapeID="_x0000_i1025" DrawAspect="Content" ObjectID="_1644191648"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10" w:name="_Toc854095"/>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1" w:name="_Toc854096"/>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2" w:name="_Toc854097"/>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854098"/>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14" w:name="_Toc854099"/>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15" w:name="_Toc854100"/>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16" w:name="_Toc854101"/>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17" w:name="_Toc854102"/>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18" w:name="_Toc854103"/>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19" w:name="_Toc854104"/>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20" w:name="_Toc854105"/>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21" w:name="_Toc854106"/>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22" w:name="_Toc854107"/>
      <w:r>
        <w:rPr>
          <w:rStyle w:val="CharSectno"/>
        </w:rPr>
        <w:t>8B</w:t>
      </w:r>
      <w:r>
        <w:rPr>
          <w:snapToGrid w:val="0"/>
        </w:rPr>
        <w:t>.</w:t>
      </w:r>
      <w:r>
        <w:rPr>
          <w:snapToGrid w:val="0"/>
        </w:rPr>
        <w:tab/>
        <w:t>Enforcement proceedings after an appeal (Act s. 101B)</w:t>
      </w:r>
      <w:bookmarkEnd w:id="2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23" w:name="_Toc854108"/>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24" w:name="_Toc854109"/>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25" w:name="_Toc854110"/>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Gazette 13 Nov 2015 p. 4657.]</w:t>
      </w:r>
    </w:p>
    <w:p>
      <w:pPr>
        <w:pStyle w:val="Heading5"/>
      </w:pPr>
      <w:bookmarkStart w:id="26" w:name="_Toc854111"/>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w:t>
      </w:r>
    </w:p>
    <w:p>
      <w:pPr>
        <w:pStyle w:val="Heading5"/>
        <w:rPr>
          <w:snapToGrid w:val="0"/>
        </w:rPr>
      </w:pPr>
      <w:bookmarkStart w:id="27" w:name="_Toc854112"/>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28" w:name="_Toc854113"/>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776383"/>
      <w:bookmarkStart w:id="30" w:name="_Toc776448"/>
      <w:bookmarkStart w:id="31" w:name="_Toc854114"/>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w:t>
      </w:r>
    </w:p>
    <w:p>
      <w:pPr>
        <w:pStyle w:val="yScheduleHeading"/>
      </w:pPr>
      <w:bookmarkStart w:id="32" w:name="_Toc776384"/>
      <w:bookmarkStart w:id="33" w:name="_Toc776449"/>
      <w:bookmarkStart w:id="34" w:name="_Toc854115"/>
      <w:r>
        <w:rPr>
          <w:rStyle w:val="CharSchNo"/>
        </w:rPr>
        <w:t>Schedule 2</w:t>
      </w:r>
      <w:r>
        <w:t> — </w:t>
      </w:r>
      <w:r>
        <w:rPr>
          <w:rStyle w:val="CharSchText"/>
        </w:rPr>
        <w:t>Enforcement fees</w:t>
      </w:r>
      <w:bookmarkEnd w:id="32"/>
      <w:bookmarkEnd w:id="33"/>
      <w:bookmarkEnd w:id="34"/>
    </w:p>
    <w:p>
      <w:pPr>
        <w:pStyle w:val="yShoulderClause"/>
      </w:pPr>
      <w:r>
        <w:t>[r. 9]</w:t>
      </w:r>
    </w:p>
    <w:p>
      <w:pPr>
        <w:pStyle w:val="yFootnoteheading"/>
      </w:pPr>
      <w:r>
        <w:tab/>
        <w:t>[Heading inserted: Gazette 15 Jun 2018 p. 1999.]</w:t>
      </w:r>
    </w:p>
    <w:p>
      <w:pPr>
        <w:pStyle w:val="yHeading3"/>
      </w:pPr>
      <w:bookmarkStart w:id="35" w:name="_Toc776385"/>
      <w:bookmarkStart w:id="36" w:name="_Toc776450"/>
      <w:bookmarkStart w:id="37" w:name="_Toc854116"/>
      <w:r>
        <w:rPr>
          <w:rStyle w:val="CharSDivNo"/>
        </w:rPr>
        <w:t>Division 1</w:t>
      </w:r>
      <w:r>
        <w:t> — </w:t>
      </w:r>
      <w:r>
        <w:rPr>
          <w:rStyle w:val="CharSDivText"/>
        </w:rPr>
        <w:t>Enforcement fees for Part 3 of the Act</w:t>
      </w:r>
      <w:bookmarkEnd w:id="35"/>
      <w:bookmarkEnd w:id="36"/>
      <w:bookmarkEnd w:id="37"/>
    </w:p>
    <w:p>
      <w:pPr>
        <w:pStyle w:val="yFootnoteheading"/>
      </w:pPr>
      <w:r>
        <w:tab/>
        <w:t>[Heading inserted: Gazette 15 Jun 2018 p. 1999.]</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tcPr>
          <w:p>
            <w:pPr>
              <w:pStyle w:val="yTableNAm"/>
            </w:pPr>
            <w:r>
              <w:t>$19.90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tcPr>
          <w:p>
            <w:pPr>
              <w:pStyle w:val="yTableNAm"/>
            </w:pPr>
            <w:r>
              <w:br/>
              <w:t>$16.95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tcPr>
          <w:p>
            <w:pPr>
              <w:pStyle w:val="yTableNAm"/>
            </w:pPr>
            <w:r>
              <w:br/>
              <w:t>$63.50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r>
        <w:tab/>
        <w:t>[Division 1 inserted: Gazette 15 Jun 2018 p. 1999.]</w:t>
      </w:r>
    </w:p>
    <w:p>
      <w:pPr>
        <w:pStyle w:val="yHeading3"/>
      </w:pPr>
      <w:bookmarkStart w:id="38" w:name="_Toc776386"/>
      <w:bookmarkStart w:id="39" w:name="_Toc776451"/>
      <w:bookmarkStart w:id="40" w:name="_Toc854117"/>
      <w:r>
        <w:rPr>
          <w:rStyle w:val="CharSDivNo"/>
        </w:rPr>
        <w:t>Division 2</w:t>
      </w:r>
      <w:r>
        <w:t> — </w:t>
      </w:r>
      <w:r>
        <w:rPr>
          <w:rStyle w:val="CharSDivText"/>
        </w:rPr>
        <w:t>Enforcement fees for Part 4 of the Act</w:t>
      </w:r>
      <w:bookmarkEnd w:id="38"/>
      <w:bookmarkEnd w:id="39"/>
      <w:bookmarkEnd w:id="40"/>
    </w:p>
    <w:p>
      <w:pPr>
        <w:pStyle w:val="yFootnoteheading"/>
      </w:pPr>
      <w:r>
        <w:tab/>
        <w:t>[Heading inserted: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r>
        <w:tab/>
        <w:t>[Division 2 inserted: Gazette 15 Jun 2018 p. 2000.]</w:t>
      </w:r>
    </w:p>
    <w:p>
      <w:pPr>
        <w:pStyle w:val="yHeading3"/>
      </w:pPr>
      <w:bookmarkStart w:id="41" w:name="_Toc776387"/>
      <w:bookmarkStart w:id="42" w:name="_Toc776452"/>
      <w:bookmarkStart w:id="43" w:name="_Toc854118"/>
      <w:r>
        <w:rPr>
          <w:rStyle w:val="CharSDivNo"/>
        </w:rPr>
        <w:t>Division 3</w:t>
      </w:r>
      <w:r>
        <w:t> — </w:t>
      </w:r>
      <w:r>
        <w:rPr>
          <w:rStyle w:val="CharSDivText"/>
        </w:rPr>
        <w:t>Enforcement fees for Part 7 of the Act</w:t>
      </w:r>
      <w:bookmarkEnd w:id="41"/>
      <w:bookmarkEnd w:id="42"/>
      <w:bookmarkEnd w:id="43"/>
    </w:p>
    <w:p>
      <w:pPr>
        <w:pStyle w:val="yFootnoteheading"/>
      </w:pPr>
      <w:r>
        <w:tab/>
        <w:t>[Heading inserted: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ind w:left="567" w:hanging="567"/>
            </w:pPr>
            <w:r>
              <w:t>1.</w:t>
            </w:r>
            <w:r>
              <w:tab/>
              <w:t xml:space="preserve">Fee for attending the Magistrates Court in connection with proceedings to examine a person under section 69, for each hour or part of an hour </w:t>
            </w:r>
          </w:p>
        </w:tc>
        <w:tc>
          <w:tcPr>
            <w:tcW w:w="1134" w:type="dxa"/>
          </w:tcPr>
          <w:p>
            <w:pPr>
              <w:pStyle w:val="yTableNAm"/>
            </w:pPr>
            <w:r>
              <w:br/>
            </w:r>
            <w:r>
              <w:br/>
              <w:t>$87.50</w:t>
            </w:r>
          </w:p>
        </w:tc>
      </w:tr>
      <w:tr>
        <w:trPr>
          <w:gridAfter w:val="1"/>
          <w:wAfter w:w="29" w:type="dxa"/>
        </w:trPr>
        <w:tc>
          <w:tcPr>
            <w:tcW w:w="5954" w:type="dxa"/>
          </w:tcPr>
          <w:p>
            <w:pPr>
              <w:pStyle w:val="yTableNAm"/>
              <w:ind w:left="567" w:hanging="567"/>
            </w:pPr>
            <w:r>
              <w:t>2.</w:t>
            </w:r>
            <w: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NAm"/>
            </w:pPr>
          </w:p>
        </w:tc>
      </w:tr>
      <w:tr>
        <w:trPr>
          <w:gridAfter w:val="1"/>
          <w:wAfter w:w="29" w:type="dxa"/>
        </w:trPr>
        <w:tc>
          <w:tcPr>
            <w:tcW w:w="5954" w:type="dxa"/>
          </w:tcPr>
          <w:p>
            <w:pPr>
              <w:pStyle w:val="yTableNAm"/>
            </w:pPr>
            <w:r>
              <w:t>3.</w:t>
            </w:r>
            <w:r>
              <w:tab/>
              <w:t xml:space="preserve">Fee for inspecting personal property under seizure </w:t>
            </w:r>
          </w:p>
        </w:tc>
        <w:tc>
          <w:tcPr>
            <w:tcW w:w="1134" w:type="dxa"/>
          </w:tcPr>
          <w:p>
            <w:pPr>
              <w:pStyle w:val="yTableNAm"/>
            </w:pPr>
            <w:r>
              <w:t>$59.00</w:t>
            </w:r>
          </w:p>
        </w:tc>
      </w:tr>
      <w:tr>
        <w:trPr>
          <w:gridAfter w:val="1"/>
          <w:wAfter w:w="29" w:type="dxa"/>
        </w:trPr>
        <w:tc>
          <w:tcPr>
            <w:tcW w:w="5954" w:type="dxa"/>
          </w:tcPr>
          <w:p>
            <w:pPr>
              <w:pStyle w:val="yTableNAm"/>
            </w:pPr>
            <w:r>
              <w:t>4.</w:t>
            </w:r>
            <w:r>
              <w:tab/>
              <w:t xml:space="preserve">Fee for lodging a memorial under section 89 </w:t>
            </w:r>
          </w:p>
        </w:tc>
        <w:tc>
          <w:tcPr>
            <w:tcW w:w="1134" w:type="dxa"/>
          </w:tcPr>
          <w:p>
            <w:pPr>
              <w:pStyle w:val="yTableNAm"/>
            </w:pPr>
            <w:r>
              <w:t>$63.50</w:t>
            </w:r>
          </w:p>
        </w:tc>
      </w:tr>
      <w:tr>
        <w:trPr>
          <w:gridAfter w:val="1"/>
          <w:wAfter w:w="29" w:type="dxa"/>
        </w:trPr>
        <w:tc>
          <w:tcPr>
            <w:tcW w:w="5954" w:type="dxa"/>
          </w:tcPr>
          <w:p>
            <w:pPr>
              <w:pStyle w:val="yTableNAm"/>
              <w:ind w:left="567" w:hanging="567"/>
            </w:pPr>
            <w:r>
              <w:t>5.</w:t>
            </w:r>
            <w:r>
              <w:tab/>
              <w:t xml:space="preserve">Fee for lodging a withdrawal of memorial under section 90 </w:t>
            </w:r>
          </w:p>
        </w:tc>
        <w:tc>
          <w:tcPr>
            <w:tcW w:w="1134" w:type="dxa"/>
          </w:tcPr>
          <w:p>
            <w:pPr>
              <w:pStyle w:val="yTableNAm"/>
            </w:pPr>
            <w:r>
              <w:br/>
              <w:t>$42.00</w:t>
            </w:r>
          </w:p>
        </w:tc>
      </w:tr>
      <w:tr>
        <w:trPr>
          <w:gridAfter w:val="1"/>
          <w:wAfter w:w="29" w:type="dxa"/>
          <w:cantSplit/>
        </w:trPr>
        <w:tc>
          <w:tcPr>
            <w:tcW w:w="5954" w:type="dxa"/>
          </w:tcPr>
          <w:p>
            <w:pPr>
              <w:pStyle w:val="yTableNAm"/>
              <w:ind w:left="567" w:hanging="567"/>
            </w:pPr>
            <w:r>
              <w:t>6.</w:t>
            </w:r>
            <w:r>
              <w:tab/>
              <w:t>The actual amounts disbursed for the purpose of valuing any personal property or land, or for searches of titles and other records, are prescribed as enforcement fees.</w:t>
            </w:r>
          </w:p>
        </w:tc>
        <w:tc>
          <w:tcPr>
            <w:tcW w:w="1134" w:type="dxa"/>
          </w:tcPr>
          <w:p>
            <w:pPr>
              <w:pStyle w:val="yTableNAm"/>
            </w:pPr>
          </w:p>
        </w:tc>
      </w:tr>
      <w:tr>
        <w:trPr>
          <w:gridAfter w:val="1"/>
          <w:wAfter w:w="29" w:type="dxa"/>
        </w:trPr>
        <w:tc>
          <w:tcPr>
            <w:tcW w:w="5954" w:type="dxa"/>
          </w:tcPr>
          <w:p>
            <w:pPr>
              <w:pStyle w:val="yTableNAm"/>
              <w:ind w:left="567" w:hanging="567"/>
            </w:pPr>
            <w:r>
              <w:t>7.</w:t>
            </w:r>
            <w:r>
              <w:tab/>
              <w:t>The actual amounts disbursed for advertising, and otherwise in connection with the arranging of, any intended sale of personal property or land are prescribed as enforcement fees.</w:t>
            </w:r>
          </w:p>
        </w:tc>
        <w:tc>
          <w:tcPr>
            <w:tcW w:w="1134" w:type="dxa"/>
          </w:tcPr>
          <w:p>
            <w:pPr>
              <w:pStyle w:val="yTableNAm"/>
            </w:pPr>
          </w:p>
        </w:tc>
      </w:tr>
      <w:tr>
        <w:tblPrEx>
          <w:tblCellMar>
            <w:left w:w="113" w:type="dxa"/>
            <w:right w:w="113" w:type="dxa"/>
          </w:tblCellMar>
        </w:tblPrEx>
        <w:tc>
          <w:tcPr>
            <w:tcW w:w="5954" w:type="dxa"/>
          </w:tcPr>
          <w:p>
            <w:pPr>
              <w:pStyle w:val="yTableNAm"/>
              <w:ind w:left="567" w:hanging="567"/>
            </w:pPr>
            <w:r>
              <w:t>8.</w:t>
            </w:r>
            <w:r>
              <w:tab/>
              <w:t>Fee for arranging a sale of personal property or land, including preparing advertisements and conditions of sale, but excluding disbursements, not exceeding</w:t>
            </w:r>
          </w:p>
        </w:tc>
        <w:tc>
          <w:tcPr>
            <w:tcW w:w="1163" w:type="dxa"/>
            <w:gridSpan w:val="2"/>
          </w:tcPr>
          <w:p>
            <w:pPr>
              <w:pStyle w:val="yTableNAm"/>
            </w:pPr>
            <w:r>
              <w:br/>
            </w:r>
            <w:r>
              <w:br/>
              <w:t>$209.00</w:t>
            </w:r>
          </w:p>
        </w:tc>
      </w:tr>
      <w:tr>
        <w:tblPrEx>
          <w:tblCellMar>
            <w:left w:w="113" w:type="dxa"/>
            <w:right w:w="113" w:type="dxa"/>
          </w:tblCellMar>
        </w:tblPrEx>
        <w:tc>
          <w:tcPr>
            <w:tcW w:w="5954" w:type="dxa"/>
          </w:tcPr>
          <w:p>
            <w:pPr>
              <w:pStyle w:val="yTableNAm"/>
              <w:ind w:left="567" w:hanging="567"/>
            </w:pPr>
            <w:r>
              <w:t>9.</w:t>
            </w:r>
            <w:r>
              <w:tab/>
              <w:t>The actual amounts disbursed in connection with a sale of personal property or land (including settlement costs) are prescribed as enforcement fees.</w:t>
            </w:r>
          </w:p>
        </w:tc>
        <w:tc>
          <w:tcPr>
            <w:tcW w:w="1163" w:type="dxa"/>
            <w:gridSpan w:val="2"/>
          </w:tcPr>
          <w:p>
            <w:pPr>
              <w:pStyle w:val="yTableNAm"/>
            </w:pPr>
          </w:p>
        </w:tc>
      </w:tr>
      <w:tr>
        <w:tblPrEx>
          <w:tblCellMar>
            <w:left w:w="113" w:type="dxa"/>
            <w:right w:w="113" w:type="dxa"/>
          </w:tblCellMar>
        </w:tblPrEx>
        <w:tc>
          <w:tcPr>
            <w:tcW w:w="5954" w:type="dxa"/>
          </w:tcPr>
          <w:p>
            <w:pPr>
              <w:pStyle w:val="yTableNAm"/>
            </w:pPr>
            <w:r>
              <w:t>10.</w:t>
            </w:r>
            <w:r>
              <w:tab/>
              <w:t xml:space="preserve">Fee for attending a sale of personal property or land </w:t>
            </w:r>
          </w:p>
        </w:tc>
        <w:tc>
          <w:tcPr>
            <w:tcW w:w="1163" w:type="dxa"/>
            <w:gridSpan w:val="2"/>
          </w:tcPr>
          <w:p>
            <w:pPr>
              <w:pStyle w:val="yTableNAm"/>
            </w:pPr>
            <w:r>
              <w:t>$94.00</w:t>
            </w:r>
          </w:p>
        </w:tc>
      </w:tr>
      <w:tr>
        <w:tblPrEx>
          <w:tblCellMar>
            <w:left w:w="113" w:type="dxa"/>
            <w:right w:w="113" w:type="dxa"/>
          </w:tblCellMar>
        </w:tblPrEx>
        <w:tc>
          <w:tcPr>
            <w:tcW w:w="5954" w:type="dxa"/>
          </w:tcPr>
          <w:p>
            <w:pPr>
              <w:pStyle w:val="yTableNAm"/>
            </w:pPr>
            <w:r>
              <w:t>11.</w:t>
            </w:r>
            <w:r>
              <w:tab/>
              <w:t>Fee for preparing and executing a transfer of land sold</w:t>
            </w:r>
          </w:p>
        </w:tc>
        <w:tc>
          <w:tcPr>
            <w:tcW w:w="1163" w:type="dxa"/>
            <w:gridSpan w:val="2"/>
          </w:tcPr>
          <w:p>
            <w:pPr>
              <w:pStyle w:val="yTableNAm"/>
            </w:pPr>
            <w:r>
              <w:t>$209.00</w:t>
            </w:r>
          </w:p>
        </w:tc>
      </w:tr>
      <w:tr>
        <w:tblPrEx>
          <w:tblCellMar>
            <w:left w:w="113" w:type="dxa"/>
            <w:right w:w="113" w:type="dxa"/>
          </w:tblCellMar>
        </w:tblPrEx>
        <w:tc>
          <w:tcPr>
            <w:tcW w:w="5954" w:type="dxa"/>
          </w:tcPr>
          <w:p>
            <w:pPr>
              <w:pStyle w:val="yTableNAm"/>
              <w:ind w:left="567" w:hanging="567"/>
            </w:pPr>
            <w:r>
              <w:t>12.</w:t>
            </w:r>
            <w:r>
              <w:tab/>
              <w:t xml:space="preserve">Fee for attending a court in connection with interpleader proceedings, for each half hour or part of a half hour </w:t>
            </w:r>
          </w:p>
        </w:tc>
        <w:tc>
          <w:tcPr>
            <w:tcW w:w="1163" w:type="dxa"/>
            <w:gridSpan w:val="2"/>
          </w:tcPr>
          <w:p>
            <w:pPr>
              <w:pStyle w:val="yTableNAm"/>
            </w:pPr>
            <w:r>
              <w:br/>
              <w:t>$29.90</w:t>
            </w:r>
          </w:p>
        </w:tc>
      </w:tr>
      <w:tr>
        <w:tblPrEx>
          <w:tblCellMar>
            <w:left w:w="113" w:type="dxa"/>
            <w:right w:w="113" w:type="dxa"/>
          </w:tblCellMar>
        </w:tblPrEx>
        <w:trPr>
          <w:cantSplit/>
        </w:trPr>
        <w:tc>
          <w:tcPr>
            <w:tcW w:w="5954" w:type="dxa"/>
          </w:tcPr>
          <w:p>
            <w:pPr>
              <w:pStyle w:val="yTableNAm"/>
              <w:ind w:left="567" w:hanging="567"/>
            </w:pPr>
            <w:r>
              <w:t>13.</w:t>
            </w:r>
            <w:r>
              <w:tab/>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ind w:left="567" w:hanging="567"/>
            </w:pPr>
            <w:r>
              <w:tab/>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63" w:type="dxa"/>
            <w:gridSpan w:val="2"/>
          </w:tcPr>
          <w:p>
            <w:pPr>
              <w:pStyle w:val="yTableNAm"/>
            </w:pPr>
          </w:p>
        </w:tc>
      </w:tr>
    </w:tbl>
    <w:p>
      <w:pPr>
        <w:pStyle w:val="yFootnotesection"/>
      </w:pPr>
      <w:r>
        <w:tab/>
        <w:t>[Division 3 inserted: Gazette 15 Jun 2018 p. 2000</w:t>
      </w:r>
      <w:r>
        <w:noBreakHyphen/>
        <w:t>1.]</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45" w:name="_Toc776388"/>
      <w:bookmarkStart w:id="46" w:name="_Toc776453"/>
      <w:bookmarkStart w:id="47" w:name="_Toc854119"/>
      <w:r>
        <w:rPr>
          <w:rStyle w:val="CharSchNo"/>
        </w:rPr>
        <w:t>Schedule 3</w:t>
      </w:r>
      <w:r>
        <w:rPr>
          <w:rStyle w:val="CharSDivNo"/>
        </w:rPr>
        <w:t> </w:t>
      </w:r>
      <w:r>
        <w:t>—</w:t>
      </w:r>
      <w:r>
        <w:rPr>
          <w:rStyle w:val="CharSDivText"/>
        </w:rPr>
        <w:t> </w:t>
      </w:r>
      <w:r>
        <w:rPr>
          <w:rStyle w:val="CharSchText"/>
        </w:rPr>
        <w:t>Forms</w:t>
      </w:r>
      <w:bookmarkEnd w:id="45"/>
      <w:bookmarkEnd w:id="46"/>
      <w:bookmarkEnd w:id="47"/>
    </w:p>
    <w:p>
      <w:pPr>
        <w:pStyle w:val="yShoulderClause"/>
      </w:pPr>
      <w:r>
        <w:t>[r. 12]</w:t>
      </w:r>
    </w:p>
    <w:p>
      <w:pPr>
        <w:pStyle w:val="yFootnoteheading"/>
        <w:spacing w:before="40"/>
      </w:pPr>
      <w:r>
        <w:tab/>
        <w:t>[Heading inserted: Gazette 13 May 2005 p. 2081.]</w:t>
      </w:r>
    </w:p>
    <w:p>
      <w:pPr>
        <w:pStyle w:val="yHeading5"/>
        <w:spacing w:before="160"/>
      </w:pPr>
      <w:bookmarkStart w:id="48" w:name="_Toc854120"/>
      <w:r>
        <w:rPr>
          <w:rStyle w:val="CharSClsNo"/>
        </w:rPr>
        <w:t>1</w:t>
      </w:r>
      <w:r>
        <w:t>.</w:t>
      </w:r>
      <w:r>
        <w:tab/>
        <w:t>Notice of withdrawal for the purposes of Act s. 22</w:t>
      </w:r>
      <w:bookmarkEnd w:id="4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49" w:name="_Toc854121"/>
      <w:r>
        <w:rPr>
          <w:rStyle w:val="CharSClsNo"/>
        </w:rPr>
        <w:t>2</w:t>
      </w:r>
      <w:r>
        <w:t>.</w:t>
      </w:r>
      <w:r>
        <w:tab/>
        <w:t>Enforcement warrant for the purposes of Act s. 21A and 45 and Part 5</w:t>
      </w:r>
      <w:bookmarkEnd w:id="49"/>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50" w:name="_Toc854122"/>
      <w:r>
        <w:rPr>
          <w:rStyle w:val="CharSClsNo"/>
        </w:rPr>
        <w:t>3</w:t>
      </w:r>
      <w:r>
        <w:rPr>
          <w:snapToGrid w:val="0"/>
        </w:rPr>
        <w:t>.</w:t>
      </w:r>
      <w:r>
        <w:rPr>
          <w:snapToGrid w:val="0"/>
        </w:rPr>
        <w:tab/>
        <w:t xml:space="preserve">Warrant of commitment for the purposes of Act s. 53 and </w:t>
      </w:r>
      <w:r>
        <w:t>Part 5</w:t>
      </w:r>
      <w:bookmarkEnd w:id="50"/>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51" w:name="_Toc854123"/>
      <w:r>
        <w:rPr>
          <w:rStyle w:val="CharSClsNo"/>
        </w:rPr>
        <w:t>4</w:t>
      </w:r>
      <w:r>
        <w:rPr>
          <w:snapToGrid w:val="0"/>
        </w:rPr>
        <w:t>.</w:t>
      </w:r>
      <w:r>
        <w:rPr>
          <w:snapToGrid w:val="0"/>
        </w:rPr>
        <w:tab/>
        <w:t>Enforcement warrant for the purposes of Act s. 61</w:t>
      </w:r>
      <w:bookmarkEnd w:id="51"/>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52" w:name="_Toc854124"/>
      <w:r>
        <w:rPr>
          <w:rStyle w:val="CharSClsNo"/>
        </w:rPr>
        <w:t>6A</w:t>
      </w:r>
      <w:r>
        <w:t>.</w:t>
      </w:r>
      <w:r>
        <w:tab/>
        <w:t>Memorial of land for the purposes of Act s. 89(2)</w:t>
      </w:r>
      <w:bookmarkEnd w:id="52"/>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53" w:name="_Toc854125"/>
      <w:r>
        <w:rPr>
          <w:rStyle w:val="CharSClsNo"/>
        </w:rPr>
        <w:t>6B</w:t>
      </w:r>
      <w:r>
        <w:t>.</w:t>
      </w:r>
      <w:r>
        <w:tab/>
        <w:t>Withdrawal of memorial of land for the purposes of Act s. 90</w:t>
      </w:r>
      <w:bookmarkEnd w:id="53"/>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54" w:name="_Toc854126"/>
      <w:r>
        <w:rPr>
          <w:rStyle w:val="CharSClsNo"/>
        </w:rPr>
        <w:t>8</w:t>
      </w:r>
      <w:r>
        <w:t>.</w:t>
      </w:r>
      <w:r>
        <w:tab/>
        <w:t>Certificate under Act s. 101C(1): Part 3 proceedings</w:t>
      </w:r>
      <w:bookmarkEnd w:id="54"/>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55" w:name="_Toc854127"/>
      <w:r>
        <w:rPr>
          <w:rStyle w:val="CharSClsNo"/>
        </w:rPr>
        <w:t>9</w:t>
      </w:r>
      <w:r>
        <w:t>.</w:t>
      </w:r>
      <w:r>
        <w:tab/>
        <w:t>Certificate under Act s. 101C(1): Part 4 proceedings</w:t>
      </w:r>
      <w:bookmarkEnd w:id="55"/>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56" w:name="_Toc854128"/>
      <w:r>
        <w:rPr>
          <w:rStyle w:val="CharSClsNo"/>
        </w:rPr>
        <w:t>10</w:t>
      </w:r>
      <w:r>
        <w:t>.</w:t>
      </w:r>
      <w:r>
        <w:tab/>
        <w:t>Certificate under Act s. 101C(2A): Part 3 proceedings</w:t>
      </w:r>
      <w:bookmarkEnd w:id="56"/>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57" w:name="_Toc854129"/>
      <w:r>
        <w:rPr>
          <w:rStyle w:val="CharSClsNo"/>
        </w:rPr>
        <w:t>11</w:t>
      </w:r>
      <w:r>
        <w:t>.</w:t>
      </w:r>
      <w:r>
        <w:tab/>
        <w:t>Certificate under Act s. 101C(2A): Part 4 proceedings</w:t>
      </w:r>
      <w:bookmarkEnd w:id="57"/>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58" w:name="_Toc776399"/>
      <w:bookmarkStart w:id="59" w:name="_Toc776464"/>
      <w:bookmarkStart w:id="60" w:name="_Toc854130"/>
      <w:r>
        <w:t>Notes</w:t>
      </w:r>
      <w:bookmarkEnd w:id="58"/>
      <w:bookmarkEnd w:id="59"/>
      <w:bookmarkEnd w:id="60"/>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61" w:name="_Toc854131"/>
      <w:r>
        <w:t>Compilation table</w:t>
      </w:r>
      <w:bookmarkEnd w:id="61"/>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shd w:val="clear" w:color="auto" w:fill="auto"/>
          </w:tcPr>
          <w:p>
            <w:pPr>
              <w:pStyle w:val="nTable"/>
              <w:spacing w:after="40"/>
            </w:pPr>
            <w:r>
              <w:rPr>
                <w:i/>
              </w:rPr>
              <w:t>Attorney General Regulations Amendment (Fees and Charges) Regulations 2018</w:t>
            </w:r>
            <w:r>
              <w:t xml:space="preserve"> Pt. 7</w:t>
            </w:r>
          </w:p>
        </w:tc>
        <w:tc>
          <w:tcPr>
            <w:tcW w:w="1276" w:type="dxa"/>
            <w:gridSpan w:val="2"/>
            <w:shd w:val="clear" w:color="auto" w:fill="auto"/>
          </w:tcPr>
          <w:p>
            <w:pPr>
              <w:pStyle w:val="nTable"/>
              <w:spacing w:after="40"/>
            </w:pPr>
            <w:r>
              <w:t>15 Jun 2018 p. 1963-2049</w:t>
            </w:r>
          </w:p>
        </w:tc>
        <w:tc>
          <w:tcPr>
            <w:tcW w:w="2693" w:type="dxa"/>
            <w:gridSpan w:val="2"/>
            <w:shd w:val="clear" w:color="auto" w:fill="auto"/>
          </w:tcPr>
          <w:p>
            <w:pPr>
              <w:pStyle w:val="nTable"/>
              <w:spacing w:after="40"/>
              <w:rPr>
                <w:bCs/>
                <w:snapToGrid w:val="0"/>
              </w:rPr>
            </w:pPr>
            <w:r>
              <w:rPr>
                <w:bCs/>
                <w:snapToGrid w:val="0"/>
              </w:rPr>
              <w:t>1 Jul 2018 (see r. 2(b))</w:t>
            </w:r>
          </w:p>
        </w:tc>
      </w:tr>
      <w:tr>
        <w:trPr>
          <w:gridAfter w:val="1"/>
          <w:wAfter w:w="29" w:type="dxa"/>
        </w:trPr>
        <w:tc>
          <w:tcPr>
            <w:tcW w:w="3118" w:type="dxa"/>
            <w:gridSpan w:val="2"/>
            <w:shd w:val="clear" w:color="auto" w:fill="auto"/>
          </w:tcPr>
          <w:p>
            <w:pPr>
              <w:pStyle w:val="nTable"/>
              <w:spacing w:after="40"/>
              <w:rPr>
                <w:i/>
              </w:rPr>
            </w:pPr>
            <w:r>
              <w:rPr>
                <w:i/>
              </w:rPr>
              <w:t>Justice Regulations Amendment (Biodiversity Conservation) Regulations 2018</w:t>
            </w:r>
            <w:r>
              <w:t xml:space="preserve"> Pt. 3</w:t>
            </w:r>
          </w:p>
        </w:tc>
        <w:tc>
          <w:tcPr>
            <w:tcW w:w="1276" w:type="dxa"/>
            <w:gridSpan w:val="2"/>
            <w:shd w:val="clear" w:color="auto" w:fill="auto"/>
          </w:tcPr>
          <w:p>
            <w:pPr>
              <w:pStyle w:val="nTable"/>
              <w:spacing w:after="40"/>
            </w:pPr>
            <w:r>
              <w:t>14 Sep 2018 p. 3314-15</w:t>
            </w:r>
          </w:p>
        </w:tc>
        <w:tc>
          <w:tcPr>
            <w:tcW w:w="2693" w:type="dxa"/>
            <w:gridSpan w:val="2"/>
            <w:shd w:val="clear" w:color="auto" w:fill="auto"/>
          </w:tcPr>
          <w:p>
            <w:pPr>
              <w:pStyle w:val="nTable"/>
              <w:spacing w:after="40"/>
              <w:rPr>
                <w:bCs/>
                <w:snapToGrid w:val="0"/>
              </w:rPr>
            </w:pPr>
            <w:r>
              <w:t xml:space="preserve">1 Jan 2019 (see r. 2(b) and </w:t>
            </w:r>
            <w:r>
              <w:rPr>
                <w:i/>
              </w:rPr>
              <w:t>Gazette</w:t>
            </w:r>
            <w:r>
              <w:t xml:space="preserve"> 14 Sep 2018 p. 3305)</w:t>
            </w:r>
          </w:p>
        </w:tc>
      </w:tr>
      <w:tr>
        <w:trPr>
          <w:gridAfter w:val="1"/>
          <w:wAfter w:w="29" w:type="dxa"/>
        </w:trPr>
        <w:tc>
          <w:tcPr>
            <w:tcW w:w="3118" w:type="dxa"/>
            <w:gridSpan w:val="2"/>
            <w:tcBorders>
              <w:bottom w:val="single" w:sz="4" w:space="0" w:color="auto"/>
            </w:tcBorders>
            <w:shd w:val="clear" w:color="auto" w:fill="auto"/>
          </w:tcPr>
          <w:p>
            <w:pPr>
              <w:pStyle w:val="nTable"/>
              <w:spacing w:after="40"/>
              <w:rPr>
                <w:i/>
              </w:rPr>
            </w:pPr>
            <w:r>
              <w:rPr>
                <w:i/>
              </w:rPr>
              <w:t xml:space="preserve">Justice Regulations Amendment (Road Passenger Services) Regulations 2019 </w:t>
            </w:r>
            <w:r>
              <w:t>Pt. 3</w:t>
            </w:r>
          </w:p>
        </w:tc>
        <w:tc>
          <w:tcPr>
            <w:tcW w:w="1276" w:type="dxa"/>
            <w:gridSpan w:val="2"/>
            <w:tcBorders>
              <w:bottom w:val="single" w:sz="4" w:space="0" w:color="auto"/>
            </w:tcBorders>
            <w:shd w:val="clear" w:color="auto" w:fill="auto"/>
          </w:tcPr>
          <w:p>
            <w:pPr>
              <w:pStyle w:val="nTable"/>
              <w:spacing w:after="40"/>
            </w:pPr>
            <w:r>
              <w:t>12 Feb 2019 p. 265</w:t>
            </w:r>
            <w:r>
              <w:noBreakHyphen/>
              <w:t>6</w:t>
            </w:r>
          </w:p>
        </w:tc>
        <w:tc>
          <w:tcPr>
            <w:tcW w:w="2693" w:type="dxa"/>
            <w:gridSpan w:val="2"/>
            <w:tcBorders>
              <w:bottom w:val="single" w:sz="4" w:space="0" w:color="auto"/>
            </w:tcBorders>
            <w:shd w:val="clear" w:color="auto" w:fill="auto"/>
          </w:tcPr>
          <w:p>
            <w:pPr>
              <w:pStyle w:val="nTable"/>
              <w:spacing w:after="40"/>
            </w:pPr>
            <w:r>
              <w:t>13 Feb 2019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rPr>
          <w:sz w:val="20"/>
        </w:r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63" w:name="_Toc776466"/>
      <w:bookmarkStart w:id="64" w:name="_Toc854132"/>
      <w:r>
        <w:rPr>
          <w:sz w:val="28"/>
        </w:rPr>
        <w:t>Defined terms</w:t>
      </w:r>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 w:name="Coversheet"/>
    <w:bookmarkEnd w:id="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1111055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6227C-7350-4750-A66A-82CB921AA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10412</Words>
  <Characters>52583</Characters>
  <Application>Microsoft Office Word</Application>
  <DocSecurity>0</DocSecurity>
  <Lines>2022</Lines>
  <Paragraphs>1211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1994 - 08-f0-00</dc:title>
  <dc:subject/>
  <dc:creator/>
  <cp:keywords/>
  <dc:description/>
  <cp:lastModifiedBy>svcMRProcess</cp:lastModifiedBy>
  <cp:revision>4</cp:revision>
  <cp:lastPrinted>2018-02-21T01:26:00Z</cp:lastPrinted>
  <dcterms:created xsi:type="dcterms:W3CDTF">2020-02-25T19:08:00Z</dcterms:created>
  <dcterms:modified xsi:type="dcterms:W3CDTF">2020-02-25T19:08:00Z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13 Feb 2019</vt:lpwstr>
  </property>
  <property fmtid="{D5CDD505-2E9C-101B-9397-08002B2CF9AE}" pid="8" name="Suffix">
    <vt:lpwstr>08-f0-00</vt:lpwstr>
  </property>
  <property fmtid="{D5CDD505-2E9C-101B-9397-08002B2CF9AE}" pid="9" name="CommencementDate">
    <vt:lpwstr>20190213</vt:lpwstr>
  </property>
</Properties>
</file>