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_Toc2085811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_Toc2085812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_Toc2085813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_Toc2085814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_Toc2085815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_Toc2085816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_Toc2085817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_Toc2085818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_Toc2085819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_Toc2085820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_Toc2085821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_Toc2085822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_Toc2085823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_Toc2085824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_Toc2085825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_Toc2085826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_Toc2085827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_Toc2085828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_Toc2085829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_Toc2085830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_Toc2085831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_Toc2085832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_Toc2085833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_Toc2085834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_Toc2085835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_Toc2085836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_Toc2085837 \h </w:instrText>
      </w:r>
      <w:r>
        <w:fldChar w:fldCharType="separate"/>
      </w:r>
      <w:r>
        <w:t>17</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_Toc2085838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_Toc2085839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_Toc2085840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_Toc2085841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_Toc2085842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_Toc2085843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_Toc2085844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_Toc2085845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_Toc2085846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_Toc2085847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_Toc2085848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_Toc2085849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_Toc2085854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_Toc2085855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208581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208581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2085813"/>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2085814"/>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2085815"/>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8" w:name="_Toc2085816"/>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9" w:name="_Toc2085817"/>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outlineLvl w:val="9"/>
      </w:pPr>
      <w:r>
        <w:t>[</w:t>
      </w:r>
      <w:r>
        <w:rPr>
          <w:b/>
        </w:rPr>
        <w:t>5B.</w:t>
      </w:r>
      <w:r>
        <w:tab/>
        <w:t>Deleted: Gazette 10 Dec 2004 p. 5910.]</w:t>
      </w:r>
    </w:p>
    <w:p>
      <w:pPr>
        <w:pStyle w:val="Heading5"/>
      </w:pPr>
      <w:bookmarkStart w:id="10" w:name="_Toc2085818"/>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Gazette 28 Jun 2016 p. 2676.]</w:t>
      </w:r>
    </w:p>
    <w:p>
      <w:pPr>
        <w:pStyle w:val="Heading5"/>
      </w:pPr>
      <w:bookmarkStart w:id="11" w:name="_Toc2085819"/>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w:t>
      </w:r>
    </w:p>
    <w:p>
      <w:pPr>
        <w:pStyle w:val="Heading5"/>
      </w:pPr>
      <w:bookmarkStart w:id="12" w:name="_Toc2085820"/>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13" w:name="_Toc2085821"/>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w:t>
      </w:r>
    </w:p>
    <w:p>
      <w:pPr>
        <w:pStyle w:val="Heading5"/>
      </w:pPr>
      <w:bookmarkStart w:id="14" w:name="_Toc2085822"/>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15" w:name="_Toc2085823"/>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16" w:name="_Toc2085824"/>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17" w:name="_Toc2085825"/>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18" w:name="_Toc2085826"/>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19" w:name="_Toc2085827"/>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20" w:name="_Toc2085828"/>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w:t>
      </w:r>
    </w:p>
    <w:p>
      <w:pPr>
        <w:pStyle w:val="Heading5"/>
        <w:keepLines w:val="0"/>
        <w:spacing w:before="180"/>
        <w:rPr>
          <w:snapToGrid w:val="0"/>
        </w:rPr>
      </w:pPr>
      <w:bookmarkStart w:id="21" w:name="_Toc2085829"/>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22" w:name="_Toc2085830"/>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23" w:name="_Toc2085831"/>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24" w:name="_Toc2085832"/>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25" w:name="_Toc2085833"/>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26" w:name="_Toc2085834"/>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27" w:name="_Toc2085835"/>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28" w:name="_Toc2085836"/>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29" w:name="_Toc2085837"/>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30" w:name="_Toc2085838"/>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31" w:name="_Toc2085839"/>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32" w:name="_Toc2085840"/>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2085841"/>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34" w:name="_Toc2085842"/>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35" w:name="_Toc2085843"/>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36" w:name="_Toc2085844"/>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37" w:name="_Toc2085845"/>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Ednotesection"/>
      </w:pPr>
      <w:r>
        <w:t>[</w:t>
      </w:r>
      <w:r>
        <w:rPr>
          <w:b/>
          <w:bCs/>
        </w:rPr>
        <w:t>19A.</w:t>
      </w:r>
      <w:r>
        <w:tab/>
        <w:t>Deleted: Gazette 26 Feb 2019 p. 452.]</w:t>
      </w:r>
    </w:p>
    <w:p>
      <w:pPr>
        <w:pStyle w:val="Heading5"/>
      </w:pPr>
      <w:bookmarkStart w:id="38" w:name="_Toc2085846"/>
      <w:r>
        <w:rPr>
          <w:rStyle w:val="CharSectno"/>
        </w:rPr>
        <w:t>19B</w:t>
      </w:r>
      <w:r>
        <w:t>.</w:t>
      </w:r>
      <w:r>
        <w:tab/>
        <w:t>Prescribed day (Act s. 30K(2))</w:t>
      </w:r>
      <w:bookmarkEnd w:id="38"/>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39" w:name="_Toc2085847"/>
      <w:r>
        <w:rPr>
          <w:rStyle w:val="CharSectno"/>
        </w:rPr>
        <w:t>20</w:t>
      </w:r>
      <w:r>
        <w:rPr>
          <w:snapToGrid w:val="0"/>
        </w:rPr>
        <w:t>.</w:t>
      </w:r>
      <w:r>
        <w:rPr>
          <w:snapToGrid w:val="0"/>
        </w:rPr>
        <w:tab/>
        <w:t>Interest rate prescribed (Act s. 36(8))</w:t>
      </w:r>
      <w:bookmarkEnd w:id="3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0" w:name="_Toc2085848"/>
      <w:r>
        <w:rPr>
          <w:rStyle w:val="CharSectno"/>
        </w:rPr>
        <w:t>21</w:t>
      </w:r>
      <w:r>
        <w:rPr>
          <w:snapToGrid w:val="0"/>
        </w:rPr>
        <w:t>.</w:t>
      </w:r>
      <w:r>
        <w:rPr>
          <w:snapToGrid w:val="0"/>
        </w:rPr>
        <w:tab/>
        <w:t>Offences and penalties</w:t>
      </w:r>
      <w:bookmarkEnd w:id="40"/>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41" w:name="_Toc2085849"/>
      <w:r>
        <w:rPr>
          <w:rStyle w:val="CharSectno"/>
        </w:rPr>
        <w:t>22</w:t>
      </w:r>
      <w:r>
        <w:rPr>
          <w:snapToGrid w:val="0"/>
        </w:rPr>
        <w:t>.</w:t>
      </w:r>
      <w:r>
        <w:rPr>
          <w:snapToGrid w:val="0"/>
        </w:rPr>
        <w:tab/>
        <w:t>Infringement notices and modified penalties (Act s. 39)</w:t>
      </w:r>
      <w:bookmarkEnd w:id="41"/>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2" w:name="_Toc2075441"/>
      <w:bookmarkStart w:id="43" w:name="_Toc2082603"/>
      <w:bookmarkStart w:id="44" w:name="_Toc2082796"/>
      <w:bookmarkStart w:id="45" w:name="_Toc2084768"/>
      <w:bookmarkStart w:id="46" w:name="_Toc2085850"/>
      <w:r>
        <w:rPr>
          <w:rStyle w:val="CharSchNo"/>
        </w:rPr>
        <w:t>Schedule 1</w:t>
      </w:r>
      <w:r>
        <w:rPr>
          <w:rStyle w:val="CharSDivNo"/>
        </w:rPr>
        <w:t> </w:t>
      </w:r>
      <w:r>
        <w:t>—</w:t>
      </w:r>
      <w:r>
        <w:rPr>
          <w:rStyle w:val="CharSDivText"/>
        </w:rPr>
        <w:t> </w:t>
      </w:r>
      <w:r>
        <w:rPr>
          <w:rStyle w:val="CharSchText"/>
        </w:rPr>
        <w:t>Offences for which infringement notices may be issued</w:t>
      </w:r>
      <w:bookmarkEnd w:id="42"/>
      <w:bookmarkEnd w:id="43"/>
      <w:bookmarkEnd w:id="44"/>
      <w:bookmarkEnd w:id="45"/>
      <w:bookmarkEnd w:id="46"/>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2679" w:type="dxa"/>
            <w:gridSpan w:val="2"/>
          </w:tcPr>
          <w:p>
            <w:pPr>
              <w:pStyle w:val="yTable"/>
              <w:tabs>
                <w:tab w:val="left" w:pos="680"/>
              </w:tabs>
              <w:rPr>
                <w:i/>
              </w:rPr>
            </w:pPr>
            <w:r>
              <w:rPr>
                <w:i/>
              </w:rPr>
              <w:t>[6, 7.</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 26 Feb 2019 p. 452.]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8" w:name="_Toc2075442"/>
      <w:bookmarkStart w:id="49" w:name="_Toc2082604"/>
      <w:bookmarkStart w:id="50" w:name="_Toc2082797"/>
      <w:bookmarkStart w:id="51" w:name="_Toc2084769"/>
      <w:bookmarkStart w:id="52" w:name="_Toc2085851"/>
      <w:r>
        <w:rPr>
          <w:rStyle w:val="CharSchNo"/>
        </w:rPr>
        <w:t>Schedule 2</w:t>
      </w:r>
      <w:bookmarkEnd w:id="48"/>
      <w:bookmarkEnd w:id="49"/>
      <w:bookmarkEnd w:id="50"/>
      <w:bookmarkEnd w:id="51"/>
      <w:bookmarkEnd w:id="52"/>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2.75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2.75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53" w:name="_Toc2075443"/>
      <w:bookmarkStart w:id="54" w:name="_Toc2082605"/>
      <w:bookmarkStart w:id="55" w:name="_Toc2082798"/>
      <w:bookmarkStart w:id="56" w:name="_Toc2084770"/>
      <w:bookmarkStart w:id="57" w:name="_Toc2085852"/>
      <w:r>
        <w:rPr>
          <w:rStyle w:val="CharSchNo"/>
        </w:rPr>
        <w:t>Schedule 3</w:t>
      </w:r>
      <w:r>
        <w:rPr>
          <w:rStyle w:val="CharSDivNo"/>
        </w:rPr>
        <w:t> </w:t>
      </w:r>
      <w:r>
        <w:t>—</w:t>
      </w:r>
      <w:r>
        <w:rPr>
          <w:rStyle w:val="CharSDivText"/>
        </w:rPr>
        <w:t> </w:t>
      </w:r>
      <w:r>
        <w:rPr>
          <w:rStyle w:val="CharSchText"/>
        </w:rPr>
        <w:t>Fares</w:t>
      </w:r>
      <w:bookmarkEnd w:id="53"/>
      <w:bookmarkEnd w:id="54"/>
      <w:bookmarkEnd w:id="55"/>
      <w:bookmarkEnd w:id="56"/>
      <w:bookmarkEnd w:id="57"/>
    </w:p>
    <w:p>
      <w:pPr>
        <w:pStyle w:val="yShoulderClause"/>
      </w:pPr>
      <w:r>
        <w:t>[r. 6]</w:t>
      </w:r>
    </w:p>
    <w:p>
      <w:pPr>
        <w:pStyle w:val="yFootnoteheading"/>
        <w:spacing w:before="100"/>
      </w:pPr>
      <w:r>
        <w:tab/>
        <w:t>[Heading inserted: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8" w:name="_Toc2075444"/>
      <w:bookmarkStart w:id="59" w:name="_Toc2082606"/>
      <w:bookmarkStart w:id="60" w:name="_Toc2082799"/>
      <w:bookmarkStart w:id="61" w:name="_Toc2084771"/>
      <w:bookmarkStart w:id="62" w:name="_Toc2085853"/>
      <w:r>
        <w:t>Notes</w:t>
      </w:r>
      <w:bookmarkEnd w:id="58"/>
      <w:bookmarkEnd w:id="59"/>
      <w:bookmarkEnd w:id="60"/>
      <w:bookmarkEnd w:id="61"/>
      <w:bookmarkEnd w:id="62"/>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3" w:name="_Toc2085854"/>
      <w:r>
        <w:t>Compilation table</w:t>
      </w:r>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autoSpaceDE w:val="0"/>
              <w:autoSpaceDN w:val="0"/>
              <w:adjustRightInd w:val="0"/>
              <w:rPr>
                <w:szCs w:val="19"/>
              </w:rPr>
            </w:pPr>
            <w:r>
              <w:rPr>
                <w:sz w:val="19"/>
                <w:szCs w:val="19"/>
              </w:rP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spacing w:before="40"/>
              <w:rPr>
                <w:sz w:val="19"/>
                <w:szCs w:val="19"/>
              </w:rPr>
            </w:pPr>
            <w:r>
              <w:rPr>
                <w:sz w:val="19"/>
                <w:szCs w:val="19"/>
              </w:rPr>
              <w:t>1 Jul 2018 (see r. 2(b))</w:t>
            </w:r>
          </w:p>
        </w:tc>
      </w:tr>
      <w:tr>
        <w:trPr>
          <w:cantSplit/>
        </w:trPr>
        <w:tc>
          <w:tcPr>
            <w:tcW w:w="3147" w:type="dxa"/>
            <w:gridSpan w:val="2"/>
            <w:tcBorders>
              <w:bottom w:val="single" w:sz="8" w:space="0" w:color="auto"/>
            </w:tcBorders>
            <w:shd w:val="clear" w:color="auto" w:fill="auto"/>
          </w:tcPr>
          <w:p>
            <w:pPr>
              <w:pStyle w:val="nTable"/>
              <w:spacing w:after="40"/>
              <w:rPr>
                <w:i/>
              </w:rPr>
            </w:pPr>
            <w:r>
              <w:rPr>
                <w:i/>
              </w:rPr>
              <w:t xml:space="preserve">Transport Regulations Amendment (Road Passenger Services) Regulations 2019 </w:t>
            </w:r>
            <w:r>
              <w:t>Pt. 2</w:t>
            </w:r>
          </w:p>
        </w:tc>
        <w:tc>
          <w:tcPr>
            <w:tcW w:w="1276" w:type="dxa"/>
            <w:gridSpan w:val="2"/>
            <w:tcBorders>
              <w:bottom w:val="single" w:sz="8" w:space="0" w:color="auto"/>
            </w:tcBorders>
            <w:shd w:val="clear" w:color="auto" w:fill="auto"/>
          </w:tcPr>
          <w:p>
            <w:pPr>
              <w:pStyle w:val="nTable"/>
              <w:spacing w:after="40"/>
            </w:pPr>
            <w:r>
              <w:t>26 Feb 2019 p. 451-8</w:t>
            </w:r>
          </w:p>
        </w:tc>
        <w:tc>
          <w:tcPr>
            <w:tcW w:w="2665" w:type="dxa"/>
            <w:tcBorders>
              <w:bottom w:val="single" w:sz="8" w:space="0" w:color="auto"/>
            </w:tcBorders>
            <w:shd w:val="clear" w:color="auto" w:fill="auto"/>
          </w:tcPr>
          <w:p>
            <w:pPr>
              <w:spacing w:before="40"/>
              <w:rPr>
                <w:sz w:val="19"/>
                <w:szCs w:val="19"/>
              </w:rPr>
            </w:pPr>
            <w:r>
              <w:rPr>
                <w:sz w:val="19"/>
                <w:szCs w:val="19"/>
              </w:rPr>
              <w:t xml:space="preserve">28 Feb 2019 (see r. 2(b) and </w:t>
            </w:r>
            <w:r>
              <w:rPr>
                <w:i/>
                <w:sz w:val="19"/>
                <w:szCs w:val="19"/>
              </w:rPr>
              <w:t>Gazette</w:t>
            </w:r>
            <w:r>
              <w:rPr>
                <w:sz w:val="19"/>
                <w:szCs w:val="19"/>
              </w:rPr>
              <w:t xml:space="preserve"> 26 Feb 2019 p. 449-50)</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 w:name="_Toc2085855"/>
      <w:r>
        <w:t>Provisions that have not come into operation</w:t>
      </w:r>
      <w:bookmarkEnd w:id="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Transport Regulations Amendment (Road Passenger Services) Regulations 2019 </w:t>
            </w:r>
            <w:r>
              <w:t>Pt. 3 Div. 1</w:t>
            </w:r>
            <w:r>
              <w:rPr>
                <w:vertAlign w:val="superscript"/>
              </w:rPr>
              <w:t> 9</w:t>
            </w:r>
          </w:p>
        </w:tc>
        <w:tc>
          <w:tcPr>
            <w:tcW w:w="1276" w:type="dxa"/>
          </w:tcPr>
          <w:p>
            <w:pPr>
              <w:pStyle w:val="nTable"/>
              <w:spacing w:after="40"/>
            </w:pPr>
            <w:r>
              <w:t>26 Feb 2019 p. 451-8</w:t>
            </w:r>
          </w:p>
        </w:tc>
        <w:tc>
          <w:tcPr>
            <w:tcW w:w="2693" w:type="dxa"/>
          </w:tcPr>
          <w:p>
            <w:pPr>
              <w:pStyle w:val="nTable"/>
              <w:spacing w:after="40"/>
            </w:pPr>
            <w:r>
              <w:t xml:space="preserve">1 Apr 2019 (see r. 2(c) and </w:t>
            </w:r>
            <w:r>
              <w:rPr>
                <w:i/>
              </w:rPr>
              <w:t>Gazette</w:t>
            </w:r>
            <w:r>
              <w:t xml:space="preserve"> 26 Feb 2019 p. 449-50)</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120"/>
      </w:pPr>
      <w:r>
        <w:rPr>
          <w:vertAlign w:val="superscript"/>
        </w:rPr>
        <w:t>9</w:t>
      </w:r>
      <w:r>
        <w:rPr>
          <w:vertAlign w:val="superscript"/>
        </w:rPr>
        <w:tab/>
      </w:r>
      <w:r>
        <w:t xml:space="preserve">On the date as at which this compilation was prepared, the </w:t>
      </w:r>
      <w:r>
        <w:rPr>
          <w:i/>
        </w:rPr>
        <w:t>Transport Regulations Amendment (Road Passenger Services) Regulations 2019</w:t>
      </w:r>
      <w:r>
        <w:t xml:space="preserve"> Pt. 3 Div. 1 had not come into operation.  It reads as follows:</w:t>
      </w:r>
    </w:p>
    <w:p>
      <w:pPr>
        <w:pStyle w:val="BlankOpen"/>
      </w:pPr>
    </w:p>
    <w:p>
      <w:pPr>
        <w:pStyle w:val="nzHeading2"/>
      </w:pPr>
      <w:r>
        <w:rPr>
          <w:rStyle w:val="CharPartNo"/>
        </w:rPr>
        <w:t>Part 3</w:t>
      </w:r>
      <w:r>
        <w:t> — </w:t>
      </w:r>
      <w:r>
        <w:rPr>
          <w:rStyle w:val="CharPartText"/>
        </w:rPr>
        <w:t>Amendments relating to on</w:t>
      </w:r>
      <w:r>
        <w:rPr>
          <w:rStyle w:val="CharPartText"/>
        </w:rPr>
        <w:noBreakHyphen/>
        <w:t>demand passenger transport levy</w:t>
      </w:r>
    </w:p>
    <w:p>
      <w:pPr>
        <w:pStyle w:val="nzHeading3"/>
      </w:pPr>
      <w:r>
        <w:rPr>
          <w:rStyle w:val="CharDivNo"/>
        </w:rPr>
        <w:t>Division 1</w:t>
      </w:r>
      <w:r>
        <w:t> — </w:t>
      </w:r>
      <w:r>
        <w:rPr>
          <w:rStyle w:val="CharDivText"/>
          <w:i/>
        </w:rPr>
        <w:t>Taxi Regulations 1995</w:t>
      </w:r>
      <w:r>
        <w:rPr>
          <w:rStyle w:val="CharDivText"/>
        </w:rPr>
        <w:t xml:space="preserve"> amended</w:t>
      </w:r>
    </w:p>
    <w:p>
      <w:pPr>
        <w:pStyle w:val="nzHeading5"/>
      </w:pPr>
      <w:r>
        <w:rPr>
          <w:rStyle w:val="CharSectno"/>
        </w:rPr>
        <w:t>6</w:t>
      </w:r>
      <w:r>
        <w:t>.</w:t>
      </w:r>
      <w:r>
        <w:tab/>
        <w:t>Regulations amended</w:t>
      </w:r>
    </w:p>
    <w:p>
      <w:pPr>
        <w:pStyle w:val="nzSubsection"/>
      </w:pPr>
      <w:r>
        <w:tab/>
      </w:r>
      <w:r>
        <w:tab/>
        <w:t xml:space="preserve">This Division amends the </w:t>
      </w:r>
      <w:r>
        <w:rPr>
          <w:i/>
        </w:rPr>
        <w:t>Taxi Regulations 1995</w:t>
      </w:r>
      <w:r>
        <w:t>.</w:t>
      </w:r>
    </w:p>
    <w:p>
      <w:pPr>
        <w:pStyle w:val="nzHeading5"/>
      </w:pPr>
      <w:r>
        <w:rPr>
          <w:rStyle w:val="CharSectno"/>
        </w:rPr>
        <w:t>7</w:t>
      </w:r>
      <w:r>
        <w:t>.</w:t>
      </w:r>
      <w:r>
        <w:tab/>
        <w:t>Regulation 3 amended</w:t>
      </w:r>
    </w:p>
    <w:p>
      <w:pPr>
        <w:pStyle w:val="nzSubsection"/>
      </w:pPr>
      <w:r>
        <w:tab/>
        <w:t>(1)</w:t>
      </w:r>
      <w:r>
        <w:tab/>
        <w:t>In regulation 3 insert in alphabetical order:</w:t>
      </w:r>
    </w:p>
    <w:p>
      <w:pPr>
        <w:pStyle w:val="BlankOpen"/>
      </w:pPr>
    </w:p>
    <w:p>
      <w:pPr>
        <w:pStyle w:val="nzDefstart"/>
      </w:pPr>
      <w:r>
        <w:tab/>
      </w:r>
      <w:r>
        <w:rPr>
          <w:rStyle w:val="CharDefText"/>
        </w:rPr>
        <w:t>leviable passenger service transaction</w:t>
      </w:r>
      <w:r>
        <w:t xml:space="preserve"> has the meaning given in the </w:t>
      </w:r>
      <w:r>
        <w:rPr>
          <w:i/>
        </w:rPr>
        <w:t xml:space="preserve">Transport (Road Passenger Services) Act 2018 </w:t>
      </w:r>
      <w:r>
        <w:t>section 244;</w:t>
      </w:r>
    </w:p>
    <w:p>
      <w:pPr>
        <w:pStyle w:val="BlankClose"/>
      </w:pPr>
    </w:p>
    <w:p>
      <w:pPr>
        <w:pStyle w:val="nzSubsection"/>
      </w:pPr>
      <w:r>
        <w:tab/>
        <w:t>(2)</w:t>
      </w:r>
      <w:r>
        <w:tab/>
        <w:t xml:space="preserve">In regulation 3 in the definition of </w:t>
      </w:r>
      <w:r>
        <w:rPr>
          <w:b/>
          <w:i/>
        </w:rPr>
        <w:t>Schedule 3 fare</w:t>
      </w:r>
      <w:r>
        <w:t xml:space="preserve"> delete “and includes any surcharge or fee of a kind set out in Schedule 3 for the hire;” and insert:</w:t>
      </w:r>
    </w:p>
    <w:p>
      <w:pPr>
        <w:pStyle w:val="BlankOpen"/>
      </w:pPr>
    </w:p>
    <w:p>
      <w:pPr>
        <w:pStyle w:val="nzDefstart"/>
      </w:pPr>
      <w:r>
        <w:tab/>
        <w:t xml:space="preserve">and includes — </w:t>
      </w:r>
    </w:p>
    <w:p>
      <w:pPr>
        <w:pStyle w:val="nzDefpara"/>
      </w:pPr>
      <w:r>
        <w:tab/>
        <w:t>(a)</w:t>
      </w:r>
      <w:r>
        <w:tab/>
        <w:t>any surcharge or fee of a kind set out in Schedule 3 for the hire; and</w:t>
      </w:r>
    </w:p>
    <w:p>
      <w:pPr>
        <w:pStyle w:val="nzDefpara"/>
      </w:pPr>
      <w:r>
        <w:tab/>
        <w:t>(b)</w:t>
      </w:r>
      <w:r>
        <w:tab/>
        <w:t>any amount charged under regulation 6(1A) in respect of the hire;</w:t>
      </w:r>
    </w:p>
    <w:p>
      <w:pPr>
        <w:pStyle w:val="BlankClose"/>
      </w:pPr>
    </w:p>
    <w:p>
      <w:pPr>
        <w:pStyle w:val="nzHeading5"/>
      </w:pPr>
      <w:r>
        <w:rPr>
          <w:rStyle w:val="CharSectno"/>
        </w:rPr>
        <w:t>8</w:t>
      </w:r>
      <w:r>
        <w:t>.</w:t>
      </w:r>
      <w:r>
        <w:tab/>
        <w:t>Regulation 6 amended</w:t>
      </w:r>
    </w:p>
    <w:p>
      <w:pPr>
        <w:pStyle w:val="nzSubsection"/>
      </w:pPr>
      <w:r>
        <w:tab/>
        <w:t>(1)</w:t>
      </w:r>
      <w:r>
        <w:tab/>
        <w:t>After regulation 6(1) insert:</w:t>
      </w:r>
    </w:p>
    <w:p>
      <w:pPr>
        <w:pStyle w:val="BlankOpen"/>
      </w:pPr>
    </w:p>
    <w:p>
      <w:pPr>
        <w:pStyle w:val="nzSubsection"/>
      </w:pPr>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p>
    <w:p>
      <w:pPr>
        <w:pStyle w:val="nzIndenta"/>
      </w:pPr>
      <w:r>
        <w:tab/>
        <w:t>(a)</w:t>
      </w:r>
      <w:r>
        <w:tab/>
        <w:t>an amount of fare allocated for the levy;</w:t>
      </w:r>
    </w:p>
    <w:p>
      <w:pPr>
        <w:pStyle w:val="nzIndenta"/>
      </w:pPr>
      <w:r>
        <w:tab/>
        <w:t>(b)</w:t>
      </w:r>
      <w:r>
        <w:tab/>
        <w:t>an amount for the GST payable in relation to the amount referred to in paragraph (a).</w:t>
      </w:r>
    </w:p>
    <w:p>
      <w:pPr>
        <w:pStyle w:val="nzSubsection"/>
      </w:pPr>
      <w:r>
        <w:tab/>
        <w:t>(1B)</w:t>
      </w:r>
      <w:r>
        <w:tab/>
        <w:t xml:space="preserve">An amount charged under subregulation (1A)(a) must not exceed the lesser of — </w:t>
      </w:r>
    </w:p>
    <w:p>
      <w:pPr>
        <w:pStyle w:val="nzIndenta"/>
      </w:pPr>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p>
    <w:p>
      <w:pPr>
        <w:pStyle w:val="nzIndenta"/>
      </w:pPr>
      <w:r>
        <w:tab/>
        <w:t>(b)</w:t>
      </w:r>
      <w:r>
        <w:tab/>
        <w:t>$10.</w:t>
      </w:r>
    </w:p>
    <w:p>
      <w:pPr>
        <w:pStyle w:val="BlankClose"/>
      </w:pPr>
    </w:p>
    <w:p>
      <w:pPr>
        <w:pStyle w:val="nzSubsection"/>
      </w:pPr>
      <w:r>
        <w:tab/>
        <w:t>(2)</w:t>
      </w:r>
      <w:r>
        <w:tab/>
        <w:t>In regulation 6(3) delete “and (2)” and insert:</w:t>
      </w:r>
    </w:p>
    <w:p>
      <w:pPr>
        <w:pStyle w:val="BlankOpen"/>
      </w:pPr>
    </w:p>
    <w:p>
      <w:pPr>
        <w:pStyle w:val="nzSubsection"/>
      </w:pPr>
      <w:r>
        <w:tab/>
      </w:r>
      <w:r>
        <w:tab/>
        <w:t>to (2)</w:t>
      </w:r>
    </w:p>
    <w:p>
      <w:pPr>
        <w:pStyle w:val="BlankClose"/>
      </w:pPr>
    </w:p>
    <w:p>
      <w:pPr>
        <w:pStyle w:val="nzHeading5"/>
        <w:rPr>
          <w:rStyle w:val="DraftersNotes"/>
        </w:rPr>
      </w:pPr>
      <w:r>
        <w:rPr>
          <w:rStyle w:val="CharSectno"/>
        </w:rPr>
        <w:t>9</w:t>
      </w:r>
      <w:r>
        <w:t>.</w:t>
      </w:r>
      <w:r>
        <w:tab/>
        <w:t>Regulation 6A amended</w:t>
      </w:r>
    </w:p>
    <w:p>
      <w:pPr>
        <w:pStyle w:val="nzSubsection"/>
      </w:pPr>
      <w:r>
        <w:tab/>
      </w:r>
      <w:r>
        <w:tab/>
        <w:t>In regulation 6A(2):</w:t>
      </w:r>
    </w:p>
    <w:p>
      <w:pPr>
        <w:pStyle w:val="nzIndenta"/>
      </w:pPr>
      <w:r>
        <w:tab/>
        <w:t>(a)</w:t>
      </w:r>
      <w:r>
        <w:tab/>
        <w:t>after “voucher” insert:</w:t>
      </w:r>
    </w:p>
    <w:p>
      <w:pPr>
        <w:pStyle w:val="BlankOpen"/>
      </w:pPr>
    </w:p>
    <w:p>
      <w:pPr>
        <w:pStyle w:val="nzIndenta"/>
      </w:pPr>
      <w:r>
        <w:tab/>
      </w:r>
      <w:r>
        <w:tab/>
        <w:t>(as defined in regulation 8(1))</w:t>
      </w:r>
    </w:p>
    <w:p>
      <w:pPr>
        <w:pStyle w:val="BlankClose"/>
      </w:pPr>
    </w:p>
    <w:p>
      <w:pPr>
        <w:pStyle w:val="nzIndenta"/>
      </w:pPr>
      <w:r>
        <w:tab/>
        <w:t>(b)</w:t>
      </w:r>
      <w:r>
        <w:tab/>
        <w:t>delete “(as calculated in accordance with the appropriate tariff set out in Schedule 3)” and insert:</w:t>
      </w:r>
    </w:p>
    <w:p>
      <w:pPr>
        <w:pStyle w:val="BlankOpen"/>
      </w:pPr>
    </w:p>
    <w:p>
      <w:pPr>
        <w:pStyle w:val="nzIndenta"/>
      </w:pPr>
      <w:r>
        <w:tab/>
      </w:r>
      <w:r>
        <w:tab/>
        <w:t>(as determined in accordance with regulation 6)</w:t>
      </w:r>
    </w:p>
    <w:p>
      <w:pPr>
        <w:pStyle w:val="BlankClose"/>
      </w:pPr>
    </w:p>
    <w:p>
      <w:pPr>
        <w:pStyle w:val="nzHeading5"/>
      </w:pPr>
      <w:r>
        <w:rPr>
          <w:rStyle w:val="CharSectno"/>
        </w:rPr>
        <w:t>10</w:t>
      </w:r>
      <w:r>
        <w:t>.</w:t>
      </w:r>
      <w:r>
        <w:tab/>
        <w:t>Regulation 7 amended</w:t>
      </w:r>
    </w:p>
    <w:p>
      <w:pPr>
        <w:pStyle w:val="nzSubsection"/>
      </w:pPr>
      <w:r>
        <w:tab/>
      </w:r>
      <w:r>
        <w:tab/>
        <w:t>After regulation 7(1) insert:</w:t>
      </w:r>
    </w:p>
    <w:p>
      <w:pPr>
        <w:pStyle w:val="BlankOpen"/>
      </w:pPr>
    </w:p>
    <w:p>
      <w:pPr>
        <w:pStyle w:val="nzSubsection"/>
      </w:pPr>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p>
    <w:p>
      <w:pPr>
        <w:pStyle w:val="BlankClose"/>
      </w:pPr>
    </w:p>
    <w:p>
      <w:pPr>
        <w:pStyle w:val="nzHeading5"/>
      </w:pPr>
      <w:r>
        <w:rPr>
          <w:rStyle w:val="CharSectno"/>
        </w:rPr>
        <w:t>11</w:t>
      </w:r>
      <w:r>
        <w:t>.</w:t>
      </w:r>
      <w:r>
        <w:tab/>
        <w:t>Regulation 10 amended</w:t>
      </w:r>
    </w:p>
    <w:p>
      <w:pPr>
        <w:pStyle w:val="nzSubsection"/>
      </w:pPr>
      <w:r>
        <w:tab/>
      </w:r>
      <w:r>
        <w:tab/>
        <w:t>Delete regulation 10(3) and insert:</w:t>
      </w:r>
    </w:p>
    <w:p>
      <w:pPr>
        <w:pStyle w:val="BlankOpen"/>
      </w:pPr>
    </w:p>
    <w:p>
      <w:pPr>
        <w:pStyle w:val="nzSubsection"/>
      </w:pPr>
      <w:r>
        <w:tab/>
        <w:t>(3)</w:t>
      </w:r>
      <w:r>
        <w:tab/>
        <w:t>If a taxi is the subject of multiple hiring, each separate hirer may, at that hirer’s destination, be charged 75% of the Schedule 3 fare for the hire of the taxi applicable at that hirer’s destination.</w:t>
      </w:r>
    </w:p>
    <w:p>
      <w:pPr>
        <w:pStyle w:val="BlankClose"/>
      </w:pP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6" w:name="_Toc2075446"/>
      <w:bookmarkStart w:id="67" w:name="_Toc2082608"/>
      <w:bookmarkStart w:id="68" w:name="_Toc2082801"/>
      <w:bookmarkStart w:id="69" w:name="_Toc2084774"/>
      <w:bookmarkStart w:id="70" w:name="_Toc2085856"/>
      <w:r>
        <w:rPr>
          <w:sz w:val="28"/>
        </w:rPr>
        <w:t>Defined terms</w:t>
      </w:r>
      <w:bookmarkEnd w:id="66"/>
      <w:bookmarkEnd w:id="67"/>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611430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10319</Words>
  <Characters>50981</Characters>
  <Application>Microsoft Office Word</Application>
  <DocSecurity>0</DocSecurity>
  <Lines>1820</Lines>
  <Paragraphs>1135</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60165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1995 - 05-f0-00</dc:title>
  <dc:subject/>
  <dc:creator/>
  <cp:keywords/>
  <dc:description/>
  <cp:lastModifiedBy>svcMRProcess</cp:lastModifiedBy>
  <cp:revision>4</cp:revision>
  <cp:lastPrinted>2018-05-22T02:41:00Z</cp:lastPrinted>
  <dcterms:created xsi:type="dcterms:W3CDTF">2019-02-27T01:26:00Z</dcterms:created>
  <dcterms:modified xsi:type="dcterms:W3CDTF">2019-02-27T01:26:00Z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28 Feb 2019</vt:lpwstr>
  </property>
  <property fmtid="{D5CDD505-2E9C-101B-9397-08002B2CF9AE}" pid="8" name="Suffix">
    <vt:lpwstr>05-f0-00</vt:lpwstr>
  </property>
  <property fmtid="{D5CDD505-2E9C-101B-9397-08002B2CF9AE}" pid="9" name="CommencementDate">
    <vt:lpwstr>20190228</vt:lpwstr>
  </property>
</Properties>
</file>