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Act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_Toc2160838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_Toc2160839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_Toc2160840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Position of Crown</w:t>
      </w:r>
      <w:r>
        <w:tab/>
      </w:r>
      <w:r>
        <w:fldChar w:fldCharType="begin"/>
      </w:r>
      <w:r>
        <w:instrText xml:space="preserve"> PAGEREF _Toc2160841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_Toc2160842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application of Act by regulation</w:t>
      </w:r>
      <w:r>
        <w:tab/>
      </w:r>
      <w:r>
        <w:fldChar w:fldCharType="begin"/>
      </w:r>
      <w:r>
        <w:instrText xml:space="preserve"> PAGEREF _Toc2160843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bCs/>
        </w:rPr>
        <w:t>Transitional provisions relating to commencement of this Act</w:t>
      </w:r>
      <w:r>
        <w:tab/>
      </w:r>
      <w:r>
        <w:fldChar w:fldCharType="begin"/>
      </w:r>
      <w:r>
        <w:instrText xml:space="preserve"> PAGEREF _Toc2160844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_Toc2160846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_Toc2160847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_Toc2160848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_Toc2160849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_Toc2160850 \h </w:instrText>
      </w:r>
      <w:r>
        <w:fldChar w:fldCharType="separate"/>
      </w:r>
      <w:r>
        <w:t>13</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_Toc2160851 \h </w:instrText>
      </w:r>
      <w:r>
        <w:fldChar w:fldCharType="separate"/>
      </w:r>
      <w:r>
        <w:t>14</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_Toc2160852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Determination of disputes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_Toc2160854 \h </w:instrText>
      </w:r>
      <w:r>
        <w:fldChar w:fldCharType="separate"/>
      </w:r>
      <w:r>
        <w:t>15</w:t>
      </w:r>
      <w:r>
        <w:fldChar w:fldCharType="end"/>
      </w:r>
    </w:p>
    <w:p>
      <w:pPr>
        <w:pStyle w:val="TOC8"/>
        <w:rPr>
          <w:rFonts w:asciiTheme="minorHAnsi" w:eastAsiaTheme="minorEastAsia" w:hAnsiTheme="minorHAnsi" w:cstheme="minorBidi"/>
          <w:szCs w:val="22"/>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_Toc2160855 \h </w:instrText>
      </w:r>
      <w:r>
        <w:fldChar w:fldCharType="separate"/>
      </w:r>
      <w:r>
        <w:t>15</w:t>
      </w:r>
      <w:r>
        <w:fldChar w:fldCharType="end"/>
      </w:r>
    </w:p>
    <w:p>
      <w:pPr>
        <w:pStyle w:val="TOC8"/>
        <w:rPr>
          <w:rFonts w:asciiTheme="minorHAnsi" w:eastAsiaTheme="minorEastAsia" w:hAnsiTheme="minorHAnsi" w:cstheme="minorBidi"/>
          <w:szCs w:val="22"/>
        </w:rPr>
      </w:pPr>
      <w:r>
        <w:t>13.</w:t>
      </w:r>
      <w:r>
        <w:tab/>
        <w:t>Jurisdiction over other disputes</w:t>
      </w:r>
      <w:r>
        <w:tab/>
      </w:r>
      <w:r>
        <w:fldChar w:fldCharType="begin"/>
      </w:r>
      <w:r>
        <w:instrText xml:space="preserve"> PAGEREF _Toc2160856 \h </w:instrText>
      </w:r>
      <w:r>
        <w:fldChar w:fldCharType="separate"/>
      </w:r>
      <w:r>
        <w:t>15</w:t>
      </w:r>
      <w:r>
        <w:fldChar w:fldCharType="end"/>
      </w:r>
    </w:p>
    <w:p>
      <w:pPr>
        <w:pStyle w:val="TOC8"/>
        <w:rPr>
          <w:rFonts w:asciiTheme="minorHAnsi" w:eastAsiaTheme="minorEastAsia" w:hAnsiTheme="minorHAnsi" w:cstheme="minorBidi"/>
          <w:szCs w:val="22"/>
        </w:rPr>
      </w:pPr>
      <w:r>
        <w:t>13A.</w:t>
      </w:r>
      <w:r>
        <w:tab/>
      </w:r>
      <w:r>
        <w:rPr>
          <w:snapToGrid w:val="0"/>
        </w:rPr>
        <w:t>Magistrates</w:t>
      </w:r>
      <w:r>
        <w:t xml:space="preserve"> Court’s jurisdiction</w:t>
      </w:r>
      <w:r>
        <w:tab/>
      </w:r>
      <w:r>
        <w:fldChar w:fldCharType="begin"/>
      </w:r>
      <w:r>
        <w:instrText xml:space="preserve"> PAGEREF _Toc2160857 \h </w:instrText>
      </w:r>
      <w:r>
        <w:fldChar w:fldCharType="separate"/>
      </w:r>
      <w:r>
        <w:t>16</w:t>
      </w:r>
      <w:r>
        <w:fldChar w:fldCharType="end"/>
      </w:r>
    </w:p>
    <w:p>
      <w:pPr>
        <w:pStyle w:val="TOC8"/>
        <w:rPr>
          <w:rFonts w:asciiTheme="minorHAnsi" w:eastAsiaTheme="minorEastAsia" w:hAnsiTheme="minorHAnsi" w:cstheme="minorBidi"/>
          <w:szCs w:val="22"/>
        </w:rPr>
      </w:pPr>
      <w:r>
        <w:t>13B.</w:t>
      </w:r>
      <w:r>
        <w:tab/>
        <w:t>Appeals from decisions of registrar</w:t>
      </w:r>
      <w:r>
        <w:tab/>
      </w:r>
      <w:r>
        <w:fldChar w:fldCharType="begin"/>
      </w:r>
      <w:r>
        <w:instrText xml:space="preserve"> PAGEREF _Toc2160858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Time for determination of proceedings</w:t>
      </w:r>
      <w:r>
        <w:tab/>
      </w:r>
      <w:r>
        <w:fldChar w:fldCharType="begin"/>
      </w:r>
      <w:r>
        <w:instrText xml:space="preserve"> PAGEREF _Toc2160859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 for relief and orders that may be made</w:t>
      </w:r>
      <w:r>
        <w:tab/>
      </w:r>
      <w:r>
        <w:fldChar w:fldCharType="begin"/>
      </w:r>
      <w:r>
        <w:instrText xml:space="preserve"> PAGEREF _Toc2160860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Enforcement</w:t>
      </w:r>
      <w:r>
        <w:tab/>
      </w:r>
      <w:r>
        <w:fldChar w:fldCharType="begin"/>
      </w:r>
      <w:r>
        <w:instrText xml:space="preserve"> PAGEREF _Toc2160861 \h </w:instrText>
      </w:r>
      <w:r>
        <w:fldChar w:fldCharType="separate"/>
      </w:r>
      <w:r>
        <w:t>19</w:t>
      </w:r>
      <w:r>
        <w:fldChar w:fldCharType="end"/>
      </w:r>
    </w:p>
    <w:p>
      <w:pPr>
        <w:pStyle w:val="TOC8"/>
        <w:rPr>
          <w:rFonts w:asciiTheme="minorHAnsi" w:eastAsiaTheme="minorEastAsia" w:hAnsiTheme="minorHAnsi" w:cstheme="minorBidi"/>
          <w:szCs w:val="22"/>
        </w:rPr>
      </w:pPr>
      <w:r>
        <w:t>17A.</w:t>
      </w:r>
      <w:r>
        <w:tab/>
        <w:t>Disputes between tenants</w:t>
      </w:r>
      <w:r>
        <w:tab/>
      </w:r>
      <w:r>
        <w:fldChar w:fldCharType="begin"/>
      </w:r>
      <w:r>
        <w:instrText xml:space="preserve"> PAGEREF _Toc2160862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to vary or set aside order</w:t>
      </w:r>
      <w:r>
        <w:tab/>
      </w:r>
      <w:r>
        <w:fldChar w:fldCharType="begin"/>
      </w:r>
      <w:r>
        <w:instrText xml:space="preserve"> PAGEREF _Toc2160863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applications and notice of hearing</w:t>
      </w:r>
      <w:r>
        <w:tab/>
      </w:r>
      <w:r>
        <w:fldChar w:fldCharType="begin"/>
      </w:r>
      <w:r>
        <w:instrText xml:space="preserve"> PAGEREF _Toc2160864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Witnesses and inspection of documents</w:t>
      </w:r>
      <w:r>
        <w:tab/>
      </w:r>
      <w:r>
        <w:fldChar w:fldCharType="begin"/>
      </w:r>
      <w:r>
        <w:instrText xml:space="preserve"> PAGEREF _Toc2160865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General powers in proceedings</w:t>
      </w:r>
      <w:r>
        <w:tab/>
      </w:r>
      <w:r>
        <w:fldChar w:fldCharType="begin"/>
      </w:r>
      <w:r>
        <w:instrText xml:space="preserve"> PAGEREF _Toc2160866 \h </w:instrText>
      </w:r>
      <w:r>
        <w:fldChar w:fldCharType="separate"/>
      </w:r>
      <w:r>
        <w:t>22</w:t>
      </w:r>
      <w:r>
        <w:fldChar w:fldCharType="end"/>
      </w:r>
    </w:p>
    <w:p>
      <w:pPr>
        <w:pStyle w:val="TOC8"/>
        <w:rPr>
          <w:rFonts w:asciiTheme="minorHAnsi" w:eastAsiaTheme="minorEastAsia" w:hAnsiTheme="minorHAnsi" w:cstheme="minorBidi"/>
          <w:szCs w:val="22"/>
        </w:rPr>
      </w:pPr>
      <w:r>
        <w:t>21.</w:t>
      </w:r>
      <w:r>
        <w:tab/>
        <w:t>Evidence</w:t>
      </w:r>
      <w:r>
        <w:tab/>
      </w:r>
      <w:r>
        <w:fldChar w:fldCharType="begin"/>
      </w:r>
      <w:r>
        <w:instrText xml:space="preserve"> PAGEREF _Toc2160867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Presentation of cases</w:t>
      </w:r>
      <w:r>
        <w:tab/>
      </w:r>
      <w:r>
        <w:fldChar w:fldCharType="begin"/>
      </w:r>
      <w:r>
        <w:instrText xml:space="preserve"> PAGEREF _Toc2160868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Settlement by conciliation</w:t>
      </w:r>
      <w:r>
        <w:tab/>
      </w:r>
      <w:r>
        <w:fldChar w:fldCharType="begin"/>
      </w:r>
      <w:r>
        <w:instrText xml:space="preserve"> PAGEREF _Toc2160869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_Toc2160870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Reservation of question of law</w:t>
      </w:r>
      <w:r>
        <w:tab/>
      </w:r>
      <w:r>
        <w:fldChar w:fldCharType="begin"/>
      </w:r>
      <w:r>
        <w:instrText xml:space="preserve"> PAGEREF _Toc2160871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Finality of proceedings</w:t>
      </w:r>
      <w:r>
        <w:tab/>
      </w:r>
      <w:r>
        <w:fldChar w:fldCharType="begin"/>
      </w:r>
      <w:r>
        <w:instrText xml:space="preserve"> PAGEREF _Toc2160872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IV — Residential tenancy agreements</w:t>
      </w:r>
    </w:p>
    <w:p>
      <w:pPr>
        <w:pStyle w:val="TOC4"/>
        <w:tabs>
          <w:tab w:val="right" w:leader="dot" w:pos="7077"/>
        </w:tabs>
        <w:rPr>
          <w:rFonts w:asciiTheme="minorHAnsi" w:eastAsiaTheme="minorEastAsia" w:hAnsiTheme="minorHAnsi" w:cstheme="minorBidi"/>
          <w:b w:val="0"/>
          <w:szCs w:val="22"/>
        </w:rPr>
      </w:pPr>
      <w:r>
        <w:t>Division 1A — Form of residential tenancy agreement and associated documents</w:t>
      </w:r>
    </w:p>
    <w:p>
      <w:pPr>
        <w:pStyle w:val="TOC8"/>
        <w:rPr>
          <w:rFonts w:asciiTheme="minorHAnsi" w:eastAsiaTheme="minorEastAsia" w:hAnsiTheme="minorHAnsi" w:cstheme="minorBidi"/>
          <w:szCs w:val="22"/>
        </w:rPr>
      </w:pPr>
      <w:r>
        <w:t>27A.</w:t>
      </w:r>
      <w:r>
        <w:tab/>
        <w:t>Written residential tenancy agreement to be in prescribed form</w:t>
      </w:r>
      <w:r>
        <w:tab/>
      </w:r>
      <w:r>
        <w:fldChar w:fldCharType="begin"/>
      </w:r>
      <w:r>
        <w:instrText xml:space="preserve"> PAGEREF _Toc2160875 \h </w:instrText>
      </w:r>
      <w:r>
        <w:fldChar w:fldCharType="separate"/>
      </w:r>
      <w:r>
        <w:t>28</w:t>
      </w:r>
      <w:r>
        <w:fldChar w:fldCharType="end"/>
      </w:r>
    </w:p>
    <w:p>
      <w:pPr>
        <w:pStyle w:val="TOC8"/>
        <w:rPr>
          <w:rFonts w:asciiTheme="minorHAnsi" w:eastAsiaTheme="minorEastAsia" w:hAnsiTheme="minorHAnsi" w:cstheme="minorBidi"/>
          <w:szCs w:val="22"/>
        </w:rPr>
      </w:pPr>
      <w:r>
        <w:t>27B.</w:t>
      </w:r>
      <w:r>
        <w:tab/>
        <w:t>Information to be given to tenant by lessor</w:t>
      </w:r>
      <w:r>
        <w:tab/>
      </w:r>
      <w:r>
        <w:fldChar w:fldCharType="begin"/>
      </w:r>
      <w:r>
        <w:instrText xml:space="preserve"> PAGEREF _Toc2160876 \h </w:instrText>
      </w:r>
      <w:r>
        <w:fldChar w:fldCharType="separate"/>
      </w:r>
      <w:r>
        <w:t>28</w:t>
      </w:r>
      <w:r>
        <w:fldChar w:fldCharType="end"/>
      </w:r>
    </w:p>
    <w:p>
      <w:pPr>
        <w:pStyle w:val="TOC8"/>
        <w:rPr>
          <w:rFonts w:asciiTheme="minorHAnsi" w:eastAsiaTheme="minorEastAsia" w:hAnsiTheme="minorHAnsi" w:cstheme="minorBidi"/>
          <w:szCs w:val="22"/>
        </w:rPr>
      </w:pPr>
      <w:r>
        <w:t>27C.</w:t>
      </w:r>
      <w:r>
        <w:tab/>
      </w:r>
      <w:r>
        <w:rPr>
          <w:snapToGrid w:val="0"/>
        </w:rPr>
        <w:t>Property condition report at start and end of tenancy</w:t>
      </w:r>
      <w:r>
        <w:tab/>
      </w:r>
      <w:r>
        <w:fldChar w:fldCharType="begin"/>
      </w:r>
      <w:r>
        <w:instrText xml:space="preserve"> PAGEREF _Toc2160877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Rent and security bonds</w:t>
      </w:r>
    </w:p>
    <w:p>
      <w:pPr>
        <w:pStyle w:val="TOC8"/>
        <w:rPr>
          <w:rFonts w:asciiTheme="minorHAnsi" w:eastAsiaTheme="minorEastAsia" w:hAnsiTheme="minorHAnsi" w:cstheme="minorBidi"/>
          <w:szCs w:val="22"/>
        </w:rPr>
      </w:pPr>
      <w:r>
        <w:t>27</w:t>
      </w:r>
      <w:r>
        <w:rPr>
          <w:snapToGrid w:val="0"/>
        </w:rPr>
        <w:t>.</w:t>
      </w:r>
      <w:r>
        <w:rPr>
          <w:snapToGrid w:val="0"/>
        </w:rPr>
        <w:tab/>
        <w:t>Restriction on consideration for tenancy agreement</w:t>
      </w:r>
      <w:r>
        <w:tab/>
      </w:r>
      <w:r>
        <w:fldChar w:fldCharType="begin"/>
      </w:r>
      <w:r>
        <w:instrText xml:space="preserve"> PAGEREF _Toc2160879 \h </w:instrText>
      </w:r>
      <w:r>
        <w:fldChar w:fldCharType="separate"/>
      </w:r>
      <w:r>
        <w:t>29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Rent in advance</w:t>
      </w:r>
      <w:r>
        <w:tab/>
      </w:r>
      <w:r>
        <w:fldChar w:fldCharType="begin"/>
      </w:r>
      <w:r>
        <w:instrText xml:space="preserve"> PAGEREF _Toc2160880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Security bonds</w:t>
      </w:r>
      <w:r>
        <w:tab/>
      </w:r>
      <w:r>
        <w:fldChar w:fldCharType="begin"/>
      </w:r>
      <w:r>
        <w:instrText xml:space="preserve"> PAGEREF _Toc2160881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Variation of rent (except where calculated by reference to tenant’s income)</w:t>
      </w:r>
      <w:r>
        <w:tab/>
      </w:r>
      <w:r>
        <w:fldChar w:fldCharType="begin"/>
      </w:r>
      <w:r>
        <w:instrText xml:space="preserve"> PAGEREF _Toc2160882 \h </w:instrText>
      </w:r>
      <w:r>
        <w:fldChar w:fldCharType="separate"/>
      </w:r>
      <w:r>
        <w:t>33</w:t>
      </w:r>
      <w:r>
        <w:fldChar w:fldCharType="end"/>
      </w:r>
    </w:p>
    <w:p>
      <w:pPr>
        <w:pStyle w:val="TOC8"/>
        <w:rPr>
          <w:rFonts w:asciiTheme="minorHAnsi" w:eastAsiaTheme="minorEastAsia" w:hAnsiTheme="minorHAnsi" w:cstheme="minorBidi"/>
          <w:szCs w:val="22"/>
        </w:rPr>
      </w:pPr>
      <w:r>
        <w:t>31A.</w:t>
      </w:r>
      <w:r>
        <w:tab/>
        <w:t>Variation of rent where calculated by reference to tenant’s income</w:t>
      </w:r>
      <w:r>
        <w:tab/>
      </w:r>
      <w:r>
        <w:fldChar w:fldCharType="begin"/>
      </w:r>
      <w:r>
        <w:instrText xml:space="preserve"> PAGEREF _Toc2160883 \h </w:instrText>
      </w:r>
      <w:r>
        <w:fldChar w:fldCharType="separate"/>
      </w:r>
      <w:r>
        <w:t>34</w:t>
      </w:r>
      <w:r>
        <w:fldChar w:fldCharType="end"/>
      </w:r>
    </w:p>
    <w:p>
      <w:pPr>
        <w:pStyle w:val="TOC8"/>
        <w:rPr>
          <w:rFonts w:asciiTheme="minorHAnsi" w:eastAsiaTheme="minorEastAsia" w:hAnsiTheme="minorHAnsi" w:cstheme="minorBidi"/>
          <w:szCs w:val="22"/>
        </w:rPr>
      </w:pPr>
      <w:r>
        <w:t>31B.</w:t>
      </w:r>
      <w:r>
        <w:tab/>
        <w:t>Increase in rent after renegotiating lease</w:t>
      </w:r>
      <w:r>
        <w:tab/>
      </w:r>
      <w:r>
        <w:fldChar w:fldCharType="begin"/>
      </w:r>
      <w:r>
        <w:instrText xml:space="preserve"> PAGEREF _Toc2160884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Increase in security bond</w:t>
      </w:r>
      <w:r>
        <w:tab/>
      </w:r>
      <w:r>
        <w:fldChar w:fldCharType="begin"/>
      </w:r>
      <w:r>
        <w:instrText xml:space="preserve"> PAGEREF _Toc2160885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Limitation of excessive rents in certain circumstances</w:t>
      </w:r>
      <w:r>
        <w:tab/>
      </w:r>
      <w:r>
        <w:fldChar w:fldCharType="begin"/>
      </w:r>
      <w:r>
        <w:instrText xml:space="preserve"> PAGEREF _Toc2160886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to give receipt for rent</w:t>
      </w:r>
      <w:r>
        <w:tab/>
      </w:r>
      <w:r>
        <w:fldChar w:fldCharType="begin"/>
      </w:r>
      <w:r>
        <w:instrText xml:space="preserve"> PAGEREF _Toc2160887 \h </w:instrText>
      </w:r>
      <w:r>
        <w:fldChar w:fldCharType="separate"/>
      </w:r>
      <w:r>
        <w:t>38</w:t>
      </w:r>
      <w:r>
        <w:fldChar w:fldCharType="end"/>
      </w:r>
    </w:p>
    <w:p>
      <w:pPr>
        <w:pStyle w:val="TOC8"/>
        <w:rPr>
          <w:rFonts w:asciiTheme="minorHAnsi" w:eastAsiaTheme="minorEastAsia" w:hAnsiTheme="minorHAnsi" w:cstheme="minorBidi"/>
          <w:szCs w:val="22"/>
        </w:rPr>
      </w:pPr>
      <w:r>
        <w:t>34A.</w:t>
      </w:r>
      <w:r>
        <w:tab/>
        <w:t>Manner of payment of rent</w:t>
      </w:r>
      <w:r>
        <w:tab/>
      </w:r>
      <w:r>
        <w:fldChar w:fldCharType="begin"/>
      </w:r>
      <w:r>
        <w:instrText xml:space="preserve"> PAGEREF _Toc2160888 \h </w:instrText>
      </w:r>
      <w:r>
        <w:fldChar w:fldCharType="separate"/>
      </w:r>
      <w:r>
        <w:t>38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Proper records of rent to be kept</w:t>
      </w:r>
      <w:r>
        <w:tab/>
      </w:r>
      <w:r>
        <w:fldChar w:fldCharType="begin"/>
      </w:r>
      <w:r>
        <w:instrText xml:space="preserve"> PAGEREF _Toc2160889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_Toc2160890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Apportionment of rent</w:t>
      </w:r>
      <w:r>
        <w:tab/>
      </w:r>
      <w:r>
        <w:fldChar w:fldCharType="begin"/>
      </w:r>
      <w:r>
        <w:instrText xml:space="preserve"> PAGEREF _Toc2160891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Standard terms</w:t>
      </w:r>
    </w:p>
    <w:p>
      <w:pPr>
        <w:pStyle w:val="TOC8"/>
        <w:rPr>
          <w:rFonts w:asciiTheme="minorHAnsi" w:eastAsiaTheme="minorEastAsia" w:hAnsiTheme="minorHAnsi" w:cstheme="minorBidi"/>
          <w:szCs w:val="22"/>
        </w:rPr>
      </w:pPr>
      <w:r>
        <w:t>38</w:t>
      </w:r>
      <w:r>
        <w:rPr>
          <w:snapToGrid w:val="0"/>
        </w:rPr>
        <w:t>.</w:t>
      </w:r>
      <w:r>
        <w:rPr>
          <w:snapToGrid w:val="0"/>
        </w:rPr>
        <w:tab/>
        <w:t>Tenant’s responsibility for cleanliness and damage</w:t>
      </w:r>
      <w:r>
        <w:tab/>
      </w:r>
      <w:r>
        <w:fldChar w:fldCharType="begin"/>
      </w:r>
      <w:r>
        <w:instrText xml:space="preserve"> PAGEREF _Toc2160893 \h </w:instrText>
      </w:r>
      <w:r>
        <w:fldChar w:fldCharType="separate"/>
      </w:r>
      <w:r>
        <w:t>40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Tenant’s conduct on premises</w:t>
      </w:r>
      <w:r>
        <w:tab/>
      </w:r>
      <w:r>
        <w:fldChar w:fldCharType="begin"/>
      </w:r>
      <w:r>
        <w:instrText xml:space="preserve"> PAGEREF _Toc2160894 \h </w:instrText>
      </w:r>
      <w:r>
        <w:fldChar w:fldCharType="separate"/>
      </w:r>
      <w:r>
        <w:t>40</w:t>
      </w:r>
      <w:r>
        <w:fldChar w:fldCharType="end"/>
      </w:r>
    </w:p>
    <w:p>
      <w:pPr>
        <w:pStyle w:val="TOC8"/>
        <w:rPr>
          <w:rFonts w:asciiTheme="minorHAnsi" w:eastAsiaTheme="minorEastAsia" w:hAnsiTheme="minorHAnsi" w:cstheme="minorBidi"/>
          <w:szCs w:val="22"/>
        </w:rPr>
      </w:pPr>
      <w:r>
        <w:t>40.</w:t>
      </w:r>
      <w:r>
        <w:tab/>
        <w:t>Vacant possession</w:t>
      </w:r>
      <w:r>
        <w:tab/>
      </w:r>
      <w:r>
        <w:fldChar w:fldCharType="begin"/>
      </w:r>
      <w:r>
        <w:instrText xml:space="preserve"> PAGEREF _Toc2160895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Legal impediments to occupation as residence</w:t>
      </w:r>
      <w:r>
        <w:tab/>
      </w:r>
      <w:r>
        <w:fldChar w:fldCharType="begin"/>
      </w:r>
      <w:r>
        <w:instrText xml:space="preserve"> PAGEREF _Toc2160896 \h </w:instrText>
      </w:r>
      <w:r>
        <w:fldChar w:fldCharType="separate"/>
      </w:r>
      <w:r>
        <w:t>41</w:t>
      </w:r>
      <w:r>
        <w:fldChar w:fldCharType="end"/>
      </w:r>
    </w:p>
    <w:p>
      <w:pPr>
        <w:pStyle w:val="TOC8"/>
        <w:rPr>
          <w:rFonts w:asciiTheme="minorHAnsi" w:eastAsiaTheme="minorEastAsia" w:hAnsiTheme="minorHAnsi" w:cstheme="minorBidi"/>
          <w:szCs w:val="22"/>
        </w:rPr>
      </w:pPr>
      <w:r>
        <w:t>42.</w:t>
      </w:r>
      <w:r>
        <w:tab/>
        <w:t>Lessor’s responsibility for cleanliness and repairs</w:t>
      </w:r>
      <w:r>
        <w:tab/>
      </w:r>
      <w:r>
        <w:fldChar w:fldCharType="begin"/>
      </w:r>
      <w:r>
        <w:instrText xml:space="preserve"> PAGEREF _Toc2160897 \h </w:instrText>
      </w:r>
      <w:r>
        <w:fldChar w:fldCharType="separate"/>
      </w:r>
      <w:r>
        <w:t>41</w:t>
      </w:r>
      <w:r>
        <w:fldChar w:fldCharType="end"/>
      </w:r>
    </w:p>
    <w:p>
      <w:pPr>
        <w:pStyle w:val="TOC8"/>
        <w:rPr>
          <w:rFonts w:asciiTheme="minorHAnsi" w:eastAsiaTheme="minorEastAsia" w:hAnsiTheme="minorHAnsi" w:cstheme="minorBidi"/>
          <w:szCs w:val="22"/>
        </w:rPr>
      </w:pPr>
      <w:r>
        <w:t>43.</w:t>
      </w:r>
      <w:r>
        <w:tab/>
        <w:t>Urgent repairs</w:t>
      </w:r>
      <w:r>
        <w:tab/>
      </w:r>
      <w:r>
        <w:fldChar w:fldCharType="begin"/>
      </w:r>
      <w:r>
        <w:instrText xml:space="preserve"> PAGEREF _Toc2160898 \h </w:instrText>
      </w:r>
      <w:r>
        <w:fldChar w:fldCharType="separate"/>
      </w:r>
      <w:r>
        <w:t>42</w:t>
      </w:r>
      <w:r>
        <w:fldChar w:fldCharType="end"/>
      </w:r>
    </w:p>
    <w:p>
      <w:pPr>
        <w:pStyle w:val="TOC8"/>
        <w:rPr>
          <w:rFonts w:asciiTheme="minorHAnsi" w:eastAsiaTheme="minorEastAsia" w:hAnsiTheme="minorHAnsi" w:cstheme="minorBidi"/>
          <w:szCs w:val="22"/>
        </w:rPr>
      </w:pPr>
      <w:r>
        <w:t>44.</w:t>
      </w:r>
      <w:r>
        <w:tab/>
        <w:t>Quiet enjoyment</w:t>
      </w:r>
      <w:r>
        <w:tab/>
      </w:r>
      <w:r>
        <w:fldChar w:fldCharType="begin"/>
      </w:r>
      <w:r>
        <w:instrText xml:space="preserve"> PAGEREF _Toc2160899 \h </w:instrText>
      </w:r>
      <w:r>
        <w:fldChar w:fldCharType="separate"/>
      </w:r>
      <w:r>
        <w:t>43</w:t>
      </w:r>
      <w:r>
        <w:fldChar w:fldCharType="end"/>
      </w:r>
    </w:p>
    <w:p>
      <w:pPr>
        <w:pStyle w:val="TOC8"/>
        <w:rPr>
          <w:rFonts w:asciiTheme="minorHAnsi" w:eastAsiaTheme="minorEastAsia" w:hAnsiTheme="minorHAnsi" w:cstheme="minorBidi"/>
          <w:szCs w:val="22"/>
        </w:rPr>
      </w:pPr>
      <w:r>
        <w:t>45.</w:t>
      </w:r>
      <w:r>
        <w:tab/>
        <w:t>Securing premises</w:t>
      </w:r>
      <w:r>
        <w:tab/>
      </w:r>
      <w:r>
        <w:fldChar w:fldCharType="begin"/>
      </w:r>
      <w:r>
        <w:instrText xml:space="preserve"> PAGEREF _Toc2160900 \h </w:instrText>
      </w:r>
      <w:r>
        <w:fldChar w:fldCharType="separate"/>
      </w:r>
      <w:r>
        <w:t>44</w:t>
      </w:r>
      <w:r>
        <w:fldChar w:fldCharType="end"/>
      </w:r>
    </w:p>
    <w:p>
      <w:pPr>
        <w:pStyle w:val="TOC8"/>
        <w:rPr>
          <w:rFonts w:asciiTheme="minorHAnsi" w:eastAsiaTheme="minorEastAsia" w:hAnsiTheme="minorHAnsi" w:cstheme="minorBidi"/>
          <w:szCs w:val="22"/>
        </w:rPr>
      </w:pPr>
      <w:r>
        <w:t>46.</w:t>
      </w:r>
      <w:r>
        <w:tab/>
        <w:t>Lessor’s right of entry</w:t>
      </w:r>
      <w:r>
        <w:tab/>
      </w:r>
      <w:r>
        <w:fldChar w:fldCharType="begin"/>
      </w:r>
      <w:r>
        <w:instrText xml:space="preserve"> PAGEREF _Toc2160901 \h </w:instrText>
      </w:r>
      <w:r>
        <w:fldChar w:fldCharType="separate"/>
      </w:r>
      <w:r>
        <w:t>44</w:t>
      </w:r>
      <w:r>
        <w:fldChar w:fldCharType="end"/>
      </w:r>
    </w:p>
    <w:p>
      <w:pPr>
        <w:pStyle w:val="TOC8"/>
        <w:rPr>
          <w:rFonts w:asciiTheme="minorHAnsi" w:eastAsiaTheme="minorEastAsia" w:hAnsiTheme="minorHAnsi" w:cstheme="minorBidi"/>
          <w:szCs w:val="22"/>
        </w:rPr>
      </w:pPr>
      <w:r>
        <w:t>47.</w:t>
      </w:r>
      <w:r>
        <w:tab/>
        <w:t>Right of tenant to affix and remove fixtures etc.</w:t>
      </w:r>
      <w:r>
        <w:tab/>
      </w:r>
      <w:r>
        <w:fldChar w:fldCharType="begin"/>
      </w:r>
      <w:r>
        <w:instrText xml:space="preserve"> PAGEREF _Toc2160902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Lessor to bear outgoings in respect of premises</w:t>
      </w:r>
      <w:r>
        <w:tab/>
      </w:r>
      <w:r>
        <w:fldChar w:fldCharType="begin"/>
      </w:r>
      <w:r>
        <w:instrText xml:space="preserve"> PAGEREF _Toc2160903 \h </w:instrText>
      </w:r>
      <w:r>
        <w:fldChar w:fldCharType="separate"/>
      </w:r>
      <w:r>
        <w:t>48</w:t>
      </w:r>
      <w:r>
        <w:fldChar w:fldCharType="end"/>
      </w:r>
    </w:p>
    <w:p>
      <w:pPr>
        <w:pStyle w:val="TOC8"/>
        <w:rPr>
          <w:rFonts w:asciiTheme="minorHAnsi" w:eastAsiaTheme="minorEastAsia" w:hAnsiTheme="minorHAnsi" w:cstheme="minorBidi"/>
          <w:szCs w:val="22"/>
        </w:rPr>
      </w:pPr>
      <w:r>
        <w:t>49A.</w:t>
      </w:r>
      <w:r>
        <w:tab/>
        <w:t>Lessor’s and tenant’s responsibilities in respect of public utility services</w:t>
      </w:r>
      <w:r>
        <w:tab/>
      </w:r>
      <w:r>
        <w:fldChar w:fldCharType="begin"/>
      </w:r>
      <w:r>
        <w:instrText xml:space="preserve"> PAGEREF _Toc2160904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_Toc2160905 \h </w:instrText>
      </w:r>
      <w:r>
        <w:fldChar w:fldCharType="separate"/>
      </w:r>
      <w:r>
        <w:t>49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Vicarious responsibility of tenant for breach by other person lawfully on premises</w:t>
      </w:r>
      <w:r>
        <w:tab/>
      </w:r>
      <w:r>
        <w:fldChar w:fldCharType="begin"/>
      </w:r>
      <w:r>
        <w:instrText xml:space="preserve"> PAGEREF _Toc2160906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51.</w:t>
      </w:r>
      <w:r>
        <w:tab/>
        <w:t>Tenant to be notified of lessor’s name and address</w:t>
      </w:r>
      <w:r>
        <w:tab/>
      </w:r>
      <w:r>
        <w:fldChar w:fldCharType="begin"/>
      </w:r>
      <w:r>
        <w:instrText xml:space="preserve"> PAGEREF _Toc2160908 \h </w:instrText>
      </w:r>
      <w:r>
        <w:fldChar w:fldCharType="separate"/>
      </w:r>
      <w:r>
        <w:t>50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Failure to pay rent with intention it be recovered from security bond</w:t>
      </w:r>
      <w:r>
        <w:tab/>
      </w:r>
      <w:r>
        <w:fldChar w:fldCharType="begin"/>
      </w:r>
      <w:r>
        <w:instrText xml:space="preserve"> PAGEREF _Toc2160909 \h </w:instrText>
      </w:r>
      <w:r>
        <w:fldChar w:fldCharType="separate"/>
      </w:r>
      <w:r>
        <w:t>51</w:t>
      </w:r>
      <w:r>
        <w:fldChar w:fldCharType="end"/>
      </w:r>
    </w:p>
    <w:p>
      <w:pPr>
        <w:pStyle w:val="TOC8"/>
        <w:rPr>
          <w:rFonts w:asciiTheme="minorHAnsi" w:eastAsiaTheme="minorEastAsia" w:hAnsiTheme="minorHAnsi" w:cstheme="minorBidi"/>
          <w:szCs w:val="22"/>
        </w:rPr>
      </w:pPr>
      <w:r>
        <w:t>53.</w:t>
      </w:r>
      <w:r>
        <w:tab/>
        <w:t>Tenant’s name, place of employment and forwarding address</w:t>
      </w:r>
      <w:r>
        <w:tab/>
      </w:r>
      <w:r>
        <w:fldChar w:fldCharType="begin"/>
      </w:r>
      <w:r>
        <w:instrText xml:space="preserve"> PAGEREF _Toc2160910 \h </w:instrText>
      </w:r>
      <w:r>
        <w:fldChar w:fldCharType="separate"/>
      </w:r>
      <w:r>
        <w:t>52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Lessor to deliver copy of agreement to tenant</w:t>
      </w:r>
      <w:r>
        <w:tab/>
      </w:r>
      <w:r>
        <w:fldChar w:fldCharType="begin"/>
      </w:r>
      <w:r>
        <w:instrText xml:space="preserve"> PAGEREF _Toc2160911 \h </w:instrText>
      </w:r>
      <w:r>
        <w:fldChar w:fldCharType="separate"/>
      </w:r>
      <w:r>
        <w:t>52</w:t>
      </w:r>
      <w:r>
        <w:fldChar w:fldCharType="end"/>
      </w:r>
    </w:p>
    <w:p>
      <w:pPr>
        <w:pStyle w:val="TOC8"/>
        <w:rPr>
          <w:rFonts w:asciiTheme="minorHAnsi" w:eastAsiaTheme="minorEastAsia" w:hAnsiTheme="minorHAnsi" w:cstheme="minorBidi"/>
          <w:szCs w:val="22"/>
        </w:rPr>
      </w:pPr>
      <w:r>
        <w:t>55.</w:t>
      </w:r>
      <w:r>
        <w:tab/>
        <w:t>Cost of written agreement to be borne by lessor</w:t>
      </w:r>
      <w:r>
        <w:tab/>
      </w:r>
      <w:r>
        <w:fldChar w:fldCharType="begin"/>
      </w:r>
      <w:r>
        <w:instrText xml:space="preserve"> PAGEREF _Toc2160912 \h </w:instrText>
      </w:r>
      <w:r>
        <w:fldChar w:fldCharType="separate"/>
      </w:r>
      <w:r>
        <w:t>53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Discrimination against tenants with children</w:t>
      </w:r>
      <w:r>
        <w:tab/>
      </w:r>
      <w:r>
        <w:fldChar w:fldCharType="begin"/>
      </w:r>
      <w:r>
        <w:instrText xml:space="preserve"> PAGEREF _Toc2160913 \h </w:instrText>
      </w:r>
      <w:r>
        <w:fldChar w:fldCharType="separate"/>
      </w:r>
      <w:r>
        <w:t>53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Accelerated rent and liquidated damages prohibited</w:t>
      </w:r>
      <w:r>
        <w:tab/>
      </w:r>
      <w:r>
        <w:fldChar w:fldCharType="begin"/>
      </w:r>
      <w:r>
        <w:instrText xml:space="preserve"> PAGEREF _Toc2160914 \h </w:instrText>
      </w:r>
      <w:r>
        <w:fldChar w:fldCharType="separate"/>
      </w:r>
      <w:r>
        <w:t>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Duty of mitigation</w:t>
      </w:r>
      <w:r>
        <w:tab/>
      </w:r>
      <w:r>
        <w:fldChar w:fldCharType="begin"/>
      </w:r>
      <w:r>
        <w:instrText xml:space="preserve"> PAGEREF _Toc2160915 \h </w:instrText>
      </w:r>
      <w:r>
        <w:fldChar w:fldCharType="separate"/>
      </w:r>
      <w:r>
        <w:t>54</w:t>
      </w:r>
      <w:r>
        <w:fldChar w:fldCharType="end"/>
      </w:r>
    </w:p>
    <w:p>
      <w:pPr>
        <w:pStyle w:val="TOC8"/>
        <w:rPr>
          <w:rFonts w:asciiTheme="minorHAnsi" w:eastAsiaTheme="minorEastAsia" w:hAnsiTheme="minorHAnsi" w:cstheme="minorBidi"/>
          <w:szCs w:val="22"/>
        </w:rPr>
      </w:pPr>
      <w:r>
        <w:t>59A.</w:t>
      </w:r>
      <w:r>
        <w:tab/>
        <w:t>Minors</w:t>
      </w:r>
      <w:r>
        <w:tab/>
      </w:r>
      <w:r>
        <w:fldChar w:fldCharType="begin"/>
      </w:r>
      <w:r>
        <w:instrText xml:space="preserve"> PAGEREF _Toc2160916 \h </w:instrText>
      </w:r>
      <w:r>
        <w:fldChar w:fldCharType="separate"/>
      </w:r>
      <w:r>
        <w:t>54</w:t>
      </w:r>
      <w:r>
        <w:fldChar w:fldCharType="end"/>
      </w:r>
    </w:p>
    <w:p>
      <w:pPr>
        <w:pStyle w:val="TOC8"/>
        <w:rPr>
          <w:rFonts w:asciiTheme="minorHAnsi" w:eastAsiaTheme="minorEastAsia" w:hAnsiTheme="minorHAnsi" w:cstheme="minorBidi"/>
          <w:szCs w:val="22"/>
        </w:rPr>
      </w:pPr>
      <w:r>
        <w:t>59B.</w:t>
      </w:r>
      <w:r>
        <w:tab/>
        <w:t>Death of one of 2 or more tenants</w:t>
      </w:r>
      <w:r>
        <w:tab/>
      </w:r>
      <w:r>
        <w:fldChar w:fldCharType="begin"/>
      </w:r>
      <w:r>
        <w:instrText xml:space="preserve"> PAGEREF _Toc2160917 \h </w:instrText>
      </w:r>
      <w:r>
        <w:fldChar w:fldCharType="separate"/>
      </w:r>
      <w:r>
        <w:t>55</w:t>
      </w:r>
      <w:r>
        <w:fldChar w:fldCharType="end"/>
      </w:r>
    </w:p>
    <w:p>
      <w:pPr>
        <w:pStyle w:val="TOC8"/>
        <w:rPr>
          <w:rFonts w:asciiTheme="minorHAnsi" w:eastAsiaTheme="minorEastAsia" w:hAnsiTheme="minorHAnsi" w:cstheme="minorBidi"/>
          <w:szCs w:val="22"/>
        </w:rPr>
      </w:pPr>
      <w:r>
        <w:t>59C.</w:t>
      </w:r>
      <w:r>
        <w:tab/>
        <w:t>Recognition of certain persons as tenants</w:t>
      </w:r>
      <w:r>
        <w:tab/>
      </w:r>
      <w:r>
        <w:fldChar w:fldCharType="begin"/>
      </w:r>
      <w:r>
        <w:instrText xml:space="preserve"> PAGEREF _Toc2160918 \h </w:instrText>
      </w:r>
      <w:r>
        <w:fldChar w:fldCharType="separate"/>
      </w:r>
      <w:r>
        <w:t>55</w:t>
      </w:r>
      <w:r>
        <w:fldChar w:fldCharType="end"/>
      </w:r>
    </w:p>
    <w:p>
      <w:pPr>
        <w:pStyle w:val="TOC8"/>
        <w:rPr>
          <w:rFonts w:asciiTheme="minorHAnsi" w:eastAsiaTheme="minorEastAsia" w:hAnsiTheme="minorHAnsi" w:cstheme="minorBidi"/>
          <w:szCs w:val="22"/>
        </w:rPr>
      </w:pPr>
      <w:r>
        <w:t>59D.</w:t>
      </w:r>
      <w:r>
        <w:tab/>
        <w:t>Tenant compensation bonds</w:t>
      </w:r>
      <w:r>
        <w:tab/>
      </w:r>
      <w:r>
        <w:fldChar w:fldCharType="begin"/>
      </w:r>
      <w:r>
        <w:instrText xml:space="preserve"> PAGEREF _Toc2160919 \h </w:instrText>
      </w:r>
      <w:r>
        <w:fldChar w:fldCharType="separate"/>
      </w:r>
      <w:r>
        <w:t>56</w:t>
      </w:r>
      <w:r>
        <w:fldChar w:fldCharType="end"/>
      </w:r>
    </w:p>
    <w:p>
      <w:pPr>
        <w:pStyle w:val="TOC8"/>
        <w:rPr>
          <w:rFonts w:asciiTheme="minorHAnsi" w:eastAsiaTheme="minorEastAsia" w:hAnsiTheme="minorHAnsi" w:cstheme="minorBidi"/>
          <w:szCs w:val="22"/>
        </w:rPr>
      </w:pPr>
      <w:r>
        <w:t>59E.</w:t>
      </w:r>
      <w:r>
        <w:tab/>
      </w:r>
      <w:r>
        <w:rPr>
          <w:snapToGrid w:val="0"/>
        </w:rPr>
        <w:t>Interference with quiet enjoyment</w:t>
      </w:r>
      <w:r>
        <w:tab/>
      </w:r>
      <w:r>
        <w:fldChar w:fldCharType="begin"/>
      </w:r>
      <w:r>
        <w:instrText xml:space="preserve"> PAGEREF _Toc2160920 \h </w:instrText>
      </w:r>
      <w:r>
        <w:fldChar w:fldCharType="separate"/>
      </w:r>
      <w:r>
        <w:t>57</w:t>
      </w:r>
      <w:r>
        <w:fldChar w:fldCharType="end"/>
      </w:r>
    </w:p>
    <w:p>
      <w:pPr>
        <w:pStyle w:val="TOC8"/>
        <w:rPr>
          <w:rFonts w:asciiTheme="minorHAnsi" w:eastAsiaTheme="minorEastAsia" w:hAnsiTheme="minorHAnsi" w:cstheme="minorBidi"/>
          <w:szCs w:val="22"/>
        </w:rPr>
      </w:pPr>
      <w:r>
        <w:t>59F.</w:t>
      </w:r>
      <w:r>
        <w:tab/>
      </w:r>
      <w:r>
        <w:rPr>
          <w:snapToGrid w:val="0"/>
        </w:rPr>
        <w:t>Offences relating to security of residential premises</w:t>
      </w:r>
      <w:r>
        <w:tab/>
      </w:r>
      <w:r>
        <w:fldChar w:fldCharType="begin"/>
      </w:r>
      <w:r>
        <w:instrText xml:space="preserve"> PAGEREF _Toc2160921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V — Termination of residential tenancy agreements</w:t>
      </w:r>
    </w:p>
    <w:p>
      <w:pPr>
        <w:pStyle w:val="TOC4"/>
        <w:tabs>
          <w:tab w:val="right" w:leader="dot" w:pos="7077"/>
        </w:tabs>
        <w:rPr>
          <w:rFonts w:asciiTheme="minorHAnsi" w:eastAsiaTheme="minorEastAsia" w:hAnsiTheme="minorHAnsi" w:cstheme="minorBidi"/>
          <w:b w:val="0"/>
          <w:szCs w:val="22"/>
        </w:rPr>
      </w:pPr>
      <w:r>
        <w:t>Division 1 — How residential tenancy agreements are terminated</w:t>
      </w:r>
    </w:p>
    <w:p>
      <w:pPr>
        <w:pStyle w:val="TOC8"/>
        <w:rPr>
          <w:rFonts w:asciiTheme="minorHAnsi" w:eastAsiaTheme="minorEastAsia" w:hAnsiTheme="minorHAnsi" w:cstheme="minorBidi"/>
          <w:szCs w:val="22"/>
        </w:rPr>
      </w:pPr>
      <w:r>
        <w:t>60</w:t>
      </w:r>
      <w:r>
        <w:rPr>
          <w:snapToGrid w:val="0"/>
        </w:rPr>
        <w:t>.</w:t>
      </w:r>
      <w:r>
        <w:rPr>
          <w:snapToGrid w:val="0"/>
        </w:rPr>
        <w:tab/>
        <w:t>How residential tenancy agreements are terminated</w:t>
      </w:r>
      <w:r>
        <w:tab/>
      </w:r>
      <w:r>
        <w:fldChar w:fldCharType="begin"/>
      </w:r>
      <w:r>
        <w:instrText xml:space="preserve"> PAGEREF _Toc2160924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Notices of termination</w:t>
      </w:r>
    </w:p>
    <w:p>
      <w:pPr>
        <w:pStyle w:val="TOC8"/>
        <w:rPr>
          <w:rFonts w:asciiTheme="minorHAnsi" w:eastAsiaTheme="minorEastAsia" w:hAnsiTheme="minorHAnsi" w:cstheme="minorBidi"/>
          <w:szCs w:val="22"/>
        </w:rPr>
      </w:pPr>
      <w:r>
        <w:t>61.</w:t>
      </w:r>
      <w:r>
        <w:tab/>
        <w:t>Form of notice of termination by lessor</w:t>
      </w:r>
      <w:r>
        <w:tab/>
      </w:r>
      <w:r>
        <w:fldChar w:fldCharType="begin"/>
      </w:r>
      <w:r>
        <w:instrText xml:space="preserve"> PAGEREF _Toc2160926 \h </w:instrText>
      </w:r>
      <w:r>
        <w:fldChar w:fldCharType="separate"/>
      </w:r>
      <w:r>
        <w:t>60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of termination by lessor upon ground of breach of term of agreement</w:t>
      </w:r>
      <w:r>
        <w:tab/>
      </w:r>
      <w:r>
        <w:fldChar w:fldCharType="begin"/>
      </w:r>
      <w:r>
        <w:instrText xml:space="preserve"> PAGEREF _Toc2160927 \h </w:instrText>
      </w:r>
      <w:r>
        <w:fldChar w:fldCharType="separate"/>
      </w:r>
      <w:r>
        <w:t>61</w:t>
      </w:r>
      <w:r>
        <w:fldChar w:fldCharType="end"/>
      </w:r>
    </w:p>
    <w:p>
      <w:pPr>
        <w:pStyle w:val="TOC8"/>
        <w:rPr>
          <w:rFonts w:asciiTheme="minorHAnsi" w:eastAsiaTheme="minorEastAsia" w:hAnsiTheme="minorHAnsi" w:cstheme="minorBidi"/>
          <w:szCs w:val="22"/>
        </w:rPr>
      </w:pPr>
      <w:r>
        <w:t>63.</w:t>
      </w:r>
      <w:r>
        <w:tab/>
        <w:t>Notice of termination by lessor who has entered into contract of sale</w:t>
      </w:r>
      <w:r>
        <w:tab/>
      </w:r>
      <w:r>
        <w:fldChar w:fldCharType="begin"/>
      </w:r>
      <w:r>
        <w:instrText xml:space="preserve"> PAGEREF _Toc2160928 \h </w:instrText>
      </w:r>
      <w:r>
        <w:fldChar w:fldCharType="separate"/>
      </w:r>
      <w:r>
        <w:t>62</w:t>
      </w:r>
      <w:r>
        <w:fldChar w:fldCharType="end"/>
      </w:r>
    </w:p>
    <w:p>
      <w:pPr>
        <w:pStyle w:val="TOC8"/>
        <w:rPr>
          <w:rFonts w:asciiTheme="minorHAnsi" w:eastAsiaTheme="minorEastAsia" w:hAnsiTheme="minorHAnsi" w:cstheme="minorBidi"/>
          <w:szCs w:val="22"/>
        </w:rPr>
      </w:pPr>
      <w:r>
        <w:t>64.</w:t>
      </w:r>
      <w:r>
        <w:tab/>
        <w:t>Notice of termination by lessor without any ground</w:t>
      </w:r>
      <w:r>
        <w:tab/>
      </w:r>
      <w:r>
        <w:fldChar w:fldCharType="begin"/>
      </w:r>
      <w:r>
        <w:instrText xml:space="preserve"> PAGEREF _Toc2160929 \h </w:instrText>
      </w:r>
      <w:r>
        <w:fldChar w:fldCharType="separate"/>
      </w:r>
      <w:r>
        <w:t>63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Termination by lessor where s. 32 invoked</w:t>
      </w:r>
      <w:r>
        <w:tab/>
      </w:r>
      <w:r>
        <w:fldChar w:fldCharType="begin"/>
      </w:r>
      <w:r>
        <w:instrText xml:space="preserve"> PAGEREF _Toc2160930 \h </w:instrText>
      </w:r>
      <w:r>
        <w:fldChar w:fldCharType="separate"/>
      </w:r>
      <w:r>
        <w:t>64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by lessor not waived by acceptance of rent</w:t>
      </w:r>
      <w:r>
        <w:tab/>
      </w:r>
      <w:r>
        <w:fldChar w:fldCharType="begin"/>
      </w:r>
      <w:r>
        <w:instrText xml:space="preserve"> PAGEREF _Toc2160931 \h </w:instrText>
      </w:r>
      <w:r>
        <w:fldChar w:fldCharType="separate"/>
      </w:r>
      <w:r>
        <w:t>65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Form of notice of termination by tenant</w:t>
      </w:r>
      <w:r>
        <w:tab/>
      </w:r>
      <w:r>
        <w:fldChar w:fldCharType="begin"/>
      </w:r>
      <w:r>
        <w:instrText xml:space="preserve"> PAGEREF _Toc2160932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Notice of termination by tenant</w:t>
      </w:r>
      <w:r>
        <w:tab/>
      </w:r>
      <w:r>
        <w:fldChar w:fldCharType="begin"/>
      </w:r>
      <w:r>
        <w:instrText xml:space="preserve"> PAGEREF _Toc2160933 \h </w:instrText>
      </w:r>
      <w:r>
        <w:fldChar w:fldCharType="separate"/>
      </w:r>
      <w:r>
        <w:t>65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Notice of termination by lessor or tenant where agreement frustrated</w:t>
      </w:r>
      <w:r>
        <w:tab/>
      </w:r>
      <w:r>
        <w:fldChar w:fldCharType="begin"/>
      </w:r>
      <w:r>
        <w:instrText xml:space="preserve"> PAGEREF _Toc2160934 \h </w:instrText>
      </w:r>
      <w:r>
        <w:fldChar w:fldCharType="separate"/>
      </w:r>
      <w:r>
        <w:t>66</w:t>
      </w:r>
      <w:r>
        <w:fldChar w:fldCharType="end"/>
      </w:r>
    </w:p>
    <w:p>
      <w:pPr>
        <w:pStyle w:val="TOC8"/>
        <w:rPr>
          <w:rFonts w:asciiTheme="minorHAnsi" w:eastAsiaTheme="minorEastAsia" w:hAnsiTheme="minorHAnsi" w:cstheme="minorBidi"/>
          <w:szCs w:val="22"/>
        </w:rPr>
      </w:pPr>
      <w:r>
        <w:t>70A.</w:t>
      </w:r>
      <w:r>
        <w:tab/>
        <w:t>Notice of termination by lessor or tenant at end of fixed term tenancy</w:t>
      </w:r>
      <w:r>
        <w:tab/>
      </w:r>
      <w:r>
        <w:fldChar w:fldCharType="begin"/>
      </w:r>
      <w:r>
        <w:instrText xml:space="preserve"> PAGEREF _Toc2160935 \h </w:instrText>
      </w:r>
      <w:r>
        <w:fldChar w:fldCharType="separate"/>
      </w:r>
      <w:r>
        <w:t>66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Effect of notice of termination of periodic tenancy</w:t>
      </w:r>
      <w:r>
        <w:tab/>
      </w:r>
      <w:r>
        <w:fldChar w:fldCharType="begin"/>
      </w:r>
      <w:r>
        <w:instrText xml:space="preserve"> PAGEREF _Toc2160936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Special provisions about terminating social housing tenancy agreements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71A.</w:t>
      </w:r>
      <w:r>
        <w:tab/>
        <w:t>Terms used</w:t>
      </w:r>
      <w:r>
        <w:tab/>
      </w:r>
      <w:r>
        <w:fldChar w:fldCharType="begin"/>
      </w:r>
      <w:r>
        <w:instrText xml:space="preserve"> PAGEREF _Toc2160939 \h </w:instrText>
      </w:r>
      <w:r>
        <w:fldChar w:fldCharType="separate"/>
      </w:r>
      <w:r>
        <w:t>68</w:t>
      </w:r>
      <w:r>
        <w:fldChar w:fldCharType="end"/>
      </w:r>
    </w:p>
    <w:p>
      <w:pPr>
        <w:pStyle w:val="TOC8"/>
        <w:rPr>
          <w:rFonts w:asciiTheme="minorHAnsi" w:eastAsiaTheme="minorEastAsia" w:hAnsiTheme="minorHAnsi" w:cstheme="minorBidi"/>
          <w:szCs w:val="22"/>
        </w:rPr>
      </w:pPr>
      <w:r>
        <w:t>71B.</w:t>
      </w:r>
      <w:r>
        <w:tab/>
        <w:t>Application of Division</w:t>
      </w:r>
      <w:r>
        <w:tab/>
      </w:r>
      <w:r>
        <w:fldChar w:fldCharType="begin"/>
      </w:r>
      <w:r>
        <w:instrText xml:space="preserve"> PAGEREF _Toc2160940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Notice of termination where tenant not eligible for social housing premises</w:t>
      </w:r>
    </w:p>
    <w:p>
      <w:pPr>
        <w:pStyle w:val="TOC8"/>
        <w:rPr>
          <w:rFonts w:asciiTheme="minorHAnsi" w:eastAsiaTheme="minorEastAsia" w:hAnsiTheme="minorHAnsi" w:cstheme="minorBidi"/>
          <w:szCs w:val="22"/>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_Toc2160942 \h </w:instrText>
      </w:r>
      <w:r>
        <w:fldChar w:fldCharType="separate"/>
      </w:r>
      <w:r>
        <w:t>69</w:t>
      </w:r>
      <w:r>
        <w:fldChar w:fldCharType="end"/>
      </w:r>
    </w:p>
    <w:p>
      <w:pPr>
        <w:pStyle w:val="TOC8"/>
        <w:rPr>
          <w:rFonts w:asciiTheme="minorHAnsi" w:eastAsiaTheme="minorEastAsia" w:hAnsiTheme="minorHAnsi" w:cstheme="minorBidi"/>
          <w:szCs w:val="22"/>
        </w:rPr>
      </w:pPr>
      <w:r>
        <w:t>71D.</w:t>
      </w:r>
      <w:r>
        <w:tab/>
        <w:t>Assessment of tenants eligibility for social housing premises</w:t>
      </w:r>
      <w:r>
        <w:tab/>
      </w:r>
      <w:r>
        <w:fldChar w:fldCharType="begin"/>
      </w:r>
      <w:r>
        <w:instrText xml:space="preserve"> PAGEREF _Toc2160943 \h </w:instrText>
      </w:r>
      <w:r>
        <w:fldChar w:fldCharType="separate"/>
      </w:r>
      <w:r>
        <w:t>69</w:t>
      </w:r>
      <w:r>
        <w:fldChar w:fldCharType="end"/>
      </w:r>
    </w:p>
    <w:p>
      <w:pPr>
        <w:pStyle w:val="TOC8"/>
        <w:rPr>
          <w:rFonts w:asciiTheme="minorHAnsi" w:eastAsiaTheme="minorEastAsia" w:hAnsiTheme="minorHAnsi" w:cstheme="minorBidi"/>
          <w:szCs w:val="22"/>
        </w:rPr>
      </w:pPr>
      <w:r>
        <w:t>71E.</w:t>
      </w:r>
      <w:r>
        <w:tab/>
        <w:t>Criteria for assessing eligibility of tenants for social housing premises under s. 71D</w:t>
      </w:r>
      <w:r>
        <w:tab/>
      </w:r>
      <w:r>
        <w:fldChar w:fldCharType="begin"/>
      </w:r>
      <w:r>
        <w:instrText xml:space="preserve"> PAGEREF _Toc2160944 \h </w:instrText>
      </w:r>
      <w:r>
        <w:fldChar w:fldCharType="separate"/>
      </w:r>
      <w:r>
        <w:t>70</w:t>
      </w:r>
      <w:r>
        <w:fldChar w:fldCharType="end"/>
      </w:r>
    </w:p>
    <w:p>
      <w:pPr>
        <w:pStyle w:val="TOC8"/>
        <w:rPr>
          <w:rFonts w:asciiTheme="minorHAnsi" w:eastAsiaTheme="minorEastAsia" w:hAnsiTheme="minorHAnsi" w:cstheme="minorBidi"/>
          <w:szCs w:val="22"/>
        </w:rPr>
      </w:pPr>
      <w:r>
        <w:t>71F.</w:t>
      </w:r>
      <w:r>
        <w:tab/>
        <w:t>Review of decision to give notice on ground that tenant not eligible for social housing premises</w:t>
      </w:r>
      <w:r>
        <w:tab/>
      </w:r>
      <w:r>
        <w:fldChar w:fldCharType="begin"/>
      </w:r>
      <w:r>
        <w:instrText xml:space="preserve"> PAGEREF _Toc2160945 \h </w:instrText>
      </w:r>
      <w:r>
        <w:fldChar w:fldCharType="separate"/>
      </w:r>
      <w:r>
        <w:t>71</w:t>
      </w:r>
      <w:r>
        <w:fldChar w:fldCharType="end"/>
      </w:r>
    </w:p>
    <w:p>
      <w:pPr>
        <w:pStyle w:val="TOC8"/>
        <w:rPr>
          <w:rFonts w:asciiTheme="minorHAnsi" w:eastAsiaTheme="minorEastAsia" w:hAnsiTheme="minorHAnsi" w:cstheme="minorBidi"/>
          <w:szCs w:val="22"/>
        </w:rPr>
      </w:pPr>
      <w:r>
        <w:t>71G.</w:t>
      </w:r>
      <w:r>
        <w:tab/>
        <w:t xml:space="preserve">Time </w:t>
      </w:r>
      <w:r>
        <w:rPr>
          <w:snapToGrid w:val="0"/>
        </w:rPr>
        <w:t>periods to be observed where notice of termination given under this Subdivision</w:t>
      </w:r>
      <w:r>
        <w:tab/>
      </w:r>
      <w:r>
        <w:fldChar w:fldCharType="begin"/>
      </w:r>
      <w:r>
        <w:instrText xml:space="preserve"> PAGEREF _Toc2160946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termination where tenant offered alternative social housing premises</w:t>
      </w:r>
    </w:p>
    <w:p>
      <w:pPr>
        <w:pStyle w:val="TOC8"/>
        <w:rPr>
          <w:rFonts w:asciiTheme="minorHAnsi" w:eastAsiaTheme="minorEastAsia" w:hAnsiTheme="minorHAnsi" w:cstheme="minorBidi"/>
          <w:szCs w:val="22"/>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_Toc2160948 \h </w:instrText>
      </w:r>
      <w:r>
        <w:fldChar w:fldCharType="separate"/>
      </w:r>
      <w:r>
        <w:t>72</w:t>
      </w:r>
      <w:r>
        <w:fldChar w:fldCharType="end"/>
      </w:r>
    </w:p>
    <w:p>
      <w:pPr>
        <w:pStyle w:val="TOC8"/>
        <w:rPr>
          <w:rFonts w:asciiTheme="minorHAnsi" w:eastAsiaTheme="minorEastAsia" w:hAnsiTheme="minorHAnsi" w:cstheme="minorBidi"/>
          <w:szCs w:val="22"/>
        </w:rPr>
      </w:pPr>
      <w:r>
        <w:t>71I.</w:t>
      </w:r>
      <w:r>
        <w:tab/>
        <w:t>Review of decision to give notice on ground that tenant offered alternative social housing premises</w:t>
      </w:r>
      <w:r>
        <w:tab/>
      </w:r>
      <w:r>
        <w:fldChar w:fldCharType="begin"/>
      </w:r>
      <w:r>
        <w:instrText xml:space="preserve"> PAGEREF _Toc2160949 \h </w:instrText>
      </w:r>
      <w:r>
        <w:fldChar w:fldCharType="separate"/>
      </w:r>
      <w:r>
        <w:t>73</w:t>
      </w:r>
      <w:r>
        <w:fldChar w:fldCharType="end"/>
      </w:r>
    </w:p>
    <w:p>
      <w:pPr>
        <w:pStyle w:val="TOC8"/>
        <w:rPr>
          <w:rFonts w:asciiTheme="minorHAnsi" w:eastAsiaTheme="minorEastAsia" w:hAnsiTheme="minorHAnsi" w:cstheme="minorBidi"/>
          <w:szCs w:val="22"/>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_Toc2160950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4 — Orders for termination of residential tenancy agreement</w:t>
      </w:r>
    </w:p>
    <w:p>
      <w:pPr>
        <w:pStyle w:val="TOC8"/>
        <w:rPr>
          <w:rFonts w:asciiTheme="minorHAnsi" w:eastAsiaTheme="minorEastAsia" w:hAnsiTheme="minorHAnsi" w:cstheme="minorBidi"/>
          <w:szCs w:val="22"/>
        </w:rPr>
      </w:pPr>
      <w:r>
        <w:t>71</w:t>
      </w:r>
      <w:r>
        <w:rPr>
          <w:snapToGrid w:val="0"/>
        </w:rPr>
        <w:t>.</w:t>
      </w:r>
      <w:r>
        <w:rPr>
          <w:snapToGrid w:val="0"/>
        </w:rPr>
        <w:tab/>
        <w:t>Application by lessor for termination and order for possession</w:t>
      </w:r>
      <w:r>
        <w:tab/>
      </w:r>
      <w:r>
        <w:fldChar w:fldCharType="begin"/>
      </w:r>
      <w:r>
        <w:instrText xml:space="preserve"> PAGEREF _Toc2160952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_Toc2160953 \h </w:instrText>
      </w:r>
      <w:r>
        <w:fldChar w:fldCharType="separate"/>
      </w:r>
      <w:r>
        <w:t>79</w:t>
      </w:r>
      <w:r>
        <w:fldChar w:fldCharType="end"/>
      </w:r>
    </w:p>
    <w:p>
      <w:pPr>
        <w:pStyle w:val="TOC8"/>
        <w:rPr>
          <w:rFonts w:asciiTheme="minorHAnsi" w:eastAsiaTheme="minorEastAsia" w:hAnsiTheme="minorHAnsi" w:cstheme="minorBidi"/>
          <w:szCs w:val="22"/>
        </w:rPr>
      </w:pPr>
      <w:r>
        <w:t>73A.</w:t>
      </w:r>
      <w:r>
        <w:tab/>
        <w:t>Notice of termination not required in certain cases</w:t>
      </w:r>
      <w:r>
        <w:tab/>
      </w:r>
      <w:r>
        <w:fldChar w:fldCharType="begin"/>
      </w:r>
      <w:r>
        <w:instrText xml:space="preserve"> PAGEREF _Toc2160954 \h </w:instrText>
      </w:r>
      <w:r>
        <w:fldChar w:fldCharType="separate"/>
      </w:r>
      <w:r>
        <w:t>80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Termination of agreement where tenant causing serious damage or injury</w:t>
      </w:r>
      <w:r>
        <w:tab/>
      </w:r>
      <w:r>
        <w:fldChar w:fldCharType="begin"/>
      </w:r>
      <w:r>
        <w:instrText xml:space="preserve"> PAGEREF _Toc2160955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Termination of agreement where lessor or tenant would otherwise suffer undue hardship</w:t>
      </w:r>
      <w:r>
        <w:tab/>
      </w:r>
      <w:r>
        <w:fldChar w:fldCharType="begin"/>
      </w:r>
      <w:r>
        <w:instrText xml:space="preserve"> PAGEREF _Toc2160956 \h </w:instrText>
      </w:r>
      <w:r>
        <w:fldChar w:fldCharType="separate"/>
      </w:r>
      <w:r>
        <w:t>81</w:t>
      </w:r>
      <w:r>
        <w:fldChar w:fldCharType="end"/>
      </w:r>
    </w:p>
    <w:p>
      <w:pPr>
        <w:pStyle w:val="TOC8"/>
        <w:rPr>
          <w:rFonts w:asciiTheme="minorHAnsi" w:eastAsiaTheme="minorEastAsia" w:hAnsiTheme="minorHAnsi" w:cstheme="minorBidi"/>
          <w:szCs w:val="22"/>
        </w:rPr>
      </w:pPr>
      <w:r>
        <w:t>75A.</w:t>
      </w:r>
      <w:r>
        <w:tab/>
        <w:t>Termination of social housing tenancy agreement due to objectionable behaviour</w:t>
      </w:r>
      <w:r>
        <w:tab/>
      </w:r>
      <w:r>
        <w:fldChar w:fldCharType="begin"/>
      </w:r>
      <w:r>
        <w:instrText xml:space="preserve"> PAGEREF _Toc2160957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Termination of agreement for breach by lessor</w:t>
      </w:r>
      <w:r>
        <w:tab/>
      </w:r>
      <w:r>
        <w:fldChar w:fldCharType="begin"/>
      </w:r>
      <w:r>
        <w:instrText xml:space="preserve"> PAGEREF _Toc2160958 \h </w:instrText>
      </w:r>
      <w:r>
        <w:fldChar w:fldCharType="separate"/>
      </w:r>
      <w:r>
        <w:t>82</w:t>
      </w:r>
      <w:r>
        <w:fldChar w:fldCharType="end"/>
      </w:r>
    </w:p>
    <w:p>
      <w:pPr>
        <w:pStyle w:val="TOC8"/>
        <w:rPr>
          <w:rFonts w:asciiTheme="minorHAnsi" w:eastAsiaTheme="minorEastAsia" w:hAnsiTheme="minorHAnsi" w:cstheme="minorBidi"/>
          <w:szCs w:val="22"/>
        </w:rPr>
      </w:pPr>
      <w:r>
        <w:t>76A.</w:t>
      </w:r>
      <w:r>
        <w:tab/>
        <w:t>Termination of agreement by lessor if premises abandoned</w:t>
      </w:r>
      <w:r>
        <w:tab/>
      </w:r>
      <w:r>
        <w:fldChar w:fldCharType="begin"/>
      </w:r>
      <w:r>
        <w:instrText xml:space="preserve"> PAGEREF _Toc2160959 \h </w:instrText>
      </w:r>
      <w:r>
        <w:fldChar w:fldCharType="separate"/>
      </w:r>
      <w:r>
        <w:t>83</w:t>
      </w:r>
      <w:r>
        <w:fldChar w:fldCharType="end"/>
      </w:r>
    </w:p>
    <w:p>
      <w:pPr>
        <w:pStyle w:val="TOC8"/>
        <w:rPr>
          <w:rFonts w:asciiTheme="minorHAnsi" w:eastAsiaTheme="minorEastAsia" w:hAnsiTheme="minorHAnsi" w:cstheme="minorBidi"/>
          <w:szCs w:val="22"/>
        </w:rPr>
      </w:pPr>
      <w:r>
        <w:t>76B.</w:t>
      </w:r>
      <w:r>
        <w:tab/>
        <w:t>Dispute about s. 76A notice</w:t>
      </w:r>
      <w:r>
        <w:tab/>
      </w:r>
      <w:r>
        <w:fldChar w:fldCharType="begin"/>
      </w:r>
      <w:r>
        <w:instrText xml:space="preserve"> PAGEREF _Toc2160960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76C.</w:t>
      </w:r>
      <w:r>
        <w:tab/>
        <w:t>Fixed term tenancies continued as periodic tenancies</w:t>
      </w:r>
      <w:r>
        <w:tab/>
      </w:r>
      <w:r>
        <w:fldChar w:fldCharType="begin"/>
      </w:r>
      <w:r>
        <w:instrText xml:space="preserve"> PAGEREF _Toc2160962 \h </w:instrText>
      </w:r>
      <w:r>
        <w:fldChar w:fldCharType="separate"/>
      </w:r>
      <w:r>
        <w:t>84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Compensation to lessor for holding over</w:t>
      </w:r>
      <w:r>
        <w:tab/>
      </w:r>
      <w:r>
        <w:fldChar w:fldCharType="begin"/>
      </w:r>
      <w:r>
        <w:instrText xml:space="preserve"> PAGEREF _Toc2160963 \h </w:instrText>
      </w:r>
      <w:r>
        <w:fldChar w:fldCharType="separate"/>
      </w:r>
      <w:r>
        <w:t>84</w:t>
      </w:r>
      <w:r>
        <w:fldChar w:fldCharType="end"/>
      </w:r>
    </w:p>
    <w:p>
      <w:pPr>
        <w:pStyle w:val="TOC8"/>
        <w:rPr>
          <w:rFonts w:asciiTheme="minorHAnsi" w:eastAsiaTheme="minorEastAsia" w:hAnsiTheme="minorHAnsi" w:cstheme="minorBidi"/>
          <w:szCs w:val="22"/>
        </w:rPr>
      </w:pPr>
      <w:r>
        <w:t>77.</w:t>
      </w:r>
      <w:r>
        <w:tab/>
        <w:t>Abandonment of premises</w:t>
      </w:r>
      <w:r>
        <w:tab/>
      </w:r>
      <w:r>
        <w:fldChar w:fldCharType="begin"/>
      </w:r>
      <w:r>
        <w:instrText xml:space="preserve"> PAGEREF _Toc2160964 \h </w:instrText>
      </w:r>
      <w:r>
        <w:fldChar w:fldCharType="separate"/>
      </w:r>
      <w:r>
        <w:t>85</w:t>
      </w:r>
      <w:r>
        <w:fldChar w:fldCharType="end"/>
      </w:r>
    </w:p>
    <w:p>
      <w:pPr>
        <w:pStyle w:val="TOC8"/>
        <w:rPr>
          <w:rFonts w:asciiTheme="minorHAnsi" w:eastAsiaTheme="minorEastAsia" w:hAnsiTheme="minorHAnsi" w:cstheme="minorBidi"/>
          <w:szCs w:val="22"/>
        </w:rPr>
      </w:pPr>
      <w:r>
        <w:t>78A.</w:t>
      </w:r>
      <w:r>
        <w:tab/>
        <w:t>Order about abandonment</w:t>
      </w:r>
      <w:r>
        <w:tab/>
      </w:r>
      <w:r>
        <w:fldChar w:fldCharType="begin"/>
      </w:r>
      <w:r>
        <w:instrText xml:space="preserve"> PAGEREF _Toc2160965 \h </w:instrText>
      </w:r>
      <w:r>
        <w:fldChar w:fldCharType="separate"/>
      </w:r>
      <w:r>
        <w:t>86</w:t>
      </w:r>
      <w:r>
        <w:fldChar w:fldCharType="end"/>
      </w:r>
    </w:p>
    <w:p>
      <w:pPr>
        <w:pStyle w:val="TOC8"/>
        <w:rPr>
          <w:rFonts w:asciiTheme="minorHAnsi" w:eastAsiaTheme="minorEastAsia" w:hAnsiTheme="minorHAnsi" w:cstheme="minorBidi"/>
          <w:szCs w:val="22"/>
        </w:rPr>
      </w:pPr>
      <w:r>
        <w:t>78B.</w:t>
      </w:r>
      <w:r>
        <w:tab/>
        <w:t>Review of abandonment order</w:t>
      </w:r>
      <w:r>
        <w:tab/>
      </w:r>
      <w:r>
        <w:fldChar w:fldCharType="begin"/>
      </w:r>
      <w:r>
        <w:instrText xml:space="preserve"> PAGEREF _Toc2160966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r>
      <w:r>
        <w:rPr>
          <w:bCs/>
        </w:rPr>
        <w:t>Right of lessor to compensation where tenant abandons premises</w:t>
      </w:r>
      <w:r>
        <w:tab/>
      </w:r>
      <w:r>
        <w:fldChar w:fldCharType="begin"/>
      </w:r>
      <w:r>
        <w:instrText xml:space="preserve"> PAGEREF _Toc2160967 \h </w:instrText>
      </w:r>
      <w:r>
        <w:fldChar w:fldCharType="separate"/>
      </w:r>
      <w:r>
        <w:t>87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Abandoned goods</w:t>
      </w:r>
      <w:r>
        <w:tab/>
      </w:r>
      <w:r>
        <w:fldChar w:fldCharType="begin"/>
      </w:r>
      <w:r>
        <w:instrText xml:space="preserve"> PAGEREF _Toc2160968 \h </w:instrText>
      </w:r>
      <w:r>
        <w:fldChar w:fldCharType="separate"/>
      </w:r>
      <w:r>
        <w:t>87</w:t>
      </w:r>
      <w:r>
        <w:fldChar w:fldCharType="end"/>
      </w:r>
    </w:p>
    <w:p>
      <w:pPr>
        <w:pStyle w:val="TOC8"/>
        <w:rPr>
          <w:rFonts w:asciiTheme="minorHAnsi" w:eastAsiaTheme="minorEastAsia" w:hAnsiTheme="minorHAnsi" w:cstheme="minorBidi"/>
          <w:szCs w:val="22"/>
        </w:rPr>
      </w:pPr>
      <w:r>
        <w:t>80A.</w:t>
      </w:r>
      <w:r>
        <w:tab/>
        <w:t>Abandoned documents</w:t>
      </w:r>
      <w:r>
        <w:tab/>
      </w:r>
      <w:r>
        <w:fldChar w:fldCharType="begin"/>
      </w:r>
      <w:r>
        <w:instrText xml:space="preserve"> PAGEREF _Toc2160969 \h </w:instrText>
      </w:r>
      <w:r>
        <w:fldChar w:fldCharType="separate"/>
      </w:r>
      <w:r>
        <w:t>91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Recovery of possession of premises prohibited except by court order</w:t>
      </w:r>
      <w:r>
        <w:tab/>
      </w:r>
      <w:r>
        <w:fldChar w:fldCharType="begin"/>
      </w:r>
      <w:r>
        <w:instrText xml:space="preserve"> PAGEREF _Toc2160970 \h </w:instrText>
      </w:r>
      <w:r>
        <w:fldChar w:fldCharType="separate"/>
      </w:r>
      <w:r>
        <w:t>92</w:t>
      </w:r>
      <w:r>
        <w:fldChar w:fldCharType="end"/>
      </w:r>
    </w:p>
    <w:p>
      <w:pPr>
        <w:pStyle w:val="TOC8"/>
        <w:rPr>
          <w:rFonts w:asciiTheme="minorHAnsi" w:eastAsiaTheme="minorEastAsia" w:hAnsiTheme="minorHAnsi" w:cstheme="minorBidi"/>
          <w:szCs w:val="22"/>
        </w:rPr>
      </w:pPr>
      <w:r>
        <w:t>81A.</w:t>
      </w:r>
      <w:r>
        <w:tab/>
        <w:t>Mortgagee repossessions of rented properties</w:t>
      </w:r>
      <w:r>
        <w:tab/>
      </w:r>
      <w:r>
        <w:fldChar w:fldCharType="begin"/>
      </w:r>
      <w:r>
        <w:instrText xml:space="preserve"> PAGEREF _Toc2160971 \h </w:instrText>
      </w:r>
      <w:r>
        <w:fldChar w:fldCharType="separate"/>
      </w:r>
      <w:r>
        <w:t>93</w:t>
      </w:r>
      <w:r>
        <w:fldChar w:fldCharType="end"/>
      </w:r>
    </w:p>
    <w:p>
      <w:pPr>
        <w:pStyle w:val="TOC8"/>
        <w:rPr>
          <w:rFonts w:asciiTheme="minorHAnsi" w:eastAsiaTheme="minorEastAsia" w:hAnsiTheme="minorHAnsi" w:cstheme="minorBidi"/>
          <w:szCs w:val="22"/>
        </w:rPr>
      </w:pPr>
      <w:r>
        <w:t>81B.</w:t>
      </w:r>
      <w:r>
        <w:tab/>
        <w:t>Notice of proposed recovery of premises by person with superior title</w:t>
      </w:r>
      <w:r>
        <w:tab/>
      </w:r>
      <w:r>
        <w:fldChar w:fldCharType="begin"/>
      </w:r>
      <w:r>
        <w:instrText xml:space="preserve"> PAGEREF _Toc2160972 \h </w:instrText>
      </w:r>
      <w:r>
        <w:fldChar w:fldCharType="separate"/>
      </w:r>
      <w:r>
        <w:t>94</w:t>
      </w:r>
      <w:r>
        <w:fldChar w:fldCharType="end"/>
      </w:r>
    </w:p>
    <w:p>
      <w:pPr>
        <w:pStyle w:val="TOC8"/>
        <w:rPr>
          <w:rFonts w:asciiTheme="minorHAnsi" w:eastAsiaTheme="minorEastAsia" w:hAnsiTheme="minorHAnsi" w:cstheme="minorBidi"/>
          <w:szCs w:val="22"/>
        </w:rPr>
      </w:pPr>
      <w:r>
        <w:t>81.</w:t>
      </w:r>
      <w:r>
        <w:tab/>
        <w:t>Order for tenancy against person with superior title</w:t>
      </w:r>
      <w:r>
        <w:tab/>
      </w:r>
      <w:r>
        <w:fldChar w:fldCharType="begin"/>
      </w:r>
      <w:r>
        <w:instrText xml:space="preserve"> PAGEREF _Toc2160973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VIA — Residential tenancy databases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82A.</w:t>
      </w:r>
      <w:r>
        <w:tab/>
        <w:t>Terms used</w:t>
      </w:r>
      <w:r>
        <w:tab/>
      </w:r>
      <w:r>
        <w:fldChar w:fldCharType="begin"/>
      </w:r>
      <w:r>
        <w:instrText xml:space="preserve"> PAGEREF _Toc2160976 \h </w:instrText>
      </w:r>
      <w:r>
        <w:fldChar w:fldCharType="separate"/>
      </w:r>
      <w:r>
        <w:t>97</w:t>
      </w:r>
      <w:r>
        <w:fldChar w:fldCharType="end"/>
      </w:r>
    </w:p>
    <w:p>
      <w:pPr>
        <w:pStyle w:val="TOC8"/>
        <w:rPr>
          <w:rFonts w:asciiTheme="minorHAnsi" w:eastAsiaTheme="minorEastAsia" w:hAnsiTheme="minorHAnsi" w:cstheme="minorBidi"/>
          <w:szCs w:val="22"/>
        </w:rPr>
      </w:pPr>
      <w:r>
        <w:t>82B.</w:t>
      </w:r>
      <w:r>
        <w:tab/>
        <w:t>Application of Part</w:t>
      </w:r>
      <w:r>
        <w:tab/>
      </w:r>
      <w:r>
        <w:fldChar w:fldCharType="begin"/>
      </w:r>
      <w:r>
        <w:instrText xml:space="preserve"> PAGEREF _Toc2160977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Tenancy database information</w:t>
      </w:r>
    </w:p>
    <w:p>
      <w:pPr>
        <w:pStyle w:val="TOC8"/>
        <w:rPr>
          <w:rFonts w:asciiTheme="minorHAnsi" w:eastAsiaTheme="minorEastAsia" w:hAnsiTheme="minorHAnsi" w:cstheme="minorBidi"/>
          <w:szCs w:val="22"/>
        </w:rPr>
      </w:pPr>
      <w:r>
        <w:t>82C.</w:t>
      </w:r>
      <w:r>
        <w:tab/>
        <w:t>Notice of usual use of database</w:t>
      </w:r>
      <w:r>
        <w:tab/>
      </w:r>
      <w:r>
        <w:fldChar w:fldCharType="begin"/>
      </w:r>
      <w:r>
        <w:instrText xml:space="preserve"> PAGEREF _Toc2160979 \h </w:instrText>
      </w:r>
      <w:r>
        <w:fldChar w:fldCharType="separate"/>
      </w:r>
      <w:r>
        <w:t>99</w:t>
      </w:r>
      <w:r>
        <w:fldChar w:fldCharType="end"/>
      </w:r>
    </w:p>
    <w:p>
      <w:pPr>
        <w:pStyle w:val="TOC8"/>
        <w:rPr>
          <w:rFonts w:asciiTheme="minorHAnsi" w:eastAsiaTheme="minorEastAsia" w:hAnsiTheme="minorHAnsi" w:cstheme="minorBidi"/>
          <w:szCs w:val="22"/>
        </w:rPr>
      </w:pPr>
      <w:r>
        <w:t>82D.</w:t>
      </w:r>
      <w:r>
        <w:tab/>
        <w:t>Notice of listing if database used</w:t>
      </w:r>
      <w:r>
        <w:tab/>
      </w:r>
      <w:r>
        <w:fldChar w:fldCharType="begin"/>
      </w:r>
      <w:r>
        <w:instrText xml:space="preserve"> PAGEREF _Toc2160980 \h </w:instrText>
      </w:r>
      <w:r>
        <w:fldChar w:fldCharType="separate"/>
      </w:r>
      <w:r>
        <w:t>100</w:t>
      </w:r>
      <w:r>
        <w:fldChar w:fldCharType="end"/>
      </w:r>
    </w:p>
    <w:p>
      <w:pPr>
        <w:pStyle w:val="TOC8"/>
        <w:rPr>
          <w:rFonts w:asciiTheme="minorHAnsi" w:eastAsiaTheme="minorEastAsia" w:hAnsiTheme="minorHAnsi" w:cstheme="minorBidi"/>
          <w:szCs w:val="22"/>
        </w:rPr>
      </w:pPr>
      <w:r>
        <w:t>82E.</w:t>
      </w:r>
      <w:r>
        <w:tab/>
        <w:t>Listing can be made only for particular breaches by particular persons</w:t>
      </w:r>
      <w:r>
        <w:tab/>
      </w:r>
      <w:r>
        <w:fldChar w:fldCharType="begin"/>
      </w:r>
      <w:r>
        <w:instrText xml:space="preserve"> PAGEREF _Toc2160981 \h </w:instrText>
      </w:r>
      <w:r>
        <w:fldChar w:fldCharType="separate"/>
      </w:r>
      <w:r>
        <w:t>101</w:t>
      </w:r>
      <w:r>
        <w:fldChar w:fldCharType="end"/>
      </w:r>
    </w:p>
    <w:p>
      <w:pPr>
        <w:pStyle w:val="TOC8"/>
        <w:rPr>
          <w:rFonts w:asciiTheme="minorHAnsi" w:eastAsiaTheme="minorEastAsia" w:hAnsiTheme="minorHAnsi" w:cstheme="minorBidi"/>
          <w:szCs w:val="22"/>
        </w:rPr>
      </w:pPr>
      <w:r>
        <w:t>82F.</w:t>
      </w:r>
      <w:r>
        <w:tab/>
        <w:t>Further restriction on listing</w:t>
      </w:r>
      <w:r>
        <w:tab/>
      </w:r>
      <w:r>
        <w:fldChar w:fldCharType="begin"/>
      </w:r>
      <w:r>
        <w:instrText xml:space="preserve"> PAGEREF _Toc2160982 \h </w:instrText>
      </w:r>
      <w:r>
        <w:fldChar w:fldCharType="separate"/>
      </w:r>
      <w:r>
        <w:t>102</w:t>
      </w:r>
      <w:r>
        <w:fldChar w:fldCharType="end"/>
      </w:r>
    </w:p>
    <w:p>
      <w:pPr>
        <w:pStyle w:val="TOC8"/>
        <w:rPr>
          <w:rFonts w:asciiTheme="minorHAnsi" w:eastAsiaTheme="minorEastAsia" w:hAnsiTheme="minorHAnsi" w:cstheme="minorBidi"/>
          <w:szCs w:val="22"/>
        </w:rPr>
      </w:pPr>
      <w:r>
        <w:t>82G.</w:t>
      </w:r>
      <w:r>
        <w:tab/>
        <w:t>Ensuring quality of listing — lessor’s or agent’s obligation</w:t>
      </w:r>
      <w:r>
        <w:tab/>
      </w:r>
      <w:r>
        <w:fldChar w:fldCharType="begin"/>
      </w:r>
      <w:r>
        <w:instrText xml:space="preserve"> PAGEREF _Toc2160983 \h </w:instrText>
      </w:r>
      <w:r>
        <w:fldChar w:fldCharType="separate"/>
      </w:r>
      <w:r>
        <w:t>103</w:t>
      </w:r>
      <w:r>
        <w:fldChar w:fldCharType="end"/>
      </w:r>
    </w:p>
    <w:p>
      <w:pPr>
        <w:pStyle w:val="TOC8"/>
        <w:rPr>
          <w:rFonts w:asciiTheme="minorHAnsi" w:eastAsiaTheme="minorEastAsia" w:hAnsiTheme="minorHAnsi" w:cstheme="minorBidi"/>
          <w:szCs w:val="22"/>
        </w:rPr>
      </w:pPr>
      <w:r>
        <w:t>82H.</w:t>
      </w:r>
      <w:r>
        <w:tab/>
        <w:t>Ensuring quality of listing — database operator’s obligation</w:t>
      </w:r>
      <w:r>
        <w:tab/>
      </w:r>
      <w:r>
        <w:fldChar w:fldCharType="begin"/>
      </w:r>
      <w:r>
        <w:instrText xml:space="preserve"> PAGEREF _Toc2160984 \h </w:instrText>
      </w:r>
      <w:r>
        <w:fldChar w:fldCharType="separate"/>
      </w:r>
      <w:r>
        <w:t>103</w:t>
      </w:r>
      <w:r>
        <w:fldChar w:fldCharType="end"/>
      </w:r>
    </w:p>
    <w:p>
      <w:pPr>
        <w:pStyle w:val="TOC8"/>
        <w:rPr>
          <w:rFonts w:asciiTheme="minorHAnsi" w:eastAsiaTheme="minorEastAsia" w:hAnsiTheme="minorHAnsi" w:cstheme="minorBidi"/>
          <w:szCs w:val="22"/>
        </w:rPr>
      </w:pPr>
      <w:r>
        <w:t>82I.</w:t>
      </w:r>
      <w:r>
        <w:tab/>
        <w:t>Providing copy of personal information listed</w:t>
      </w:r>
      <w:r>
        <w:tab/>
      </w:r>
      <w:r>
        <w:fldChar w:fldCharType="begin"/>
      </w:r>
      <w:r>
        <w:instrText xml:space="preserve"> PAGEREF _Toc2160985 \h </w:instrText>
      </w:r>
      <w:r>
        <w:fldChar w:fldCharType="separate"/>
      </w:r>
      <w:r>
        <w:t>104</w:t>
      </w:r>
      <w:r>
        <w:fldChar w:fldCharType="end"/>
      </w:r>
    </w:p>
    <w:p>
      <w:pPr>
        <w:pStyle w:val="TOC8"/>
        <w:rPr>
          <w:rFonts w:asciiTheme="minorHAnsi" w:eastAsiaTheme="minorEastAsia" w:hAnsiTheme="minorHAnsi" w:cstheme="minorBidi"/>
          <w:szCs w:val="22"/>
        </w:rPr>
      </w:pPr>
      <w:r>
        <w:t>82J.</w:t>
      </w:r>
      <w:r>
        <w:tab/>
        <w:t>Disputes about listings</w:t>
      </w:r>
      <w:r>
        <w:tab/>
      </w:r>
      <w:r>
        <w:fldChar w:fldCharType="begin"/>
      </w:r>
      <w:r>
        <w:instrText xml:space="preserve"> PAGEREF _Toc2160986 \h </w:instrText>
      </w:r>
      <w:r>
        <w:fldChar w:fldCharType="separate"/>
      </w:r>
      <w:r>
        <w:t>104</w:t>
      </w:r>
      <w:r>
        <w:fldChar w:fldCharType="end"/>
      </w:r>
    </w:p>
    <w:p>
      <w:pPr>
        <w:pStyle w:val="TOC8"/>
        <w:rPr>
          <w:rFonts w:asciiTheme="minorHAnsi" w:eastAsiaTheme="minorEastAsia" w:hAnsiTheme="minorHAnsi" w:cstheme="minorBidi"/>
          <w:szCs w:val="22"/>
        </w:rPr>
      </w:pPr>
      <w:r>
        <w:t>82K.</w:t>
      </w:r>
      <w:r>
        <w:tab/>
        <w:t>Keeping personal information listed</w:t>
      </w:r>
      <w:r>
        <w:tab/>
      </w:r>
      <w:r>
        <w:fldChar w:fldCharType="begin"/>
      </w:r>
      <w:r>
        <w:instrText xml:space="preserve"> PAGEREF _Toc2160987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Contracting out</w:t>
      </w:r>
      <w:r>
        <w:tab/>
      </w:r>
      <w:r>
        <w:fldChar w:fldCharType="begin"/>
      </w:r>
      <w:r>
        <w:instrText xml:space="preserve"> PAGEREF _Toc2160989 \h </w:instrText>
      </w:r>
      <w:r>
        <w:fldChar w:fldCharType="separate"/>
      </w:r>
      <w:r>
        <w:t>107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Recovery of amounts paid under mistake of law or fact</w:t>
      </w:r>
      <w:r>
        <w:tab/>
      </w:r>
      <w:r>
        <w:fldChar w:fldCharType="begin"/>
      </w:r>
      <w:r>
        <w:instrText xml:space="preserve"> PAGEREF _Toc2160990 \h </w:instrText>
      </w:r>
      <w:r>
        <w:fldChar w:fldCharType="separate"/>
      </w:r>
      <w:r>
        <w:t>107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Exemption of tenancy agreement or premises from provision of Act</w:t>
      </w:r>
      <w:r>
        <w:tab/>
      </w:r>
      <w:r>
        <w:fldChar w:fldCharType="begin"/>
      </w:r>
      <w:r>
        <w:instrText xml:space="preserve"> PAGEREF _Toc2160991 \h </w:instrText>
      </w:r>
      <w:r>
        <w:fldChar w:fldCharType="separate"/>
      </w:r>
      <w:r>
        <w:t>107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Service</w:t>
      </w:r>
      <w:r>
        <w:tab/>
      </w:r>
      <w:r>
        <w:fldChar w:fldCharType="begin"/>
      </w:r>
      <w:r>
        <w:instrText xml:space="preserve"> PAGEREF _Toc2160992 \h </w:instrText>
      </w:r>
      <w:r>
        <w:fldChar w:fldCharType="separate"/>
      </w:r>
      <w:r>
        <w:t>108</w:t>
      </w:r>
      <w:r>
        <w:fldChar w:fldCharType="end"/>
      </w:r>
    </w:p>
    <w:p>
      <w:pPr>
        <w:pStyle w:val="TOC8"/>
        <w:rPr>
          <w:rFonts w:asciiTheme="minorHAnsi" w:eastAsiaTheme="minorEastAsia" w:hAnsiTheme="minorHAnsi" w:cstheme="minorBidi"/>
          <w:szCs w:val="22"/>
        </w:rPr>
      </w:pPr>
      <w:r>
        <w:t>86.</w:t>
      </w:r>
      <w:r>
        <w:tab/>
        <w:t>Court may refer matter to Commissioner for investigation</w:t>
      </w:r>
      <w:r>
        <w:tab/>
      </w:r>
      <w:r>
        <w:fldChar w:fldCharType="begin"/>
      </w:r>
      <w:r>
        <w:instrText xml:space="preserve"> PAGEREF _Toc2160993 \h </w:instrText>
      </w:r>
      <w:r>
        <w:fldChar w:fldCharType="separate"/>
      </w:r>
      <w:r>
        <w:t>109</w:t>
      </w:r>
      <w:r>
        <w:fldChar w:fldCharType="end"/>
      </w:r>
    </w:p>
    <w:p>
      <w:pPr>
        <w:pStyle w:val="TOC8"/>
        <w:rPr>
          <w:rFonts w:asciiTheme="minorHAnsi" w:eastAsiaTheme="minorEastAsia" w:hAnsiTheme="minorHAnsi" w:cstheme="minorBidi"/>
          <w:szCs w:val="22"/>
        </w:rPr>
      </w:pPr>
      <w:r>
        <w:t>87A.</w:t>
      </w:r>
      <w:r>
        <w:tab/>
        <w:t>Defence where lessor and property manager are both charged with the same offence</w:t>
      </w:r>
      <w:r>
        <w:tab/>
      </w:r>
      <w:r>
        <w:fldChar w:fldCharType="begin"/>
      </w:r>
      <w:r>
        <w:instrText xml:space="preserve"> PAGEREF _Toc2160994 \h </w:instrText>
      </w:r>
      <w:r>
        <w:fldChar w:fldCharType="separate"/>
      </w:r>
      <w:r>
        <w:t>110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for bringing proceedings</w:t>
      </w:r>
      <w:r>
        <w:tab/>
      </w:r>
      <w:r>
        <w:fldChar w:fldCharType="begin"/>
      </w:r>
      <w:r>
        <w:instrText xml:space="preserve"> PAGEREF _Toc2160995 \h </w:instrText>
      </w:r>
      <w:r>
        <w:fldChar w:fldCharType="separate"/>
      </w:r>
      <w:r>
        <w:t>110</w:t>
      </w:r>
      <w:r>
        <w:fldChar w:fldCharType="end"/>
      </w:r>
    </w:p>
    <w:p>
      <w:pPr>
        <w:pStyle w:val="TOC8"/>
        <w:rPr>
          <w:rFonts w:asciiTheme="minorHAnsi" w:eastAsiaTheme="minorEastAsia" w:hAnsiTheme="minorHAnsi" w:cstheme="minorBidi"/>
          <w:szCs w:val="22"/>
        </w:rPr>
      </w:pPr>
      <w:r>
        <w:t>88A.</w:t>
      </w:r>
      <w:r>
        <w:tab/>
        <w:t>Infringement notices</w:t>
      </w:r>
      <w:r>
        <w:tab/>
      </w:r>
      <w:r>
        <w:fldChar w:fldCharType="begin"/>
      </w:r>
      <w:r>
        <w:instrText xml:space="preserve"> PAGEREF _Toc2160996 \h </w:instrText>
      </w:r>
      <w:r>
        <w:fldChar w:fldCharType="separate"/>
      </w:r>
      <w:r>
        <w:t>110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Regulations</w:t>
      </w:r>
      <w:r>
        <w:tab/>
      </w:r>
      <w:r>
        <w:fldChar w:fldCharType="begin"/>
      </w:r>
      <w:r>
        <w:instrText xml:space="preserve"> PAGEREF _Toc2160997 \h </w:instrText>
      </w:r>
      <w:r>
        <w:fldChar w:fldCharType="separate"/>
      </w:r>
      <w:r>
        <w:t>112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Review of Act</w:t>
      </w:r>
      <w:r>
        <w:tab/>
      </w:r>
      <w:r>
        <w:fldChar w:fldCharType="begin"/>
      </w:r>
      <w:r>
        <w:instrText xml:space="preserve"> PAGEREF _Toc2160998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VII — Savings and transitional provisions relating to the </w:t>
      </w:r>
      <w:r>
        <w:rPr>
          <w:i/>
        </w:rPr>
        <w:t>Residential Tenancies Amendment Act 2011</w:t>
      </w:r>
    </w:p>
    <w:p>
      <w:pPr>
        <w:pStyle w:val="TOC4"/>
        <w:tabs>
          <w:tab w:val="right" w:leader="dot" w:pos="7077"/>
        </w:tabs>
        <w:rPr>
          <w:rFonts w:asciiTheme="minorHAnsi" w:eastAsiaTheme="minorEastAsia" w:hAnsiTheme="minorHAnsi" w:cstheme="minorBidi"/>
          <w:b w:val="0"/>
          <w:szCs w:val="22"/>
        </w:rPr>
      </w:pPr>
      <w:r>
        <w:t>Division 1 — Contracting out</w:t>
      </w:r>
    </w:p>
    <w:p>
      <w:pPr>
        <w:pStyle w:val="TOC8"/>
        <w:rPr>
          <w:rFonts w:asciiTheme="minorHAnsi" w:eastAsiaTheme="minorEastAsia" w:hAnsiTheme="minorHAnsi" w:cstheme="minorBidi"/>
          <w:szCs w:val="22"/>
        </w:rPr>
      </w:pPr>
      <w:r>
        <w:t>91.</w:t>
      </w:r>
      <w:r>
        <w:tab/>
        <w:t>Savings in relation to contracting out of standard terms</w:t>
      </w:r>
      <w:r>
        <w:tab/>
      </w:r>
      <w:r>
        <w:fldChar w:fldCharType="begin"/>
      </w:r>
      <w:r>
        <w:instrText xml:space="preserve"> PAGEREF _Toc2161001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2 — Security bonds held in AFI</w:t>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_Toc2161003 \h </w:instrText>
      </w:r>
      <w:r>
        <w:fldChar w:fldCharType="separate"/>
      </w:r>
      <w:r>
        <w:t>114</w:t>
      </w:r>
      <w:r>
        <w:fldChar w:fldCharType="end"/>
      </w:r>
    </w:p>
    <w:p>
      <w:pPr>
        <w:pStyle w:val="TOC8"/>
        <w:rPr>
          <w:rFonts w:asciiTheme="minorHAnsi" w:eastAsiaTheme="minorEastAsia" w:hAnsiTheme="minorHAnsi" w:cstheme="minorBidi"/>
          <w:szCs w:val="22"/>
        </w:rPr>
      </w:pPr>
      <w:r>
        <w:t>93.</w:t>
      </w:r>
      <w:r>
        <w:tab/>
        <w:t>All security bonds to be transferred to bond administrator after renewal of agreement or within 18 months</w:t>
      </w:r>
      <w:r>
        <w:tab/>
      </w:r>
      <w:r>
        <w:fldChar w:fldCharType="begin"/>
      </w:r>
      <w:r>
        <w:instrText xml:space="preserve"> PAGEREF _Toc2161004 \h </w:instrText>
      </w:r>
      <w:r>
        <w:fldChar w:fldCharType="separate"/>
      </w:r>
      <w:r>
        <w:t>115</w:t>
      </w:r>
      <w:r>
        <w:fldChar w:fldCharType="end"/>
      </w:r>
    </w:p>
    <w:p>
      <w:pPr>
        <w:pStyle w:val="TOC8"/>
        <w:rPr>
          <w:rFonts w:asciiTheme="minorHAnsi" w:eastAsiaTheme="minorEastAsia" w:hAnsiTheme="minorHAnsi" w:cstheme="minorBidi"/>
          <w:szCs w:val="22"/>
        </w:rPr>
      </w:pPr>
      <w:r>
        <w:t>94.</w:t>
      </w:r>
      <w:r>
        <w:tab/>
        <w:t>Requirements for AFI holding security bonds</w:t>
      </w:r>
      <w:r>
        <w:tab/>
      </w:r>
      <w:r>
        <w:fldChar w:fldCharType="begin"/>
      </w:r>
      <w:r>
        <w:instrText xml:space="preserve"> PAGEREF _Toc2161005 \h </w:instrText>
      </w:r>
      <w:r>
        <w:fldChar w:fldCharType="separate"/>
      </w:r>
      <w:r>
        <w:t>116</w:t>
      </w:r>
      <w:r>
        <w:fldChar w:fldCharType="end"/>
      </w:r>
    </w:p>
    <w:p>
      <w:pPr>
        <w:pStyle w:val="TOC8"/>
        <w:rPr>
          <w:rFonts w:asciiTheme="minorHAnsi" w:eastAsiaTheme="minorEastAsia" w:hAnsiTheme="minorHAnsi" w:cstheme="minorBidi"/>
          <w:szCs w:val="22"/>
        </w:rPr>
      </w:pPr>
      <w:r>
        <w:t>95.</w:t>
      </w:r>
      <w:r>
        <w:tab/>
        <w:t>Power of Commissioner to obtain information relating to AFI security bond accounts</w:t>
      </w:r>
      <w:r>
        <w:tab/>
      </w:r>
      <w:r>
        <w:fldChar w:fldCharType="begin"/>
      </w:r>
      <w:r>
        <w:instrText xml:space="preserve"> PAGEREF _Toc2161006 \h </w:instrText>
      </w:r>
      <w:r>
        <w:fldChar w:fldCharType="separate"/>
      </w:r>
      <w:r>
        <w:t>117</w:t>
      </w:r>
      <w:r>
        <w:fldChar w:fldCharType="end"/>
      </w:r>
    </w:p>
    <w:p>
      <w:pPr>
        <w:pStyle w:val="TOC8"/>
        <w:rPr>
          <w:rFonts w:asciiTheme="minorHAnsi" w:eastAsiaTheme="minorEastAsia" w:hAnsiTheme="minorHAnsi" w:cstheme="minorBidi"/>
          <w:szCs w:val="22"/>
        </w:rPr>
      </w:pPr>
      <w:r>
        <w:t>96.</w:t>
      </w:r>
      <w:r>
        <w:tab/>
        <w:t>Disposal of security bond held in AFIs</w:t>
      </w:r>
      <w:r>
        <w:tab/>
      </w:r>
      <w:r>
        <w:fldChar w:fldCharType="begin"/>
      </w:r>
      <w:r>
        <w:instrText xml:space="preserve"> PAGEREF _Toc2161007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Residential tenancy databases</w:t>
      </w:r>
    </w:p>
    <w:p>
      <w:pPr>
        <w:pStyle w:val="TOC8"/>
        <w:rPr>
          <w:rFonts w:asciiTheme="minorHAnsi" w:eastAsiaTheme="minorEastAsia" w:hAnsiTheme="minorHAnsi" w:cstheme="minorBidi"/>
          <w:szCs w:val="22"/>
        </w:rPr>
      </w:pPr>
      <w:r>
        <w:t>97.</w:t>
      </w:r>
      <w:r>
        <w:tab/>
        <w:t>Application of Part VIA to listings existing before commencement day</w:t>
      </w:r>
      <w:r>
        <w:tab/>
      </w:r>
      <w:r>
        <w:fldChar w:fldCharType="begin"/>
      </w:r>
      <w:r>
        <w:instrText xml:space="preserve"> PAGEREF _Toc2161009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relating to holding and disposal of bonds and income from bonds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r>
      <w:r>
        <w:t>Term</w:t>
      </w:r>
      <w:r>
        <w:rPr>
          <w:snapToGrid w:val="0"/>
        </w:rPr>
        <w:t xml:space="preserve"> used: authorised agent</w:t>
      </w:r>
      <w:r>
        <w:tab/>
      </w:r>
      <w:r>
        <w:fldChar w:fldCharType="begin"/>
      </w:r>
      <w:r>
        <w:instrText xml:space="preserve"> PAGEREF _Toc2161012 \h </w:instrText>
      </w:r>
      <w:r>
        <w:fldChar w:fldCharType="separate"/>
      </w:r>
      <w:r>
        <w:t>121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Rental Accommodation Account</w:t>
      </w:r>
      <w:r>
        <w:tab/>
      </w:r>
      <w:r>
        <w:fldChar w:fldCharType="begin"/>
      </w:r>
      <w:r>
        <w:instrText xml:space="preserve"> PAGEREF _Toc2161013 \h </w:instrText>
      </w:r>
      <w:r>
        <w:fldChar w:fldCharType="separate"/>
      </w:r>
      <w:r>
        <w:t>121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Duties of bond administrator</w:t>
      </w:r>
      <w:r>
        <w:tab/>
      </w:r>
      <w:r>
        <w:fldChar w:fldCharType="begin"/>
      </w:r>
      <w:r>
        <w:instrText xml:space="preserve"> PAGEREF _Toc2161014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 — Security bonds</w:t>
      </w:r>
    </w:p>
    <w:p>
      <w:pPr>
        <w:pStyle w:val="TOC8"/>
        <w:rPr>
          <w:rFonts w:asciiTheme="minorHAnsi" w:eastAsiaTheme="minorEastAsia" w:hAnsiTheme="minorHAnsi" w:cstheme="minorBidi"/>
          <w:szCs w:val="22"/>
        </w:rPr>
      </w:pPr>
      <w:r>
        <w:t>5A.</w:t>
      </w:r>
      <w:r>
        <w:tab/>
        <w:t>Security bond moneys to be paid to bond administrator</w:t>
      </w:r>
      <w:r>
        <w:tab/>
      </w:r>
      <w:r>
        <w:fldChar w:fldCharType="begin"/>
      </w:r>
      <w:r>
        <w:instrText xml:space="preserve"> PAGEREF _Toc2161016 \h </w:instrText>
      </w:r>
      <w:r>
        <w:fldChar w:fldCharType="separate"/>
      </w:r>
      <w:r>
        <w:t>124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Disposal of </w:t>
      </w:r>
      <w:r>
        <w:t>security</w:t>
      </w:r>
      <w:r>
        <w:rPr>
          <w:snapToGrid w:val="0"/>
        </w:rPr>
        <w:t xml:space="preserve"> bond by bond administrator</w:t>
      </w:r>
      <w:r>
        <w:tab/>
      </w:r>
      <w:r>
        <w:fldChar w:fldCharType="begin"/>
      </w:r>
      <w:r>
        <w:instrText xml:space="preserve"> PAGEREF _Toc2161017 \h </w:instrText>
      </w:r>
      <w:r>
        <w:fldChar w:fldCharType="separate"/>
      </w:r>
      <w:r>
        <w:t>124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_Toc2161018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 — Tenant compensation bonds</w:t>
      </w:r>
    </w:p>
    <w:p>
      <w:pPr>
        <w:pStyle w:val="TOC8"/>
        <w:rPr>
          <w:rFonts w:asciiTheme="minorHAnsi" w:eastAsiaTheme="minorEastAsia" w:hAnsiTheme="minorHAnsi" w:cstheme="minorBidi"/>
          <w:szCs w:val="22"/>
        </w:rPr>
      </w:pPr>
      <w:r>
        <w:t>9.</w:t>
      </w:r>
      <w:r>
        <w:tab/>
        <w:t>Application of Division</w:t>
      </w:r>
      <w:r>
        <w:tab/>
      </w:r>
      <w:r>
        <w:fldChar w:fldCharType="begin"/>
      </w:r>
      <w:r>
        <w:instrText xml:space="preserve"> PAGEREF _Toc2161020 \h </w:instrText>
      </w:r>
      <w:r>
        <w:fldChar w:fldCharType="separate"/>
      </w:r>
      <w:r>
        <w:t>127</w:t>
      </w:r>
      <w:r>
        <w:fldChar w:fldCharType="end"/>
      </w:r>
    </w:p>
    <w:p>
      <w:pPr>
        <w:pStyle w:val="TOC8"/>
        <w:rPr>
          <w:rFonts w:asciiTheme="minorHAnsi" w:eastAsiaTheme="minorEastAsia" w:hAnsiTheme="minorHAnsi" w:cstheme="minorBidi"/>
          <w:szCs w:val="22"/>
        </w:rPr>
      </w:pPr>
      <w:r>
        <w:t>10.</w:t>
      </w:r>
      <w:r>
        <w:tab/>
        <w:t>Disposal of tenant compensation bond to tenant by bond administrator</w:t>
      </w:r>
      <w:r>
        <w:tab/>
      </w:r>
      <w:r>
        <w:fldChar w:fldCharType="begin"/>
      </w:r>
      <w:r>
        <w:instrText xml:space="preserve"> PAGEREF _Toc2161021 \h </w:instrText>
      </w:r>
      <w:r>
        <w:fldChar w:fldCharType="separate"/>
      </w:r>
      <w:r>
        <w:t>127</w:t>
      </w:r>
      <w:r>
        <w:fldChar w:fldCharType="end"/>
      </w:r>
    </w:p>
    <w:p>
      <w:pPr>
        <w:pStyle w:val="TOC8"/>
        <w:rPr>
          <w:rFonts w:asciiTheme="minorHAnsi" w:eastAsiaTheme="minorEastAsia" w:hAnsiTheme="minorHAnsi" w:cstheme="minorBidi"/>
          <w:szCs w:val="22"/>
        </w:rPr>
      </w:pPr>
      <w:r>
        <w:t>11.</w:t>
      </w:r>
      <w:r>
        <w:tab/>
        <w:t>Disposal of tenant compensation bond to lessor by bond administrator</w:t>
      </w:r>
      <w:r>
        <w:tab/>
      </w:r>
      <w:r>
        <w:fldChar w:fldCharType="begin"/>
      </w:r>
      <w:r>
        <w:instrText xml:space="preserve"> PAGEREF _Toc2161022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_Toc2161024 \h </w:instrText>
      </w:r>
      <w:r>
        <w:fldChar w:fldCharType="separate"/>
      </w:r>
      <w:r>
        <w:t>129</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_Toc2161025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No. 60 of 2011 s. 4.] </w:t>
      </w:r>
    </w:p>
    <w:p>
      <w:pPr>
        <w:pStyle w:val="Heading2"/>
      </w:pPr>
      <w:bookmarkStart w:id="3" w:name="_Toc2153279"/>
      <w:bookmarkStart w:id="4" w:name="_Toc2160113"/>
      <w:bookmarkStart w:id="5" w:name="_Toc2160837"/>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2160838"/>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7" w:name="_Toc2160839"/>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8" w:name="_Toc2160840"/>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w:t>
      </w:r>
    </w:p>
    <w:p>
      <w:pPr>
        <w:pStyle w:val="Heading5"/>
        <w:rPr>
          <w:snapToGrid w:val="0"/>
        </w:rPr>
      </w:pPr>
      <w:bookmarkStart w:id="9" w:name="_Toc2160841"/>
      <w:r>
        <w:rPr>
          <w:rStyle w:val="CharSectno"/>
        </w:rPr>
        <w:t>4</w:t>
      </w:r>
      <w:r>
        <w:rPr>
          <w:snapToGrid w:val="0"/>
        </w:rPr>
        <w:t>.</w:t>
      </w:r>
      <w:r>
        <w:rPr>
          <w:snapToGrid w:val="0"/>
        </w:rPr>
        <w:tab/>
        <w:t>Position of Crown</w:t>
      </w:r>
      <w:bookmarkEnd w:id="9"/>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0" w:name="_Toc2160842"/>
      <w:r>
        <w:rPr>
          <w:rStyle w:val="CharSectno"/>
        </w:rPr>
        <w:t>5</w:t>
      </w:r>
      <w:r>
        <w:rPr>
          <w:snapToGrid w:val="0"/>
        </w:rPr>
        <w:t>.</w:t>
      </w:r>
      <w:r>
        <w:rPr>
          <w:snapToGrid w:val="0"/>
        </w:rPr>
        <w:tab/>
        <w:t>Application of Act</w:t>
      </w:r>
      <w:bookmarkEnd w:id="10"/>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w:t>
      </w:r>
    </w:p>
    <w:p>
      <w:pPr>
        <w:pStyle w:val="Heading5"/>
        <w:rPr>
          <w:snapToGrid w:val="0"/>
        </w:rPr>
      </w:pPr>
      <w:bookmarkStart w:id="11" w:name="_Toc2160843"/>
      <w:r>
        <w:rPr>
          <w:rStyle w:val="CharSectno"/>
        </w:rPr>
        <w:t>6</w:t>
      </w:r>
      <w:r>
        <w:rPr>
          <w:snapToGrid w:val="0"/>
        </w:rPr>
        <w:t>.</w:t>
      </w:r>
      <w:r>
        <w:rPr>
          <w:snapToGrid w:val="0"/>
        </w:rPr>
        <w:tab/>
        <w:t>Modification of application of Act by regulation</w:t>
      </w:r>
      <w:bookmarkEnd w:id="11"/>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12" w:name="_Toc2160844"/>
      <w:r>
        <w:rPr>
          <w:rStyle w:val="CharSectno"/>
        </w:rPr>
        <w:t>7</w:t>
      </w:r>
      <w:r>
        <w:rPr>
          <w:snapToGrid w:val="0"/>
        </w:rPr>
        <w:t>.</w:t>
      </w:r>
      <w:r>
        <w:rPr>
          <w:snapToGrid w:val="0"/>
        </w:rPr>
        <w:tab/>
      </w:r>
      <w:r>
        <w:rPr>
          <w:bCs/>
        </w:rPr>
        <w:t>Transitional provisions relating to commencement of this Act</w:t>
      </w:r>
      <w:bookmarkEnd w:id="1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13" w:name="_Toc2153287"/>
      <w:bookmarkStart w:id="14" w:name="_Toc2160121"/>
      <w:bookmarkStart w:id="15" w:name="_Toc2160845"/>
      <w:r>
        <w:rPr>
          <w:rStyle w:val="CharPartNo"/>
        </w:rPr>
        <w:t>Part II</w:t>
      </w:r>
      <w:r>
        <w:rPr>
          <w:rStyle w:val="CharDivNo"/>
        </w:rPr>
        <w:t> </w:t>
      </w:r>
      <w:r>
        <w:t>—</w:t>
      </w:r>
      <w:r>
        <w:rPr>
          <w:rStyle w:val="CharDivText"/>
        </w:rPr>
        <w:t> </w:t>
      </w:r>
      <w:r>
        <w:rPr>
          <w:rStyle w:val="CharPartText"/>
        </w:rPr>
        <w:t>Administration</w:t>
      </w:r>
      <w:bookmarkEnd w:id="13"/>
      <w:bookmarkEnd w:id="14"/>
      <w:bookmarkEnd w:id="15"/>
    </w:p>
    <w:p>
      <w:pPr>
        <w:pStyle w:val="Heading5"/>
      </w:pPr>
      <w:bookmarkStart w:id="16" w:name="_Toc2160846"/>
      <w:r>
        <w:rPr>
          <w:rStyle w:val="CharSectno"/>
        </w:rPr>
        <w:t>7A</w:t>
      </w:r>
      <w:r>
        <w:t>.</w:t>
      </w:r>
      <w:r>
        <w:tab/>
        <w:t>Commissioner</w:t>
      </w:r>
      <w:bookmarkEnd w:id="1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17" w:name="_Toc2160847"/>
      <w:r>
        <w:rPr>
          <w:rStyle w:val="CharSectno"/>
        </w:rPr>
        <w:t>8</w:t>
      </w:r>
      <w:r>
        <w:rPr>
          <w:snapToGrid w:val="0"/>
        </w:rPr>
        <w:t>.</w:t>
      </w:r>
      <w:r>
        <w:rPr>
          <w:snapToGrid w:val="0"/>
        </w:rPr>
        <w:tab/>
        <w:t>Functions of Commissioner</w:t>
      </w:r>
      <w:bookmarkEnd w:id="17"/>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28 of 2006 s. 135.]</w:t>
      </w:r>
    </w:p>
    <w:p>
      <w:pPr>
        <w:pStyle w:val="Heading5"/>
        <w:rPr>
          <w:snapToGrid w:val="0"/>
        </w:rPr>
      </w:pPr>
      <w:bookmarkStart w:id="18" w:name="_Toc2160848"/>
      <w:r>
        <w:rPr>
          <w:rStyle w:val="CharSectno"/>
        </w:rPr>
        <w:t>9</w:t>
      </w:r>
      <w:r>
        <w:rPr>
          <w:snapToGrid w:val="0"/>
        </w:rPr>
        <w:t>.</w:t>
      </w:r>
      <w:r>
        <w:rPr>
          <w:snapToGrid w:val="0"/>
        </w:rPr>
        <w:tab/>
        <w:t>Commissioner may institute or defend proceedings for party</w:t>
      </w:r>
      <w:bookmarkEnd w:id="18"/>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w:t>
      </w:r>
    </w:p>
    <w:p>
      <w:pPr>
        <w:pStyle w:val="Heading5"/>
        <w:rPr>
          <w:snapToGrid w:val="0"/>
        </w:rPr>
      </w:pPr>
      <w:bookmarkStart w:id="19" w:name="_Toc2160849"/>
      <w:r>
        <w:rPr>
          <w:rStyle w:val="CharSectno"/>
        </w:rPr>
        <w:t>10</w:t>
      </w:r>
      <w:r>
        <w:rPr>
          <w:snapToGrid w:val="0"/>
        </w:rPr>
        <w:t>.</w:t>
      </w:r>
      <w:r>
        <w:rPr>
          <w:snapToGrid w:val="0"/>
        </w:rPr>
        <w:tab/>
        <w:t>Delegation by Commissioner</w:t>
      </w:r>
      <w:bookmarkEnd w:id="19"/>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No. 60 of 2011 s. 9.] </w:t>
      </w:r>
    </w:p>
    <w:p>
      <w:pPr>
        <w:pStyle w:val="Heading5"/>
        <w:rPr>
          <w:snapToGrid w:val="0"/>
        </w:rPr>
      </w:pPr>
      <w:bookmarkStart w:id="20" w:name="_Toc2160850"/>
      <w:r>
        <w:rPr>
          <w:rStyle w:val="CharSectno"/>
        </w:rPr>
        <w:t>11</w:t>
      </w:r>
      <w:r>
        <w:rPr>
          <w:snapToGrid w:val="0"/>
        </w:rPr>
        <w:t>.</w:t>
      </w:r>
      <w:r>
        <w:rPr>
          <w:snapToGrid w:val="0"/>
        </w:rPr>
        <w:tab/>
        <w:t>Protection of officers</w:t>
      </w:r>
      <w:bookmarkEnd w:id="20"/>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21" w:name="_Toc2160851"/>
      <w:r>
        <w:rPr>
          <w:rStyle w:val="CharSectno"/>
        </w:rPr>
        <w:t>11A</w:t>
      </w:r>
      <w:r>
        <w:t>.</w:t>
      </w:r>
      <w:r>
        <w:tab/>
        <w:t>Information officially obtained to be confidential</w:t>
      </w:r>
      <w:bookmarkEnd w:id="2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w:t>
      </w:r>
    </w:p>
    <w:p>
      <w:pPr>
        <w:pStyle w:val="Heading5"/>
      </w:pPr>
      <w:bookmarkStart w:id="22" w:name="_Toc2160852"/>
      <w:r>
        <w:rPr>
          <w:rStyle w:val="CharSectno"/>
        </w:rPr>
        <w:t>11B</w:t>
      </w:r>
      <w:r>
        <w:t>.</w:t>
      </w:r>
      <w:r>
        <w:tab/>
        <w:t>Powers of investigation</w:t>
      </w:r>
      <w:bookmarkEnd w:id="22"/>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23" w:name="_Toc2153295"/>
      <w:bookmarkStart w:id="24" w:name="_Toc2160129"/>
      <w:bookmarkStart w:id="25" w:name="_Toc2160853"/>
      <w:r>
        <w:rPr>
          <w:rStyle w:val="CharPartNo"/>
        </w:rPr>
        <w:t>Part III</w:t>
      </w:r>
      <w:r>
        <w:rPr>
          <w:rStyle w:val="CharDivNo"/>
        </w:rPr>
        <w:t> </w:t>
      </w:r>
      <w:r>
        <w:t>—</w:t>
      </w:r>
      <w:r>
        <w:rPr>
          <w:rStyle w:val="CharDivText"/>
        </w:rPr>
        <w:t> </w:t>
      </w:r>
      <w:r>
        <w:rPr>
          <w:rStyle w:val="CharPartText"/>
        </w:rPr>
        <w:t>Determination of disputes</w:t>
      </w:r>
      <w:bookmarkEnd w:id="23"/>
      <w:bookmarkEnd w:id="24"/>
      <w:bookmarkEnd w:id="25"/>
      <w:r>
        <w:rPr>
          <w:rStyle w:val="CharPartText"/>
        </w:rPr>
        <w:t xml:space="preserve"> </w:t>
      </w:r>
    </w:p>
    <w:p>
      <w:pPr>
        <w:pStyle w:val="Heading5"/>
      </w:pPr>
      <w:bookmarkStart w:id="26" w:name="_Toc2160854"/>
      <w:r>
        <w:rPr>
          <w:rStyle w:val="CharSectno"/>
        </w:rPr>
        <w:t>12</w:t>
      </w:r>
      <w:r>
        <w:t>.</w:t>
      </w:r>
      <w:r>
        <w:tab/>
        <w:t>Terms used</w:t>
      </w:r>
      <w:bookmarkEnd w:id="26"/>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w:t>
      </w:r>
    </w:p>
    <w:p>
      <w:pPr>
        <w:pStyle w:val="Heading5"/>
      </w:pPr>
      <w:bookmarkStart w:id="27" w:name="_Toc2160855"/>
      <w:r>
        <w:rPr>
          <w:rStyle w:val="CharSectno"/>
        </w:rPr>
        <w:t>12A</w:t>
      </w:r>
      <w:r>
        <w:t>.</w:t>
      </w:r>
      <w:r>
        <w:tab/>
      </w:r>
      <w:r>
        <w:rPr>
          <w:snapToGrid w:val="0"/>
        </w:rPr>
        <w:t>Jurisdiction</w:t>
      </w:r>
      <w:r>
        <w:t xml:space="preserve"> over </w:t>
      </w:r>
      <w:r>
        <w:rPr>
          <w:snapToGrid w:val="0"/>
        </w:rPr>
        <w:t>prescribed</w:t>
      </w:r>
      <w:r>
        <w:t xml:space="preserve"> disputes</w:t>
      </w:r>
      <w:bookmarkEnd w:id="27"/>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28" w:name="_Toc2160856"/>
      <w:r>
        <w:rPr>
          <w:rStyle w:val="CharSectno"/>
        </w:rPr>
        <w:t>13</w:t>
      </w:r>
      <w:r>
        <w:t>.</w:t>
      </w:r>
      <w:r>
        <w:tab/>
        <w:t>Jurisdiction over other disputes</w:t>
      </w:r>
      <w:bookmarkEnd w:id="28"/>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29" w:name="_Toc2160857"/>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29"/>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No. 59 of 2004 s. 119; amended: No. 60 of 2011 s. 12.] </w:t>
      </w:r>
    </w:p>
    <w:p>
      <w:pPr>
        <w:pStyle w:val="Heading5"/>
      </w:pPr>
      <w:bookmarkStart w:id="30" w:name="_Toc2160858"/>
      <w:r>
        <w:rPr>
          <w:rStyle w:val="CharSectno"/>
        </w:rPr>
        <w:t>13B</w:t>
      </w:r>
      <w:r>
        <w:t>.</w:t>
      </w:r>
      <w:r>
        <w:tab/>
        <w:t>Appeals from decisions of registrar</w:t>
      </w:r>
      <w:bookmarkEnd w:id="30"/>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No. 69 of 2006 s. 29.]</w:t>
      </w:r>
    </w:p>
    <w:p>
      <w:pPr>
        <w:pStyle w:val="Heading5"/>
        <w:rPr>
          <w:snapToGrid w:val="0"/>
        </w:rPr>
      </w:pPr>
      <w:bookmarkStart w:id="31" w:name="_Toc2160859"/>
      <w:r>
        <w:rPr>
          <w:rStyle w:val="CharSectno"/>
        </w:rPr>
        <w:t>14</w:t>
      </w:r>
      <w:r>
        <w:rPr>
          <w:snapToGrid w:val="0"/>
        </w:rPr>
        <w:t>.</w:t>
      </w:r>
      <w:r>
        <w:rPr>
          <w:snapToGrid w:val="0"/>
        </w:rPr>
        <w:tab/>
        <w:t>Time for determination of proceedings</w:t>
      </w:r>
      <w:bookmarkEnd w:id="31"/>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32" w:name="_Toc2160860"/>
      <w:r>
        <w:rPr>
          <w:rStyle w:val="CharSectno"/>
        </w:rPr>
        <w:t>15</w:t>
      </w:r>
      <w:r>
        <w:rPr>
          <w:snapToGrid w:val="0"/>
        </w:rPr>
        <w:t>.</w:t>
      </w:r>
      <w:r>
        <w:rPr>
          <w:snapToGrid w:val="0"/>
        </w:rPr>
        <w:tab/>
        <w:t>Applications for relief and orders that may be made</w:t>
      </w:r>
      <w:bookmarkEnd w:id="32"/>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No. 50 of 1988 s. 8 and 18; No. 59 of 2004 s. 120 and 121; No. 60 of 2011 s. 13 and 89; No. 17 of 2014 s. 5.] </w:t>
      </w:r>
    </w:p>
    <w:p>
      <w:pPr>
        <w:pStyle w:val="Heading5"/>
        <w:rPr>
          <w:snapToGrid w:val="0"/>
        </w:rPr>
      </w:pPr>
      <w:bookmarkStart w:id="33" w:name="_Toc2160861"/>
      <w:r>
        <w:rPr>
          <w:rStyle w:val="CharSectno"/>
        </w:rPr>
        <w:t>16</w:t>
      </w:r>
      <w:r>
        <w:rPr>
          <w:snapToGrid w:val="0"/>
        </w:rPr>
        <w:t>.</w:t>
      </w:r>
      <w:r>
        <w:rPr>
          <w:snapToGrid w:val="0"/>
        </w:rPr>
        <w:tab/>
        <w:t>Enforcement</w:t>
      </w:r>
      <w:bookmarkEnd w:id="33"/>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w:t>
      </w:r>
    </w:p>
    <w:p>
      <w:pPr>
        <w:pStyle w:val="Heading5"/>
      </w:pPr>
      <w:bookmarkStart w:id="34" w:name="_Toc2160862"/>
      <w:r>
        <w:rPr>
          <w:rStyle w:val="CharSectno"/>
        </w:rPr>
        <w:t>17A</w:t>
      </w:r>
      <w:r>
        <w:t>.</w:t>
      </w:r>
      <w:r>
        <w:tab/>
        <w:t>Disputes between tenants</w:t>
      </w:r>
      <w:bookmarkEnd w:id="34"/>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rPr>
          <w:snapToGrid w:val="0"/>
        </w:rPr>
      </w:pPr>
      <w:bookmarkStart w:id="35" w:name="_Toc2160863"/>
      <w:r>
        <w:rPr>
          <w:rStyle w:val="CharSectno"/>
        </w:rPr>
        <w:t>17</w:t>
      </w:r>
      <w:r>
        <w:rPr>
          <w:snapToGrid w:val="0"/>
        </w:rPr>
        <w:t>.</w:t>
      </w:r>
      <w:r>
        <w:rPr>
          <w:snapToGrid w:val="0"/>
        </w:rPr>
        <w:tab/>
        <w:t>Application to vary or set aside order</w:t>
      </w:r>
      <w:bookmarkEnd w:id="35"/>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36" w:name="_Toc2160864"/>
      <w:r>
        <w:rPr>
          <w:rStyle w:val="CharSectno"/>
        </w:rPr>
        <w:t>18</w:t>
      </w:r>
      <w:r>
        <w:rPr>
          <w:snapToGrid w:val="0"/>
        </w:rPr>
        <w:t>.</w:t>
      </w:r>
      <w:r>
        <w:rPr>
          <w:snapToGrid w:val="0"/>
        </w:rPr>
        <w:tab/>
        <w:t>Form of applications and notice of hearing</w:t>
      </w:r>
      <w:bookmarkEnd w:id="36"/>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37" w:name="_Toc2160865"/>
      <w:r>
        <w:rPr>
          <w:rStyle w:val="CharSectno"/>
        </w:rPr>
        <w:t>19</w:t>
      </w:r>
      <w:r>
        <w:rPr>
          <w:snapToGrid w:val="0"/>
        </w:rPr>
        <w:t>.</w:t>
      </w:r>
      <w:r>
        <w:rPr>
          <w:snapToGrid w:val="0"/>
        </w:rPr>
        <w:tab/>
        <w:t>Witnesses and inspection of documents</w:t>
      </w:r>
      <w:bookmarkEnd w:id="37"/>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No. 50 of 1988 s. 11 and 18; No. 59 of 2004 s. 120(2) and 121; No. 60 of 2011 s. 17.] </w:t>
      </w:r>
    </w:p>
    <w:p>
      <w:pPr>
        <w:pStyle w:val="Heading5"/>
        <w:rPr>
          <w:snapToGrid w:val="0"/>
        </w:rPr>
      </w:pPr>
      <w:bookmarkStart w:id="38" w:name="_Toc2160866"/>
      <w:r>
        <w:rPr>
          <w:rStyle w:val="CharSectno"/>
        </w:rPr>
        <w:t>20</w:t>
      </w:r>
      <w:r>
        <w:rPr>
          <w:snapToGrid w:val="0"/>
        </w:rPr>
        <w:t>.</w:t>
      </w:r>
      <w:r>
        <w:rPr>
          <w:snapToGrid w:val="0"/>
        </w:rPr>
        <w:tab/>
        <w:t>General powers in proceedings</w:t>
      </w:r>
      <w:bookmarkEnd w:id="38"/>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39" w:name="_Toc2160867"/>
      <w:r>
        <w:rPr>
          <w:rStyle w:val="CharSectno"/>
        </w:rPr>
        <w:t>21</w:t>
      </w:r>
      <w:r>
        <w:t>.</w:t>
      </w:r>
      <w:r>
        <w:tab/>
        <w:t>Evidence</w:t>
      </w:r>
      <w:bookmarkEnd w:id="39"/>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40" w:name="_Toc2160868"/>
      <w:r>
        <w:rPr>
          <w:rStyle w:val="CharSectno"/>
        </w:rPr>
        <w:t>22</w:t>
      </w:r>
      <w:r>
        <w:rPr>
          <w:snapToGrid w:val="0"/>
        </w:rPr>
        <w:t>.</w:t>
      </w:r>
      <w:r>
        <w:rPr>
          <w:snapToGrid w:val="0"/>
        </w:rPr>
        <w:tab/>
        <w:t>Presentation of cases</w:t>
      </w:r>
      <w:bookmarkEnd w:id="40"/>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w:t>
      </w:r>
    </w:p>
    <w:p>
      <w:pPr>
        <w:pStyle w:val="Heading5"/>
        <w:rPr>
          <w:snapToGrid w:val="0"/>
        </w:rPr>
      </w:pPr>
      <w:bookmarkStart w:id="41" w:name="_Toc2160869"/>
      <w:r>
        <w:rPr>
          <w:rStyle w:val="CharSectno"/>
        </w:rPr>
        <w:t>23</w:t>
      </w:r>
      <w:r>
        <w:rPr>
          <w:snapToGrid w:val="0"/>
        </w:rPr>
        <w:t>.</w:t>
      </w:r>
      <w:r>
        <w:rPr>
          <w:snapToGrid w:val="0"/>
        </w:rPr>
        <w:tab/>
        <w:t>Settlement by conciliation</w:t>
      </w:r>
      <w:bookmarkEnd w:id="41"/>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No. 50 of 1988 s. 18; No. 59 of 2004 s. 120(2) and (3) and 121; No. 60 of 2011 s. 20.] </w:t>
      </w:r>
    </w:p>
    <w:p>
      <w:pPr>
        <w:pStyle w:val="Heading5"/>
        <w:rPr>
          <w:snapToGrid w:val="0"/>
        </w:rPr>
      </w:pPr>
      <w:bookmarkStart w:id="42" w:name="_Toc2160870"/>
      <w:r>
        <w:rPr>
          <w:rStyle w:val="CharSectno"/>
        </w:rPr>
        <w:t>24</w:t>
      </w:r>
      <w:r>
        <w:rPr>
          <w:snapToGrid w:val="0"/>
        </w:rPr>
        <w:t>.</w:t>
      </w:r>
      <w:r>
        <w:rPr>
          <w:snapToGrid w:val="0"/>
        </w:rPr>
        <w:tab/>
        <w:t>Costs</w:t>
      </w:r>
      <w:bookmarkEnd w:id="4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w:t>
      </w:r>
    </w:p>
    <w:p>
      <w:pPr>
        <w:pStyle w:val="Heading5"/>
        <w:rPr>
          <w:snapToGrid w:val="0"/>
        </w:rPr>
      </w:pPr>
      <w:bookmarkStart w:id="43" w:name="_Toc2160871"/>
      <w:r>
        <w:rPr>
          <w:rStyle w:val="CharSectno"/>
        </w:rPr>
        <w:t>25</w:t>
      </w:r>
      <w:r>
        <w:rPr>
          <w:snapToGrid w:val="0"/>
        </w:rPr>
        <w:t>.</w:t>
      </w:r>
      <w:r>
        <w:rPr>
          <w:snapToGrid w:val="0"/>
        </w:rPr>
        <w:tab/>
        <w:t>Reservation of question of law</w:t>
      </w:r>
      <w:bookmarkEnd w:id="43"/>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44" w:name="_Toc2160872"/>
      <w:r>
        <w:rPr>
          <w:rStyle w:val="CharSectno"/>
        </w:rPr>
        <w:t>26</w:t>
      </w:r>
      <w:r>
        <w:rPr>
          <w:snapToGrid w:val="0"/>
        </w:rPr>
        <w:t>.</w:t>
      </w:r>
      <w:r>
        <w:rPr>
          <w:snapToGrid w:val="0"/>
        </w:rPr>
        <w:tab/>
        <w:t>Finality of proceedings</w:t>
      </w:r>
      <w:bookmarkEnd w:id="44"/>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No. 50 of 1988 s. 13; No. 59 of 2004 s. 120(3) and 121; No. 69 of 2006 s. 30.] </w:t>
      </w:r>
    </w:p>
    <w:p>
      <w:pPr>
        <w:pStyle w:val="Heading2"/>
      </w:pPr>
      <w:bookmarkStart w:id="45" w:name="_Toc2153315"/>
      <w:bookmarkStart w:id="46" w:name="_Toc2160149"/>
      <w:bookmarkStart w:id="47" w:name="_Toc2160873"/>
      <w:r>
        <w:rPr>
          <w:rStyle w:val="CharPartNo"/>
        </w:rPr>
        <w:t>Part IV</w:t>
      </w:r>
      <w:r>
        <w:t> — </w:t>
      </w:r>
      <w:r>
        <w:rPr>
          <w:rStyle w:val="CharPartText"/>
        </w:rPr>
        <w:t>Residential tenancy agreements</w:t>
      </w:r>
      <w:bookmarkEnd w:id="45"/>
      <w:bookmarkEnd w:id="46"/>
      <w:bookmarkEnd w:id="47"/>
    </w:p>
    <w:p>
      <w:pPr>
        <w:pStyle w:val="Footnoteheading"/>
      </w:pPr>
      <w:r>
        <w:tab/>
        <w:t>[Heading inserted: No. 60 of 2011 s. 21.]</w:t>
      </w:r>
    </w:p>
    <w:p>
      <w:pPr>
        <w:pStyle w:val="Heading3"/>
      </w:pPr>
      <w:bookmarkStart w:id="48" w:name="_Toc2153316"/>
      <w:bookmarkStart w:id="49" w:name="_Toc2160150"/>
      <w:bookmarkStart w:id="50" w:name="_Toc2160874"/>
      <w:r>
        <w:rPr>
          <w:rStyle w:val="CharDivNo"/>
        </w:rPr>
        <w:t>Division 1A</w:t>
      </w:r>
      <w:r>
        <w:t> — </w:t>
      </w:r>
      <w:r>
        <w:rPr>
          <w:rStyle w:val="CharDivText"/>
        </w:rPr>
        <w:t>Form of residential tenancy agreement and associated documents</w:t>
      </w:r>
      <w:bookmarkEnd w:id="48"/>
      <w:bookmarkEnd w:id="49"/>
      <w:bookmarkEnd w:id="50"/>
    </w:p>
    <w:p>
      <w:pPr>
        <w:pStyle w:val="Footnoteheading"/>
      </w:pPr>
      <w:r>
        <w:tab/>
        <w:t>[Heading inserted: No. 60 of 2011 s. 22.]</w:t>
      </w:r>
    </w:p>
    <w:p>
      <w:pPr>
        <w:pStyle w:val="Heading5"/>
      </w:pPr>
      <w:bookmarkStart w:id="51" w:name="_Toc2160875"/>
      <w:r>
        <w:rPr>
          <w:rStyle w:val="CharSectno"/>
        </w:rPr>
        <w:t>27A</w:t>
      </w:r>
      <w:r>
        <w:t>.</w:t>
      </w:r>
      <w:r>
        <w:tab/>
        <w:t>Written residential tenancy agreement to be in prescribed form</w:t>
      </w:r>
      <w:bookmarkEnd w:id="51"/>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No. 60 of 2011 s. 22.] </w:t>
      </w:r>
    </w:p>
    <w:p>
      <w:pPr>
        <w:pStyle w:val="Heading5"/>
      </w:pPr>
      <w:bookmarkStart w:id="52" w:name="_Toc2160876"/>
      <w:r>
        <w:rPr>
          <w:rStyle w:val="CharSectno"/>
        </w:rPr>
        <w:t>27B</w:t>
      </w:r>
      <w:r>
        <w:t>.</w:t>
      </w:r>
      <w:r>
        <w:tab/>
        <w:t>Information to be given to tenant by lessor</w:t>
      </w:r>
      <w:bookmarkEnd w:id="52"/>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w:t>
      </w:r>
    </w:p>
    <w:p>
      <w:pPr>
        <w:pStyle w:val="Heading5"/>
      </w:pPr>
      <w:bookmarkStart w:id="53" w:name="_Toc2160877"/>
      <w:r>
        <w:rPr>
          <w:rStyle w:val="CharSectno"/>
        </w:rPr>
        <w:t>27C</w:t>
      </w:r>
      <w:r>
        <w:t>.</w:t>
      </w:r>
      <w:r>
        <w:tab/>
      </w:r>
      <w:r>
        <w:rPr>
          <w:snapToGrid w:val="0"/>
        </w:rPr>
        <w:t>Property condition report at start and end of tenancy</w:t>
      </w:r>
      <w:bookmarkEnd w:id="53"/>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No. 60 of 2011 s. 22.] </w:t>
      </w:r>
    </w:p>
    <w:p>
      <w:pPr>
        <w:pStyle w:val="Heading3"/>
        <w:rPr>
          <w:snapToGrid w:val="0"/>
        </w:rPr>
      </w:pPr>
      <w:bookmarkStart w:id="54" w:name="_Toc2153320"/>
      <w:bookmarkStart w:id="55" w:name="_Toc2160154"/>
      <w:bookmarkStart w:id="56" w:name="_Toc2160878"/>
      <w:r>
        <w:rPr>
          <w:rStyle w:val="CharDivNo"/>
        </w:rPr>
        <w:t>Division 1</w:t>
      </w:r>
      <w:r>
        <w:rPr>
          <w:snapToGrid w:val="0"/>
        </w:rPr>
        <w:t> — </w:t>
      </w:r>
      <w:r>
        <w:rPr>
          <w:rStyle w:val="CharDivText"/>
        </w:rPr>
        <w:t>Rent and security bonds</w:t>
      </w:r>
      <w:bookmarkEnd w:id="54"/>
      <w:bookmarkEnd w:id="55"/>
      <w:bookmarkEnd w:id="56"/>
    </w:p>
    <w:p>
      <w:pPr>
        <w:pStyle w:val="Heading5"/>
        <w:spacing w:before="160"/>
        <w:rPr>
          <w:snapToGrid w:val="0"/>
        </w:rPr>
      </w:pPr>
      <w:bookmarkStart w:id="57" w:name="_Toc2160879"/>
      <w:r>
        <w:rPr>
          <w:rStyle w:val="CharSectno"/>
        </w:rPr>
        <w:t>27</w:t>
      </w:r>
      <w:r>
        <w:rPr>
          <w:snapToGrid w:val="0"/>
        </w:rPr>
        <w:t>.</w:t>
      </w:r>
      <w:r>
        <w:rPr>
          <w:snapToGrid w:val="0"/>
        </w:rPr>
        <w:tab/>
        <w:t>Restriction on consideration for tenancy agreement</w:t>
      </w:r>
      <w:bookmarkEnd w:id="57"/>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w:t>
      </w:r>
    </w:p>
    <w:p>
      <w:pPr>
        <w:pStyle w:val="Heading5"/>
        <w:rPr>
          <w:snapToGrid w:val="0"/>
        </w:rPr>
      </w:pPr>
      <w:bookmarkStart w:id="58" w:name="_Toc2160880"/>
      <w:r>
        <w:rPr>
          <w:rStyle w:val="CharSectno"/>
        </w:rPr>
        <w:t>28</w:t>
      </w:r>
      <w:r>
        <w:rPr>
          <w:snapToGrid w:val="0"/>
        </w:rPr>
        <w:t>.</w:t>
      </w:r>
      <w:r>
        <w:rPr>
          <w:snapToGrid w:val="0"/>
        </w:rPr>
        <w:tab/>
        <w:t>Rent in advance</w:t>
      </w:r>
      <w:bookmarkEnd w:id="58"/>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No. 59 of 1995 s. 55; No. 60 of 2011 s. 24.] </w:t>
      </w:r>
    </w:p>
    <w:p>
      <w:pPr>
        <w:pStyle w:val="Heading5"/>
        <w:rPr>
          <w:snapToGrid w:val="0"/>
        </w:rPr>
      </w:pPr>
      <w:bookmarkStart w:id="59" w:name="_Toc2160881"/>
      <w:r>
        <w:rPr>
          <w:rStyle w:val="CharSectno"/>
        </w:rPr>
        <w:t>29</w:t>
      </w:r>
      <w:r>
        <w:rPr>
          <w:snapToGrid w:val="0"/>
        </w:rPr>
        <w:t>.</w:t>
      </w:r>
      <w:r>
        <w:rPr>
          <w:snapToGrid w:val="0"/>
        </w:rPr>
        <w:tab/>
        <w:t>Security bonds</w:t>
      </w:r>
      <w:bookmarkEnd w:id="59"/>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8(1);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No. 59 of 1995 s. 47 and 55; No. 69 of 2006 s. 31; No. 60 of 2011 s. 25; No. 18 of 2013 s. 62.] </w:t>
      </w:r>
    </w:p>
    <w:p>
      <w:pPr>
        <w:pStyle w:val="Ednotesection"/>
      </w:pPr>
      <w:r>
        <w:t>[</w:t>
      </w:r>
      <w:r>
        <w:rPr>
          <w:b/>
        </w:rPr>
        <w:t>29A.</w:t>
      </w:r>
      <w:r>
        <w:tab/>
        <w:t>Deleted: No. 60 of 2011 s. 26.]</w:t>
      </w:r>
    </w:p>
    <w:p>
      <w:pPr>
        <w:pStyle w:val="Heading5"/>
        <w:rPr>
          <w:snapToGrid w:val="0"/>
        </w:rPr>
      </w:pPr>
      <w:bookmarkStart w:id="60" w:name="_Toc2160882"/>
      <w:r>
        <w:rPr>
          <w:rStyle w:val="CharSectno"/>
        </w:rPr>
        <w:t>30</w:t>
      </w:r>
      <w:r>
        <w:rPr>
          <w:snapToGrid w:val="0"/>
        </w:rPr>
        <w:t>.</w:t>
      </w:r>
      <w:r>
        <w:rPr>
          <w:snapToGrid w:val="0"/>
        </w:rPr>
        <w:tab/>
        <w:t>Variation of rent (except where calculated by reference to tenant’s income)</w:t>
      </w:r>
      <w:bookmarkEnd w:id="60"/>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w:t>
      </w:r>
    </w:p>
    <w:p>
      <w:pPr>
        <w:pStyle w:val="Heading5"/>
      </w:pPr>
      <w:bookmarkStart w:id="61" w:name="_Toc2160883"/>
      <w:r>
        <w:rPr>
          <w:rStyle w:val="CharSectno"/>
        </w:rPr>
        <w:t>31A</w:t>
      </w:r>
      <w:r>
        <w:t>.</w:t>
      </w:r>
      <w:r>
        <w:tab/>
        <w:t>Variation of rent where calculated by reference to tenant’s income</w:t>
      </w:r>
      <w:bookmarkEnd w:id="61"/>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No. 60 of 2011 s. 28.] </w:t>
      </w:r>
    </w:p>
    <w:p>
      <w:pPr>
        <w:pStyle w:val="Heading5"/>
      </w:pPr>
      <w:bookmarkStart w:id="62" w:name="_Toc2160884"/>
      <w:r>
        <w:rPr>
          <w:rStyle w:val="CharSectno"/>
        </w:rPr>
        <w:t>31B</w:t>
      </w:r>
      <w:r>
        <w:t>.</w:t>
      </w:r>
      <w:r>
        <w:tab/>
        <w:t>Increase in rent after renegotiating lease</w:t>
      </w:r>
      <w:bookmarkEnd w:id="62"/>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No. 23 of 2014 s. 88.] </w:t>
      </w:r>
    </w:p>
    <w:p>
      <w:pPr>
        <w:pStyle w:val="Heading5"/>
        <w:rPr>
          <w:snapToGrid w:val="0"/>
        </w:rPr>
      </w:pPr>
      <w:bookmarkStart w:id="63" w:name="_Toc2160885"/>
      <w:r>
        <w:rPr>
          <w:rStyle w:val="CharSectno"/>
        </w:rPr>
        <w:t>31</w:t>
      </w:r>
      <w:r>
        <w:rPr>
          <w:snapToGrid w:val="0"/>
        </w:rPr>
        <w:t>.</w:t>
      </w:r>
      <w:r>
        <w:rPr>
          <w:snapToGrid w:val="0"/>
        </w:rPr>
        <w:tab/>
        <w:t>Increase in security bond</w:t>
      </w:r>
      <w:bookmarkEnd w:id="63"/>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No. 60 of 2011 s. 29 and 89; No. 23 of 2014 s. 89.] </w:t>
      </w:r>
    </w:p>
    <w:p>
      <w:pPr>
        <w:pStyle w:val="Heading5"/>
        <w:rPr>
          <w:snapToGrid w:val="0"/>
        </w:rPr>
      </w:pPr>
      <w:bookmarkStart w:id="64" w:name="_Toc2160886"/>
      <w:r>
        <w:rPr>
          <w:rStyle w:val="CharSectno"/>
        </w:rPr>
        <w:t>32</w:t>
      </w:r>
      <w:r>
        <w:rPr>
          <w:snapToGrid w:val="0"/>
        </w:rPr>
        <w:t>.</w:t>
      </w:r>
      <w:r>
        <w:rPr>
          <w:snapToGrid w:val="0"/>
        </w:rPr>
        <w:tab/>
        <w:t>Limitation of excessive rents in certain circumstances</w:t>
      </w:r>
      <w:bookmarkEnd w:id="64"/>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pPr>
      <w:r>
        <w:tab/>
        <w:t xml:space="preserve">[Section 32 amended: No. 50 of 1988 s. 18; No. 59 of 2004 s. 120 and 121; No. 60 of 2011 s. 30 and 89.] </w:t>
      </w:r>
    </w:p>
    <w:p>
      <w:pPr>
        <w:pStyle w:val="Heading5"/>
        <w:rPr>
          <w:snapToGrid w:val="0"/>
        </w:rPr>
      </w:pPr>
      <w:bookmarkStart w:id="65" w:name="_Toc2160887"/>
      <w:r>
        <w:rPr>
          <w:rStyle w:val="CharSectno"/>
        </w:rPr>
        <w:t>33</w:t>
      </w:r>
      <w:r>
        <w:rPr>
          <w:snapToGrid w:val="0"/>
        </w:rPr>
        <w:t>.</w:t>
      </w:r>
      <w:r>
        <w:rPr>
          <w:snapToGrid w:val="0"/>
        </w:rPr>
        <w:tab/>
        <w:t>Duty to give receipt for rent</w:t>
      </w:r>
      <w:bookmarkEnd w:id="65"/>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w:t>
      </w:r>
    </w:p>
    <w:p>
      <w:pPr>
        <w:pStyle w:val="Heading5"/>
      </w:pPr>
      <w:bookmarkStart w:id="66" w:name="_Toc2160888"/>
      <w:r>
        <w:rPr>
          <w:rStyle w:val="CharSectno"/>
        </w:rPr>
        <w:t>34A</w:t>
      </w:r>
      <w:r>
        <w:t>.</w:t>
      </w:r>
      <w:r>
        <w:tab/>
        <w:t>Manner of payment of rent</w:t>
      </w:r>
      <w:bookmarkEnd w:id="66"/>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67" w:name="_Toc2160889"/>
      <w:r>
        <w:rPr>
          <w:rStyle w:val="CharSectno"/>
        </w:rPr>
        <w:t>34</w:t>
      </w:r>
      <w:r>
        <w:rPr>
          <w:snapToGrid w:val="0"/>
        </w:rPr>
        <w:t>.</w:t>
      </w:r>
      <w:r>
        <w:rPr>
          <w:snapToGrid w:val="0"/>
        </w:rPr>
        <w:tab/>
        <w:t>Proper records of rent to be kept</w:t>
      </w:r>
      <w:bookmarkEnd w:id="67"/>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No. 59 of 1995 s. 55; No. 60 of 2011 s. 33 and 89.] </w:t>
      </w:r>
    </w:p>
    <w:p>
      <w:pPr>
        <w:pStyle w:val="Heading5"/>
        <w:rPr>
          <w:snapToGrid w:val="0"/>
        </w:rPr>
      </w:pPr>
      <w:bookmarkStart w:id="68" w:name="_Toc2160890"/>
      <w:r>
        <w:rPr>
          <w:rStyle w:val="CharSectno"/>
        </w:rPr>
        <w:t>35</w:t>
      </w:r>
      <w:r>
        <w:rPr>
          <w:snapToGrid w:val="0"/>
        </w:rPr>
        <w:t>.</w:t>
      </w:r>
      <w:r>
        <w:rPr>
          <w:snapToGrid w:val="0"/>
        </w:rPr>
        <w:tab/>
        <w:t>Payment of rent by post</w:t>
      </w:r>
      <w:r>
        <w:rPr>
          <w:snapToGrid w:val="0"/>
        </w:rPr>
        <w:noBreakHyphen/>
        <w:t>dated cheques etc. prohibited</w:t>
      </w:r>
      <w:bookmarkEnd w:id="68"/>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No. 59 of 1995 s. 55; No. 60 of 2011 s. 34.] </w:t>
      </w:r>
    </w:p>
    <w:p>
      <w:pPr>
        <w:pStyle w:val="Heading5"/>
        <w:rPr>
          <w:snapToGrid w:val="0"/>
        </w:rPr>
      </w:pPr>
      <w:bookmarkStart w:id="69" w:name="_Toc2160891"/>
      <w:r>
        <w:rPr>
          <w:rStyle w:val="CharSectno"/>
        </w:rPr>
        <w:t>36</w:t>
      </w:r>
      <w:r>
        <w:rPr>
          <w:snapToGrid w:val="0"/>
        </w:rPr>
        <w:t>.</w:t>
      </w:r>
      <w:r>
        <w:rPr>
          <w:snapToGrid w:val="0"/>
        </w:rPr>
        <w:tab/>
        <w:t>Apportionment of rent</w:t>
      </w:r>
      <w:bookmarkEnd w:id="69"/>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70" w:name="_Toc2153334"/>
      <w:bookmarkStart w:id="71" w:name="_Toc2160168"/>
      <w:bookmarkStart w:id="72" w:name="_Toc2160892"/>
      <w:r>
        <w:rPr>
          <w:rStyle w:val="CharDivNo"/>
        </w:rPr>
        <w:t>Division 2</w:t>
      </w:r>
      <w:r>
        <w:rPr>
          <w:snapToGrid w:val="0"/>
        </w:rPr>
        <w:t> — </w:t>
      </w:r>
      <w:r>
        <w:rPr>
          <w:rStyle w:val="CharDivText"/>
        </w:rPr>
        <w:t>Standard terms</w:t>
      </w:r>
      <w:bookmarkEnd w:id="70"/>
      <w:bookmarkEnd w:id="71"/>
      <w:bookmarkEnd w:id="72"/>
    </w:p>
    <w:p>
      <w:pPr>
        <w:pStyle w:val="Footnoteheading"/>
      </w:pPr>
      <w:r>
        <w:tab/>
        <w:t>[Heading amended: No. 60 of 2011 s. 35.]</w:t>
      </w:r>
    </w:p>
    <w:p>
      <w:pPr>
        <w:pStyle w:val="Ednotesection"/>
      </w:pPr>
      <w:r>
        <w:t>[</w:t>
      </w:r>
      <w:r>
        <w:rPr>
          <w:b/>
        </w:rPr>
        <w:t>37.</w:t>
      </w:r>
      <w:r>
        <w:tab/>
        <w:t>Deleted: No. 60 of 2011 s. 36.]</w:t>
      </w:r>
    </w:p>
    <w:p>
      <w:pPr>
        <w:pStyle w:val="Heading5"/>
        <w:rPr>
          <w:snapToGrid w:val="0"/>
        </w:rPr>
      </w:pPr>
      <w:bookmarkStart w:id="73" w:name="_Toc2160893"/>
      <w:r>
        <w:rPr>
          <w:rStyle w:val="CharSectno"/>
        </w:rPr>
        <w:t>38</w:t>
      </w:r>
      <w:r>
        <w:rPr>
          <w:snapToGrid w:val="0"/>
        </w:rPr>
        <w:t>.</w:t>
      </w:r>
      <w:r>
        <w:rPr>
          <w:snapToGrid w:val="0"/>
        </w:rPr>
        <w:tab/>
        <w:t>Tenant’s responsibility for cleanliness and damage</w:t>
      </w:r>
      <w:bookmarkEnd w:id="73"/>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w:t>
      </w:r>
    </w:p>
    <w:p>
      <w:pPr>
        <w:pStyle w:val="Heading5"/>
        <w:rPr>
          <w:snapToGrid w:val="0"/>
        </w:rPr>
      </w:pPr>
      <w:bookmarkStart w:id="74" w:name="_Toc2160894"/>
      <w:r>
        <w:rPr>
          <w:rStyle w:val="CharSectno"/>
        </w:rPr>
        <w:t>39</w:t>
      </w:r>
      <w:r>
        <w:rPr>
          <w:snapToGrid w:val="0"/>
        </w:rPr>
        <w:t>.</w:t>
      </w:r>
      <w:r>
        <w:rPr>
          <w:snapToGrid w:val="0"/>
        </w:rPr>
        <w:tab/>
        <w:t>Tenant’s conduct on premises</w:t>
      </w:r>
      <w:bookmarkEnd w:id="74"/>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75" w:name="_Toc2160895"/>
      <w:r>
        <w:rPr>
          <w:rStyle w:val="CharSectno"/>
        </w:rPr>
        <w:t>40</w:t>
      </w:r>
      <w:r>
        <w:t>.</w:t>
      </w:r>
      <w:r>
        <w:tab/>
        <w:t>Vacant possession</w:t>
      </w:r>
      <w:bookmarkEnd w:id="75"/>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76" w:name="_Toc2160896"/>
      <w:r>
        <w:rPr>
          <w:rStyle w:val="CharSectno"/>
        </w:rPr>
        <w:t>41</w:t>
      </w:r>
      <w:r>
        <w:rPr>
          <w:snapToGrid w:val="0"/>
        </w:rPr>
        <w:t>.</w:t>
      </w:r>
      <w:r>
        <w:rPr>
          <w:snapToGrid w:val="0"/>
        </w:rPr>
        <w:tab/>
        <w:t>Legal impediments to occupation as residence</w:t>
      </w:r>
      <w:bookmarkEnd w:id="76"/>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 No. 60 of 2011 s. 40 and 89.]</w:t>
      </w:r>
    </w:p>
    <w:p>
      <w:pPr>
        <w:pStyle w:val="Heading5"/>
      </w:pPr>
      <w:bookmarkStart w:id="77" w:name="_Toc2160897"/>
      <w:r>
        <w:rPr>
          <w:rStyle w:val="CharSectno"/>
        </w:rPr>
        <w:t>42</w:t>
      </w:r>
      <w:r>
        <w:t>.</w:t>
      </w:r>
      <w:r>
        <w:tab/>
        <w:t>Lessor’s responsibility for cleanliness and repairs</w:t>
      </w:r>
      <w:bookmarkEnd w:id="77"/>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78" w:name="_Toc2160898"/>
      <w:r>
        <w:rPr>
          <w:rStyle w:val="CharSectno"/>
        </w:rPr>
        <w:t>43</w:t>
      </w:r>
      <w:r>
        <w:t>.</w:t>
      </w:r>
      <w:r>
        <w:tab/>
        <w:t>Urgent repairs</w:t>
      </w:r>
      <w:bookmarkEnd w:id="78"/>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w:t>
      </w:r>
    </w:p>
    <w:p>
      <w:pPr>
        <w:pStyle w:val="Heading5"/>
      </w:pPr>
      <w:bookmarkStart w:id="79" w:name="_Toc2160899"/>
      <w:r>
        <w:rPr>
          <w:rStyle w:val="CharSectno"/>
        </w:rPr>
        <w:t>44</w:t>
      </w:r>
      <w:r>
        <w:t>.</w:t>
      </w:r>
      <w:r>
        <w:tab/>
        <w:t>Quiet enjoyment</w:t>
      </w:r>
      <w:bookmarkEnd w:id="79"/>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80" w:name="_Toc2160900"/>
      <w:r>
        <w:rPr>
          <w:rStyle w:val="CharSectno"/>
        </w:rPr>
        <w:t>45</w:t>
      </w:r>
      <w:r>
        <w:t>.</w:t>
      </w:r>
      <w:r>
        <w:tab/>
        <w:t>Securing premises</w:t>
      </w:r>
      <w:bookmarkEnd w:id="80"/>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 No. 60 of 2011 s. 41; application modified: Residential Tenancies Regulations 1989 r. 7A.]</w:t>
      </w:r>
    </w:p>
    <w:p>
      <w:pPr>
        <w:pStyle w:val="Heading5"/>
      </w:pPr>
      <w:bookmarkStart w:id="81" w:name="_Toc2160901"/>
      <w:r>
        <w:rPr>
          <w:rStyle w:val="CharSectno"/>
        </w:rPr>
        <w:t>46</w:t>
      </w:r>
      <w:r>
        <w:t>.</w:t>
      </w:r>
      <w:r>
        <w:tab/>
        <w:t>Lessor’s right of entry</w:t>
      </w:r>
      <w:bookmarkEnd w:id="81"/>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a form approved by the Commissioner;</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w:t>
      </w:r>
    </w:p>
    <w:p>
      <w:pPr>
        <w:pStyle w:val="Heading5"/>
      </w:pPr>
      <w:bookmarkStart w:id="82" w:name="_Toc2160902"/>
      <w:r>
        <w:rPr>
          <w:rStyle w:val="CharSectno"/>
        </w:rPr>
        <w:t>47</w:t>
      </w:r>
      <w:r>
        <w:t>.</w:t>
      </w:r>
      <w:r>
        <w:tab/>
        <w:t>Right of tenant to affix and remove fixtures etc.</w:t>
      </w:r>
      <w:bookmarkEnd w:id="82"/>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No. 60 of 2011 s. 42, 88 and 89.] </w:t>
      </w:r>
    </w:p>
    <w:p>
      <w:pPr>
        <w:pStyle w:val="Heading5"/>
        <w:rPr>
          <w:snapToGrid w:val="0"/>
        </w:rPr>
      </w:pPr>
      <w:bookmarkStart w:id="83" w:name="_Toc2160903"/>
      <w:r>
        <w:rPr>
          <w:rStyle w:val="CharSectno"/>
        </w:rPr>
        <w:t>48</w:t>
      </w:r>
      <w:r>
        <w:rPr>
          <w:snapToGrid w:val="0"/>
        </w:rPr>
        <w:t>.</w:t>
      </w:r>
      <w:r>
        <w:rPr>
          <w:snapToGrid w:val="0"/>
        </w:rPr>
        <w:tab/>
        <w:t>Lessor to bear outgoings in respect of premises</w:t>
      </w:r>
      <w:bookmarkEnd w:id="83"/>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No. 73 of 1995 s. 188; No. 14 of 1996 s. 4; No. 45 of 2002 s. 21; No. 60 of 2011 s. 43 and 89.] </w:t>
      </w:r>
    </w:p>
    <w:p>
      <w:pPr>
        <w:pStyle w:val="Heading5"/>
      </w:pPr>
      <w:bookmarkStart w:id="84" w:name="_Toc2160904"/>
      <w:r>
        <w:rPr>
          <w:rStyle w:val="CharSectno"/>
        </w:rPr>
        <w:t>49A</w:t>
      </w:r>
      <w:r>
        <w:t>.</w:t>
      </w:r>
      <w:r>
        <w:tab/>
        <w:t>Lessor’s and tenant’s responsibilities in respect of public utility services</w:t>
      </w:r>
      <w:bookmarkEnd w:id="84"/>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spacing w:before="60"/>
      </w:pPr>
      <w:r>
        <w:rPr>
          <w:snapToGrid w:val="0"/>
        </w:rPr>
        <w:tab/>
        <w:t>(a)</w:t>
      </w:r>
      <w:r>
        <w:rPr>
          <w:snapToGrid w:val="0"/>
        </w:rPr>
        <w:tab/>
        <w:t>the charge is calculated by reference to consumption at the residential premises by the tenant; and</w:t>
      </w:r>
    </w:p>
    <w:p>
      <w:pPr>
        <w:pStyle w:val="Indenta"/>
        <w:spacing w:before="60"/>
      </w:pPr>
      <w:r>
        <w:rPr>
          <w:snapToGrid w:val="0"/>
        </w:rPr>
        <w:tab/>
        <w:t>(b)</w:t>
      </w:r>
      <w:r>
        <w:rPr>
          <w:snapToGrid w:val="0"/>
        </w:rPr>
        <w:tab/>
        <w:t>the tenant is given notice in writing of the charge in relation to the public utility service, specifying —</w:t>
      </w:r>
    </w:p>
    <w:p>
      <w:pPr>
        <w:pStyle w:val="Indenti"/>
        <w:spacing w:before="60"/>
      </w:pPr>
      <w:r>
        <w:tab/>
        <w:t>(i)</w:t>
      </w:r>
      <w:r>
        <w:tab/>
      </w:r>
      <w:r>
        <w:rPr>
          <w:snapToGrid w:val="0"/>
        </w:rPr>
        <w:t>if consumption at the premises is metered — the relevant meter reading, or readings, and the charge per metered unit; or</w:t>
      </w:r>
    </w:p>
    <w:p>
      <w:pPr>
        <w:pStyle w:val="Indenti"/>
        <w:spacing w:before="60"/>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spacing w:before="60"/>
      </w:pPr>
      <w:r>
        <w:tab/>
      </w:r>
      <w:r>
        <w:tab/>
        <w:t>and</w:t>
      </w:r>
    </w:p>
    <w:p>
      <w:pPr>
        <w:pStyle w:val="Indenta"/>
        <w:spacing w:before="60"/>
      </w:pPr>
      <w:r>
        <w:tab/>
        <w:t>(c)</w:t>
      </w:r>
      <w:r>
        <w:tab/>
        <w:t>the tenant is provided with full details of the account for the charge including —</w:t>
      </w:r>
    </w:p>
    <w:p>
      <w:pPr>
        <w:pStyle w:val="Indenti"/>
        <w:spacing w:before="60"/>
      </w:pPr>
      <w:r>
        <w:tab/>
        <w:t>(i)</w:t>
      </w:r>
      <w:r>
        <w:tab/>
        <w:t>any meter readings and the charge per metered unit; or</w:t>
      </w:r>
    </w:p>
    <w:p>
      <w:pPr>
        <w:pStyle w:val="Indenti"/>
        <w:spacing w:before="60"/>
      </w:pPr>
      <w:r>
        <w:tab/>
        <w:t>(ii)</w:t>
      </w:r>
      <w:r>
        <w:tab/>
        <w:t>the agreed method of calculating referred to in paragraph (b)(ii),</w:t>
      </w:r>
    </w:p>
    <w:p>
      <w:pPr>
        <w:pStyle w:val="Indenta"/>
        <w:spacing w:before="60"/>
      </w:pPr>
      <w:r>
        <w:tab/>
      </w:r>
      <w:r>
        <w:tab/>
        <w:t>and the amount of GST payable in respect of the provision of the public utility service to the residential premises.</w:t>
      </w:r>
    </w:p>
    <w:p>
      <w:pPr>
        <w:pStyle w:val="Footnotesection"/>
      </w:pPr>
      <w:r>
        <w:tab/>
        <w:t xml:space="preserve">[Section 49A inserted: No. 60 of 2011 s. 44.] </w:t>
      </w:r>
    </w:p>
    <w:p>
      <w:pPr>
        <w:pStyle w:val="Heading5"/>
        <w:rPr>
          <w:snapToGrid w:val="0"/>
        </w:rPr>
      </w:pPr>
      <w:bookmarkStart w:id="85" w:name="_Toc2160905"/>
      <w:r>
        <w:rPr>
          <w:rStyle w:val="CharSectno"/>
        </w:rPr>
        <w:t>49</w:t>
      </w:r>
      <w:r>
        <w:rPr>
          <w:snapToGrid w:val="0"/>
        </w:rPr>
        <w:t>.</w:t>
      </w:r>
      <w:r>
        <w:rPr>
          <w:snapToGrid w:val="0"/>
        </w:rPr>
        <w:tab/>
        <w:t>Right of tenant to assign or sub</w:t>
      </w:r>
      <w:r>
        <w:rPr>
          <w:snapToGrid w:val="0"/>
        </w:rPr>
        <w:noBreakHyphen/>
        <w:t>let</w:t>
      </w:r>
      <w:bookmarkEnd w:id="85"/>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86" w:name="_Toc2160906"/>
      <w:r>
        <w:rPr>
          <w:rStyle w:val="CharSectno"/>
        </w:rPr>
        <w:t>50</w:t>
      </w:r>
      <w:r>
        <w:rPr>
          <w:snapToGrid w:val="0"/>
        </w:rPr>
        <w:t>.</w:t>
      </w:r>
      <w:r>
        <w:rPr>
          <w:snapToGrid w:val="0"/>
        </w:rPr>
        <w:tab/>
        <w:t>Vicarious responsibility of tenant for breach by other person lawfully on premises</w:t>
      </w:r>
      <w:bookmarkEnd w:id="86"/>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No. 60 of 2011 s. 46.] </w:t>
      </w:r>
    </w:p>
    <w:p>
      <w:pPr>
        <w:pStyle w:val="Heading3"/>
      </w:pPr>
      <w:bookmarkStart w:id="87" w:name="_Toc2153349"/>
      <w:bookmarkStart w:id="88" w:name="_Toc2160183"/>
      <w:bookmarkStart w:id="89" w:name="_Toc2160907"/>
      <w:r>
        <w:rPr>
          <w:rStyle w:val="CharDivNo"/>
        </w:rPr>
        <w:t>Division 3</w:t>
      </w:r>
      <w:r>
        <w:t> — </w:t>
      </w:r>
      <w:r>
        <w:rPr>
          <w:rStyle w:val="CharDivText"/>
        </w:rPr>
        <w:t>General</w:t>
      </w:r>
      <w:bookmarkEnd w:id="87"/>
      <w:bookmarkEnd w:id="88"/>
      <w:bookmarkEnd w:id="89"/>
    </w:p>
    <w:p>
      <w:pPr>
        <w:pStyle w:val="Footnoteheading"/>
      </w:pPr>
      <w:r>
        <w:tab/>
        <w:t xml:space="preserve">[Heading inserted: No. 60 of 2011 s. 47.] </w:t>
      </w:r>
    </w:p>
    <w:p>
      <w:pPr>
        <w:pStyle w:val="Heading5"/>
      </w:pPr>
      <w:bookmarkStart w:id="90" w:name="_Toc2160908"/>
      <w:r>
        <w:rPr>
          <w:rStyle w:val="CharSectno"/>
        </w:rPr>
        <w:t>51</w:t>
      </w:r>
      <w:r>
        <w:t>.</w:t>
      </w:r>
      <w:r>
        <w:tab/>
        <w:t>Tenant to be notified of lessor’s name and address</w:t>
      </w:r>
      <w:bookmarkEnd w:id="90"/>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spacing w:before="100"/>
      </w:pPr>
      <w:r>
        <w:tab/>
        <w:t xml:space="preserve">[Section 51 inserted: No. 60 of 2011 s. 48.] </w:t>
      </w:r>
    </w:p>
    <w:p>
      <w:pPr>
        <w:pStyle w:val="Heading5"/>
        <w:rPr>
          <w:snapToGrid w:val="0"/>
        </w:rPr>
      </w:pPr>
      <w:bookmarkStart w:id="91" w:name="_Toc2160909"/>
      <w:r>
        <w:rPr>
          <w:rStyle w:val="CharSectno"/>
        </w:rPr>
        <w:t>52</w:t>
      </w:r>
      <w:r>
        <w:rPr>
          <w:snapToGrid w:val="0"/>
        </w:rPr>
        <w:t>.</w:t>
      </w:r>
      <w:r>
        <w:rPr>
          <w:snapToGrid w:val="0"/>
        </w:rPr>
        <w:tab/>
        <w:t>Failure to pay rent with intention it be recovered from security bond</w:t>
      </w:r>
      <w:bookmarkEnd w:id="91"/>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92" w:name="_Toc2160910"/>
      <w:r>
        <w:rPr>
          <w:rStyle w:val="CharSectno"/>
        </w:rPr>
        <w:t>53</w:t>
      </w:r>
      <w:r>
        <w:t>.</w:t>
      </w:r>
      <w:r>
        <w:tab/>
        <w:t>Tenant’s name, place of employment and forwarding address</w:t>
      </w:r>
      <w:bookmarkEnd w:id="92"/>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No. 60 of 2011 s. 50.] </w:t>
      </w:r>
    </w:p>
    <w:p>
      <w:pPr>
        <w:pStyle w:val="Heading5"/>
        <w:rPr>
          <w:snapToGrid w:val="0"/>
        </w:rPr>
      </w:pPr>
      <w:bookmarkStart w:id="93" w:name="_Toc2160911"/>
      <w:r>
        <w:rPr>
          <w:rStyle w:val="CharSectno"/>
        </w:rPr>
        <w:t>54</w:t>
      </w:r>
      <w:r>
        <w:rPr>
          <w:snapToGrid w:val="0"/>
        </w:rPr>
        <w:t>.</w:t>
      </w:r>
      <w:r>
        <w:rPr>
          <w:snapToGrid w:val="0"/>
        </w:rPr>
        <w:tab/>
        <w:t>Lessor to deliver copy of agreement to tenant</w:t>
      </w:r>
      <w:bookmarkEnd w:id="93"/>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w:t>
      </w:r>
    </w:p>
    <w:p>
      <w:pPr>
        <w:pStyle w:val="Heading5"/>
      </w:pPr>
      <w:bookmarkStart w:id="94" w:name="_Toc2160912"/>
      <w:r>
        <w:rPr>
          <w:rStyle w:val="CharSectno"/>
        </w:rPr>
        <w:t>55</w:t>
      </w:r>
      <w:r>
        <w:t>.</w:t>
      </w:r>
      <w:r>
        <w:tab/>
        <w:t>Cost of written agreement to be borne by lessor</w:t>
      </w:r>
      <w:bookmarkEnd w:id="94"/>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95" w:name="_Toc2160913"/>
      <w:r>
        <w:rPr>
          <w:rStyle w:val="CharSectno"/>
        </w:rPr>
        <w:t>56</w:t>
      </w:r>
      <w:r>
        <w:rPr>
          <w:snapToGrid w:val="0"/>
        </w:rPr>
        <w:t>.</w:t>
      </w:r>
      <w:r>
        <w:rPr>
          <w:snapToGrid w:val="0"/>
        </w:rPr>
        <w:tab/>
        <w:t>Discrimination against tenants with children</w:t>
      </w:r>
      <w:bookmarkEnd w:id="95"/>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pPr>
      <w:r>
        <w:tab/>
        <w:t xml:space="preserve">[Section 56 amended: No. 59 of 1995 s. 55; No. 60 of 2011 s. 53.] </w:t>
      </w:r>
    </w:p>
    <w:p>
      <w:pPr>
        <w:pStyle w:val="Heading5"/>
        <w:spacing w:before="200"/>
        <w:rPr>
          <w:snapToGrid w:val="0"/>
        </w:rPr>
      </w:pPr>
      <w:bookmarkStart w:id="96" w:name="_Toc2160914"/>
      <w:r>
        <w:rPr>
          <w:rStyle w:val="CharSectno"/>
        </w:rPr>
        <w:t>57</w:t>
      </w:r>
      <w:r>
        <w:rPr>
          <w:snapToGrid w:val="0"/>
        </w:rPr>
        <w:t>.</w:t>
      </w:r>
      <w:r>
        <w:rPr>
          <w:snapToGrid w:val="0"/>
        </w:rPr>
        <w:tab/>
        <w:t>Accelerated rent and liquidated damages prohibited</w:t>
      </w:r>
      <w:bookmarkEnd w:id="96"/>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w:t>
      </w:r>
    </w:p>
    <w:p>
      <w:pPr>
        <w:pStyle w:val="Heading5"/>
        <w:rPr>
          <w:snapToGrid w:val="0"/>
        </w:rPr>
      </w:pPr>
      <w:bookmarkStart w:id="97" w:name="_Toc2160915"/>
      <w:r>
        <w:rPr>
          <w:rStyle w:val="CharSectno"/>
        </w:rPr>
        <w:t>58</w:t>
      </w:r>
      <w:r>
        <w:rPr>
          <w:snapToGrid w:val="0"/>
        </w:rPr>
        <w:t>.</w:t>
      </w:r>
      <w:r>
        <w:rPr>
          <w:snapToGrid w:val="0"/>
        </w:rPr>
        <w:tab/>
        <w:t>Duty of mitigation</w:t>
      </w:r>
      <w:bookmarkEnd w:id="97"/>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98" w:name="_Toc2160916"/>
      <w:r>
        <w:rPr>
          <w:rStyle w:val="CharSectno"/>
        </w:rPr>
        <w:t>59A</w:t>
      </w:r>
      <w:r>
        <w:t>.</w:t>
      </w:r>
      <w:r>
        <w:tab/>
        <w:t>Minors</w:t>
      </w:r>
      <w:bookmarkEnd w:id="98"/>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99" w:name="_Toc2160917"/>
      <w:r>
        <w:rPr>
          <w:rStyle w:val="CharSectno"/>
        </w:rPr>
        <w:t>59B</w:t>
      </w:r>
      <w:r>
        <w:t>.</w:t>
      </w:r>
      <w:r>
        <w:tab/>
        <w:t>Death of one of 2 or more tenants</w:t>
      </w:r>
      <w:bookmarkEnd w:id="99"/>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100" w:name="_Toc2160918"/>
      <w:r>
        <w:rPr>
          <w:rStyle w:val="CharSectno"/>
        </w:rPr>
        <w:t>59C</w:t>
      </w:r>
      <w:r>
        <w:t>.</w:t>
      </w:r>
      <w:r>
        <w:tab/>
        <w:t>Recognition of certain persons as tenants</w:t>
      </w:r>
      <w:bookmarkEnd w:id="100"/>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101" w:name="_Toc2160919"/>
      <w:r>
        <w:rPr>
          <w:rStyle w:val="CharSectno"/>
        </w:rPr>
        <w:t>59D</w:t>
      </w:r>
      <w:r>
        <w:t>.</w:t>
      </w:r>
      <w:r>
        <w:tab/>
        <w:t>Tenant compensation bonds</w:t>
      </w:r>
      <w:bookmarkEnd w:id="101"/>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102" w:name="_Toc2160920"/>
      <w:r>
        <w:rPr>
          <w:rStyle w:val="CharSectno"/>
        </w:rPr>
        <w:t>59E</w:t>
      </w:r>
      <w:r>
        <w:t>.</w:t>
      </w:r>
      <w:r>
        <w:tab/>
      </w:r>
      <w:r>
        <w:rPr>
          <w:snapToGrid w:val="0"/>
        </w:rPr>
        <w:t>Interference with quiet enjoyment</w:t>
      </w:r>
      <w:bookmarkEnd w:id="102"/>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pPr>
      <w:r>
        <w:tab/>
        <w:t>[Section 59E inserted: No. 60 of 2011 s. 56.]</w:t>
      </w:r>
    </w:p>
    <w:p>
      <w:pPr>
        <w:pStyle w:val="Heading5"/>
      </w:pPr>
      <w:bookmarkStart w:id="103" w:name="_Toc2160921"/>
      <w:r>
        <w:rPr>
          <w:rStyle w:val="CharSectno"/>
        </w:rPr>
        <w:t>59F</w:t>
      </w:r>
      <w:r>
        <w:t>.</w:t>
      </w:r>
      <w:r>
        <w:tab/>
      </w:r>
      <w:r>
        <w:rPr>
          <w:snapToGrid w:val="0"/>
        </w:rPr>
        <w:t>Offences relating to security of residential premises</w:t>
      </w:r>
      <w:bookmarkEnd w:id="103"/>
    </w:p>
    <w:p>
      <w:pPr>
        <w:pStyle w:val="Subsection"/>
      </w:pPr>
      <w:r>
        <w:tab/>
        <w:t>(1)</w:t>
      </w:r>
      <w:r>
        <w:tab/>
        <w:t>A lessor or tenant who breaches the term referred to in section 45(b) without reasonable excuse commits an offence.</w:t>
      </w:r>
    </w:p>
    <w:p>
      <w:pPr>
        <w:pStyle w:val="Penstart"/>
      </w:pPr>
      <w:r>
        <w:tab/>
        <w:t>Penalty: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w:t>
      </w:r>
    </w:p>
    <w:p>
      <w:pPr>
        <w:pStyle w:val="Heading2"/>
      </w:pPr>
      <w:bookmarkStart w:id="104" w:name="_Toc2153364"/>
      <w:bookmarkStart w:id="105" w:name="_Toc2160198"/>
      <w:bookmarkStart w:id="106" w:name="_Toc2160922"/>
      <w:r>
        <w:rPr>
          <w:rStyle w:val="CharPartNo"/>
        </w:rPr>
        <w:t>Part V</w:t>
      </w:r>
      <w:r>
        <w:t> — </w:t>
      </w:r>
      <w:r>
        <w:rPr>
          <w:rStyle w:val="CharPartText"/>
        </w:rPr>
        <w:t>Termination of residential tenancy agreements</w:t>
      </w:r>
      <w:bookmarkEnd w:id="104"/>
      <w:bookmarkEnd w:id="105"/>
      <w:bookmarkEnd w:id="106"/>
    </w:p>
    <w:p>
      <w:pPr>
        <w:pStyle w:val="Heading3"/>
      </w:pPr>
      <w:bookmarkStart w:id="107" w:name="_Toc2153365"/>
      <w:bookmarkStart w:id="108" w:name="_Toc2160199"/>
      <w:bookmarkStart w:id="109" w:name="_Toc2160923"/>
      <w:r>
        <w:rPr>
          <w:rStyle w:val="CharDivNo"/>
        </w:rPr>
        <w:t>Division 1</w:t>
      </w:r>
      <w:r>
        <w:t> — </w:t>
      </w:r>
      <w:r>
        <w:rPr>
          <w:rStyle w:val="CharDivText"/>
        </w:rPr>
        <w:t>How residential tenancy agreements are terminated</w:t>
      </w:r>
      <w:bookmarkEnd w:id="107"/>
      <w:bookmarkEnd w:id="108"/>
      <w:bookmarkEnd w:id="109"/>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110" w:name="_Toc2160924"/>
      <w:r>
        <w:rPr>
          <w:rStyle w:val="CharSectno"/>
        </w:rPr>
        <w:t>60</w:t>
      </w:r>
      <w:r>
        <w:rPr>
          <w:snapToGrid w:val="0"/>
        </w:rPr>
        <w:t>.</w:t>
      </w:r>
      <w:r>
        <w:rPr>
          <w:snapToGrid w:val="0"/>
        </w:rPr>
        <w:tab/>
        <w:t>How residential tenancy agreements are terminated</w:t>
      </w:r>
      <w:bookmarkEnd w:id="110"/>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No. 50 of 1988 s. 18; No. 59 of 1995 s. 49; No. 59 of 2004 s. 120(1); No. 60 of 2011 s. 59, 88, 89 and 91.] </w:t>
      </w:r>
    </w:p>
    <w:p>
      <w:pPr>
        <w:pStyle w:val="Heading3"/>
      </w:pPr>
      <w:bookmarkStart w:id="111" w:name="_Toc2153367"/>
      <w:bookmarkStart w:id="112" w:name="_Toc2160201"/>
      <w:bookmarkStart w:id="113" w:name="_Toc2160925"/>
      <w:r>
        <w:rPr>
          <w:rStyle w:val="CharDivNo"/>
        </w:rPr>
        <w:t>Division 2</w:t>
      </w:r>
      <w:r>
        <w:t> — </w:t>
      </w:r>
      <w:r>
        <w:rPr>
          <w:rStyle w:val="CharDivText"/>
        </w:rPr>
        <w:t>Notices of termination</w:t>
      </w:r>
      <w:bookmarkEnd w:id="111"/>
      <w:bookmarkEnd w:id="112"/>
      <w:bookmarkEnd w:id="113"/>
    </w:p>
    <w:p>
      <w:pPr>
        <w:pStyle w:val="Footnoteheading"/>
      </w:pPr>
      <w:r>
        <w:tab/>
        <w:t>[Heading inserted: No. 60 of 2011 s. 60.]</w:t>
      </w:r>
    </w:p>
    <w:p>
      <w:pPr>
        <w:pStyle w:val="Heading5"/>
      </w:pPr>
      <w:bookmarkStart w:id="114" w:name="_Toc2160926"/>
      <w:r>
        <w:rPr>
          <w:rStyle w:val="CharSectno"/>
        </w:rPr>
        <w:t>61</w:t>
      </w:r>
      <w:r>
        <w:t>.</w:t>
      </w:r>
      <w:r>
        <w:tab/>
        <w:t>Form of notice of termination by lessor</w:t>
      </w:r>
      <w:bookmarkEnd w:id="114"/>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115" w:name="_Toc2160927"/>
      <w:r>
        <w:rPr>
          <w:rStyle w:val="CharSectno"/>
        </w:rPr>
        <w:t>62</w:t>
      </w:r>
      <w:r>
        <w:rPr>
          <w:snapToGrid w:val="0"/>
        </w:rPr>
        <w:t>.</w:t>
      </w:r>
      <w:r>
        <w:rPr>
          <w:snapToGrid w:val="0"/>
        </w:rPr>
        <w:tab/>
        <w:t>Notice of termination by lessor upon ground of breach of term of agreement</w:t>
      </w:r>
      <w:bookmarkEnd w:id="115"/>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116" w:name="_Toc2160928"/>
      <w:r>
        <w:rPr>
          <w:rStyle w:val="CharSectno"/>
        </w:rPr>
        <w:t>63</w:t>
      </w:r>
      <w:r>
        <w:t>.</w:t>
      </w:r>
      <w:r>
        <w:tab/>
        <w:t>Notice of termination by lessor who has entered into contract of sale</w:t>
      </w:r>
      <w:bookmarkEnd w:id="116"/>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No. 60 of 2011 s. 63.]</w:t>
      </w:r>
    </w:p>
    <w:p>
      <w:pPr>
        <w:pStyle w:val="Heading5"/>
      </w:pPr>
      <w:bookmarkStart w:id="117" w:name="_Toc2160929"/>
      <w:r>
        <w:rPr>
          <w:rStyle w:val="CharSectno"/>
        </w:rPr>
        <w:t>64</w:t>
      </w:r>
      <w:r>
        <w:t>.</w:t>
      </w:r>
      <w:r>
        <w:tab/>
        <w:t>Notice of termination by lessor without any ground</w:t>
      </w:r>
      <w:bookmarkEnd w:id="117"/>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w:t>
      </w:r>
    </w:p>
    <w:p>
      <w:pPr>
        <w:pStyle w:val="Heading5"/>
        <w:rPr>
          <w:snapToGrid w:val="0"/>
        </w:rPr>
      </w:pPr>
      <w:bookmarkStart w:id="118" w:name="_Toc2160930"/>
      <w:r>
        <w:rPr>
          <w:rStyle w:val="CharSectno"/>
        </w:rPr>
        <w:t>65</w:t>
      </w:r>
      <w:r>
        <w:rPr>
          <w:snapToGrid w:val="0"/>
        </w:rPr>
        <w:t>.</w:t>
      </w:r>
      <w:r>
        <w:rPr>
          <w:snapToGrid w:val="0"/>
        </w:rPr>
        <w:tab/>
        <w:t>Termination by lessor where s. 32 invoked</w:t>
      </w:r>
      <w:bookmarkEnd w:id="118"/>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119" w:name="_Toc2160931"/>
      <w:r>
        <w:rPr>
          <w:rStyle w:val="CharSectno"/>
        </w:rPr>
        <w:t>66</w:t>
      </w:r>
      <w:r>
        <w:rPr>
          <w:snapToGrid w:val="0"/>
        </w:rPr>
        <w:t>.</w:t>
      </w:r>
      <w:r>
        <w:rPr>
          <w:snapToGrid w:val="0"/>
        </w:rPr>
        <w:tab/>
        <w:t>Notice by lessor not waived by acceptance of rent</w:t>
      </w:r>
      <w:bookmarkEnd w:id="119"/>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120" w:name="_Toc2160932"/>
      <w:r>
        <w:rPr>
          <w:rStyle w:val="CharSectno"/>
        </w:rPr>
        <w:t>67</w:t>
      </w:r>
      <w:r>
        <w:rPr>
          <w:snapToGrid w:val="0"/>
        </w:rPr>
        <w:t>.</w:t>
      </w:r>
      <w:r>
        <w:rPr>
          <w:snapToGrid w:val="0"/>
        </w:rPr>
        <w:tab/>
        <w:t>Form of notice of termination by tenant</w:t>
      </w:r>
      <w:bookmarkEnd w:id="120"/>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 xml:space="preserve">[Section 67 amended: No. 60 of 2011 s. 88.] </w:t>
      </w:r>
    </w:p>
    <w:p>
      <w:pPr>
        <w:pStyle w:val="Heading5"/>
        <w:rPr>
          <w:snapToGrid w:val="0"/>
        </w:rPr>
      </w:pPr>
      <w:bookmarkStart w:id="121" w:name="_Toc2160933"/>
      <w:r>
        <w:rPr>
          <w:rStyle w:val="CharSectno"/>
        </w:rPr>
        <w:t>68</w:t>
      </w:r>
      <w:r>
        <w:rPr>
          <w:snapToGrid w:val="0"/>
        </w:rPr>
        <w:t>.</w:t>
      </w:r>
      <w:r>
        <w:rPr>
          <w:snapToGrid w:val="0"/>
        </w:rPr>
        <w:tab/>
        <w:t>Notice of termination by tenant</w:t>
      </w:r>
      <w:bookmarkEnd w:id="121"/>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122" w:name="_Toc2160934"/>
      <w:r>
        <w:rPr>
          <w:rStyle w:val="CharSectno"/>
        </w:rPr>
        <w:t>69</w:t>
      </w:r>
      <w:r>
        <w:rPr>
          <w:snapToGrid w:val="0"/>
        </w:rPr>
        <w:t>.</w:t>
      </w:r>
      <w:r>
        <w:rPr>
          <w:snapToGrid w:val="0"/>
        </w:rPr>
        <w:tab/>
        <w:t>Notice of termination by lessor or tenant where agreement frustrated</w:t>
      </w:r>
      <w:bookmarkEnd w:id="122"/>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123" w:name="_Toc2160935"/>
      <w:r>
        <w:rPr>
          <w:rStyle w:val="CharSectno"/>
        </w:rPr>
        <w:t>70A</w:t>
      </w:r>
      <w:r>
        <w:t>.</w:t>
      </w:r>
      <w:r>
        <w:tab/>
        <w:t>Notice of termination by lessor or tenant at end of fixed term tenancy</w:t>
      </w:r>
      <w:bookmarkEnd w:id="123"/>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124" w:name="_Toc2160936"/>
      <w:r>
        <w:rPr>
          <w:rStyle w:val="CharSectno"/>
        </w:rPr>
        <w:t>70</w:t>
      </w:r>
      <w:r>
        <w:rPr>
          <w:snapToGrid w:val="0"/>
        </w:rPr>
        <w:t>.</w:t>
      </w:r>
      <w:r>
        <w:rPr>
          <w:snapToGrid w:val="0"/>
        </w:rPr>
        <w:tab/>
        <w:t>Effect of notice of termination of periodic tenancy</w:t>
      </w:r>
      <w:bookmarkEnd w:id="124"/>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125" w:name="_Toc2153379"/>
      <w:bookmarkStart w:id="126" w:name="_Toc2160213"/>
      <w:bookmarkStart w:id="127" w:name="_Toc2160937"/>
      <w:r>
        <w:rPr>
          <w:rStyle w:val="CharDivNo"/>
        </w:rPr>
        <w:t>Division 3</w:t>
      </w:r>
      <w:r>
        <w:t> — </w:t>
      </w:r>
      <w:r>
        <w:rPr>
          <w:rStyle w:val="CharDivText"/>
        </w:rPr>
        <w:t>Special provisions about terminating social housing tenancy agreements</w:t>
      </w:r>
      <w:bookmarkEnd w:id="125"/>
      <w:bookmarkEnd w:id="126"/>
      <w:bookmarkEnd w:id="127"/>
    </w:p>
    <w:p>
      <w:pPr>
        <w:pStyle w:val="Footnoteheading"/>
      </w:pPr>
      <w:r>
        <w:tab/>
        <w:t>[Heading inserted: No. 60 of 2011 s. 92.]</w:t>
      </w:r>
    </w:p>
    <w:p>
      <w:pPr>
        <w:pStyle w:val="Heading4"/>
      </w:pPr>
      <w:bookmarkStart w:id="128" w:name="_Toc2153380"/>
      <w:bookmarkStart w:id="129" w:name="_Toc2160214"/>
      <w:bookmarkStart w:id="130" w:name="_Toc2160938"/>
      <w:r>
        <w:t>Subdivision 1 — Preliminary</w:t>
      </w:r>
      <w:bookmarkEnd w:id="128"/>
      <w:bookmarkEnd w:id="129"/>
      <w:bookmarkEnd w:id="130"/>
    </w:p>
    <w:p>
      <w:pPr>
        <w:pStyle w:val="Footnoteheading"/>
      </w:pPr>
      <w:r>
        <w:tab/>
        <w:t>[Heading inserted: No. 60 of 2011 s. 92.]</w:t>
      </w:r>
    </w:p>
    <w:p>
      <w:pPr>
        <w:pStyle w:val="Heading5"/>
      </w:pPr>
      <w:bookmarkStart w:id="131" w:name="_Toc2160939"/>
      <w:r>
        <w:rPr>
          <w:rStyle w:val="CharSectno"/>
        </w:rPr>
        <w:t>71A</w:t>
      </w:r>
      <w:r>
        <w:t>.</w:t>
      </w:r>
      <w:r>
        <w:tab/>
        <w:t>Terms used</w:t>
      </w:r>
      <w:bookmarkEnd w:id="131"/>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132" w:name="_Toc2160940"/>
      <w:r>
        <w:rPr>
          <w:rStyle w:val="CharSectno"/>
        </w:rPr>
        <w:t>71B</w:t>
      </w:r>
      <w:r>
        <w:t>.</w:t>
      </w:r>
      <w:r>
        <w:tab/>
        <w:t>Application of Division</w:t>
      </w:r>
      <w:bookmarkEnd w:id="132"/>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133" w:name="_Toc2153383"/>
      <w:bookmarkStart w:id="134" w:name="_Toc2160217"/>
      <w:bookmarkStart w:id="135" w:name="_Toc2160941"/>
      <w:r>
        <w:t>Subdivision 2 — Notice of termination where tenant not eligible for social housing premises</w:t>
      </w:r>
      <w:bookmarkEnd w:id="133"/>
      <w:bookmarkEnd w:id="134"/>
      <w:bookmarkEnd w:id="135"/>
    </w:p>
    <w:p>
      <w:pPr>
        <w:pStyle w:val="Footnoteheading"/>
      </w:pPr>
      <w:r>
        <w:tab/>
        <w:t>[Heading inserted: No. 60 of 2011 s. 92.]</w:t>
      </w:r>
    </w:p>
    <w:p>
      <w:pPr>
        <w:pStyle w:val="Heading5"/>
        <w:rPr>
          <w:snapToGrid w:val="0"/>
        </w:rPr>
      </w:pPr>
      <w:bookmarkStart w:id="136" w:name="_Toc2160942"/>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136"/>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137" w:name="_Toc2160943"/>
      <w:r>
        <w:rPr>
          <w:rStyle w:val="CharSectno"/>
        </w:rPr>
        <w:t>71D</w:t>
      </w:r>
      <w:r>
        <w:t>.</w:t>
      </w:r>
      <w:r>
        <w:tab/>
        <w:t>Assessment of tenants eligibility for social housing premises</w:t>
      </w:r>
      <w:bookmarkEnd w:id="137"/>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138" w:name="_Toc2160944"/>
      <w:r>
        <w:rPr>
          <w:rStyle w:val="CharSectno"/>
        </w:rPr>
        <w:t>71E</w:t>
      </w:r>
      <w:r>
        <w:t>.</w:t>
      </w:r>
      <w:r>
        <w:tab/>
        <w:t>Criteria for assessing eligibility of tenants for social housing premises under s. 71D</w:t>
      </w:r>
      <w:bookmarkEnd w:id="138"/>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139" w:name="_Toc2160945"/>
      <w:r>
        <w:rPr>
          <w:rStyle w:val="CharSectno"/>
        </w:rPr>
        <w:t>71F</w:t>
      </w:r>
      <w:r>
        <w:t>.</w:t>
      </w:r>
      <w:r>
        <w:tab/>
        <w:t>Review of decision to give notice on ground that tenant not eligible for social housing premises</w:t>
      </w:r>
      <w:bookmarkEnd w:id="139"/>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140" w:name="_Toc2160946"/>
      <w:r>
        <w:rPr>
          <w:rStyle w:val="CharSectno"/>
        </w:rPr>
        <w:t>71G</w:t>
      </w:r>
      <w:r>
        <w:t>.</w:t>
      </w:r>
      <w:r>
        <w:tab/>
        <w:t xml:space="preserve">Time </w:t>
      </w:r>
      <w:r>
        <w:rPr>
          <w:snapToGrid w:val="0"/>
        </w:rPr>
        <w:t>periods to be observed where notice of termination given under this Subdivision</w:t>
      </w:r>
      <w:bookmarkEnd w:id="140"/>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141" w:name="_Toc2153389"/>
      <w:bookmarkStart w:id="142" w:name="_Toc2160223"/>
      <w:bookmarkStart w:id="143" w:name="_Toc2160947"/>
      <w:r>
        <w:t>Subdivision 3 — Notice of termination where tenant offered alternative social housing premises</w:t>
      </w:r>
      <w:bookmarkEnd w:id="141"/>
      <w:bookmarkEnd w:id="142"/>
      <w:bookmarkEnd w:id="143"/>
    </w:p>
    <w:p>
      <w:pPr>
        <w:pStyle w:val="Footnoteheading"/>
        <w:spacing w:before="100"/>
      </w:pPr>
      <w:r>
        <w:tab/>
        <w:t>[Heading inserted: No. 60 of 2011 s. 92.]</w:t>
      </w:r>
    </w:p>
    <w:p>
      <w:pPr>
        <w:pStyle w:val="Heading5"/>
        <w:rPr>
          <w:snapToGrid w:val="0"/>
        </w:rPr>
      </w:pPr>
      <w:bookmarkStart w:id="144" w:name="_Toc2160948"/>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144"/>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No. 60 of 2011 s. 92.]</w:t>
      </w:r>
    </w:p>
    <w:p>
      <w:pPr>
        <w:pStyle w:val="Heading5"/>
      </w:pPr>
      <w:bookmarkStart w:id="145" w:name="_Toc2160949"/>
      <w:r>
        <w:rPr>
          <w:rStyle w:val="CharSectno"/>
        </w:rPr>
        <w:t>71I</w:t>
      </w:r>
      <w:r>
        <w:t>.</w:t>
      </w:r>
      <w:r>
        <w:tab/>
        <w:t>Review of decision to give notice on ground that tenant offered alternative social housing premises</w:t>
      </w:r>
      <w:bookmarkEnd w:id="145"/>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146" w:name="_Toc2160950"/>
      <w:r>
        <w:rPr>
          <w:rStyle w:val="CharSectno"/>
        </w:rPr>
        <w:t>71J</w:t>
      </w:r>
      <w:r>
        <w:t>.</w:t>
      </w:r>
      <w:r>
        <w:tab/>
        <w:t xml:space="preserve">Time periods to be observed </w:t>
      </w:r>
      <w:r>
        <w:rPr>
          <w:snapToGrid w:val="0"/>
        </w:rPr>
        <w:t xml:space="preserve">where notice of termination given </w:t>
      </w:r>
      <w:r>
        <w:t>under this Subdivision</w:t>
      </w:r>
      <w:bookmarkEnd w:id="146"/>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Pr>
      <w:bookmarkStart w:id="147" w:name="_Toc2153393"/>
      <w:bookmarkStart w:id="148" w:name="_Toc2160227"/>
      <w:bookmarkStart w:id="149" w:name="_Toc2160951"/>
      <w:r>
        <w:rPr>
          <w:rStyle w:val="CharDivNo"/>
        </w:rPr>
        <w:t>Division 4</w:t>
      </w:r>
      <w:r>
        <w:t> — </w:t>
      </w:r>
      <w:r>
        <w:rPr>
          <w:rStyle w:val="CharDivText"/>
        </w:rPr>
        <w:t>Orders for termination of residential tenancy agreement</w:t>
      </w:r>
      <w:bookmarkEnd w:id="147"/>
      <w:bookmarkEnd w:id="148"/>
      <w:bookmarkEnd w:id="149"/>
    </w:p>
    <w:p>
      <w:pPr>
        <w:pStyle w:val="Footnoteheading"/>
      </w:pPr>
      <w:r>
        <w:tab/>
        <w:t>[Heading inserted: No. 60 of 2011 s. 69.]</w:t>
      </w:r>
    </w:p>
    <w:p>
      <w:pPr>
        <w:pStyle w:val="Heading5"/>
        <w:rPr>
          <w:snapToGrid w:val="0"/>
        </w:rPr>
      </w:pPr>
      <w:bookmarkStart w:id="150" w:name="_Toc2160952"/>
      <w:r>
        <w:rPr>
          <w:rStyle w:val="CharSectno"/>
        </w:rPr>
        <w:t>71</w:t>
      </w:r>
      <w:r>
        <w:rPr>
          <w:snapToGrid w:val="0"/>
        </w:rPr>
        <w:t>.</w:t>
      </w:r>
      <w:r>
        <w:rPr>
          <w:snapToGrid w:val="0"/>
        </w:rPr>
        <w:tab/>
        <w:t>Application by lessor for termination and order for possession</w:t>
      </w:r>
      <w:bookmarkEnd w:id="150"/>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w:t>
      </w:r>
    </w:p>
    <w:p>
      <w:pPr>
        <w:pStyle w:val="Heading5"/>
        <w:rPr>
          <w:snapToGrid w:val="0"/>
        </w:rPr>
      </w:pPr>
      <w:bookmarkStart w:id="151" w:name="_Toc2160953"/>
      <w:r>
        <w:rPr>
          <w:rStyle w:val="CharSectno"/>
        </w:rPr>
        <w:t>72</w:t>
      </w:r>
      <w:r>
        <w:rPr>
          <w:snapToGrid w:val="0"/>
        </w:rPr>
        <w:t>.</w:t>
      </w:r>
      <w:r>
        <w:rPr>
          <w:snapToGrid w:val="0"/>
        </w:rPr>
        <w:tab/>
        <w:t>Application for termination and order for possession in relation to fixed term agreements</w:t>
      </w:r>
      <w:bookmarkEnd w:id="151"/>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152" w:name="_Toc2160954"/>
      <w:r>
        <w:rPr>
          <w:rStyle w:val="CharSectno"/>
        </w:rPr>
        <w:t>73A</w:t>
      </w:r>
      <w:r>
        <w:t>.</w:t>
      </w:r>
      <w:r>
        <w:tab/>
        <w:t>Notice of termination not required in certain cases</w:t>
      </w:r>
      <w:bookmarkEnd w:id="152"/>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153" w:name="_Toc2160955"/>
      <w:r>
        <w:rPr>
          <w:rStyle w:val="CharSectno"/>
        </w:rPr>
        <w:t>73</w:t>
      </w:r>
      <w:r>
        <w:rPr>
          <w:snapToGrid w:val="0"/>
        </w:rPr>
        <w:t>.</w:t>
      </w:r>
      <w:r>
        <w:rPr>
          <w:snapToGrid w:val="0"/>
        </w:rPr>
        <w:tab/>
        <w:t>Termination of agreement where tenant causing serious damage or injury</w:t>
      </w:r>
      <w:bookmarkEnd w:id="153"/>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w:t>
      </w:r>
    </w:p>
    <w:p>
      <w:pPr>
        <w:pStyle w:val="Heading5"/>
        <w:rPr>
          <w:snapToGrid w:val="0"/>
        </w:rPr>
      </w:pPr>
      <w:bookmarkStart w:id="154" w:name="_Toc2160956"/>
      <w:r>
        <w:rPr>
          <w:rStyle w:val="CharSectno"/>
        </w:rPr>
        <w:t>74</w:t>
      </w:r>
      <w:r>
        <w:rPr>
          <w:snapToGrid w:val="0"/>
        </w:rPr>
        <w:t>.</w:t>
      </w:r>
      <w:r>
        <w:rPr>
          <w:snapToGrid w:val="0"/>
        </w:rPr>
        <w:tab/>
        <w:t>Termination of agreement where lessor or tenant would otherwise suffer undue hardship</w:t>
      </w:r>
      <w:bookmarkEnd w:id="154"/>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155" w:name="_Toc2160957"/>
      <w:r>
        <w:rPr>
          <w:rStyle w:val="CharSectno"/>
        </w:rPr>
        <w:t>75A</w:t>
      </w:r>
      <w:r>
        <w:t>.</w:t>
      </w:r>
      <w:r>
        <w:tab/>
        <w:t>Termination of social housing tenancy agreement due to objectionable behaviour</w:t>
      </w:r>
      <w:bookmarkEnd w:id="155"/>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156" w:name="_Toc2160958"/>
      <w:r>
        <w:rPr>
          <w:rStyle w:val="CharSectno"/>
        </w:rPr>
        <w:t>75</w:t>
      </w:r>
      <w:r>
        <w:rPr>
          <w:snapToGrid w:val="0"/>
        </w:rPr>
        <w:t>.</w:t>
      </w:r>
      <w:r>
        <w:rPr>
          <w:snapToGrid w:val="0"/>
        </w:rPr>
        <w:tab/>
        <w:t>Termination of agreement for breach by lessor</w:t>
      </w:r>
      <w:bookmarkEnd w:id="156"/>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157" w:name="_Toc2160959"/>
      <w:r>
        <w:rPr>
          <w:rStyle w:val="CharSectno"/>
        </w:rPr>
        <w:t>76A</w:t>
      </w:r>
      <w:r>
        <w:t>.</w:t>
      </w:r>
      <w:r>
        <w:tab/>
        <w:t>Termination of agreement by lessor if premises abandoned</w:t>
      </w:r>
      <w:bookmarkEnd w:id="157"/>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w:t>
      </w:r>
    </w:p>
    <w:p>
      <w:pPr>
        <w:pStyle w:val="Heading5"/>
      </w:pPr>
      <w:bookmarkStart w:id="158" w:name="_Toc2160960"/>
      <w:r>
        <w:rPr>
          <w:rStyle w:val="CharSectno"/>
        </w:rPr>
        <w:t>76B</w:t>
      </w:r>
      <w:r>
        <w:t>.</w:t>
      </w:r>
      <w:r>
        <w:tab/>
        <w:t>Dispute about s. 76A notice</w:t>
      </w:r>
      <w:bookmarkEnd w:id="158"/>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159" w:name="_Toc2153403"/>
      <w:bookmarkStart w:id="160" w:name="_Toc2160237"/>
      <w:bookmarkStart w:id="161" w:name="_Toc2160961"/>
      <w:r>
        <w:rPr>
          <w:rStyle w:val="CharDivNo"/>
        </w:rPr>
        <w:t>Division 5</w:t>
      </w:r>
      <w:r>
        <w:t> — </w:t>
      </w:r>
      <w:r>
        <w:rPr>
          <w:rStyle w:val="CharDivText"/>
        </w:rPr>
        <w:t>General</w:t>
      </w:r>
      <w:bookmarkEnd w:id="159"/>
      <w:bookmarkEnd w:id="160"/>
      <w:bookmarkEnd w:id="161"/>
    </w:p>
    <w:p>
      <w:pPr>
        <w:pStyle w:val="Footnoteheading"/>
        <w:spacing w:before="80"/>
      </w:pPr>
      <w:r>
        <w:tab/>
        <w:t>[Heading inserted: No. 60 of 2011 s. 74.]</w:t>
      </w:r>
    </w:p>
    <w:p>
      <w:pPr>
        <w:pStyle w:val="Heading5"/>
      </w:pPr>
      <w:bookmarkStart w:id="162" w:name="_Toc2160962"/>
      <w:r>
        <w:rPr>
          <w:rStyle w:val="CharSectno"/>
        </w:rPr>
        <w:t>76C</w:t>
      </w:r>
      <w:r>
        <w:t>.</w:t>
      </w:r>
      <w:r>
        <w:tab/>
        <w:t>Fixed term tenancies continued as periodic tenancies</w:t>
      </w:r>
      <w:bookmarkEnd w:id="162"/>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163" w:name="_Toc2160963"/>
      <w:r>
        <w:rPr>
          <w:rStyle w:val="CharSectno"/>
        </w:rPr>
        <w:t>76</w:t>
      </w:r>
      <w:r>
        <w:rPr>
          <w:snapToGrid w:val="0"/>
        </w:rPr>
        <w:t>.</w:t>
      </w:r>
      <w:r>
        <w:rPr>
          <w:snapToGrid w:val="0"/>
        </w:rPr>
        <w:tab/>
        <w:t>Compensation to lessor for holding over</w:t>
      </w:r>
      <w:bookmarkEnd w:id="163"/>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164" w:name="_Toc2160964"/>
      <w:r>
        <w:rPr>
          <w:rStyle w:val="CharSectno"/>
        </w:rPr>
        <w:t>77</w:t>
      </w:r>
      <w:r>
        <w:t>.</w:t>
      </w:r>
      <w:r>
        <w:tab/>
        <w:t>Abandonment of premises</w:t>
      </w:r>
      <w:bookmarkEnd w:id="164"/>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w:t>
      </w:r>
    </w:p>
    <w:p>
      <w:pPr>
        <w:pStyle w:val="Heading5"/>
      </w:pPr>
      <w:bookmarkStart w:id="165" w:name="_Toc2160965"/>
      <w:r>
        <w:rPr>
          <w:rStyle w:val="CharSectno"/>
        </w:rPr>
        <w:t>78A</w:t>
      </w:r>
      <w:r>
        <w:t>.</w:t>
      </w:r>
      <w:r>
        <w:tab/>
        <w:t>Order about abandonment</w:t>
      </w:r>
      <w:bookmarkEnd w:id="165"/>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166" w:name="_Toc2160966"/>
      <w:r>
        <w:rPr>
          <w:rStyle w:val="CharSectno"/>
        </w:rPr>
        <w:t>78B</w:t>
      </w:r>
      <w:r>
        <w:t>.</w:t>
      </w:r>
      <w:r>
        <w:tab/>
        <w:t>Review of abandonment order</w:t>
      </w:r>
      <w:bookmarkEnd w:id="166"/>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167" w:name="_Toc2160967"/>
      <w:r>
        <w:rPr>
          <w:rStyle w:val="CharSectno"/>
        </w:rPr>
        <w:t>78</w:t>
      </w:r>
      <w:r>
        <w:rPr>
          <w:snapToGrid w:val="0"/>
        </w:rPr>
        <w:t>.</w:t>
      </w:r>
      <w:r>
        <w:rPr>
          <w:snapToGrid w:val="0"/>
        </w:rPr>
        <w:tab/>
      </w:r>
      <w:r>
        <w:rPr>
          <w:bCs/>
        </w:rPr>
        <w:t>Right of lessor to compensation where tenant abandons premises</w:t>
      </w:r>
      <w:bookmarkEnd w:id="167"/>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168" w:name="_Toc2160968"/>
      <w:r>
        <w:rPr>
          <w:rStyle w:val="CharSectno"/>
        </w:rPr>
        <w:t>79</w:t>
      </w:r>
      <w:r>
        <w:rPr>
          <w:snapToGrid w:val="0"/>
        </w:rPr>
        <w:t>.</w:t>
      </w:r>
      <w:r>
        <w:rPr>
          <w:snapToGrid w:val="0"/>
        </w:rPr>
        <w:tab/>
        <w:t>Abandoned goods</w:t>
      </w:r>
      <w:bookmarkEnd w:id="168"/>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pPr>
      <w:r>
        <w:tab/>
        <w:t>(3)</w:t>
      </w:r>
      <w:r>
        <w:tab/>
        <w:t xml:space="preserve">A lessor who stores goods under subsection (2) must cause notice in or to the effect of the form approved by the Commissioner for the purposes of this subsection — </w:t>
      </w:r>
    </w:p>
    <w:p>
      <w:pPr>
        <w:pStyle w:val="Indenta"/>
      </w:pPr>
      <w:r>
        <w:tab/>
        <w:t>(a)</w:t>
      </w:r>
      <w:r>
        <w:tab/>
        <w:t>to be given to the tenant within 7 days after the day on which the goods were stored; or</w:t>
      </w:r>
    </w:p>
    <w:p>
      <w:pPr>
        <w:pStyle w:val="Indenta"/>
      </w:pPr>
      <w:r>
        <w:tab/>
        <w:t>(b)</w:t>
      </w:r>
      <w:r>
        <w:tab/>
        <w:t xml:space="preserve">to be — </w:t>
      </w:r>
    </w:p>
    <w:p>
      <w:pPr>
        <w:pStyle w:val="Indenti"/>
      </w:pPr>
      <w:r>
        <w:tab/>
        <w:t>(i)</w:t>
      </w:r>
      <w:r>
        <w:tab/>
        <w:t>made publicly available in any manner prescribed for the purposes of this paragraph, 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w:t>
      </w:r>
    </w:p>
    <w:p>
      <w:pPr>
        <w:pStyle w:val="Heading5"/>
      </w:pPr>
      <w:bookmarkStart w:id="169" w:name="_Toc2160969"/>
      <w:r>
        <w:rPr>
          <w:rStyle w:val="CharSectno"/>
        </w:rPr>
        <w:t>80A</w:t>
      </w:r>
      <w:r>
        <w:t>.</w:t>
      </w:r>
      <w:r>
        <w:tab/>
        <w:t>Abandoned documents</w:t>
      </w:r>
      <w:bookmarkEnd w:id="169"/>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w:t>
      </w:r>
    </w:p>
    <w:p>
      <w:pPr>
        <w:pStyle w:val="Heading5"/>
        <w:rPr>
          <w:snapToGrid w:val="0"/>
        </w:rPr>
      </w:pPr>
      <w:bookmarkStart w:id="170" w:name="_Toc2160970"/>
      <w:r>
        <w:rPr>
          <w:rStyle w:val="CharSectno"/>
        </w:rPr>
        <w:t>80</w:t>
      </w:r>
      <w:r>
        <w:rPr>
          <w:snapToGrid w:val="0"/>
        </w:rPr>
        <w:t>.</w:t>
      </w:r>
      <w:r>
        <w:rPr>
          <w:snapToGrid w:val="0"/>
        </w:rPr>
        <w:tab/>
        <w:t>Recovery of possession of premises prohibited except by court order</w:t>
      </w:r>
      <w:bookmarkEnd w:id="170"/>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171" w:name="_Toc2160971"/>
      <w:r>
        <w:rPr>
          <w:rStyle w:val="CharSectno"/>
        </w:rPr>
        <w:t>81A</w:t>
      </w:r>
      <w:r>
        <w:t>.</w:t>
      </w:r>
      <w:r>
        <w:tab/>
        <w:t>Mortgagee repossessions of rented properties</w:t>
      </w:r>
      <w:bookmarkEnd w:id="171"/>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w:t>
      </w:r>
    </w:p>
    <w:p>
      <w:pPr>
        <w:pStyle w:val="Heading5"/>
      </w:pPr>
      <w:bookmarkStart w:id="172" w:name="_Toc2160972"/>
      <w:r>
        <w:rPr>
          <w:rStyle w:val="CharSectno"/>
        </w:rPr>
        <w:t>81B</w:t>
      </w:r>
      <w:r>
        <w:t>.</w:t>
      </w:r>
      <w:r>
        <w:tab/>
        <w:t>Notice of proposed recovery of premises by person with superior title</w:t>
      </w:r>
      <w:bookmarkEnd w:id="172"/>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w:t>
      </w:r>
    </w:p>
    <w:p>
      <w:pPr>
        <w:pStyle w:val="Heading5"/>
      </w:pPr>
      <w:bookmarkStart w:id="173" w:name="_Toc2160973"/>
      <w:r>
        <w:rPr>
          <w:rStyle w:val="CharSectno"/>
        </w:rPr>
        <w:t>81</w:t>
      </w:r>
      <w:r>
        <w:t>.</w:t>
      </w:r>
      <w:r>
        <w:tab/>
        <w:t>Order for tenancy against person with superior title</w:t>
      </w:r>
      <w:bookmarkEnd w:id="173"/>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174" w:name="_Toc2153416"/>
      <w:bookmarkStart w:id="175" w:name="_Toc2160250"/>
      <w:bookmarkStart w:id="176" w:name="_Toc2160974"/>
      <w:r>
        <w:rPr>
          <w:rStyle w:val="CharPartNo"/>
        </w:rPr>
        <w:t>Part VIA</w:t>
      </w:r>
      <w:r>
        <w:t> — </w:t>
      </w:r>
      <w:r>
        <w:rPr>
          <w:rStyle w:val="CharPartText"/>
        </w:rPr>
        <w:t>Residential tenancy databases</w:t>
      </w:r>
      <w:bookmarkEnd w:id="174"/>
      <w:bookmarkEnd w:id="175"/>
      <w:bookmarkEnd w:id="176"/>
    </w:p>
    <w:p>
      <w:pPr>
        <w:pStyle w:val="Footnoteheading"/>
      </w:pPr>
      <w:r>
        <w:tab/>
        <w:t xml:space="preserve">[Heading inserted: No. 60 of 2011 s. 96.] </w:t>
      </w:r>
    </w:p>
    <w:p>
      <w:pPr>
        <w:pStyle w:val="Heading3"/>
      </w:pPr>
      <w:bookmarkStart w:id="177" w:name="_Toc2153417"/>
      <w:bookmarkStart w:id="178" w:name="_Toc2160251"/>
      <w:bookmarkStart w:id="179" w:name="_Toc2160975"/>
      <w:r>
        <w:rPr>
          <w:rStyle w:val="CharDivNo"/>
        </w:rPr>
        <w:t>Division 1</w:t>
      </w:r>
      <w:r>
        <w:t> — </w:t>
      </w:r>
      <w:r>
        <w:rPr>
          <w:rStyle w:val="CharDivText"/>
        </w:rPr>
        <w:t>Preliminary</w:t>
      </w:r>
      <w:bookmarkEnd w:id="177"/>
      <w:bookmarkEnd w:id="178"/>
      <w:bookmarkEnd w:id="179"/>
    </w:p>
    <w:p>
      <w:pPr>
        <w:pStyle w:val="Footnoteheading"/>
      </w:pPr>
      <w:r>
        <w:tab/>
        <w:t xml:space="preserve">[Heading inserted: No. 60 of 2011 s. 96.] </w:t>
      </w:r>
    </w:p>
    <w:p>
      <w:pPr>
        <w:pStyle w:val="Heading5"/>
      </w:pPr>
      <w:bookmarkStart w:id="180" w:name="_Toc2160976"/>
      <w:r>
        <w:rPr>
          <w:rStyle w:val="CharSectno"/>
        </w:rPr>
        <w:t>82A</w:t>
      </w:r>
      <w:r>
        <w:t>.</w:t>
      </w:r>
      <w:r>
        <w:tab/>
        <w:t>Terms used</w:t>
      </w:r>
      <w:bookmarkEnd w:id="180"/>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w:t>
      </w:r>
    </w:p>
    <w:p>
      <w:pPr>
        <w:pStyle w:val="Heading5"/>
      </w:pPr>
      <w:bookmarkStart w:id="181" w:name="_Toc2160977"/>
      <w:r>
        <w:rPr>
          <w:rStyle w:val="CharSectno"/>
        </w:rPr>
        <w:t>82B</w:t>
      </w:r>
      <w:r>
        <w:t>.</w:t>
      </w:r>
      <w:r>
        <w:tab/>
        <w:t>Application of Part</w:t>
      </w:r>
      <w:bookmarkEnd w:id="181"/>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No. 60 of 2011 s. 96.] </w:t>
      </w:r>
    </w:p>
    <w:p>
      <w:pPr>
        <w:pStyle w:val="Heading3"/>
      </w:pPr>
      <w:bookmarkStart w:id="182" w:name="_Toc2153420"/>
      <w:bookmarkStart w:id="183" w:name="_Toc2160254"/>
      <w:bookmarkStart w:id="184" w:name="_Toc2160978"/>
      <w:r>
        <w:rPr>
          <w:rStyle w:val="CharDivNo"/>
        </w:rPr>
        <w:t>Division 2</w:t>
      </w:r>
      <w:r>
        <w:t> — </w:t>
      </w:r>
      <w:r>
        <w:rPr>
          <w:rStyle w:val="CharDivText"/>
        </w:rPr>
        <w:t>Tenancy database information</w:t>
      </w:r>
      <w:bookmarkEnd w:id="182"/>
      <w:bookmarkEnd w:id="183"/>
      <w:bookmarkEnd w:id="184"/>
    </w:p>
    <w:p>
      <w:pPr>
        <w:pStyle w:val="Footnoteheading"/>
        <w:spacing w:before="100"/>
      </w:pPr>
      <w:r>
        <w:tab/>
        <w:t xml:space="preserve">[Heading inserted: No. 60 of 2011 s. 96.] </w:t>
      </w:r>
    </w:p>
    <w:p>
      <w:pPr>
        <w:pStyle w:val="Heading5"/>
      </w:pPr>
      <w:bookmarkStart w:id="185" w:name="_Toc2160979"/>
      <w:r>
        <w:rPr>
          <w:rStyle w:val="CharSectno"/>
        </w:rPr>
        <w:t>82C</w:t>
      </w:r>
      <w:r>
        <w:t>.</w:t>
      </w:r>
      <w:r>
        <w:tab/>
        <w:t>Notice of usual use of database</w:t>
      </w:r>
      <w:bookmarkEnd w:id="185"/>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w:t>
      </w:r>
    </w:p>
    <w:p>
      <w:pPr>
        <w:pStyle w:val="Heading5"/>
      </w:pPr>
      <w:bookmarkStart w:id="186" w:name="_Toc2160980"/>
      <w:r>
        <w:rPr>
          <w:rStyle w:val="CharSectno"/>
        </w:rPr>
        <w:t>82D</w:t>
      </w:r>
      <w:r>
        <w:t>.</w:t>
      </w:r>
      <w:r>
        <w:tab/>
        <w:t>Notice of listing if database used</w:t>
      </w:r>
      <w:bookmarkEnd w:id="186"/>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w:t>
      </w:r>
    </w:p>
    <w:p>
      <w:pPr>
        <w:pStyle w:val="Heading5"/>
      </w:pPr>
      <w:bookmarkStart w:id="187" w:name="_Toc2160981"/>
      <w:r>
        <w:rPr>
          <w:rStyle w:val="CharSectno"/>
        </w:rPr>
        <w:t>82E</w:t>
      </w:r>
      <w:r>
        <w:t>.</w:t>
      </w:r>
      <w:r>
        <w:tab/>
        <w:t>Listing can be made only for particular breaches by particular persons</w:t>
      </w:r>
      <w:bookmarkEnd w:id="187"/>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w:t>
      </w:r>
    </w:p>
    <w:p>
      <w:pPr>
        <w:pStyle w:val="Heading5"/>
      </w:pPr>
      <w:bookmarkStart w:id="188" w:name="_Toc2160982"/>
      <w:r>
        <w:rPr>
          <w:rStyle w:val="CharSectno"/>
        </w:rPr>
        <w:t>82F</w:t>
      </w:r>
      <w:r>
        <w:t>.</w:t>
      </w:r>
      <w:r>
        <w:tab/>
        <w:t>Further restriction on listing</w:t>
      </w:r>
      <w:bookmarkEnd w:id="188"/>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w:t>
      </w:r>
    </w:p>
    <w:p>
      <w:pPr>
        <w:pStyle w:val="Heading5"/>
      </w:pPr>
      <w:bookmarkStart w:id="189" w:name="_Toc2160983"/>
      <w:r>
        <w:rPr>
          <w:rStyle w:val="CharSectno"/>
        </w:rPr>
        <w:t>82G</w:t>
      </w:r>
      <w:r>
        <w:t>.</w:t>
      </w:r>
      <w:r>
        <w:tab/>
        <w:t>Ensuring quality of listing — lessor’s or agent’s obligation</w:t>
      </w:r>
      <w:bookmarkEnd w:id="189"/>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 xml:space="preserve">[Section 82G inserted: No. 60 of 2011 s. 96.] </w:t>
      </w:r>
    </w:p>
    <w:p>
      <w:pPr>
        <w:pStyle w:val="Heading5"/>
      </w:pPr>
      <w:bookmarkStart w:id="190" w:name="_Toc2160984"/>
      <w:r>
        <w:rPr>
          <w:rStyle w:val="CharSectno"/>
        </w:rPr>
        <w:t>82H</w:t>
      </w:r>
      <w:r>
        <w:t>.</w:t>
      </w:r>
      <w:r>
        <w:tab/>
        <w:t>Ensuring quality of listing — database operator’s obligation</w:t>
      </w:r>
      <w:bookmarkEnd w:id="190"/>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 xml:space="preserve">[Section 82H inserted: No. 60 of 2011 s. 96.] </w:t>
      </w:r>
    </w:p>
    <w:p>
      <w:pPr>
        <w:pStyle w:val="Heading5"/>
      </w:pPr>
      <w:bookmarkStart w:id="191" w:name="_Toc2160985"/>
      <w:r>
        <w:rPr>
          <w:rStyle w:val="CharSectno"/>
        </w:rPr>
        <w:t>82I</w:t>
      </w:r>
      <w:r>
        <w:t>.</w:t>
      </w:r>
      <w:r>
        <w:tab/>
        <w:t>Providing copy of personal information listed</w:t>
      </w:r>
      <w:bookmarkEnd w:id="191"/>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w:t>
      </w:r>
    </w:p>
    <w:p>
      <w:pPr>
        <w:pStyle w:val="Heading5"/>
      </w:pPr>
      <w:bookmarkStart w:id="192" w:name="_Toc2160986"/>
      <w:r>
        <w:rPr>
          <w:rStyle w:val="CharSectno"/>
        </w:rPr>
        <w:t>82J</w:t>
      </w:r>
      <w:r>
        <w:t>.</w:t>
      </w:r>
      <w:r>
        <w:tab/>
        <w:t>Disputes about listings</w:t>
      </w:r>
      <w:bookmarkEnd w:id="192"/>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w:t>
      </w:r>
    </w:p>
    <w:p>
      <w:pPr>
        <w:pStyle w:val="Heading5"/>
      </w:pPr>
      <w:bookmarkStart w:id="193" w:name="_Toc2160987"/>
      <w:r>
        <w:rPr>
          <w:rStyle w:val="CharSectno"/>
        </w:rPr>
        <w:t>82K</w:t>
      </w:r>
      <w:r>
        <w:t>.</w:t>
      </w:r>
      <w:r>
        <w:tab/>
        <w:t>Keeping personal information listed</w:t>
      </w:r>
      <w:bookmarkEnd w:id="193"/>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w:t>
      </w:r>
    </w:p>
    <w:p>
      <w:pPr>
        <w:pStyle w:val="Heading2"/>
      </w:pPr>
      <w:bookmarkStart w:id="194" w:name="_Toc2153430"/>
      <w:bookmarkStart w:id="195" w:name="_Toc2160264"/>
      <w:bookmarkStart w:id="196" w:name="_Toc2160988"/>
      <w:r>
        <w:rPr>
          <w:rStyle w:val="CharPartNo"/>
        </w:rPr>
        <w:t>Part VI</w:t>
      </w:r>
      <w:r>
        <w:rPr>
          <w:rStyle w:val="CharDivNo"/>
        </w:rPr>
        <w:t> </w:t>
      </w:r>
      <w:r>
        <w:t>—</w:t>
      </w:r>
      <w:r>
        <w:rPr>
          <w:rStyle w:val="CharDivText"/>
        </w:rPr>
        <w:t> </w:t>
      </w:r>
      <w:r>
        <w:rPr>
          <w:rStyle w:val="CharPartText"/>
        </w:rPr>
        <w:t>Miscellaneous</w:t>
      </w:r>
      <w:bookmarkEnd w:id="194"/>
      <w:bookmarkEnd w:id="195"/>
      <w:bookmarkEnd w:id="196"/>
    </w:p>
    <w:p>
      <w:pPr>
        <w:pStyle w:val="Heading5"/>
        <w:spacing w:before="200"/>
        <w:rPr>
          <w:snapToGrid w:val="0"/>
        </w:rPr>
      </w:pPr>
      <w:bookmarkStart w:id="197" w:name="_Toc2160989"/>
      <w:r>
        <w:rPr>
          <w:rStyle w:val="CharSectno"/>
        </w:rPr>
        <w:t>82</w:t>
      </w:r>
      <w:r>
        <w:rPr>
          <w:snapToGrid w:val="0"/>
        </w:rPr>
        <w:t>.</w:t>
      </w:r>
      <w:r>
        <w:rPr>
          <w:snapToGrid w:val="0"/>
        </w:rPr>
        <w:tab/>
        <w:t>Contracting out</w:t>
      </w:r>
      <w:bookmarkEnd w:id="197"/>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 xml:space="preserve">[Section 82 amended: No. 60 of 2011 s. 80.] </w:t>
      </w:r>
    </w:p>
    <w:p>
      <w:pPr>
        <w:pStyle w:val="Heading5"/>
        <w:spacing w:before="200"/>
        <w:rPr>
          <w:snapToGrid w:val="0"/>
        </w:rPr>
      </w:pPr>
      <w:bookmarkStart w:id="198" w:name="_Toc2160990"/>
      <w:r>
        <w:rPr>
          <w:rStyle w:val="CharSectno"/>
        </w:rPr>
        <w:t>83</w:t>
      </w:r>
      <w:r>
        <w:rPr>
          <w:snapToGrid w:val="0"/>
        </w:rPr>
        <w:t>.</w:t>
      </w:r>
      <w:r>
        <w:rPr>
          <w:snapToGrid w:val="0"/>
        </w:rPr>
        <w:tab/>
        <w:t>Recovery of amounts paid under mistake of law or fact</w:t>
      </w:r>
      <w:bookmarkEnd w:id="198"/>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199" w:name="_Toc2160991"/>
      <w:r>
        <w:rPr>
          <w:rStyle w:val="CharSectno"/>
        </w:rPr>
        <w:t>84</w:t>
      </w:r>
      <w:r>
        <w:rPr>
          <w:snapToGrid w:val="0"/>
        </w:rPr>
        <w:t>.</w:t>
      </w:r>
      <w:r>
        <w:rPr>
          <w:snapToGrid w:val="0"/>
        </w:rPr>
        <w:tab/>
        <w:t>Exemption of tenancy agreement or premises from provision of Act</w:t>
      </w:r>
      <w:bookmarkEnd w:id="199"/>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200" w:name="_Toc2160992"/>
      <w:r>
        <w:rPr>
          <w:rStyle w:val="CharSectno"/>
        </w:rPr>
        <w:t>85</w:t>
      </w:r>
      <w:r>
        <w:rPr>
          <w:snapToGrid w:val="0"/>
        </w:rPr>
        <w:t>.</w:t>
      </w:r>
      <w:r>
        <w:rPr>
          <w:snapToGrid w:val="0"/>
        </w:rPr>
        <w:tab/>
        <w:t>Service</w:t>
      </w:r>
      <w:bookmarkEnd w:id="200"/>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circumstances specified in the regulations, be given or served by electronic means in accordance with the regulations.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w:t>
      </w:r>
    </w:p>
    <w:p>
      <w:pPr>
        <w:pStyle w:val="Heading5"/>
        <w:spacing w:before="260"/>
      </w:pPr>
      <w:bookmarkStart w:id="201" w:name="_Toc2160993"/>
      <w:r>
        <w:rPr>
          <w:rStyle w:val="CharSectno"/>
        </w:rPr>
        <w:t>86</w:t>
      </w:r>
      <w:r>
        <w:t>.</w:t>
      </w:r>
      <w:r>
        <w:tab/>
        <w:t>Court may refer matter to Commissioner for investigation</w:t>
      </w:r>
      <w:bookmarkEnd w:id="201"/>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spacing w:before="260"/>
      </w:pPr>
      <w:bookmarkStart w:id="202" w:name="_Toc2160994"/>
      <w:r>
        <w:rPr>
          <w:rStyle w:val="CharSectno"/>
        </w:rPr>
        <w:t>87A</w:t>
      </w:r>
      <w:r>
        <w:t>.</w:t>
      </w:r>
      <w:r>
        <w:tab/>
        <w:t>Defence where lessor and property manager are both charged with the same offence</w:t>
      </w:r>
      <w:bookmarkEnd w:id="202"/>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203" w:name="_Toc2160995"/>
      <w:r>
        <w:rPr>
          <w:rStyle w:val="CharSectno"/>
        </w:rPr>
        <w:t>87</w:t>
      </w:r>
      <w:r>
        <w:rPr>
          <w:snapToGrid w:val="0"/>
        </w:rPr>
        <w:t>.</w:t>
      </w:r>
      <w:r>
        <w:rPr>
          <w:snapToGrid w:val="0"/>
        </w:rPr>
        <w:tab/>
        <w:t>Time for bringing proceedings</w:t>
      </w:r>
      <w:bookmarkEnd w:id="203"/>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204" w:name="_Toc2160996"/>
      <w:r>
        <w:rPr>
          <w:rStyle w:val="CharSectno"/>
        </w:rPr>
        <w:t>88A</w:t>
      </w:r>
      <w:r>
        <w:t>.</w:t>
      </w:r>
      <w:r>
        <w:tab/>
        <w:t>Infringement notices</w:t>
      </w:r>
      <w:bookmarkEnd w:id="204"/>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rPr>
          <w:snapToGrid w:val="0"/>
        </w:rPr>
      </w:pPr>
      <w:bookmarkStart w:id="205" w:name="_Toc2160997"/>
      <w:r>
        <w:rPr>
          <w:rStyle w:val="CharSectno"/>
        </w:rPr>
        <w:t>88</w:t>
      </w:r>
      <w:r>
        <w:rPr>
          <w:snapToGrid w:val="0"/>
        </w:rPr>
        <w:t>.</w:t>
      </w:r>
      <w:r>
        <w:rPr>
          <w:snapToGrid w:val="0"/>
        </w:rPr>
        <w:tab/>
        <w:t>Regulations</w:t>
      </w:r>
      <w:bookmarkEnd w:id="20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No. 60 of 2011 s. 84.] </w:t>
      </w:r>
    </w:p>
    <w:p>
      <w:pPr>
        <w:pStyle w:val="Ednotesection"/>
      </w:pPr>
      <w:r>
        <w:t>[</w:t>
      </w:r>
      <w:r>
        <w:rPr>
          <w:b/>
        </w:rPr>
        <w:t>89.</w:t>
      </w:r>
      <w:r>
        <w:tab/>
        <w:t>Omitted under the Reprints Act 1984 s. 7(4)(e).]</w:t>
      </w:r>
    </w:p>
    <w:p>
      <w:pPr>
        <w:pStyle w:val="Heading5"/>
        <w:rPr>
          <w:snapToGrid w:val="0"/>
        </w:rPr>
      </w:pPr>
      <w:bookmarkStart w:id="206" w:name="_Toc2160998"/>
      <w:r>
        <w:rPr>
          <w:rStyle w:val="CharSectno"/>
        </w:rPr>
        <w:t>90</w:t>
      </w:r>
      <w:r>
        <w:rPr>
          <w:snapToGrid w:val="0"/>
        </w:rPr>
        <w:t>.</w:t>
      </w:r>
      <w:r>
        <w:rPr>
          <w:snapToGrid w:val="0"/>
        </w:rPr>
        <w:tab/>
        <w:t>Review of Act</w:t>
      </w:r>
      <w:bookmarkEnd w:id="206"/>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207" w:name="_Toc2153441"/>
      <w:bookmarkStart w:id="208" w:name="_Toc2160275"/>
      <w:bookmarkStart w:id="209" w:name="_Toc2160999"/>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207"/>
      <w:bookmarkEnd w:id="208"/>
      <w:bookmarkEnd w:id="209"/>
    </w:p>
    <w:p>
      <w:pPr>
        <w:pStyle w:val="Footnoteheading"/>
      </w:pPr>
      <w:r>
        <w:tab/>
        <w:t xml:space="preserve">[Heading inserted: No. 60 of 2011 s. 86.] </w:t>
      </w:r>
    </w:p>
    <w:p>
      <w:pPr>
        <w:pStyle w:val="Heading3"/>
      </w:pPr>
      <w:bookmarkStart w:id="210" w:name="_Toc2153442"/>
      <w:bookmarkStart w:id="211" w:name="_Toc2160276"/>
      <w:bookmarkStart w:id="212" w:name="_Toc2161000"/>
      <w:r>
        <w:rPr>
          <w:rStyle w:val="CharDivNo"/>
        </w:rPr>
        <w:t>Division 1</w:t>
      </w:r>
      <w:r>
        <w:t> — </w:t>
      </w:r>
      <w:r>
        <w:rPr>
          <w:rStyle w:val="CharDivText"/>
        </w:rPr>
        <w:t>Contracting out</w:t>
      </w:r>
      <w:bookmarkEnd w:id="210"/>
      <w:bookmarkEnd w:id="211"/>
      <w:bookmarkEnd w:id="212"/>
    </w:p>
    <w:p>
      <w:pPr>
        <w:pStyle w:val="Footnoteheading"/>
      </w:pPr>
      <w:r>
        <w:tab/>
        <w:t xml:space="preserve">[Heading inserted: No. 60 of 2011 s. 86.] </w:t>
      </w:r>
    </w:p>
    <w:p>
      <w:pPr>
        <w:pStyle w:val="Heading5"/>
      </w:pPr>
      <w:bookmarkStart w:id="213" w:name="_Toc2161001"/>
      <w:r>
        <w:rPr>
          <w:rStyle w:val="CharSectno"/>
        </w:rPr>
        <w:t>91</w:t>
      </w:r>
      <w:r>
        <w:t>.</w:t>
      </w:r>
      <w:r>
        <w:tab/>
        <w:t>Savings in relation to contracting out of standard terms</w:t>
      </w:r>
      <w:bookmarkEnd w:id="21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Heading3"/>
      </w:pPr>
      <w:bookmarkStart w:id="214" w:name="_Toc2153444"/>
      <w:bookmarkStart w:id="215" w:name="_Toc2160278"/>
      <w:bookmarkStart w:id="216" w:name="_Toc2161002"/>
      <w:r>
        <w:rPr>
          <w:rStyle w:val="CharDivNo"/>
        </w:rPr>
        <w:t>Division 2</w:t>
      </w:r>
      <w:r>
        <w:t> — </w:t>
      </w:r>
      <w:r>
        <w:rPr>
          <w:rStyle w:val="CharDivText"/>
        </w:rPr>
        <w:t>Security bonds held in AFI</w:t>
      </w:r>
      <w:bookmarkEnd w:id="214"/>
      <w:bookmarkEnd w:id="215"/>
      <w:bookmarkEnd w:id="216"/>
    </w:p>
    <w:p>
      <w:pPr>
        <w:pStyle w:val="Footnoteheading"/>
      </w:pPr>
      <w:r>
        <w:tab/>
        <w:t xml:space="preserve">[Heading inserted: No. 60 of 2011 s. 86.] </w:t>
      </w:r>
    </w:p>
    <w:p>
      <w:pPr>
        <w:pStyle w:val="Heading5"/>
      </w:pPr>
      <w:bookmarkStart w:id="217" w:name="_Toc2161003"/>
      <w:r>
        <w:rPr>
          <w:rStyle w:val="CharSectno"/>
        </w:rPr>
        <w:t>92</w:t>
      </w:r>
      <w:r>
        <w:t>.</w:t>
      </w:r>
      <w:r>
        <w:tab/>
        <w:t>Terms used</w:t>
      </w:r>
      <w:bookmarkEnd w:id="217"/>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w:t>
      </w:r>
    </w:p>
    <w:p>
      <w:pPr>
        <w:pStyle w:val="Heading5"/>
      </w:pPr>
      <w:bookmarkStart w:id="218" w:name="_Toc2161004"/>
      <w:r>
        <w:rPr>
          <w:rStyle w:val="CharSectno"/>
        </w:rPr>
        <w:t>93</w:t>
      </w:r>
      <w:r>
        <w:t>.</w:t>
      </w:r>
      <w:r>
        <w:tab/>
        <w:t>All security bonds to be transferred to bond administrator after renewal of agreement or within 18 months</w:t>
      </w:r>
      <w:bookmarkEnd w:id="218"/>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No. 60 of 2011 s. 86.] </w:t>
      </w:r>
    </w:p>
    <w:p>
      <w:pPr>
        <w:pStyle w:val="Heading5"/>
      </w:pPr>
      <w:bookmarkStart w:id="219" w:name="_Toc2161005"/>
      <w:r>
        <w:rPr>
          <w:rStyle w:val="CharSectno"/>
        </w:rPr>
        <w:t>94</w:t>
      </w:r>
      <w:r>
        <w:t>.</w:t>
      </w:r>
      <w:r>
        <w:tab/>
        <w:t>Requirements for AFI holding security bonds</w:t>
      </w:r>
      <w:bookmarkEnd w:id="219"/>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 xml:space="preserve">[Section 94 inserted: No. 60 of 2011 s. 86.] </w:t>
      </w:r>
    </w:p>
    <w:p>
      <w:pPr>
        <w:pStyle w:val="Heading5"/>
      </w:pPr>
      <w:bookmarkStart w:id="220" w:name="_Toc2161006"/>
      <w:r>
        <w:rPr>
          <w:rStyle w:val="CharSectno"/>
        </w:rPr>
        <w:t>95</w:t>
      </w:r>
      <w:r>
        <w:t>.</w:t>
      </w:r>
      <w:r>
        <w:tab/>
        <w:t>Power of Commissioner to obtain information relating to AFI security bond accounts</w:t>
      </w:r>
      <w:bookmarkEnd w:id="220"/>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w:t>
      </w:r>
    </w:p>
    <w:p>
      <w:pPr>
        <w:pStyle w:val="Heading5"/>
      </w:pPr>
      <w:bookmarkStart w:id="221" w:name="_Toc2161007"/>
      <w:r>
        <w:rPr>
          <w:rStyle w:val="CharSectno"/>
        </w:rPr>
        <w:t>96</w:t>
      </w:r>
      <w:r>
        <w:t>.</w:t>
      </w:r>
      <w:r>
        <w:tab/>
        <w:t>Disposal of security bond held in AFIs</w:t>
      </w:r>
      <w:bookmarkEnd w:id="221"/>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No. 60 of 2011 s. 86.] </w:t>
      </w:r>
    </w:p>
    <w:p>
      <w:pPr>
        <w:pStyle w:val="Heading3"/>
      </w:pPr>
      <w:bookmarkStart w:id="222" w:name="_Toc2153450"/>
      <w:bookmarkStart w:id="223" w:name="_Toc2160284"/>
      <w:bookmarkStart w:id="224" w:name="_Toc2161008"/>
      <w:r>
        <w:rPr>
          <w:rStyle w:val="CharDivNo"/>
        </w:rPr>
        <w:t>Division 3</w:t>
      </w:r>
      <w:r>
        <w:t> — </w:t>
      </w:r>
      <w:r>
        <w:rPr>
          <w:rStyle w:val="CharDivText"/>
        </w:rPr>
        <w:t>Residential tenancy databases</w:t>
      </w:r>
      <w:bookmarkEnd w:id="222"/>
      <w:bookmarkEnd w:id="223"/>
      <w:bookmarkEnd w:id="224"/>
    </w:p>
    <w:p>
      <w:pPr>
        <w:pStyle w:val="Footnoteheading"/>
        <w:keepNext/>
      </w:pPr>
      <w:r>
        <w:tab/>
        <w:t xml:space="preserve">[Heading inserted: No. 60 of 2011 s. 86.] </w:t>
      </w:r>
    </w:p>
    <w:p>
      <w:pPr>
        <w:pStyle w:val="Heading5"/>
      </w:pPr>
      <w:bookmarkStart w:id="225" w:name="_Toc2161009"/>
      <w:r>
        <w:rPr>
          <w:rStyle w:val="CharSectno"/>
        </w:rPr>
        <w:t>97</w:t>
      </w:r>
      <w:r>
        <w:t>.</w:t>
      </w:r>
      <w:r>
        <w:tab/>
        <w:t>Application of Part VIA to listings existing before commencement day</w:t>
      </w:r>
      <w:bookmarkEnd w:id="225"/>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226" w:name="_Toc2153452"/>
      <w:bookmarkStart w:id="227" w:name="_Toc2160286"/>
      <w:bookmarkStart w:id="228" w:name="_Toc2161010"/>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226"/>
      <w:bookmarkEnd w:id="227"/>
      <w:bookmarkEnd w:id="228"/>
    </w:p>
    <w:p>
      <w:pPr>
        <w:pStyle w:val="yShoulderClause"/>
      </w:pPr>
      <w:r>
        <w:t>[s. 3, 7(3), 12, 29(4), (7), (8), 59D(6), 79(5), (6), (11) and 80A(8)]</w:t>
      </w:r>
    </w:p>
    <w:p>
      <w:pPr>
        <w:pStyle w:val="yFootnoteheading"/>
      </w:pPr>
      <w:r>
        <w:tab/>
        <w:t xml:space="preserve">[Heading inserted: No. 60 of 2011 s. 87(1).] </w:t>
      </w:r>
    </w:p>
    <w:p>
      <w:pPr>
        <w:pStyle w:val="yHeading3"/>
      </w:pPr>
      <w:bookmarkStart w:id="229" w:name="_Toc2153453"/>
      <w:bookmarkStart w:id="230" w:name="_Toc2160287"/>
      <w:bookmarkStart w:id="231" w:name="_Toc2161011"/>
      <w:r>
        <w:rPr>
          <w:rStyle w:val="CharSDivNo"/>
        </w:rPr>
        <w:t>Division 1</w:t>
      </w:r>
      <w:r>
        <w:t> — </w:t>
      </w:r>
      <w:r>
        <w:rPr>
          <w:rStyle w:val="CharSDivText"/>
        </w:rPr>
        <w:t>General</w:t>
      </w:r>
      <w:bookmarkEnd w:id="229"/>
      <w:bookmarkEnd w:id="230"/>
      <w:bookmarkEnd w:id="231"/>
    </w:p>
    <w:p>
      <w:pPr>
        <w:pStyle w:val="yFootnoteheading"/>
      </w:pPr>
      <w:r>
        <w:tab/>
        <w:t>[Heading inserted: No. 60 of 2011 s. 87(2).]</w:t>
      </w:r>
    </w:p>
    <w:p>
      <w:pPr>
        <w:pStyle w:val="yHeading5"/>
        <w:rPr>
          <w:snapToGrid w:val="0"/>
        </w:rPr>
      </w:pPr>
      <w:bookmarkStart w:id="232" w:name="_Toc2161012"/>
      <w:r>
        <w:rPr>
          <w:rStyle w:val="CharSClsNo"/>
        </w:rPr>
        <w:t>1</w:t>
      </w:r>
      <w:r>
        <w:rPr>
          <w:snapToGrid w:val="0"/>
        </w:rPr>
        <w:t>.</w:t>
      </w:r>
      <w:r>
        <w:rPr>
          <w:snapToGrid w:val="0"/>
        </w:rPr>
        <w:tab/>
      </w:r>
      <w:r>
        <w:t>Term</w:t>
      </w:r>
      <w:r>
        <w:rPr>
          <w:snapToGrid w:val="0"/>
        </w:rPr>
        <w:t xml:space="preserve"> used: authorised agent</w:t>
      </w:r>
      <w:bookmarkEnd w:id="232"/>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233" w:name="_Toc2161013"/>
      <w:r>
        <w:rPr>
          <w:rStyle w:val="CharSClsNo"/>
        </w:rPr>
        <w:t>3</w:t>
      </w:r>
      <w:r>
        <w:rPr>
          <w:snapToGrid w:val="0"/>
        </w:rPr>
        <w:t>.</w:t>
      </w:r>
      <w:r>
        <w:rPr>
          <w:snapToGrid w:val="0"/>
        </w:rPr>
        <w:tab/>
        <w:t>Rental Accommodation Account</w:t>
      </w:r>
      <w:bookmarkEnd w:id="233"/>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234" w:name="_Toc2161014"/>
      <w:r>
        <w:rPr>
          <w:rStyle w:val="CharSClsNo"/>
        </w:rPr>
        <w:t>4</w:t>
      </w:r>
      <w:r>
        <w:rPr>
          <w:snapToGrid w:val="0"/>
        </w:rPr>
        <w:t>.</w:t>
      </w:r>
      <w:r>
        <w:rPr>
          <w:snapToGrid w:val="0"/>
        </w:rPr>
        <w:tab/>
        <w:t>Duties of bond administrator</w:t>
      </w:r>
      <w:bookmarkEnd w:id="234"/>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235" w:name="_Toc2153457"/>
      <w:bookmarkStart w:id="236" w:name="_Toc2160291"/>
      <w:bookmarkStart w:id="237" w:name="_Toc2161015"/>
      <w:r>
        <w:rPr>
          <w:rStyle w:val="CharSDivNo"/>
        </w:rPr>
        <w:t>Division 2</w:t>
      </w:r>
      <w:r>
        <w:t> — </w:t>
      </w:r>
      <w:r>
        <w:rPr>
          <w:rStyle w:val="CharSDivText"/>
        </w:rPr>
        <w:t>Security bonds</w:t>
      </w:r>
      <w:bookmarkEnd w:id="235"/>
      <w:bookmarkEnd w:id="236"/>
      <w:bookmarkEnd w:id="237"/>
    </w:p>
    <w:p>
      <w:pPr>
        <w:pStyle w:val="yFootnoteheading"/>
      </w:pPr>
      <w:r>
        <w:tab/>
        <w:t>[Heading inserted: No. 60 of 2011 s. 87(11).]</w:t>
      </w:r>
    </w:p>
    <w:p>
      <w:pPr>
        <w:pStyle w:val="yHeading5"/>
      </w:pPr>
      <w:bookmarkStart w:id="238" w:name="_Toc2161016"/>
      <w:r>
        <w:rPr>
          <w:rStyle w:val="CharSClsNo"/>
        </w:rPr>
        <w:t>5A</w:t>
      </w:r>
      <w:r>
        <w:t>.</w:t>
      </w:r>
      <w:r>
        <w:tab/>
        <w:t>Security bond moneys to be paid to bond administrator</w:t>
      </w:r>
      <w:bookmarkEnd w:id="238"/>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239" w:name="_Toc2161017"/>
      <w:r>
        <w:rPr>
          <w:rStyle w:val="CharSClsNo"/>
        </w:rPr>
        <w:t>5</w:t>
      </w:r>
      <w:r>
        <w:rPr>
          <w:snapToGrid w:val="0"/>
        </w:rPr>
        <w:t>.</w:t>
      </w:r>
      <w:r>
        <w:rPr>
          <w:snapToGrid w:val="0"/>
        </w:rPr>
        <w:tab/>
        <w:t xml:space="preserve">Disposal of </w:t>
      </w:r>
      <w:r>
        <w:t>security</w:t>
      </w:r>
      <w:r>
        <w:rPr>
          <w:snapToGrid w:val="0"/>
        </w:rPr>
        <w:t xml:space="preserve"> bond by bond administrator</w:t>
      </w:r>
      <w:bookmarkEnd w:id="239"/>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240" w:name="_Toc2161018"/>
      <w:r>
        <w:rPr>
          <w:rStyle w:val="CharSClsNo"/>
        </w:rPr>
        <w:t>8</w:t>
      </w:r>
      <w:r>
        <w:rPr>
          <w:snapToGrid w:val="0"/>
        </w:rPr>
        <w:t>.</w:t>
      </w:r>
      <w:r>
        <w:rPr>
          <w:snapToGrid w:val="0"/>
        </w:rPr>
        <w:tab/>
      </w:r>
      <w:r>
        <w:t>Court</w:t>
      </w:r>
      <w:r>
        <w:rPr>
          <w:snapToGrid w:val="0"/>
        </w:rPr>
        <w:t xml:space="preserve"> may determine disposal of security bond</w:t>
      </w:r>
      <w:bookmarkEnd w:id="240"/>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241" w:name="_Toc2153461"/>
      <w:bookmarkStart w:id="242" w:name="_Toc2160295"/>
      <w:bookmarkStart w:id="243" w:name="_Toc2161019"/>
      <w:r>
        <w:rPr>
          <w:rStyle w:val="CharSDivNo"/>
        </w:rPr>
        <w:t>Division 3</w:t>
      </w:r>
      <w:r>
        <w:t> — </w:t>
      </w:r>
      <w:r>
        <w:rPr>
          <w:rStyle w:val="CharSDivText"/>
        </w:rPr>
        <w:t>Tenant compensation bonds</w:t>
      </w:r>
      <w:bookmarkEnd w:id="241"/>
      <w:bookmarkEnd w:id="242"/>
      <w:bookmarkEnd w:id="243"/>
    </w:p>
    <w:p>
      <w:pPr>
        <w:pStyle w:val="yFootnotesection"/>
      </w:pPr>
      <w:r>
        <w:tab/>
        <w:t>[Heading inserted: No. 60 of 2011 s. 87(23).]</w:t>
      </w:r>
    </w:p>
    <w:p>
      <w:pPr>
        <w:pStyle w:val="yHeading5"/>
      </w:pPr>
      <w:bookmarkStart w:id="244" w:name="_Toc2161020"/>
      <w:r>
        <w:rPr>
          <w:rStyle w:val="CharSClsNo"/>
        </w:rPr>
        <w:t>9</w:t>
      </w:r>
      <w:r>
        <w:t>.</w:t>
      </w:r>
      <w:r>
        <w:tab/>
        <w:t>Application of Division</w:t>
      </w:r>
      <w:bookmarkEnd w:id="244"/>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245" w:name="_Toc2161021"/>
      <w:r>
        <w:rPr>
          <w:rStyle w:val="CharSClsNo"/>
        </w:rPr>
        <w:t>10</w:t>
      </w:r>
      <w:r>
        <w:t>.</w:t>
      </w:r>
      <w:r>
        <w:tab/>
        <w:t>Disposal of tenant compensation bond to tenant by bond administrator</w:t>
      </w:r>
      <w:bookmarkEnd w:id="245"/>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246" w:name="_Toc2161022"/>
      <w:r>
        <w:rPr>
          <w:rStyle w:val="CharSClsNo"/>
        </w:rPr>
        <w:t>11</w:t>
      </w:r>
      <w:r>
        <w:t>.</w:t>
      </w:r>
      <w:r>
        <w:tab/>
        <w:t>Disposal of tenant compensation bond to lessor by bond administrator</w:t>
      </w:r>
      <w:bookmarkEnd w:id="246"/>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48" w:name="_Toc2153465"/>
      <w:bookmarkStart w:id="249" w:name="_Toc2160299"/>
      <w:bookmarkStart w:id="250" w:name="_Toc2161023"/>
      <w:r>
        <w:t>Notes</w:t>
      </w:r>
      <w:bookmarkEnd w:id="248"/>
      <w:bookmarkEnd w:id="249"/>
      <w:bookmarkEnd w:id="250"/>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51" w:name="_Toc2161024"/>
      <w:r>
        <w:t>Compilation table</w:t>
      </w:r>
      <w:bookmarkEnd w:id="251"/>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1"/>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1"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1"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1"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3</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1" w:type="dxa"/>
          </w:tcPr>
          <w:p>
            <w:pPr>
              <w:pStyle w:val="nTable"/>
              <w:spacing w:after="40"/>
            </w:pPr>
            <w:r>
              <w:t>1 Jul 1993 (see s. 2)</w:t>
            </w:r>
          </w:p>
        </w:tc>
      </w:tr>
      <w:tr>
        <w:trPr>
          <w:cantSplit/>
        </w:trPr>
        <w:tc>
          <w:tcPr>
            <w:tcW w:w="2268" w:type="dxa"/>
            <w:gridSpan w:val="2"/>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4,</w:t>
            </w:r>
            <w:r>
              <w:rPr>
                <w:vertAlign w:val="superscript"/>
              </w:rPr>
              <w:t> 5</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1"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1" w:type="dxa"/>
          </w:tcPr>
          <w:p>
            <w:pPr>
              <w:pStyle w:val="nTable"/>
              <w:keepNext/>
              <w:keepLines/>
              <w:spacing w:after="40"/>
            </w:pPr>
            <w:r>
              <w:t xml:space="preserve">1 Jan 1996 (see s. 2(2) and </w:t>
            </w:r>
            <w:r>
              <w:rPr>
                <w:i/>
              </w:rPr>
              <w:t>Gazette</w:t>
            </w:r>
            <w:r>
              <w:t xml:space="preserve"> 29 Dec 1995 p. 6291)</w:t>
            </w:r>
          </w:p>
        </w:tc>
      </w:tr>
      <w:tr>
        <w:trPr>
          <w:cantSplit/>
        </w:trPr>
        <w:tc>
          <w:tcPr>
            <w:tcW w:w="7088"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1" w:type="dxa"/>
          </w:tcPr>
          <w:p>
            <w:pPr>
              <w:pStyle w:val="nTable"/>
              <w:spacing w:after="40"/>
            </w:pPr>
            <w:r>
              <w:t>1 Jul 1996 (see s. 2)</w:t>
            </w:r>
          </w:p>
        </w:tc>
      </w:tr>
      <w:tr>
        <w:trPr>
          <w:cantSplit/>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6</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7</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1"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1"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gridSpan w:val="2"/>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1"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8"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1"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1"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88" w:type="dxa"/>
            <w:gridSpan w:val="7"/>
            <w:shd w:val="clear" w:color="auto" w:fill="auto"/>
          </w:tcPr>
          <w:p>
            <w:pPr>
              <w:pStyle w:val="nTable"/>
              <w:spacing w:after="40"/>
              <w:rPr>
                <w:snapToGrid w:val="0"/>
              </w:rPr>
            </w:pPr>
            <w:r>
              <w:rPr>
                <w:b/>
              </w:rPr>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c>
          <w:tcPr>
            <w:tcW w:w="2240" w:type="dxa"/>
            <w:tcBorders>
              <w:top w:val="nil"/>
              <w:bottom w:val="single" w:sz="4" w:space="0" w:color="auto"/>
            </w:tcBorders>
          </w:tcPr>
          <w:p>
            <w:pPr>
              <w:pStyle w:val="nTable"/>
              <w:spacing w:after="40"/>
            </w:pPr>
            <w:r>
              <w:rPr>
                <w:i/>
              </w:rPr>
              <w:t>Residential Tenancies Amendment Act 2016</w:t>
            </w:r>
            <w:r>
              <w:t xml:space="preserve"> </w:t>
            </w:r>
          </w:p>
        </w:tc>
        <w:tc>
          <w:tcPr>
            <w:tcW w:w="1134" w:type="dxa"/>
            <w:gridSpan w:val="2"/>
            <w:tcBorders>
              <w:top w:val="nil"/>
              <w:bottom w:val="single" w:sz="4" w:space="0" w:color="auto"/>
            </w:tcBorders>
          </w:tcPr>
          <w:p>
            <w:pPr>
              <w:pStyle w:val="nTable"/>
              <w:spacing w:after="40"/>
            </w:pPr>
            <w:r>
              <w:t>42 of 2016</w:t>
            </w:r>
          </w:p>
        </w:tc>
        <w:tc>
          <w:tcPr>
            <w:tcW w:w="1134" w:type="dxa"/>
            <w:gridSpan w:val="2"/>
            <w:tcBorders>
              <w:top w:val="nil"/>
              <w:bottom w:val="single" w:sz="4" w:space="0" w:color="auto"/>
            </w:tcBorders>
          </w:tcPr>
          <w:p>
            <w:pPr>
              <w:pStyle w:val="nTable"/>
              <w:spacing w:after="40"/>
            </w:pPr>
            <w:r>
              <w:t>1 Dec 2016</w:t>
            </w:r>
          </w:p>
        </w:tc>
        <w:tc>
          <w:tcPr>
            <w:tcW w:w="2580" w:type="dxa"/>
            <w:gridSpan w:val="2"/>
            <w:tcBorders>
              <w:top w:val="nil"/>
              <w:bottom w:val="single" w:sz="4" w:space="0" w:color="auto"/>
            </w:tcBorders>
          </w:tcPr>
          <w:p>
            <w:pPr>
              <w:pStyle w:val="nTable"/>
              <w:spacing w:after="40"/>
            </w:pPr>
            <w:r>
              <w:t>s. 1 and 2: 1 Dec 2016 (see s. 2(a));</w:t>
            </w:r>
            <w:r>
              <w:br/>
              <w:t xml:space="preserve">Act other than s. 1 and 2: 3 Jul 2017 (see s. 2(b) and </w:t>
            </w:r>
            <w:r>
              <w:rPr>
                <w:i/>
              </w:rPr>
              <w:t>Gazette</w:t>
            </w:r>
            <w:r>
              <w:t xml:space="preserve"> 30 Jun 2017 p. 3551</w:t>
            </w:r>
            <w:r>
              <w:noBreakHyphen/>
              <w:t>2)</w:t>
            </w:r>
          </w:p>
        </w:tc>
      </w:tr>
    </w:tbl>
    <w:p>
      <w:pPr>
        <w:pStyle w:val="nSubsection"/>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252" w:name="_Toc2161025"/>
      <w:r>
        <w:rPr>
          <w:snapToGrid w:val="0"/>
        </w:rPr>
        <w:t>Provisions that have not come into operation</w:t>
      </w:r>
      <w:bookmarkEnd w:id="252"/>
    </w:p>
    <w:tbl>
      <w:tblPr>
        <w:tblW w:w="0" w:type="auto"/>
        <w:tblInd w:w="28" w:type="dxa"/>
        <w:tblLayout w:type="fixed"/>
        <w:tblCellMar>
          <w:left w:w="56" w:type="dxa"/>
          <w:right w:w="56" w:type="dxa"/>
        </w:tblCellMar>
        <w:tblLook w:val="0000" w:firstRow="0" w:lastRow="0" w:firstColumn="0" w:lastColumn="0" w:noHBand="0" w:noVBand="0"/>
      </w:tblPr>
      <w:tblGrid>
        <w:gridCol w:w="2273"/>
        <w:gridCol w:w="23"/>
        <w:gridCol w:w="1114"/>
        <w:gridCol w:w="20"/>
        <w:gridCol w:w="1117"/>
        <w:gridCol w:w="17"/>
        <w:gridCol w:w="2524"/>
        <w:gridCol w:w="27"/>
      </w:tblGrid>
      <w:tr>
        <w:trPr>
          <w:cantSplit/>
          <w:tblHeader/>
        </w:trPr>
        <w:tc>
          <w:tcPr>
            <w:tcW w:w="2273"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7" w:type="dxa"/>
            <w:gridSpan w:val="2"/>
            <w:tcBorders>
              <w:top w:val="single" w:sz="8" w:space="0" w:color="auto"/>
              <w:bottom w:val="single" w:sz="8" w:space="0" w:color="auto"/>
            </w:tcBorders>
            <w:shd w:val="clear" w:color="auto" w:fill="auto"/>
          </w:tcPr>
          <w:p>
            <w:pPr>
              <w:pStyle w:val="nTable"/>
              <w:keepNext/>
              <w:spacing w:after="40"/>
              <w:rPr>
                <w:b/>
              </w:rPr>
            </w:pPr>
            <w:r>
              <w:rPr>
                <w:b/>
              </w:rPr>
              <w:t>Assent</w:t>
            </w:r>
          </w:p>
        </w:tc>
        <w:tc>
          <w:tcPr>
            <w:tcW w:w="2568" w:type="dxa"/>
            <w:gridSpan w:val="3"/>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pPr>
            <w:r>
              <w:rPr>
                <w:i/>
              </w:rPr>
              <w:t>Strata Titles Amendment Act 2018</w:t>
            </w:r>
            <w:r>
              <w:t xml:space="preserve"> Pt. 3 Div 18</w:t>
            </w:r>
            <w:r>
              <w:rPr>
                <w:vertAlign w:val="superscript"/>
              </w:rPr>
              <w:t> 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nil"/>
            </w:tcBorders>
          </w:tcPr>
          <w:p>
            <w:pPr>
              <w:pStyle w:val="nTable"/>
              <w:spacing w:after="40"/>
            </w:pPr>
            <w:r>
              <w:rPr>
                <w:i/>
              </w:rPr>
              <w:t>Community Titles Act 2018</w:t>
            </w:r>
            <w:r>
              <w:t xml:space="preserve"> Pt. 14 Div. 18</w:t>
            </w:r>
            <w:r>
              <w:rPr>
                <w:vertAlign w:val="superscript"/>
              </w:rPr>
              <w:t> 9</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2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2" w:space="0" w:color="auto"/>
            </w:tcBorders>
          </w:tcPr>
          <w:p>
            <w:pPr>
              <w:pStyle w:val="nTable"/>
              <w:spacing w:after="40"/>
              <w:rPr>
                <w:i/>
              </w:rPr>
            </w:pPr>
            <w:r>
              <w:rPr>
                <w:i/>
              </w:rPr>
              <w:t xml:space="preserve">Residential Tenancies Legislation Amendment (Family Violence) Act 2019 </w:t>
            </w:r>
            <w:r>
              <w:t>Pt 2</w:t>
            </w:r>
            <w:r>
              <w:rPr>
                <w:vertAlign w:val="superscript"/>
              </w:rPr>
              <w:t> 10</w:t>
            </w:r>
          </w:p>
        </w:tc>
        <w:tc>
          <w:tcPr>
            <w:tcW w:w="1134" w:type="dxa"/>
            <w:gridSpan w:val="2"/>
            <w:tcBorders>
              <w:top w:val="nil"/>
              <w:bottom w:val="single" w:sz="2" w:space="0" w:color="auto"/>
            </w:tcBorders>
          </w:tcPr>
          <w:p>
            <w:pPr>
              <w:pStyle w:val="nTable"/>
              <w:spacing w:after="40"/>
            </w:pPr>
            <w:r>
              <w:t>3 of 2019</w:t>
            </w:r>
          </w:p>
        </w:tc>
        <w:tc>
          <w:tcPr>
            <w:tcW w:w="1134" w:type="dxa"/>
            <w:gridSpan w:val="2"/>
            <w:tcBorders>
              <w:top w:val="nil"/>
              <w:bottom w:val="single" w:sz="2" w:space="0" w:color="auto"/>
            </w:tcBorders>
          </w:tcPr>
          <w:p>
            <w:pPr>
              <w:pStyle w:val="nTable"/>
              <w:spacing w:after="40"/>
            </w:pPr>
            <w:r>
              <w:t>26 Feb 2019</w:t>
            </w:r>
          </w:p>
        </w:tc>
        <w:tc>
          <w:tcPr>
            <w:tcW w:w="2524" w:type="dxa"/>
            <w:tcBorders>
              <w:top w:val="nil"/>
              <w:bottom w:val="single" w:sz="2" w:space="0" w:color="auto"/>
            </w:tcBorders>
          </w:tcPr>
          <w:p>
            <w:pPr>
              <w:pStyle w:val="nTable"/>
              <w:spacing w:after="40"/>
            </w:pPr>
            <w: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keepNext/>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pStyle w:val="nSubsection"/>
      </w:pPr>
      <w:r>
        <w:rPr>
          <w:vertAlign w:val="superscript"/>
        </w:rPr>
        <w:t>8</w:t>
      </w:r>
      <w:r>
        <w:tab/>
        <w:t xml:space="preserve">On the date as at which this compilation was prepared, the </w:t>
      </w:r>
      <w:r>
        <w:rPr>
          <w:i/>
        </w:rPr>
        <w:t>Strata Titles Amendment Act 2018</w:t>
      </w:r>
      <w:r>
        <w:t xml:space="preserve"> Pt. 3 Div. 18 had not come into operation.  It reads as follows:</w:t>
      </w:r>
    </w:p>
    <w:p>
      <w:pPr>
        <w:pStyle w:val="BlankOpen"/>
      </w:pPr>
    </w:p>
    <w:p>
      <w:pPr>
        <w:pStyle w:val="nzHeading2"/>
      </w:pPr>
      <w:r>
        <w:rPr>
          <w:rStyle w:val="CharPartNo"/>
        </w:rPr>
        <w:t>Part 3</w:t>
      </w:r>
      <w:r>
        <w:t> — </w:t>
      </w:r>
      <w:r>
        <w:rPr>
          <w:rStyle w:val="CharPartText"/>
        </w:rPr>
        <w:t>Other Acts amended</w:t>
      </w:r>
    </w:p>
    <w:p>
      <w:pPr>
        <w:pStyle w:val="nzHeading3"/>
      </w:pPr>
      <w:r>
        <w:rPr>
          <w:rStyle w:val="CharDivNo"/>
        </w:rPr>
        <w:t>Division 18</w:t>
      </w:r>
      <w:r>
        <w:t> — </w:t>
      </w:r>
      <w:r>
        <w:rPr>
          <w:rStyle w:val="CharDivText"/>
        </w:rPr>
        <w:t>Residential Tenancies Act 1987 amended</w:t>
      </w:r>
    </w:p>
    <w:p>
      <w:pPr>
        <w:pStyle w:val="nzHeading5"/>
      </w:pPr>
      <w:r>
        <w:rPr>
          <w:rStyle w:val="CharSectno"/>
        </w:rPr>
        <w:t>181</w:t>
      </w:r>
      <w:r>
        <w:t>.</w:t>
      </w:r>
      <w:r>
        <w:tab/>
        <w:t>Act amended</w:t>
      </w:r>
    </w:p>
    <w:p>
      <w:pPr>
        <w:pStyle w:val="nzSubsection"/>
      </w:pPr>
      <w:r>
        <w:tab/>
      </w:r>
      <w:r>
        <w:tab/>
        <w:t xml:space="preserve">This Division amends the </w:t>
      </w:r>
      <w:r>
        <w:rPr>
          <w:i/>
        </w:rPr>
        <w:t>Residential Tenancies Act 1987.</w:t>
      </w:r>
    </w:p>
    <w:p>
      <w:pPr>
        <w:pStyle w:val="nzHeading5"/>
      </w:pPr>
      <w:r>
        <w:rPr>
          <w:rStyle w:val="CharSectno"/>
        </w:rPr>
        <w:t>182</w:t>
      </w:r>
      <w:r>
        <w:t>.</w:t>
      </w:r>
      <w:r>
        <w:tab/>
        <w:t>Section 5 amended</w:t>
      </w:r>
    </w:p>
    <w:p>
      <w:pPr>
        <w:pStyle w:val="nzSubsection"/>
      </w:pPr>
      <w:r>
        <w:tab/>
      </w:r>
      <w:r>
        <w:tab/>
        <w:t>After section 5(1) insert:</w:t>
      </w:r>
    </w:p>
    <w:p>
      <w:pPr>
        <w:pStyle w:val="BlankOpen"/>
      </w:pPr>
    </w:p>
    <w:p>
      <w:pPr>
        <w:pStyle w:val="nzSubsection"/>
      </w:pPr>
      <w:r>
        <w:tab/>
        <w:t>(1A)</w:t>
      </w:r>
      <w:r>
        <w:tab/>
        <w:t xml:space="preserve">This Act does not apply to a residential tenancy agreement that is a strata lease, within the meaning of the </w:t>
      </w:r>
      <w:r>
        <w:rPr>
          <w:i/>
          <w:snapToGrid w:val="0"/>
        </w:rPr>
        <w:t>Strata Titles Act 1985</w:t>
      </w:r>
      <w:r>
        <w:t>.</w:t>
      </w:r>
    </w:p>
    <w:p>
      <w:pPr>
        <w:pStyle w:val="nzPermNoteHeading"/>
      </w:pPr>
      <w:r>
        <w:tab/>
        <w:t>Note for this subsection:</w:t>
      </w:r>
    </w:p>
    <w:p>
      <w:pPr>
        <w:pStyle w:val="nzPermNoteText"/>
      </w:pPr>
      <w:r>
        <w:tab/>
      </w:r>
      <w:r>
        <w:tab/>
        <w:t>This subsection does not affect the application of this Act to a residential tenancy agreement that is a sublease of a strata lease.</w:t>
      </w:r>
    </w:p>
    <w:p>
      <w:pPr>
        <w:pStyle w:val="BlankClose"/>
      </w:pPr>
    </w:p>
    <w:p>
      <w:pPr>
        <w:pStyle w:val="BlankClose"/>
      </w:pPr>
    </w:p>
    <w:p>
      <w:pPr>
        <w:pStyle w:val="nSubsection"/>
      </w:pPr>
      <w:r>
        <w:rPr>
          <w:vertAlign w:val="superscript"/>
        </w:rPr>
        <w:t>9</w:t>
      </w:r>
      <w:r>
        <w:tab/>
        <w:t xml:space="preserve">On the date as at which this compilation was prepared, the </w:t>
      </w:r>
      <w:r>
        <w:rPr>
          <w:i/>
        </w:rPr>
        <w:t>Community Titles Act 2018</w:t>
      </w:r>
      <w:r>
        <w:t xml:space="preserve"> Pt. 14 Div. 18 had not come into operation.  It reads as follows:</w:t>
      </w:r>
    </w:p>
    <w:p>
      <w:pPr>
        <w:pStyle w:val="BlankOpen"/>
      </w:pPr>
    </w:p>
    <w:p>
      <w:pPr>
        <w:pStyle w:val="nzHeading2"/>
      </w:pPr>
      <w:r>
        <w:rPr>
          <w:rStyle w:val="CharPartNo"/>
        </w:rPr>
        <w:t>Part 14</w:t>
      </w:r>
      <w:r>
        <w:t> — </w:t>
      </w:r>
      <w:r>
        <w:rPr>
          <w:rStyle w:val="CharPartText"/>
        </w:rPr>
        <w:t>Other Acts amended</w:t>
      </w:r>
    </w:p>
    <w:p>
      <w:pPr>
        <w:pStyle w:val="nzHeading3"/>
      </w:pPr>
      <w:r>
        <w:rPr>
          <w:rStyle w:val="CharDivNo"/>
        </w:rPr>
        <w:t>Division 18</w:t>
      </w:r>
      <w:r>
        <w:t> — </w:t>
      </w:r>
      <w:r>
        <w:rPr>
          <w:rStyle w:val="CharDivText"/>
        </w:rPr>
        <w:t>Residential Tenancies Act 1987 amended</w:t>
      </w:r>
    </w:p>
    <w:p>
      <w:pPr>
        <w:pStyle w:val="nzHeading5"/>
        <w:rPr>
          <w:snapToGrid w:val="0"/>
        </w:rPr>
      </w:pPr>
      <w:r>
        <w:rPr>
          <w:rStyle w:val="CharSectno"/>
        </w:rPr>
        <w:t>236</w:t>
      </w:r>
      <w:r>
        <w:rPr>
          <w:snapToGrid w:val="0"/>
        </w:rPr>
        <w:t>.</w:t>
      </w:r>
      <w:r>
        <w:rPr>
          <w:snapToGrid w:val="0"/>
        </w:rPr>
        <w:tab/>
        <w:t>Act amended</w:t>
      </w:r>
    </w:p>
    <w:p>
      <w:pPr>
        <w:pStyle w:val="nzSubsection"/>
      </w:pPr>
      <w:r>
        <w:tab/>
      </w:r>
      <w:r>
        <w:tab/>
        <w:t xml:space="preserve">This Division amends the </w:t>
      </w:r>
      <w:r>
        <w:rPr>
          <w:i/>
        </w:rPr>
        <w:t>Residential Tenancies Act 1987</w:t>
      </w:r>
      <w:r>
        <w:t>.</w:t>
      </w:r>
    </w:p>
    <w:p>
      <w:pPr>
        <w:pStyle w:val="nzHeading5"/>
        <w:rPr>
          <w:snapToGrid w:val="0"/>
        </w:rPr>
      </w:pPr>
      <w:r>
        <w:rPr>
          <w:rStyle w:val="CharSectno"/>
        </w:rPr>
        <w:t>237</w:t>
      </w:r>
      <w:r>
        <w:rPr>
          <w:snapToGrid w:val="0"/>
        </w:rPr>
        <w:t>.</w:t>
      </w:r>
      <w:r>
        <w:rPr>
          <w:snapToGrid w:val="0"/>
        </w:rPr>
        <w:tab/>
        <w:t>Section 48 amended</w:t>
      </w:r>
    </w:p>
    <w:p>
      <w:pPr>
        <w:pStyle w:val="nzSubsection"/>
      </w:pPr>
      <w:r>
        <w:tab/>
      </w:r>
      <w:r>
        <w:tab/>
        <w:t>Delete section 48(2) and insert:</w:t>
      </w:r>
    </w:p>
    <w:p>
      <w:pPr>
        <w:pStyle w:val="BlankOpen"/>
        <w:rPr>
          <w:sz w:val="20"/>
          <w:szCs w:val="20"/>
        </w:rPr>
      </w:pPr>
    </w:p>
    <w:p>
      <w:pPr>
        <w:pStyle w:val="nz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BlankClose"/>
        <w:rPr>
          <w:sz w:val="20"/>
          <w:szCs w:val="20"/>
        </w:rPr>
      </w:pPr>
    </w:p>
    <w:p>
      <w:pPr>
        <w:pStyle w:val="BlankClose"/>
        <w:rPr>
          <w:sz w:val="20"/>
          <w:szCs w:val="20"/>
        </w:rPr>
      </w:pPr>
    </w:p>
    <w:p>
      <w:pPr>
        <w:pStyle w:val="nSubsection"/>
      </w:pPr>
      <w:r>
        <w:rPr>
          <w:vertAlign w:val="superscript"/>
        </w:rPr>
        <w:t>10</w:t>
      </w:r>
      <w:r>
        <w:tab/>
        <w:t xml:space="preserve">On the date as at which this compilation was prepared, the </w:t>
      </w:r>
      <w:r>
        <w:rPr>
          <w:i/>
        </w:rPr>
        <w:t>Residential Tenancies Legislation Amendment (Family Violence) Act 2019</w:t>
      </w:r>
      <w:r>
        <w:t xml:space="preserve"> Pt. 2 had not come into operation.  It reads as follows:</w:t>
      </w:r>
    </w:p>
    <w:p>
      <w:pPr>
        <w:pStyle w:val="BlankOpen"/>
      </w:pPr>
    </w:p>
    <w:p>
      <w:pPr>
        <w:pStyle w:val="nzHeading2"/>
      </w:pPr>
      <w:bookmarkStart w:id="253" w:name="_Toc508617478"/>
      <w:bookmarkStart w:id="254" w:name="_Toc508617536"/>
      <w:bookmarkStart w:id="255" w:name="_Toc508627714"/>
      <w:bookmarkStart w:id="256" w:name="_Toc508693971"/>
      <w:bookmarkStart w:id="257" w:name="_Toc508695444"/>
      <w:bookmarkStart w:id="258" w:name="_Toc508695965"/>
      <w:bookmarkStart w:id="259" w:name="_Toc508712622"/>
      <w:bookmarkStart w:id="260" w:name="_Toc508712789"/>
      <w:bookmarkStart w:id="261" w:name="_Toc509411256"/>
      <w:bookmarkStart w:id="262" w:name="_Toc509411314"/>
      <w:bookmarkStart w:id="263" w:name="_Toc511230128"/>
      <w:bookmarkStart w:id="264" w:name="_Toc511230765"/>
      <w:bookmarkStart w:id="265" w:name="_Toc511819822"/>
      <w:bookmarkStart w:id="266" w:name="_Toc531675235"/>
      <w:bookmarkStart w:id="267" w:name="_Toc531859761"/>
      <w:bookmarkStart w:id="268" w:name="_Toc531945347"/>
      <w:bookmarkStart w:id="269" w:name="_Toc1570334"/>
      <w:bookmarkStart w:id="270" w:name="_Toc2090034"/>
      <w:bookmarkStart w:id="271" w:name="_Toc2091396"/>
      <w:bookmarkStart w:id="272" w:name="_Toc2091944"/>
      <w:bookmarkStart w:id="273" w:name="_Toc2092007"/>
      <w:bookmarkStart w:id="274" w:name="_Toc2092128"/>
      <w:r>
        <w:rPr>
          <w:rStyle w:val="CharPartNo"/>
        </w:rPr>
        <w:t>Part 2</w:t>
      </w:r>
      <w:r>
        <w:rPr>
          <w:rStyle w:val="CharDivNo"/>
        </w:rPr>
        <w:t> </w:t>
      </w:r>
      <w:r>
        <w:t>—</w:t>
      </w:r>
      <w:r>
        <w:rPr>
          <w:rStyle w:val="CharDivText"/>
        </w:rPr>
        <w:t> </w:t>
      </w:r>
      <w:r>
        <w:rPr>
          <w:rStyle w:val="CharPartText"/>
          <w:i/>
        </w:rPr>
        <w:t>Residential Tenancies Act 1987</w:t>
      </w:r>
      <w:r>
        <w:rPr>
          <w:rStyle w:val="CharPartText"/>
        </w:rPr>
        <w:t> amended</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nzHeading5"/>
        <w:rPr>
          <w:snapToGrid w:val="0"/>
        </w:rPr>
      </w:pPr>
      <w:bookmarkStart w:id="275" w:name="_Toc1570335"/>
      <w:bookmarkStart w:id="276" w:name="_Toc2090035"/>
      <w:bookmarkStart w:id="277" w:name="_Toc2092129"/>
      <w:r>
        <w:rPr>
          <w:rStyle w:val="CharSectno"/>
        </w:rPr>
        <w:t>3</w:t>
      </w:r>
      <w:r>
        <w:rPr>
          <w:snapToGrid w:val="0"/>
        </w:rPr>
        <w:t>.</w:t>
      </w:r>
      <w:r>
        <w:rPr>
          <w:snapToGrid w:val="0"/>
        </w:rPr>
        <w:tab/>
        <w:t>Act amended</w:t>
      </w:r>
      <w:bookmarkEnd w:id="275"/>
      <w:bookmarkEnd w:id="276"/>
      <w:bookmarkEnd w:id="277"/>
    </w:p>
    <w:p>
      <w:pPr>
        <w:pStyle w:val="nzSubsection"/>
      </w:pPr>
      <w:r>
        <w:tab/>
      </w:r>
      <w:r>
        <w:tab/>
        <w:t xml:space="preserve">This Part amends the </w:t>
      </w:r>
      <w:r>
        <w:rPr>
          <w:i/>
        </w:rPr>
        <w:t>Residential Tenancies Act 1987</w:t>
      </w:r>
      <w:r>
        <w:t>.</w:t>
      </w:r>
    </w:p>
    <w:p>
      <w:pPr>
        <w:pStyle w:val="nzHeading5"/>
      </w:pPr>
      <w:bookmarkStart w:id="278" w:name="_Toc1570336"/>
      <w:bookmarkStart w:id="279" w:name="_Toc2090036"/>
      <w:bookmarkStart w:id="280" w:name="_Toc2092130"/>
      <w:r>
        <w:rPr>
          <w:rStyle w:val="CharSectno"/>
        </w:rPr>
        <w:t>4</w:t>
      </w:r>
      <w:r>
        <w:t>.</w:t>
      </w:r>
      <w:r>
        <w:tab/>
        <w:t>Section 3 amended</w:t>
      </w:r>
      <w:bookmarkEnd w:id="278"/>
      <w:bookmarkEnd w:id="279"/>
      <w:bookmarkEnd w:id="280"/>
    </w:p>
    <w:p>
      <w:pPr>
        <w:pStyle w:val="nzSubsection"/>
      </w:pPr>
      <w:r>
        <w:tab/>
        <w:t>(1)</w:t>
      </w:r>
      <w:r>
        <w:tab/>
        <w:t>In section 3 insert in alphabetical order:</w:t>
      </w:r>
    </w:p>
    <w:p>
      <w:pPr>
        <w:pStyle w:val="BlankOpen"/>
      </w:pPr>
    </w:p>
    <w:p>
      <w:pPr>
        <w:pStyle w:val="nzDefstart"/>
      </w:pPr>
      <w:r>
        <w:tab/>
      </w:r>
      <w:r>
        <w:rPr>
          <w:rStyle w:val="CharDefText"/>
        </w:rPr>
        <w:t>family violence</w:t>
      </w:r>
      <w:r>
        <w:t xml:space="preserve"> has the meaning given in the </w:t>
      </w:r>
      <w:r>
        <w:rPr>
          <w:i/>
        </w:rPr>
        <w:t>Restraining Orders Act 1997</w:t>
      </w:r>
      <w:r>
        <w:t xml:space="preserve"> section 5A(1);</w:t>
      </w:r>
    </w:p>
    <w:p>
      <w:pPr>
        <w:pStyle w:val="nzDefstart"/>
      </w:pPr>
      <w:r>
        <w:tab/>
      </w:r>
      <w:r>
        <w:rPr>
          <w:rStyle w:val="CharDefText"/>
        </w:rPr>
        <w:t>prescribed</w:t>
      </w:r>
      <w:r>
        <w:t xml:space="preserve"> means prescribed in the regulations;</w:t>
      </w:r>
    </w:p>
    <w:p>
      <w:pPr>
        <w:pStyle w:val="nz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BlankClose"/>
      </w:pPr>
    </w:p>
    <w:p>
      <w:pPr>
        <w:pStyle w:val="nzSubsection"/>
      </w:pPr>
      <w:r>
        <w:tab/>
        <w:t>(2)</w:t>
      </w:r>
      <w:r>
        <w:tab/>
        <w:t xml:space="preserve">In section 3 in the definition of </w:t>
      </w:r>
      <w:r>
        <w:rPr>
          <w:b/>
          <w:i/>
        </w:rPr>
        <w:t>rent</w:t>
      </w:r>
      <w:r>
        <w:t xml:space="preserve"> delete “a period of the tenancy;” and insert:</w:t>
      </w:r>
    </w:p>
    <w:p>
      <w:pPr>
        <w:pStyle w:val="BlankOpen"/>
      </w:pPr>
    </w:p>
    <w:p>
      <w:pPr>
        <w:pStyle w:val="nzSubsection"/>
      </w:pPr>
      <w:r>
        <w:tab/>
      </w:r>
      <w:r>
        <w:tab/>
        <w:t>the tenancy period or part of the tenancy period;</w:t>
      </w:r>
    </w:p>
    <w:p>
      <w:pPr>
        <w:pStyle w:val="BlankClose"/>
      </w:pPr>
    </w:p>
    <w:p>
      <w:pPr>
        <w:pStyle w:val="nzHeading5"/>
      </w:pPr>
      <w:bookmarkStart w:id="281" w:name="_Toc1570337"/>
      <w:bookmarkStart w:id="282" w:name="_Toc2090037"/>
      <w:bookmarkStart w:id="283" w:name="_Toc2092131"/>
      <w:r>
        <w:rPr>
          <w:rStyle w:val="CharSectno"/>
        </w:rPr>
        <w:t>5</w:t>
      </w:r>
      <w:r>
        <w:t>.</w:t>
      </w:r>
      <w:r>
        <w:tab/>
        <w:t>Section 17B inserted</w:t>
      </w:r>
      <w:bookmarkEnd w:id="281"/>
      <w:bookmarkEnd w:id="282"/>
      <w:bookmarkEnd w:id="283"/>
    </w:p>
    <w:p>
      <w:pPr>
        <w:pStyle w:val="nzSubsection"/>
      </w:pPr>
      <w:r>
        <w:tab/>
      </w:r>
      <w:r>
        <w:tab/>
        <w:t>After section 17A insert:</w:t>
      </w:r>
    </w:p>
    <w:p>
      <w:pPr>
        <w:pStyle w:val="BlankOpen"/>
      </w:pPr>
    </w:p>
    <w:p>
      <w:pPr>
        <w:pStyle w:val="nzHeading5"/>
      </w:pPr>
      <w:bookmarkStart w:id="284" w:name="_Toc1570338"/>
      <w:bookmarkStart w:id="285" w:name="_Toc2090038"/>
      <w:bookmarkStart w:id="286" w:name="_Toc2092132"/>
      <w:r>
        <w:t>17B.</w:t>
      </w:r>
      <w:r>
        <w:tab/>
        <w:t>Determination of rights and liabilities after termination of tenant’s interest on grounds of family violence</w:t>
      </w:r>
      <w:bookmarkEnd w:id="284"/>
      <w:bookmarkEnd w:id="285"/>
      <w:bookmarkEnd w:id="286"/>
    </w:p>
    <w:p>
      <w:pPr>
        <w:pStyle w:val="nzSubsection"/>
      </w:pPr>
      <w:r>
        <w:tab/>
        <w:t>(1)</w:t>
      </w:r>
      <w:r>
        <w:tab/>
        <w:t>A tenant, or former tenant, under a residential tenancy agreement may apply to a competent court for a determination of the rights and liabilities of the parties to the agreement once the former tenant’s interest in the agreement has been terminated under section 60(1)(ba) or (bb).</w:t>
      </w:r>
    </w:p>
    <w:p>
      <w:pPr>
        <w:pStyle w:val="nzSubsection"/>
      </w:pPr>
      <w:r>
        <w:tab/>
        <w:t>(2)</w:t>
      </w:r>
      <w:r>
        <w:tab/>
        <w:t xml:space="preserve">When hearing an application under subsection (1) or section 71AE(3), the court — </w:t>
      </w:r>
    </w:p>
    <w:p>
      <w:pPr>
        <w:pStyle w:val="nzIndenta"/>
      </w:pPr>
      <w:r>
        <w:tab/>
        <w:t>(a)</w:t>
      </w:r>
      <w:r>
        <w:tab/>
        <w:t>must determine the rights and liabilities of the parties to the agreement, as affected by the termination; and</w:t>
      </w:r>
    </w:p>
    <w:p>
      <w:pPr>
        <w:pStyle w:val="nzIndenta"/>
      </w:pPr>
      <w:r>
        <w:tab/>
        <w:t>(b)</w:t>
      </w:r>
      <w:r>
        <w:tab/>
        <w:t>may order a party to pay compensation to another party for loss or injury, other than personal injury, relating to the termination.</w:t>
      </w:r>
    </w:p>
    <w:p>
      <w:pPr>
        <w:pStyle w:val="nz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nz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nzSubsection"/>
      </w:pPr>
      <w:r>
        <w:tab/>
        <w:t>(5)</w:t>
      </w:r>
      <w:r>
        <w:tab/>
        <w:t>In making a determination or order under subsection (2), the court must have regard to all of the following principles —</w:t>
      </w:r>
    </w:p>
    <w:p>
      <w:pPr>
        <w:pStyle w:val="nzIndenta"/>
      </w:pPr>
      <w:r>
        <w:tab/>
        <w:t>(a)</w:t>
      </w:r>
      <w:r>
        <w:tab/>
        <w:t xml:space="preserve">that family violence is a fundamental violation of human rights and is unacceptable in any form; </w:t>
      </w:r>
    </w:p>
    <w:p>
      <w:pPr>
        <w:pStyle w:val="nzIndenta"/>
      </w:pPr>
      <w:r>
        <w:tab/>
        <w:t>(b)</w:t>
      </w:r>
      <w:r>
        <w:tab/>
        <w:t>the need to prevent further victimisation of a person who has experienced family violence through the unjust application of the principle of joint and several liability or the principle of vicarious liability;</w:t>
      </w:r>
    </w:p>
    <w:p>
      <w:pPr>
        <w:pStyle w:val="nzIndenta"/>
      </w:pPr>
      <w:r>
        <w:tab/>
        <w:t>(c)</w:t>
      </w:r>
      <w:r>
        <w:tab/>
        <w:t>the need to maximise the safety of persons who have experienced family violence by reducing any financial burden arising from the family violence;</w:t>
      </w:r>
    </w:p>
    <w:p>
      <w:pPr>
        <w:pStyle w:val="nzIndenta"/>
      </w:pPr>
      <w:r>
        <w:tab/>
        <w:t>(d)</w:t>
      </w:r>
      <w:r>
        <w:tab/>
        <w:t>the need to prevent, or reduce to the greatest extent possible, the consequences of family violence;</w:t>
      </w:r>
    </w:p>
    <w:p>
      <w:pPr>
        <w:pStyle w:val="nzIndenta"/>
      </w:pPr>
      <w:r>
        <w:tab/>
        <w:t>(e)</w:t>
      </w:r>
      <w:r>
        <w:tab/>
        <w:t>the need to protect the wellbeing of children by preventing them from being subjected or exposed to further family violence;</w:t>
      </w:r>
    </w:p>
    <w:p>
      <w:pPr>
        <w:pStyle w:val="nzIndenta"/>
      </w:pPr>
      <w:r>
        <w:tab/>
        <w:t>(f)</w:t>
      </w:r>
      <w:r>
        <w:tab/>
        <w:t>the need to encourage perpetrators of family violence to accept responsibility for their behaviour and the effect it has on others.</w:t>
      </w:r>
    </w:p>
    <w:p>
      <w:pPr>
        <w:pStyle w:val="nzSubsection"/>
      </w:pPr>
      <w:r>
        <w:tab/>
        <w:t>(6)</w:t>
      </w:r>
      <w:r>
        <w:tab/>
        <w:t>Nothing in subsection (2) is to be read as enabling the court to order compensation for early termination of a residential tenancy agreement.</w:t>
      </w:r>
    </w:p>
    <w:p>
      <w:pPr>
        <w:pStyle w:val="BlankClose"/>
      </w:pPr>
    </w:p>
    <w:p>
      <w:pPr>
        <w:pStyle w:val="nzHeading5"/>
      </w:pPr>
      <w:bookmarkStart w:id="287" w:name="_Toc1570339"/>
      <w:bookmarkStart w:id="288" w:name="_Toc2090039"/>
      <w:bookmarkStart w:id="289" w:name="_Toc2092133"/>
      <w:r>
        <w:rPr>
          <w:rStyle w:val="CharSectno"/>
        </w:rPr>
        <w:t>6</w:t>
      </w:r>
      <w:r>
        <w:t>.</w:t>
      </w:r>
      <w:r>
        <w:tab/>
        <w:t>Section 27C amended</w:t>
      </w:r>
      <w:bookmarkEnd w:id="287"/>
      <w:bookmarkEnd w:id="288"/>
      <w:bookmarkEnd w:id="289"/>
    </w:p>
    <w:p>
      <w:pPr>
        <w:pStyle w:val="nzSubsection"/>
      </w:pPr>
      <w:r>
        <w:tab/>
        <w:t>(1)</w:t>
      </w:r>
      <w:r>
        <w:tab/>
        <w:t>In section 27C(4) delete “tenancy —” and insert:</w:t>
      </w:r>
    </w:p>
    <w:p>
      <w:pPr>
        <w:pStyle w:val="BlankOpen"/>
      </w:pPr>
    </w:p>
    <w:p>
      <w:pPr>
        <w:pStyle w:val="nzSubsection"/>
      </w:pPr>
      <w:r>
        <w:tab/>
      </w:r>
      <w:r>
        <w:tab/>
        <w:t xml:space="preserve">tenancy or tenant’s interest in a residential tenancy agreement — </w:t>
      </w:r>
    </w:p>
    <w:p>
      <w:pPr>
        <w:pStyle w:val="BlankClose"/>
      </w:pPr>
    </w:p>
    <w:p>
      <w:pPr>
        <w:pStyle w:val="nzSubsection"/>
      </w:pPr>
      <w:r>
        <w:tab/>
        <w:t>(2)</w:t>
      </w:r>
      <w:r>
        <w:tab/>
        <w:t>After section 27C(4) insert:</w:t>
      </w:r>
    </w:p>
    <w:p>
      <w:pPr>
        <w:pStyle w:val="BlankOpen"/>
      </w:pPr>
    </w:p>
    <w:p>
      <w:pPr>
        <w:pStyle w:val="nzSubsection"/>
      </w:pPr>
      <w:r>
        <w:tab/>
        <w:t>(4A)</w:t>
      </w:r>
      <w:r>
        <w:tab/>
        <w:t xml:space="preserve">A lessor is taken to comply with subsection (4) if, before the termination of a tenant’s interest, the lessor — </w:t>
      </w:r>
    </w:p>
    <w:p>
      <w:pPr>
        <w:pStyle w:val="nzIndenta"/>
      </w:pPr>
      <w:r>
        <w:tab/>
        <w:t>(a)</w:t>
      </w:r>
      <w:r>
        <w:tab/>
        <w:t>enters residential premises under section 46(6B); and</w:t>
      </w:r>
    </w:p>
    <w:p>
      <w:pPr>
        <w:pStyle w:val="nzIndenta"/>
      </w:pPr>
      <w:r>
        <w:tab/>
        <w:t>(b)</w:t>
      </w:r>
      <w:r>
        <w:tab/>
        <w:t xml:space="preserve">in relation to that entry — </w:t>
      </w:r>
    </w:p>
    <w:p>
      <w:pPr>
        <w:pStyle w:val="nzIndenti"/>
      </w:pPr>
      <w:r>
        <w:tab/>
        <w:t>(i)</w:t>
      </w:r>
      <w:r>
        <w:tab/>
        <w:t xml:space="preserve">conducts an inspection of the premises; and </w:t>
      </w:r>
    </w:p>
    <w:p>
      <w:pPr>
        <w:pStyle w:val="nzIndenti"/>
      </w:pPr>
      <w:r>
        <w:tab/>
        <w:t>(ii)</w:t>
      </w:r>
      <w:r>
        <w:tab/>
        <w:t xml:space="preserve">prepares a report describing the condition of the premises; and </w:t>
      </w:r>
    </w:p>
    <w:p>
      <w:pPr>
        <w:pStyle w:val="nzIndenti"/>
      </w:pPr>
      <w:r>
        <w:tab/>
        <w:t>(iii)</w:t>
      </w:r>
      <w:r>
        <w:tab/>
        <w:t>provides a copy of the report to the tenant.</w:t>
      </w:r>
    </w:p>
    <w:p>
      <w:pPr>
        <w:pStyle w:val="BlankClose"/>
      </w:pPr>
    </w:p>
    <w:p>
      <w:pPr>
        <w:pStyle w:val="nzSubsection"/>
      </w:pPr>
      <w:r>
        <w:tab/>
        <w:t>(3)</w:t>
      </w:r>
      <w:r>
        <w:tab/>
        <w:t>In section 27C(5) delete “subsection (4)(a).” and insert:</w:t>
      </w:r>
    </w:p>
    <w:p>
      <w:pPr>
        <w:pStyle w:val="BlankOpen"/>
      </w:pPr>
    </w:p>
    <w:p>
      <w:pPr>
        <w:pStyle w:val="nzSubsection"/>
      </w:pPr>
      <w:r>
        <w:tab/>
      </w:r>
      <w:r>
        <w:tab/>
        <w:t>subsection (4)(a) or (4A)(a).</w:t>
      </w:r>
    </w:p>
    <w:p>
      <w:pPr>
        <w:pStyle w:val="BlankClose"/>
      </w:pPr>
    </w:p>
    <w:p>
      <w:pPr>
        <w:pStyle w:val="nzHeading5"/>
      </w:pPr>
      <w:bookmarkStart w:id="290" w:name="_Toc1570340"/>
      <w:bookmarkStart w:id="291" w:name="_Toc2090040"/>
      <w:bookmarkStart w:id="292" w:name="_Toc2092134"/>
      <w:r>
        <w:rPr>
          <w:rStyle w:val="CharSectno"/>
        </w:rPr>
        <w:t>7</w:t>
      </w:r>
      <w:r>
        <w:t>.</w:t>
      </w:r>
      <w:r>
        <w:tab/>
        <w:t>Section 29 amended</w:t>
      </w:r>
      <w:bookmarkEnd w:id="290"/>
      <w:bookmarkEnd w:id="291"/>
      <w:bookmarkEnd w:id="292"/>
    </w:p>
    <w:p>
      <w:pPr>
        <w:pStyle w:val="nzSubsection"/>
      </w:pPr>
      <w:r>
        <w:tab/>
      </w:r>
      <w:r>
        <w:tab/>
        <w:t>After section 29(8) insert:</w:t>
      </w:r>
    </w:p>
    <w:p>
      <w:pPr>
        <w:pStyle w:val="BlankOpen"/>
      </w:pPr>
    </w:p>
    <w:p>
      <w:pPr>
        <w:pStyle w:val="nz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BlankClose"/>
      </w:pPr>
    </w:p>
    <w:p>
      <w:pPr>
        <w:pStyle w:val="nzHeading5"/>
      </w:pPr>
      <w:bookmarkStart w:id="293" w:name="_Toc1570341"/>
      <w:bookmarkStart w:id="294" w:name="_Toc2090041"/>
      <w:bookmarkStart w:id="295" w:name="_Toc2092135"/>
      <w:r>
        <w:rPr>
          <w:rStyle w:val="CharSectno"/>
        </w:rPr>
        <w:t>8</w:t>
      </w:r>
      <w:r>
        <w:t>.</w:t>
      </w:r>
      <w:r>
        <w:tab/>
        <w:t>Section 41 amended</w:t>
      </w:r>
      <w:bookmarkEnd w:id="293"/>
      <w:bookmarkEnd w:id="294"/>
      <w:bookmarkEnd w:id="295"/>
    </w:p>
    <w:p>
      <w:pPr>
        <w:pStyle w:val="nzSubsection"/>
      </w:pPr>
      <w:r>
        <w:tab/>
      </w:r>
      <w:r>
        <w:tab/>
        <w:t>In section 41 delete “period of the tenancy.” and insert:</w:t>
      </w:r>
    </w:p>
    <w:p>
      <w:pPr>
        <w:pStyle w:val="BlankOpen"/>
      </w:pPr>
    </w:p>
    <w:p>
      <w:pPr>
        <w:pStyle w:val="nzSubsection"/>
      </w:pPr>
      <w:r>
        <w:tab/>
      </w:r>
      <w:r>
        <w:tab/>
        <w:t>tenancy period.</w:t>
      </w:r>
    </w:p>
    <w:p>
      <w:pPr>
        <w:pStyle w:val="BlankClose"/>
      </w:pPr>
    </w:p>
    <w:p>
      <w:pPr>
        <w:pStyle w:val="nzHeading5"/>
      </w:pPr>
      <w:bookmarkStart w:id="296" w:name="_Toc1570342"/>
      <w:bookmarkStart w:id="297" w:name="_Toc2090042"/>
      <w:bookmarkStart w:id="298" w:name="_Toc2092136"/>
      <w:r>
        <w:rPr>
          <w:rStyle w:val="CharSectno"/>
        </w:rPr>
        <w:t>9</w:t>
      </w:r>
      <w:r>
        <w:t>.</w:t>
      </w:r>
      <w:r>
        <w:tab/>
        <w:t>Section 43 amended</w:t>
      </w:r>
      <w:bookmarkEnd w:id="296"/>
      <w:bookmarkEnd w:id="297"/>
      <w:bookmarkEnd w:id="298"/>
    </w:p>
    <w:p>
      <w:pPr>
        <w:pStyle w:val="nzSubsection"/>
      </w:pPr>
      <w:r>
        <w:tab/>
        <w:t>(1)</w:t>
      </w:r>
      <w:r>
        <w:tab/>
        <w:t xml:space="preserve">In section 43(1) in the definition of </w:t>
      </w:r>
      <w:r>
        <w:rPr>
          <w:b/>
          <w:i/>
        </w:rPr>
        <w:t>prescribed period</w:t>
      </w:r>
      <w:r>
        <w:t>:</w:t>
      </w:r>
    </w:p>
    <w:p>
      <w:pPr>
        <w:pStyle w:val="nzIndenta"/>
      </w:pPr>
      <w:r>
        <w:tab/>
        <w:t>(a)</w:t>
      </w:r>
      <w:r>
        <w:tab/>
        <w:t>in paragraph (a) delete “in the regulations”;</w:t>
      </w:r>
    </w:p>
    <w:p>
      <w:pPr>
        <w:pStyle w:val="nzIndenta"/>
      </w:pPr>
      <w:r>
        <w:tab/>
        <w:t>(b)</w:t>
      </w:r>
      <w:r>
        <w:tab/>
        <w:t>in paragraph (b) delete “longer period prescribed in the regulations;” and insert:</w:t>
      </w:r>
    </w:p>
    <w:p>
      <w:pPr>
        <w:pStyle w:val="BlankOpen"/>
      </w:pPr>
    </w:p>
    <w:p>
      <w:pPr>
        <w:pStyle w:val="nzIndenta"/>
      </w:pPr>
      <w:r>
        <w:tab/>
      </w:r>
      <w:r>
        <w:tab/>
        <w:t>prescribed longer period;</w:t>
      </w:r>
    </w:p>
    <w:p>
      <w:pPr>
        <w:pStyle w:val="BlankClose"/>
      </w:pPr>
    </w:p>
    <w:p>
      <w:pPr>
        <w:pStyle w:val="nzSubsection"/>
      </w:pPr>
      <w:r>
        <w:tab/>
        <w:t>(2)</w:t>
      </w:r>
      <w:r>
        <w:tab/>
        <w:t xml:space="preserve">In section 43(1) in the definition of </w:t>
      </w:r>
      <w:r>
        <w:rPr>
          <w:b/>
          <w:i/>
        </w:rPr>
        <w:t>urgent repairs</w:t>
      </w:r>
      <w:r>
        <w:t xml:space="preserve"> paragraph (a) delete “in the regulations”.</w:t>
      </w:r>
    </w:p>
    <w:p>
      <w:pPr>
        <w:pStyle w:val="nzHeading5"/>
      </w:pPr>
      <w:bookmarkStart w:id="299" w:name="_Toc1570343"/>
      <w:bookmarkStart w:id="300" w:name="_Toc2090043"/>
      <w:bookmarkStart w:id="301" w:name="_Toc2092137"/>
      <w:r>
        <w:rPr>
          <w:rStyle w:val="CharSectno"/>
        </w:rPr>
        <w:t>10</w:t>
      </w:r>
      <w:r>
        <w:t>.</w:t>
      </w:r>
      <w:r>
        <w:tab/>
        <w:t>Section 45 amended</w:t>
      </w:r>
      <w:bookmarkEnd w:id="299"/>
      <w:bookmarkEnd w:id="300"/>
      <w:bookmarkEnd w:id="301"/>
    </w:p>
    <w:p>
      <w:pPr>
        <w:pStyle w:val="nzSubsection"/>
      </w:pPr>
      <w:r>
        <w:tab/>
        <w:t>(1)</w:t>
      </w:r>
      <w:r>
        <w:tab/>
        <w:t>In section 45:</w:t>
      </w:r>
    </w:p>
    <w:p>
      <w:pPr>
        <w:pStyle w:val="nzIndenta"/>
      </w:pPr>
      <w:r>
        <w:tab/>
        <w:t>(a)</w:t>
      </w:r>
      <w:r>
        <w:tab/>
        <w:t>delete “It” and insert:</w:t>
      </w:r>
    </w:p>
    <w:p>
      <w:pPr>
        <w:pStyle w:val="BlankOpen"/>
      </w:pPr>
    </w:p>
    <w:p>
      <w:pPr>
        <w:pStyle w:val="nzSubsection"/>
      </w:pPr>
      <w:r>
        <w:tab/>
        <w:t>(1)</w:t>
      </w:r>
      <w:r>
        <w:tab/>
        <w:t>It</w:t>
      </w:r>
    </w:p>
    <w:p>
      <w:pPr>
        <w:pStyle w:val="BlankClose"/>
      </w:pPr>
    </w:p>
    <w:p>
      <w:pPr>
        <w:pStyle w:val="nzIndenta"/>
      </w:pPr>
      <w:r>
        <w:tab/>
        <w:t>(b)</w:t>
      </w:r>
      <w:r>
        <w:tab/>
        <w:t>in paragraph (a) delete “prescribed in the regulations; and” and insert:</w:t>
      </w:r>
    </w:p>
    <w:p>
      <w:pPr>
        <w:pStyle w:val="BlankOpen"/>
      </w:pPr>
    </w:p>
    <w:p>
      <w:pPr>
        <w:pStyle w:val="nzIndenta"/>
      </w:pPr>
      <w:r>
        <w:tab/>
      </w:r>
      <w:r>
        <w:tab/>
        <w:t>prescribed; and</w:t>
      </w:r>
    </w:p>
    <w:p>
      <w:pPr>
        <w:pStyle w:val="BlankClose"/>
      </w:pPr>
    </w:p>
    <w:p>
      <w:pPr>
        <w:pStyle w:val="nzIndenta"/>
      </w:pPr>
      <w:r>
        <w:tab/>
        <w:t>(c)</w:t>
      </w:r>
      <w:r>
        <w:tab/>
        <w:t>in paragraph (c) delete “that” and insert:</w:t>
      </w:r>
    </w:p>
    <w:p>
      <w:pPr>
        <w:pStyle w:val="BlankOpen"/>
      </w:pPr>
    </w:p>
    <w:p>
      <w:pPr>
        <w:pStyle w:val="nzIndenta"/>
      </w:pPr>
      <w:r>
        <w:tab/>
      </w:r>
      <w:r>
        <w:tab/>
        <w:t xml:space="preserve">that, except as provided in subsection (2), </w:t>
      </w:r>
    </w:p>
    <w:p>
      <w:pPr>
        <w:pStyle w:val="BlankClose"/>
      </w:pPr>
    </w:p>
    <w:p>
      <w:pPr>
        <w:pStyle w:val="nzSubsection"/>
      </w:pPr>
      <w:r>
        <w:tab/>
        <w:t>(2)</w:t>
      </w:r>
      <w:r>
        <w:tab/>
        <w:t>At the end of section 45 insert:</w:t>
      </w:r>
    </w:p>
    <w:p>
      <w:pPr>
        <w:pStyle w:val="BlankOpen"/>
      </w:pPr>
    </w:p>
    <w:p>
      <w:pPr>
        <w:pStyle w:val="nzSubsection"/>
      </w:pPr>
      <w:r>
        <w:tab/>
        <w:t>(2)</w:t>
      </w:r>
      <w:r>
        <w:tab/>
        <w:t xml:space="preserve">It is a term of every residential tenancy agreement — </w:t>
      </w:r>
    </w:p>
    <w:p>
      <w:pPr>
        <w:pStyle w:val="nzIndenta"/>
      </w:pPr>
      <w:r>
        <w:tab/>
        <w:t>(a)</w:t>
      </w:r>
      <w:r>
        <w:tab/>
        <w:t xml:space="preserve">that a tenant may alter or add any lock or other means of securing the residential premises — </w:t>
      </w:r>
    </w:p>
    <w:p>
      <w:pPr>
        <w:pStyle w:val="nzIndenti"/>
      </w:pPr>
      <w:r>
        <w:tab/>
        <w:t>(i)</w:t>
      </w:r>
      <w:r>
        <w:tab/>
        <w:t>after the termination of a person’s interest in a residential tenancy agreement under section 60(1)(bc); or</w:t>
      </w:r>
    </w:p>
    <w:p>
      <w:pPr>
        <w:pStyle w:val="nzIndenti"/>
      </w:pPr>
      <w:r>
        <w:tab/>
        <w:t>(ii)</w:t>
      </w:r>
      <w:r>
        <w:tab/>
        <w:t>in any event, if it is necessary to prevent the commission of family violence that the tenant suspects, on reasonable grounds, is likely to be committed against the tenant or a dependant of the tenant;</w:t>
      </w:r>
    </w:p>
    <w:p>
      <w:pPr>
        <w:pStyle w:val="nzIndenta"/>
      </w:pPr>
      <w:r>
        <w:tab/>
      </w:r>
      <w:r>
        <w:tab/>
        <w:t>and</w:t>
      </w:r>
    </w:p>
    <w:p>
      <w:pPr>
        <w:pStyle w:val="nz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nzIndenta"/>
      </w:pPr>
      <w:r>
        <w:tab/>
        <w:t>(c)</w:t>
      </w:r>
      <w:r>
        <w:tab/>
        <w:t xml:space="preserve">that the lessor must not give a copy of a key referred to in paragraph (b) — </w:t>
      </w:r>
    </w:p>
    <w:p>
      <w:pPr>
        <w:pStyle w:val="nzIndenti"/>
      </w:pPr>
      <w:r>
        <w:tab/>
        <w:t>(i)</w:t>
      </w:r>
      <w:r>
        <w:tab/>
        <w:t>to a person whose interest in the residential tenancy agreement has been terminated under section 60(1)(bc); or</w:t>
      </w:r>
    </w:p>
    <w:p>
      <w:pPr>
        <w:pStyle w:val="nzIndenti"/>
      </w:pPr>
      <w:r>
        <w:tab/>
        <w:t>(ii)</w:t>
      </w:r>
      <w:r>
        <w:tab/>
        <w:t>in any event, to a person who the tenant has instructed the lessor in writing not to give the copy of the key.</w:t>
      </w:r>
    </w:p>
    <w:p>
      <w:pPr>
        <w:pStyle w:val="nzSubsection"/>
      </w:pPr>
      <w:r>
        <w:tab/>
        <w:t>(3)</w:t>
      </w:r>
      <w:r>
        <w:tab/>
        <w:t>A tenant who breaches a term referred to in subsection (2)(b) without reasonable excuse, in addition to any civil liability that the tenant might incur, commits an offence.</w:t>
      </w:r>
    </w:p>
    <w:p>
      <w:pPr>
        <w:pStyle w:val="nzPenstart"/>
      </w:pPr>
      <w:r>
        <w:tab/>
        <w:t>Penalty for this subsection: a fine of $5 000.</w:t>
      </w:r>
    </w:p>
    <w:p>
      <w:pPr>
        <w:pStyle w:val="nzSubsection"/>
      </w:pPr>
      <w:r>
        <w:tab/>
        <w:t>(4)</w:t>
      </w:r>
      <w:r>
        <w:tab/>
        <w:t>Subsection (2)(b) does not apply if the lessor is a person reasonably suspected of being likely to commit the family violence referred to in subsection (2)(a)(ii).</w:t>
      </w:r>
    </w:p>
    <w:p>
      <w:pPr>
        <w:pStyle w:val="BlankClose"/>
      </w:pPr>
    </w:p>
    <w:p>
      <w:pPr>
        <w:pStyle w:val="nzHeading5"/>
      </w:pPr>
      <w:bookmarkStart w:id="302" w:name="_Toc1570344"/>
      <w:bookmarkStart w:id="303" w:name="_Toc2090044"/>
      <w:bookmarkStart w:id="304" w:name="_Toc2092138"/>
      <w:r>
        <w:rPr>
          <w:rStyle w:val="CharSectno"/>
          <w:bCs/>
        </w:rPr>
        <w:t>11</w:t>
      </w:r>
      <w:r>
        <w:rPr>
          <w:bCs/>
        </w:rPr>
        <w:t>.</w:t>
      </w:r>
      <w:r>
        <w:rPr>
          <w:bCs/>
        </w:rPr>
        <w:tab/>
        <w:t>Section 46 amended</w:t>
      </w:r>
      <w:bookmarkEnd w:id="302"/>
      <w:bookmarkEnd w:id="303"/>
      <w:bookmarkEnd w:id="304"/>
    </w:p>
    <w:p>
      <w:pPr>
        <w:pStyle w:val="nzSubsection"/>
      </w:pPr>
      <w:r>
        <w:tab/>
        <w:t>(1)</w:t>
      </w:r>
      <w:r>
        <w:tab/>
        <w:t>After section 46(2)(g) insert:</w:t>
      </w:r>
    </w:p>
    <w:p>
      <w:pPr>
        <w:pStyle w:val="BlankOpen"/>
      </w:pPr>
    </w:p>
    <w:p>
      <w:pPr>
        <w:pStyle w:val="nzIndenta"/>
      </w:pPr>
      <w:r>
        <w:tab/>
        <w:t>(ga)</w:t>
      </w:r>
      <w:r>
        <w:tab/>
        <w:t xml:space="preserve">for the purpose of inspecting the premises and assessing any damage after the termination of a tenant’s interest under — </w:t>
      </w:r>
    </w:p>
    <w:p>
      <w:pPr>
        <w:pStyle w:val="nzIndenti"/>
      </w:pPr>
      <w:r>
        <w:tab/>
        <w:t>(i)</w:t>
      </w:r>
      <w:r>
        <w:tab/>
        <w:t>section 60(1)(ba) or (bb); or</w:t>
      </w:r>
    </w:p>
    <w:p>
      <w:pPr>
        <w:pStyle w:val="nzIndenti"/>
      </w:pPr>
      <w:r>
        <w:tab/>
        <w:t>(ii)</w:t>
      </w:r>
      <w:r>
        <w:tab/>
        <w:t>section 60(1)(bc);</w:t>
      </w:r>
    </w:p>
    <w:p>
      <w:pPr>
        <w:pStyle w:val="BlankClose"/>
      </w:pPr>
    </w:p>
    <w:p>
      <w:pPr>
        <w:pStyle w:val="nzSubsection"/>
      </w:pPr>
      <w:r>
        <w:tab/>
        <w:t>(2)</w:t>
      </w:r>
      <w:r>
        <w:tab/>
        <w:t>After section 46(6) insert:</w:t>
      </w:r>
    </w:p>
    <w:p>
      <w:pPr>
        <w:pStyle w:val="BlankOpen"/>
      </w:pPr>
    </w:p>
    <w:p>
      <w:pPr>
        <w:pStyle w:val="nzSubsection"/>
      </w:pPr>
      <w:r>
        <w:tab/>
        <w:t>(6A)</w:t>
      </w:r>
      <w:r>
        <w:tab/>
        <w:t xml:space="preserve">It is a term of every residential tenancy agreement that the lessor may enter the premises under subsection (2)(ga)(i) — </w:t>
      </w:r>
    </w:p>
    <w:p>
      <w:pPr>
        <w:pStyle w:val="nzIndenta"/>
      </w:pPr>
      <w:r>
        <w:tab/>
        <w:t>(a)</w:t>
      </w:r>
      <w:r>
        <w:tab/>
        <w:t xml:space="preserve">not more than 7 days after receiving notice under section 71AB(1) or 71AD(4); and </w:t>
      </w:r>
    </w:p>
    <w:p>
      <w:pPr>
        <w:pStyle w:val="nzIndenta"/>
      </w:pPr>
      <w:r>
        <w:tab/>
        <w:t>(b)</w:t>
      </w:r>
      <w:r>
        <w:tab/>
        <w:t>not less than 3 days after giving notice to each tenant of the lessor’s intention to enter the premises.</w:t>
      </w:r>
    </w:p>
    <w:p>
      <w:pPr>
        <w:pStyle w:val="nzSubsection"/>
      </w:pPr>
      <w:r>
        <w:tab/>
        <w:t>(6B)</w:t>
      </w:r>
      <w:r>
        <w:tab/>
        <w:t xml:space="preserve">It is a term of every residential tenancy agreement that the lessor may enter the premises under subsection (2)(ga)(ii) — </w:t>
      </w:r>
    </w:p>
    <w:p>
      <w:pPr>
        <w:pStyle w:val="nzIndenta"/>
      </w:pPr>
      <w:r>
        <w:tab/>
        <w:t>(a)</w:t>
      </w:r>
      <w:r>
        <w:tab/>
        <w:t xml:space="preserve">not more than 10 days before the hearing of the application under section 71AE; and </w:t>
      </w:r>
    </w:p>
    <w:p>
      <w:pPr>
        <w:pStyle w:val="nzIndenta"/>
      </w:pPr>
      <w:r>
        <w:tab/>
        <w:t>(b)</w:t>
      </w:r>
      <w:r>
        <w:tab/>
        <w:t>not less than 3 days after giving notice to each tenant of the lessor’s intention to enter the premises.</w:t>
      </w:r>
    </w:p>
    <w:p>
      <w:pPr>
        <w:pStyle w:val="BlankClose"/>
      </w:pPr>
    </w:p>
    <w:p>
      <w:pPr>
        <w:pStyle w:val="nzHeading5"/>
      </w:pPr>
      <w:bookmarkStart w:id="305" w:name="_Toc1570345"/>
      <w:bookmarkStart w:id="306" w:name="_Toc2090045"/>
      <w:bookmarkStart w:id="307" w:name="_Toc2092139"/>
      <w:r>
        <w:rPr>
          <w:rStyle w:val="CharSectno"/>
          <w:bCs/>
        </w:rPr>
        <w:t>12</w:t>
      </w:r>
      <w:r>
        <w:rPr>
          <w:bCs/>
        </w:rPr>
        <w:t>.</w:t>
      </w:r>
      <w:r>
        <w:rPr>
          <w:bCs/>
        </w:rPr>
        <w:tab/>
        <w:t>Section 47 amended</w:t>
      </w:r>
      <w:bookmarkEnd w:id="305"/>
      <w:bookmarkEnd w:id="306"/>
      <w:bookmarkEnd w:id="307"/>
    </w:p>
    <w:p>
      <w:pPr>
        <w:pStyle w:val="nzSubsection"/>
      </w:pPr>
      <w:r>
        <w:tab/>
        <w:t>(1)</w:t>
      </w:r>
      <w:r>
        <w:tab/>
        <w:t>In section 47(1) delete “A” and insert:</w:t>
      </w:r>
    </w:p>
    <w:p>
      <w:pPr>
        <w:pStyle w:val="BlankOpen"/>
      </w:pPr>
    </w:p>
    <w:p>
      <w:pPr>
        <w:pStyle w:val="nzSubsection"/>
      </w:pPr>
      <w:r>
        <w:tab/>
      </w:r>
      <w:r>
        <w:tab/>
        <w:t xml:space="preserve">Except as provided in subsection (4), a </w:t>
      </w:r>
    </w:p>
    <w:p>
      <w:pPr>
        <w:pStyle w:val="BlankClose"/>
      </w:pPr>
    </w:p>
    <w:p>
      <w:pPr>
        <w:pStyle w:val="nzSubsection"/>
      </w:pPr>
      <w:r>
        <w:tab/>
        <w:t>(2)</w:t>
      </w:r>
      <w:r>
        <w:tab/>
        <w:t>After section 47(3) insert:</w:t>
      </w:r>
    </w:p>
    <w:p>
      <w:pPr>
        <w:pStyle w:val="BlankOpen"/>
      </w:pPr>
    </w:p>
    <w:p>
      <w:pPr>
        <w:pStyle w:val="nzSubsection"/>
      </w:pPr>
      <w:r>
        <w:tab/>
        <w:t>(4)</w:t>
      </w:r>
      <w:r>
        <w:tab/>
        <w:t xml:space="preserve">It is a term of every residential tenancy agreement that a tenant may affix any prescribed fixture, or make any prescribed renovation, alteration or addition to the premises (the </w:t>
      </w:r>
      <w:r>
        <w:rPr>
          <w:rStyle w:val="CharDefText"/>
        </w:rPr>
        <w:t>prescribed alterations</w:t>
      </w:r>
      <w:r>
        <w:t xml:space="preserve">), necessary to prevent entry onto the premises of a person — </w:t>
      </w:r>
    </w:p>
    <w:p>
      <w:pPr>
        <w:pStyle w:val="nzIndenta"/>
      </w:pPr>
      <w:r>
        <w:tab/>
        <w:t>(a)</w:t>
      </w:r>
      <w:r>
        <w:tab/>
        <w:t>after the termination of the person’s interest in a residential tenancy agreement under section 60(1)(bc); or</w:t>
      </w:r>
    </w:p>
    <w:p>
      <w:pPr>
        <w:pStyle w:val="nzIndenta"/>
      </w:pPr>
      <w:r>
        <w:tab/>
        <w:t>(b)</w:t>
      </w:r>
      <w:r>
        <w:tab/>
        <w:t>in any event, if it is necessary to prevent the commission of family violence that the tenant suspects, on reasonable grounds, is likely to be committed by the person against the tenant or a dependant of the tenant.</w:t>
      </w:r>
    </w:p>
    <w:p>
      <w:pPr>
        <w:pStyle w:val="nzSubsection"/>
      </w:pPr>
      <w:r>
        <w:tab/>
        <w:t>(5)</w:t>
      </w:r>
      <w:r>
        <w:tab/>
        <w:t xml:space="preserve">For the purposes of subsection (4) — </w:t>
      </w:r>
    </w:p>
    <w:p>
      <w:pPr>
        <w:pStyle w:val="nzIndenta"/>
      </w:pPr>
      <w:r>
        <w:tab/>
        <w:t>(a)</w:t>
      </w:r>
      <w:r>
        <w:tab/>
        <w:t>the cost of making the prescribed alterations must be borne by the tenant; and</w:t>
      </w:r>
    </w:p>
    <w:p>
      <w:pPr>
        <w:pStyle w:val="nzIndenta"/>
      </w:pPr>
      <w:r>
        <w:tab/>
        <w:t>(b)</w:t>
      </w:r>
      <w:r>
        <w:tab/>
        <w:t>the tenant must give written notice to the lessor of the tenant’s intention to make the prescribed alterations; and</w:t>
      </w:r>
    </w:p>
    <w:p>
      <w:pPr>
        <w:pStyle w:val="nzIndenta"/>
      </w:pPr>
      <w:r>
        <w:tab/>
        <w:t>(c)</w:t>
      </w:r>
      <w:r>
        <w:tab/>
        <w:t>work on the prescribed alterations must be undertaken by a qualified tradesperson, a copy of whose invoice the tenant must provide to the lessor within 14 days of the alterations being completed; and</w:t>
      </w:r>
    </w:p>
    <w:p>
      <w:pPr>
        <w:pStyle w:val="nzIndenta"/>
      </w:pPr>
      <w:r>
        <w:tab/>
        <w:t>(d)</w:t>
      </w:r>
      <w:r>
        <w:tab/>
        <w:t>the prescribed alterations must be effected having regard to the age and character of the property and any applicable strata company by</w:t>
      </w:r>
      <w:r>
        <w:noBreakHyphen/>
        <w:t>laws; and</w:t>
      </w:r>
    </w:p>
    <w:p>
      <w:pPr>
        <w:pStyle w:val="nzIndenta"/>
      </w:pPr>
      <w:r>
        <w:tab/>
        <w:t>(e)</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nzSubsection"/>
      </w:pPr>
      <w:r>
        <w:tab/>
        <w:t>(6)</w:t>
      </w:r>
      <w:r>
        <w:tab/>
        <w:t xml:space="preserve">Subsection (4) does not apply to premises entered into the Register as defined in the </w:t>
      </w:r>
      <w:r>
        <w:rPr>
          <w:i/>
        </w:rPr>
        <w:t>Heritage of Western Australia Act 1990</w:t>
      </w:r>
      <w:r>
        <w:t xml:space="preserve"> section 3(1) or in the register as defined in the </w:t>
      </w:r>
      <w:r>
        <w:rPr>
          <w:i/>
        </w:rPr>
        <w:t>Heritage Act 2018</w:t>
      </w:r>
      <w:r>
        <w:t xml:space="preserve"> section 4.</w:t>
      </w:r>
    </w:p>
    <w:p>
      <w:pPr>
        <w:pStyle w:val="BlankClose"/>
        <w:keepNext/>
        <w:widowControl w:val="0"/>
      </w:pPr>
    </w:p>
    <w:p>
      <w:pPr>
        <w:pStyle w:val="nzHeading5"/>
      </w:pPr>
      <w:bookmarkStart w:id="308" w:name="_Toc1570346"/>
      <w:bookmarkStart w:id="309" w:name="_Toc2090046"/>
      <w:bookmarkStart w:id="310" w:name="_Toc2092140"/>
      <w:r>
        <w:rPr>
          <w:rStyle w:val="CharSectno"/>
        </w:rPr>
        <w:t>13</w:t>
      </w:r>
      <w:r>
        <w:t>.</w:t>
      </w:r>
      <w:r>
        <w:tab/>
        <w:t>Section 56A inserted</w:t>
      </w:r>
      <w:bookmarkEnd w:id="308"/>
      <w:bookmarkEnd w:id="309"/>
      <w:bookmarkEnd w:id="310"/>
    </w:p>
    <w:p>
      <w:pPr>
        <w:pStyle w:val="nzSubsection"/>
      </w:pPr>
      <w:r>
        <w:tab/>
      </w:r>
      <w:r>
        <w:tab/>
        <w:t>After section 56 insert:</w:t>
      </w:r>
    </w:p>
    <w:p>
      <w:pPr>
        <w:pStyle w:val="BlankOpen"/>
      </w:pPr>
    </w:p>
    <w:p>
      <w:pPr>
        <w:pStyle w:val="nzHeading5"/>
      </w:pPr>
      <w:bookmarkStart w:id="311" w:name="_Toc1570347"/>
      <w:bookmarkStart w:id="312" w:name="_Toc2090047"/>
      <w:bookmarkStart w:id="313" w:name="_Toc2092141"/>
      <w:r>
        <w:t>56A.</w:t>
      </w:r>
      <w:r>
        <w:tab/>
        <w:t>Discrimination against tenants subjected or exposed to family violence</w:t>
      </w:r>
      <w:bookmarkEnd w:id="311"/>
      <w:bookmarkEnd w:id="312"/>
      <w:bookmarkEnd w:id="313"/>
    </w:p>
    <w:p>
      <w:pPr>
        <w:pStyle w:val="nzSubsection"/>
      </w:pPr>
      <w:r>
        <w:tab/>
      </w:r>
      <w:r>
        <w:tab/>
        <w:t xml:space="preserve">A person must not refuse, or cause any person to refuse, to grant a tenancy to any person on the ground that the person — </w:t>
      </w:r>
    </w:p>
    <w:p>
      <w:pPr>
        <w:pStyle w:val="nzIndenta"/>
      </w:pPr>
      <w:r>
        <w:tab/>
        <w:t>(a)</w:t>
      </w:r>
      <w:r>
        <w:tab/>
        <w:t>has been or might be subjected or exposed to family violence; or</w:t>
      </w:r>
    </w:p>
    <w:p>
      <w:pPr>
        <w:pStyle w:val="nzIndenta"/>
      </w:pPr>
      <w:r>
        <w:tab/>
        <w:t>(b)</w:t>
      </w:r>
      <w:r>
        <w:tab/>
        <w:t>has been convicted of a charge relating to family violence.</w:t>
      </w:r>
    </w:p>
    <w:p>
      <w:pPr>
        <w:pStyle w:val="nzPenstart"/>
      </w:pPr>
      <w:r>
        <w:tab/>
        <w:t>Penalty: a fine of $5 000.</w:t>
      </w:r>
    </w:p>
    <w:p>
      <w:pPr>
        <w:pStyle w:val="BlankClose"/>
      </w:pPr>
    </w:p>
    <w:p>
      <w:pPr>
        <w:pStyle w:val="nzHeading5"/>
      </w:pPr>
      <w:bookmarkStart w:id="314" w:name="_Toc1570348"/>
      <w:bookmarkStart w:id="315" w:name="_Toc2090048"/>
      <w:bookmarkStart w:id="316" w:name="_Toc2092142"/>
      <w:r>
        <w:rPr>
          <w:rStyle w:val="CharSectno"/>
        </w:rPr>
        <w:t>14</w:t>
      </w:r>
      <w:r>
        <w:t>.</w:t>
      </w:r>
      <w:r>
        <w:tab/>
        <w:t>Section 59E amended</w:t>
      </w:r>
      <w:bookmarkEnd w:id="314"/>
      <w:bookmarkEnd w:id="315"/>
      <w:bookmarkEnd w:id="316"/>
    </w:p>
    <w:p>
      <w:pPr>
        <w:pStyle w:val="nzSubsection"/>
      </w:pPr>
      <w:r>
        <w:tab/>
      </w:r>
      <w:r>
        <w:tab/>
        <w:t>After section 59E(2) insert:</w:t>
      </w:r>
    </w:p>
    <w:p>
      <w:pPr>
        <w:pStyle w:val="BlankOpen"/>
      </w:pPr>
    </w:p>
    <w:p>
      <w:pPr>
        <w:pStyle w:val="nzSubsection"/>
      </w:pPr>
      <w:r>
        <w:tab/>
        <w:t>(3)</w:t>
      </w:r>
      <w:r>
        <w:tab/>
        <w:t xml:space="preserve">When a charge of an offence under subsection (1) relates to a failure by the lessor to give the tenant a copy of a key to the premises, it is a defence to the charge to prove that — </w:t>
      </w:r>
    </w:p>
    <w:p>
      <w:pPr>
        <w:pStyle w:val="nzIndenta"/>
      </w:pPr>
      <w:r>
        <w:tab/>
        <w:t>(a)</w:t>
      </w:r>
      <w:r>
        <w:tab/>
        <w:t>the copy of the key had been given to the lessor under section 45(2)(b); and</w:t>
      </w:r>
    </w:p>
    <w:p>
      <w:pPr>
        <w:pStyle w:val="nzIndenta"/>
      </w:pPr>
      <w:r>
        <w:tab/>
        <w:t>(b)</w:t>
      </w:r>
      <w:r>
        <w:tab/>
        <w:t>the tenant was a person to whom the lessor was instructed not to give the copy of the key under section 45(2)(c)(ii).</w:t>
      </w:r>
    </w:p>
    <w:p>
      <w:pPr>
        <w:pStyle w:val="BlankClose"/>
      </w:pPr>
    </w:p>
    <w:p>
      <w:pPr>
        <w:pStyle w:val="nzHeading5"/>
      </w:pPr>
      <w:bookmarkStart w:id="317" w:name="_Toc1570349"/>
      <w:bookmarkStart w:id="318" w:name="_Toc2090049"/>
      <w:bookmarkStart w:id="319" w:name="_Toc2092143"/>
      <w:r>
        <w:rPr>
          <w:rStyle w:val="CharSectno"/>
        </w:rPr>
        <w:t>15</w:t>
      </w:r>
      <w:r>
        <w:t>.</w:t>
      </w:r>
      <w:r>
        <w:tab/>
        <w:t>Section 59F amended</w:t>
      </w:r>
      <w:bookmarkEnd w:id="317"/>
      <w:bookmarkEnd w:id="318"/>
      <w:bookmarkEnd w:id="319"/>
    </w:p>
    <w:p>
      <w:pPr>
        <w:pStyle w:val="nzSubsection"/>
      </w:pPr>
      <w:r>
        <w:tab/>
        <w:t>(1)</w:t>
      </w:r>
      <w:r>
        <w:tab/>
        <w:t>In section 59F(1) delete “section 45(b)” and insert:</w:t>
      </w:r>
    </w:p>
    <w:p>
      <w:pPr>
        <w:pStyle w:val="BlankOpen"/>
      </w:pPr>
    </w:p>
    <w:p>
      <w:pPr>
        <w:pStyle w:val="nzSubsection"/>
      </w:pPr>
      <w:r>
        <w:tab/>
      </w:r>
      <w:r>
        <w:tab/>
        <w:t>section 45(1)(b)</w:t>
      </w:r>
    </w:p>
    <w:p>
      <w:pPr>
        <w:pStyle w:val="BlankClose"/>
      </w:pPr>
    </w:p>
    <w:p>
      <w:pPr>
        <w:pStyle w:val="nzSubsection"/>
      </w:pPr>
      <w:r>
        <w:tab/>
        <w:t>(2)</w:t>
      </w:r>
      <w:r>
        <w:tab/>
        <w:t>After section 59F(2) insert:</w:t>
      </w:r>
    </w:p>
    <w:p>
      <w:pPr>
        <w:pStyle w:val="BlankOpen"/>
      </w:pPr>
    </w:p>
    <w:p>
      <w:pPr>
        <w:pStyle w:val="nzSubsection"/>
      </w:pPr>
      <w:r>
        <w:tab/>
        <w:t>(2A)</w:t>
      </w:r>
      <w:r>
        <w:tab/>
        <w:t>A lessor who breaches the term referred to in section 45(2)(c) without reasonable excuse commits an offence.</w:t>
      </w:r>
    </w:p>
    <w:p>
      <w:pPr>
        <w:pStyle w:val="nzPenstart"/>
      </w:pPr>
      <w:r>
        <w:tab/>
        <w:t>Penalty for this subsection: a fine of $20 000.</w:t>
      </w:r>
    </w:p>
    <w:p>
      <w:pPr>
        <w:pStyle w:val="BlankClose"/>
      </w:pPr>
    </w:p>
    <w:p>
      <w:pPr>
        <w:pStyle w:val="nzHeading5"/>
      </w:pPr>
      <w:bookmarkStart w:id="320" w:name="_Toc1570350"/>
      <w:bookmarkStart w:id="321" w:name="_Toc2090050"/>
      <w:bookmarkStart w:id="322" w:name="_Toc2092144"/>
      <w:r>
        <w:rPr>
          <w:rStyle w:val="CharSectno"/>
        </w:rPr>
        <w:t>16</w:t>
      </w:r>
      <w:r>
        <w:t>.</w:t>
      </w:r>
      <w:r>
        <w:tab/>
        <w:t>Section 60 amended</w:t>
      </w:r>
      <w:bookmarkEnd w:id="320"/>
      <w:bookmarkEnd w:id="321"/>
      <w:bookmarkEnd w:id="322"/>
    </w:p>
    <w:p>
      <w:pPr>
        <w:pStyle w:val="nzSubsection"/>
      </w:pPr>
      <w:r>
        <w:tab/>
        <w:t>(1)</w:t>
      </w:r>
      <w:r>
        <w:tab/>
        <w:t>In section 60:</w:t>
      </w:r>
    </w:p>
    <w:p>
      <w:pPr>
        <w:pStyle w:val="nzIndenta"/>
      </w:pPr>
      <w:r>
        <w:tab/>
        <w:t>(a)</w:t>
      </w:r>
      <w:r>
        <w:tab/>
        <w:t>delete “Despite” and insert:</w:t>
      </w:r>
    </w:p>
    <w:p>
      <w:pPr>
        <w:pStyle w:val="BlankOpen"/>
      </w:pPr>
    </w:p>
    <w:p>
      <w:pPr>
        <w:pStyle w:val="nzSubsection"/>
      </w:pPr>
      <w:r>
        <w:tab/>
        <w:t>(1)</w:t>
      </w:r>
      <w:r>
        <w:tab/>
        <w:t>Despite</w:t>
      </w:r>
    </w:p>
    <w:p>
      <w:pPr>
        <w:pStyle w:val="BlankClose"/>
        <w:keepNext/>
      </w:pPr>
    </w:p>
    <w:p>
      <w:pPr>
        <w:pStyle w:val="nzIndenta"/>
      </w:pPr>
      <w:r>
        <w:tab/>
        <w:t>(b)</w:t>
      </w:r>
      <w:r>
        <w:tab/>
        <w:t>after paragraph (b) insert:</w:t>
      </w:r>
    </w:p>
    <w:p>
      <w:pPr>
        <w:pStyle w:val="BlankOpen"/>
      </w:pPr>
    </w:p>
    <w:p>
      <w:pPr>
        <w:pStyle w:val="nzIndenta"/>
      </w:pPr>
      <w:r>
        <w:tab/>
        <w:t>(ba)</w:t>
      </w:r>
      <w:r>
        <w:tab/>
        <w:t xml:space="preserve">in the case of a particular tenant’s interest in the agreement, where the tenant — </w:t>
      </w:r>
    </w:p>
    <w:p>
      <w:pPr>
        <w:pStyle w:val="nzIndenti"/>
      </w:pPr>
      <w:r>
        <w:tab/>
        <w:t>(i)</w:t>
      </w:r>
      <w:r>
        <w:tab/>
        <w:t>gives notice under section 71AB(1) of termination of the tenant’s interest together with at least 1 of the documents required under section 71AB(2); and</w:t>
      </w:r>
    </w:p>
    <w:p>
      <w:pPr>
        <w:pStyle w:val="nzIndenti"/>
      </w:pPr>
      <w:r>
        <w:tab/>
        <w:t>(ii)</w:t>
      </w:r>
      <w:r>
        <w:tab/>
        <w:t>vacates the premises on or after the expiration of the period of notice required under section 71AB(5);</w:t>
      </w:r>
    </w:p>
    <w:p>
      <w:pPr>
        <w:pStyle w:val="nzIndenta"/>
      </w:pPr>
      <w:r>
        <w:tab/>
        <w:t>(bb)</w:t>
      </w:r>
      <w:r>
        <w:tab/>
        <w:t xml:space="preserve">in the case of a particular tenant’s interest in the agreement, where the tenant — </w:t>
      </w:r>
    </w:p>
    <w:p>
      <w:pPr>
        <w:pStyle w:val="nzIndenti"/>
      </w:pPr>
      <w:r>
        <w:tab/>
        <w:t>(i)</w:t>
      </w:r>
      <w:r>
        <w:tab/>
        <w:t>gives notice under section 71AD(4) of termination of the tenant’s interest; and</w:t>
      </w:r>
    </w:p>
    <w:p>
      <w:pPr>
        <w:pStyle w:val="nzIndenti"/>
      </w:pPr>
      <w:r>
        <w:tab/>
        <w:t>(ii)</w:t>
      </w:r>
      <w:r>
        <w:tab/>
        <w:t>vacates the premises on or after the expiration of the period of notice required under section 71AD(5);</w:t>
      </w:r>
    </w:p>
    <w:p>
      <w:pPr>
        <w:pStyle w:val="nzIndenta"/>
      </w:pPr>
      <w:r>
        <w:tab/>
        <w:t>(bc)</w:t>
      </w:r>
      <w:r>
        <w:tab/>
        <w:t>in the case of a particular tenant’s interest in the agreement, where a competent court terminates the tenant’s interest under section 71AE;</w:t>
      </w:r>
    </w:p>
    <w:p>
      <w:pPr>
        <w:pStyle w:val="BlankClose"/>
      </w:pPr>
    </w:p>
    <w:p>
      <w:pPr>
        <w:pStyle w:val="nzSubsection"/>
      </w:pPr>
      <w:r>
        <w:tab/>
        <w:t>(2)</w:t>
      </w:r>
      <w:r>
        <w:tab/>
        <w:t>At the end of section 60 insert:</w:t>
      </w:r>
    </w:p>
    <w:p>
      <w:pPr>
        <w:pStyle w:val="BlankOpen"/>
      </w:pPr>
    </w:p>
    <w:p>
      <w:pPr>
        <w:pStyle w:val="nzSubsection"/>
      </w:pPr>
      <w:r>
        <w:tab/>
        <w:t>(2)</w:t>
      </w:r>
      <w:r>
        <w:tab/>
        <w:t>The termination of a tenant’s interest in a residential tenancy agreement does not terminate the agreement in respect of any other tenant under the agreement.</w:t>
      </w:r>
    </w:p>
    <w:p>
      <w:pPr>
        <w:pStyle w:val="BlankClose"/>
      </w:pPr>
    </w:p>
    <w:p>
      <w:pPr>
        <w:pStyle w:val="nzSectAltNote"/>
      </w:pPr>
      <w:r>
        <w:tab/>
        <w:t>Note:</w:t>
      </w:r>
      <w:r>
        <w:tab/>
        <w:t>The heading to amended section 60 is to read:</w:t>
      </w:r>
    </w:p>
    <w:p>
      <w:pPr>
        <w:pStyle w:val="nzSectAltHeading"/>
        <w:rPr>
          <w:snapToGrid w:val="0"/>
        </w:rPr>
      </w:pPr>
      <w:r>
        <w:rPr>
          <w:b w:val="0"/>
        </w:rPr>
        <w:tab/>
      </w:r>
      <w:r>
        <w:rPr>
          <w:b w:val="0"/>
        </w:rPr>
        <w:tab/>
      </w:r>
      <w:r>
        <w:rPr>
          <w:snapToGrid w:val="0"/>
        </w:rPr>
        <w:t>How residential tenancy agreements and tenant’s interests in agreements are terminated</w:t>
      </w:r>
    </w:p>
    <w:p>
      <w:pPr>
        <w:pStyle w:val="nzHeading5"/>
      </w:pPr>
      <w:bookmarkStart w:id="323" w:name="_Toc1570351"/>
      <w:bookmarkStart w:id="324" w:name="_Toc2090051"/>
      <w:bookmarkStart w:id="325" w:name="_Toc2092145"/>
      <w:r>
        <w:rPr>
          <w:rStyle w:val="CharSectno"/>
        </w:rPr>
        <w:t>17</w:t>
      </w:r>
      <w:r>
        <w:t>.</w:t>
      </w:r>
      <w:r>
        <w:tab/>
        <w:t>Section 67 amended</w:t>
      </w:r>
      <w:bookmarkEnd w:id="323"/>
      <w:bookmarkEnd w:id="324"/>
      <w:bookmarkEnd w:id="325"/>
    </w:p>
    <w:p>
      <w:pPr>
        <w:pStyle w:val="nzSubsection"/>
      </w:pPr>
      <w:r>
        <w:tab/>
        <w:t>(1)</w:t>
      </w:r>
      <w:r>
        <w:tab/>
        <w:t>In section 67 delete “Notice of termination of a residential tenancy agreement by the tenant shall —” and insert:</w:t>
      </w:r>
    </w:p>
    <w:p>
      <w:pPr>
        <w:pStyle w:val="BlankOpen"/>
      </w:pPr>
    </w:p>
    <w:p>
      <w:pPr>
        <w:pStyle w:val="nzSubsection"/>
      </w:pPr>
      <w:r>
        <w:tab/>
        <w:t>(1)</w:t>
      </w:r>
      <w:r>
        <w:tab/>
        <w:t xml:space="preserve">Except as provided in subsection (2), a notice of termination of a residential tenancy agreement, or of the tenant’s interest in the agreement, must — </w:t>
      </w:r>
    </w:p>
    <w:p>
      <w:pPr>
        <w:pStyle w:val="BlankClose"/>
      </w:pPr>
    </w:p>
    <w:p>
      <w:pPr>
        <w:pStyle w:val="nzSubsection"/>
      </w:pPr>
      <w:r>
        <w:tab/>
        <w:t>(2)</w:t>
      </w:r>
      <w:r>
        <w:tab/>
        <w:t>At the end of section 67 insert:</w:t>
      </w:r>
    </w:p>
    <w:p>
      <w:pPr>
        <w:pStyle w:val="BlankOpen"/>
      </w:pPr>
    </w:p>
    <w:p>
      <w:pPr>
        <w:pStyle w:val="nzSubsection"/>
      </w:pPr>
      <w:r>
        <w:tab/>
        <w:t>(2)</w:t>
      </w:r>
      <w:r>
        <w:tab/>
        <w:t>A notice given under section 71AB(1) must be in a prescribed form.</w:t>
      </w:r>
    </w:p>
    <w:p>
      <w:pPr>
        <w:pStyle w:val="BlankClose"/>
      </w:pPr>
    </w:p>
    <w:p>
      <w:pPr>
        <w:pStyle w:val="nzHeading5"/>
      </w:pPr>
      <w:bookmarkStart w:id="326" w:name="_Toc1570352"/>
      <w:bookmarkStart w:id="327" w:name="_Toc2090052"/>
      <w:bookmarkStart w:id="328" w:name="_Toc2092146"/>
      <w:r>
        <w:rPr>
          <w:rStyle w:val="CharSectno"/>
        </w:rPr>
        <w:t>18</w:t>
      </w:r>
      <w:r>
        <w:t>.</w:t>
      </w:r>
      <w:r>
        <w:tab/>
        <w:t>Part V Division 2A inserted</w:t>
      </w:r>
      <w:bookmarkEnd w:id="326"/>
      <w:bookmarkEnd w:id="327"/>
      <w:bookmarkEnd w:id="328"/>
    </w:p>
    <w:p>
      <w:pPr>
        <w:pStyle w:val="nzSubsection"/>
      </w:pPr>
      <w:r>
        <w:tab/>
      </w:r>
      <w:r>
        <w:tab/>
        <w:t>After section 70 insert:</w:t>
      </w:r>
    </w:p>
    <w:p>
      <w:pPr>
        <w:pStyle w:val="BlankOpen"/>
      </w:pPr>
    </w:p>
    <w:p>
      <w:pPr>
        <w:pStyle w:val="nzHeading3"/>
      </w:pPr>
      <w:bookmarkStart w:id="329" w:name="_Toc508617497"/>
      <w:bookmarkStart w:id="330" w:name="_Toc508617555"/>
      <w:bookmarkStart w:id="331" w:name="_Toc508627733"/>
      <w:bookmarkStart w:id="332" w:name="_Toc508693990"/>
      <w:bookmarkStart w:id="333" w:name="_Toc508695463"/>
      <w:bookmarkStart w:id="334" w:name="_Toc508695984"/>
      <w:bookmarkStart w:id="335" w:name="_Toc508712641"/>
      <w:bookmarkStart w:id="336" w:name="_Toc508712808"/>
      <w:bookmarkStart w:id="337" w:name="_Toc509411275"/>
      <w:bookmarkStart w:id="338" w:name="_Toc509411333"/>
      <w:bookmarkStart w:id="339" w:name="_Toc511230147"/>
      <w:bookmarkStart w:id="340" w:name="_Toc511230784"/>
      <w:bookmarkStart w:id="341" w:name="_Toc511819841"/>
      <w:bookmarkStart w:id="342" w:name="_Toc531675254"/>
      <w:bookmarkStart w:id="343" w:name="_Toc531859780"/>
      <w:bookmarkStart w:id="344" w:name="_Toc531945366"/>
      <w:bookmarkStart w:id="345" w:name="_Toc1570353"/>
      <w:bookmarkStart w:id="346" w:name="_Toc2090053"/>
      <w:bookmarkStart w:id="347" w:name="_Toc2091415"/>
      <w:bookmarkStart w:id="348" w:name="_Toc2091963"/>
      <w:bookmarkStart w:id="349" w:name="_Toc2092026"/>
      <w:bookmarkStart w:id="350" w:name="_Toc2092147"/>
      <w:r>
        <w:t>Division 2A — Special provisions about terminating tenant’s interest on grounds of family violence</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nzHeading5"/>
      </w:pPr>
      <w:bookmarkStart w:id="351" w:name="_Toc1570354"/>
      <w:bookmarkStart w:id="352" w:name="_Toc2090054"/>
      <w:bookmarkStart w:id="353" w:name="_Toc2092148"/>
      <w:r>
        <w:t>71AA.</w:t>
      </w:r>
      <w:r>
        <w:tab/>
        <w:t>Terms used</w:t>
      </w:r>
      <w:bookmarkEnd w:id="351"/>
      <w:bookmarkEnd w:id="352"/>
      <w:bookmarkEnd w:id="353"/>
    </w:p>
    <w:p>
      <w:pPr>
        <w:pStyle w:val="nzSubsection"/>
      </w:pPr>
      <w:r>
        <w:tab/>
      </w:r>
      <w:r>
        <w:tab/>
        <w:t xml:space="preserve">In this Division — </w:t>
      </w:r>
    </w:p>
    <w:p>
      <w:pPr>
        <w:pStyle w:val="nzDefstart"/>
      </w:pPr>
      <w:r>
        <w:tab/>
      </w:r>
      <w:r>
        <w:rPr>
          <w:rStyle w:val="CharDefText"/>
        </w:rPr>
        <w:t>DVO</w:t>
      </w:r>
      <w:r>
        <w:t xml:space="preserve"> has the meaning given under the </w:t>
      </w:r>
      <w:r>
        <w:rPr>
          <w:i/>
        </w:rPr>
        <w:t>Domestic Violence Orders (National Recognition) Act 2017</w:t>
      </w:r>
      <w:r>
        <w:t xml:space="preserve"> section 4(1);</w:t>
      </w:r>
    </w:p>
    <w:p>
      <w:pPr>
        <w:pStyle w:val="nz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nzDefstart"/>
      </w:pPr>
      <w:r>
        <w:tab/>
      </w:r>
      <w:r>
        <w:rPr>
          <w:rStyle w:val="CharDefText"/>
        </w:rPr>
        <w:t>premises</w:t>
      </w:r>
      <w:r>
        <w:t>, in relation to a residential tenancy agreement, means the residential premises to which the agreement relates.</w:t>
      </w:r>
    </w:p>
    <w:p>
      <w:pPr>
        <w:pStyle w:val="nzHeading5"/>
      </w:pPr>
      <w:bookmarkStart w:id="354" w:name="_Toc1570355"/>
      <w:bookmarkStart w:id="355" w:name="_Toc2090055"/>
      <w:bookmarkStart w:id="356" w:name="_Toc2092149"/>
      <w:r>
        <w:t>71AB.</w:t>
      </w:r>
      <w:r>
        <w:tab/>
        <w:t>Notice of termination of tenant’s interest on ground that tenant subject to family violence</w:t>
      </w:r>
      <w:bookmarkEnd w:id="354"/>
      <w:bookmarkEnd w:id="355"/>
      <w:bookmarkEnd w:id="356"/>
    </w:p>
    <w:p>
      <w:pPr>
        <w:pStyle w:val="nzSubsection"/>
      </w:pPr>
      <w:r>
        <w:tab/>
        <w:t>(1)</w:t>
      </w:r>
      <w:r>
        <w:tab/>
        <w:t>Despite any other provision of this Act or another written law or a requirement under a contract, a tenant may give to the lessor notice of termination of the tenant’s interest in the residential tenancy agreement on the ground that the tenant or a dependant of the tenant is, during the tenancy period, likely to be subjected or exposed to family violence.</w:t>
      </w:r>
    </w:p>
    <w:p>
      <w:pPr>
        <w:pStyle w:val="nzSubsection"/>
      </w:pPr>
      <w:r>
        <w:tab/>
        <w:t>(2)</w:t>
      </w:r>
      <w:r>
        <w:tab/>
        <w:t xml:space="preserve">A notice under this section must be accompanied by a document, applicable during the tenancy period, comprising 1 of the following — </w:t>
      </w:r>
    </w:p>
    <w:p>
      <w:pPr>
        <w:pStyle w:val="nzIndenta"/>
      </w:pPr>
      <w:r>
        <w:tab/>
        <w:t>(a)</w:t>
      </w:r>
      <w:r>
        <w:tab/>
        <w:t>a DVO;</w:t>
      </w:r>
    </w:p>
    <w:p>
      <w:pPr>
        <w:pStyle w:val="nzIndenta"/>
      </w:pPr>
      <w:r>
        <w:tab/>
        <w:t>(b)</w:t>
      </w:r>
      <w:r>
        <w:tab/>
        <w:t>a Family Court injunction or an application for a Family Court injunction;</w:t>
      </w:r>
    </w:p>
    <w:p>
      <w:pPr>
        <w:pStyle w:val="nzIndenta"/>
      </w:pPr>
      <w:r>
        <w:tab/>
        <w:t>(c)</w:t>
      </w:r>
      <w:r>
        <w:tab/>
        <w:t>a copy of a prosecution notice or indictment containing a charge relating to violence against the tenant or a court record of a conviction of the charge;</w:t>
      </w:r>
    </w:p>
    <w:p>
      <w:pPr>
        <w:pStyle w:val="nzIndenta"/>
      </w:pPr>
      <w:r>
        <w:tab/>
        <w:t>(d)</w:t>
      </w:r>
      <w:r>
        <w:tab/>
        <w:t>a report of family violence, in a form approved by the Commissioner, completed by a person who has worked with the tenant and is 1 of the following —</w:t>
      </w:r>
    </w:p>
    <w:p>
      <w:pPr>
        <w:pStyle w:val="nzIndenti"/>
      </w:pPr>
      <w:r>
        <w:tab/>
        <w:t>(i)</w:t>
      </w:r>
      <w:r>
        <w:tab/>
        <w:t xml:space="preserve">a person registered under the </w:t>
      </w:r>
      <w:r>
        <w:rPr>
          <w:i/>
        </w:rPr>
        <w:t>Health Practitioner Regulation National Law (Western Australia)</w:t>
      </w:r>
      <w:r>
        <w:t xml:space="preserve"> in the medical profession;</w:t>
      </w:r>
    </w:p>
    <w:p>
      <w:pPr>
        <w:pStyle w:val="nzIndenti"/>
      </w:pPr>
      <w:r>
        <w:tab/>
        <w:t>(ii)</w:t>
      </w:r>
      <w:r>
        <w:tab/>
        <w:t xml:space="preserve">a person registered under the </w:t>
      </w:r>
      <w:r>
        <w:rPr>
          <w:i/>
        </w:rPr>
        <w:t>Health Practitioner Regulation National Law (Western Australia)</w:t>
      </w:r>
      <w:r>
        <w:t xml:space="preserve"> in the psychology profession;</w:t>
      </w:r>
    </w:p>
    <w:p>
      <w:pPr>
        <w:pStyle w:val="nzIndenti"/>
      </w:pPr>
      <w:r>
        <w:tab/>
        <w:t>(iii)</w:t>
      </w:r>
      <w:r>
        <w:tab/>
        <w:t xml:space="preserve">a social worker as defined in the </w:t>
      </w:r>
      <w:r>
        <w:rPr>
          <w:i/>
        </w:rPr>
        <w:t>Mental Health Act 2014</w:t>
      </w:r>
      <w:r>
        <w:t xml:space="preserve"> section 4;</w:t>
      </w:r>
    </w:p>
    <w:p>
      <w:pPr>
        <w:pStyle w:val="nzIndenti"/>
      </w:pPr>
      <w:r>
        <w:tab/>
        <w:t>(iv)</w:t>
      </w:r>
      <w:r>
        <w:tab/>
        <w:t>a police officer;</w:t>
      </w:r>
    </w:p>
    <w:p>
      <w:pPr>
        <w:pStyle w:val="nzIndenti"/>
      </w:pPr>
      <w:r>
        <w:tab/>
        <w:t>(v)</w:t>
      </w:r>
      <w:r>
        <w:tab/>
        <w:t>a person in charge of a women’s refuge;</w:t>
      </w:r>
    </w:p>
    <w:p>
      <w:pPr>
        <w:pStyle w:val="nzIndenti"/>
      </w:pPr>
      <w:r>
        <w:tab/>
        <w:t>(vi)</w:t>
      </w:r>
      <w:r>
        <w:tab/>
        <w:t>a prescribed person or class of persons.</w:t>
      </w:r>
    </w:p>
    <w:p>
      <w:pPr>
        <w:pStyle w:val="nzSubsection"/>
      </w:pPr>
      <w:r>
        <w:tab/>
        <w:t>(3)</w:t>
      </w:r>
      <w:r>
        <w:tab/>
        <w:t>The lessor must not disclose information in a document provided to the lessor under subsection (2) to another person except in accordance with this Act or another written law.</w:t>
      </w:r>
    </w:p>
    <w:p>
      <w:pPr>
        <w:pStyle w:val="nzPenstart"/>
      </w:pPr>
      <w:r>
        <w:tab/>
        <w:t>Penalty for this subsection: a fine of $5 000.</w:t>
      </w:r>
    </w:p>
    <w:p>
      <w:pPr>
        <w:pStyle w:val="nzSubsection"/>
      </w:pPr>
      <w:r>
        <w:tab/>
        <w:t>(4)</w:t>
      </w:r>
      <w:r>
        <w:tab/>
        <w:t>The lessor must ensure that information provided to the lessor under subsection (2) is kept in a secure manner so far as it is reasonably practicable to do so.</w:t>
      </w:r>
    </w:p>
    <w:p>
      <w:pPr>
        <w:pStyle w:val="nzPenstart"/>
      </w:pPr>
      <w:r>
        <w:tab/>
        <w:t>Penalty for this subsection: a fine of $5 000.</w:t>
      </w:r>
    </w:p>
    <w:p>
      <w:pPr>
        <w:pStyle w:val="nzSubsection"/>
      </w:pPr>
      <w:r>
        <w:tab/>
        <w:t>(5)</w:t>
      </w:r>
      <w:r>
        <w:tab/>
        <w:t>If a tenant gives notice under this section, the period of notice must be not less than 7 days before the termination day.</w:t>
      </w:r>
    </w:p>
    <w:p>
      <w:pPr>
        <w:pStyle w:val="nzHeading5"/>
      </w:pPr>
      <w:bookmarkStart w:id="357" w:name="_Toc1570356"/>
      <w:bookmarkStart w:id="358" w:name="_Toc2090056"/>
      <w:bookmarkStart w:id="359" w:name="_Toc2092150"/>
      <w:r>
        <w:t>71AC.</w:t>
      </w:r>
      <w:r>
        <w:tab/>
        <w:t>Review of notice of termination under s. 71AB</w:t>
      </w:r>
      <w:bookmarkEnd w:id="357"/>
      <w:bookmarkEnd w:id="358"/>
      <w:bookmarkEnd w:id="359"/>
    </w:p>
    <w:p>
      <w:pPr>
        <w:pStyle w:val="nzSubsection"/>
      </w:pPr>
      <w:r>
        <w:tab/>
        <w:t>(1)</w:t>
      </w:r>
      <w:r>
        <w:tab/>
        <w:t xml:space="preserve">In this section — </w:t>
      </w:r>
    </w:p>
    <w:p>
      <w:pPr>
        <w:pStyle w:val="nzDefstart"/>
      </w:pPr>
      <w:r>
        <w:tab/>
      </w:r>
      <w:r>
        <w:rPr>
          <w:rStyle w:val="CharDefText"/>
        </w:rPr>
        <w:t>terminating tenant</w:t>
      </w:r>
      <w:r>
        <w:t xml:space="preserve"> means a tenant who has given, or purportedly given, notice of termination under section 71AB.</w:t>
      </w:r>
    </w:p>
    <w:p>
      <w:pPr>
        <w:pStyle w:val="nzSubsection"/>
      </w:pPr>
      <w:r>
        <w:tab/>
        <w:t>(2)</w:t>
      </w:r>
      <w:r>
        <w:tab/>
        <w:t>A lessor may, within 7 days after receiving a notice under section 71AB, apply to a competent court to review whether notice was validly given under that section.</w:t>
      </w:r>
    </w:p>
    <w:p>
      <w:pPr>
        <w:pStyle w:val="nzSubsection"/>
      </w:pPr>
      <w:r>
        <w:tab/>
        <w:t>(3)</w:t>
      </w:r>
      <w:r>
        <w:tab/>
        <w:t xml:space="preserve">In its review, the court — </w:t>
      </w:r>
    </w:p>
    <w:p>
      <w:pPr>
        <w:pStyle w:val="nzIndenta"/>
      </w:pPr>
      <w:r>
        <w:tab/>
        <w:t>(a)</w:t>
      </w:r>
      <w:r>
        <w:tab/>
        <w:t>must examine whether the terminating tenant has complied with section 71AB in giving the notice; and</w:t>
      </w:r>
    </w:p>
    <w:p>
      <w:pPr>
        <w:pStyle w:val="nzIndenta"/>
      </w:pPr>
      <w:r>
        <w:tab/>
        <w:t>(b)</w:t>
      </w:r>
      <w:r>
        <w:tab/>
        <w:t>cannot examine whether the terminating tenant, or a dependant of the tenant, has been or might be subject to family violence.</w:t>
      </w:r>
    </w:p>
    <w:p>
      <w:pPr>
        <w:pStyle w:val="nz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nzHeading5"/>
      </w:pPr>
      <w:bookmarkStart w:id="360" w:name="_Toc1570357"/>
      <w:bookmarkStart w:id="361" w:name="_Toc2090057"/>
      <w:bookmarkStart w:id="362" w:name="_Toc2092151"/>
      <w:r>
        <w:t>71AD.</w:t>
      </w:r>
      <w:r>
        <w:tab/>
        <w:t>Rights of co</w:t>
      </w:r>
      <w:r>
        <w:noBreakHyphen/>
        <w:t>tenants after notice under s. 71AB</w:t>
      </w:r>
      <w:bookmarkEnd w:id="360"/>
      <w:bookmarkEnd w:id="361"/>
      <w:bookmarkEnd w:id="362"/>
    </w:p>
    <w:p>
      <w:pPr>
        <w:pStyle w:val="nzSubsection"/>
      </w:pPr>
      <w:r>
        <w:tab/>
        <w:t>(1)</w:t>
      </w:r>
      <w:r>
        <w:tab/>
        <w:t xml:space="preserve">In this section — </w:t>
      </w:r>
    </w:p>
    <w:p>
      <w:pPr>
        <w:pStyle w:val="nzDefstart"/>
      </w:pPr>
      <w:r>
        <w:tab/>
      </w:r>
      <w:r>
        <w:rPr>
          <w:rStyle w:val="CharDefText"/>
        </w:rPr>
        <w:t>co</w:t>
      </w:r>
      <w:r>
        <w:rPr>
          <w:rStyle w:val="CharDefText"/>
        </w:rPr>
        <w:noBreakHyphen/>
        <w:t>tenant</w:t>
      </w:r>
      <w:r>
        <w:t>, in relation to a notice under section 71AB(1), does not include the tenant who gave the notice.</w:t>
      </w:r>
    </w:p>
    <w:p>
      <w:pPr>
        <w:pStyle w:val="nzSubsection"/>
      </w:pPr>
      <w:r>
        <w:tab/>
        <w:t>(2)</w:t>
      </w:r>
      <w:r>
        <w:tab/>
        <w:t>A lessor must give a copy of a notice received by the lessor under section 71AB(1) to each co</w:t>
      </w:r>
      <w:r>
        <w:noBreakHyphen/>
        <w:t>tenant under the residential tenancy agreement within 7 days after receiving the notice.</w:t>
      </w:r>
    </w:p>
    <w:p>
      <w:pPr>
        <w:pStyle w:val="nzSubsection"/>
      </w:pPr>
      <w:r>
        <w:tab/>
        <w:t>(3)</w:t>
      </w:r>
      <w:r>
        <w:tab/>
        <w:t>Nothing in subsection (2) requires or permits the lessor to give a copy of a document provided under section 71AB(2) to a co</w:t>
      </w:r>
      <w:r>
        <w:noBreakHyphen/>
        <w:t>tenant.</w:t>
      </w:r>
    </w:p>
    <w:p>
      <w:pPr>
        <w:pStyle w:val="nz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nzSubsection"/>
      </w:pPr>
      <w:r>
        <w:tab/>
        <w:t>(5)</w:t>
      </w:r>
      <w:r>
        <w:tab/>
        <w:t>If a co</w:t>
      </w:r>
      <w:r>
        <w:noBreakHyphen/>
        <w:t>tenant gives notice of termination under subsection (4), the period of notice must be not less than 21 days before the termination day.</w:t>
      </w:r>
    </w:p>
    <w:p>
      <w:pPr>
        <w:pStyle w:val="nzHeading5"/>
      </w:pPr>
      <w:bookmarkStart w:id="363" w:name="_Toc1570358"/>
      <w:bookmarkStart w:id="364" w:name="_Toc2090058"/>
      <w:bookmarkStart w:id="365" w:name="_Toc2092152"/>
      <w:r>
        <w:t>71AE.</w:t>
      </w:r>
      <w:r>
        <w:tab/>
        <w:t>Termination of tenant’s interest by court on grounds of family violence</w:t>
      </w:r>
      <w:bookmarkEnd w:id="363"/>
      <w:bookmarkEnd w:id="364"/>
      <w:bookmarkEnd w:id="365"/>
    </w:p>
    <w:p>
      <w:pPr>
        <w:pStyle w:val="nzSubsection"/>
      </w:pPr>
      <w:r>
        <w:tab/>
        <w:t>(1)</w:t>
      </w:r>
      <w:r>
        <w:tab/>
        <w:t xml:space="preserve">In this section — </w:t>
      </w:r>
    </w:p>
    <w:p>
      <w:pPr>
        <w:pStyle w:val="nzDefstart"/>
      </w:pPr>
      <w:r>
        <w:tab/>
      </w:r>
      <w:r>
        <w:rPr>
          <w:rStyle w:val="CharDefText"/>
        </w:rPr>
        <w:t>excluded tenant</w:t>
      </w:r>
      <w:r>
        <w:t xml:space="preserve"> means a tenant against whom an order is sought or made under subsection (2);</w:t>
      </w:r>
    </w:p>
    <w:p>
      <w:pPr>
        <w:pStyle w:val="nz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nzDefstart"/>
      </w:pPr>
      <w:r>
        <w:tab/>
      </w:r>
      <w:r>
        <w:rPr>
          <w:rStyle w:val="CharDefText"/>
        </w:rPr>
        <w:t>protected tenant</w:t>
      </w:r>
      <w:r>
        <w:t xml:space="preserve"> means a tenant for whose benefit an order is sought or made under subsection (2).</w:t>
      </w:r>
    </w:p>
    <w:p>
      <w:pPr>
        <w:pStyle w:val="nzSubsection"/>
      </w:pPr>
      <w:r>
        <w:tab/>
        <w:t>(2)</w:t>
      </w:r>
      <w:r>
        <w:tab/>
        <w:t xml:space="preserve">Despite any other provision of this Act or another written law, or a requirement under a contract, a court may make an order terminating a tenant’s interest in a residential tenancy agreement if it is satisfied — </w:t>
      </w:r>
    </w:p>
    <w:p>
      <w:pPr>
        <w:pStyle w:val="nzIndenta"/>
      </w:pPr>
      <w:r>
        <w:tab/>
        <w:t>(a)</w:t>
      </w:r>
      <w:r>
        <w:tab/>
        <w:t>that a family violence order is in force against the excluded tenant; or</w:t>
      </w:r>
    </w:p>
    <w:p>
      <w:pPr>
        <w:pStyle w:val="nzIndenta"/>
      </w:pPr>
      <w:r>
        <w:tab/>
        <w:t>(b)</w:t>
      </w:r>
      <w:r>
        <w:tab/>
        <w:t>that the excluded tenant has, during the tenancy period, committed family violence against the protected tenant or a dependant of the protected tenant.</w:t>
      </w:r>
    </w:p>
    <w:p>
      <w:pPr>
        <w:pStyle w:val="nzSubsection"/>
      </w:pPr>
      <w:r>
        <w:tab/>
        <w:t>(3)</w:t>
      </w:r>
      <w:r>
        <w:tab/>
        <w:t xml:space="preserve">The court may make the order on an application by any of the following — </w:t>
      </w:r>
    </w:p>
    <w:p>
      <w:pPr>
        <w:pStyle w:val="nzIndenta"/>
      </w:pPr>
      <w:r>
        <w:tab/>
        <w:t>(a)</w:t>
      </w:r>
      <w:r>
        <w:tab/>
        <w:t>the excluded tenant;</w:t>
      </w:r>
    </w:p>
    <w:p>
      <w:pPr>
        <w:pStyle w:val="nzIndenta"/>
      </w:pPr>
      <w:r>
        <w:tab/>
        <w:t>(b)</w:t>
      </w:r>
      <w:r>
        <w:tab/>
        <w:t>a protected tenant;</w:t>
      </w:r>
    </w:p>
    <w:p>
      <w:pPr>
        <w:pStyle w:val="nzIndenta"/>
      </w:pPr>
      <w:r>
        <w:tab/>
        <w:t>(c)</w:t>
      </w:r>
      <w:r>
        <w:tab/>
        <w:t>a prescribed person acting on behalf of the protected tenant.</w:t>
      </w:r>
    </w:p>
    <w:p>
      <w:pPr>
        <w:pStyle w:val="nzSubsection"/>
      </w:pPr>
      <w:r>
        <w:tab/>
        <w:t>(4)</w:t>
      </w:r>
      <w:r>
        <w:tab/>
        <w:t xml:space="preserve">Before making the order the court must consider the following matters — </w:t>
      </w:r>
    </w:p>
    <w:p>
      <w:pPr>
        <w:pStyle w:val="nzIndenta"/>
      </w:pPr>
      <w:r>
        <w:tab/>
        <w:t>(a)</w:t>
      </w:r>
      <w:r>
        <w:tab/>
        <w:t>the best interests of any child ordinarily resident at the premises;</w:t>
      </w:r>
    </w:p>
    <w:p>
      <w:pPr>
        <w:pStyle w:val="nz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nzIndenta"/>
      </w:pPr>
      <w:r>
        <w:tab/>
        <w:t>(c)</w:t>
      </w:r>
      <w:r>
        <w:tab/>
        <w:t>the effect the order might have on the lessor and any tenants other than the protected tenant;</w:t>
      </w:r>
    </w:p>
    <w:p>
      <w:pPr>
        <w:pStyle w:val="nzIndenta"/>
      </w:pPr>
      <w:r>
        <w:tab/>
        <w:t>(d)</w:t>
      </w:r>
      <w:r>
        <w:tab/>
        <w:t>the effect the order might have on any pets kept on the premises;</w:t>
      </w:r>
    </w:p>
    <w:p>
      <w:pPr>
        <w:pStyle w:val="nzIndenta"/>
      </w:pPr>
      <w:r>
        <w:tab/>
        <w:t>(e)</w:t>
      </w:r>
      <w:r>
        <w:tab/>
        <w:t>the fact that perpetrators of family violence might seek to misuse the protections offered to tenants and lessors under this Act to further their violence and the need to prevent that misuse.</w:t>
      </w:r>
    </w:p>
    <w:p>
      <w:pPr>
        <w:pStyle w:val="nzSubsection"/>
      </w:pPr>
      <w:r>
        <w:tab/>
        <w:t>(5)</w:t>
      </w:r>
      <w:r>
        <w:tab/>
        <w:t>The court is to have regard to the matter set out in subsection (4)(a) as being of primary importance.</w:t>
      </w:r>
    </w:p>
    <w:p>
      <w:pPr>
        <w:pStyle w:val="nzSubsection"/>
      </w:pPr>
      <w:r>
        <w:tab/>
        <w:t>(6)</w:t>
      </w:r>
      <w:r>
        <w:tab/>
        <w:t>The order takes effect on a day specified in the order, being a day that is not less than 7 days and not more than 30 days after the order is made.</w:t>
      </w:r>
    </w:p>
    <w:p>
      <w:pPr>
        <w:pStyle w:val="nzSubsection"/>
      </w:pPr>
      <w:r>
        <w:tab/>
        <w:t>(7)</w:t>
      </w:r>
      <w:r>
        <w:tab/>
        <w:t>The court may make the order in proceedings under this Act or the Act under which the family violence order is made.</w:t>
      </w:r>
    </w:p>
    <w:p>
      <w:pPr>
        <w:pStyle w:val="nzHeading5"/>
      </w:pPr>
      <w:bookmarkStart w:id="366" w:name="_Toc1570359"/>
      <w:bookmarkStart w:id="367" w:name="_Toc2090059"/>
      <w:bookmarkStart w:id="368" w:name="_Toc2092153"/>
      <w:r>
        <w:t>71AF.</w:t>
      </w:r>
      <w:r>
        <w:tab/>
        <w:t>Review of Division</w:t>
      </w:r>
      <w:bookmarkEnd w:id="366"/>
      <w:bookmarkEnd w:id="367"/>
      <w:bookmarkEnd w:id="368"/>
    </w:p>
    <w:p>
      <w:pPr>
        <w:pStyle w:val="nz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nzSubsection"/>
      </w:pPr>
      <w:r>
        <w:tab/>
        <w:t>(2)</w:t>
      </w:r>
      <w:r>
        <w:tab/>
        <w:t xml:space="preserve">Without limiting the scope of the review, the review must address the following — </w:t>
      </w:r>
    </w:p>
    <w:p>
      <w:pPr>
        <w:pStyle w:val="nzIndenta"/>
      </w:pPr>
      <w:r>
        <w:tab/>
        <w:t>(a)</w:t>
      </w:r>
      <w:r>
        <w:tab/>
        <w:t>the effect of this Division on lessors’ rights to recover debts owed by tenants;</w:t>
      </w:r>
    </w:p>
    <w:p>
      <w:pPr>
        <w:pStyle w:val="nzIndenta"/>
      </w:pPr>
      <w:r>
        <w:tab/>
        <w:t>(b)</w:t>
      </w:r>
      <w:r>
        <w:tab/>
        <w:t>the effect of this Division on lessors’ insurance policies;</w:t>
      </w:r>
    </w:p>
    <w:p>
      <w:pPr>
        <w:pStyle w:val="nzIndenta"/>
      </w:pPr>
      <w:r>
        <w:tab/>
        <w:t>(c)</w:t>
      </w:r>
      <w:r>
        <w:tab/>
        <w:t>the effect of this Division on contractual certainty;</w:t>
      </w:r>
    </w:p>
    <w:p>
      <w:pPr>
        <w:pStyle w:val="nzIndenta"/>
      </w:pPr>
      <w:r>
        <w:tab/>
        <w:t>(d)</w:t>
      </w:r>
      <w:r>
        <w:tab/>
        <w:t>the extent to which this Division affects contractual obligations upon lessors and co</w:t>
      </w:r>
      <w:r>
        <w:noBreakHyphen/>
        <w:t>tenants who are not perpetrators of family violence and the impact of those obligations;</w:t>
      </w:r>
    </w:p>
    <w:p>
      <w:pPr>
        <w:pStyle w:val="nzIndenta"/>
      </w:pPr>
      <w:r>
        <w:tab/>
        <w:t>(e)</w:t>
      </w:r>
      <w:r>
        <w:tab/>
        <w:t>such other matters as appear to the Minister to be relevant.</w:t>
      </w:r>
    </w:p>
    <w:p>
      <w:pPr>
        <w:pStyle w:val="nz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BlankClose"/>
      </w:pPr>
    </w:p>
    <w:p>
      <w:pPr>
        <w:pStyle w:val="nzHeading5"/>
      </w:pPr>
      <w:bookmarkStart w:id="369" w:name="_Toc1570360"/>
      <w:bookmarkStart w:id="370" w:name="_Toc2090060"/>
      <w:bookmarkStart w:id="371" w:name="_Toc2092154"/>
      <w:r>
        <w:rPr>
          <w:rStyle w:val="CharSectno"/>
        </w:rPr>
        <w:t>19</w:t>
      </w:r>
      <w:r>
        <w:t>.</w:t>
      </w:r>
      <w:r>
        <w:tab/>
        <w:t>Section 81A amended</w:t>
      </w:r>
      <w:bookmarkEnd w:id="369"/>
      <w:bookmarkEnd w:id="370"/>
      <w:bookmarkEnd w:id="371"/>
    </w:p>
    <w:p>
      <w:pPr>
        <w:pStyle w:val="nzSubsection"/>
      </w:pPr>
      <w:r>
        <w:tab/>
      </w:r>
      <w:r>
        <w:tab/>
        <w:t>In section 81A(2) delete “section 60(e),” and insert:</w:t>
      </w:r>
    </w:p>
    <w:p>
      <w:pPr>
        <w:pStyle w:val="BlankOpen"/>
      </w:pPr>
    </w:p>
    <w:p>
      <w:pPr>
        <w:pStyle w:val="nzSubsection"/>
      </w:pPr>
      <w:r>
        <w:tab/>
      </w:r>
      <w:r>
        <w:tab/>
        <w:t xml:space="preserve">section 60(1)(e), </w:t>
      </w:r>
    </w:p>
    <w:p>
      <w:pPr>
        <w:pStyle w:val="BlankClose"/>
      </w:pPr>
    </w:p>
    <w:p>
      <w:pPr>
        <w:pStyle w:val="nzHeading5"/>
      </w:pPr>
      <w:bookmarkStart w:id="372" w:name="_Toc1570361"/>
      <w:bookmarkStart w:id="373" w:name="_Toc2090061"/>
      <w:bookmarkStart w:id="374" w:name="_Toc2092155"/>
      <w:r>
        <w:rPr>
          <w:rStyle w:val="CharSectno"/>
        </w:rPr>
        <w:t>20</w:t>
      </w:r>
      <w:r>
        <w:t>.</w:t>
      </w:r>
      <w:r>
        <w:tab/>
        <w:t>Section 82J amended</w:t>
      </w:r>
      <w:bookmarkEnd w:id="372"/>
      <w:bookmarkEnd w:id="373"/>
      <w:bookmarkEnd w:id="374"/>
    </w:p>
    <w:p>
      <w:pPr>
        <w:pStyle w:val="nzSubsection"/>
      </w:pPr>
      <w:r>
        <w:tab/>
      </w:r>
      <w:r>
        <w:tab/>
        <w:t>Delete section 82J(2) (2</w:t>
      </w:r>
      <w:r>
        <w:rPr>
          <w:vertAlign w:val="superscript"/>
        </w:rPr>
        <w:t>nd</w:t>
      </w:r>
      <w:r>
        <w:t xml:space="preserve"> occurrence) and insert:</w:t>
      </w:r>
    </w:p>
    <w:p>
      <w:pPr>
        <w:pStyle w:val="BlankOpen"/>
      </w:pPr>
    </w:p>
    <w:p>
      <w:pPr>
        <w:pStyle w:val="nz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nzSubsection"/>
      </w:pPr>
      <w:r>
        <w:tab/>
        <w:t>(2B)</w:t>
      </w:r>
      <w:r>
        <w:tab/>
        <w:t>The court may order personal information about a person in a residential tenancy database to be wholly or partly removed, amended in a stated way or not listed in a residential tenancy database.</w:t>
      </w:r>
    </w:p>
    <w:p>
      <w:pPr>
        <w:pStyle w:val="BlankClose"/>
      </w:pPr>
    </w:p>
    <w:p>
      <w:pPr>
        <w:pStyle w:val="nzHeading5"/>
      </w:pPr>
      <w:bookmarkStart w:id="375" w:name="_Toc1570362"/>
      <w:bookmarkStart w:id="376" w:name="_Toc2090062"/>
      <w:bookmarkStart w:id="377" w:name="_Toc2092156"/>
      <w:r>
        <w:rPr>
          <w:rStyle w:val="CharSectno"/>
          <w:bCs/>
        </w:rPr>
        <w:t>21</w:t>
      </w:r>
      <w:r>
        <w:rPr>
          <w:bCs/>
        </w:rPr>
        <w:t>.</w:t>
      </w:r>
      <w:r>
        <w:rPr>
          <w:bCs/>
        </w:rPr>
        <w:tab/>
        <w:t>Section 85 amended</w:t>
      </w:r>
      <w:bookmarkEnd w:id="375"/>
      <w:bookmarkEnd w:id="376"/>
      <w:bookmarkEnd w:id="377"/>
    </w:p>
    <w:p>
      <w:pPr>
        <w:pStyle w:val="nzSubsection"/>
      </w:pPr>
      <w:r>
        <w:tab/>
      </w:r>
      <w:r>
        <w:tab/>
        <w:t xml:space="preserve">In section 85(1)(c) delete “circumstances specified in the </w:t>
      </w:r>
      <w:r>
        <w:rPr>
          <w:rStyle w:val="CharDefText"/>
        </w:rPr>
        <w:t>regulation</w:t>
      </w:r>
      <w:r>
        <w:t>s, be given or served by electronic means in accordance with the regulations.” and insert:</w:t>
      </w:r>
    </w:p>
    <w:p>
      <w:pPr>
        <w:pStyle w:val="BlankOpen"/>
      </w:pPr>
    </w:p>
    <w:p>
      <w:pPr>
        <w:pStyle w:val="nzSubsection"/>
      </w:pPr>
      <w:r>
        <w:tab/>
      </w:r>
      <w:r>
        <w:tab/>
        <w:t xml:space="preserve">prescribed circumstances, be given or served by prescribed electronic means. </w:t>
      </w:r>
    </w:p>
    <w:p>
      <w:pPr>
        <w:pStyle w:val="BlankClose"/>
      </w:pPr>
    </w:p>
    <w:p>
      <w:pPr>
        <w:pStyle w:val="nzHeading5"/>
      </w:pPr>
      <w:bookmarkStart w:id="378" w:name="_Toc1570363"/>
      <w:bookmarkStart w:id="379" w:name="_Toc2090063"/>
      <w:bookmarkStart w:id="380" w:name="_Toc2092157"/>
      <w:r>
        <w:rPr>
          <w:rStyle w:val="CharSectno"/>
        </w:rPr>
        <w:t>22</w:t>
      </w:r>
      <w:r>
        <w:t>.</w:t>
      </w:r>
      <w:r>
        <w:tab/>
        <w:t>Section 88B inserted</w:t>
      </w:r>
      <w:bookmarkEnd w:id="378"/>
      <w:bookmarkEnd w:id="379"/>
      <w:bookmarkEnd w:id="380"/>
    </w:p>
    <w:p>
      <w:pPr>
        <w:pStyle w:val="nzSubsection"/>
      </w:pPr>
      <w:r>
        <w:tab/>
      </w:r>
      <w:r>
        <w:tab/>
        <w:t>After section 88A insert:</w:t>
      </w:r>
    </w:p>
    <w:p>
      <w:pPr>
        <w:pStyle w:val="BlankOpen"/>
      </w:pPr>
    </w:p>
    <w:p>
      <w:pPr>
        <w:pStyle w:val="nzHeading5"/>
      </w:pPr>
      <w:bookmarkStart w:id="381" w:name="_Toc1570364"/>
      <w:bookmarkStart w:id="382" w:name="_Toc2090064"/>
      <w:bookmarkStart w:id="383" w:name="_Toc2092158"/>
      <w:r>
        <w:t>88B.</w:t>
      </w:r>
      <w:r>
        <w:tab/>
        <w:t>Cross</w:t>
      </w:r>
      <w:r>
        <w:noBreakHyphen/>
        <w:t>examination of persons in proceedings involving family violence</w:t>
      </w:r>
      <w:bookmarkEnd w:id="381"/>
      <w:bookmarkEnd w:id="382"/>
      <w:bookmarkEnd w:id="383"/>
    </w:p>
    <w:p>
      <w:pPr>
        <w:pStyle w:val="nzSubsection"/>
      </w:pPr>
      <w:r>
        <w:tab/>
      </w:r>
      <w:r>
        <w:tab/>
        <w:t xml:space="preserve">The </w:t>
      </w:r>
      <w:r>
        <w:rPr>
          <w:i/>
        </w:rPr>
        <w:t>Restraining Orders Act 1997</w:t>
      </w:r>
      <w:r>
        <w:t xml:space="preserve"> section 44C applies to proceedings under this Act that involve family violence as if references to the respondent were references to the person allegedly committing the family violence.</w:t>
      </w:r>
    </w:p>
    <w:p>
      <w:pPr>
        <w:pStyle w:val="BlankClose"/>
      </w:pPr>
    </w:p>
    <w:p>
      <w:pPr>
        <w:pStyle w:val="nzHeading5"/>
      </w:pPr>
      <w:bookmarkStart w:id="384" w:name="_Toc1570365"/>
      <w:bookmarkStart w:id="385" w:name="_Toc2090065"/>
      <w:bookmarkStart w:id="386" w:name="_Toc2092159"/>
      <w:r>
        <w:rPr>
          <w:rStyle w:val="CharSectno"/>
        </w:rPr>
        <w:t>23</w:t>
      </w:r>
      <w:r>
        <w:t>.</w:t>
      </w:r>
      <w:r>
        <w:tab/>
        <w:t>Section 88 amended</w:t>
      </w:r>
      <w:bookmarkEnd w:id="384"/>
      <w:bookmarkEnd w:id="385"/>
      <w:bookmarkEnd w:id="386"/>
    </w:p>
    <w:p>
      <w:pPr>
        <w:pStyle w:val="nzSubsection"/>
      </w:pPr>
      <w:r>
        <w:tab/>
      </w:r>
      <w:r>
        <w:tab/>
        <w:t>After section 88(2) insert:</w:t>
      </w:r>
    </w:p>
    <w:p>
      <w:pPr>
        <w:pStyle w:val="BlankOpen"/>
      </w:pPr>
    </w:p>
    <w:p>
      <w:pPr>
        <w:pStyle w:val="nzSubsection"/>
      </w:pPr>
      <w:r>
        <w:tab/>
        <w:t>(3)</w:t>
      </w:r>
      <w:r>
        <w:tab/>
        <w:t xml:space="preserve">Regulations made under subsection (1) for the purposes of section 47(4) or 71AB(2)(d)(vi) cannot come into operation earlier than 6 months after they are published in the </w:t>
      </w:r>
      <w:r>
        <w:rPr>
          <w:i/>
        </w:rPr>
        <w:t>Gazette</w:t>
      </w:r>
      <w:r>
        <w:t>.</w:t>
      </w:r>
    </w:p>
    <w:p>
      <w:pPr>
        <w:pStyle w:val="BlankClose"/>
      </w:pPr>
    </w:p>
    <w:p>
      <w:pPr>
        <w:pStyle w:val="nzHeading5"/>
      </w:pPr>
      <w:bookmarkStart w:id="387" w:name="_Toc1570366"/>
      <w:bookmarkStart w:id="388" w:name="_Toc2090066"/>
      <w:bookmarkStart w:id="389" w:name="_Toc2092160"/>
      <w:r>
        <w:rPr>
          <w:rStyle w:val="CharSectno"/>
        </w:rPr>
        <w:t>24</w:t>
      </w:r>
      <w:r>
        <w:t>.</w:t>
      </w:r>
      <w:r>
        <w:tab/>
        <w:t>Section 94 amended</w:t>
      </w:r>
      <w:bookmarkEnd w:id="387"/>
      <w:bookmarkEnd w:id="388"/>
      <w:bookmarkEnd w:id="389"/>
    </w:p>
    <w:p>
      <w:pPr>
        <w:pStyle w:val="nzSubsection"/>
      </w:pPr>
      <w:r>
        <w:tab/>
      </w:r>
      <w:r>
        <w:tab/>
        <w:t>In section 94(3) delete “a market rate indicator specified in the regulations.” and insert:</w:t>
      </w:r>
    </w:p>
    <w:p>
      <w:pPr>
        <w:pStyle w:val="BlankOpen"/>
      </w:pPr>
    </w:p>
    <w:p>
      <w:pPr>
        <w:pStyle w:val="nzSubsection"/>
      </w:pPr>
      <w:r>
        <w:tab/>
      </w:r>
      <w:r>
        <w:tab/>
        <w:t>a prescribed market rate indicator.</w:t>
      </w:r>
    </w:p>
    <w:p>
      <w:pPr>
        <w:pStyle w:val="BlankClose"/>
      </w:pPr>
    </w:p>
    <w:p>
      <w:pPr>
        <w:pStyle w:val="nzHeading5"/>
      </w:pPr>
      <w:bookmarkStart w:id="390" w:name="_Toc1570367"/>
      <w:bookmarkStart w:id="391" w:name="_Toc2090067"/>
      <w:bookmarkStart w:id="392" w:name="_Toc2092161"/>
      <w:r>
        <w:rPr>
          <w:rStyle w:val="CharSectno"/>
          <w:bCs/>
        </w:rPr>
        <w:t>25</w:t>
      </w:r>
      <w:r>
        <w:rPr>
          <w:bCs/>
        </w:rPr>
        <w:t>.</w:t>
      </w:r>
      <w:r>
        <w:rPr>
          <w:bCs/>
        </w:rPr>
        <w:tab/>
        <w:t>Various penalties amended</w:t>
      </w:r>
      <w:bookmarkEnd w:id="390"/>
      <w:bookmarkEnd w:id="391"/>
      <w:bookmarkEnd w:id="392"/>
    </w:p>
    <w:p>
      <w:pPr>
        <w:pStyle w:val="nzSubsection"/>
      </w:pPr>
      <w:r>
        <w:tab/>
      </w:r>
      <w:r>
        <w:tab/>
        <w:t>In the provisions listed in the Table delete “Penalty:” and insert:</w:t>
      </w:r>
    </w:p>
    <w:p>
      <w:pPr>
        <w:pStyle w:val="BlankOpen"/>
        <w:widowControl w:val="0"/>
      </w:pPr>
    </w:p>
    <w:p>
      <w:pPr>
        <w:pStyle w:val="nzSubsection"/>
      </w:pPr>
      <w:r>
        <w:tab/>
      </w:r>
      <w:r>
        <w:tab/>
        <w:t>Penalty for this subsection:</w:t>
      </w:r>
    </w:p>
    <w:p>
      <w:pPr>
        <w:pStyle w:val="BlankClose"/>
        <w:keepNext/>
        <w:widowControl w:val="0"/>
      </w:pPr>
    </w:p>
    <w:p>
      <w:pPr>
        <w:pStyle w:val="nzTHeadingBefore6pt"/>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nzTableAm"/>
            </w:pPr>
            <w:r>
              <w:t>s. 11A(1)</w:t>
            </w:r>
          </w:p>
        </w:tc>
        <w:tc>
          <w:tcPr>
            <w:tcW w:w="3402" w:type="dxa"/>
          </w:tcPr>
          <w:p>
            <w:pPr>
              <w:pStyle w:val="nzTableAm"/>
            </w:pPr>
            <w:r>
              <w:t>s. 16(1)</w:t>
            </w:r>
          </w:p>
        </w:tc>
      </w:tr>
      <w:tr>
        <w:trPr>
          <w:cantSplit/>
          <w:jc w:val="center"/>
        </w:trPr>
        <w:tc>
          <w:tcPr>
            <w:tcW w:w="3402" w:type="dxa"/>
          </w:tcPr>
          <w:p>
            <w:pPr>
              <w:pStyle w:val="nzTableAm"/>
            </w:pPr>
            <w:r>
              <w:t>s. 19(2)</w:t>
            </w:r>
          </w:p>
        </w:tc>
        <w:tc>
          <w:tcPr>
            <w:tcW w:w="3402" w:type="dxa"/>
          </w:tcPr>
          <w:p>
            <w:pPr>
              <w:pStyle w:val="nzTableAm"/>
            </w:pPr>
            <w:r>
              <w:t>s. 22(5)</w:t>
            </w:r>
          </w:p>
        </w:tc>
      </w:tr>
      <w:tr>
        <w:trPr>
          <w:cantSplit/>
          <w:jc w:val="center"/>
        </w:trPr>
        <w:tc>
          <w:tcPr>
            <w:tcW w:w="3402" w:type="dxa"/>
          </w:tcPr>
          <w:p>
            <w:pPr>
              <w:pStyle w:val="nzTableAm"/>
            </w:pPr>
            <w:r>
              <w:t>s. 27C(1) and (4)</w:t>
            </w:r>
          </w:p>
        </w:tc>
        <w:tc>
          <w:tcPr>
            <w:tcW w:w="3402" w:type="dxa"/>
          </w:tcPr>
          <w:p>
            <w:pPr>
              <w:pStyle w:val="nzTableAm"/>
            </w:pPr>
            <w:r>
              <w:t>s. 27(1)</w:t>
            </w:r>
          </w:p>
        </w:tc>
      </w:tr>
      <w:tr>
        <w:trPr>
          <w:cantSplit/>
          <w:jc w:val="center"/>
        </w:trPr>
        <w:tc>
          <w:tcPr>
            <w:tcW w:w="3402" w:type="dxa"/>
          </w:tcPr>
          <w:p>
            <w:pPr>
              <w:pStyle w:val="nzTableAm"/>
            </w:pPr>
            <w:r>
              <w:t>s. 28(1) and (2)</w:t>
            </w:r>
          </w:p>
        </w:tc>
        <w:tc>
          <w:tcPr>
            <w:tcW w:w="3402" w:type="dxa"/>
          </w:tcPr>
          <w:p>
            <w:pPr>
              <w:pStyle w:val="nzTableAm"/>
            </w:pPr>
            <w:r>
              <w:t>s. 29(1), (4), (6) and (8)</w:t>
            </w:r>
          </w:p>
        </w:tc>
      </w:tr>
      <w:tr>
        <w:trPr>
          <w:cantSplit/>
          <w:jc w:val="center"/>
        </w:trPr>
        <w:tc>
          <w:tcPr>
            <w:tcW w:w="3402" w:type="dxa"/>
          </w:tcPr>
          <w:p>
            <w:pPr>
              <w:pStyle w:val="nzTableAm"/>
            </w:pPr>
            <w:r>
              <w:t>s. 32(7)</w:t>
            </w:r>
          </w:p>
        </w:tc>
        <w:tc>
          <w:tcPr>
            <w:tcW w:w="3402" w:type="dxa"/>
          </w:tcPr>
          <w:p>
            <w:pPr>
              <w:pStyle w:val="nzTableAm"/>
            </w:pPr>
            <w:r>
              <w:t>s. 33(1)</w:t>
            </w:r>
          </w:p>
        </w:tc>
      </w:tr>
      <w:tr>
        <w:trPr>
          <w:cantSplit/>
          <w:jc w:val="center"/>
        </w:trPr>
        <w:tc>
          <w:tcPr>
            <w:tcW w:w="3402" w:type="dxa"/>
          </w:tcPr>
          <w:p>
            <w:pPr>
              <w:pStyle w:val="nzTableAm"/>
            </w:pPr>
            <w:r>
              <w:t>s. 34(1) and (2)</w:t>
            </w:r>
          </w:p>
        </w:tc>
        <w:tc>
          <w:tcPr>
            <w:tcW w:w="3402" w:type="dxa"/>
          </w:tcPr>
          <w:p>
            <w:pPr>
              <w:pStyle w:val="nzTableAm"/>
            </w:pPr>
            <w:r>
              <w:t>s. 51(1), (2), (3) and (4)</w:t>
            </w:r>
          </w:p>
        </w:tc>
      </w:tr>
      <w:tr>
        <w:trPr>
          <w:cantSplit/>
          <w:jc w:val="center"/>
        </w:trPr>
        <w:tc>
          <w:tcPr>
            <w:tcW w:w="3402" w:type="dxa"/>
          </w:tcPr>
          <w:p>
            <w:pPr>
              <w:pStyle w:val="nzTableAm"/>
            </w:pPr>
            <w:r>
              <w:t>s. 53(1), (2) and (3)</w:t>
            </w:r>
          </w:p>
        </w:tc>
        <w:tc>
          <w:tcPr>
            <w:tcW w:w="3402" w:type="dxa"/>
          </w:tcPr>
          <w:p>
            <w:pPr>
              <w:pStyle w:val="nzTableAm"/>
            </w:pPr>
            <w:r>
              <w:t>s. 54(1)</w:t>
            </w:r>
          </w:p>
        </w:tc>
      </w:tr>
      <w:tr>
        <w:trPr>
          <w:cantSplit/>
          <w:jc w:val="center"/>
        </w:trPr>
        <w:tc>
          <w:tcPr>
            <w:tcW w:w="3402" w:type="dxa"/>
          </w:tcPr>
          <w:p>
            <w:pPr>
              <w:pStyle w:val="nzTableAm"/>
            </w:pPr>
            <w:r>
              <w:t>s. 56(1) and (2)</w:t>
            </w:r>
          </w:p>
        </w:tc>
        <w:tc>
          <w:tcPr>
            <w:tcW w:w="3402" w:type="dxa"/>
          </w:tcPr>
          <w:p>
            <w:pPr>
              <w:pStyle w:val="nzTableAm"/>
            </w:pPr>
            <w:r>
              <w:t>s. 57(2A)</w:t>
            </w:r>
          </w:p>
        </w:tc>
      </w:tr>
      <w:tr>
        <w:trPr>
          <w:cantSplit/>
          <w:jc w:val="center"/>
        </w:trPr>
        <w:tc>
          <w:tcPr>
            <w:tcW w:w="3402" w:type="dxa"/>
          </w:tcPr>
          <w:p>
            <w:pPr>
              <w:pStyle w:val="nzTableAm"/>
            </w:pPr>
            <w:r>
              <w:t>s. 59E(1)</w:t>
            </w:r>
          </w:p>
        </w:tc>
        <w:tc>
          <w:tcPr>
            <w:tcW w:w="3402" w:type="dxa"/>
          </w:tcPr>
          <w:p>
            <w:pPr>
              <w:pStyle w:val="nzTableAm"/>
            </w:pPr>
            <w:r>
              <w:t>s. 59F(1) and (2)</w:t>
            </w:r>
          </w:p>
        </w:tc>
      </w:tr>
      <w:tr>
        <w:trPr>
          <w:cantSplit/>
          <w:jc w:val="center"/>
        </w:trPr>
        <w:tc>
          <w:tcPr>
            <w:tcW w:w="3402" w:type="dxa"/>
          </w:tcPr>
          <w:p>
            <w:pPr>
              <w:pStyle w:val="nzTableAm"/>
            </w:pPr>
            <w:r>
              <w:t>s. 63(3)</w:t>
            </w:r>
          </w:p>
        </w:tc>
        <w:tc>
          <w:tcPr>
            <w:tcW w:w="3402" w:type="dxa"/>
          </w:tcPr>
          <w:p>
            <w:pPr>
              <w:pStyle w:val="nzTableAm"/>
            </w:pPr>
            <w:r>
              <w:t>s. 80A(3), (4) and (6)</w:t>
            </w:r>
          </w:p>
        </w:tc>
      </w:tr>
      <w:tr>
        <w:trPr>
          <w:cantSplit/>
          <w:jc w:val="center"/>
        </w:trPr>
        <w:tc>
          <w:tcPr>
            <w:tcW w:w="3402" w:type="dxa"/>
          </w:tcPr>
          <w:p>
            <w:pPr>
              <w:pStyle w:val="nzTableAm"/>
            </w:pPr>
            <w:r>
              <w:t>s. 82C(2)</w:t>
            </w:r>
          </w:p>
        </w:tc>
        <w:tc>
          <w:tcPr>
            <w:tcW w:w="3402" w:type="dxa"/>
          </w:tcPr>
          <w:p>
            <w:pPr>
              <w:pStyle w:val="nzTableAm"/>
            </w:pPr>
            <w:r>
              <w:t>s. 82D(2)</w:t>
            </w:r>
          </w:p>
        </w:tc>
      </w:tr>
      <w:tr>
        <w:trPr>
          <w:cantSplit/>
          <w:jc w:val="center"/>
        </w:trPr>
        <w:tc>
          <w:tcPr>
            <w:tcW w:w="3402" w:type="dxa"/>
          </w:tcPr>
          <w:p>
            <w:pPr>
              <w:pStyle w:val="nzTableAm"/>
            </w:pPr>
            <w:r>
              <w:t>s. 82E(1)</w:t>
            </w:r>
          </w:p>
        </w:tc>
        <w:tc>
          <w:tcPr>
            <w:tcW w:w="3402" w:type="dxa"/>
          </w:tcPr>
          <w:p>
            <w:pPr>
              <w:pStyle w:val="nzTableAm"/>
            </w:pPr>
            <w:r>
              <w:t>s. 82F(1)</w:t>
            </w:r>
          </w:p>
        </w:tc>
      </w:tr>
      <w:tr>
        <w:trPr>
          <w:cantSplit/>
          <w:jc w:val="center"/>
        </w:trPr>
        <w:tc>
          <w:tcPr>
            <w:tcW w:w="3402" w:type="dxa"/>
          </w:tcPr>
          <w:p>
            <w:pPr>
              <w:pStyle w:val="nzTableAm"/>
            </w:pPr>
            <w:r>
              <w:t>s. 82G(2) and (3)</w:t>
            </w:r>
          </w:p>
        </w:tc>
        <w:tc>
          <w:tcPr>
            <w:tcW w:w="3402" w:type="dxa"/>
          </w:tcPr>
          <w:p>
            <w:pPr>
              <w:pStyle w:val="nzTableAm"/>
            </w:pPr>
            <w:r>
              <w:t>s. 82H(2)</w:t>
            </w:r>
          </w:p>
        </w:tc>
      </w:tr>
      <w:tr>
        <w:trPr>
          <w:cantSplit/>
          <w:jc w:val="center"/>
        </w:trPr>
        <w:tc>
          <w:tcPr>
            <w:tcW w:w="3402" w:type="dxa"/>
          </w:tcPr>
          <w:p>
            <w:pPr>
              <w:pStyle w:val="nzTableAm"/>
            </w:pPr>
            <w:r>
              <w:t>s. 82I(1) and (2)</w:t>
            </w:r>
          </w:p>
        </w:tc>
        <w:tc>
          <w:tcPr>
            <w:tcW w:w="3402" w:type="dxa"/>
          </w:tcPr>
          <w:p>
            <w:pPr>
              <w:pStyle w:val="nzTableAm"/>
            </w:pPr>
            <w:r>
              <w:t>s. 82K(2)</w:t>
            </w:r>
          </w:p>
        </w:tc>
      </w:tr>
      <w:tr>
        <w:trPr>
          <w:cantSplit/>
          <w:jc w:val="center"/>
        </w:trPr>
        <w:tc>
          <w:tcPr>
            <w:tcW w:w="3402" w:type="dxa"/>
          </w:tcPr>
          <w:p>
            <w:pPr>
              <w:pStyle w:val="nzTableAm"/>
            </w:pPr>
            <w:r>
              <w:t>s. 82(2)</w:t>
            </w:r>
          </w:p>
        </w:tc>
        <w:tc>
          <w:tcPr>
            <w:tcW w:w="3402" w:type="dxa"/>
          </w:tcPr>
          <w:p>
            <w:pPr>
              <w:pStyle w:val="nzTableAm"/>
            </w:pPr>
            <w:r>
              <w:t>s. 93(1)</w:t>
            </w:r>
          </w:p>
        </w:tc>
      </w:tr>
      <w:tr>
        <w:trPr>
          <w:cantSplit/>
          <w:jc w:val="center"/>
        </w:trPr>
        <w:tc>
          <w:tcPr>
            <w:tcW w:w="3402" w:type="dxa"/>
          </w:tcPr>
          <w:p>
            <w:pPr>
              <w:pStyle w:val="nzTableAm"/>
            </w:pPr>
            <w:r>
              <w:t>s. 95(3) and (4)</w:t>
            </w:r>
          </w:p>
        </w:tc>
        <w:tc>
          <w:tcPr>
            <w:tcW w:w="3402" w:type="dxa"/>
          </w:tcPr>
          <w:p>
            <w:pPr>
              <w:pStyle w:val="nzTableAm"/>
            </w:pPr>
            <w:r>
              <w:t>s. 96(2)</w:t>
            </w:r>
          </w:p>
        </w:tc>
      </w:tr>
    </w:tbl>
    <w:p>
      <w:pPr>
        <w:pStyle w:val="BlankClose"/>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394" w:name="_Toc2153468"/>
      <w:bookmarkStart w:id="395" w:name="_Toc2160302"/>
      <w:bookmarkStart w:id="396" w:name="_Toc2161026"/>
      <w:r>
        <w:rPr>
          <w:sz w:val="28"/>
        </w:rPr>
        <w:t>Defined terms</w:t>
      </w:r>
      <w:bookmarkEnd w:id="394"/>
      <w:bookmarkEnd w:id="395"/>
      <w:bookmarkEnd w:id="3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 xml:space="preserve">bond </w:t>
      </w:r>
      <w:r>
        <w:tab/>
        <w:t>3</w:t>
      </w:r>
    </w:p>
    <w:p>
      <w:pPr>
        <w:pStyle w:val="DefinedTerms"/>
      </w:pPr>
      <w:r>
        <w:t>bond administrator</w:t>
      </w:r>
      <w:r>
        <w:tab/>
        <w:t>3</w:t>
      </w:r>
    </w:p>
    <w:p>
      <w:pPr>
        <w:pStyle w:val="DefinedTerms"/>
      </w:pPr>
      <w:r>
        <w:t>commencement day</w:t>
      </w:r>
      <w:r>
        <w:tab/>
        <w:t>91(1), 92, 97(1)</w:t>
      </w:r>
    </w:p>
    <w:p>
      <w:pPr>
        <w:pStyle w:val="DefinedTerms"/>
      </w:pPr>
      <w:r>
        <w:t>Commissioner</w:t>
      </w:r>
      <w:r>
        <w:tab/>
        <w:t>3</w:t>
      </w:r>
    </w:p>
    <w:p>
      <w:pPr>
        <w:pStyle w:val="DefinedTerms"/>
      </w:pPr>
      <w:r>
        <w:t>competent court</w:t>
      </w:r>
      <w:r>
        <w:tab/>
        <w:t>3</w:t>
      </w:r>
    </w:p>
    <w:p>
      <w:pPr>
        <w:pStyle w:val="DefinedTerms"/>
      </w:pPr>
      <w:r>
        <w:t>criteria</w:t>
      </w:r>
      <w:r>
        <w:tab/>
        <w:t>71A</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executive officer</w:t>
      </w:r>
      <w:r>
        <w:tab/>
        <w:t>7A(3)</w:t>
      </w:r>
    </w:p>
    <w:p>
      <w:pPr>
        <w:pStyle w:val="DefinedTerms"/>
      </w:pPr>
      <w:r>
        <w:t>existing agreement</w:t>
      </w:r>
      <w:r>
        <w:tab/>
        <w:t>71H</w:t>
      </w:r>
    </w:p>
    <w:p>
      <w:pPr>
        <w:pStyle w:val="DefinedTerms"/>
      </w:pPr>
      <w:r>
        <w:t>expiry day</w:t>
      </w:r>
      <w:r>
        <w:tab/>
        <w:t>3</w:t>
      </w:r>
    </w:p>
    <w:p>
      <w:pPr>
        <w:pStyle w:val="DefinedTerms"/>
      </w:pPr>
      <w:r>
        <w:t>first tenant</w:t>
      </w:r>
      <w:r>
        <w:tab/>
        <w:t>17A(1)</w:t>
      </w:r>
    </w:p>
    <w:p>
      <w:pPr>
        <w:pStyle w:val="DefinedTerms"/>
      </w:pPr>
      <w:r>
        <w:t>former agreement</w:t>
      </w:r>
      <w:r>
        <w:tab/>
        <w:t>31B(1)</w:t>
      </w:r>
    </w:p>
    <w:p>
      <w:pPr>
        <w:pStyle w:val="DefinedTerms"/>
      </w:pPr>
      <w:r>
        <w:t>goods</w:t>
      </w:r>
      <w:r>
        <w:tab/>
        <w:t>79(1A)</w:t>
      </w:r>
    </w:p>
    <w:p>
      <w:pPr>
        <w:pStyle w:val="DefinedTerms"/>
      </w:pPr>
      <w:r>
        <w:t>GST</w:t>
      </w:r>
      <w:r>
        <w:tab/>
        <w:t>49A(1)</w:t>
      </w:r>
    </w:p>
    <w:p>
      <w:pPr>
        <w:pStyle w:val="DefinedTerms"/>
      </w:pPr>
      <w:r>
        <w:t>Housing Authority</w:t>
      </w:r>
      <w:r>
        <w:tab/>
        <w:t>71A</w:t>
      </w:r>
    </w:p>
    <w:p>
      <w:pPr>
        <w:pStyle w:val="DefinedTerms"/>
      </w:pPr>
      <w:r>
        <w:t>inaccurate</w:t>
      </w:r>
      <w:r>
        <w:tab/>
        <w:t>82A</w:t>
      </w:r>
    </w:p>
    <w:p>
      <w:pPr>
        <w:pStyle w:val="DefinedTerms"/>
      </w:pPr>
      <w:r>
        <w:t>information</w:t>
      </w:r>
      <w:r>
        <w:tab/>
        <w:t>11A(3)</w:t>
      </w:r>
    </w:p>
    <w:p>
      <w:pPr>
        <w:pStyle w:val="DefinedTerms"/>
      </w:pPr>
      <w:r>
        <w:t>legal practitioner</w:t>
      </w:r>
      <w:r>
        <w:tab/>
        <w:t>22(6)</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Minister for Housing</w:t>
      </w:r>
      <w:r>
        <w:tab/>
        <w:t>71A</w:t>
      </w:r>
    </w:p>
    <w:p>
      <w:pPr>
        <w:pStyle w:val="DefinedTerms"/>
      </w:pPr>
      <w:r>
        <w:t>minor</w:t>
      </w:r>
      <w:r>
        <w:tab/>
        <w:t>59A(1)</w:t>
      </w:r>
    </w:p>
    <w:p>
      <w:pPr>
        <w:pStyle w:val="DefinedTerms"/>
      </w:pPr>
      <w:r>
        <w:t>national privacy principles</w:t>
      </w:r>
      <w:r>
        <w:tab/>
        <w:t>82K(1)</w:t>
      </w:r>
    </w:p>
    <w:p>
      <w:pPr>
        <w:pStyle w:val="DefinedTerms"/>
      </w:pPr>
      <w:r>
        <w:t>new agreement</w:t>
      </w:r>
      <w:r>
        <w:tab/>
        <w:t>31B(1)</w:t>
      </w:r>
    </w:p>
    <w:p>
      <w:pPr>
        <w:pStyle w:val="DefinedTerms"/>
      </w:pPr>
      <w:r>
        <w:t>notice</w:t>
      </w:r>
      <w:r>
        <w:tab/>
        <w:t>70A(1)</w:t>
      </w:r>
    </w:p>
    <w:p>
      <w:pPr>
        <w:pStyle w:val="DefinedTerms"/>
      </w:pPr>
      <w:r>
        <w:t>notice to vacate</w:t>
      </w:r>
      <w:r>
        <w:tab/>
        <w:t>81A(1)</w:t>
      </w:r>
    </w:p>
    <w:p>
      <w:pPr>
        <w:pStyle w:val="DefinedTerms"/>
      </w:pPr>
      <w:r>
        <w:t>out</w:t>
      </w:r>
      <w:r>
        <w:noBreakHyphen/>
        <w:t>of</w:t>
      </w:r>
      <w:r>
        <w:noBreakHyphen/>
        <w:t>date</w:t>
      </w:r>
      <w:r>
        <w:tab/>
        <w:t>82A</w:t>
      </w:r>
    </w:p>
    <w:p>
      <w:pPr>
        <w:pStyle w:val="DefinedTerms"/>
      </w:pPr>
      <w:r>
        <w:t>party</w:t>
      </w:r>
      <w:r>
        <w:tab/>
        <w:t>9(1A)</w:t>
      </w:r>
    </w:p>
    <w:p>
      <w:pPr>
        <w:pStyle w:val="DefinedTerms"/>
      </w:pPr>
      <w:r>
        <w:t>personal information</w:t>
      </w:r>
      <w:r>
        <w:tab/>
        <w:t>82A</w:t>
      </w:r>
    </w:p>
    <w:p>
      <w:pPr>
        <w:pStyle w:val="DefinedTerms"/>
      </w:pPr>
      <w:r>
        <w:t>pet</w:t>
      </w:r>
      <w:r>
        <w:tab/>
        <w:t>29(1A)</w:t>
      </w:r>
    </w:p>
    <w:p>
      <w:pPr>
        <w:pStyle w:val="DefinedTerms"/>
      </w:pPr>
      <w:r>
        <w:t>plaintiff</w:t>
      </w:r>
      <w:r>
        <w:tab/>
        <w:t>81B(1), 81(1)</w:t>
      </w:r>
    </w:p>
    <w:p>
      <w:pPr>
        <w:pStyle w:val="DefinedTerms"/>
      </w:pPr>
      <w:r>
        <w:t>possession day</w:t>
      </w:r>
      <w:r>
        <w:tab/>
        <w:t>70A(1), 72(1A)</w:t>
      </w:r>
    </w:p>
    <w:p>
      <w:pPr>
        <w:pStyle w:val="DefinedTerms"/>
      </w:pPr>
      <w:r>
        <w:t>premises</w:t>
      </w:r>
      <w:r>
        <w:tab/>
        <w:t>3, 38(2), 40(1), 42(1), 44(1), 46(1)</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proceedings</w:t>
      </w:r>
      <w:r>
        <w:tab/>
        <w:t>22(1A)</w:t>
      </w:r>
    </w:p>
    <w:p>
      <w:pPr>
        <w:pStyle w:val="DefinedTerms"/>
      </w:pPr>
      <w:r>
        <w:t>property manager</w:t>
      </w:r>
      <w:r>
        <w:tab/>
        <w:t>3</w:t>
      </w:r>
    </w:p>
    <w:p>
      <w:pPr>
        <w:pStyle w:val="DefinedTerms"/>
      </w:pPr>
      <w:r>
        <w:t>public utility services</w:t>
      </w:r>
      <w:r>
        <w:tab/>
        <w:t>49A(1)</w:t>
      </w:r>
    </w:p>
    <w:p>
      <w:pPr>
        <w:pStyle w:val="DefinedTerms"/>
      </w:pPr>
      <w:r>
        <w:t>reasonable grounds</w:t>
      </w:r>
      <w:r>
        <w:tab/>
        <w:t>3</w:t>
      </w:r>
    </w:p>
    <w:p>
      <w:pPr>
        <w:pStyle w:val="DefinedTerms"/>
      </w:pPr>
      <w:r>
        <w:t>reasonable time</w:t>
      </w:r>
      <w:r>
        <w:tab/>
        <w:t>46(1)</w:t>
      </w:r>
    </w:p>
    <w:p>
      <w:pPr>
        <w:pStyle w:val="DefinedTerms"/>
      </w:pPr>
      <w:r>
        <w:t>rent</w:t>
      </w:r>
      <w:r>
        <w:tab/>
        <w:t>3</w:t>
      </w:r>
    </w:p>
    <w:p>
      <w:pPr>
        <w:pStyle w:val="DefinedTerms"/>
      </w:pPr>
      <w:r>
        <w:t>Rental Accommodation Account</w:t>
      </w:r>
      <w:r>
        <w:tab/>
        <w:t>3</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security bond</w:t>
      </w:r>
      <w:r>
        <w:tab/>
        <w:t>3, 29(1A)</w:t>
      </w:r>
    </w:p>
    <w:p>
      <w:pPr>
        <w:pStyle w:val="DefinedTerms"/>
      </w:pPr>
      <w:r>
        <w:t>security bond held in an AFI</w:t>
      </w:r>
      <w:r>
        <w:tab/>
        <w:t>92</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suitable repairer</w:t>
      </w:r>
      <w:r>
        <w:tab/>
        <w:t>43(1)</w:t>
      </w:r>
    </w:p>
    <w:p>
      <w:pPr>
        <w:pStyle w:val="DefinedTerms"/>
      </w:pPr>
      <w:r>
        <w:t>tenancy</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urgent repairs</w:t>
      </w:r>
      <w:r>
        <w:tab/>
        <w:t>43(1)</w:t>
      </w:r>
    </w:p>
    <w:p>
      <w:pPr>
        <w:rPr>
          <w:rFonts w:ascii="Arial" w:hAnsi="Arial" w:cs="Arial"/>
          <w:szCs w:val="24"/>
        </w:rPr>
      </w:pPr>
    </w:p>
    <w:p>
      <w:pPr>
        <w:rPr>
          <w:rFonts w:ascii="Arial" w:hAnsi="Arial" w:cs="Arial"/>
          <w:szCs w:val="24"/>
        </w:r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Cs w:val="24"/>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7" w:name="Schedule"/>
    <w:bookmarkEnd w:id="2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3" w:name="Compilation"/>
    <w:bookmarkEnd w:id="39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7" w:name="DefinedTerms"/>
    <w:bookmarkEnd w:id="39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8" w:name="Coversheet"/>
    <w:bookmarkEnd w:id="3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22"/>
  </w:num>
  <w:num w:numId="26">
    <w:abstractNumId w:val="10"/>
  </w:num>
  <w:num w:numId="27">
    <w:abstractNumId w:val="1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227083642"/>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blankclose0">
    <w:name w:val="blank close"/>
    <w:basedOn w:val="Normal"/>
  </w:style>
  <w:style w:type="paragraph" w:customStyle="1" w:styleId="nzHeading5Before6pt">
    <w:name w:val="nzHeading 5 + Before:  6 pt"/>
    <w:basedOn w:val="zHeading5"/>
    <w:pPr>
      <w:spacing w:before="120"/>
    </w:pPr>
  </w:style>
  <w:style w:type="paragraph" w:customStyle="1" w:styleId="nzTHeadingBefore6pt">
    <w:name w:val="nzTHeading + Before:  6 pt"/>
    <w:basedOn w:val="THeading"/>
    <w:pPr>
      <w:spacing w:before="120"/>
    </w:pPr>
  </w:style>
  <w:style w:type="character" w:customStyle="1" w:styleId="CommentTextChar">
    <w:name w:val="Comment Text Char"/>
    <w:basedOn w:val="DefaultParagraphFont"/>
    <w:link w:val="CommentText"/>
    <w:semiHidden/>
    <w:rPr>
      <w:sz w:val="24"/>
    </w:rPr>
  </w:style>
  <w:style w:type="paragraph" w:customStyle="1" w:styleId="nzTableAm">
    <w:name w:val="nzTableAm"/>
    <w:basedOn w:val="TableAm"/>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blankclose0">
    <w:name w:val="blank close"/>
    <w:basedOn w:val="Normal"/>
  </w:style>
  <w:style w:type="paragraph" w:customStyle="1" w:styleId="nzHeading5Before6pt">
    <w:name w:val="nzHeading 5 + Before:  6 pt"/>
    <w:basedOn w:val="zHeading5"/>
    <w:pPr>
      <w:spacing w:before="120"/>
    </w:pPr>
  </w:style>
  <w:style w:type="paragraph" w:customStyle="1" w:styleId="nzTHeadingBefore6pt">
    <w:name w:val="nzTHeading + Before:  6 pt"/>
    <w:basedOn w:val="THeading"/>
    <w:pPr>
      <w:spacing w:before="120"/>
    </w:pPr>
  </w:style>
  <w:style w:type="character" w:customStyle="1" w:styleId="CommentTextChar">
    <w:name w:val="Comment Text Char"/>
    <w:basedOn w:val="DefaultParagraphFont"/>
    <w:link w:val="CommentText"/>
    <w:semiHidden/>
    <w:rPr>
      <w:sz w:val="24"/>
    </w:rPr>
  </w:style>
  <w:style w:type="paragraph" w:customStyle="1" w:styleId="nzTableAm">
    <w:name w:val="nzTableAm"/>
    <w:basedOn w:val="TableAm"/>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A32D2-DACC-4990-988C-B2F751CF1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160</Pages>
  <Words>41674</Words>
  <Characters>196703</Characters>
  <Application>Microsoft Office Word</Application>
  <DocSecurity>0</DocSecurity>
  <Lines>5316</Lines>
  <Paragraphs>2907</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235470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1987 - 06-e0-00</dc:title>
  <dc:subject/>
  <dc:creator/>
  <cp:keywords/>
  <dc:description/>
  <cp:lastModifiedBy>svcMRProcess</cp:lastModifiedBy>
  <cp:revision>4</cp:revision>
  <cp:lastPrinted>2015-02-09T03:16:00Z</cp:lastPrinted>
  <dcterms:created xsi:type="dcterms:W3CDTF">2019-02-27T04:20:00Z</dcterms:created>
  <dcterms:modified xsi:type="dcterms:W3CDTF">2019-02-27T04:20:00Z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AsAtDate">
    <vt:lpwstr>26 Feb 2019</vt:lpwstr>
  </property>
  <property fmtid="{D5CDD505-2E9C-101B-9397-08002B2CF9AE}" pid="8" name="Suffix">
    <vt:lpwstr>06-e0-00</vt:lpwstr>
  </property>
  <property fmtid="{D5CDD505-2E9C-101B-9397-08002B2CF9AE}" pid="9" name="CommencementDate">
    <vt:lpwstr>20190226</vt:lpwstr>
  </property>
</Properties>
</file>