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_Toc161198653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_Toc161198654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_Toc161198655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_Toc161198656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_Toc161198657 \h </w:instrText>
      </w:r>
      <w:r>
        <w:fldChar w:fldCharType="separate"/>
      </w:r>
      <w:r>
        <w:t>2</w:t>
      </w:r>
      <w:r>
        <w:fldChar w:fldCharType="end"/>
      </w:r>
    </w:p>
    <w:p>
      <w:pPr>
        <w:pStyle w:val="TOC8"/>
        <w:rPr>
          <w:sz w:val="24"/>
          <w:szCs w:val="24"/>
        </w:rPr>
      </w:pPr>
      <w:r>
        <w:rPr>
          <w:szCs w:val="24"/>
        </w:rPr>
        <w:t>4AA.</w:t>
      </w:r>
      <w:r>
        <w:rPr>
          <w:szCs w:val="24"/>
        </w:rPr>
        <w:tab/>
        <w:t>Prescribed educational requirements for agents</w:t>
      </w:r>
      <w:r>
        <w:tab/>
      </w:r>
      <w:r>
        <w:fldChar w:fldCharType="begin"/>
      </w:r>
      <w:r>
        <w:instrText xml:space="preserve"> PAGEREF _Toc161198658 \h </w:instrText>
      </w:r>
      <w:r>
        <w:fldChar w:fldCharType="separate"/>
      </w:r>
      <w:r>
        <w:t>3</w:t>
      </w:r>
      <w:r>
        <w:fldChar w:fldCharType="end"/>
      </w:r>
    </w:p>
    <w:p>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_Toc161198659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_Toc161198660 \h </w:instrText>
      </w:r>
      <w:r>
        <w:fldChar w:fldCharType="separate"/>
      </w:r>
      <w:r>
        <w:t>5</w:t>
      </w:r>
      <w:r>
        <w:fldChar w:fldCharType="end"/>
      </w:r>
    </w:p>
    <w:p>
      <w:pPr>
        <w:pStyle w:val="TOC8"/>
        <w:rPr>
          <w:sz w:val="24"/>
          <w:szCs w:val="24"/>
        </w:rPr>
      </w:pPr>
      <w:r>
        <w:rPr>
          <w:szCs w:val="24"/>
        </w:rPr>
        <w:t>6.</w:t>
      </w:r>
      <w:r>
        <w:rPr>
          <w:szCs w:val="24"/>
        </w:rPr>
        <w:tab/>
        <w:t>Prescribed examinations</w:t>
      </w:r>
      <w:r>
        <w:tab/>
      </w:r>
      <w:r>
        <w:fldChar w:fldCharType="begin"/>
      </w:r>
      <w:r>
        <w:instrText xml:space="preserve"> PAGEREF _Toc161198661 \h </w:instrText>
      </w:r>
      <w:r>
        <w:fldChar w:fldCharType="separate"/>
      </w:r>
      <w:r>
        <w:t>5</w:t>
      </w:r>
      <w:r>
        <w:fldChar w:fldCharType="end"/>
      </w:r>
    </w:p>
    <w:p>
      <w:pPr>
        <w:pStyle w:val="TOC8"/>
        <w:rPr>
          <w:sz w:val="24"/>
          <w:szCs w:val="24"/>
        </w:rPr>
      </w:pPr>
      <w:r>
        <w:rPr>
          <w:szCs w:val="24"/>
        </w:rPr>
        <w:t>6A.</w:t>
      </w:r>
      <w:r>
        <w:rPr>
          <w:szCs w:val="24"/>
        </w:rPr>
        <w:tab/>
        <w:t>Prescribed qualifications for sales representatives</w:t>
      </w:r>
      <w:r>
        <w:tab/>
      </w:r>
      <w:r>
        <w:fldChar w:fldCharType="begin"/>
      </w:r>
      <w:r>
        <w:instrText xml:space="preserve"> PAGEREF _Toc161198662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_Toc161198663 \h </w:instrText>
      </w:r>
      <w:r>
        <w:fldChar w:fldCharType="separate"/>
      </w:r>
      <w:r>
        <w:t>7</w:t>
      </w:r>
      <w:r>
        <w:fldChar w:fldCharType="end"/>
      </w:r>
    </w:p>
    <w:p>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_Toc161198664 \h </w:instrText>
      </w:r>
      <w:r>
        <w:fldChar w:fldCharType="separate"/>
      </w:r>
      <w:r>
        <w:t>7</w:t>
      </w:r>
      <w:r>
        <w:fldChar w:fldCharType="end"/>
      </w:r>
    </w:p>
    <w:p>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_Toc161198665 \h </w:instrText>
      </w:r>
      <w:r>
        <w:fldChar w:fldCharType="separate"/>
      </w:r>
      <w:r>
        <w:t>8</w:t>
      </w:r>
      <w:r>
        <w:fldChar w:fldCharType="end"/>
      </w:r>
    </w:p>
    <w:p>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_Toc161198666 \h </w:instrText>
      </w:r>
      <w:r>
        <w:fldChar w:fldCharType="separate"/>
      </w:r>
      <w:r>
        <w:t>9</w:t>
      </w:r>
      <w:r>
        <w:fldChar w:fldCharType="end"/>
      </w:r>
    </w:p>
    <w:p>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_Toc161198667 \h </w:instrText>
      </w:r>
      <w:r>
        <w:fldChar w:fldCharType="separate"/>
      </w:r>
      <w:r>
        <w:t>9</w:t>
      </w:r>
      <w:r>
        <w:fldChar w:fldCharType="end"/>
      </w:r>
    </w:p>
    <w:p>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_Toc161198668 \h </w:instrText>
      </w:r>
      <w:r>
        <w:fldChar w:fldCharType="separate"/>
      </w:r>
      <w:r>
        <w:t>10</w:t>
      </w:r>
      <w:r>
        <w:fldChar w:fldCharType="end"/>
      </w:r>
    </w:p>
    <w:p>
      <w:pPr>
        <w:pStyle w:val="TOC8"/>
        <w:rPr>
          <w:sz w:val="24"/>
          <w:szCs w:val="24"/>
        </w:rPr>
      </w:pPr>
      <w:r>
        <w:rPr>
          <w:szCs w:val="24"/>
        </w:rPr>
        <w:t>6G.</w:t>
      </w:r>
      <w:r>
        <w:rPr>
          <w:szCs w:val="24"/>
        </w:rPr>
        <w:tab/>
        <w:t>Content of receipts</w:t>
      </w:r>
      <w:r>
        <w:tab/>
      </w:r>
      <w:r>
        <w:fldChar w:fldCharType="begin"/>
      </w:r>
      <w:r>
        <w:instrText xml:space="preserve"> PAGEREF _Toc161198669 \h </w:instrText>
      </w:r>
      <w:r>
        <w:fldChar w:fldCharType="separate"/>
      </w:r>
      <w:r>
        <w:t>10</w:t>
      </w:r>
      <w:r>
        <w:fldChar w:fldCharType="end"/>
      </w:r>
    </w:p>
    <w:p>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_Toc161198670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_Toc161198671 \h </w:instrText>
      </w:r>
      <w:r>
        <w:fldChar w:fldCharType="separate"/>
      </w:r>
      <w:r>
        <w:t>11</w:t>
      </w:r>
      <w:r>
        <w:fldChar w:fldCharType="end"/>
      </w:r>
    </w:p>
    <w:p>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_Toc161198672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_Toc161198673 \h </w:instrText>
      </w:r>
      <w:r>
        <w:fldChar w:fldCharType="separate"/>
      </w:r>
      <w:r>
        <w:t>14</w:t>
      </w:r>
      <w:r>
        <w:fldChar w:fldCharType="end"/>
      </w:r>
    </w:p>
    <w:p>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_Toc161198674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_Toc161198675 \h </w:instrText>
      </w:r>
      <w:r>
        <w:fldChar w:fldCharType="separate"/>
      </w:r>
      <w:r>
        <w:t>14</w:t>
      </w:r>
      <w:r>
        <w:fldChar w:fldCharType="end"/>
      </w:r>
    </w:p>
    <w:p>
      <w:pPr>
        <w:pStyle w:val="TOC8"/>
        <w:rPr>
          <w:sz w:val="24"/>
          <w:szCs w:val="24"/>
        </w:rPr>
      </w:pPr>
      <w:r>
        <w:rPr>
          <w:szCs w:val="24"/>
        </w:rPr>
        <w:lastRenderedPageBreak/>
        <w:t>9</w:t>
      </w:r>
      <w:r>
        <w:rPr>
          <w:snapToGrid w:val="0"/>
          <w:szCs w:val="24"/>
        </w:rPr>
        <w:t>.</w:t>
      </w:r>
      <w:r>
        <w:rPr>
          <w:snapToGrid w:val="0"/>
          <w:szCs w:val="24"/>
        </w:rPr>
        <w:tab/>
        <w:t>Recovery of fees, fines and costs</w:t>
      </w:r>
      <w:r>
        <w:tab/>
      </w:r>
      <w:r>
        <w:fldChar w:fldCharType="begin"/>
      </w:r>
      <w:r>
        <w:instrText xml:space="preserve"> PAGEREF _Toc161198676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_Toc161198677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_Toc161198678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_Toc161198679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_Toc161198680 \h </w:instrText>
      </w:r>
      <w:r>
        <w:fldChar w:fldCharType="separate"/>
      </w:r>
      <w:r>
        <w:t>16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1A — Professional development subjects</w:t>
      </w:r>
    </w:p>
    <w:p>
      <w:pPr>
        <w:pStyle w:val="TOC4"/>
        <w:tabs>
          <w:tab w:val="right" w:leader="dot" w:pos="7086"/>
        </w:tabs>
        <w:rPr>
          <w:b w:val="0"/>
          <w:sz w:val="24"/>
          <w:szCs w:val="24"/>
        </w:rPr>
      </w:pPr>
      <w:r>
        <w:rPr>
          <w:szCs w:val="24"/>
        </w:rPr>
        <w:t>Division 1</w:t>
      </w:r>
      <w:r>
        <w:rPr>
          <w:b w:val="0"/>
          <w:szCs w:val="24"/>
        </w:rPr>
        <w:t> — </w:t>
      </w:r>
      <w:r>
        <w:rPr>
          <w:szCs w:val="24"/>
        </w:rPr>
        <w:t>Mandatory professional development subjects</w:t>
      </w:r>
    </w:p>
    <w:p>
      <w:pPr>
        <w:pStyle w:val="TOC4"/>
        <w:tabs>
          <w:tab w:val="right" w:leader="dot" w:pos="7086"/>
        </w:tabs>
        <w:rPr>
          <w:b w:val="0"/>
          <w:sz w:val="24"/>
          <w:szCs w:val="24"/>
        </w:rPr>
      </w:pPr>
      <w:r>
        <w:rPr>
          <w:szCs w:val="24"/>
        </w:rPr>
        <w:t>Division 2</w:t>
      </w:r>
      <w:r>
        <w:rPr>
          <w:b w:val="0"/>
          <w:szCs w:val="24"/>
        </w:rPr>
        <w:t> — </w:t>
      </w:r>
      <w:r>
        <w:rPr>
          <w:szCs w:val="24"/>
        </w:rPr>
        <w:t>Elective professional development subjects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_Toc161198687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1" w:name="_Toc848593"/>
      <w:bookmarkStart w:id="2" w:name="_Toc3274242"/>
      <w:bookmarkStart w:id="3" w:name="_Toc3621791"/>
      <w:bookmarkStart w:id="4" w:name="_Toc93113960"/>
      <w:bookmarkStart w:id="5" w:name="_Toc161198653"/>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848594"/>
      <w:bookmarkStart w:id="7" w:name="_Toc3274243"/>
      <w:bookmarkStart w:id="8" w:name="_Toc3621792"/>
      <w:bookmarkStart w:id="9" w:name="_Toc93113961"/>
      <w:bookmarkStart w:id="10" w:name="_Toc161198654"/>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1" w:name="_Toc848595"/>
      <w:bookmarkStart w:id="12" w:name="_Toc3274244"/>
      <w:bookmarkStart w:id="13" w:name="_Toc3621793"/>
      <w:bookmarkStart w:id="14" w:name="_Toc93113962"/>
      <w:bookmarkStart w:id="15" w:name="_Toc161198655"/>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common seal of the Board shall be in the form of a circular embossment inscribed with the passage “Real Estate and Business Agents Supervisory Board —Western Australia” </w:t>
      </w:r>
      <w:r>
        <w:rPr>
          <w:snapToGrid w:val="0"/>
        </w:rPr>
        <w:lastRenderedPageBreak/>
        <w:t>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6" w:name="_Toc848596"/>
      <w:bookmarkStart w:id="17" w:name="_Toc3274245"/>
      <w:bookmarkStart w:id="18" w:name="_Toc3621794"/>
      <w:bookmarkStart w:id="19" w:name="_Toc93113963"/>
      <w:bookmarkStart w:id="20" w:name="_Toc161198656"/>
      <w:r>
        <w:rPr>
          <w:rStyle w:val="CharSectno"/>
        </w:rPr>
        <w:t>4</w:t>
      </w:r>
      <w:r>
        <w:rPr>
          <w:snapToGrid w:val="0"/>
        </w:rPr>
        <w:t>.</w:t>
      </w:r>
      <w:r>
        <w:rPr>
          <w:snapToGrid w:val="0"/>
        </w:rPr>
        <w:tab/>
        <w:t>Fees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1" w:name="_Toc848597"/>
      <w:bookmarkStart w:id="22" w:name="_Toc3274246"/>
      <w:bookmarkStart w:id="23" w:name="_Toc3621795"/>
      <w:bookmarkStart w:id="24" w:name="_Toc93113964"/>
      <w:bookmarkStart w:id="25" w:name="_Toc161198657"/>
      <w:r>
        <w:rPr>
          <w:rStyle w:val="CharSectno"/>
        </w:rPr>
        <w:t>4A</w:t>
      </w:r>
      <w:r>
        <w:rPr>
          <w:snapToGrid w:val="0"/>
        </w:rPr>
        <w:t>.</w:t>
      </w:r>
      <w:r>
        <w:rPr>
          <w:snapToGrid w:val="0"/>
        </w:rPr>
        <w:tab/>
        <w:t>Holding fee</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lastRenderedPageBreak/>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pPr>
      <w:bookmarkStart w:id="26" w:name="_Toc161198658"/>
      <w:bookmarkStart w:id="27" w:name="_Toc848598"/>
      <w:bookmarkStart w:id="28" w:name="_Toc3274247"/>
      <w:bookmarkStart w:id="29" w:name="_Toc3621796"/>
      <w:bookmarkStart w:id="30" w:name="_Toc93113965"/>
      <w:r>
        <w:rPr>
          <w:rStyle w:val="CharSectno"/>
        </w:rPr>
        <w:t>4AA</w:t>
      </w:r>
      <w:r>
        <w:t>.</w:t>
      </w:r>
      <w:r>
        <w:tab/>
        <w:t>Prescribed educational requirements for agents</w:t>
      </w:r>
      <w:bookmarkEnd w:id="26"/>
    </w:p>
    <w:p>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each of the 3 years of the preceding period — </w:t>
      </w:r>
    </w:p>
    <w:p>
      <w:pPr>
        <w:pStyle w:val="Indenta"/>
      </w:pPr>
      <w:r>
        <w:tab/>
        <w:t>(a)</w:t>
      </w:r>
      <w:r>
        <w:tab/>
        <w:t>an educational activity, approved under subregulation (3), for each of the subjects listed in Schedule 1A Division 1; and</w:t>
      </w:r>
    </w:p>
    <w:p>
      <w:pPr>
        <w:pStyle w:val="Indenta"/>
      </w:pPr>
      <w:r>
        <w:tab/>
        <w:t>(b)</w:t>
      </w:r>
      <w:r>
        <w:tab/>
        <w:t>an educational activity, approved under subregulation (3), for any of the subjects listed in Schedule 1A Division 2,</w:t>
      </w:r>
    </w:p>
    <w:p>
      <w:pPr>
        <w:pStyle w:val="Subsection"/>
      </w:pPr>
      <w:r>
        <w:tab/>
      </w:r>
      <w:r>
        <w:tab/>
        <w:t>so that the total value of the activities undertaken, calculated in accordance with subregulations (7) and (8), is 10 points or more.</w:t>
      </w:r>
    </w:p>
    <w:p>
      <w:pPr>
        <w:pStyle w:val="Subsection"/>
      </w:pPr>
      <w:r>
        <w:tab/>
        <w:t>(2)</w:t>
      </w:r>
      <w:r>
        <w:tab/>
        <w:t xml:space="preserve">In subregulation (1) — </w:t>
      </w:r>
    </w:p>
    <w:p>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p>
    <w:p>
      <w:pPr>
        <w:pStyle w:val="Indenta"/>
      </w:pPr>
      <w:r>
        <w:tab/>
        <w:t>(c)</w:t>
      </w:r>
      <w:r>
        <w:tab/>
        <w:t>viewing of a specified recording;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(4)</w:t>
      </w:r>
      <w:r>
        <w:tab/>
        <w:t xml:space="preserve">In subregulation (3) — </w:t>
      </w:r>
    </w:p>
    <w:p>
      <w:pPr>
        <w:pStyle w:val="Defstart"/>
      </w:pPr>
      <w:r>
        <w:rPr>
          <w:b/>
        </w:rPr>
        <w:tab/>
        <w:t>“</w:t>
      </w:r>
      <w:r>
        <w:rPr>
          <w:rStyle w:val="CharDefText"/>
        </w:rPr>
        <w:t>specified</w:t>
      </w:r>
      <w:r>
        <w:rPr>
          <w:b/>
        </w:rPr>
        <w:t>”</w:t>
      </w:r>
      <w:r>
        <w:t xml:space="preserve"> means specified by the Board in the notice published under subregulation (5).</w:t>
      </w:r>
    </w:p>
    <w:p>
      <w:pPr>
        <w:pStyle w:val="Subsection"/>
      </w:pPr>
      <w:r>
        <w:tab/>
        <w:t>(5)</w:t>
      </w:r>
      <w:r>
        <w:tab/>
        <w:t>The Board is to publish notice of an approval under subregulation (3) on its website.</w:t>
      </w:r>
    </w:p>
    <w:p>
      <w:pPr>
        <w:pStyle w:val="Subsection"/>
      </w:pPr>
      <w:r>
        <w:tab/>
        <w:t>(6)</w:t>
      </w:r>
      <w:r>
        <w:tab/>
        <w:t>An approval under subregulation (3) may apply in relation to all licensees or to any class of licensees.</w:t>
      </w:r>
    </w:p>
    <w:p>
      <w:pPr>
        <w:pStyle w:val="Subsection"/>
      </w:pPr>
      <w:r>
        <w:tab/>
        <w:t>(7)</w:t>
      </w:r>
      <w:r>
        <w:tab/>
        <w:t xml:space="preserve">The value of an educational activity is measured in points and points accrue at the rate of — </w:t>
      </w:r>
    </w:p>
    <w:p>
      <w:pPr>
        <w:pStyle w:val="Indenta"/>
      </w:pPr>
      <w:r>
        <w:tab/>
        <w:t>(a)</w:t>
      </w:r>
      <w:r>
        <w:tab/>
        <w:t>0.5 points per half hour spent engaged in an activity of a kind referred to in subregulation (3)(a) or (b); and</w:t>
      </w:r>
    </w:p>
    <w:p>
      <w:pPr>
        <w:pStyle w:val="Indenta"/>
      </w:pPr>
      <w:r>
        <w:tab/>
        <w:t>(b)</w:t>
      </w:r>
      <w:r>
        <w:tab/>
        <w:t>0.5 points per hour spent engaged in an activity of a kind referred to in subregulation (3)(c) or (d).</w:t>
      </w:r>
    </w:p>
    <w:p>
      <w:pPr>
        <w:pStyle w:val="Subsection"/>
      </w:pPr>
      <w:r>
        <w:tab/>
        <w:t>(8)</w:t>
      </w:r>
      <w:r>
        <w:tab/>
        <w:t xml:space="preserve">The maximum number of points that a person can accrue in a year by undertaking educational activities of a kind referred to in subregulation (3)(c) or (d) is — </w:t>
      </w:r>
    </w:p>
    <w:p>
      <w:pPr>
        <w:pStyle w:val="Indenta"/>
      </w:pPr>
      <w:r>
        <w:tab/>
        <w:t>(a)</w:t>
      </w:r>
      <w:r>
        <w:tab/>
        <w:t>6 points if the person’s principal place of business is more than 100 km from Perth, Kalgoorlie, Geraldton, Albany, Bunbury and Busselton; or</w:t>
      </w:r>
    </w:p>
    <w:p>
      <w:pPr>
        <w:pStyle w:val="Indenta"/>
      </w:pPr>
      <w:r>
        <w:tab/>
        <w:t>(b)</w:t>
      </w:r>
      <w:r>
        <w:tab/>
        <w:t>3 points in any other case.</w:t>
      </w:r>
    </w:p>
    <w:p>
      <w:pPr>
        <w:pStyle w:val="Footnotesection"/>
      </w:pPr>
      <w:r>
        <w:tab/>
        <w:t>[Regulation 4AA inserted in Gazette 6 Feb 2007 p. 307-9; amended in Gazette 9 Mar 2007 p. 848.]</w:t>
      </w:r>
    </w:p>
    <w:p>
      <w:pPr>
        <w:pStyle w:val="Heading5"/>
        <w:rPr>
          <w:snapToGrid w:val="0"/>
        </w:rPr>
      </w:pPr>
      <w:bookmarkStart w:id="31" w:name="_Toc161198659"/>
      <w:r>
        <w:rPr>
          <w:rStyle w:val="CharSectno"/>
        </w:rPr>
        <w:t>4B</w:t>
      </w:r>
      <w:r>
        <w:rPr>
          <w:snapToGrid w:val="0"/>
        </w:rPr>
        <w:t>.</w:t>
      </w:r>
      <w:r>
        <w:rPr>
          <w:snapToGrid w:val="0"/>
        </w:rPr>
        <w:tab/>
        <w:t>Prescribed periods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2" w:name="_Toc848599"/>
      <w:bookmarkStart w:id="33" w:name="_Toc3274248"/>
      <w:bookmarkStart w:id="34" w:name="_Toc3621797"/>
      <w:bookmarkStart w:id="35" w:name="_Toc93113966"/>
      <w:bookmarkStart w:id="36" w:name="_Toc161198660"/>
      <w:r>
        <w:rPr>
          <w:rStyle w:val="CharSectno"/>
        </w:rPr>
        <w:t>5</w:t>
      </w:r>
      <w:r>
        <w:rPr>
          <w:snapToGrid w:val="0"/>
        </w:rPr>
        <w:t>.</w:t>
      </w:r>
      <w:r>
        <w:rPr>
          <w:snapToGrid w:val="0"/>
        </w:rPr>
        <w:tab/>
        <w:t xml:space="preserve">Notice of application for </w:t>
      </w:r>
      <w:bookmarkEnd w:id="32"/>
      <w:r>
        <w:rPr>
          <w:snapToGrid w:val="0"/>
        </w:rPr>
        <w:t>licence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37" w:name="_Toc93113967"/>
      <w:bookmarkStart w:id="38" w:name="_Toc161198661"/>
      <w:bookmarkStart w:id="39" w:name="_Toc848601"/>
      <w:bookmarkStart w:id="40" w:name="_Toc3274250"/>
      <w:bookmarkStart w:id="41" w:name="_Toc3621799"/>
      <w:r>
        <w:rPr>
          <w:rStyle w:val="CharSectno"/>
        </w:rPr>
        <w:t>6</w:t>
      </w:r>
      <w:r>
        <w:t>.</w:t>
      </w:r>
      <w:r>
        <w:tab/>
        <w:t>Prescribed examinations</w:t>
      </w:r>
      <w:bookmarkEnd w:id="37"/>
      <w:bookmarkEnd w:id="38"/>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42" w:name="_Toc93113968"/>
      <w:bookmarkStart w:id="43" w:name="_Toc161198662"/>
      <w:bookmarkStart w:id="44" w:name="_Toc848602"/>
      <w:bookmarkStart w:id="45" w:name="_Toc3274251"/>
      <w:bookmarkStart w:id="46" w:name="_Toc3621800"/>
      <w:bookmarkEnd w:id="39"/>
      <w:bookmarkEnd w:id="40"/>
      <w:bookmarkEnd w:id="41"/>
      <w:r>
        <w:rPr>
          <w:rStyle w:val="CharSectno"/>
        </w:rPr>
        <w:t>6A</w:t>
      </w:r>
      <w:r>
        <w:t>.</w:t>
      </w:r>
      <w:r>
        <w:tab/>
        <w:t>Prescribed qualifications for sales representatives</w:t>
      </w:r>
      <w:bookmarkEnd w:id="42"/>
      <w:bookmarkEnd w:id="43"/>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47" w:name="_Toc93113969"/>
      <w:bookmarkStart w:id="48" w:name="_Toc161198663"/>
      <w:r>
        <w:rPr>
          <w:rStyle w:val="CharSectno"/>
        </w:rPr>
        <w:t>6B</w:t>
      </w:r>
      <w:r>
        <w:rPr>
          <w:snapToGrid w:val="0"/>
        </w:rPr>
        <w:t>.</w:t>
      </w:r>
      <w:r>
        <w:rPr>
          <w:snapToGrid w:val="0"/>
        </w:rPr>
        <w:tab/>
        <w:t>Grant of certificate of registration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 xml:space="preserve">[Regulation 6B inserted in Gazette 8 May 1987 p. 2103; amended in Gazette 30 Oct 1987 p. 4047; 12 Aug 1988 p. 2770; 7 Feb 2003 p. 386-7; 30 Dec 2004 p. 6924; 17 Nov 2006 p. 4760.] </w:t>
      </w:r>
    </w:p>
    <w:p>
      <w:pPr>
        <w:pStyle w:val="Heading5"/>
        <w:rPr>
          <w:snapToGrid w:val="0"/>
        </w:rPr>
      </w:pPr>
      <w:bookmarkStart w:id="49" w:name="_Toc848603"/>
      <w:bookmarkStart w:id="50" w:name="_Toc3274252"/>
      <w:bookmarkStart w:id="51" w:name="_Toc3621801"/>
      <w:bookmarkStart w:id="52" w:name="_Toc93113970"/>
      <w:bookmarkStart w:id="53" w:name="_Toc161198664"/>
      <w:r>
        <w:rPr>
          <w:rStyle w:val="CharSectno"/>
        </w:rPr>
        <w:t>6BA</w:t>
      </w:r>
      <w:r>
        <w:rPr>
          <w:snapToGrid w:val="0"/>
        </w:rPr>
        <w:t>.</w:t>
      </w:r>
      <w:r>
        <w:rPr>
          <w:snapToGrid w:val="0"/>
        </w:rPr>
        <w:tab/>
        <w:t>Requirements for appointment to act as an agent</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54" w:name="_Toc848604"/>
      <w:bookmarkStart w:id="55" w:name="_Toc3274253"/>
      <w:bookmarkStart w:id="56" w:name="_Toc3621802"/>
      <w:bookmarkStart w:id="57" w:name="_Toc93113971"/>
      <w:bookmarkStart w:id="58" w:name="_Toc161198665"/>
      <w:r>
        <w:rPr>
          <w:rStyle w:val="CharSectno"/>
        </w:rPr>
        <w:t>6C</w:t>
      </w:r>
      <w:r>
        <w:rPr>
          <w:snapToGrid w:val="0"/>
        </w:rPr>
        <w:t>.</w:t>
      </w:r>
      <w:r>
        <w:rPr>
          <w:snapToGrid w:val="0"/>
        </w:rPr>
        <w:tab/>
        <w:t>Definition of “authorised financial institution” — prescribed classes</w:t>
      </w:r>
      <w:bookmarkEnd w:id="54"/>
      <w:bookmarkEnd w:id="55"/>
      <w:bookmarkEnd w:id="56"/>
      <w:bookmarkEnd w:id="57"/>
      <w:bookmarkEnd w:id="58"/>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59" w:name="_Toc848605"/>
      <w:bookmarkStart w:id="60" w:name="_Toc3274254"/>
      <w:bookmarkStart w:id="61" w:name="_Toc3621803"/>
      <w:bookmarkStart w:id="62" w:name="_Toc93113972"/>
      <w:bookmarkStart w:id="63" w:name="_Toc161198666"/>
      <w:r>
        <w:rPr>
          <w:rStyle w:val="CharSectno"/>
        </w:rPr>
        <w:t>6D</w:t>
      </w:r>
      <w:r>
        <w:rPr>
          <w:snapToGrid w:val="0"/>
        </w:rPr>
        <w:t>.</w:t>
      </w:r>
      <w:r>
        <w:rPr>
          <w:snapToGrid w:val="0"/>
        </w:rPr>
        <w:tab/>
        <w:t>Designation of trust accounts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64" w:name="_Toc848606"/>
      <w:bookmarkStart w:id="65" w:name="_Toc3274255"/>
      <w:bookmarkStart w:id="66" w:name="_Toc3621804"/>
      <w:bookmarkStart w:id="67" w:name="_Toc93113973"/>
      <w:bookmarkStart w:id="68" w:name="_Toc161198667"/>
      <w:r>
        <w:rPr>
          <w:rStyle w:val="CharSectno"/>
        </w:rPr>
        <w:t>6E</w:t>
      </w:r>
      <w:r>
        <w:rPr>
          <w:snapToGrid w:val="0"/>
        </w:rPr>
        <w:t>.</w:t>
      </w:r>
      <w:r>
        <w:rPr>
          <w:snapToGrid w:val="0"/>
        </w:rPr>
        <w:tab/>
        <w:t>Prescribed requirements for separate accounts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69" w:name="_Toc848607"/>
      <w:bookmarkStart w:id="70" w:name="_Toc3274256"/>
      <w:bookmarkStart w:id="71" w:name="_Toc3621805"/>
      <w:bookmarkStart w:id="72" w:name="_Toc93113974"/>
      <w:bookmarkStart w:id="73" w:name="_Toc161198668"/>
      <w:r>
        <w:rPr>
          <w:rStyle w:val="CharSectno"/>
        </w:rPr>
        <w:t>6F</w:t>
      </w:r>
      <w:r>
        <w:rPr>
          <w:snapToGrid w:val="0"/>
        </w:rPr>
        <w:t>.</w:t>
      </w:r>
      <w:r>
        <w:rPr>
          <w:snapToGrid w:val="0"/>
        </w:rPr>
        <w:tab/>
        <w:t>Interest payable on trust accounts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74" w:name="_Toc848608"/>
      <w:bookmarkStart w:id="75" w:name="_Toc3274257"/>
      <w:bookmarkStart w:id="76" w:name="_Toc3621806"/>
      <w:bookmarkStart w:id="77" w:name="_Toc93113975"/>
      <w:bookmarkStart w:id="78" w:name="_Toc161198669"/>
      <w:r>
        <w:rPr>
          <w:rStyle w:val="CharSectno"/>
        </w:rPr>
        <w:t>6G</w:t>
      </w:r>
      <w:r>
        <w:t>.</w:t>
      </w:r>
      <w:r>
        <w:tab/>
        <w:t>Content of receipts</w:t>
      </w:r>
      <w:bookmarkEnd w:id="74"/>
      <w:bookmarkEnd w:id="75"/>
      <w:bookmarkEnd w:id="76"/>
      <w:bookmarkEnd w:id="77"/>
      <w:bookmarkEnd w:id="78"/>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79" w:name="_Toc848609"/>
      <w:bookmarkStart w:id="80" w:name="_Toc3274258"/>
      <w:bookmarkStart w:id="81" w:name="_Toc3621807"/>
      <w:bookmarkStart w:id="82" w:name="_Toc93113976"/>
      <w:bookmarkStart w:id="83" w:name="_Toc161198670"/>
      <w:r>
        <w:rPr>
          <w:rStyle w:val="CharSectno"/>
        </w:rPr>
        <w:t>6H</w:t>
      </w:r>
      <w:r>
        <w:rPr>
          <w:snapToGrid w:val="0"/>
        </w:rPr>
        <w:t>.</w:t>
      </w:r>
      <w:r>
        <w:rPr>
          <w:snapToGrid w:val="0"/>
        </w:rPr>
        <w:tab/>
        <w:t>Records under section 69(1)(b)</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84" w:name="_Toc848610"/>
      <w:bookmarkStart w:id="85" w:name="_Toc3274259"/>
      <w:bookmarkStart w:id="86" w:name="_Toc3621808"/>
      <w:bookmarkStart w:id="87" w:name="_Toc93113977"/>
      <w:bookmarkStart w:id="88" w:name="_Toc161198671"/>
      <w:r>
        <w:rPr>
          <w:rStyle w:val="CharSectno"/>
        </w:rPr>
        <w:t>7</w:t>
      </w:r>
      <w:r>
        <w:rPr>
          <w:snapToGrid w:val="0"/>
        </w:rPr>
        <w:t>.</w:t>
      </w:r>
      <w:r>
        <w:rPr>
          <w:snapToGrid w:val="0"/>
        </w:rPr>
        <w:tab/>
        <w:t>Particulars to be included in registers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89" w:name="_Toc848611"/>
      <w:bookmarkStart w:id="90" w:name="_Toc3274260"/>
      <w:bookmarkStart w:id="91" w:name="_Toc3621809"/>
      <w:bookmarkStart w:id="92" w:name="_Toc93113978"/>
      <w:bookmarkStart w:id="93" w:name="_Toc16119867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94" w:name="_Toc848612"/>
      <w:bookmarkStart w:id="95" w:name="_Toc3274261"/>
      <w:bookmarkStart w:id="96" w:name="_Toc3621810"/>
      <w:bookmarkStart w:id="97" w:name="_Toc93113979"/>
      <w:bookmarkStart w:id="98" w:name="_Toc161198673"/>
      <w:r>
        <w:rPr>
          <w:rStyle w:val="CharSectno"/>
        </w:rPr>
        <w:t>7A</w:t>
      </w:r>
      <w:r>
        <w:rPr>
          <w:snapToGrid w:val="0"/>
        </w:rPr>
        <w:t>.</w:t>
      </w:r>
      <w:r>
        <w:rPr>
          <w:snapToGrid w:val="0"/>
        </w:rPr>
        <w:tab/>
        <w:t>Prescribed form of application for assistance from Home Buyers Assistance Fund</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99" w:name="_Toc848613"/>
      <w:bookmarkStart w:id="100" w:name="_Toc3274262"/>
      <w:bookmarkStart w:id="101" w:name="_Toc3621811"/>
      <w:bookmarkStart w:id="102" w:name="_Toc93113980"/>
      <w:bookmarkStart w:id="103" w:name="_Toc161198674"/>
      <w:r>
        <w:rPr>
          <w:rStyle w:val="CharSectno"/>
        </w:rPr>
        <w:t>7B</w:t>
      </w:r>
      <w:r>
        <w:rPr>
          <w:snapToGrid w:val="0"/>
        </w:rPr>
        <w:t>.</w:t>
      </w:r>
      <w:r>
        <w:rPr>
          <w:snapToGrid w:val="0"/>
        </w:rPr>
        <w:tab/>
        <w:t>Prescribed amount for purposes of section 131M(3)</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04" w:name="_Toc848614"/>
      <w:bookmarkStart w:id="105" w:name="_Toc3274263"/>
      <w:bookmarkStart w:id="106" w:name="_Toc3621812"/>
      <w:bookmarkStart w:id="107" w:name="_Toc93113981"/>
      <w:bookmarkStart w:id="108" w:name="_Toc161198675"/>
      <w:r>
        <w:rPr>
          <w:rStyle w:val="CharSectno"/>
        </w:rPr>
        <w:t>8</w:t>
      </w:r>
      <w:r>
        <w:rPr>
          <w:snapToGrid w:val="0"/>
        </w:rPr>
        <w:t>.</w:t>
      </w:r>
      <w:r>
        <w:rPr>
          <w:snapToGrid w:val="0"/>
        </w:rPr>
        <w:tab/>
        <w:t>Notice of changes in particulars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09" w:name="_Toc848615"/>
      <w:bookmarkStart w:id="110" w:name="_Toc3274264"/>
      <w:bookmarkStart w:id="111" w:name="_Toc3621813"/>
      <w:bookmarkStart w:id="112" w:name="_Toc93113982"/>
      <w:bookmarkStart w:id="113" w:name="_Toc161198676"/>
      <w:r>
        <w:rPr>
          <w:rStyle w:val="CharSectno"/>
        </w:rPr>
        <w:t>9</w:t>
      </w:r>
      <w:r>
        <w:rPr>
          <w:snapToGrid w:val="0"/>
        </w:rPr>
        <w:t>.</w:t>
      </w:r>
      <w:r>
        <w:rPr>
          <w:snapToGrid w:val="0"/>
        </w:rPr>
        <w:tab/>
        <w:t>Recovery of fees, fines and costs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14" w:name="_Toc848616"/>
      <w:bookmarkStart w:id="115" w:name="_Toc3274265"/>
      <w:bookmarkStart w:id="116" w:name="_Toc3621814"/>
      <w:r>
        <w:tab/>
        <w:t>[Regulation 9 amended in Gazette 30 Dec 2004 p. 6924.]</w:t>
      </w:r>
    </w:p>
    <w:p>
      <w:pPr>
        <w:pStyle w:val="Heading5"/>
        <w:rPr>
          <w:snapToGrid w:val="0"/>
        </w:rPr>
      </w:pPr>
      <w:bookmarkStart w:id="117" w:name="_Toc93113983"/>
      <w:bookmarkStart w:id="118" w:name="_Toc161198677"/>
      <w:r>
        <w:rPr>
          <w:rStyle w:val="CharSectno"/>
        </w:rPr>
        <w:t>10</w:t>
      </w:r>
      <w:r>
        <w:rPr>
          <w:snapToGrid w:val="0"/>
        </w:rPr>
        <w:t>.</w:t>
      </w:r>
      <w:r>
        <w:rPr>
          <w:snapToGrid w:val="0"/>
        </w:rPr>
        <w:tab/>
        <w:t>Refund to unsuccessful applicant</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19" w:name="_Toc848617"/>
      <w:bookmarkStart w:id="120" w:name="_Toc3274266"/>
      <w:bookmarkStart w:id="121" w:name="_Toc3621815"/>
      <w:bookmarkStart w:id="122" w:name="_Toc93113984"/>
      <w:bookmarkStart w:id="123" w:name="_Toc161198678"/>
      <w:r>
        <w:rPr>
          <w:rStyle w:val="CharSectno"/>
        </w:rPr>
        <w:t>11</w:t>
      </w:r>
      <w:r>
        <w:rPr>
          <w:snapToGrid w:val="0"/>
        </w:rPr>
        <w:t>.</w:t>
      </w:r>
      <w:r>
        <w:rPr>
          <w:snapToGrid w:val="0"/>
        </w:rPr>
        <w:tab/>
        <w:t>Application of Board Interest Account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24" w:name="_Toc848618"/>
      <w:bookmarkStart w:id="125" w:name="_Toc3274267"/>
      <w:bookmarkStart w:id="126" w:name="_Toc3621816"/>
      <w:bookmarkStart w:id="127" w:name="_Toc93113985"/>
      <w:bookmarkStart w:id="128" w:name="_Toc161198679"/>
      <w:r>
        <w:rPr>
          <w:rStyle w:val="CharSectno"/>
        </w:rPr>
        <w:t>12</w:t>
      </w:r>
      <w:r>
        <w:rPr>
          <w:snapToGrid w:val="0"/>
        </w:rPr>
        <w:t>.</w:t>
      </w:r>
      <w:r>
        <w:rPr>
          <w:snapToGrid w:val="0"/>
        </w:rPr>
        <w:tab/>
        <w:t>Claims against the Fidelity Fund</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29" w:name="_Toc848619"/>
      <w:bookmarkStart w:id="130" w:name="_Toc3274268"/>
      <w:bookmarkStart w:id="131" w:name="_Toc3621817"/>
      <w:bookmarkStart w:id="132" w:name="_Toc93113986"/>
      <w:bookmarkStart w:id="133" w:name="_Toc161198680"/>
      <w:r>
        <w:rPr>
          <w:rStyle w:val="CharSectno"/>
        </w:rPr>
        <w:t>13</w:t>
      </w:r>
      <w:r>
        <w:rPr>
          <w:snapToGrid w:val="0"/>
        </w:rPr>
        <w:t>.</w:t>
      </w:r>
      <w:r>
        <w:rPr>
          <w:snapToGrid w:val="0"/>
        </w:rPr>
        <w:tab/>
        <w:t>Codes of conduct</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4" w:name="_Toc151450702"/>
      <w:bookmarkStart w:id="135" w:name="_Toc151524277"/>
      <w:bookmarkStart w:id="136" w:name="_Toc158520417"/>
      <w:bookmarkStart w:id="137" w:name="_Toc161134083"/>
      <w:bookmarkStart w:id="138" w:name="_Toc161198681"/>
      <w:bookmarkStart w:id="139" w:name="_Toc3621819"/>
      <w:bookmarkStart w:id="140" w:name="_Toc93113988"/>
      <w:bookmarkStart w:id="141" w:name="_Toc110923032"/>
      <w:bookmarkStart w:id="142" w:name="_Toc110923162"/>
      <w:r>
        <w:rPr>
          <w:rStyle w:val="CharSchNo"/>
        </w:rPr>
        <w:t>Schedule 1</w:t>
      </w:r>
      <w:r>
        <w:t> — </w:t>
      </w:r>
      <w:r>
        <w:rPr>
          <w:rStyle w:val="CharSchText"/>
        </w:rPr>
        <w:t>Fees</w:t>
      </w:r>
      <w:bookmarkEnd w:id="134"/>
      <w:bookmarkEnd w:id="135"/>
      <w:bookmarkEnd w:id="136"/>
      <w:bookmarkEnd w:id="137"/>
      <w:bookmarkEnd w:id="138"/>
    </w:p>
    <w:p>
      <w:pPr>
        <w:pStyle w:val="yShoulderClause"/>
      </w:pPr>
      <w:r>
        <w:t>[r. 4, 4A]</w:t>
      </w:r>
    </w:p>
    <w:p>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first page .............................................................…….</w:t>
            </w:r>
          </w:p>
        </w:tc>
        <w:tc>
          <w:tcPr>
            <w:tcW w:w="993" w:type="dxa"/>
          </w:tcPr>
          <w:p>
            <w:pPr>
              <w:pStyle w:val="yTable"/>
              <w:tabs>
                <w:tab w:val="right" w:pos="510"/>
              </w:tabs>
            </w:pPr>
            <w:r>
              <w:tab/>
              <w:t>20</w:t>
            </w:r>
          </w:p>
        </w:tc>
      </w:tr>
      <w:tr>
        <w:tc>
          <w:tcPr>
            <w:tcW w:w="5670" w:type="dxa"/>
          </w:tcPr>
          <w:p>
            <w:pPr>
              <w:pStyle w:val="yTable"/>
              <w:tabs>
                <w:tab w:val="left" w:pos="652"/>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 xml:space="preserve">[Schedule 1 inserted in Gazette 27 Jun 2006 p. 2269-70; amended in Gazette 17 Nov 2006 p. 4760.] </w:t>
      </w:r>
    </w:p>
    <w:p>
      <w:pPr>
        <w:pStyle w:val="yScheduleHeading"/>
        <w:rPr>
          <w:rStyle w:val="CharSchNo"/>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3" w:name="_Toc151450703"/>
      <w:bookmarkStart w:id="144" w:name="_Toc151524278"/>
    </w:p>
    <w:p>
      <w:pPr>
        <w:pStyle w:val="yScheduleHeading"/>
        <w:rPr>
          <w:rStyle w:val="CharSchNo"/>
        </w:rPr>
      </w:pPr>
      <w:bookmarkStart w:id="145" w:name="_Toc158520418"/>
      <w:bookmarkStart w:id="146" w:name="_Toc161134084"/>
      <w:bookmarkStart w:id="147" w:name="_Toc161198682"/>
      <w:r>
        <w:rPr>
          <w:rStyle w:val="CharSchNo"/>
        </w:rPr>
        <w:t>Schedule 1A — Professional development subjects</w:t>
      </w:r>
      <w:bookmarkEnd w:id="145"/>
      <w:bookmarkEnd w:id="146"/>
      <w:bookmarkEnd w:id="147"/>
    </w:p>
    <w:p>
      <w:pPr>
        <w:pStyle w:val="yShoulderClause"/>
      </w:pPr>
      <w:r>
        <w:t>[r. 4AA]</w:t>
      </w:r>
    </w:p>
    <w:p>
      <w:pPr>
        <w:pStyle w:val="yFootnoteheading"/>
      </w:pPr>
      <w:r>
        <w:tab/>
        <w:t>[Heading inserted in Gazette 6 Feb 2007 p. 309.]</w:t>
      </w:r>
    </w:p>
    <w:p>
      <w:pPr>
        <w:pStyle w:val="yHeading3"/>
      </w:pPr>
      <w:bookmarkStart w:id="148" w:name="_Toc158520419"/>
      <w:bookmarkStart w:id="149" w:name="_Toc161134085"/>
      <w:bookmarkStart w:id="150" w:name="_Toc161198683"/>
      <w:r>
        <w:rPr>
          <w:rStyle w:val="CharSDivNo"/>
        </w:rPr>
        <w:t>Division 1</w:t>
      </w:r>
      <w:r>
        <w:rPr>
          <w:b w:val="0"/>
        </w:rPr>
        <w:t> — </w:t>
      </w:r>
      <w:r>
        <w:rPr>
          <w:rStyle w:val="CharSDivText"/>
        </w:rPr>
        <w:t>Mandatory professional development subjects</w:t>
      </w:r>
      <w:bookmarkEnd w:id="148"/>
      <w:bookmarkEnd w:id="149"/>
      <w:bookmarkEnd w:id="150"/>
    </w:p>
    <w:p>
      <w:pPr>
        <w:pStyle w:val="yFootnoteheading"/>
      </w:pPr>
      <w:r>
        <w:tab/>
        <w:t>[Heading inserted in Gazette 6 Feb 2007 p. 309.]</w:t>
      </w:r>
    </w:p>
    <w:p>
      <w:pPr>
        <w:pStyle w:val="yNumberedItem"/>
      </w:pPr>
      <w:r>
        <w:t>1.</w:t>
      </w:r>
      <w:r>
        <w:tab/>
        <w:t>Valid appointments</w:t>
      </w:r>
    </w:p>
    <w:p>
      <w:pPr>
        <w:pStyle w:val="yNumberedItem"/>
      </w:pPr>
      <w:r>
        <w:t>2.</w:t>
      </w:r>
      <w:r>
        <w:tab/>
        <w:t>Conflicts of interest and disclosures</w:t>
      </w:r>
    </w:p>
    <w:p>
      <w:pPr>
        <w:pStyle w:val="yNumberedItem"/>
      </w:pPr>
      <w:r>
        <w:t>3.</w:t>
      </w:r>
      <w:r>
        <w:tab/>
        <w:t>Reconciliation of trust accounts</w:t>
      </w:r>
    </w:p>
    <w:p>
      <w:pPr>
        <w:pStyle w:val="yFootnotesection"/>
      </w:pPr>
      <w:r>
        <w:tab/>
        <w:t>[Division 1 inserted in Gazette 6 Feb 2007 p. 309.]</w:t>
      </w:r>
    </w:p>
    <w:p>
      <w:pPr>
        <w:pStyle w:val="yHeading3"/>
      </w:pPr>
      <w:bookmarkStart w:id="151" w:name="_Toc158520420"/>
      <w:bookmarkStart w:id="152" w:name="_Toc161134086"/>
      <w:bookmarkStart w:id="153" w:name="_Toc161198684"/>
      <w:r>
        <w:rPr>
          <w:rStyle w:val="CharSDivNo"/>
        </w:rPr>
        <w:t>Division 2</w:t>
      </w:r>
      <w:r>
        <w:rPr>
          <w:b w:val="0"/>
        </w:rPr>
        <w:t> — </w:t>
      </w:r>
      <w:r>
        <w:rPr>
          <w:rStyle w:val="CharSDivText"/>
        </w:rPr>
        <w:t>Elective professional development subjects</w:t>
      </w:r>
      <w:bookmarkEnd w:id="151"/>
      <w:bookmarkEnd w:id="152"/>
      <w:bookmarkEnd w:id="153"/>
    </w:p>
    <w:p>
      <w:pPr>
        <w:pStyle w:val="yFootnoteheading"/>
      </w:pPr>
      <w:r>
        <w:tab/>
        <w:t>[Heading inserted in Gazette 6 Feb 2007 p. 309.]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[Division 2 inserted in Gazette 6 Feb 2007 p. 309-10.]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54" w:name="_Toc158520421"/>
      <w:bookmarkStart w:id="155" w:name="_Toc161134087"/>
      <w:bookmarkStart w:id="156" w:name="_Toc161198685"/>
      <w:r>
        <w:rPr>
          <w:rStyle w:val="CharSchNo"/>
        </w:rPr>
        <w:t>Schedule 2</w:t>
      </w:r>
      <w:bookmarkEnd w:id="139"/>
      <w:bookmarkEnd w:id="140"/>
      <w:bookmarkEnd w:id="141"/>
      <w:bookmarkEnd w:id="142"/>
      <w:bookmarkEnd w:id="143"/>
      <w:bookmarkEnd w:id="144"/>
      <w:bookmarkEnd w:id="154"/>
      <w:bookmarkEnd w:id="155"/>
      <w:bookmarkEnd w:id="156"/>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57" w:name="_Toc73408508"/>
      <w:bookmarkStart w:id="158" w:name="_Toc92795391"/>
      <w:bookmarkStart w:id="159" w:name="_Toc93113930"/>
      <w:bookmarkStart w:id="160" w:name="_Toc93113989"/>
      <w:bookmarkStart w:id="161" w:name="_Toc110923033"/>
      <w:bookmarkStart w:id="162" w:name="_Toc110923163"/>
      <w:bookmarkStart w:id="163" w:name="_Toc151450704"/>
      <w:bookmarkStart w:id="164" w:name="_Toc151524279"/>
      <w:bookmarkStart w:id="165" w:name="_Toc158520422"/>
      <w:bookmarkStart w:id="166" w:name="_Toc161134088"/>
      <w:bookmarkStart w:id="167" w:name="_Toc161198686"/>
      <w:r>
        <w:t>Notes</w:t>
      </w:r>
      <w:bookmarkEnd w:id="157"/>
      <w:bookmarkEnd w:id="158"/>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8" w:name="_Toc3621820"/>
      <w:bookmarkStart w:id="169" w:name="_Toc93113990"/>
      <w:bookmarkStart w:id="170" w:name="_Toc161198687"/>
      <w:r>
        <w:t>Compilation table</w:t>
      </w:r>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 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 xml:space="preserve">Real Estate and Business Agents (General) Amendment </w:t>
            </w:r>
            <w:bookmarkStart w:id="171" w:name="UpToHere"/>
            <w:bookmarkEnd w:id="171"/>
            <w:r>
              <w:rPr>
                <w:i/>
                <w:sz w:val="19"/>
              </w:rPr>
              <w:t>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Real Estate and Business Agents (General) Amendment Regulations 2006</w:t>
            </w:r>
          </w:p>
        </w:tc>
        <w:tc>
          <w:tcPr>
            <w:tcW w:w="1276" w:type="dxa"/>
          </w:tcPr>
          <w:p>
            <w:pPr>
              <w:pStyle w:val="nTable"/>
              <w:spacing w:before="120"/>
              <w:rPr>
                <w:sz w:val="19"/>
              </w:rPr>
            </w:pPr>
            <w:r>
              <w:rPr>
                <w:sz w:val="19"/>
              </w:rPr>
              <w:t>27 Jun 2006 p. 2269-70</w:t>
            </w:r>
          </w:p>
        </w:tc>
        <w:tc>
          <w:tcPr>
            <w:tcW w:w="2693" w:type="dxa"/>
          </w:tcPr>
          <w:p>
            <w:pPr>
              <w:pStyle w:val="nTable"/>
              <w:spacing w:before="120"/>
              <w:rPr>
                <w:sz w:val="19"/>
              </w:rPr>
            </w:pPr>
            <w:r>
              <w:rPr>
                <w:sz w:val="19"/>
              </w:rPr>
              <w:t>1 Jul 2006 (see r. 2)</w:t>
            </w:r>
          </w:p>
        </w:tc>
      </w:tr>
      <w:tr>
        <w:trPr>
          <w:cantSplit/>
        </w:trPr>
        <w:tc>
          <w:tcPr>
            <w:tcW w:w="3119" w:type="dxa"/>
          </w:tcPr>
          <w:p>
            <w:pPr>
              <w:pStyle w:val="nTable"/>
              <w:spacing w:before="120"/>
              <w:ind w:right="113"/>
              <w:rPr>
                <w:i/>
                <w:sz w:val="19"/>
              </w:rPr>
            </w:pPr>
            <w:r>
              <w:rPr>
                <w:i/>
                <w:sz w:val="19"/>
              </w:rPr>
              <w:t>Real Estate and Business Agents (General) Amendment Regulations (No. 2) 2006</w:t>
            </w:r>
          </w:p>
        </w:tc>
        <w:tc>
          <w:tcPr>
            <w:tcW w:w="1276" w:type="dxa"/>
          </w:tcPr>
          <w:p>
            <w:pPr>
              <w:pStyle w:val="nTable"/>
              <w:spacing w:before="120"/>
              <w:rPr>
                <w:sz w:val="19"/>
              </w:rPr>
            </w:pPr>
            <w:r>
              <w:rPr>
                <w:sz w:val="19"/>
              </w:rPr>
              <w:t>17 Nov 2006 p. 4759-60</w:t>
            </w:r>
          </w:p>
        </w:tc>
        <w:tc>
          <w:tcPr>
            <w:tcW w:w="2693" w:type="dxa"/>
          </w:tcPr>
          <w:p>
            <w:pPr>
              <w:pStyle w:val="nTable"/>
              <w:spacing w:before="120"/>
              <w:rPr>
                <w:sz w:val="19"/>
              </w:rPr>
            </w:pPr>
            <w:r>
              <w:rPr>
                <w:sz w:val="19"/>
              </w:rPr>
              <w:t>17 Nov 2006</w:t>
            </w:r>
          </w:p>
        </w:tc>
      </w:tr>
      <w:tr>
        <w:trPr>
          <w:cantSplit/>
        </w:trPr>
        <w:tc>
          <w:tcPr>
            <w:tcW w:w="3119" w:type="dxa"/>
          </w:tcPr>
          <w:p>
            <w:pPr>
              <w:pStyle w:val="nTable"/>
              <w:spacing w:before="120"/>
              <w:ind w:right="113"/>
              <w:rPr>
                <w:i/>
                <w:sz w:val="19"/>
              </w:rPr>
            </w:pPr>
            <w:r>
              <w:rPr>
                <w:i/>
                <w:sz w:val="19"/>
              </w:rPr>
              <w:t>Real Estate and Business Agents (General) Amendment Regulations 2007</w:t>
            </w:r>
          </w:p>
        </w:tc>
        <w:tc>
          <w:tcPr>
            <w:tcW w:w="1276" w:type="dxa"/>
          </w:tcPr>
          <w:p>
            <w:pPr>
              <w:pStyle w:val="nTable"/>
              <w:spacing w:before="120"/>
              <w:rPr>
                <w:sz w:val="19"/>
              </w:rPr>
            </w:pPr>
            <w:r>
              <w:rPr>
                <w:sz w:val="19"/>
              </w:rPr>
              <w:t>6 Feb 2007 p. 307-10</w:t>
            </w:r>
          </w:p>
        </w:tc>
        <w:tc>
          <w:tcPr>
            <w:tcW w:w="2693" w:type="dxa"/>
          </w:tcPr>
          <w:p>
            <w:pPr>
              <w:pStyle w:val="nTable"/>
              <w:spacing w:before="120"/>
              <w:rPr>
                <w:sz w:val="19"/>
              </w:rPr>
            </w:pPr>
            <w:r>
              <w:rPr>
                <w:sz w:val="19"/>
              </w:rPr>
              <w:t>6 Feb 2007</w:t>
            </w:r>
          </w:p>
        </w:tc>
      </w:tr>
      <w:tr>
        <w:trPr>
          <w:cantSplit/>
        </w:trPr>
        <w:tc>
          <w:tcPr>
            <w:tcW w:w="3119" w:type="dxa"/>
            <w:tcBorders>
              <w:bottom w:val="single" w:sz="4" w:space="0" w:color="auto"/>
            </w:tcBorders>
          </w:tcPr>
          <w:p>
            <w:pPr>
              <w:pStyle w:val="nTable"/>
              <w:spacing w:before="120"/>
              <w:ind w:right="113"/>
              <w:rPr>
                <w:i/>
                <w:sz w:val="19"/>
              </w:rPr>
            </w:pPr>
            <w:r>
              <w:rPr>
                <w:i/>
                <w:sz w:val="19"/>
              </w:rPr>
              <w:t>Real Estate and Business Agents (General) Amendment Regulations (No. 2) 2007</w:t>
            </w:r>
          </w:p>
        </w:tc>
        <w:tc>
          <w:tcPr>
            <w:tcW w:w="1276" w:type="dxa"/>
            <w:tcBorders>
              <w:bottom w:val="single" w:sz="4" w:space="0" w:color="auto"/>
            </w:tcBorders>
          </w:tcPr>
          <w:p>
            <w:pPr>
              <w:pStyle w:val="nTable"/>
              <w:spacing w:before="120"/>
              <w:rPr>
                <w:sz w:val="19"/>
              </w:rPr>
            </w:pPr>
            <w:r>
              <w:rPr>
                <w:sz w:val="19"/>
              </w:rPr>
              <w:t>9 Mar 2007 p. 847-8</w:t>
            </w:r>
          </w:p>
        </w:tc>
        <w:tc>
          <w:tcPr>
            <w:tcW w:w="2693" w:type="dxa"/>
            <w:tcBorders>
              <w:bottom w:val="single" w:sz="4" w:space="0" w:color="auto"/>
            </w:tcBorders>
          </w:tcPr>
          <w:p>
            <w:pPr>
              <w:pStyle w:val="nTable"/>
              <w:spacing w:before="120"/>
              <w:rPr>
                <w:sz w:val="19"/>
              </w:rPr>
            </w:pPr>
            <w:r>
              <w:rPr>
                <w:sz w:val="19"/>
              </w:rPr>
              <w:t>9 Mar 2007</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 — Professional development subjects</w:instrText>
            </w:r>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 — Professional development subjects</w:t>
          </w:r>
          <w:r>
            <w:rPr>
              <w:noProof/>
            </w:rPr>
            <w:cr/>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1A — Professional development subjects</w:t>
            </w:r>
            <w:r>
              <w:rPr>
                <w:noProof/>
              </w:rPr>
              <w:cr/>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250"/>
    <w:docVar w:name="WAFER_20151209114250" w:val="RemoveTrackChanges"/>
    <w:docVar w:name="WAFER_20151209114250_GUID" w:val="267b7ea8-cc74-4089-a587-4bd66bd82d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6542</Words>
  <Characters>34612</Characters>
  <Application>Microsoft Office Word</Application>
  <DocSecurity>0</DocSecurity>
  <Lines>1153</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1979 - 04-g0-04</dc:title>
  <dc:subject/>
  <dc:creator/>
  <cp:keywords/>
  <dc:description/>
  <cp:lastModifiedBy>svcMRProcess</cp:lastModifiedBy>
  <cp:revision>4</cp:revision>
  <cp:lastPrinted>2002-03-14T08:16:00Z</cp:lastPrinted>
  <dcterms:created xsi:type="dcterms:W3CDTF">2015-12-15T09:17:00Z</dcterms:created>
  <dcterms:modified xsi:type="dcterms:W3CDTF">2015-12-15T09:17:00Z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4732</vt:i4>
  </property>
  <property fmtid="{D5CDD505-2E9C-101B-9397-08002B2CF9AE}" pid="6" name="AsAtDate">
    <vt:lpwstr>09 Mar 2007</vt:lpwstr>
  </property>
  <property fmtid="{D5CDD505-2E9C-101B-9397-08002B2CF9AE}" pid="7" name="Suffix">
    <vt:lpwstr>04-g0-04</vt:lpwstr>
  </property>
</Properties>
</file>