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(Ngalingkadji Restricted Area)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_Toc4065671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_Toc4065672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Ngalingkadji Aboriginal Community</w:t>
      </w:r>
      <w:r>
        <w:tab/>
      </w:r>
      <w:r>
        <w:fldChar w:fldCharType="begin"/>
      </w:r>
      <w:r>
        <w:instrText xml:space="preserve"> PAGEREF _Toc4065673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_Toc4065674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_Toc4065675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_Toc4065676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Ngalingkadji Aboriginal Community</w:t>
      </w:r>
      <w:r>
        <w:tab/>
      </w:r>
      <w:r>
        <w:fldChar w:fldCharType="begin"/>
      </w:r>
      <w:r>
        <w:instrText xml:space="preserve"> PAGEREF _Toc4065677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_Toc4065678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_Toc4065679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_Toc4065681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(Ngalingkadji Restricted Area) Regulations 2016</w:t>
      </w:r>
    </w:p>
    <w:p>
      <w:pPr>
        <w:pStyle w:val="Heading5"/>
      </w:pPr>
      <w:bookmarkStart w:id="3" w:name="_Toc4065671"/>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5" w:name="_Toc406567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065673"/>
      <w:r>
        <w:rPr>
          <w:rStyle w:val="CharSectno"/>
        </w:rPr>
        <w:t>3</w:t>
      </w:r>
      <w:r>
        <w:t>.</w:t>
      </w:r>
      <w:r>
        <w:tab/>
        <w:t>Term used: Ngalingkadji Aboriginal Community</w:t>
      </w:r>
      <w:bookmarkEnd w:id="6"/>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Heading5"/>
      </w:pPr>
      <w:bookmarkStart w:id="7" w:name="_Toc4065674"/>
      <w:r>
        <w:rPr>
          <w:rStyle w:val="CharSectno"/>
        </w:rPr>
        <w:t>4</w:t>
      </w:r>
      <w:r>
        <w:t>.</w:t>
      </w:r>
      <w:r>
        <w:tab/>
        <w:t>Note is not part of regulation</w:t>
      </w:r>
      <w:bookmarkEnd w:id="7"/>
    </w:p>
    <w:p>
      <w:pPr>
        <w:pStyle w:val="Subsection"/>
      </w:pPr>
      <w:r>
        <w:tab/>
      </w:r>
      <w:r>
        <w:tab/>
        <w:t>The note for regulation 9 does not form part of these regulations.</w:t>
      </w:r>
    </w:p>
    <w:p>
      <w:pPr>
        <w:pStyle w:val="Heading5"/>
      </w:pPr>
      <w:bookmarkStart w:id="8" w:name="_Toc4065675"/>
      <w:r>
        <w:rPr>
          <w:rStyle w:val="CharSectno"/>
        </w:rPr>
        <w:t>5</w:t>
      </w:r>
      <w:r>
        <w:t>.</w:t>
      </w:r>
      <w:r>
        <w:tab/>
        <w:t>Declaration of restricted area</w:t>
      </w:r>
      <w:bookmarkEnd w:id="8"/>
    </w:p>
    <w:p>
      <w:pPr>
        <w:pStyle w:val="Subsection"/>
      </w:pPr>
      <w:r>
        <w:tab/>
      </w:r>
      <w:r>
        <w:tab/>
        <w:t>The Ngalingkadji Aboriginal Community is declared to be a restricted area for the purposes of section 175(1a) of the Act.</w:t>
      </w:r>
    </w:p>
    <w:p>
      <w:pPr>
        <w:pStyle w:val="Heading5"/>
      </w:pPr>
      <w:bookmarkStart w:id="9" w:name="_Toc4065676"/>
      <w:r>
        <w:rPr>
          <w:rStyle w:val="CharSectno"/>
        </w:rPr>
        <w:t>6</w:t>
      </w:r>
      <w:r>
        <w:t>.</w:t>
      </w:r>
      <w:r>
        <w:tab/>
        <w:t>Notice of restricted area</w:t>
      </w:r>
      <w:bookmarkEnd w:id="9"/>
    </w:p>
    <w:p>
      <w:pPr>
        <w:pStyle w:val="Subsection"/>
      </w:pPr>
      <w:r>
        <w:tab/>
        <w:t>(1)</w:t>
      </w:r>
      <w:r>
        <w:tab/>
        <w:t>The Director of Liquor Licensing must take all reasonable steps to cause to be posted, and while the Ngalingkadji Aboriginal 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4065677"/>
      <w:r>
        <w:rPr>
          <w:rStyle w:val="CharSectno"/>
        </w:rPr>
        <w:t>7</w:t>
      </w:r>
      <w:r>
        <w:t>.</w:t>
      </w:r>
      <w:r>
        <w:tab/>
        <w:t>Prohibitions as to liquor in the Ngalingkadji Aboriginal Community</w:t>
      </w:r>
      <w:bookmarkEnd w:id="10"/>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4065678"/>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4065679"/>
      <w:r>
        <w:rPr>
          <w:rStyle w:val="CharSectno"/>
        </w:rPr>
        <w:t>9</w:t>
      </w:r>
      <w:r>
        <w:t>.</w:t>
      </w:r>
      <w:r>
        <w:tab/>
        <w:t>Period during which these regulations have effect</w:t>
      </w:r>
      <w:bookmarkEnd w:id="12"/>
    </w:p>
    <w:p>
      <w:pPr>
        <w:pStyle w:val="Subsection"/>
      </w:pPr>
      <w:r>
        <w:tab/>
      </w:r>
      <w:r>
        <w:tab/>
        <w:t>Unless sooner repealed, these regulations have effect for the period that ends at the close of 1 April 2022.</w:t>
      </w:r>
    </w:p>
    <w:p>
      <w:pPr>
        <w:pStyle w:val="PermNoteHeading"/>
      </w:pPr>
      <w:r>
        <w:tab/>
        <w:t>Note for this regulation:</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Gazette 22 Mar 2019 p. 859.]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28" w:gutter="0"/>
          <w:pgNumType w:start="1"/>
          <w:cols w:space="720"/>
          <w:noEndnote/>
          <w:titlePg/>
        </w:sectPr>
      </w:pPr>
    </w:p>
    <w:p>
      <w:pPr>
        <w:pStyle w:val="nHeading2"/>
      </w:pPr>
      <w:bookmarkStart w:id="13" w:name="_Toc4059437"/>
      <w:bookmarkStart w:id="14" w:name="_Toc4061634"/>
      <w:bookmarkStart w:id="15" w:name="_Toc4065680"/>
      <w:r>
        <w:t>Notes</w:t>
      </w:r>
      <w:bookmarkEnd w:id="13"/>
      <w:bookmarkEnd w:id="14"/>
      <w:bookmarkEnd w:id="15"/>
    </w:p>
    <w:p>
      <w:pPr>
        <w:pStyle w:val="nSubsection"/>
      </w:pPr>
      <w:r>
        <w:rPr>
          <w:vertAlign w:val="superscript"/>
        </w:rPr>
        <w:t>1</w:t>
      </w:r>
      <w:r>
        <w:tab/>
        <w:t xml:space="preserve">This is a compilation of the </w:t>
      </w:r>
      <w:r>
        <w:rPr>
          <w:i/>
          <w:noProof/>
        </w:rPr>
        <w:t xml:space="preserve">Liquor Control (Ngalingkadji Restricted Area) Regulations 2016 </w:t>
      </w:r>
      <w:r>
        <w:rPr>
          <w:snapToGrid w:val="0"/>
        </w:rPr>
        <w:t>and includes the amendments made by the other written laws referred to in the following table</w:t>
      </w:r>
      <w:r>
        <w:t> </w:t>
      </w:r>
      <w:r>
        <w:rPr>
          <w:vertAlign w:val="superscript"/>
        </w:rPr>
        <w:t>2</w:t>
      </w:r>
      <w:r>
        <w:t>.</w:t>
      </w:r>
    </w:p>
    <w:p>
      <w:pPr>
        <w:pStyle w:val="nHeading3"/>
      </w:pPr>
      <w:bookmarkStart w:id="16" w:name="_Toc4065681"/>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(Ngalingkadji Restricted Area) Regulations 2016</w:t>
            </w:r>
          </w:p>
        </w:tc>
        <w:tc>
          <w:tcPr>
            <w:tcW w:w="1276" w:type="dxa"/>
            <w:tcBorders>
              <w:bottom w:val="nil"/>
            </w:tcBorders>
          </w:tcPr>
          <w:p>
            <w:pPr>
              <w:pStyle w:val="nTable"/>
              <w:spacing w:after="40"/>
            </w:pPr>
            <w:r>
              <w:t>8 Apr 2016 p. 1099</w:t>
            </w:r>
            <w:r>
              <w:noBreakHyphen/>
              <w:t>1100</w:t>
            </w:r>
          </w:p>
        </w:tc>
        <w:tc>
          <w:tcPr>
            <w:tcW w:w="2693" w:type="dxa"/>
            <w:tcBorders>
              <w:bottom w:val="nil"/>
            </w:tcBorders>
          </w:tcPr>
          <w:p>
            <w:pPr>
              <w:pStyle w:val="nTable"/>
              <w:spacing w:after="40"/>
            </w:pPr>
            <w:r>
              <w:rPr>
                <w:bCs/>
                <w:snapToGrid w:val="0"/>
                <w:spacing w:val="-2"/>
              </w:rPr>
              <w:t>r. 1 and 2: 8 Apr 2016 (see r. 2(a));</w:t>
            </w:r>
            <w:r>
              <w:rPr>
                <w:bCs/>
                <w:snapToGrid w:val="0"/>
                <w:spacing w:val="-2"/>
              </w:rPr>
              <w:br/>
              <w:t>Regulations other than r. 1 and 2: 9 Apr 2016 (see r. 2(b))</w:t>
            </w:r>
          </w:p>
        </w:tc>
      </w:tr>
      <w:tr>
        <w:tc>
          <w:tcPr>
            <w:tcW w:w="3118" w:type="dxa"/>
            <w:tcBorders>
              <w:top w:val="nil"/>
              <w:bottom w:val="single" w:sz="4" w:space="0" w:color="auto"/>
            </w:tcBorders>
          </w:tcPr>
          <w:p>
            <w:pPr>
              <w:pStyle w:val="nTable"/>
              <w:spacing w:after="40"/>
              <w:rPr>
                <w:i/>
                <w:noProof/>
              </w:rPr>
            </w:pPr>
            <w:r>
              <w:rPr>
                <w:i/>
              </w:rPr>
              <w:t xml:space="preserve">Racing and Gaming Regulations Amendment (Liquor Control) Regulations 2019 </w:t>
            </w:r>
            <w:r>
              <w:t>Pt. 2</w:t>
            </w:r>
          </w:p>
        </w:tc>
        <w:tc>
          <w:tcPr>
            <w:tcW w:w="1276" w:type="dxa"/>
            <w:tcBorders>
              <w:top w:val="nil"/>
              <w:bottom w:val="single" w:sz="4" w:space="0" w:color="auto"/>
            </w:tcBorders>
          </w:tcPr>
          <w:p>
            <w:pPr>
              <w:pStyle w:val="nTable"/>
              <w:spacing w:after="40"/>
            </w:pPr>
            <w:r>
              <w:t>22 Mar 2019 p. 859</w:t>
            </w:r>
            <w:r>
              <w:noBreakHyphen/>
              <w:t>60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23 Mar 2019 (see r. 2(b))</w:t>
            </w:r>
          </w:p>
        </w:tc>
      </w:tr>
    </w:tbl>
    <w:p/>
    <w:p>
      <w:pPr>
        <w:pStyle w:val="nSubsection"/>
      </w:pPr>
      <w:r>
        <w:rPr>
          <w:vertAlign w:val="superscript"/>
        </w:rPr>
        <w:t>2</w:t>
      </w:r>
      <w:r>
        <w:tab/>
        <w:t>These regulations expire at the close of 1 Apr 2022 (see r. 9).</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8" w:name="_Toc4059439"/>
      <w:bookmarkStart w:id="19" w:name="_Toc4061636"/>
      <w:bookmarkStart w:id="20" w:name="_Toc4065682"/>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Ngalingkadji Aboriginal Community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11115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 w:name="WAFER_20190321111519" w:val="RemoveTocBookmarks,RemoveUnusedBookmarks,RemoveLanguageTags,ResetPageSize,RunningHeaders,UpdateStyles,UsedStyles"/>
    <w:docVar w:name="WAFER_20190321111519_GUID" w:val="6a9ea7ad-88ec-4a17-af9b-7dacecefd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5F442-EA68-42FB-9B18-3A9C2497B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806</Words>
  <Characters>4105</Characters>
  <Application>Microsoft Office Word</Application>
  <DocSecurity>0</DocSecurity>
  <Lines>146</Lines>
  <Paragraphs>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2016 - 00-b0-00</dc:title>
  <dc:subject/>
  <dc:creator/>
  <cp:keywords/>
  <dc:description/>
  <cp:lastModifiedBy>svcMRProcess</cp:lastModifiedBy>
  <cp:revision>4</cp:revision>
  <cp:lastPrinted>2019-03-21T04:49:00Z</cp:lastPrinted>
  <dcterms:created xsi:type="dcterms:W3CDTF">2019-03-22T06:04:00Z</dcterms:created>
  <dcterms:modified xsi:type="dcterms:W3CDTF">2019-03-22T06:04:00Z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RegID">
    <vt:lpwstr>47927</vt:lpwstr>
  </property>
  <property fmtid="{D5CDD505-2E9C-101B-9397-08002B2CF9AE}" pid="5" name="AsAtDate">
    <vt:lpwstr>23 Mar 2019</vt:lpwstr>
  </property>
  <property fmtid="{D5CDD505-2E9C-101B-9397-08002B2CF9AE}" pid="6" name="Suffix">
    <vt:lpwstr>00-b0-00</vt:lpwstr>
  </property>
  <property fmtid="{D5CDD505-2E9C-101B-9397-08002B2CF9AE}" pid="7" name="CommencementDate">
    <vt:lpwstr>20190323</vt:lpwstr>
  </property>
</Properties>
</file>