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_Toc4583871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_Toc4583872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_Toc4583873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_Toc4583874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_Toc4583875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_Toc4583876 \h </w:instrText>
      </w:r>
      <w:r>
        <w:fldChar w:fldCharType="separate"/>
      </w:r>
      <w:r>
        <w:t>4</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_Toc4583877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_Toc4583878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_Toc4583879 \h </w:instrText>
      </w:r>
      <w:r>
        <w:fldChar w:fldCharType="separate"/>
      </w:r>
      <w:r>
        <w:t>6</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_Toc4583880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_Toc4583881 \h </w:instrText>
      </w:r>
      <w:r>
        <w:fldChar w:fldCharType="separate"/>
      </w:r>
      <w:r>
        <w:t>8</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_Toc4583882 \h </w:instrText>
      </w:r>
      <w:r>
        <w:fldChar w:fldCharType="separate"/>
      </w:r>
      <w:r>
        <w:t>8</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_Toc4583883 \h </w:instrText>
      </w:r>
      <w:r>
        <w:fldChar w:fldCharType="separate"/>
      </w:r>
      <w:r>
        <w:t>9</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_Toc4583884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_Toc4583885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_Toc4583886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_Toc4583887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_Toc4583888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_Toc4583889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_Toc4583890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_Toc4583891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_Toc4583892 \h </w:instrText>
      </w:r>
      <w:r>
        <w:fldChar w:fldCharType="separate"/>
      </w:r>
      <w:r>
        <w:t>15</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_Toc4583893 \h </w:instrText>
      </w:r>
      <w:r>
        <w:fldChar w:fldCharType="separate"/>
      </w:r>
      <w:r>
        <w:t>15</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_Toc4583894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_Toc4583895 \h </w:instrText>
      </w:r>
      <w:r>
        <w:fldChar w:fldCharType="separate"/>
      </w:r>
      <w:r>
        <w:t>17</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_Toc4583896 \h </w:instrText>
      </w:r>
      <w:r>
        <w:fldChar w:fldCharType="separate"/>
      </w:r>
      <w:r>
        <w:t>17</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_Toc4583897 \h </w:instrText>
      </w:r>
      <w:r>
        <w:fldChar w:fldCharType="separate"/>
      </w:r>
      <w:r>
        <w:t>18</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_Toc4583898 \h </w:instrText>
      </w:r>
      <w:r>
        <w:fldChar w:fldCharType="separate"/>
      </w:r>
      <w:r>
        <w:t>18</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_Toc4583899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_Toc4583900 \h </w:instrText>
      </w:r>
      <w:r>
        <w:fldChar w:fldCharType="separate"/>
      </w:r>
      <w:r>
        <w:t>19</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_Toc4583901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_Toc4583902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_Toc4583903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_Toc4583904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_Toc4583905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_Toc4583906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_Toc4583907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_Toc4583908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_Toc4583909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_Toc4583914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58387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58387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583873"/>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tab/>
      </w:r>
      <w:r>
        <w:rPr>
          <w:rStyle w:val="CharDefText"/>
        </w:rPr>
        <w:t>leviable passenger service transaction</w:t>
      </w:r>
      <w:r>
        <w:t xml:space="preserve"> has the meaning given in the </w:t>
      </w:r>
      <w:r>
        <w:rPr>
          <w:i/>
        </w:rPr>
        <w:t xml:space="preserve">Transport (Road Passenger Services) Act 2018 </w:t>
      </w:r>
      <w:r>
        <w:t>section 244;</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 </w:t>
      </w:r>
    </w:p>
    <w:p>
      <w:pPr>
        <w:pStyle w:val="Defpara"/>
      </w:pPr>
      <w:r>
        <w:tab/>
        <w:t>(a)</w:t>
      </w:r>
      <w:r>
        <w:tab/>
        <w:t>any surcharge or fee of a kind set out in Schedule 3 for the hire; and</w:t>
      </w:r>
    </w:p>
    <w:p>
      <w:pPr>
        <w:pStyle w:val="Defpara"/>
      </w:pPr>
      <w:r>
        <w:tab/>
        <w:t>(b)</w:t>
      </w:r>
      <w:r>
        <w:tab/>
        <w:t>any amount charged under regulation 6(1A) in respect of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26 Feb 2019 p. 453.] </w:t>
      </w:r>
    </w:p>
    <w:p>
      <w:pPr>
        <w:pStyle w:val="Heading5"/>
        <w:spacing w:before="240"/>
        <w:rPr>
          <w:snapToGrid w:val="0"/>
        </w:rPr>
      </w:pPr>
      <w:bookmarkStart w:id="6" w:name="_Toc4583874"/>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4583875"/>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8" w:name="_Toc4583876"/>
      <w:r>
        <w:rPr>
          <w:rStyle w:val="CharSectno"/>
        </w:rPr>
        <w:t>5</w:t>
      </w:r>
      <w:r>
        <w:rPr>
          <w:snapToGrid w:val="0"/>
        </w:rPr>
        <w:t>.</w:t>
      </w:r>
      <w:r>
        <w:rPr>
          <w:snapToGrid w:val="0"/>
        </w:rPr>
        <w:tab/>
        <w:t>Conditions imposable under Act s. 20(1) on multi-purpose taxis, prescribed</w:t>
      </w:r>
      <w:bookmarkEnd w:id="8"/>
    </w:p>
    <w:p>
      <w:pPr>
        <w:pStyle w:val="Subsection"/>
        <w:keepNext/>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9" w:name="_Toc4583877"/>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keepNext/>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outlineLvl w:val="9"/>
      </w:pPr>
      <w:r>
        <w:t>[</w:t>
      </w:r>
      <w:r>
        <w:rPr>
          <w:b/>
        </w:rPr>
        <w:t>5B.</w:t>
      </w:r>
      <w:r>
        <w:tab/>
        <w:t>Deleted: Gazette 10 Dec 2004 p. 5910.]</w:t>
      </w:r>
    </w:p>
    <w:p>
      <w:pPr>
        <w:pStyle w:val="Heading5"/>
      </w:pPr>
      <w:bookmarkStart w:id="10" w:name="_Toc4583878"/>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p>
    <w:p>
      <w:pPr>
        <w:pStyle w:val="Indenta"/>
      </w:pPr>
      <w:r>
        <w:tab/>
        <w:t>(a)</w:t>
      </w:r>
      <w:r>
        <w:tab/>
        <w:t>an amount of fare allocated for the levy;</w:t>
      </w:r>
    </w:p>
    <w:p>
      <w:pPr>
        <w:pStyle w:val="Indenta"/>
      </w:pPr>
      <w:r>
        <w:tab/>
        <w:t>(b)</w:t>
      </w:r>
      <w:r>
        <w:tab/>
        <w:t>an amount for the GST payable in relation to the amount referred to in paragraph (a).</w:t>
      </w:r>
    </w:p>
    <w:p>
      <w:pPr>
        <w:pStyle w:val="Subsection"/>
      </w:pPr>
      <w:r>
        <w:tab/>
        <w:t>(1B)</w:t>
      </w:r>
      <w:r>
        <w:tab/>
        <w:t xml:space="preserve">An amount charged under subregulation (1A)(a) must not exceed the lesser of — </w:t>
      </w:r>
    </w:p>
    <w:p>
      <w:pPr>
        <w:pStyle w:val="Indenta"/>
      </w:pPr>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p>
    <w:p>
      <w:pPr>
        <w:pStyle w:val="Indenta"/>
      </w:pPr>
      <w:r>
        <w:tab/>
        <w:t>(b)</w:t>
      </w:r>
      <w:r>
        <w:tab/>
        <w:t>$10.</w:t>
      </w:r>
    </w:p>
    <w:p>
      <w:pPr>
        <w:pStyle w:val="Subsection"/>
      </w:pPr>
      <w:r>
        <w:tab/>
        <w:t>(2)</w:t>
      </w:r>
      <w:r>
        <w:tab/>
        <w:t>A driver must not select a tariff for a passenger that is not the appropriate tariff as set out in Schedule 3.</w:t>
      </w:r>
    </w:p>
    <w:p>
      <w:pPr>
        <w:pStyle w:val="Subsection"/>
      </w:pPr>
      <w:r>
        <w:tab/>
        <w:t>(3)</w:t>
      </w:r>
      <w:r>
        <w:tab/>
        <w:t>Subregulations (1) to (2) do not apply to a taxi that is hired for a contract fare.</w:t>
      </w:r>
    </w:p>
    <w:p>
      <w:pPr>
        <w:pStyle w:val="Footnotesection"/>
        <w:ind w:left="890" w:hanging="890"/>
      </w:pPr>
      <w:r>
        <w:tab/>
        <w:t>[Regulation 6 inserted: Gazette 28 Jun 2016 p. 2676; amended: Gazette 26 Feb 2019 p. 453</w:t>
      </w:r>
      <w:r>
        <w:noBreakHyphen/>
        <w:t>4.]</w:t>
      </w:r>
    </w:p>
    <w:p>
      <w:pPr>
        <w:pStyle w:val="Heading5"/>
      </w:pPr>
      <w:bookmarkStart w:id="11" w:name="_Toc4583879"/>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(as defined in regulation 8(1)) is to be used for the payment or part-payment of the contract fare, the amount agreed under subregulation (1) must not exceed the fare (as determined in accordance with regulation 6)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keepNext/>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 26 Feb 2019 p. 454.]</w:t>
      </w:r>
    </w:p>
    <w:p>
      <w:pPr>
        <w:pStyle w:val="Heading5"/>
      </w:pPr>
      <w:bookmarkStart w:id="12" w:name="_Toc4583880"/>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13" w:name="_Toc4583881"/>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 26 Feb 2019 p. 455.]</w:t>
      </w:r>
    </w:p>
    <w:p>
      <w:pPr>
        <w:pStyle w:val="Heading5"/>
      </w:pPr>
      <w:bookmarkStart w:id="14" w:name="_Toc4583882"/>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15" w:name="_Toc4583883"/>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16" w:name="_Toc4583884"/>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17" w:name="_Toc4583885"/>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18" w:name="_Toc4583886"/>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19" w:name="_Toc4583887"/>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20" w:name="_Toc4583888"/>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If a taxi is the subject of multiple hiring, each separate hirer may, at that hirer’s destination, be charged 75% of the Schedule 3 fare for the hire of the taxi applicable at that hirer’s destination.</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 amended: Gazette 26 Feb 2019 p. 455.]</w:t>
      </w:r>
    </w:p>
    <w:p>
      <w:pPr>
        <w:pStyle w:val="Heading5"/>
        <w:keepLines w:val="0"/>
        <w:spacing w:before="180"/>
        <w:rPr>
          <w:snapToGrid w:val="0"/>
        </w:rPr>
      </w:pPr>
      <w:bookmarkStart w:id="21" w:name="_Toc4583889"/>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22" w:name="_Toc4583890"/>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23" w:name="_Toc4583891"/>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24" w:name="_Toc4583892"/>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25" w:name="_Toc4583893"/>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26" w:name="_Toc4583894"/>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27" w:name="_Toc4583895"/>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28" w:name="_Toc4583896"/>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29" w:name="_Toc4583897"/>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30" w:name="_Toc4583898"/>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31" w:name="_Toc4583899"/>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32" w:name="_Toc4583900"/>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4583901"/>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34" w:name="_Toc4583902"/>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35" w:name="_Toc4583903"/>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36" w:name="_Toc4583904"/>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37" w:name="_Toc4583905"/>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Ednotesection"/>
      </w:pPr>
      <w:r>
        <w:t>[</w:t>
      </w:r>
      <w:r>
        <w:rPr>
          <w:b/>
          <w:bCs/>
        </w:rPr>
        <w:t>19A.</w:t>
      </w:r>
      <w:r>
        <w:tab/>
        <w:t>Deleted: Gazette 26 Feb 2019 p. 452.]</w:t>
      </w:r>
    </w:p>
    <w:p>
      <w:pPr>
        <w:pStyle w:val="Heading5"/>
      </w:pPr>
      <w:bookmarkStart w:id="38" w:name="_Toc4583906"/>
      <w:r>
        <w:rPr>
          <w:rStyle w:val="CharSectno"/>
        </w:rPr>
        <w:t>19B</w:t>
      </w:r>
      <w:r>
        <w:t>.</w:t>
      </w:r>
      <w:r>
        <w:tab/>
        <w:t>Prescribed day (Act s. 30K(2))</w:t>
      </w:r>
      <w:bookmarkEnd w:id="38"/>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39" w:name="_Toc4583907"/>
      <w:r>
        <w:rPr>
          <w:rStyle w:val="CharSectno"/>
        </w:rPr>
        <w:t>20</w:t>
      </w:r>
      <w:r>
        <w:rPr>
          <w:snapToGrid w:val="0"/>
        </w:rPr>
        <w:t>.</w:t>
      </w:r>
      <w:r>
        <w:rPr>
          <w:snapToGrid w:val="0"/>
        </w:rPr>
        <w:tab/>
        <w:t>Interest rate prescribed (Act s. 36(8))</w:t>
      </w:r>
      <w:bookmarkEnd w:id="3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0" w:name="_Toc4583908"/>
      <w:r>
        <w:rPr>
          <w:rStyle w:val="CharSectno"/>
        </w:rPr>
        <w:t>21</w:t>
      </w:r>
      <w:r>
        <w:rPr>
          <w:snapToGrid w:val="0"/>
        </w:rPr>
        <w:t>.</w:t>
      </w:r>
      <w:r>
        <w:rPr>
          <w:snapToGrid w:val="0"/>
        </w:rPr>
        <w:tab/>
        <w:t>Offences and penalties</w:t>
      </w:r>
      <w:bookmarkEnd w:id="40"/>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41" w:name="_Toc4583909"/>
      <w:r>
        <w:rPr>
          <w:rStyle w:val="CharSectno"/>
        </w:rPr>
        <w:t>22</w:t>
      </w:r>
      <w:r>
        <w:rPr>
          <w:snapToGrid w:val="0"/>
        </w:rPr>
        <w:t>.</w:t>
      </w:r>
      <w:r>
        <w:rPr>
          <w:snapToGrid w:val="0"/>
        </w:rPr>
        <w:tab/>
        <w:t>Infringement notices and modified penalties (Act s. 39)</w:t>
      </w:r>
      <w:bookmarkEnd w:id="41"/>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2" w:name="_Toc4496655"/>
      <w:bookmarkStart w:id="43" w:name="_Toc4583910"/>
      <w:r>
        <w:rPr>
          <w:rStyle w:val="CharSchNo"/>
        </w:rPr>
        <w:t>Schedule 1</w:t>
      </w:r>
      <w:r>
        <w:rPr>
          <w:rStyle w:val="CharSDivNo"/>
        </w:rPr>
        <w:t> </w:t>
      </w:r>
      <w:r>
        <w:t>—</w:t>
      </w:r>
      <w:r>
        <w:rPr>
          <w:rStyle w:val="CharSDivText"/>
        </w:rPr>
        <w:t> </w:t>
      </w:r>
      <w:r>
        <w:rPr>
          <w:rStyle w:val="CharSchText"/>
        </w:rPr>
        <w:t>Offences for which infringement notices may be issued</w:t>
      </w:r>
      <w:bookmarkEnd w:id="42"/>
      <w:bookmarkEnd w:id="43"/>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2679" w:type="dxa"/>
            <w:gridSpan w:val="2"/>
          </w:tcPr>
          <w:p>
            <w:pPr>
              <w:pStyle w:val="yTable"/>
              <w:tabs>
                <w:tab w:val="left" w:pos="680"/>
              </w:tabs>
              <w:rPr>
                <w:i/>
              </w:rPr>
            </w:pPr>
            <w:r>
              <w:rPr>
                <w:i/>
              </w:rPr>
              <w:t>[6, 7.</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 26 Feb 2019 p. 452.]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5" w:name="_Toc4496656"/>
      <w:bookmarkStart w:id="46" w:name="_Toc4583911"/>
      <w:r>
        <w:rPr>
          <w:rStyle w:val="CharSchNo"/>
        </w:rPr>
        <w:t>Schedule 2</w:t>
      </w:r>
      <w:bookmarkEnd w:id="45"/>
      <w:bookmarkEnd w:id="46"/>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2.75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2.75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MiscellaneousBody"/>
        <w:spacing w:before="0"/>
        <w:jc w:val="right"/>
      </w:pPr>
      <w:r>
        <w:tab/>
        <w:t>COMPLAINANT</w:t>
      </w:r>
      <w: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47" w:name="_Toc4496657"/>
      <w:bookmarkStart w:id="48" w:name="_Toc4583912"/>
      <w:r>
        <w:rPr>
          <w:rStyle w:val="CharSchNo"/>
        </w:rPr>
        <w:t>Schedule 3</w:t>
      </w:r>
      <w:r>
        <w:rPr>
          <w:rStyle w:val="CharSDivNo"/>
        </w:rPr>
        <w:t> </w:t>
      </w:r>
      <w:r>
        <w:t>—</w:t>
      </w:r>
      <w:r>
        <w:rPr>
          <w:rStyle w:val="CharSDivText"/>
        </w:rPr>
        <w:t> </w:t>
      </w:r>
      <w:r>
        <w:rPr>
          <w:rStyle w:val="CharSchText"/>
        </w:rPr>
        <w:t>Fares</w:t>
      </w:r>
      <w:bookmarkEnd w:id="47"/>
      <w:bookmarkEnd w:id="48"/>
    </w:p>
    <w:p>
      <w:pPr>
        <w:pStyle w:val="yShoulderClause"/>
      </w:pPr>
      <w:r>
        <w:t>[r. 6]</w:t>
      </w:r>
    </w:p>
    <w:p>
      <w:pPr>
        <w:pStyle w:val="yFootnoteheading"/>
        <w:spacing w:before="100"/>
      </w:pPr>
      <w:r>
        <w:tab/>
        <w:t>[Heading inserted: Gazette 28 Jun 2016 p. 2685.]</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9" w:name="_Toc4496658"/>
      <w:bookmarkStart w:id="50" w:name="_Toc4583913"/>
      <w:r>
        <w:t>Notes</w:t>
      </w:r>
      <w:bookmarkEnd w:id="49"/>
      <w:bookmarkEnd w:id="50"/>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51" w:name="_Toc4583914"/>
      <w: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pStyle w:val="nTable"/>
              <w:spacing w:after="40"/>
            </w:pPr>
            <w: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pStyle w:val="nTable"/>
              <w:spacing w:after="40"/>
            </w:pPr>
            <w:r>
              <w:t>1 Jul 2018 (see r. 2(b))</w:t>
            </w:r>
          </w:p>
        </w:tc>
      </w:tr>
      <w:tr>
        <w:trPr>
          <w:cantSplit/>
        </w:trPr>
        <w:tc>
          <w:tcPr>
            <w:tcW w:w="3147" w:type="dxa"/>
            <w:gridSpan w:val="2"/>
            <w:tcBorders>
              <w:bottom w:val="single" w:sz="8" w:space="0" w:color="auto"/>
            </w:tcBorders>
            <w:shd w:val="clear" w:color="auto" w:fill="auto"/>
          </w:tcPr>
          <w:p>
            <w:pPr>
              <w:pStyle w:val="nTable"/>
              <w:spacing w:after="40"/>
              <w:rPr>
                <w:i/>
              </w:rPr>
            </w:pPr>
            <w:r>
              <w:rPr>
                <w:i/>
              </w:rPr>
              <w:t xml:space="preserve">Transport Regulations Amendment (Road Passenger Services) Regulations 2019 </w:t>
            </w:r>
            <w:r>
              <w:t>Pt. 2 and Pt. 3 Div. 1</w:t>
            </w:r>
          </w:p>
        </w:tc>
        <w:tc>
          <w:tcPr>
            <w:tcW w:w="1276" w:type="dxa"/>
            <w:gridSpan w:val="2"/>
            <w:tcBorders>
              <w:bottom w:val="single" w:sz="8" w:space="0" w:color="auto"/>
            </w:tcBorders>
            <w:shd w:val="clear" w:color="auto" w:fill="auto"/>
          </w:tcPr>
          <w:p>
            <w:pPr>
              <w:pStyle w:val="nTable"/>
              <w:spacing w:after="40"/>
            </w:pPr>
            <w:r>
              <w:t>26 Feb 2019 p. 451-8</w:t>
            </w:r>
          </w:p>
        </w:tc>
        <w:tc>
          <w:tcPr>
            <w:tcW w:w="2665" w:type="dxa"/>
            <w:tcBorders>
              <w:bottom w:val="single" w:sz="8" w:space="0" w:color="auto"/>
            </w:tcBorders>
            <w:shd w:val="clear" w:color="auto" w:fill="auto"/>
          </w:tcPr>
          <w:p>
            <w:pPr>
              <w:pStyle w:val="nTable"/>
              <w:spacing w:after="40"/>
              <w:rPr>
                <w:szCs w:val="19"/>
              </w:rPr>
            </w:pPr>
            <w:r>
              <w:t xml:space="preserve">Pt. 2: 28 Feb 2019 (see r. 2(b) and </w:t>
            </w:r>
            <w:r>
              <w:rPr>
                <w:i/>
              </w:rPr>
              <w:t>Gazette</w:t>
            </w:r>
            <w:r>
              <w:t xml:space="preserve"> 26 Feb 2019 p. 449-50);</w:t>
            </w:r>
            <w:r>
              <w:br/>
              <w:t xml:space="preserve">Pt. 3 Div. 1: 1 Apr 2019 (see r. 2(c) and </w:t>
            </w:r>
            <w:r>
              <w:rPr>
                <w:i/>
              </w:rPr>
              <w:t>Gazette</w:t>
            </w:r>
            <w:r>
              <w:t xml:space="preserve"> 26 Feb 2019 p. 449-50)</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3" w:name="_Toc4496660"/>
      <w:bookmarkStart w:id="54" w:name="_Toc4583915"/>
      <w:r>
        <w:rPr>
          <w:sz w:val="28"/>
        </w:rPr>
        <w:t>Defined terms</w:t>
      </w:r>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leviable passenger service transaction</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2113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 w:name="WAFER_20190326121135" w:val="RemoveTocBookmarks,RemoveUnusedBookmarks,RemoveLanguageTags,ResetPageSize,RunningHeaders,UpdateStyles,UsedStyles"/>
    <w:docVar w:name="WAFER_20190326121135_GUID" w:val="4071d143-4c01-4ec7-8fe7-e6831f295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10008</Words>
  <Characters>49443</Characters>
  <Application>Microsoft Office Word</Application>
  <DocSecurity>0</DocSecurity>
  <Lines>1765</Lines>
  <Paragraphs>1100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1995 - 05-g0-00</dc:title>
  <dc:subject/>
  <dc:creator/>
  <cp:keywords/>
  <dc:description/>
  <cp:lastModifiedBy>svcMRProcess</cp:lastModifiedBy>
  <cp:revision>4</cp:revision>
  <cp:lastPrinted>2018-05-22T02:41:00Z</cp:lastPrinted>
  <dcterms:created xsi:type="dcterms:W3CDTF">2019-03-27T06:38:00Z</dcterms:created>
  <dcterms:modified xsi:type="dcterms:W3CDTF">2019-03-27T06:38:00Z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01 Apr 2019</vt:lpwstr>
  </property>
  <property fmtid="{D5CDD505-2E9C-101B-9397-08002B2CF9AE}" pid="8" name="Suffix">
    <vt:lpwstr>05-g0-00</vt:lpwstr>
  </property>
  <property fmtid="{D5CDD505-2E9C-101B-9397-08002B2CF9AE}" pid="9" name="CommencementDate">
    <vt:lpwstr>20190401</vt:lpwstr>
  </property>
</Properties>
</file>