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(Retirement Villages Interim Code) Regulations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2019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_Toc4667912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_Toc4667913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_Toc4667914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_Toc4667915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 and boxed and shaded paragraphs in code of practice</w:t>
      </w:r>
      <w:r>
        <w:tab/>
      </w:r>
      <w:r>
        <w:fldChar w:fldCharType="begin"/>
      </w:r>
      <w:r>
        <w:instrText xml:space="preserve"> PAGEREF _Toc4667916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Interim Code of Practice for Retirement Villages 2019</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_Toc4667919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_Toc4667920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_Toc4667921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_Toc4667922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_Toc4667923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_Toc4667925 \h </w:instrText>
      </w:r>
      <w:r>
        <w:fldChar w:fldCharType="separate"/>
      </w:r>
      <w:r>
        <w:t>11</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_Toc4667926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_Toc4667927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_Toc4667928 \h </w:instrText>
      </w:r>
      <w:r>
        <w:fldChar w:fldCharType="separate"/>
      </w:r>
      <w:r>
        <w:t>12</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_Toc4667929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Prospective resident’s right to information before entering into service contract</w:t>
      </w:r>
    </w:p>
    <w:p>
      <w:pPr>
        <w:pStyle w:val="TOC8"/>
        <w:rPr>
          <w:rFonts w:asciiTheme="minorHAnsi" w:eastAsiaTheme="minorEastAsia" w:hAnsiTheme="minorHAnsi" w:cstheme="minorBidi"/>
          <w:szCs w:val="22"/>
        </w:rPr>
      </w:pPr>
      <w:r>
        <w:t>11.</w:t>
      </w:r>
      <w:r>
        <w:tab/>
        <w:t>Before entering into service contract</w:t>
      </w:r>
      <w:r>
        <w:tab/>
      </w:r>
      <w:r>
        <w:fldChar w:fldCharType="begin"/>
      </w:r>
      <w:r>
        <w:instrText xml:space="preserve"> PAGEREF _Toc4667931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Service contract</w:t>
      </w:r>
    </w:p>
    <w:p>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_Toc4667933 \h </w:instrText>
      </w:r>
      <w:r>
        <w:fldChar w:fldCharType="separate"/>
      </w:r>
      <w:r>
        <w:t>14</w:t>
      </w:r>
      <w:r>
        <w:fldChar w:fldCharType="end"/>
      </w:r>
    </w:p>
    <w:p>
      <w:pPr>
        <w:pStyle w:val="TOC8"/>
        <w:rPr>
          <w:rFonts w:asciiTheme="minorHAnsi" w:eastAsiaTheme="minorEastAsia" w:hAnsiTheme="minorHAnsi" w:cstheme="minorBidi"/>
          <w:szCs w:val="22"/>
        </w:rPr>
      </w:pPr>
      <w:r>
        <w:t>13.</w:t>
      </w:r>
      <w:r>
        <w:tab/>
        <w:t>Services</w:t>
      </w:r>
      <w:r>
        <w:tab/>
      </w:r>
      <w:r>
        <w:fldChar w:fldCharType="begin"/>
      </w:r>
      <w:r>
        <w:instrText xml:space="preserve"> PAGEREF _Toc4667934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_Toc4667936 \h </w:instrText>
      </w:r>
      <w:r>
        <w:fldChar w:fldCharType="separate"/>
      </w:r>
      <w:r>
        <w:t>16</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_Toc4667937 \h </w:instrText>
      </w:r>
      <w:r>
        <w:fldChar w:fldCharType="separate"/>
      </w:r>
      <w:r>
        <w:t>17</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_Toc4667938 \h </w:instrText>
      </w:r>
      <w:r>
        <w:fldChar w:fldCharType="separate"/>
      </w:r>
      <w:r>
        <w:t>19</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_Toc4667939 \h </w:instrText>
      </w:r>
      <w:r>
        <w:fldChar w:fldCharType="separate"/>
      </w:r>
      <w:r>
        <w:t>21</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_Toc4667940 \h </w:instrText>
      </w:r>
      <w:r>
        <w:fldChar w:fldCharType="separate"/>
      </w:r>
      <w:r>
        <w:t>25</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_Toc4667941 \h </w:instrText>
      </w:r>
      <w:r>
        <w:fldChar w:fldCharType="separate"/>
      </w:r>
      <w:r>
        <w:t>26</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_Toc4667942 \h </w:instrText>
      </w:r>
      <w:r>
        <w:fldChar w:fldCharType="separate"/>
      </w:r>
      <w:r>
        <w:t>28</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_Toc4667943 \h </w:instrText>
      </w:r>
      <w:r>
        <w:fldChar w:fldCharType="separate"/>
      </w:r>
      <w:r>
        <w:t>28</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_Toc4667944 \h </w:instrText>
      </w:r>
      <w:r>
        <w:fldChar w:fldCharType="separate"/>
      </w:r>
      <w:r>
        <w:t>28</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_Toc4667945 \h </w:instrText>
      </w:r>
      <w:r>
        <w:fldChar w:fldCharType="separate"/>
      </w:r>
      <w:r>
        <w:t>30</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_Toc4667946 \h </w:instrText>
      </w:r>
      <w:r>
        <w:fldChar w:fldCharType="separate"/>
      </w:r>
      <w:r>
        <w:t>31</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_Toc4667947 \h </w:instrText>
      </w:r>
      <w:r>
        <w:fldChar w:fldCharType="separate"/>
      </w:r>
      <w:r>
        <w:t>32</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_Toc4667948 \h </w:instrText>
      </w:r>
      <w:r>
        <w:fldChar w:fldCharType="separate"/>
      </w:r>
      <w:r>
        <w:t>34</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_Toc4667949 \h </w:instrText>
      </w:r>
      <w:r>
        <w:fldChar w:fldCharType="separate"/>
      </w:r>
      <w:r>
        <w:t>37</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_Toc4667950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_Toc4667952 \h </w:instrText>
      </w:r>
      <w:r>
        <w:fldChar w:fldCharType="separate"/>
      </w:r>
      <w:r>
        <w:t>41</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_Toc4667953 \h </w:instrText>
      </w:r>
      <w:r>
        <w:fldChar w:fldCharType="separate"/>
      </w:r>
      <w:r>
        <w:t>41</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_Toc4667954 \h </w:instrText>
      </w:r>
      <w:r>
        <w:fldChar w:fldCharType="separate"/>
      </w:r>
      <w:r>
        <w:t>43</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_Toc4667955 \h </w:instrText>
      </w:r>
      <w:r>
        <w:fldChar w:fldCharType="separate"/>
      </w:r>
      <w:r>
        <w:t>46</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_Toc4667956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_Toc4667958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_Toc4667960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Appendix 1 — Checklist for prospective resident</w:t>
      </w:r>
    </w:p>
    <w:p>
      <w:pPr>
        <w:pStyle w:val="TOC4"/>
        <w:tabs>
          <w:tab w:val="right" w:leader="dot" w:pos="7077"/>
        </w:tabs>
        <w:rPr>
          <w:rFonts w:asciiTheme="minorHAnsi" w:eastAsiaTheme="minorEastAsia" w:hAnsiTheme="minorHAnsi" w:cstheme="minorBidi"/>
          <w:b w:val="0"/>
          <w:szCs w:val="22"/>
        </w:rPr>
      </w:pPr>
      <w:r>
        <w:t>Appendix 2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_Toc4667964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(Retirement Villages Interim Code) Regulations 2019</w:t>
      </w:r>
    </w:p>
    <w:p>
      <w:pPr>
        <w:pStyle w:val="Heading5"/>
      </w:pPr>
      <w:bookmarkStart w:id="3" w:name="_Toc4667912"/>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Interim Code) Regulations 2019</w:t>
      </w:r>
      <w:r>
        <w:t>.</w:t>
      </w:r>
    </w:p>
    <w:p>
      <w:pPr>
        <w:pStyle w:val="Heading5"/>
        <w:rPr>
          <w:spacing w:val="-2"/>
        </w:rPr>
      </w:pPr>
      <w:bookmarkStart w:id="5" w:name="_Toc4667913"/>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2019.</w:t>
      </w:r>
    </w:p>
    <w:p>
      <w:pPr>
        <w:pStyle w:val="Heading5"/>
        <w:rPr>
          <w:snapToGrid w:val="0"/>
        </w:rPr>
      </w:pPr>
      <w:bookmarkStart w:id="6" w:name="_Toc2338285"/>
      <w:bookmarkStart w:id="7" w:name="_Toc2344306"/>
      <w:bookmarkStart w:id="8" w:name="_Toc4486891"/>
      <w:bookmarkStart w:id="9" w:name="_Toc4667914"/>
      <w:r>
        <w:rPr>
          <w:rStyle w:val="CharSectno"/>
        </w:rPr>
        <w:t>3</w:t>
      </w:r>
      <w:r>
        <w:rPr>
          <w:snapToGrid w:val="0"/>
        </w:rPr>
        <w:t>.</w:t>
      </w:r>
      <w:r>
        <w:rPr>
          <w:snapToGrid w:val="0"/>
        </w:rPr>
        <w:tab/>
        <w:t>Code of Practice prescribed</w:t>
      </w:r>
      <w:bookmarkEnd w:id="6"/>
      <w:bookmarkEnd w:id="7"/>
      <w:bookmarkEnd w:id="8"/>
      <w:bookmarkEnd w:id="9"/>
    </w:p>
    <w:p>
      <w:pPr>
        <w:pStyle w:val="Subsection"/>
      </w:pPr>
      <w:r>
        <w:tab/>
        <w:t>(1)</w:t>
      </w:r>
      <w:r>
        <w:tab/>
        <w:t xml:space="preserve">The code of practice set out in Schedule 1 and cited as the </w:t>
      </w:r>
      <w:r>
        <w:rPr>
          <w:i/>
        </w:rPr>
        <w:t>Interim Code of Practice for Retirement Villages 2019</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Practice for Retirement Villages 2019 </w:t>
      </w:r>
      <w:r>
        <w:t>has effect for the period of 6 months beginning on 1 April 2019.</w:t>
      </w:r>
    </w:p>
    <w:p>
      <w:pPr>
        <w:pStyle w:val="Heading5"/>
      </w:pPr>
      <w:bookmarkStart w:id="10" w:name="_Toc2338286"/>
      <w:bookmarkStart w:id="11" w:name="_Toc2344307"/>
      <w:bookmarkStart w:id="12" w:name="_Toc4486892"/>
      <w:bookmarkStart w:id="13" w:name="_Toc4667915"/>
      <w:r>
        <w:rPr>
          <w:rStyle w:val="CharSectno"/>
        </w:rPr>
        <w:t>4</w:t>
      </w:r>
      <w:r>
        <w:t>.</w:t>
      </w:r>
      <w:r>
        <w:tab/>
        <w:t>Expiry</w:t>
      </w:r>
      <w:bookmarkEnd w:id="10"/>
      <w:bookmarkEnd w:id="11"/>
      <w:bookmarkEnd w:id="12"/>
      <w:bookmarkEnd w:id="13"/>
    </w:p>
    <w:p>
      <w:pPr>
        <w:pStyle w:val="Subsection"/>
      </w:pPr>
      <w:r>
        <w:tab/>
      </w:r>
      <w:r>
        <w:tab/>
        <w:t>These regulations expire at the end of 30 September 2019</w:t>
      </w:r>
      <w:r>
        <w:rPr>
          <w:vertAlign w:val="superscript"/>
        </w:rPr>
        <w:t> 2</w:t>
      </w:r>
      <w:r>
        <w:t xml:space="preserve">. </w:t>
      </w:r>
    </w:p>
    <w:p>
      <w:pPr>
        <w:pStyle w:val="Heading5"/>
      </w:pPr>
      <w:bookmarkStart w:id="14" w:name="_Toc2338287"/>
      <w:bookmarkStart w:id="15" w:name="_Toc2344308"/>
      <w:bookmarkStart w:id="16" w:name="_Toc4486893"/>
      <w:bookmarkStart w:id="17" w:name="_Toc4667916"/>
      <w:r>
        <w:rPr>
          <w:rStyle w:val="CharSectno"/>
        </w:rPr>
        <w:t>5</w:t>
      </w:r>
      <w:r>
        <w:t>.</w:t>
      </w:r>
      <w:r>
        <w:tab/>
        <w:t>Terms used and boxed and shaded paragraphs in code of practice</w:t>
      </w:r>
      <w:bookmarkEnd w:id="14"/>
      <w:bookmarkEnd w:id="15"/>
      <w:bookmarkEnd w:id="16"/>
      <w:bookmarkEnd w:id="17"/>
    </w:p>
    <w:p>
      <w:pPr>
        <w:pStyle w:val="Subsection"/>
      </w:pPr>
      <w:r>
        <w:tab/>
        <w:t>(1)</w:t>
      </w:r>
      <w:r>
        <w:tab/>
        <w:t xml:space="preserve">Except where the contrary intention appears, words and expressions used in the </w:t>
      </w:r>
      <w:r>
        <w:rPr>
          <w:i/>
        </w:rPr>
        <w:t xml:space="preserve">Interim Code of Practice for Retirement Villages 2019 </w:t>
      </w:r>
      <w:r>
        <w:t xml:space="preserve">have the same meaning as in the </w:t>
      </w:r>
      <w:r>
        <w:rPr>
          <w:i/>
        </w:rPr>
        <w:t>Retirement Villages Act 1992</w:t>
      </w:r>
      <w:r>
        <w:t>.</w:t>
      </w:r>
    </w:p>
    <w:p>
      <w:pPr>
        <w:pStyle w:val="Subsection"/>
      </w:pPr>
      <w:r>
        <w:tab/>
        <w:t>(2)</w:t>
      </w:r>
      <w:r>
        <w:tab/>
        <w:t xml:space="preserve">Boxed and shaded paragraphs in the </w:t>
      </w:r>
      <w:r>
        <w:rPr>
          <w:i/>
        </w:rPr>
        <w:t>Interim Code of Practice for Retirement Villages 2019</w:t>
      </w:r>
      <w:r>
        <w:t xml:space="preserve"> are not part of the Code and are included only to assist readers of the Code.</w:t>
      </w:r>
    </w:p>
    <w:p>
      <w:pPr>
        <w:pStyle w:val="CentredBaseLine"/>
        <w:jc w:val="center"/>
      </w:pP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bookmarkStart w:id="18" w:name="endcomma"/>
      <w:bookmarkEnd w:id="18"/>
    </w:p>
    <w:p>
      <w:pPr>
        <w:pStyle w:val="yScheduleHeading"/>
        <w:outlineLvl w:val="0"/>
      </w:pPr>
      <w:bookmarkStart w:id="19" w:name="_Toc2336942"/>
      <w:bookmarkStart w:id="20" w:name="_Toc2336994"/>
      <w:bookmarkStart w:id="21" w:name="_Toc2338288"/>
      <w:bookmarkStart w:id="22" w:name="_Toc2338518"/>
      <w:bookmarkStart w:id="23" w:name="_Toc2338640"/>
      <w:bookmarkStart w:id="24" w:name="_Toc2344309"/>
      <w:bookmarkStart w:id="25" w:name="_Toc4486797"/>
      <w:bookmarkStart w:id="26" w:name="_Toc4486894"/>
      <w:bookmarkStart w:id="27" w:name="_Toc4495625"/>
      <w:bookmarkStart w:id="28" w:name="_Toc4667917"/>
      <w:r>
        <w:rPr>
          <w:rStyle w:val="CharSchNo"/>
        </w:rPr>
        <w:t>Schedule 1</w:t>
      </w:r>
      <w:r>
        <w:rPr>
          <w:rStyle w:val="CharSDivNo"/>
        </w:rPr>
        <w:t> </w:t>
      </w:r>
      <w:r>
        <w:t>—</w:t>
      </w:r>
      <w:r>
        <w:rPr>
          <w:rStyle w:val="CharSDivText"/>
        </w:rPr>
        <w:t> </w:t>
      </w:r>
      <w:r>
        <w:rPr>
          <w:rStyle w:val="CharSchText"/>
          <w:i/>
        </w:rPr>
        <w:t>Interim Code of Practice for Retirement Villages 2019</w:t>
      </w:r>
      <w:bookmarkEnd w:id="19"/>
      <w:bookmarkEnd w:id="20"/>
      <w:bookmarkEnd w:id="21"/>
      <w:bookmarkEnd w:id="22"/>
      <w:bookmarkEnd w:id="23"/>
      <w:bookmarkEnd w:id="24"/>
      <w:bookmarkEnd w:id="25"/>
      <w:bookmarkEnd w:id="26"/>
      <w:bookmarkEnd w:id="27"/>
      <w:bookmarkEnd w:id="28"/>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pStyle w:val="yHeading3"/>
        <w:rPr>
          <w:rStyle w:val="CharSDivNo"/>
        </w:rPr>
        <w:sectPr>
          <w:headerReference w:type="even" r:id="rId25"/>
          <w:headerReference w:type="default" r:id="rId26"/>
          <w:pgSz w:w="11907" w:h="16840" w:code="9"/>
          <w:pgMar w:top="2381" w:right="2410" w:bottom="3544" w:left="2410" w:header="720" w:footer="3544" w:gutter="0"/>
          <w:cols w:space="720"/>
        </w:sectPr>
      </w:pPr>
      <w:bookmarkStart w:id="30" w:name="_Toc2336943"/>
      <w:bookmarkStart w:id="31" w:name="_Toc2336995"/>
      <w:bookmarkStart w:id="32" w:name="_Toc2338289"/>
      <w:bookmarkStart w:id="33" w:name="_Toc2338519"/>
      <w:bookmarkStart w:id="34" w:name="_Toc2338641"/>
      <w:bookmarkStart w:id="35" w:name="_Toc2344310"/>
      <w:bookmarkStart w:id="36" w:name="_Toc4486798"/>
      <w:bookmarkStart w:id="37" w:name="_Toc4486895"/>
    </w:p>
    <w:p>
      <w:pPr>
        <w:pStyle w:val="yHeading3"/>
      </w:pPr>
      <w:bookmarkStart w:id="38" w:name="_Toc4495626"/>
      <w:bookmarkStart w:id="39" w:name="_Toc4667918"/>
      <w:r>
        <w:rPr>
          <w:rStyle w:val="CharSDivNo"/>
        </w:rPr>
        <w:t>Division 1</w:t>
      </w:r>
      <w:r>
        <w:t> — </w:t>
      </w:r>
      <w:r>
        <w:rPr>
          <w:rStyle w:val="CharSDivText"/>
        </w:rPr>
        <w:t>Preliminary</w:t>
      </w:r>
      <w:bookmarkEnd w:id="30"/>
      <w:bookmarkEnd w:id="31"/>
      <w:bookmarkEnd w:id="32"/>
      <w:bookmarkEnd w:id="33"/>
      <w:bookmarkEnd w:id="34"/>
      <w:bookmarkEnd w:id="35"/>
      <w:bookmarkEnd w:id="36"/>
      <w:bookmarkEnd w:id="37"/>
      <w:bookmarkEnd w:id="38"/>
      <w:bookmarkEnd w:id="39"/>
    </w:p>
    <w:p>
      <w:pPr>
        <w:pStyle w:val="yHeading5"/>
      </w:pPr>
      <w:bookmarkStart w:id="40" w:name="_Toc2338290"/>
      <w:bookmarkStart w:id="41" w:name="_Toc2344311"/>
      <w:bookmarkStart w:id="42" w:name="_Toc4486896"/>
      <w:bookmarkStart w:id="43" w:name="_Toc4667919"/>
      <w:r>
        <w:rPr>
          <w:rStyle w:val="CharSClsNo"/>
        </w:rPr>
        <w:t>1</w:t>
      </w:r>
      <w:r>
        <w:t>.</w:t>
      </w:r>
      <w:r>
        <w:tab/>
        <w:t>Citation</w:t>
      </w:r>
      <w:bookmarkEnd w:id="40"/>
      <w:bookmarkEnd w:id="41"/>
      <w:bookmarkEnd w:id="42"/>
      <w:bookmarkEnd w:id="43"/>
    </w:p>
    <w:p>
      <w:pPr>
        <w:pStyle w:val="ySubsection"/>
        <w:rPr>
          <w:szCs w:val="22"/>
        </w:rPr>
      </w:pPr>
      <w:r>
        <w:rPr>
          <w:sz w:val="24"/>
        </w:rPr>
        <w:tab/>
      </w:r>
      <w:r>
        <w:rPr>
          <w:sz w:val="24"/>
        </w:rPr>
        <w:tab/>
      </w:r>
      <w:r>
        <w:rPr>
          <w:szCs w:val="22"/>
        </w:rPr>
        <w:t xml:space="preserve">This Code is the </w:t>
      </w:r>
      <w:r>
        <w:rPr>
          <w:i/>
        </w:rPr>
        <w:t>Interim Code of Practice for Retirement Villages 2019</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pPr>
        <w:pStyle w:val="yHeading5"/>
      </w:pPr>
      <w:bookmarkStart w:id="44" w:name="_Toc2338291"/>
      <w:bookmarkStart w:id="45" w:name="_Toc2344312"/>
      <w:bookmarkStart w:id="46" w:name="_Toc4486897"/>
      <w:bookmarkStart w:id="47" w:name="_Toc4667920"/>
      <w:r>
        <w:rPr>
          <w:rStyle w:val="CharSClsNo"/>
        </w:rPr>
        <w:t>2</w:t>
      </w:r>
      <w:r>
        <w:t>.</w:t>
      </w:r>
      <w:r>
        <w:tab/>
        <w:t>Application</w:t>
      </w:r>
      <w:bookmarkEnd w:id="44"/>
      <w:bookmarkEnd w:id="45"/>
      <w:bookmarkEnd w:id="46"/>
      <w:bookmarkEnd w:id="47"/>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48" w:name="_Toc2338292"/>
      <w:bookmarkStart w:id="49" w:name="_Toc2344313"/>
      <w:bookmarkStart w:id="50" w:name="_Toc4486898"/>
      <w:bookmarkStart w:id="51" w:name="_Toc4667921"/>
      <w:r>
        <w:rPr>
          <w:rStyle w:val="CharSClsNo"/>
        </w:rPr>
        <w:t>3</w:t>
      </w:r>
      <w:r>
        <w:t>.</w:t>
      </w:r>
      <w:r>
        <w:tab/>
        <w:t>General principles</w:t>
      </w:r>
      <w:bookmarkEnd w:id="48"/>
      <w:bookmarkEnd w:id="49"/>
      <w:bookmarkEnd w:id="50"/>
      <w:bookmarkEnd w:id="51"/>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52" w:name="_Toc2338293"/>
      <w:bookmarkStart w:id="53" w:name="_Toc2344314"/>
      <w:bookmarkStart w:id="54" w:name="_Toc4486899"/>
      <w:bookmarkStart w:id="55" w:name="_Toc4667922"/>
      <w:r>
        <w:rPr>
          <w:rStyle w:val="CharSClsNo"/>
        </w:rPr>
        <w:t>4</w:t>
      </w:r>
      <w:r>
        <w:t>.</w:t>
      </w:r>
      <w:r>
        <w:tab/>
        <w:t>Objectives of Code</w:t>
      </w:r>
      <w:bookmarkEnd w:id="52"/>
      <w:bookmarkEnd w:id="53"/>
      <w:bookmarkEnd w:id="54"/>
      <w:bookmarkEnd w:id="55"/>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ageBreakBefore/>
        <w:widowControl w:val="0"/>
      </w:pPr>
      <w:bookmarkStart w:id="56" w:name="_Toc2338294"/>
      <w:bookmarkStart w:id="57" w:name="_Toc2344315"/>
      <w:bookmarkStart w:id="58" w:name="_Toc4486900"/>
      <w:bookmarkStart w:id="59" w:name="_Toc4667923"/>
      <w:r>
        <w:rPr>
          <w:rStyle w:val="CharSClsNo"/>
        </w:rPr>
        <w:t>5</w:t>
      </w:r>
      <w:r>
        <w:t>.</w:t>
      </w:r>
      <w:r>
        <w:tab/>
        <w:t>Resident’s rights</w:t>
      </w:r>
      <w:bookmarkEnd w:id="56"/>
      <w:bookmarkEnd w:id="57"/>
      <w:bookmarkEnd w:id="58"/>
      <w:bookmarkEnd w:id="59"/>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60" w:name="_Toc2336949"/>
      <w:bookmarkStart w:id="61" w:name="_Toc2337001"/>
      <w:bookmarkStart w:id="62" w:name="_Toc2338295"/>
      <w:bookmarkStart w:id="63" w:name="_Toc2338525"/>
      <w:bookmarkStart w:id="64" w:name="_Toc2338647"/>
      <w:bookmarkStart w:id="65" w:name="_Toc2344316"/>
      <w:bookmarkStart w:id="66" w:name="_Toc4486804"/>
      <w:bookmarkStart w:id="67" w:name="_Toc4486901"/>
      <w:bookmarkStart w:id="68" w:name="_Toc4495632"/>
      <w:bookmarkStart w:id="69" w:name="_Toc4667924"/>
      <w:r>
        <w:rPr>
          <w:rStyle w:val="CharSDivNo"/>
        </w:rPr>
        <w:t>Division 2</w:t>
      </w:r>
      <w:r>
        <w:t> — </w:t>
      </w:r>
      <w:r>
        <w:rPr>
          <w:rStyle w:val="CharSDivText"/>
        </w:rPr>
        <w:t>Advertising and promotion of retirement villages</w:t>
      </w:r>
      <w:bookmarkEnd w:id="60"/>
      <w:bookmarkEnd w:id="61"/>
      <w:bookmarkEnd w:id="62"/>
      <w:bookmarkEnd w:id="63"/>
      <w:bookmarkEnd w:id="64"/>
      <w:bookmarkEnd w:id="65"/>
      <w:bookmarkEnd w:id="66"/>
      <w:bookmarkEnd w:id="67"/>
      <w:bookmarkEnd w:id="68"/>
      <w:bookmarkEnd w:id="69"/>
    </w:p>
    <w:p>
      <w:pPr>
        <w:pStyle w:val="yHeading5"/>
      </w:pPr>
      <w:bookmarkStart w:id="70" w:name="_Toc2338296"/>
      <w:bookmarkStart w:id="71" w:name="_Toc2344317"/>
      <w:bookmarkStart w:id="72" w:name="_Toc4486902"/>
      <w:bookmarkStart w:id="73" w:name="_Toc4667925"/>
      <w:r>
        <w:rPr>
          <w:rStyle w:val="CharSClsNo"/>
        </w:rPr>
        <w:t>6</w:t>
      </w:r>
      <w:r>
        <w:t>.</w:t>
      </w:r>
      <w:r>
        <w:tab/>
        <w:t>General</w:t>
      </w:r>
      <w:bookmarkEnd w:id="70"/>
      <w:bookmarkEnd w:id="71"/>
      <w:bookmarkEnd w:id="72"/>
      <w:bookmarkEnd w:id="73"/>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74" w:name="_Toc2338297"/>
      <w:bookmarkStart w:id="75" w:name="_Toc2344318"/>
      <w:bookmarkStart w:id="76" w:name="_Toc4486903"/>
      <w:bookmarkStart w:id="77" w:name="_Toc4667926"/>
      <w:r>
        <w:rPr>
          <w:rStyle w:val="CharSClsNo"/>
        </w:rPr>
        <w:t>7</w:t>
      </w:r>
      <w:r>
        <w:t>.</w:t>
      </w:r>
      <w:r>
        <w:tab/>
        <w:t>Retirement village developments</w:t>
      </w:r>
      <w:bookmarkEnd w:id="74"/>
      <w:bookmarkEnd w:id="75"/>
      <w:bookmarkEnd w:id="76"/>
      <w:bookmarkEnd w:id="77"/>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78" w:name="_Toc2338298"/>
      <w:bookmarkStart w:id="79" w:name="_Toc2344319"/>
      <w:bookmarkStart w:id="80" w:name="_Toc4486904"/>
      <w:bookmarkStart w:id="81" w:name="_Toc4667927"/>
      <w:r>
        <w:rPr>
          <w:rStyle w:val="CharSClsNo"/>
        </w:rPr>
        <w:t>8</w:t>
      </w:r>
      <w:r>
        <w:t>.</w:t>
      </w:r>
      <w:r>
        <w:tab/>
        <w:t>Proposed amenities and services</w:t>
      </w:r>
      <w:bookmarkEnd w:id="78"/>
      <w:bookmarkEnd w:id="79"/>
      <w:bookmarkEnd w:id="80"/>
      <w:bookmarkEnd w:id="81"/>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82" w:name="_Toc2338299"/>
      <w:bookmarkStart w:id="83" w:name="_Toc2344320"/>
      <w:bookmarkStart w:id="84" w:name="_Toc4486905"/>
      <w:bookmarkStart w:id="85" w:name="_Toc4667928"/>
      <w:r>
        <w:rPr>
          <w:rStyle w:val="CharSClsNo"/>
        </w:rPr>
        <w:t>9</w:t>
      </w:r>
      <w:r>
        <w:t>.</w:t>
      </w:r>
      <w:r>
        <w:tab/>
        <w:t>Approvals for facilities that provide residential aged care services</w:t>
      </w:r>
      <w:bookmarkEnd w:id="82"/>
      <w:bookmarkEnd w:id="83"/>
      <w:bookmarkEnd w:id="84"/>
      <w:bookmarkEnd w:id="85"/>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86" w:name="_Toc2338300"/>
      <w:bookmarkStart w:id="87" w:name="_Toc2344321"/>
      <w:bookmarkStart w:id="88" w:name="_Toc4486906"/>
      <w:bookmarkStart w:id="89" w:name="_Toc4667929"/>
      <w:r>
        <w:rPr>
          <w:rStyle w:val="CharSClsNo"/>
        </w:rPr>
        <w:t>10</w:t>
      </w:r>
      <w:r>
        <w:t>.</w:t>
      </w:r>
      <w:r>
        <w:tab/>
        <w:t>Access to residential aged care services</w:t>
      </w:r>
      <w:bookmarkEnd w:id="86"/>
      <w:bookmarkEnd w:id="87"/>
      <w:bookmarkEnd w:id="88"/>
      <w:bookmarkEnd w:id="89"/>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90" w:name="_Toc2336955"/>
      <w:bookmarkStart w:id="91" w:name="_Toc2337007"/>
      <w:bookmarkStart w:id="92" w:name="_Toc2338301"/>
      <w:bookmarkStart w:id="93" w:name="_Toc2338531"/>
      <w:bookmarkStart w:id="94" w:name="_Toc2338653"/>
      <w:bookmarkStart w:id="95" w:name="_Toc2344322"/>
      <w:bookmarkStart w:id="96" w:name="_Toc4486810"/>
      <w:bookmarkStart w:id="97" w:name="_Toc4486907"/>
      <w:bookmarkStart w:id="98" w:name="_Toc4495638"/>
      <w:bookmarkStart w:id="99" w:name="_Toc4667930"/>
      <w:r>
        <w:rPr>
          <w:rStyle w:val="CharSDivNo"/>
        </w:rPr>
        <w:t>Division 3</w:t>
      </w:r>
      <w:r>
        <w:t> — </w:t>
      </w:r>
      <w:r>
        <w:rPr>
          <w:rStyle w:val="CharSDivText"/>
        </w:rPr>
        <w:t>Prospective resident’s right to information before entering into service contract</w:t>
      </w:r>
      <w:bookmarkEnd w:id="90"/>
      <w:bookmarkEnd w:id="91"/>
      <w:bookmarkEnd w:id="92"/>
      <w:bookmarkEnd w:id="93"/>
      <w:bookmarkEnd w:id="94"/>
      <w:bookmarkEnd w:id="95"/>
      <w:bookmarkEnd w:id="96"/>
      <w:bookmarkEnd w:id="97"/>
      <w:bookmarkEnd w:id="98"/>
      <w:bookmarkEnd w:id="99"/>
    </w:p>
    <w:p>
      <w:pPr>
        <w:pStyle w:val="yHeading5"/>
      </w:pPr>
      <w:bookmarkStart w:id="100" w:name="_Toc2338302"/>
      <w:bookmarkStart w:id="101" w:name="_Toc2344323"/>
      <w:bookmarkStart w:id="102" w:name="_Toc4486908"/>
      <w:bookmarkStart w:id="103" w:name="_Toc4667931"/>
      <w:r>
        <w:rPr>
          <w:rStyle w:val="CharSClsNo"/>
        </w:rPr>
        <w:t>11</w:t>
      </w:r>
      <w:r>
        <w:t>.</w:t>
      </w:r>
      <w:r>
        <w:tab/>
        <w:t>Before entering into service contract</w:t>
      </w:r>
      <w:bookmarkEnd w:id="100"/>
      <w:bookmarkEnd w:id="101"/>
      <w:bookmarkEnd w:id="102"/>
      <w:bookmarkEnd w:id="103"/>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ageBreakBefore/>
        <w:spacing w:before="0"/>
      </w:pPr>
      <w:bookmarkStart w:id="104" w:name="_Toc2336957"/>
      <w:bookmarkStart w:id="105" w:name="_Toc2337009"/>
      <w:bookmarkStart w:id="106" w:name="_Toc2338303"/>
      <w:bookmarkStart w:id="107" w:name="_Toc2338533"/>
      <w:bookmarkStart w:id="108" w:name="_Toc2338655"/>
      <w:bookmarkStart w:id="109" w:name="_Toc2344324"/>
      <w:bookmarkStart w:id="110" w:name="_Toc4486812"/>
      <w:bookmarkStart w:id="111" w:name="_Toc4486909"/>
      <w:bookmarkStart w:id="112" w:name="_Toc4495640"/>
      <w:bookmarkStart w:id="113" w:name="_Toc4667932"/>
      <w:r>
        <w:rPr>
          <w:rStyle w:val="CharSDivNo"/>
        </w:rPr>
        <w:t>Division 4</w:t>
      </w:r>
      <w:r>
        <w:t> — </w:t>
      </w:r>
      <w:r>
        <w:rPr>
          <w:rStyle w:val="CharSDivText"/>
        </w:rPr>
        <w:t>Service contract</w:t>
      </w:r>
      <w:bookmarkEnd w:id="104"/>
      <w:bookmarkEnd w:id="105"/>
      <w:bookmarkEnd w:id="106"/>
      <w:bookmarkEnd w:id="107"/>
      <w:bookmarkEnd w:id="108"/>
      <w:bookmarkEnd w:id="109"/>
      <w:bookmarkEnd w:id="110"/>
      <w:bookmarkEnd w:id="111"/>
      <w:bookmarkEnd w:id="112"/>
      <w:bookmarkEnd w:id="113"/>
    </w:p>
    <w:p>
      <w:pPr>
        <w:pStyle w:val="yHeading5"/>
      </w:pPr>
      <w:bookmarkStart w:id="114" w:name="_Toc2338304"/>
      <w:bookmarkStart w:id="115" w:name="_Toc2344325"/>
      <w:bookmarkStart w:id="116" w:name="_Toc4486910"/>
      <w:bookmarkStart w:id="117" w:name="_Toc4667933"/>
      <w:r>
        <w:rPr>
          <w:rStyle w:val="CharSClsNo"/>
        </w:rPr>
        <w:t>12</w:t>
      </w:r>
      <w:r>
        <w:t>.</w:t>
      </w:r>
      <w:r>
        <w:tab/>
        <w:t>Legibility and presentation requirements</w:t>
      </w:r>
      <w:bookmarkEnd w:id="114"/>
      <w:bookmarkEnd w:id="115"/>
      <w:bookmarkEnd w:id="116"/>
      <w:bookmarkEnd w:id="117"/>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118" w:name="_Toc2338305"/>
      <w:bookmarkStart w:id="119" w:name="_Toc2344326"/>
      <w:bookmarkStart w:id="120" w:name="_Toc4486911"/>
      <w:bookmarkStart w:id="121" w:name="_Toc4667934"/>
      <w:r>
        <w:rPr>
          <w:rStyle w:val="CharSClsNo"/>
        </w:rPr>
        <w:t>13</w:t>
      </w:r>
      <w:r>
        <w:t>.</w:t>
      </w:r>
      <w:r>
        <w:tab/>
      </w:r>
      <w:r>
        <w:rPr>
          <w:szCs w:val="22"/>
        </w:rPr>
        <w:t>Services</w:t>
      </w:r>
      <w:bookmarkEnd w:id="118"/>
      <w:bookmarkEnd w:id="119"/>
      <w:bookmarkEnd w:id="120"/>
      <w:bookmarkEnd w:id="121"/>
    </w:p>
    <w:p>
      <w:pPr>
        <w:pStyle w:val="ySubsection"/>
        <w:rPr>
          <w:szCs w:val="22"/>
        </w:rPr>
      </w:pPr>
      <w:r>
        <w:tab/>
        <w:t>(1)</w:t>
      </w:r>
      <w:r>
        <w:tab/>
      </w:r>
      <w:r>
        <w:rPr>
          <w:szCs w:val="22"/>
        </w:rPr>
        <w:t xml:space="preserve">A service contract must state — </w:t>
      </w:r>
    </w:p>
    <w:p>
      <w:pPr>
        <w:pStyle w:val="yIndenta"/>
        <w:rPr>
          <w:szCs w:val="22"/>
        </w:rPr>
      </w:pPr>
      <w:r>
        <w:tab/>
        <w:t>(a)</w:t>
      </w:r>
      <w:r>
        <w:tab/>
      </w:r>
      <w:r>
        <w:rPr>
          <w:szCs w:val="22"/>
        </w:rPr>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tab/>
        <w:t>(a)</w:t>
      </w:r>
      <w:r>
        <w:tab/>
      </w:r>
      <w:r>
        <w:rPr>
          <w:szCs w:val="22"/>
        </w:rPr>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keepNext w:val="0"/>
        <w:pageBreakBefore/>
        <w:widowControl w:val="0"/>
        <w:spacing w:before="0"/>
      </w:pPr>
      <w:bookmarkStart w:id="122" w:name="_Toc2336960"/>
      <w:bookmarkStart w:id="123" w:name="_Toc2337012"/>
      <w:bookmarkStart w:id="124" w:name="_Toc2338306"/>
      <w:bookmarkStart w:id="125" w:name="_Toc2338536"/>
      <w:bookmarkStart w:id="126" w:name="_Toc2338658"/>
      <w:bookmarkStart w:id="127" w:name="_Toc2344327"/>
      <w:bookmarkStart w:id="128" w:name="_Toc4486815"/>
      <w:bookmarkStart w:id="129" w:name="_Toc4486912"/>
      <w:bookmarkStart w:id="130" w:name="_Toc4495643"/>
      <w:bookmarkStart w:id="131" w:name="_Toc4667935"/>
      <w:r>
        <w:rPr>
          <w:rStyle w:val="CharSDivNo"/>
        </w:rPr>
        <w:t>Division 5</w:t>
      </w:r>
      <w:r>
        <w:t> — </w:t>
      </w:r>
      <w:r>
        <w:rPr>
          <w:rStyle w:val="CharSDivText"/>
        </w:rPr>
        <w:t>Village management</w:t>
      </w:r>
      <w:bookmarkEnd w:id="122"/>
      <w:bookmarkEnd w:id="123"/>
      <w:bookmarkEnd w:id="124"/>
      <w:bookmarkEnd w:id="125"/>
      <w:bookmarkEnd w:id="126"/>
      <w:bookmarkEnd w:id="127"/>
      <w:bookmarkEnd w:id="128"/>
      <w:bookmarkEnd w:id="129"/>
      <w:bookmarkEnd w:id="130"/>
      <w:bookmarkEnd w:id="131"/>
    </w:p>
    <w:p>
      <w:pPr>
        <w:pStyle w:val="yHeading5"/>
      </w:pPr>
      <w:bookmarkStart w:id="132" w:name="_Toc2338307"/>
      <w:bookmarkStart w:id="133" w:name="_Toc2344328"/>
      <w:bookmarkStart w:id="134" w:name="_Toc4486913"/>
      <w:bookmarkStart w:id="135" w:name="_Toc4667936"/>
      <w:r>
        <w:rPr>
          <w:rStyle w:val="CharSClsNo"/>
        </w:rPr>
        <w:t>14</w:t>
      </w:r>
      <w:r>
        <w:t>.</w:t>
      </w:r>
      <w:r>
        <w:tab/>
        <w:t>Terms used</w:t>
      </w:r>
      <w:bookmarkEnd w:id="132"/>
      <w:bookmarkEnd w:id="133"/>
      <w:bookmarkEnd w:id="134"/>
      <w:bookmarkEnd w:id="135"/>
    </w:p>
    <w:p>
      <w:pPr>
        <w:pStyle w:val="ySubsection"/>
        <w:keepNext/>
        <w:rPr>
          <w:szCs w:val="22"/>
        </w:rPr>
      </w:pPr>
      <w:r>
        <w:tab/>
        <w:t>(1)</w:t>
      </w:r>
      <w:r>
        <w:tab/>
      </w:r>
      <w:r>
        <w:rPr>
          <w:szCs w:val="22"/>
        </w:rPr>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136" w:name="_Toc2338308"/>
      <w:bookmarkStart w:id="137" w:name="_Toc2344329"/>
      <w:bookmarkStart w:id="138" w:name="_Toc4486914"/>
      <w:bookmarkStart w:id="139" w:name="_Toc4667937"/>
      <w:r>
        <w:rPr>
          <w:rStyle w:val="CharSClsNo"/>
        </w:rPr>
        <w:t>15</w:t>
      </w:r>
      <w:r>
        <w:t>.</w:t>
      </w:r>
      <w:r>
        <w:tab/>
      </w:r>
      <w:r>
        <w:rPr>
          <w:szCs w:val="22"/>
        </w:rPr>
        <w:t>Special resolutions</w:t>
      </w:r>
      <w:bookmarkEnd w:id="136"/>
      <w:bookmarkEnd w:id="137"/>
      <w:bookmarkEnd w:id="138"/>
      <w:bookmarkEnd w:id="139"/>
    </w:p>
    <w:p>
      <w:pPr>
        <w:pStyle w:val="ySubsection"/>
        <w:rPr>
          <w:szCs w:val="22"/>
        </w:rPr>
      </w:pPr>
      <w:r>
        <w:tab/>
        <w:t>(1)</w:t>
      </w:r>
      <w:r>
        <w:tab/>
      </w:r>
      <w:r>
        <w:rPr>
          <w:szCs w:val="22"/>
        </w:rPr>
        <w:t xml:space="preserve">To pass a special resolution at a meeting of the residents of a retirement village — </w:t>
      </w:r>
    </w:p>
    <w:p>
      <w:pPr>
        <w:pStyle w:val="yIndenta"/>
        <w:rPr>
          <w:szCs w:val="22"/>
        </w:rPr>
      </w:pPr>
      <w:r>
        <w:tab/>
        <w:t>(a)</w:t>
      </w:r>
      <w:r>
        <w:tab/>
      </w:r>
      <w:r>
        <w:rPr>
          <w:szCs w:val="22"/>
        </w:rPr>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rPr>
          <w:szCs w:val="22"/>
        </w:rPr>
      </w:pPr>
      <w:r>
        <w:tab/>
        <w:t>(i)</w:t>
      </w:r>
      <w:r>
        <w:tab/>
      </w:r>
      <w:r>
        <w:rPr>
          <w:szCs w:val="22"/>
        </w:rPr>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w:t>
      </w:r>
      <w:r>
        <w:rPr>
          <w:szCs w:val="22"/>
        </w:rPr>
        <w:noBreakHyphen/>
        <w:t>year term (clause 24(6));</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rPr>
          <w:szCs w:val="22"/>
        </w:rPr>
      </w:pPr>
      <w:bookmarkStart w:id="140" w:name="_Toc2338309"/>
      <w:bookmarkStart w:id="141" w:name="_Toc2344330"/>
      <w:bookmarkStart w:id="142" w:name="_Toc4486915"/>
      <w:bookmarkStart w:id="143" w:name="_Toc4667938"/>
      <w:r>
        <w:rPr>
          <w:rStyle w:val="CharSClsNo"/>
        </w:rPr>
        <w:t>16</w:t>
      </w:r>
      <w:r>
        <w:t>.</w:t>
      </w:r>
      <w:r>
        <w:tab/>
      </w:r>
      <w:r>
        <w:rPr>
          <w:szCs w:val="22"/>
        </w:rPr>
        <w:t>Management procedures and resident consultation</w:t>
      </w:r>
      <w:bookmarkEnd w:id="140"/>
      <w:bookmarkEnd w:id="141"/>
      <w:bookmarkEnd w:id="142"/>
      <w:bookmarkEnd w:id="143"/>
    </w:p>
    <w:p>
      <w:pPr>
        <w:pStyle w:val="ySubsection"/>
        <w:rPr>
          <w:szCs w:val="22"/>
        </w:rPr>
      </w:pPr>
      <w:r>
        <w:tab/>
        <w:t>(1)</w:t>
      </w:r>
      <w:r>
        <w:tab/>
      </w:r>
      <w:r>
        <w:rPr>
          <w:szCs w:val="22"/>
        </w:rPr>
        <w:t xml:space="preserve">The administering body of a retirement village must — </w:t>
      </w:r>
    </w:p>
    <w:p>
      <w:pPr>
        <w:pStyle w:val="yIndenta"/>
        <w:rPr>
          <w:szCs w:val="22"/>
        </w:rPr>
      </w:pPr>
      <w:r>
        <w:tab/>
        <w:t>(a)</w:t>
      </w:r>
      <w:r>
        <w:tab/>
      </w:r>
      <w:r>
        <w:rPr>
          <w:szCs w:val="22"/>
        </w:rPr>
        <w:t>provide prudent, efficient and economical management of the retirement village, having regard to the terms and conditions of the residence contract and any related contracts; and</w:t>
      </w:r>
    </w:p>
    <w:p>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must make available to be inspected or copied any document that might reasonably be expected to be material to that request.</w:t>
      </w:r>
    </w:p>
    <w:p>
      <w:pPr>
        <w:pStyle w:val="ySubsection"/>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144" w:name="_Toc2338310"/>
      <w:bookmarkStart w:id="145" w:name="_Toc2344331"/>
      <w:bookmarkStart w:id="146" w:name="_Toc4486916"/>
      <w:bookmarkStart w:id="147" w:name="_Toc4667939"/>
      <w:r>
        <w:rPr>
          <w:rStyle w:val="CharSClsNo"/>
        </w:rPr>
        <w:t>17</w:t>
      </w:r>
      <w:r>
        <w:t>.</w:t>
      </w:r>
      <w:r>
        <w:tab/>
      </w:r>
      <w:r>
        <w:rPr>
          <w:szCs w:val="22"/>
        </w:rPr>
        <w:t>Village budget</w:t>
      </w:r>
      <w:bookmarkEnd w:id="144"/>
      <w:bookmarkEnd w:id="145"/>
      <w:bookmarkEnd w:id="146"/>
      <w:bookmarkEnd w:id="147"/>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tab/>
        <w:t>(i)</w:t>
      </w:r>
      <w:r>
        <w:tab/>
      </w:r>
      <w:r>
        <w:rPr>
          <w:szCs w:val="22"/>
        </w:rPr>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pageBreakBefore/>
        <w:rPr>
          <w:szCs w:val="22"/>
        </w:rPr>
      </w:pPr>
      <w:bookmarkStart w:id="148" w:name="_Toc2338311"/>
      <w:bookmarkStart w:id="149" w:name="_Toc2344332"/>
      <w:bookmarkStart w:id="150" w:name="_Toc4486917"/>
      <w:bookmarkStart w:id="151" w:name="_Toc4667940"/>
      <w:r>
        <w:rPr>
          <w:rStyle w:val="CharSClsNo"/>
        </w:rPr>
        <w:t>18</w:t>
      </w:r>
      <w:r>
        <w:t>.</w:t>
      </w:r>
      <w:r>
        <w:tab/>
      </w:r>
      <w:r>
        <w:rPr>
          <w:szCs w:val="22"/>
        </w:rPr>
        <w:t>Quarterly financial statements</w:t>
      </w:r>
      <w:bookmarkEnd w:id="148"/>
      <w:bookmarkEnd w:id="149"/>
      <w:bookmarkEnd w:id="150"/>
      <w:bookmarkEnd w:id="151"/>
    </w:p>
    <w:p>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tab/>
        <w:t>(a)</w:t>
      </w:r>
      <w:r>
        <w:tab/>
      </w:r>
      <w:r>
        <w:rPr>
          <w:szCs w:val="22"/>
        </w:rPr>
        <w:t xml:space="preserve">a statement of income and expenditure; </w:t>
      </w:r>
    </w:p>
    <w:p>
      <w:pPr>
        <w:pStyle w:val="yIndenta"/>
        <w:rPr>
          <w:szCs w:val="22"/>
        </w:rPr>
      </w:pPr>
      <w:r>
        <w:tab/>
        <w:t>(b)</w:t>
      </w:r>
      <w:r>
        <w:tab/>
      </w:r>
      <w:r>
        <w:rPr>
          <w:szCs w:val="22"/>
        </w:rPr>
        <w:t>a reserve fund statement.</w:t>
      </w:r>
    </w:p>
    <w:p>
      <w:pPr>
        <w:pStyle w:val="ySubsection"/>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152" w:name="_Toc2338312"/>
      <w:bookmarkStart w:id="153" w:name="_Toc2344333"/>
      <w:bookmarkStart w:id="154" w:name="_Toc4486918"/>
      <w:bookmarkStart w:id="155" w:name="_Toc4667941"/>
      <w:r>
        <w:rPr>
          <w:rStyle w:val="CharSClsNo"/>
        </w:rPr>
        <w:t>19</w:t>
      </w:r>
      <w:r>
        <w:t>.</w:t>
      </w:r>
      <w:r>
        <w:tab/>
        <w:t>Annual financial statements</w:t>
      </w:r>
      <w:bookmarkEnd w:id="152"/>
      <w:bookmarkEnd w:id="153"/>
      <w:bookmarkEnd w:id="154"/>
      <w:bookmarkEnd w:id="155"/>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rPr>
          <w:szCs w:val="22"/>
        </w:rPr>
      </w:pPr>
      <w:r>
        <w:tab/>
        <w:t>(i)</w:t>
      </w:r>
      <w:r>
        <w:tab/>
      </w:r>
      <w:r>
        <w:rPr>
          <w:szCs w:val="22"/>
        </w:rPr>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keepNext w:val="0"/>
        <w:keepLines w:val="0"/>
        <w:pageBreakBefore/>
        <w:widowControl w:val="0"/>
        <w:rPr>
          <w:szCs w:val="22"/>
        </w:rPr>
      </w:pPr>
      <w:bookmarkStart w:id="156" w:name="_Toc2338313"/>
      <w:bookmarkStart w:id="157" w:name="_Toc2344334"/>
      <w:bookmarkStart w:id="158" w:name="_Toc4486919"/>
      <w:bookmarkStart w:id="159" w:name="_Toc4667942"/>
      <w:r>
        <w:rPr>
          <w:rStyle w:val="CharSClsNo"/>
        </w:rPr>
        <w:t>20</w:t>
      </w:r>
      <w:r>
        <w:t>.</w:t>
      </w:r>
      <w:r>
        <w:tab/>
      </w:r>
      <w:r>
        <w:rPr>
          <w:szCs w:val="22"/>
        </w:rPr>
        <w:t>Budget surplus</w:t>
      </w:r>
      <w:bookmarkEnd w:id="156"/>
      <w:bookmarkEnd w:id="157"/>
      <w:bookmarkEnd w:id="158"/>
      <w:bookmarkEnd w:id="159"/>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160" w:name="_Toc2338314"/>
      <w:bookmarkStart w:id="161" w:name="_Toc2344335"/>
      <w:bookmarkStart w:id="162" w:name="_Toc4486920"/>
      <w:bookmarkStart w:id="163" w:name="_Toc4667943"/>
      <w:r>
        <w:rPr>
          <w:rStyle w:val="CharSClsNo"/>
        </w:rPr>
        <w:t>21</w:t>
      </w:r>
      <w:r>
        <w:t>.</w:t>
      </w:r>
      <w:r>
        <w:tab/>
      </w:r>
      <w:r>
        <w:rPr>
          <w:szCs w:val="22"/>
        </w:rPr>
        <w:t>Marketing of residential premises</w:t>
      </w:r>
      <w:bookmarkEnd w:id="160"/>
      <w:bookmarkEnd w:id="161"/>
      <w:bookmarkEnd w:id="162"/>
      <w:bookmarkEnd w:id="163"/>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tab/>
        <w:t>(a)</w:t>
      </w:r>
      <w:r>
        <w:tab/>
      </w:r>
      <w:r>
        <w:rPr>
          <w:szCs w:val="22"/>
        </w:rPr>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164" w:name="_Toc2338315"/>
      <w:bookmarkStart w:id="165" w:name="_Toc2344336"/>
      <w:bookmarkStart w:id="166" w:name="_Toc4486921"/>
      <w:bookmarkStart w:id="167" w:name="_Toc4667944"/>
      <w:r>
        <w:rPr>
          <w:rStyle w:val="CharSClsNo"/>
        </w:rPr>
        <w:t>22</w:t>
      </w:r>
      <w:r>
        <w:t>.</w:t>
      </w:r>
      <w:r>
        <w:tab/>
      </w:r>
      <w:r>
        <w:rPr>
          <w:szCs w:val="22"/>
        </w:rPr>
        <w:t>Refurbishment of residential premises</w:t>
      </w:r>
      <w:bookmarkEnd w:id="164"/>
      <w:bookmarkEnd w:id="165"/>
      <w:bookmarkEnd w:id="166"/>
      <w:bookmarkEnd w:id="167"/>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rPr>
          <w:szCs w:val="22"/>
        </w:rPr>
      </w:pPr>
      <w:r>
        <w:tab/>
        <w:t>(i)</w:t>
      </w:r>
      <w:r>
        <w:tab/>
      </w:r>
      <w:r>
        <w:rPr>
          <w:szCs w:val="22"/>
        </w:rPr>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168" w:name="_Toc2338316"/>
      <w:bookmarkStart w:id="169" w:name="_Toc2344337"/>
      <w:bookmarkStart w:id="170" w:name="_Toc4486922"/>
      <w:bookmarkStart w:id="171" w:name="_Toc4667945"/>
      <w:r>
        <w:rPr>
          <w:rStyle w:val="CharSClsNo"/>
        </w:rPr>
        <w:t>23</w:t>
      </w:r>
      <w:r>
        <w:t>.</w:t>
      </w:r>
      <w:r>
        <w:tab/>
      </w:r>
      <w:r>
        <w:rPr>
          <w:szCs w:val="22"/>
        </w:rPr>
        <w:t>Residence rules</w:t>
      </w:r>
      <w:bookmarkEnd w:id="168"/>
      <w:bookmarkEnd w:id="169"/>
      <w:bookmarkEnd w:id="170"/>
      <w:bookmarkEnd w:id="171"/>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172" w:name="_Toc2338317"/>
      <w:bookmarkStart w:id="173" w:name="_Toc2344338"/>
      <w:bookmarkStart w:id="174" w:name="_Toc4486923"/>
      <w:bookmarkStart w:id="175" w:name="_Toc4667946"/>
      <w:r>
        <w:rPr>
          <w:rStyle w:val="CharSClsNo"/>
        </w:rPr>
        <w:t>24</w:t>
      </w:r>
      <w:r>
        <w:t>.</w:t>
      </w:r>
      <w:r>
        <w:tab/>
      </w:r>
      <w:r>
        <w:rPr>
          <w:szCs w:val="22"/>
        </w:rPr>
        <w:t>Residents’ committee of retirement village residents</w:t>
      </w:r>
      <w:bookmarkEnd w:id="172"/>
      <w:bookmarkEnd w:id="173"/>
      <w:bookmarkEnd w:id="174"/>
      <w:bookmarkEnd w:id="175"/>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rPr>
          <w:szCs w:val="22"/>
        </w:rPr>
      </w:pPr>
      <w:r>
        <w:tab/>
        <w:t>(a)</w:t>
      </w:r>
      <w:r>
        <w:tab/>
      </w:r>
      <w:r>
        <w:rPr>
          <w:szCs w:val="22"/>
        </w:rPr>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rPr>
          <w:szCs w:val="22"/>
        </w:rPr>
      </w:pPr>
      <w:r>
        <w:tab/>
        <w:t>(i)</w:t>
      </w:r>
      <w:r>
        <w:tab/>
      </w:r>
      <w:r>
        <w:rPr>
          <w:szCs w:val="22"/>
        </w:rPr>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176" w:name="_Toc2338318"/>
      <w:bookmarkStart w:id="177" w:name="_Toc2344339"/>
      <w:bookmarkStart w:id="178" w:name="_Toc4486924"/>
      <w:bookmarkStart w:id="179" w:name="_Toc4667947"/>
      <w:r>
        <w:rPr>
          <w:rStyle w:val="CharSClsNo"/>
        </w:rPr>
        <w:t>25</w:t>
      </w:r>
      <w:r>
        <w:t>.</w:t>
      </w:r>
      <w:r>
        <w:tab/>
      </w:r>
      <w:r>
        <w:rPr>
          <w:szCs w:val="22"/>
        </w:rPr>
        <w:t>Incorporated association formed to carry out function of residents’ committee</w:t>
      </w:r>
      <w:bookmarkEnd w:id="176"/>
      <w:bookmarkEnd w:id="177"/>
      <w:bookmarkEnd w:id="178"/>
      <w:bookmarkEnd w:id="179"/>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rPr>
          <w:szCs w:val="22"/>
        </w:rPr>
      </w:pPr>
      <w:r>
        <w:tab/>
        <w:t>(i)</w:t>
      </w:r>
      <w:r>
        <w:tab/>
      </w:r>
      <w:r>
        <w:rPr>
          <w:szCs w:val="22"/>
        </w:rPr>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180" w:name="_Toc2338319"/>
      <w:bookmarkStart w:id="181" w:name="_Toc2344340"/>
      <w:bookmarkStart w:id="182" w:name="_Toc4486925"/>
      <w:bookmarkStart w:id="183" w:name="_Toc4667948"/>
      <w:r>
        <w:rPr>
          <w:rStyle w:val="CharSClsNo"/>
        </w:rPr>
        <w:t>26</w:t>
      </w:r>
      <w:r>
        <w:t>.</w:t>
      </w:r>
      <w:r>
        <w:tab/>
        <w:t>Residents’ meetings</w:t>
      </w:r>
      <w:bookmarkEnd w:id="180"/>
      <w:bookmarkEnd w:id="181"/>
      <w:bookmarkEnd w:id="182"/>
      <w:bookmarkEnd w:id="183"/>
    </w:p>
    <w:p>
      <w:pPr>
        <w:pStyle w:val="ySubsection"/>
        <w:rPr>
          <w:szCs w:val="22"/>
        </w:rPr>
      </w:pPr>
      <w:r>
        <w:tab/>
        <w:t>(1)</w:t>
      </w:r>
      <w:r>
        <w:tab/>
      </w:r>
      <w:r>
        <w:rPr>
          <w:szCs w:val="22"/>
        </w:rPr>
        <w:t xml:space="preserve">The administering body of a retirement village — </w:t>
      </w:r>
    </w:p>
    <w:p>
      <w:pPr>
        <w:pStyle w:val="yIndenta"/>
        <w:rPr>
          <w:szCs w:val="22"/>
        </w:rPr>
      </w:pPr>
      <w:r>
        <w:tab/>
        <w:t>(a)</w:t>
      </w:r>
      <w:r>
        <w:tab/>
      </w:r>
      <w:r>
        <w:rPr>
          <w:szCs w:val="22"/>
        </w:rPr>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rPr>
          <w:szCs w:val="22"/>
        </w:rPr>
      </w:pPr>
      <w:r>
        <w:tab/>
        <w:t>(i)</w:t>
      </w:r>
      <w:r>
        <w:tab/>
      </w:r>
      <w:r>
        <w:rPr>
          <w:szCs w:val="22"/>
        </w:rPr>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r>
        <w:t>.</w:t>
      </w:r>
    </w:p>
    <w:p>
      <w:pPr>
        <w:pStyle w:val="ySubsection"/>
        <w:rPr>
          <w:szCs w:val="22"/>
        </w:rPr>
      </w:pPr>
      <w:r>
        <w:tab/>
        <w:t>(14)</w:t>
      </w:r>
      <w:r>
        <w:tab/>
      </w:r>
      <w:r>
        <w:rPr>
          <w:szCs w:val="22"/>
        </w:rPr>
        <w:t>At a meeting of the residents under this clause voting may be by a secret ballot.</w:t>
      </w:r>
    </w:p>
    <w:p>
      <w:pPr>
        <w:pStyle w:val="ySubsection"/>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184" w:name="_Toc2338320"/>
      <w:bookmarkStart w:id="185" w:name="_Toc2344341"/>
      <w:bookmarkStart w:id="186" w:name="_Toc4486926"/>
      <w:bookmarkStart w:id="187" w:name="_Toc4667949"/>
      <w:r>
        <w:rPr>
          <w:rStyle w:val="CharSClsNo"/>
        </w:rPr>
        <w:t>27</w:t>
      </w:r>
      <w:r>
        <w:t>.</w:t>
      </w:r>
      <w:r>
        <w:tab/>
      </w:r>
      <w:r>
        <w:rPr>
          <w:szCs w:val="22"/>
        </w:rPr>
        <w:t>Proxy voting</w:t>
      </w:r>
      <w:bookmarkEnd w:id="184"/>
      <w:bookmarkEnd w:id="185"/>
      <w:bookmarkEnd w:id="186"/>
      <w:bookmarkEnd w:id="187"/>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tab/>
        <w:t>(a)</w:t>
      </w:r>
      <w:r>
        <w:tab/>
      </w:r>
      <w:r>
        <w:rPr>
          <w:szCs w:val="22"/>
        </w:rPr>
        <w:t xml:space="preserve">if the administering body is an individual — </w:t>
      </w:r>
    </w:p>
    <w:p>
      <w:pPr>
        <w:pStyle w:val="yDefsubpara"/>
        <w:rPr>
          <w:szCs w:val="22"/>
        </w:rPr>
      </w:pPr>
      <w:r>
        <w:tab/>
        <w:t>(i)</w:t>
      </w:r>
      <w:r>
        <w:tab/>
      </w:r>
      <w:r>
        <w:rPr>
          <w:szCs w:val="22"/>
        </w:rPr>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keepNext w:val="0"/>
        <w:keepLines w:val="0"/>
        <w:spacing w:before="120"/>
        <w:rPr>
          <w:szCs w:val="22"/>
        </w:rPr>
      </w:pPr>
      <w:bookmarkStart w:id="188" w:name="_Toc2338321"/>
      <w:bookmarkStart w:id="189" w:name="_Toc2344342"/>
      <w:bookmarkStart w:id="190" w:name="_Toc4486927"/>
      <w:bookmarkStart w:id="191" w:name="_Toc4667950"/>
      <w:r>
        <w:rPr>
          <w:rStyle w:val="CharSClsNo"/>
        </w:rPr>
        <w:t>28</w:t>
      </w:r>
      <w:r>
        <w:t>.</w:t>
      </w:r>
      <w:r>
        <w:tab/>
      </w:r>
      <w:r>
        <w:rPr>
          <w:szCs w:val="22"/>
        </w:rPr>
        <w:t>Voting by secret ballot</w:t>
      </w:r>
      <w:bookmarkEnd w:id="188"/>
      <w:bookmarkEnd w:id="189"/>
      <w:bookmarkEnd w:id="190"/>
      <w:bookmarkEnd w:id="191"/>
    </w:p>
    <w:p>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Example of taking a vote by a secret ballot</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pageBreakBefore/>
        <w:spacing w:before="0"/>
      </w:pPr>
      <w:bookmarkStart w:id="192" w:name="_Toc2336976"/>
      <w:bookmarkStart w:id="193" w:name="_Toc2337028"/>
      <w:bookmarkStart w:id="194" w:name="_Toc2338322"/>
      <w:bookmarkStart w:id="195" w:name="_Toc2338552"/>
      <w:bookmarkStart w:id="196" w:name="_Toc2338674"/>
      <w:bookmarkStart w:id="197" w:name="_Toc2344343"/>
      <w:bookmarkStart w:id="198" w:name="_Toc4486831"/>
      <w:bookmarkStart w:id="199" w:name="_Toc4486928"/>
      <w:bookmarkStart w:id="200" w:name="_Toc4495659"/>
      <w:bookmarkStart w:id="201" w:name="_Toc4667951"/>
      <w:r>
        <w:rPr>
          <w:rStyle w:val="CharSDivNo"/>
        </w:rPr>
        <w:t>Division 6</w:t>
      </w:r>
      <w:r>
        <w:t> — </w:t>
      </w:r>
      <w:r>
        <w:rPr>
          <w:rStyle w:val="CharSDivText"/>
        </w:rPr>
        <w:t>Dispute resolution</w:t>
      </w:r>
      <w:bookmarkEnd w:id="192"/>
      <w:bookmarkEnd w:id="193"/>
      <w:bookmarkEnd w:id="194"/>
      <w:bookmarkEnd w:id="195"/>
      <w:bookmarkEnd w:id="196"/>
      <w:bookmarkEnd w:id="197"/>
      <w:bookmarkEnd w:id="198"/>
      <w:bookmarkEnd w:id="199"/>
      <w:bookmarkEnd w:id="200"/>
      <w:bookmarkEnd w:id="201"/>
    </w:p>
    <w:p>
      <w:pPr>
        <w:pStyle w:val="yHeading5"/>
        <w:rPr>
          <w:szCs w:val="22"/>
        </w:rPr>
      </w:pPr>
      <w:bookmarkStart w:id="202" w:name="_Toc2338323"/>
      <w:bookmarkStart w:id="203" w:name="_Toc2344344"/>
      <w:bookmarkStart w:id="204" w:name="_Toc4486929"/>
      <w:bookmarkStart w:id="205" w:name="_Toc4667952"/>
      <w:r>
        <w:rPr>
          <w:rStyle w:val="CharSClsNo"/>
        </w:rPr>
        <w:t>29</w:t>
      </w:r>
      <w:r>
        <w:t>.</w:t>
      </w:r>
      <w:r>
        <w:tab/>
      </w:r>
      <w:r>
        <w:rPr>
          <w:szCs w:val="22"/>
        </w:rPr>
        <w:t>Terms used</w:t>
      </w:r>
      <w:bookmarkEnd w:id="202"/>
      <w:bookmarkEnd w:id="203"/>
      <w:bookmarkEnd w:id="204"/>
      <w:bookmarkEnd w:id="205"/>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206" w:name="_Toc2338324"/>
      <w:bookmarkStart w:id="207" w:name="_Toc2344345"/>
      <w:bookmarkStart w:id="208" w:name="_Toc4486930"/>
      <w:bookmarkStart w:id="209" w:name="_Toc4667953"/>
      <w:r>
        <w:rPr>
          <w:rStyle w:val="CharSClsNo"/>
        </w:rPr>
        <w:t>30</w:t>
      </w:r>
      <w:r>
        <w:t>.</w:t>
      </w:r>
      <w:r>
        <w:tab/>
      </w:r>
      <w:r>
        <w:rPr>
          <w:szCs w:val="22"/>
        </w:rPr>
        <w:t>Village dispute resolution process</w:t>
      </w:r>
      <w:bookmarkEnd w:id="206"/>
      <w:bookmarkEnd w:id="207"/>
      <w:bookmarkEnd w:id="208"/>
      <w:bookmarkEnd w:id="209"/>
    </w:p>
    <w:p>
      <w:pPr>
        <w:pStyle w:val="ySubsection"/>
        <w:rPr>
          <w:szCs w:val="22"/>
        </w:rPr>
      </w:pPr>
      <w:r>
        <w:tab/>
        <w:t>(1)</w:t>
      </w:r>
      <w:r>
        <w:tab/>
      </w:r>
      <w:r>
        <w:rPr>
          <w:szCs w:val="22"/>
        </w:rPr>
        <w:t xml:space="preserve">A resident who considers that a retirement village dispute has arisen must — </w:t>
      </w:r>
    </w:p>
    <w:p>
      <w:pPr>
        <w:pStyle w:val="yIndenta"/>
        <w:rPr>
          <w:szCs w:val="22"/>
        </w:rPr>
      </w:pPr>
      <w:r>
        <w:tab/>
        <w:t>(a)</w:t>
      </w:r>
      <w:r>
        <w:tab/>
      </w:r>
      <w:r>
        <w:rPr>
          <w:szCs w:val="22"/>
        </w:rPr>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210" w:name="_Toc2338325"/>
      <w:bookmarkStart w:id="211" w:name="_Toc2344346"/>
      <w:bookmarkStart w:id="212" w:name="_Toc4486931"/>
      <w:bookmarkStart w:id="213" w:name="_Toc4667954"/>
      <w:r>
        <w:rPr>
          <w:rStyle w:val="CharSClsNo"/>
        </w:rPr>
        <w:t>31</w:t>
      </w:r>
      <w:r>
        <w:t>.</w:t>
      </w:r>
      <w:r>
        <w:tab/>
      </w:r>
      <w:r>
        <w:rPr>
          <w:szCs w:val="22"/>
        </w:rPr>
        <w:t>Mediation of dispute</w:t>
      </w:r>
      <w:bookmarkEnd w:id="210"/>
      <w:bookmarkEnd w:id="211"/>
      <w:bookmarkEnd w:id="212"/>
      <w:bookmarkEnd w:id="213"/>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rPr>
          <w:szCs w:val="22"/>
        </w:rPr>
      </w:pPr>
      <w:r>
        <w:tab/>
        <w:t>(a)</w:t>
      </w:r>
      <w:r>
        <w:tab/>
      </w:r>
      <w:r>
        <w:rPr>
          <w:szCs w:val="22"/>
        </w:rPr>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rPr>
          <w:szCs w:val="22"/>
        </w:rPr>
      </w:pPr>
      <w:r>
        <w:tab/>
        <w:t>(i)</w:t>
      </w:r>
      <w:r>
        <w:tab/>
      </w:r>
      <w:r>
        <w:rPr>
          <w:szCs w:val="22"/>
        </w:rPr>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pageBreakBefore/>
        <w:widowControl w:val="0"/>
        <w:rPr>
          <w:szCs w:val="22"/>
        </w:rPr>
      </w:pPr>
      <w:bookmarkStart w:id="214" w:name="_Toc2338326"/>
      <w:bookmarkStart w:id="215" w:name="_Toc2344347"/>
      <w:bookmarkStart w:id="216" w:name="_Toc4486932"/>
      <w:bookmarkStart w:id="217" w:name="_Toc4667955"/>
      <w:r>
        <w:rPr>
          <w:rStyle w:val="CharSClsNo"/>
        </w:rPr>
        <w:t>32</w:t>
      </w:r>
      <w:r>
        <w:t>.</w:t>
      </w:r>
      <w:r>
        <w:tab/>
      </w:r>
      <w:r>
        <w:rPr>
          <w:szCs w:val="22"/>
        </w:rPr>
        <w:t>Costs associated with dispute resolution process</w:t>
      </w:r>
      <w:bookmarkEnd w:id="214"/>
      <w:bookmarkEnd w:id="215"/>
      <w:bookmarkEnd w:id="216"/>
      <w:bookmarkEnd w:id="217"/>
    </w:p>
    <w:p>
      <w:pPr>
        <w:pStyle w:val="ySubsection"/>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pPr>
      <w:bookmarkStart w:id="218" w:name="_Toc2338327"/>
      <w:bookmarkStart w:id="219" w:name="_Toc2344348"/>
      <w:bookmarkStart w:id="220" w:name="_Toc4486933"/>
      <w:bookmarkStart w:id="221" w:name="_Toc4667956"/>
      <w:r>
        <w:rPr>
          <w:rStyle w:val="CharSClsNo"/>
        </w:rPr>
        <w:t>33</w:t>
      </w:r>
      <w:r>
        <w:t>.</w:t>
      </w:r>
      <w:r>
        <w:tab/>
        <w:t>Costs associated with Commissioner</w:t>
      </w:r>
      <w:r>
        <w:noBreakHyphen/>
        <w:t>appointed mediation</w:t>
      </w:r>
      <w:bookmarkEnd w:id="218"/>
      <w:bookmarkEnd w:id="219"/>
      <w:bookmarkEnd w:id="220"/>
      <w:bookmarkEnd w:id="221"/>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222" w:name="_Toc2336982"/>
      <w:bookmarkStart w:id="223" w:name="_Toc2337034"/>
      <w:bookmarkStart w:id="224" w:name="_Toc2338328"/>
      <w:bookmarkStart w:id="225" w:name="_Toc2338558"/>
      <w:bookmarkStart w:id="226" w:name="_Toc2338680"/>
      <w:bookmarkStart w:id="227" w:name="_Toc2344349"/>
      <w:bookmarkStart w:id="228" w:name="_Toc4486837"/>
      <w:bookmarkStart w:id="229" w:name="_Toc4486934"/>
      <w:bookmarkStart w:id="230" w:name="_Toc4495665"/>
      <w:bookmarkStart w:id="231" w:name="_Toc4667957"/>
      <w:r>
        <w:rPr>
          <w:rStyle w:val="CharSDivNo"/>
        </w:rPr>
        <w:t>Division 7</w:t>
      </w:r>
      <w:r>
        <w:t> — </w:t>
      </w:r>
      <w:r>
        <w:rPr>
          <w:rStyle w:val="CharSDivText"/>
        </w:rPr>
        <w:t>Termination of residence contracts</w:t>
      </w:r>
      <w:bookmarkEnd w:id="222"/>
      <w:bookmarkEnd w:id="223"/>
      <w:bookmarkEnd w:id="224"/>
      <w:bookmarkEnd w:id="225"/>
      <w:bookmarkEnd w:id="226"/>
      <w:bookmarkEnd w:id="227"/>
      <w:bookmarkEnd w:id="228"/>
      <w:bookmarkEnd w:id="229"/>
      <w:bookmarkEnd w:id="230"/>
      <w:bookmarkEnd w:id="231"/>
    </w:p>
    <w:p>
      <w:pPr>
        <w:pStyle w:val="yHeading5"/>
        <w:rPr>
          <w:szCs w:val="22"/>
        </w:rPr>
      </w:pPr>
      <w:bookmarkStart w:id="232" w:name="_Toc2338329"/>
      <w:bookmarkStart w:id="233" w:name="_Toc2344350"/>
      <w:bookmarkStart w:id="234" w:name="_Toc4486935"/>
      <w:bookmarkStart w:id="235" w:name="_Toc4667958"/>
      <w:r>
        <w:rPr>
          <w:rStyle w:val="CharSClsNo"/>
        </w:rPr>
        <w:t>34</w:t>
      </w:r>
      <w:r>
        <w:t>.</w:t>
      </w:r>
      <w:r>
        <w:tab/>
      </w:r>
      <w:r>
        <w:rPr>
          <w:szCs w:val="22"/>
        </w:rPr>
        <w:t>Notice of intention to terminate</w:t>
      </w:r>
      <w:bookmarkEnd w:id="232"/>
      <w:bookmarkEnd w:id="233"/>
      <w:bookmarkEnd w:id="234"/>
      <w:bookmarkEnd w:id="235"/>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rPr>
          <w:szCs w:val="22"/>
        </w:rPr>
      </w:pPr>
      <w:r>
        <w:tab/>
        <w:t>(a)</w:t>
      </w:r>
      <w:r>
        <w:tab/>
      </w:r>
      <w:r>
        <w:rPr>
          <w:szCs w:val="22"/>
        </w:rPr>
        <w:t>if the application is to be made under the</w:t>
      </w:r>
      <w:r>
        <w:rPr>
          <w:i/>
        </w:rPr>
        <w:t xml:space="preserve"> Retirement Villages Act 1992 </w:t>
      </w:r>
      <w:r>
        <w:rPr>
          <w:szCs w:val="22"/>
        </w:rP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rPr>
          <w:szCs w:val="22"/>
        </w:rPr>
      </w:pPr>
      <w:r>
        <w:tab/>
        <w:t>(i)</w:t>
      </w:r>
      <w:r>
        <w:tab/>
      </w:r>
      <w:r>
        <w:rPr>
          <w:szCs w:val="22"/>
        </w:rPr>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236" w:name="_Toc2336984"/>
      <w:bookmarkStart w:id="237" w:name="_Toc2337036"/>
      <w:bookmarkStart w:id="238" w:name="_Toc2338330"/>
      <w:bookmarkStart w:id="239" w:name="_Toc2338560"/>
      <w:bookmarkStart w:id="240" w:name="_Toc2338682"/>
      <w:bookmarkStart w:id="241" w:name="_Toc2344351"/>
      <w:bookmarkStart w:id="242" w:name="_Toc4486839"/>
      <w:bookmarkStart w:id="243" w:name="_Toc4486936"/>
      <w:bookmarkStart w:id="244" w:name="_Toc4495667"/>
      <w:bookmarkStart w:id="245" w:name="_Toc4667959"/>
      <w:r>
        <w:rPr>
          <w:rStyle w:val="CharSDivNo"/>
        </w:rPr>
        <w:t>Division 8</w:t>
      </w:r>
      <w:r>
        <w:t> — </w:t>
      </w:r>
      <w:r>
        <w:rPr>
          <w:rStyle w:val="CharSDivText"/>
        </w:rPr>
        <w:t>Service of documents</w:t>
      </w:r>
      <w:bookmarkEnd w:id="236"/>
      <w:bookmarkEnd w:id="237"/>
      <w:bookmarkEnd w:id="238"/>
      <w:bookmarkEnd w:id="239"/>
      <w:bookmarkEnd w:id="240"/>
      <w:bookmarkEnd w:id="241"/>
      <w:bookmarkEnd w:id="242"/>
      <w:bookmarkEnd w:id="243"/>
      <w:bookmarkEnd w:id="244"/>
      <w:bookmarkEnd w:id="245"/>
    </w:p>
    <w:p>
      <w:pPr>
        <w:pStyle w:val="yHeading5"/>
        <w:rPr>
          <w:szCs w:val="22"/>
        </w:rPr>
      </w:pPr>
      <w:bookmarkStart w:id="246" w:name="_Toc2338331"/>
      <w:bookmarkStart w:id="247" w:name="_Toc2344352"/>
      <w:bookmarkStart w:id="248" w:name="_Toc4486937"/>
      <w:bookmarkStart w:id="249" w:name="_Toc4667960"/>
      <w:r>
        <w:rPr>
          <w:rStyle w:val="CharSClsNo"/>
        </w:rPr>
        <w:t>35</w:t>
      </w:r>
      <w:r>
        <w:t>.</w:t>
      </w:r>
      <w:r>
        <w:tab/>
      </w:r>
      <w:r>
        <w:rPr>
          <w:szCs w:val="22"/>
        </w:rPr>
        <w:t>Service of documents</w:t>
      </w:r>
      <w:bookmarkEnd w:id="246"/>
      <w:bookmarkEnd w:id="247"/>
      <w:bookmarkEnd w:id="248"/>
      <w:bookmarkEnd w:id="249"/>
    </w:p>
    <w:p>
      <w:pPr>
        <w:pStyle w:val="ySubsection"/>
        <w:spacing w:before="120"/>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spacing w:before="60"/>
        <w:rPr>
          <w:szCs w:val="22"/>
        </w:rPr>
      </w:pPr>
      <w:r>
        <w:tab/>
        <w:t>(a)</w:t>
      </w:r>
      <w:r>
        <w:tab/>
      </w:r>
      <w:r>
        <w:rPr>
          <w:szCs w:val="22"/>
        </w:rPr>
        <w:t xml:space="preserve">delivered by hand to — </w:t>
      </w:r>
    </w:p>
    <w:p>
      <w:pPr>
        <w:pStyle w:val="yIndenti0"/>
        <w:rPr>
          <w:szCs w:val="22"/>
        </w:rPr>
      </w:pPr>
      <w:r>
        <w:tab/>
        <w:t>(i)</w:t>
      </w:r>
      <w:r>
        <w:tab/>
      </w:r>
      <w:r>
        <w:rPr>
          <w:szCs w:val="22"/>
        </w:rPr>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spacing w:before="60"/>
        <w:rPr>
          <w:szCs w:val="22"/>
        </w:rPr>
      </w:pPr>
      <w:r>
        <w:tab/>
        <w:t>(b)</w:t>
      </w:r>
      <w:r>
        <w:tab/>
      </w:r>
      <w:r>
        <w:rPr>
          <w:szCs w:val="22"/>
        </w:rPr>
        <w:t xml:space="preserve">addressed to the resident and sent by post to — </w:t>
      </w:r>
    </w:p>
    <w:p>
      <w:pPr>
        <w:pStyle w:val="yIndenti0"/>
        <w:spacing w:before="60"/>
      </w:pPr>
      <w:r>
        <w:tab/>
        <w:t>(i)</w:t>
      </w:r>
      <w:r>
        <w:tab/>
        <w:t>the residential premises occupied by the resident; or</w:t>
      </w:r>
    </w:p>
    <w:p>
      <w:pPr>
        <w:pStyle w:val="yIndenti0"/>
        <w:spacing w:before="60"/>
      </w:pPr>
      <w:r>
        <w:tab/>
        <w:t>(ii)</w:t>
      </w:r>
      <w:r>
        <w:tab/>
        <w:t>if the resident has temporarily or permanently vacated the residential premises, another address as notified by the resident to the administering body of the retirement village; or</w:t>
      </w:r>
    </w:p>
    <w:p>
      <w:pPr>
        <w:pStyle w:val="yIndenti0"/>
        <w:spacing w:before="60"/>
      </w:pPr>
      <w:r>
        <w:tab/>
        <w:t>(iii)</w:t>
      </w:r>
      <w:r>
        <w:tab/>
        <w:t>the address of the resident’s personal representative.</w:t>
      </w:r>
    </w:p>
    <w:p>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pPr>
        <w:pStyle w:val="yIndenta"/>
        <w:spacing w:before="60"/>
        <w:rPr>
          <w:szCs w:val="22"/>
        </w:rPr>
      </w:pPr>
      <w:r>
        <w:tab/>
        <w:t>(a)</w:t>
      </w:r>
      <w:r>
        <w:tab/>
      </w:r>
      <w:r>
        <w:rPr>
          <w:szCs w:val="22"/>
        </w:rPr>
        <w:t xml:space="preserve">delivered by hand to — </w:t>
      </w:r>
    </w:p>
    <w:p>
      <w:pPr>
        <w:pStyle w:val="yIndenti0"/>
        <w:spacing w:before="60"/>
      </w:pPr>
      <w:r>
        <w:tab/>
        <w:t>(i)</w:t>
      </w:r>
      <w:r>
        <w:tab/>
        <w:t>the administering body’s usual place of business on any working day; or</w:t>
      </w:r>
    </w:p>
    <w:p>
      <w:pPr>
        <w:pStyle w:val="yIndenti0"/>
        <w:spacing w:before="60"/>
      </w:pPr>
      <w:r>
        <w:tab/>
        <w:t>(ii)</w:t>
      </w:r>
      <w:r>
        <w:tab/>
        <w:t>the administering body’s mailbox;</w:t>
      </w:r>
    </w:p>
    <w:p>
      <w:pPr>
        <w:pStyle w:val="yIndenta"/>
        <w:spacing w:before="60"/>
        <w:rPr>
          <w:szCs w:val="22"/>
        </w:rPr>
      </w:pPr>
      <w:r>
        <w:rPr>
          <w:szCs w:val="22"/>
        </w:rPr>
        <w:tab/>
      </w:r>
      <w:r>
        <w:rPr>
          <w:szCs w:val="22"/>
        </w:rPr>
        <w:tab/>
        <w:t>or</w:t>
      </w:r>
    </w:p>
    <w:p>
      <w:pPr>
        <w:pStyle w:val="yIndenta"/>
        <w:spacing w:before="60"/>
        <w:rPr>
          <w:szCs w:val="22"/>
        </w:rPr>
      </w:pPr>
      <w:r>
        <w:tab/>
        <w:t>(b)</w:t>
      </w:r>
      <w:r>
        <w:tab/>
      </w:r>
      <w:r>
        <w:rPr>
          <w:szCs w:val="22"/>
        </w:rPr>
        <w:t>addressed to the administering body and sent by post to the administering body’s usual place of business.</w:t>
      </w:r>
    </w:p>
    <w:p>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pStyle w:val="yHeading3"/>
        <w:rPr>
          <w:rStyle w:val="CharSDivNo"/>
        </w:rPr>
        <w:sectPr>
          <w:headerReference w:type="even" r:id="rId27"/>
          <w:headerReference w:type="default" r:id="rId28"/>
          <w:pgSz w:w="11907" w:h="16840" w:code="9"/>
          <w:pgMar w:top="2381" w:right="2410" w:bottom="3544" w:left="2410" w:header="720" w:footer="3544" w:gutter="0"/>
          <w:cols w:space="720"/>
        </w:sectPr>
      </w:pPr>
      <w:bookmarkStart w:id="250" w:name="_Toc2336986"/>
      <w:bookmarkStart w:id="251" w:name="_Toc2337038"/>
      <w:bookmarkStart w:id="252" w:name="_Toc2338332"/>
      <w:bookmarkStart w:id="253" w:name="_Toc2338562"/>
      <w:bookmarkStart w:id="254" w:name="_Toc2338684"/>
      <w:bookmarkStart w:id="255" w:name="_Toc2344353"/>
      <w:bookmarkStart w:id="256" w:name="_Toc4486841"/>
      <w:bookmarkStart w:id="257" w:name="_Toc4486938"/>
    </w:p>
    <w:p>
      <w:pPr>
        <w:pStyle w:val="yHeading3"/>
      </w:pPr>
      <w:bookmarkStart w:id="258" w:name="_Toc4495669"/>
      <w:bookmarkStart w:id="259" w:name="_Toc4667961"/>
      <w:r>
        <w:rPr>
          <w:rStyle w:val="CharSDivNo"/>
        </w:rPr>
        <w:t>Appendix 1</w:t>
      </w:r>
      <w:r>
        <w:t> — </w:t>
      </w:r>
      <w:r>
        <w:rPr>
          <w:rStyle w:val="CharSDivText"/>
        </w:rPr>
        <w:t>Checklist for prospective resident</w:t>
      </w:r>
      <w:bookmarkEnd w:id="250"/>
      <w:bookmarkEnd w:id="251"/>
      <w:bookmarkEnd w:id="252"/>
      <w:bookmarkEnd w:id="253"/>
      <w:bookmarkEnd w:id="254"/>
      <w:bookmarkEnd w:id="255"/>
      <w:bookmarkEnd w:id="256"/>
      <w:bookmarkEnd w:id="257"/>
      <w:bookmarkEnd w:id="258"/>
      <w:bookmarkEnd w:id="259"/>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2019 </w:t>
      </w:r>
      <w:r>
        <w:rPr>
          <w:szCs w:val="22"/>
        </w:rPr>
        <w:t xml:space="preserve">and the </w:t>
      </w:r>
      <w:r>
        <w:rPr>
          <w:i/>
          <w:szCs w:val="22"/>
        </w:rPr>
        <w:t>Retirement Villages Act 1992</w:t>
      </w:r>
      <w:r>
        <w:rPr>
          <w:szCs w:val="22"/>
        </w:rPr>
        <w:t>?</w:t>
      </w:r>
    </w:p>
    <w:p>
      <w:pPr>
        <w:pStyle w:val="yHeading3"/>
        <w:pageBreakBefore/>
      </w:pPr>
      <w:bookmarkStart w:id="260" w:name="_Toc2336987"/>
      <w:bookmarkStart w:id="261" w:name="_Toc2337039"/>
      <w:bookmarkStart w:id="262" w:name="_Toc2338333"/>
      <w:bookmarkStart w:id="263" w:name="_Toc2338563"/>
      <w:bookmarkStart w:id="264" w:name="_Toc2338685"/>
      <w:bookmarkStart w:id="265" w:name="_Toc2344354"/>
      <w:bookmarkStart w:id="266" w:name="_Toc4486842"/>
      <w:bookmarkStart w:id="267" w:name="_Toc4486939"/>
      <w:bookmarkStart w:id="268" w:name="_Toc4495670"/>
      <w:bookmarkStart w:id="269" w:name="_Toc4667962"/>
      <w:r>
        <w:rPr>
          <w:rStyle w:val="CharSDivNo"/>
        </w:rPr>
        <w:t>Appendix 2</w:t>
      </w:r>
      <w:r>
        <w:t> — </w:t>
      </w:r>
      <w:r>
        <w:rPr>
          <w:rStyle w:val="CharSDivText"/>
        </w:rPr>
        <w:t>Form of appointment of proxy</w:t>
      </w:r>
      <w:bookmarkEnd w:id="260"/>
      <w:bookmarkEnd w:id="261"/>
      <w:bookmarkEnd w:id="262"/>
      <w:bookmarkEnd w:id="263"/>
      <w:bookmarkEnd w:id="264"/>
      <w:bookmarkEnd w:id="265"/>
      <w:bookmarkEnd w:id="266"/>
      <w:bookmarkEnd w:id="267"/>
      <w:bookmarkEnd w:id="268"/>
      <w:bookmarkEnd w:id="269"/>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30"/>
          <w:headerReference w:type="default" r:id="rId31"/>
          <w:pgSz w:w="11907" w:h="16840" w:code="9"/>
          <w:pgMar w:top="2381" w:right="2410" w:bottom="3544" w:left="2410" w:header="720" w:footer="3544" w:gutter="0"/>
          <w:cols w:space="720"/>
        </w:sectPr>
      </w:pPr>
    </w:p>
    <w:p>
      <w:pPr>
        <w:pStyle w:val="nHeading2"/>
      </w:pPr>
      <w:bookmarkStart w:id="270" w:name="_Toc4495671"/>
      <w:bookmarkStart w:id="271" w:name="_Toc4667963"/>
      <w:r>
        <w:t>Notes</w:t>
      </w:r>
      <w:bookmarkEnd w:id="270"/>
      <w:bookmarkEnd w:id="271"/>
    </w:p>
    <w:p>
      <w:pPr>
        <w:pStyle w:val="nSubsection"/>
      </w:pPr>
      <w:r>
        <w:rPr>
          <w:vertAlign w:val="superscript"/>
        </w:rPr>
        <w:t>1</w:t>
      </w:r>
      <w:r>
        <w:tab/>
        <w:t xml:space="preserve">This is a compilation of the </w:t>
      </w:r>
      <w:r>
        <w:rPr>
          <w:i/>
          <w:noProof/>
        </w:rPr>
        <w:t>Fair Trading (Retirement Villages Interim Code) Regulations 2019</w:t>
      </w:r>
      <w:r>
        <w:t>.  The following table contains information about those regulations.</w:t>
      </w:r>
    </w:p>
    <w:p>
      <w:pPr>
        <w:pStyle w:val="nHeading3"/>
      </w:pPr>
      <w:bookmarkStart w:id="272" w:name="_Toc4667964"/>
      <w:r>
        <w:t>Compilation table</w:t>
      </w:r>
      <w:bookmarkEnd w:id="2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Fair Trading (Retirement Villages Interim Code) Regulations 2019 </w:t>
            </w:r>
          </w:p>
        </w:tc>
        <w:tc>
          <w:tcPr>
            <w:tcW w:w="1276" w:type="dxa"/>
          </w:tcPr>
          <w:p>
            <w:pPr>
              <w:pStyle w:val="nTable"/>
              <w:spacing w:after="40"/>
            </w:pPr>
            <w:r>
              <w:t>22 Mar 2019</w:t>
            </w:r>
          </w:p>
        </w:tc>
        <w:tc>
          <w:tcPr>
            <w:tcW w:w="2693" w:type="dxa"/>
          </w:tcPr>
          <w:p>
            <w:pPr>
              <w:pStyle w:val="nTable"/>
              <w:spacing w:after="40"/>
            </w:pPr>
            <w:r>
              <w:t>r. 1 and 2: 22 Mar 2019 (see r. 2(a))</w:t>
            </w:r>
            <w:r>
              <w:br/>
              <w:t>Regulations other than r. 1 and 2: 1 Apr 2019 (see r. 2(b))</w:t>
            </w:r>
          </w:p>
        </w:tc>
      </w:tr>
    </w:tbl>
    <w:p>
      <w:pPr>
        <w:pStyle w:val="nSubsection"/>
      </w:pPr>
      <w:r>
        <w:rPr>
          <w:vertAlign w:val="superscript"/>
        </w:rPr>
        <w:t>2</w:t>
      </w:r>
      <w:r>
        <w:tab/>
        <w:t>These regulations expire at the end of 30 September 2019 (see r. 4).</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274" w:name="_Toc4495673"/>
      <w:bookmarkStart w:id="275" w:name="_Toc4667965"/>
      <w:r>
        <w:rPr>
          <w:sz w:val="28"/>
        </w:rPr>
        <w:t>Defined terms</w:t>
      </w:r>
      <w:bookmarkEnd w:id="274"/>
      <w:bookmarkEnd w:id="2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annual financial statements</w:t>
      </w:r>
      <w:r>
        <w:tab/>
        <w:t>Sch. 1 cl. 19(1)</w:t>
      </w:r>
    </w:p>
    <w:p>
      <w:pPr>
        <w:pStyle w:val="DefinedTerms"/>
      </w:pPr>
      <w:r>
        <w:t>approved form</w:t>
      </w:r>
      <w:r>
        <w:tab/>
        <w:t>Sch. 1 cl. 29</w:t>
      </w:r>
    </w:p>
    <w:p>
      <w:pPr>
        <w:pStyle w:val="DefinedTerms"/>
      </w:pPr>
      <w:r>
        <w:t>Australian Accounting Standards</w:t>
      </w:r>
      <w:r>
        <w:tab/>
        <w:t>Sch. 1 cl. 14(1)</w:t>
      </w:r>
    </w:p>
    <w:p>
      <w:pPr>
        <w:pStyle w:val="DefinedTerms"/>
      </w:pPr>
      <w:r>
        <w:t>Australian Accounting Standards Board</w:t>
      </w:r>
      <w:r>
        <w:tab/>
        <w:t>Sch. 1 cl. 14(1)</w:t>
      </w:r>
    </w:p>
    <w:p>
      <w:pPr>
        <w:pStyle w:val="DefinedTerms"/>
      </w:pPr>
      <w:r>
        <w:t>budget documents</w:t>
      </w:r>
      <w:r>
        <w:tab/>
        <w:t>Sch. 1 cl. 17(1)</w:t>
      </w:r>
    </w:p>
    <w:p>
      <w:pPr>
        <w:pStyle w:val="DefinedTerms"/>
      </w:pPr>
      <w:r>
        <w:t>close associate</w:t>
      </w:r>
      <w:r>
        <w:tab/>
        <w:t>Sch. 1 cl. 27(1)</w:t>
      </w:r>
    </w:p>
    <w:p>
      <w:pPr>
        <w:pStyle w:val="DefinedTerms"/>
      </w:pPr>
      <w:r>
        <w:t>Commissioner</w:t>
      </w:r>
      <w:r>
        <w:tab/>
        <w:t>Sch. 1 cl. 1</w:t>
      </w:r>
    </w:p>
    <w:p>
      <w:pPr>
        <w:pStyle w:val="DefinedTerms"/>
      </w:pPr>
      <w:r>
        <w:t>levy</w:t>
      </w:r>
      <w:r>
        <w:tab/>
        <w:t>Sch. 1 cl. 1</w:t>
      </w:r>
    </w:p>
    <w:p>
      <w:pPr>
        <w:pStyle w:val="DefinedTerms"/>
      </w:pPr>
      <w:r>
        <w:t>material</w:t>
      </w:r>
      <w:r>
        <w:tab/>
        <w:t>Sch. 1 cl. 14(2)</w:t>
      </w:r>
    </w:p>
    <w:p>
      <w:pPr>
        <w:pStyle w:val="DefinedTerms"/>
      </w:pPr>
      <w:r>
        <w:t>notes</w:t>
      </w:r>
      <w:r>
        <w:tab/>
        <w:t>Sch. 1 cl. 14(1)</w:t>
      </w:r>
    </w:p>
    <w:p>
      <w:pPr>
        <w:pStyle w:val="DefinedTerms"/>
      </w:pPr>
      <w:r>
        <w:t>owner</w:t>
      </w:r>
      <w:r>
        <w:tab/>
        <w:t>Sch. 1 cl. 1</w:t>
      </w:r>
    </w:p>
    <w:p>
      <w:pPr>
        <w:pStyle w:val="DefinedTerms"/>
      </w:pPr>
      <w:r>
        <w:t>personal representative</w:t>
      </w:r>
      <w:r>
        <w:tab/>
        <w:t>Sch. 1 cl. 14(1), cl. 35(1)</w:t>
      </w:r>
    </w:p>
    <w:p>
      <w:pPr>
        <w:pStyle w:val="DefinedTerms"/>
      </w:pPr>
      <w:r>
        <w:t>personal services</w:t>
      </w:r>
      <w:r>
        <w:tab/>
        <w:t>Sch. 1 cl. 13(3)</w:t>
      </w:r>
    </w:p>
    <w:p>
      <w:pPr>
        <w:pStyle w:val="DefinedTerms"/>
      </w:pPr>
      <w:r>
        <w:t>premium</w:t>
      </w:r>
      <w:r>
        <w:tab/>
        <w:t>Sch. 1 cl. 1</w:t>
      </w:r>
    </w:p>
    <w:p>
      <w:pPr>
        <w:pStyle w:val="DefinedTerms"/>
      </w:pPr>
      <w:r>
        <w:t>proxy notice</w:t>
      </w:r>
      <w:r>
        <w:tab/>
        <w:t>Sch. 1 cl. 27(1)</w:t>
      </w:r>
    </w:p>
    <w:p>
      <w:pPr>
        <w:pStyle w:val="DefinedTerms"/>
      </w:pPr>
      <w:r>
        <w:t>recurrent charge</w:t>
      </w:r>
      <w:r>
        <w:tab/>
        <w:t>Sch. 1 cl. 1</w:t>
      </w:r>
    </w:p>
    <w:p>
      <w:pPr>
        <w:pStyle w:val="DefinedTerms"/>
      </w:pPr>
      <w:r>
        <w:t>refurbishment work</w:t>
      </w:r>
      <w:r>
        <w:tab/>
        <w:t>Sch. 1 cl. 22(1)</w:t>
      </w:r>
    </w:p>
    <w:p>
      <w:pPr>
        <w:pStyle w:val="DefinedTerms"/>
      </w:pPr>
      <w:r>
        <w:t>registered company auditor</w:t>
      </w:r>
      <w:r>
        <w:tab/>
        <w:t>Sch. 1 cl. 14(1)</w:t>
      </w:r>
    </w:p>
    <w:p>
      <w:pPr>
        <w:pStyle w:val="DefinedTerms"/>
      </w:pPr>
      <w:r>
        <w:t>related body corporate</w:t>
      </w:r>
      <w:r>
        <w:tab/>
        <w:t>Sch. 1 cl. 27(1)</w:t>
      </w:r>
    </w:p>
    <w:p>
      <w:pPr>
        <w:pStyle w:val="DefinedTerms"/>
      </w:pPr>
      <w:r>
        <w:t>relevant</w:t>
      </w:r>
      <w:r>
        <w:tab/>
        <w:t>Sch. 1 cl. 14(2)</w:t>
      </w:r>
    </w:p>
    <w:p>
      <w:pPr>
        <w:pStyle w:val="DefinedTerms"/>
      </w:pPr>
      <w:r>
        <w:t>reserve fund</w:t>
      </w:r>
      <w:r>
        <w:tab/>
        <w:t>Sch. 1 cl. 14(1)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dispute</w:t>
      </w:r>
      <w:r>
        <w:tab/>
        <w:t>Sch. 1 cl. 29</w:t>
      </w:r>
    </w:p>
    <w:p>
      <w:pPr>
        <w:pStyle w:val="DefinedTerms"/>
      </w:pPr>
      <w:r>
        <w:t>retirement village scheme</w:t>
      </w:r>
      <w:r>
        <w:tab/>
        <w:t>Sch. 1 cl. 1</w:t>
      </w:r>
    </w:p>
    <w:p>
      <w:pPr>
        <w:pStyle w:val="DefinedTerms"/>
      </w:pPr>
      <w:r>
        <w:t>scheme</w:t>
      </w:r>
      <w:r>
        <w:tab/>
        <w:t>Sch. 1 cl. 1</w:t>
      </w:r>
    </w:p>
    <w:p>
      <w:pPr>
        <w:pStyle w:val="DefinedTerms"/>
      </w:pPr>
      <w:r>
        <w:t>secret ballot</w:t>
      </w:r>
      <w:r>
        <w:tab/>
        <w:t>Sch. 1 cl. 14(1)</w:t>
      </w:r>
    </w:p>
    <w:p>
      <w:pPr>
        <w:pStyle w:val="DefinedTerms"/>
      </w:pPr>
      <w:r>
        <w:t>service contract</w:t>
      </w:r>
      <w:r>
        <w:tab/>
        <w:t>Sch. 1 cl. 1</w:t>
      </w:r>
    </w:p>
    <w:p>
      <w:pPr>
        <w:pStyle w:val="DefinedTerms"/>
      </w:pPr>
      <w:r>
        <w:t>special resolution</w:t>
      </w:r>
      <w:r>
        <w:tab/>
        <w:t>Sch. 1 cl. 14(1), cl. 29</w:t>
      </w:r>
    </w:p>
    <w:p>
      <w:pPr>
        <w:pStyle w:val="DefinedTerms"/>
      </w:pPr>
      <w:r>
        <w:t>voting resident</w:t>
      </w:r>
      <w:r>
        <w:tab/>
        <w:t>Sch. 1 cl. 27(1)</w:t>
      </w:r>
    </w:p>
    <w:p>
      <w:pPr>
        <w:pStyle w:val="DefinedTerms"/>
      </w:pPr>
      <w:r>
        <w:t>withdrawal notice</w:t>
      </w:r>
      <w:r>
        <w:tab/>
        <w:t>Sch. 1 cl. 31(15)</w:t>
      </w:r>
    </w:p>
    <w:p>
      <w:pPr>
        <w:pStyle w:val="DefinedTerms"/>
      </w:pPr>
      <w:r>
        <w:t>working day</w:t>
      </w:r>
      <w:r>
        <w:tab/>
        <w:t>Sch. 1 cl. 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2019</w: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2019</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2019</w: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2019</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3" w:name="Compilation"/>
    <w:bookmarkEnd w:id="27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6" w:name="DefinedTerms"/>
    <w:bookmarkEnd w:id="27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7" w:name="Coversheet"/>
    <w:bookmarkEnd w:id="2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611402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226092938" w:val="RemoveTocBookmarks,RemoveUnusedBookmarks,RemoveLanguageTags,UsedStyles,ResetPageSize"/>
    <w:docVar w:name="WAFER_20190226092938_GUID" w:val="fd8cfba8-b638-479b-9105-2314025e9dde"/>
    <w:docVar w:name="WAFER_20190226113108" w:val="RemoveTocBookmarks,RunningHeaders"/>
    <w:docVar w:name="WAFER_20190226113108_GUID" w:val="988fd4be-0704-41f0-8bb7-d056c7173016"/>
    <w:docVar w:name="WAFER_20190301124656" w:val="RemoveTocBookmarks,RemoveUnusedBookmarks,RemoveLanguageTags,UsedStyles,ResetPageSize"/>
    <w:docVar w:name="WAFER_20190301124656_GUID" w:val="adaa5f05-ae47-42f3-bf4a-aecd21329f34"/>
    <w:docVar w:name="WAFER_20190301124749" w:val="RemoveTocBookmarks,RemoveUnusedBookmarks,RemoveLanguageTags,UpdateStyles,UsedStyles,ResetPageSize"/>
    <w:docVar w:name="WAFER_20190301124749_GUID" w:val="cfe607de-1a09-4ae7-a82b-c2ddf0745ca6"/>
    <w:docVar w:name="WAFER_20190321173105" w:val="RemoveTocBookmarks,RemoveUnusedBookmarks,RemoveLanguageTags,ResetPageSize,RunningHeaders,UpdateStyles,UsedStyles"/>
    <w:docVar w:name="WAFER_20190321173105_GUID" w:val="e7f37e8e-516e-4215-905c-6ccf3c8b6679"/>
    <w:docVar w:name="WAFER_20190326114026" w:val="RemoveTocBookmarks,RemoveUnusedBookmarks,RemoveLanguageTags,ResetPageSize,RunningHeaders,UpdateStyles,UsedStyles"/>
    <w:docVar w:name="WAFER_20190326114026_GUID" w:val="f6020b16-034c-4aea-9a30-fe7b2a4e4d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C7FB2-DEC6-4932-B1E1-8568AD9BA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15353</Words>
  <Characters>79380</Characters>
  <Application>Microsoft Office Word</Application>
  <DocSecurity>0</DocSecurity>
  <Lines>1890</Lines>
  <Paragraphs>966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93767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2019 - 00-b0-01</dc:title>
  <dc:subject/>
  <dc:creator/>
  <cp:keywords/>
  <dc:description/>
  <cp:lastModifiedBy>svcMRProcess</cp:lastModifiedBy>
  <cp:revision>4</cp:revision>
  <cp:lastPrinted>2019-03-28T03:49:00Z</cp:lastPrinted>
  <dcterms:created xsi:type="dcterms:W3CDTF">2019-08-05T06:46:00Z</dcterms:created>
  <dcterms:modified xsi:type="dcterms:W3CDTF">2019-08-05T06:46:00Z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Apr 2019</vt:lpwstr>
  </property>
  <property fmtid="{D5CDD505-2E9C-101B-9397-08002B2CF9AE}" pid="4" name="Suffix">
    <vt:lpwstr>00-b0-01</vt:lpwstr>
  </property>
  <property fmtid="{D5CDD505-2E9C-101B-9397-08002B2CF9AE}" pid="5" name="CommencementDate">
    <vt:lpwstr>20190401</vt:lpwstr>
  </property>
</Properties>
</file>