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fldChar w:fldCharType="end"/>
      </w:r>
    </w:p>
    <w:p>
      <w:pPr>
        <w:pStyle w:val="NameofActRegPage1"/>
        <w:spacing w:before="1800" w:after="4200"/>
        <w:ind w:left="567" w:right="576"/>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ind w:left="454" w:right="454"/>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_Toc7186919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_Toc7186920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_Toc7186921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_Toc7186922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_Toc7186923 \h </w:instrText>
      </w:r>
      <w:r>
        <w:fldChar w:fldCharType="separate"/>
      </w:r>
      <w:r>
        <w:t>3</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_Toc7186924 \h </w:instrText>
      </w:r>
      <w:r>
        <w:fldChar w:fldCharType="separate"/>
      </w:r>
      <w:r>
        <w:t>3</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_Toc7186925 \h </w:instrText>
      </w:r>
      <w:r>
        <w:fldChar w:fldCharType="separate"/>
      </w:r>
      <w:r>
        <w:t>4</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_Toc7186926 \h </w:instrText>
      </w:r>
      <w:r>
        <w:fldChar w:fldCharType="separate"/>
      </w:r>
      <w:r>
        <w:t>4</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_Toc7186927 \h </w:instrText>
      </w:r>
      <w:r>
        <w:fldChar w:fldCharType="separate"/>
      </w:r>
      <w:r>
        <w:t>6</w:t>
      </w:r>
      <w:r>
        <w:fldChar w:fldCharType="end"/>
      </w:r>
    </w:p>
    <w:p>
      <w:pPr>
        <w:pStyle w:val="TOC8"/>
        <w:rPr>
          <w:rFonts w:asciiTheme="minorHAnsi" w:eastAsiaTheme="minorEastAsia" w:hAnsiTheme="minorHAnsi" w:cstheme="minorBidi"/>
          <w:szCs w:val="22"/>
        </w:rPr>
      </w:pPr>
      <w:r>
        <w:t>10.</w:t>
      </w:r>
      <w:r>
        <w:tab/>
        <w:t>Refund of fees</w:t>
      </w:r>
      <w:r>
        <w:tab/>
      </w:r>
      <w:r>
        <w:fldChar w:fldCharType="begin"/>
      </w:r>
      <w:r>
        <w:instrText xml:space="preserve"> PAGEREF _Toc7186928 \h </w:instrText>
      </w:r>
      <w:r>
        <w:fldChar w:fldCharType="separate"/>
      </w:r>
      <w:r>
        <w:t>6</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_Toc7186929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Builders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_Toc7186932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_Toc7186934 \h </w:instrText>
      </w:r>
      <w:r>
        <w:fldChar w:fldCharType="separate"/>
      </w:r>
      <w:r>
        <w:t>9</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_Toc7186935 \h </w:instrText>
      </w:r>
      <w:r>
        <w:fldChar w:fldCharType="separate"/>
      </w:r>
      <w:r>
        <w:t>10</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_Toc7186936 \h </w:instrText>
      </w:r>
      <w:r>
        <w:fldChar w:fldCharType="separate"/>
      </w:r>
      <w:r>
        <w:t>12</w:t>
      </w:r>
      <w:r>
        <w:fldChar w:fldCharType="end"/>
      </w:r>
    </w:p>
    <w:p>
      <w:pPr>
        <w:pStyle w:val="TOC8"/>
        <w:rPr>
          <w:rFonts w:asciiTheme="minorHAnsi" w:eastAsiaTheme="minorEastAsia" w:hAnsiTheme="minorHAnsi" w:cstheme="minorBidi"/>
          <w:szCs w:val="22"/>
        </w:rPr>
      </w:pPr>
      <w:r>
        <w:t>16.</w:t>
      </w:r>
      <w:r>
        <w:tab/>
        <w:t>Qualifications and experience: building practitioners</w:t>
      </w:r>
      <w:r>
        <w:tab/>
      </w:r>
      <w:r>
        <w:fldChar w:fldCharType="begin"/>
      </w:r>
      <w:r>
        <w:instrText xml:space="preserve"> PAGEREF _Toc7186937 \h </w:instrText>
      </w:r>
      <w:r>
        <w:fldChar w:fldCharType="separate"/>
      </w:r>
      <w:r>
        <w:t>12</w:t>
      </w:r>
      <w:r>
        <w:fldChar w:fldCharType="end"/>
      </w:r>
    </w:p>
    <w:p>
      <w:pPr>
        <w:pStyle w:val="TOC8"/>
        <w:rPr>
          <w:rFonts w:asciiTheme="minorHAnsi" w:eastAsiaTheme="minorEastAsia" w:hAnsiTheme="minorHAnsi" w:cstheme="minorBidi"/>
          <w:szCs w:val="22"/>
        </w:rPr>
      </w:pPr>
      <w:r>
        <w:t>17.</w:t>
      </w:r>
      <w:r>
        <w:tab/>
        <w:t>Conduct of examinations</w:t>
      </w:r>
      <w:r>
        <w:tab/>
      </w:r>
      <w:r>
        <w:fldChar w:fldCharType="begin"/>
      </w:r>
      <w:r>
        <w:instrText xml:space="preserve"> PAGEREF _Toc7186938 \h </w:instrText>
      </w:r>
      <w:r>
        <w:fldChar w:fldCharType="separate"/>
      </w:r>
      <w:r>
        <w:t>17</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_Toc7186939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19.</w:t>
      </w:r>
      <w:r>
        <w:tab/>
        <w:t>Prescribed requirements: building contractors</w:t>
      </w:r>
      <w:r>
        <w:tab/>
      </w:r>
      <w:r>
        <w:fldChar w:fldCharType="begin"/>
      </w:r>
      <w:r>
        <w:instrText xml:space="preserve"> PAGEREF _Toc7186940 \h </w:instrText>
      </w:r>
      <w:r>
        <w:fldChar w:fldCharType="separate"/>
      </w:r>
      <w:r>
        <w:t>18</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_Toc7186941 \h </w:instrText>
      </w:r>
      <w:r>
        <w:fldChar w:fldCharType="separate"/>
      </w:r>
      <w:r>
        <w:t>18</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_Toc7186942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_Toc7186944 \h </w:instrText>
      </w:r>
      <w:r>
        <w:fldChar w:fldCharType="separate"/>
      </w:r>
      <w:r>
        <w:t>19</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_Toc7186945 \h </w:instrText>
      </w:r>
      <w:r>
        <w:fldChar w:fldCharType="separate"/>
      </w:r>
      <w:r>
        <w:t>20</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_Toc7186946 \h </w:instrText>
      </w:r>
      <w:r>
        <w:fldChar w:fldCharType="separate"/>
      </w:r>
      <w:r>
        <w:t>20</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_Toc7186947 \h </w:instrText>
      </w:r>
      <w:r>
        <w:fldChar w:fldCharType="separate"/>
      </w:r>
      <w:r>
        <w:t>20</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_Toc7186948 \h </w:instrText>
      </w:r>
      <w:r>
        <w:fldChar w:fldCharType="separate"/>
      </w:r>
      <w:r>
        <w:t>20</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_Toc7186949 \h </w:instrText>
      </w:r>
      <w:r>
        <w:fldChar w:fldCharType="separate"/>
      </w:r>
      <w:r>
        <w:t>21</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_Toc7186950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_Toc7186952 \h </w:instrText>
      </w:r>
      <w:r>
        <w:fldChar w:fldCharType="separate"/>
      </w:r>
      <w:r>
        <w:t>22</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_Toc7186953 \h </w:instrText>
      </w:r>
      <w:r>
        <w:fldChar w:fldCharType="separate"/>
      </w:r>
      <w:r>
        <w:t>22</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_Toc7186954 \h </w:instrText>
      </w:r>
      <w:r>
        <w:fldChar w:fldCharType="separate"/>
      </w:r>
      <w:r>
        <w:t>24</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_Toc7186955 \h </w:instrText>
      </w:r>
      <w:r>
        <w:fldChar w:fldCharType="separate"/>
      </w:r>
      <w:r>
        <w:t>25</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_Toc7186956 \h </w:instrText>
      </w:r>
      <w:r>
        <w:fldChar w:fldCharType="separate"/>
      </w:r>
      <w:r>
        <w:t>30</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_Toc7186957 \h </w:instrText>
      </w:r>
      <w:r>
        <w:fldChar w:fldCharType="separate"/>
      </w:r>
      <w:r>
        <w:t>31</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_Toc7186958 \h </w:instrText>
      </w:r>
      <w:r>
        <w:fldChar w:fldCharType="separate"/>
      </w:r>
      <w:r>
        <w:t>31</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_Toc7186959 \h </w:instrText>
      </w:r>
      <w:r>
        <w:fldChar w:fldCharType="separate"/>
      </w:r>
      <w:r>
        <w:t>32</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_Toc7186960 \h </w:instrText>
      </w:r>
      <w:r>
        <w:fldChar w:fldCharType="separate"/>
      </w:r>
      <w:r>
        <w:t>32</w:t>
      </w:r>
      <w:r>
        <w:fldChar w:fldCharType="end"/>
      </w:r>
    </w:p>
    <w:p>
      <w:pPr>
        <w:pStyle w:val="TOC8"/>
        <w:rPr>
          <w:rFonts w:asciiTheme="minorHAnsi" w:eastAsiaTheme="minorEastAsia" w:hAnsiTheme="minorHAnsi" w:cstheme="minorBidi"/>
          <w:szCs w:val="22"/>
        </w:rPr>
      </w:pPr>
      <w:r>
        <w:t>28J.</w:t>
      </w:r>
      <w:r>
        <w:tab/>
        <w:t>Display of certificate of registration</w:t>
      </w:r>
      <w:r>
        <w:tab/>
      </w:r>
      <w:r>
        <w:fldChar w:fldCharType="begin"/>
      </w:r>
      <w:r>
        <w:instrText xml:space="preserve"> PAGEREF _Toc7186961 \h </w:instrText>
      </w:r>
      <w:r>
        <w:fldChar w:fldCharType="separate"/>
      </w:r>
      <w:r>
        <w:t>32</w:t>
      </w:r>
      <w:r>
        <w:fldChar w:fldCharType="end"/>
      </w:r>
    </w:p>
    <w:p>
      <w:pPr>
        <w:pStyle w:val="TOC8"/>
        <w:rPr>
          <w:rFonts w:asciiTheme="minorHAnsi" w:eastAsiaTheme="minorEastAsia" w:hAnsiTheme="minorHAnsi" w:cstheme="minorBidi"/>
          <w:szCs w:val="22"/>
        </w:rPr>
      </w:pPr>
      <w:r>
        <w:t>28K.</w:t>
      </w:r>
      <w:r>
        <w:tab/>
        <w:t>Display of signs</w:t>
      </w:r>
      <w:r>
        <w:tab/>
      </w:r>
      <w:r>
        <w:fldChar w:fldCharType="begin"/>
      </w:r>
      <w:r>
        <w:instrText xml:space="preserve"> PAGEREF _Toc7186962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_Toc7186964 \h </w:instrText>
      </w:r>
      <w:r>
        <w:fldChar w:fldCharType="separate"/>
      </w:r>
      <w:r>
        <w:t>35</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_Toc7186965 \h </w:instrText>
      </w:r>
      <w:r>
        <w:fldChar w:fldCharType="separate"/>
      </w:r>
      <w:r>
        <w:t>36</w:t>
      </w:r>
      <w:r>
        <w:fldChar w:fldCharType="end"/>
      </w:r>
    </w:p>
    <w:p>
      <w:pPr>
        <w:pStyle w:val="TOC8"/>
        <w:rPr>
          <w:rFonts w:asciiTheme="minorHAnsi" w:eastAsiaTheme="minorEastAsia" w:hAnsiTheme="minorHAnsi" w:cstheme="minorBidi"/>
          <w:szCs w:val="22"/>
        </w:rPr>
      </w:pPr>
      <w:r>
        <w:t>30.</w:t>
      </w:r>
      <w:r>
        <w:tab/>
        <w:t>Painting contractors: building services prescribed</w:t>
      </w:r>
      <w:r>
        <w:tab/>
      </w:r>
      <w:r>
        <w:fldChar w:fldCharType="begin"/>
      </w:r>
      <w:r>
        <w:instrText xml:space="preserve"> PAGEREF _Toc7186966 \h </w:instrText>
      </w:r>
      <w:r>
        <w:fldChar w:fldCharType="separate"/>
      </w:r>
      <w:r>
        <w:t>37</w:t>
      </w:r>
      <w:r>
        <w:fldChar w:fldCharType="end"/>
      </w:r>
    </w:p>
    <w:p>
      <w:pPr>
        <w:pStyle w:val="TOC8"/>
        <w:rPr>
          <w:rFonts w:asciiTheme="minorHAnsi" w:eastAsiaTheme="minorEastAsia" w:hAnsiTheme="minorHAnsi" w:cstheme="minorBidi"/>
          <w:szCs w:val="22"/>
        </w:rPr>
      </w:pPr>
      <w:r>
        <w:lastRenderedPageBreak/>
        <w:t>31.</w:t>
      </w:r>
      <w:r>
        <w:tab/>
        <w:t>Qualifications and experience: painting practitioners</w:t>
      </w:r>
      <w:r>
        <w:tab/>
      </w:r>
      <w:r>
        <w:fldChar w:fldCharType="begin"/>
      </w:r>
      <w:r>
        <w:instrText xml:space="preserve"> PAGEREF _Toc7186967 \h </w:instrText>
      </w:r>
      <w:r>
        <w:fldChar w:fldCharType="separate"/>
      </w:r>
      <w:r>
        <w:t>37</w:t>
      </w:r>
      <w:r>
        <w:fldChar w:fldCharType="end"/>
      </w:r>
    </w:p>
    <w:p>
      <w:pPr>
        <w:pStyle w:val="TOC8"/>
        <w:rPr>
          <w:rFonts w:asciiTheme="minorHAnsi" w:eastAsiaTheme="minorEastAsia" w:hAnsiTheme="minorHAnsi" w:cstheme="minorBidi"/>
          <w:szCs w:val="22"/>
        </w:rPr>
      </w:pPr>
      <w:r>
        <w:t>32.</w:t>
      </w:r>
      <w:r>
        <w:tab/>
        <w:t>Conduct of examinations</w:t>
      </w:r>
      <w:r>
        <w:tab/>
      </w:r>
      <w:r>
        <w:fldChar w:fldCharType="begin"/>
      </w:r>
      <w:r>
        <w:instrText xml:space="preserve"> PAGEREF _Toc7186968 \h </w:instrText>
      </w:r>
      <w:r>
        <w:fldChar w:fldCharType="separate"/>
      </w:r>
      <w:r>
        <w:t>40</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_Toc7186969 \h </w:instrText>
      </w:r>
      <w:r>
        <w:fldChar w:fldCharType="separate"/>
      </w:r>
      <w:r>
        <w:t>40</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_Toc7186970 \h </w:instrText>
      </w:r>
      <w:r>
        <w:fldChar w:fldCharType="separate"/>
      </w:r>
      <w:r>
        <w:t>41</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_Toc7186971 \h </w:instrText>
      </w:r>
      <w:r>
        <w:fldChar w:fldCharType="separate"/>
      </w:r>
      <w:r>
        <w:t>41</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_Toc7186972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Infringement notices</w:t>
      </w:r>
    </w:p>
    <w:p>
      <w:pPr>
        <w:pStyle w:val="TOC8"/>
        <w:rPr>
          <w:rFonts w:asciiTheme="minorHAnsi" w:eastAsiaTheme="minorEastAsia" w:hAnsiTheme="minorHAnsi" w:cstheme="minorBidi"/>
          <w:szCs w:val="22"/>
        </w:rPr>
      </w:pPr>
      <w:r>
        <w:t>36A.</w:t>
      </w:r>
      <w:r>
        <w:tab/>
        <w:t>Prescribed offences and modified penalties</w:t>
      </w:r>
      <w:r>
        <w:tab/>
      </w:r>
      <w:r>
        <w:fldChar w:fldCharType="begin"/>
      </w:r>
      <w:r>
        <w:instrText xml:space="preserve"> PAGEREF _Toc7186974 \h </w:instrText>
      </w:r>
      <w:r>
        <w:fldChar w:fldCharType="separate"/>
      </w:r>
      <w:r>
        <w:t>43</w:t>
      </w:r>
      <w:r>
        <w:fldChar w:fldCharType="end"/>
      </w:r>
    </w:p>
    <w:p>
      <w:pPr>
        <w:pStyle w:val="TOC8"/>
        <w:rPr>
          <w:rFonts w:asciiTheme="minorHAnsi" w:eastAsiaTheme="minorEastAsia" w:hAnsiTheme="minorHAnsi" w:cstheme="minorBidi"/>
          <w:szCs w:val="22"/>
        </w:rPr>
      </w:pPr>
      <w:r>
        <w:t>36B.</w:t>
      </w:r>
      <w:r>
        <w:tab/>
        <w:t>Authorised officers and approved officers</w:t>
      </w:r>
      <w:r>
        <w:tab/>
      </w:r>
      <w:r>
        <w:fldChar w:fldCharType="begin"/>
      </w:r>
      <w:r>
        <w:instrText xml:space="preserve"> PAGEREF _Toc7186975 \h </w:instrText>
      </w:r>
      <w:r>
        <w:fldChar w:fldCharType="separate"/>
      </w:r>
      <w:r>
        <w:t>43</w:t>
      </w:r>
      <w:r>
        <w:fldChar w:fldCharType="end"/>
      </w:r>
    </w:p>
    <w:p>
      <w:pPr>
        <w:pStyle w:val="TOC8"/>
        <w:rPr>
          <w:rFonts w:asciiTheme="minorHAnsi" w:eastAsiaTheme="minorEastAsia" w:hAnsiTheme="minorHAnsi" w:cstheme="minorBidi"/>
          <w:szCs w:val="22"/>
        </w:rPr>
      </w:pPr>
      <w:r>
        <w:t>36C.</w:t>
      </w:r>
      <w:r>
        <w:tab/>
        <w:t>Forms</w:t>
      </w:r>
      <w:r>
        <w:tab/>
      </w:r>
      <w:r>
        <w:fldChar w:fldCharType="begin"/>
      </w:r>
      <w:r>
        <w:instrText xml:space="preserve"> PAGEREF _Toc7186976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_Toc7186979 \h </w:instrText>
      </w:r>
      <w:r>
        <w:fldChar w:fldCharType="separate"/>
      </w:r>
      <w:r>
        <w:t>44</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_Toc7186980 \h </w:instrText>
      </w:r>
      <w:r>
        <w:fldChar w:fldCharType="separate"/>
      </w:r>
      <w:r>
        <w:t>44</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_Toc7186981 \h </w:instrText>
      </w:r>
      <w:r>
        <w:fldChar w:fldCharType="separate"/>
      </w:r>
      <w:r>
        <w:t>45</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_Toc7186982 \h </w:instrText>
      </w:r>
      <w:r>
        <w:fldChar w:fldCharType="separate"/>
      </w:r>
      <w:r>
        <w:t>45</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_Toc7186983 \h </w:instrText>
      </w:r>
      <w:r>
        <w:fldChar w:fldCharType="separate"/>
      </w:r>
      <w:r>
        <w:t>45</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_Toc7186984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_Toc7186986 \h </w:instrText>
      </w:r>
      <w:r>
        <w:fldChar w:fldCharType="separate"/>
      </w:r>
      <w:r>
        <w:t>46</w:t>
      </w:r>
      <w:r>
        <w:fldChar w:fldCharType="end"/>
      </w:r>
    </w:p>
    <w:p>
      <w:pPr>
        <w:pStyle w:val="TOC8"/>
        <w:rPr>
          <w:rFonts w:asciiTheme="minorHAnsi" w:eastAsiaTheme="minorEastAsia" w:hAnsiTheme="minorHAnsi" w:cstheme="minorBidi"/>
          <w:szCs w:val="22"/>
        </w:rPr>
      </w:pPr>
      <w:r>
        <w:t>44.</w:t>
      </w:r>
      <w:r>
        <w:tab/>
        <w:t>Continuation of registration (Act s. 127)</w:t>
      </w:r>
      <w:r>
        <w:tab/>
      </w:r>
      <w:r>
        <w:fldChar w:fldCharType="begin"/>
      </w:r>
      <w:r>
        <w:instrText xml:space="preserve"> PAGEREF _Toc7186987 \h </w:instrText>
      </w:r>
      <w:r>
        <w:fldChar w:fldCharType="separate"/>
      </w:r>
      <w:r>
        <w:t>46</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_Toc7186988 \h </w:instrText>
      </w:r>
      <w:r>
        <w:fldChar w:fldCharType="separate"/>
      </w:r>
      <w:r>
        <w:t>46</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_Toc7186989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_Toc7186991 \h </w:instrText>
      </w:r>
      <w:r>
        <w:fldChar w:fldCharType="separate"/>
      </w:r>
      <w:r>
        <w:t>47</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_Toc7186992 \h </w:instrText>
      </w:r>
      <w:r>
        <w:fldChar w:fldCharType="separate"/>
      </w:r>
      <w:r>
        <w:t>47</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_Toc7186993 \h </w:instrText>
      </w:r>
      <w:r>
        <w:fldChar w:fldCharType="separate"/>
      </w:r>
      <w:r>
        <w:t>48</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_Toc7186994 \h </w:instrText>
      </w:r>
      <w:r>
        <w:fldChar w:fldCharType="separate"/>
      </w:r>
      <w:r>
        <w:t>49</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_Toc7186995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 — Building Services (Registration) Amendment Regulations (No. 2) 2017</w:t>
      </w:r>
    </w:p>
    <w:p>
      <w:pPr>
        <w:pStyle w:val="TOC8"/>
        <w:rPr>
          <w:rFonts w:asciiTheme="minorHAnsi" w:eastAsiaTheme="minorEastAsia" w:hAnsiTheme="minorHAnsi" w:cstheme="minorBidi"/>
          <w:szCs w:val="22"/>
        </w:rPr>
      </w:pPr>
      <w:r>
        <w:t>52.</w:t>
      </w:r>
      <w:r>
        <w:tab/>
        <w:t>Painting practitioners: applications for registration made before 1 September 2018</w:t>
      </w:r>
      <w:r>
        <w:tab/>
      </w:r>
      <w:r>
        <w:fldChar w:fldCharType="begin"/>
      </w:r>
      <w:r>
        <w:instrText xml:space="preserve"> PAGEREF _Toc7186997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Builders</w:t>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4"/>
        <w:tabs>
          <w:tab w:val="right" w:leader="dot" w:pos="7077"/>
        </w:tabs>
        <w:rPr>
          <w:rFonts w:asciiTheme="minorHAnsi" w:eastAsiaTheme="minorEastAsia" w:hAnsiTheme="minorHAnsi" w:cstheme="minorBidi"/>
          <w:b w:val="0"/>
          <w:szCs w:val="22"/>
        </w:rPr>
      </w:pPr>
      <w:r>
        <w:t>Division 4 — Building surveyors</w:t>
      </w:r>
    </w:p>
    <w:p>
      <w:pPr>
        <w:pStyle w:val="TOC4"/>
        <w:tabs>
          <w:tab w:val="right" w:leader="dot" w:pos="7077"/>
        </w:tabs>
        <w:rPr>
          <w:rFonts w:asciiTheme="minorHAnsi" w:eastAsiaTheme="minorEastAsia" w:hAnsiTheme="minorHAnsi" w:cstheme="minorBidi"/>
          <w:b w:val="0"/>
          <w:szCs w:val="22"/>
        </w:rPr>
      </w:pPr>
      <w:r>
        <w:t>Division 5 — Painters</w:t>
      </w:r>
    </w:p>
    <w:p>
      <w:pPr>
        <w:pStyle w:val="TOC2"/>
        <w:tabs>
          <w:tab w:val="right" w:leader="dot" w:pos="7077"/>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_Toc7187005 \h </w:instrText>
      </w:r>
      <w:r>
        <w:fldChar w:fldCharType="separate"/>
      </w:r>
      <w:r>
        <w:t>59</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_Toc7187006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_Toc7187008 \h </w:instrText>
      </w:r>
      <w:r>
        <w:fldChar w:fldCharType="separate"/>
      </w:r>
      <w:r>
        <w:t>60</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_Toc7187009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_Toc7187011 \h </w:instrText>
      </w:r>
      <w:r>
        <w:fldChar w:fldCharType="separate"/>
      </w:r>
      <w:r>
        <w:t>62</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_Toc7187012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_Toc7187015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Offences under the Act</w:t>
      </w:r>
    </w:p>
    <w:p>
      <w:pPr>
        <w:pStyle w:val="TOC4"/>
        <w:tabs>
          <w:tab w:val="right" w:leader="dot" w:pos="7077"/>
        </w:tabs>
        <w:rPr>
          <w:rFonts w:asciiTheme="minorHAnsi" w:eastAsiaTheme="minorEastAsia" w:hAnsiTheme="minorHAnsi" w:cstheme="minorBidi"/>
          <w:b w:val="0"/>
          <w:szCs w:val="22"/>
        </w:rPr>
      </w:pPr>
      <w:r>
        <w:t>Division 3 — Offences under these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_Toc7187019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lastRenderedPageBreak/>
        <w:t>Western Australia</w:t>
      </w: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3" w:name="_Toc7184654"/>
      <w:bookmarkStart w:id="4" w:name="_Toc7186918"/>
      <w:r>
        <w:rPr>
          <w:rStyle w:val="CharPartNo"/>
        </w:rPr>
        <w:t>Part 1</w:t>
      </w:r>
      <w:r>
        <w:rPr>
          <w:rStyle w:val="CharDivNo"/>
        </w:rPr>
        <w:t> </w:t>
      </w:r>
      <w:r>
        <w:t>—</w:t>
      </w:r>
      <w:r>
        <w:rPr>
          <w:rStyle w:val="CharDivText"/>
        </w:rPr>
        <w:t> </w:t>
      </w:r>
      <w:r>
        <w:rPr>
          <w:rStyle w:val="CharPartText"/>
        </w:rPr>
        <w:t>General provisions</w:t>
      </w:r>
      <w:bookmarkEnd w:id="3"/>
      <w:bookmarkEnd w:id="4"/>
    </w:p>
    <w:p>
      <w:pPr>
        <w:pStyle w:val="Heading5"/>
      </w:pPr>
      <w:bookmarkStart w:id="5" w:name="_Toc7186919"/>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7" w:name="_Toc7186920"/>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8" w:name="_Toc7186921"/>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Gazette 12 Mar 2012 p. 990 and p. 1008; 31 Mar 2017 p. 1941-2.]</w:t>
      </w:r>
    </w:p>
    <w:p>
      <w:pPr>
        <w:pStyle w:val="Heading5"/>
      </w:pPr>
      <w:bookmarkStart w:id="9" w:name="_Toc7186922"/>
      <w:r>
        <w:rPr>
          <w:rStyle w:val="CharSectno"/>
        </w:rPr>
        <w:t>4</w:t>
      </w:r>
      <w:r>
        <w:t>.</w:t>
      </w:r>
      <w:r>
        <w:tab/>
        <w:t>Prescribed building services</w:t>
      </w:r>
      <w:bookmarkEnd w:id="9"/>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a principal builder;</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Gazette 12 Mar 2012 p. 1008; 31 Mar 2017 p. 1942.]</w:t>
      </w:r>
    </w:p>
    <w:p>
      <w:pPr>
        <w:pStyle w:val="Heading5"/>
      </w:pPr>
      <w:bookmarkStart w:id="10" w:name="_Toc7186923"/>
      <w:r>
        <w:rPr>
          <w:rStyle w:val="CharSectno"/>
        </w:rPr>
        <w:t>5</w:t>
      </w:r>
      <w:r>
        <w:t>.</w:t>
      </w:r>
      <w:r>
        <w:tab/>
        <w:t>Persons prescribed for purposes of s. 7</w:t>
      </w:r>
      <w:bookmarkEnd w:id="10"/>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1" w:name="_Toc7186924"/>
      <w:r>
        <w:rPr>
          <w:rStyle w:val="CharSectno"/>
        </w:rPr>
        <w:t>6</w:t>
      </w:r>
      <w:r>
        <w:t>.</w:t>
      </w:r>
      <w:r>
        <w:tab/>
        <w:t>Classes of building service practitioner and building service contractor</w:t>
      </w:r>
      <w:bookmarkEnd w:id="11"/>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w:t>
      </w:r>
    </w:p>
    <w:p>
      <w:pPr>
        <w:pStyle w:val="Heading5"/>
      </w:pPr>
      <w:bookmarkStart w:id="12" w:name="_Toc7186925"/>
      <w:r>
        <w:rPr>
          <w:rStyle w:val="CharSectno"/>
        </w:rPr>
        <w:t>7</w:t>
      </w:r>
      <w:r>
        <w:t>.</w:t>
      </w:r>
      <w:r>
        <w:tab/>
        <w:t>Registration and renewal of registration</w:t>
      </w:r>
      <w:bookmarkEnd w:id="12"/>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13" w:name="_Toc7186926"/>
      <w:r>
        <w:rPr>
          <w:rStyle w:val="CharSectno"/>
        </w:rPr>
        <w:t>8</w:t>
      </w:r>
      <w:r>
        <w:t>.</w:t>
      </w:r>
      <w:r>
        <w:tab/>
        <w:t>Membership of Board: occupation groups</w:t>
      </w:r>
      <w:bookmarkEnd w:id="13"/>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14" w:name="_Toc7186927"/>
      <w:r>
        <w:rPr>
          <w:rStyle w:val="CharSectno"/>
        </w:rPr>
        <w:t>9</w:t>
      </w:r>
      <w:r>
        <w:t>.</w:t>
      </w:r>
      <w:r>
        <w:tab/>
        <w:t>Fees</w:t>
      </w:r>
      <w:bookmarkEnd w:id="14"/>
    </w:p>
    <w:p>
      <w:pPr>
        <w:pStyle w:val="Subsection"/>
        <w:spacing w:before="120"/>
      </w:pPr>
      <w:r>
        <w:tab/>
      </w:r>
      <w:r>
        <w:tab/>
        <w:t>The fees set out in Schedule 1 are payable in respect of the matters referred to in that Schedule.</w:t>
      </w:r>
    </w:p>
    <w:p>
      <w:pPr>
        <w:pStyle w:val="Heading5"/>
        <w:spacing w:before="180"/>
      </w:pPr>
      <w:bookmarkStart w:id="15" w:name="_Toc7186928"/>
      <w:r>
        <w:rPr>
          <w:rStyle w:val="CharSectno"/>
        </w:rPr>
        <w:t>10</w:t>
      </w:r>
      <w:r>
        <w:t>.</w:t>
      </w:r>
      <w:r>
        <w:tab/>
        <w:t>Refund of fees</w:t>
      </w:r>
      <w:bookmarkEnd w:id="15"/>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16" w:name="_Toc7186929"/>
      <w:r>
        <w:rPr>
          <w:rStyle w:val="CharSectno"/>
        </w:rPr>
        <w:t>11</w:t>
      </w:r>
      <w:r>
        <w:t>.</w:t>
      </w:r>
      <w:r>
        <w:tab/>
        <w:t>Notification of disciplinary action: prescribed Acts</w:t>
      </w:r>
      <w:bookmarkEnd w:id="16"/>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w:t>
      </w:r>
    </w:p>
    <w:p>
      <w:pPr>
        <w:pStyle w:val="Heading2"/>
      </w:pPr>
      <w:bookmarkStart w:id="17" w:name="_Toc7184666"/>
      <w:bookmarkStart w:id="18" w:name="_Toc7186930"/>
      <w:r>
        <w:rPr>
          <w:rStyle w:val="CharPartNo"/>
        </w:rPr>
        <w:t>Part 2</w:t>
      </w:r>
      <w:r>
        <w:t> — </w:t>
      </w:r>
      <w:r>
        <w:rPr>
          <w:rStyle w:val="CharPartText"/>
        </w:rPr>
        <w:t>Builders</w:t>
      </w:r>
      <w:bookmarkEnd w:id="17"/>
      <w:bookmarkEnd w:id="18"/>
    </w:p>
    <w:p>
      <w:pPr>
        <w:pStyle w:val="Heading3"/>
      </w:pPr>
      <w:bookmarkStart w:id="19" w:name="_Toc7184667"/>
      <w:bookmarkStart w:id="20" w:name="_Toc7186931"/>
      <w:r>
        <w:rPr>
          <w:rStyle w:val="CharDivNo"/>
        </w:rPr>
        <w:t>Division 1</w:t>
      </w:r>
      <w:r>
        <w:t> — </w:t>
      </w:r>
      <w:r>
        <w:rPr>
          <w:rStyle w:val="CharDivText"/>
        </w:rPr>
        <w:t>Preliminary</w:t>
      </w:r>
      <w:bookmarkEnd w:id="19"/>
      <w:bookmarkEnd w:id="20"/>
    </w:p>
    <w:p>
      <w:pPr>
        <w:pStyle w:val="Heading5"/>
      </w:pPr>
      <w:bookmarkStart w:id="21" w:name="_Toc7186932"/>
      <w:r>
        <w:rPr>
          <w:rStyle w:val="CharSectno"/>
        </w:rPr>
        <w:t>12</w:t>
      </w:r>
      <w:r>
        <w:t>.</w:t>
      </w:r>
      <w:r>
        <w:tab/>
        <w:t>Terms used</w:t>
      </w:r>
      <w:bookmarkEnd w:id="21"/>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22" w:name="_Toc7184669"/>
      <w:bookmarkStart w:id="23" w:name="_Toc7186933"/>
      <w:r>
        <w:rPr>
          <w:rStyle w:val="CharDivNo"/>
        </w:rPr>
        <w:t>Division 2</w:t>
      </w:r>
      <w:r>
        <w:t> — </w:t>
      </w:r>
      <w:r>
        <w:rPr>
          <w:rStyle w:val="CharDivText"/>
        </w:rPr>
        <w:t>Building service providers</w:t>
      </w:r>
      <w:bookmarkEnd w:id="22"/>
      <w:bookmarkEnd w:id="23"/>
    </w:p>
    <w:p>
      <w:pPr>
        <w:pStyle w:val="Heading5"/>
      </w:pPr>
      <w:bookmarkStart w:id="24" w:name="_Toc7186934"/>
      <w:r>
        <w:rPr>
          <w:rStyle w:val="CharSectno"/>
        </w:rPr>
        <w:t>13</w:t>
      </w:r>
      <w:r>
        <w:t>.</w:t>
      </w:r>
      <w:r>
        <w:tab/>
        <w:t>Terms used</w:t>
      </w:r>
      <w:bookmarkEnd w:id="24"/>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Gazette 31 Mar 2017 p. 1942.]</w:t>
      </w:r>
    </w:p>
    <w:p>
      <w:pPr>
        <w:pStyle w:val="Heading5"/>
      </w:pPr>
      <w:bookmarkStart w:id="25" w:name="_Toc7186935"/>
      <w:r>
        <w:rPr>
          <w:rStyle w:val="CharSectno"/>
        </w:rPr>
        <w:t>14</w:t>
      </w:r>
      <w:r>
        <w:t>.</w:t>
      </w:r>
      <w:r>
        <w:tab/>
        <w:t>Prescribed titles: building practitioners and building contractors</w:t>
      </w:r>
      <w:bookmarkEnd w:id="25"/>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26" w:name="_Toc7186936"/>
      <w:r>
        <w:rPr>
          <w:rStyle w:val="CharSectno"/>
        </w:rPr>
        <w:t>15</w:t>
      </w:r>
      <w:r>
        <w:t>.</w:t>
      </w:r>
      <w:r>
        <w:tab/>
        <w:t>Building contractors: building services prescribed</w:t>
      </w:r>
      <w:bookmarkEnd w:id="26"/>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27" w:name="_Toc7186937"/>
      <w:r>
        <w:rPr>
          <w:rStyle w:val="CharSectno"/>
        </w:rPr>
        <w:t>16</w:t>
      </w:r>
      <w:r>
        <w:t>.</w:t>
      </w:r>
      <w:r>
        <w:tab/>
        <w:t>Qualifications and experience: building practitioners</w:t>
      </w:r>
      <w:bookmarkEnd w:id="27"/>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65" w:hanging="765"/>
            </w:pPr>
            <w:r>
              <w:tab/>
              <w:t>(vii)</w:t>
            </w:r>
            <w:r>
              <w:tab/>
              <w:t>CPCCOHS1001A</w:t>
            </w:r>
            <w:r>
              <w:rPr>
                <w:sz w:val="18"/>
                <w:szCs w:val="18"/>
              </w:rPr>
              <w:t xml:space="preserve"> </w:t>
            </w:r>
            <w:r>
              <w:rPr>
                <w:sz w:val="20"/>
              </w:rPr>
              <w:t xml:space="preserve">— </w:t>
            </w:r>
            <w:r>
              <w:t>Work safety in the construction industry;</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rPr>
          <w:cantSplit/>
        </w:trP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2</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2</w:t>
      </w:r>
      <w:r>
        <w:t> section 9A(1) or 10(1).</w:t>
      </w:r>
    </w:p>
    <w:p>
      <w:pPr>
        <w:pStyle w:val="Footnotesection"/>
      </w:pPr>
      <w:r>
        <w:tab/>
        <w:t>[Regulation 16 amended: Gazette 31 Jan 2012 p. 592</w:t>
      </w:r>
      <w:r>
        <w:noBreakHyphen/>
        <w:t>5; 18 Dec 2012 p. 6586.]</w:t>
      </w:r>
    </w:p>
    <w:p>
      <w:pPr>
        <w:pStyle w:val="Heading5"/>
        <w:spacing w:before="260"/>
      </w:pPr>
      <w:bookmarkStart w:id="28" w:name="_Toc7186938"/>
      <w:r>
        <w:rPr>
          <w:rStyle w:val="CharSectno"/>
        </w:rPr>
        <w:t>17</w:t>
      </w:r>
      <w:r>
        <w:t>.</w:t>
      </w:r>
      <w:r>
        <w:tab/>
        <w:t>Conduct of examinations</w:t>
      </w:r>
      <w:bookmarkEnd w:id="28"/>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29" w:name="_Toc7186939"/>
      <w:r>
        <w:rPr>
          <w:rStyle w:val="CharSectno"/>
        </w:rPr>
        <w:t>18</w:t>
      </w:r>
      <w:r>
        <w:t>.</w:t>
      </w:r>
      <w:r>
        <w:tab/>
        <w:t>Financial requirements: building contractors</w:t>
      </w:r>
      <w:bookmarkEnd w:id="29"/>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30" w:name="_Toc7186940"/>
      <w:r>
        <w:rPr>
          <w:rStyle w:val="CharSectno"/>
        </w:rPr>
        <w:t>19</w:t>
      </w:r>
      <w:r>
        <w:t>.</w:t>
      </w:r>
      <w:r>
        <w:tab/>
        <w:t>Prescribed requirements: building contractors</w:t>
      </w:r>
      <w:bookmarkEnd w:id="30"/>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31" w:name="_Toc7186941"/>
      <w:r>
        <w:rPr>
          <w:rStyle w:val="CharSectno"/>
        </w:rPr>
        <w:t>20</w:t>
      </w:r>
      <w:r>
        <w:t>.</w:t>
      </w:r>
      <w:r>
        <w:tab/>
        <w:t>Supervisor for building contractor: eligible person</w:t>
      </w:r>
      <w:bookmarkEnd w:id="31"/>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32" w:name="_Toc7186942"/>
      <w:r>
        <w:rPr>
          <w:rStyle w:val="CharSectno"/>
        </w:rPr>
        <w:t>21</w:t>
      </w:r>
      <w:r>
        <w:t>.</w:t>
      </w:r>
      <w:r>
        <w:tab/>
        <w:t>Display of signs</w:t>
      </w:r>
      <w:bookmarkEnd w:id="32"/>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33" w:name="_Toc7184679"/>
      <w:bookmarkStart w:id="34" w:name="_Toc7186943"/>
      <w:r>
        <w:rPr>
          <w:rStyle w:val="CharDivNo"/>
        </w:rPr>
        <w:t>Division 3</w:t>
      </w:r>
      <w:r>
        <w:t> — </w:t>
      </w:r>
      <w:r>
        <w:rPr>
          <w:rStyle w:val="CharDivText"/>
        </w:rPr>
        <w:t>Owner</w:t>
      </w:r>
      <w:r>
        <w:rPr>
          <w:rStyle w:val="CharDivText"/>
        </w:rPr>
        <w:noBreakHyphen/>
        <w:t>builders</w:t>
      </w:r>
      <w:bookmarkEnd w:id="33"/>
      <w:bookmarkEnd w:id="34"/>
    </w:p>
    <w:p>
      <w:pPr>
        <w:pStyle w:val="Heading5"/>
      </w:pPr>
      <w:bookmarkStart w:id="35" w:name="_Toc7186944"/>
      <w:r>
        <w:rPr>
          <w:rStyle w:val="CharSectno"/>
        </w:rPr>
        <w:t>22</w:t>
      </w:r>
      <w:r>
        <w:t>.</w:t>
      </w:r>
      <w:r>
        <w:tab/>
        <w:t>Terms used</w:t>
      </w:r>
      <w:bookmarkEnd w:id="35"/>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36" w:name="_Toc7186945"/>
      <w:r>
        <w:rPr>
          <w:rStyle w:val="CharSectno"/>
        </w:rPr>
        <w:t>23</w:t>
      </w:r>
      <w:r>
        <w:t>.</w:t>
      </w:r>
      <w:r>
        <w:tab/>
        <w:t>Owner</w:t>
      </w:r>
      <w:r>
        <w:noBreakHyphen/>
        <w:t>builder work</w:t>
      </w:r>
      <w:bookmarkEnd w:id="36"/>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37" w:name="_Toc7186946"/>
      <w:r>
        <w:rPr>
          <w:rStyle w:val="CharSectno"/>
        </w:rPr>
        <w:t>24A</w:t>
      </w:r>
      <w:r>
        <w:t>.</w:t>
      </w:r>
      <w:r>
        <w:tab/>
        <w:t>Prescribed interests in land</w:t>
      </w:r>
      <w:bookmarkEnd w:id="37"/>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Gazette 31 Jan 2012 p. 596.]</w:t>
      </w:r>
    </w:p>
    <w:p>
      <w:pPr>
        <w:pStyle w:val="Heading5"/>
      </w:pPr>
      <w:bookmarkStart w:id="38" w:name="_Toc7186947"/>
      <w:r>
        <w:rPr>
          <w:rStyle w:val="CharSectno"/>
        </w:rPr>
        <w:t>24</w:t>
      </w:r>
      <w:r>
        <w:t>.</w:t>
      </w:r>
      <w:r>
        <w:tab/>
        <w:t>Evidence of knowledge of duties and responsibilities: owner</w:t>
      </w:r>
      <w:r>
        <w:noBreakHyphen/>
        <w:t>builders</w:t>
      </w:r>
      <w:bookmarkEnd w:id="38"/>
    </w:p>
    <w:p>
      <w:pPr>
        <w:pStyle w:val="Subsection"/>
      </w:pPr>
      <w:r>
        <w:tab/>
      </w:r>
      <w:r>
        <w:tab/>
        <w:t>For the purposes of section 43(3)(b) building practitioner is prescribed as a class of building service practitioner.</w:t>
      </w:r>
    </w:p>
    <w:p>
      <w:pPr>
        <w:pStyle w:val="Heading5"/>
      </w:pPr>
      <w:bookmarkStart w:id="39" w:name="_Toc7186948"/>
      <w:r>
        <w:rPr>
          <w:rStyle w:val="CharSectno"/>
        </w:rPr>
        <w:t>25</w:t>
      </w:r>
      <w:r>
        <w:t>.</w:t>
      </w:r>
      <w:r>
        <w:tab/>
        <w:t>Requirements for owner</w:t>
      </w:r>
      <w:r>
        <w:noBreakHyphen/>
        <w:t>builder approval</w:t>
      </w:r>
      <w:bookmarkEnd w:id="39"/>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40" w:name="_Toc7186949"/>
      <w:r>
        <w:rPr>
          <w:rStyle w:val="CharSectno"/>
        </w:rPr>
        <w:t>26</w:t>
      </w:r>
      <w:r>
        <w:t>.</w:t>
      </w:r>
      <w:r>
        <w:tab/>
        <w:t>Conditions on owner</w:t>
      </w:r>
      <w:r>
        <w:noBreakHyphen/>
        <w:t>builder approvals</w:t>
      </w:r>
      <w:bookmarkEnd w:id="40"/>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41" w:name="_Toc7186950"/>
      <w:r>
        <w:rPr>
          <w:rStyle w:val="CharSectno"/>
        </w:rPr>
        <w:t>27</w:t>
      </w:r>
      <w:r>
        <w:t>.</w:t>
      </w:r>
      <w:r>
        <w:tab/>
        <w:t>Display of signs</w:t>
      </w:r>
      <w:bookmarkEnd w:id="41"/>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Gazette 31 Jan 2012 p. 596.]</w:t>
      </w:r>
    </w:p>
    <w:p>
      <w:pPr>
        <w:pStyle w:val="Heading2"/>
      </w:pPr>
      <w:bookmarkStart w:id="42" w:name="_Toc7184687"/>
      <w:bookmarkStart w:id="43" w:name="_Toc7186951"/>
      <w:r>
        <w:rPr>
          <w:rStyle w:val="CharPartNo"/>
        </w:rPr>
        <w:t>Part 3A</w:t>
      </w:r>
      <w:r>
        <w:rPr>
          <w:rStyle w:val="CharDivNo"/>
        </w:rPr>
        <w:t> </w:t>
      </w:r>
      <w:r>
        <w:t>—</w:t>
      </w:r>
      <w:r>
        <w:rPr>
          <w:rStyle w:val="CharDivText"/>
        </w:rPr>
        <w:t> </w:t>
      </w:r>
      <w:r>
        <w:rPr>
          <w:rStyle w:val="CharPartText"/>
        </w:rPr>
        <w:t>Building surveyors</w:t>
      </w:r>
      <w:bookmarkEnd w:id="42"/>
      <w:bookmarkEnd w:id="43"/>
    </w:p>
    <w:p>
      <w:pPr>
        <w:pStyle w:val="Footnoteheading"/>
      </w:pPr>
      <w:r>
        <w:tab/>
        <w:t>[Heading inserted: Gazette 12 Mar 2012 p. 992.]</w:t>
      </w:r>
    </w:p>
    <w:p>
      <w:pPr>
        <w:pStyle w:val="Heading5"/>
      </w:pPr>
      <w:bookmarkStart w:id="44" w:name="_Toc7186952"/>
      <w:r>
        <w:rPr>
          <w:rStyle w:val="CharSectno"/>
        </w:rPr>
        <w:t>28A</w:t>
      </w:r>
      <w:r>
        <w:t>.</w:t>
      </w:r>
      <w:r>
        <w:tab/>
        <w:t>Terms used</w:t>
      </w:r>
      <w:bookmarkEnd w:id="44"/>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45" w:name="_Toc7186953"/>
      <w:r>
        <w:rPr>
          <w:rStyle w:val="CharSectno"/>
        </w:rPr>
        <w:t>28B</w:t>
      </w:r>
      <w:r>
        <w:t>.</w:t>
      </w:r>
      <w:r>
        <w:tab/>
        <w:t>Prescribed titles: building surveying practitioners and building surveying contractors</w:t>
      </w:r>
      <w:bookmarkEnd w:id="45"/>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46" w:name="_Toc7186954"/>
      <w:r>
        <w:rPr>
          <w:rStyle w:val="CharSectno"/>
        </w:rPr>
        <w:t>28C</w:t>
      </w:r>
      <w:r>
        <w:t>.</w:t>
      </w:r>
      <w:r>
        <w:tab/>
        <w:t>Building surveying contractors: building services prescribed</w:t>
      </w:r>
      <w:bookmarkEnd w:id="46"/>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47" w:name="_Toc7186955"/>
      <w:r>
        <w:rPr>
          <w:rStyle w:val="CharSectno"/>
        </w:rPr>
        <w:t>28D</w:t>
      </w:r>
      <w:r>
        <w:t>.</w:t>
      </w:r>
      <w:r>
        <w:tab/>
        <w:t>Qualifications and experience: building surveying practitioners</w:t>
      </w:r>
      <w:bookmarkEnd w:id="47"/>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3</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rPr>
                <w:szCs w:val="24"/>
              </w:rPr>
            </w:pPr>
            <w:r>
              <w:rPr>
                <w:szCs w:val="24"/>
              </w:rPr>
              <w:t>CPC50108 Diploma in Building Surveying as described in CPC08: Construction, Plumbing and Services Training Package published by Training.gov.au; or</w:t>
            </w:r>
          </w:p>
          <w:p>
            <w:pPr>
              <w:pStyle w:val="TableNAm"/>
              <w:rPr>
                <w:szCs w:val="24"/>
              </w:rPr>
            </w:pPr>
            <w:r>
              <w:rPr>
                <w:szCs w:val="24"/>
              </w:rPr>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w:t>
      </w:r>
    </w:p>
    <w:p>
      <w:pPr>
        <w:pStyle w:val="Heading5"/>
      </w:pPr>
      <w:bookmarkStart w:id="48" w:name="_Toc7186956"/>
      <w:r>
        <w:rPr>
          <w:rStyle w:val="CharSectno"/>
        </w:rPr>
        <w:t>28E</w:t>
      </w:r>
      <w:r>
        <w:t>.</w:t>
      </w:r>
      <w:r>
        <w:tab/>
        <w:t>Financial requirements: building surveying contractors</w:t>
      </w:r>
      <w:bookmarkEnd w:id="48"/>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49" w:name="_Toc7186957"/>
      <w:r>
        <w:rPr>
          <w:rStyle w:val="CharSectno"/>
        </w:rPr>
        <w:t>28F</w:t>
      </w:r>
      <w:r>
        <w:t>.</w:t>
      </w:r>
      <w:r>
        <w:tab/>
        <w:t>Insurance requirements: building surveying contractors</w:t>
      </w:r>
      <w:bookmarkEnd w:id="49"/>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Gazette 12 Mar 2012 p. 1000.]</w:t>
      </w:r>
    </w:p>
    <w:p>
      <w:pPr>
        <w:pStyle w:val="Heading5"/>
      </w:pPr>
      <w:bookmarkStart w:id="50" w:name="_Toc7186958"/>
      <w:r>
        <w:rPr>
          <w:rStyle w:val="CharSectno"/>
        </w:rPr>
        <w:t>28G</w:t>
      </w:r>
      <w:r>
        <w:t>.</w:t>
      </w:r>
      <w:r>
        <w:tab/>
        <w:t>Prescribed requirements: building surveying contractors</w:t>
      </w:r>
      <w:bookmarkEnd w:id="50"/>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51" w:name="_Toc7186959"/>
      <w:r>
        <w:rPr>
          <w:rStyle w:val="CharSectno"/>
        </w:rPr>
        <w:t>28H</w:t>
      </w:r>
      <w:r>
        <w:t>.</w:t>
      </w:r>
      <w:r>
        <w:tab/>
        <w:t>Supervisor for building surveying contractors: eligible person</w:t>
      </w:r>
      <w:bookmarkEnd w:id="51"/>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52" w:name="_Toc7186960"/>
      <w:r>
        <w:rPr>
          <w:rStyle w:val="CharSectno"/>
        </w:rPr>
        <w:t>28I</w:t>
      </w:r>
      <w:r>
        <w:t>.</w:t>
      </w:r>
      <w:r>
        <w:tab/>
        <w:t>Condition on registration: building surveying contractor</w:t>
      </w:r>
      <w:bookmarkEnd w:id="52"/>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5"/>
        <w:spacing w:before="240"/>
      </w:pPr>
      <w:bookmarkStart w:id="53" w:name="_Toc7186961"/>
      <w:r>
        <w:rPr>
          <w:rStyle w:val="CharSectno"/>
        </w:rPr>
        <w:t>28J</w:t>
      </w:r>
      <w:r>
        <w:t>.</w:t>
      </w:r>
      <w:r>
        <w:tab/>
        <w:t>Display of certificate of registration</w:t>
      </w:r>
      <w:bookmarkEnd w:id="53"/>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Gazette 12 Mar 2012 p. 1010.]</w:t>
      </w:r>
    </w:p>
    <w:p>
      <w:pPr>
        <w:pStyle w:val="Heading5"/>
      </w:pPr>
      <w:bookmarkStart w:id="54" w:name="_Toc7186962"/>
      <w:r>
        <w:rPr>
          <w:rStyle w:val="CharSectno"/>
        </w:rPr>
        <w:t>28K</w:t>
      </w:r>
      <w:r>
        <w:t>.</w:t>
      </w:r>
      <w:r>
        <w:tab/>
        <w:t>Display of signs</w:t>
      </w:r>
      <w:bookmarkEnd w:id="54"/>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Gazette 12 Mar 2012 p. 1011.]</w:t>
      </w:r>
    </w:p>
    <w:p>
      <w:pPr>
        <w:pStyle w:val="Heading2"/>
      </w:pPr>
      <w:bookmarkStart w:id="55" w:name="_Toc7184699"/>
      <w:bookmarkStart w:id="56" w:name="_Toc7186963"/>
      <w:r>
        <w:rPr>
          <w:rStyle w:val="CharPartNo"/>
        </w:rPr>
        <w:t>Part 3</w:t>
      </w:r>
      <w:r>
        <w:rPr>
          <w:rStyle w:val="CharDivNo"/>
        </w:rPr>
        <w:t> </w:t>
      </w:r>
      <w:r>
        <w:t>—</w:t>
      </w:r>
      <w:r>
        <w:rPr>
          <w:rStyle w:val="CharDivText"/>
        </w:rPr>
        <w:t> </w:t>
      </w:r>
      <w:r>
        <w:rPr>
          <w:rStyle w:val="CharPartText"/>
        </w:rPr>
        <w:t>Painters</w:t>
      </w:r>
      <w:bookmarkEnd w:id="55"/>
      <w:bookmarkEnd w:id="56"/>
    </w:p>
    <w:p>
      <w:pPr>
        <w:pStyle w:val="Heading5"/>
        <w:spacing w:before="240"/>
      </w:pPr>
      <w:bookmarkStart w:id="57" w:name="_Toc7186964"/>
      <w:r>
        <w:rPr>
          <w:rStyle w:val="CharSectno"/>
        </w:rPr>
        <w:t>28</w:t>
      </w:r>
      <w:r>
        <w:t>.</w:t>
      </w:r>
      <w:r>
        <w:tab/>
        <w:t>Terms used</w:t>
      </w:r>
      <w:bookmarkEnd w:id="57"/>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58" w:name="_Toc7186965"/>
      <w:r>
        <w:rPr>
          <w:rStyle w:val="CharSectno"/>
        </w:rPr>
        <w:t>29</w:t>
      </w:r>
      <w:r>
        <w:t>.</w:t>
      </w:r>
      <w:r>
        <w:tab/>
        <w:t>Prescribed titles: painting practitioners and painting contractors</w:t>
      </w:r>
      <w:bookmarkEnd w:id="58"/>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59" w:name="_Toc7186966"/>
      <w:r>
        <w:rPr>
          <w:rStyle w:val="CharSectno"/>
        </w:rPr>
        <w:t>30</w:t>
      </w:r>
      <w:r>
        <w:t>.</w:t>
      </w:r>
      <w:r>
        <w:tab/>
        <w:t>Painting contractors: building services prescribed</w:t>
      </w:r>
      <w:bookmarkEnd w:id="59"/>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60" w:name="_Toc7186967"/>
      <w:r>
        <w:rPr>
          <w:rStyle w:val="CharSectno"/>
        </w:rPr>
        <w:t>31</w:t>
      </w:r>
      <w:r>
        <w:t>.</w:t>
      </w:r>
      <w:r>
        <w:tab/>
        <w:t>Qualifications and experience: painting practitioners</w:t>
      </w:r>
      <w:bookmarkEnd w:id="60"/>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w:t>
      </w:r>
    </w:p>
    <w:p>
      <w:pPr>
        <w:pStyle w:val="Heading5"/>
      </w:pPr>
      <w:bookmarkStart w:id="61" w:name="_Toc7186968"/>
      <w:r>
        <w:rPr>
          <w:rStyle w:val="CharSectno"/>
        </w:rPr>
        <w:t>32</w:t>
      </w:r>
      <w:r>
        <w:t>.</w:t>
      </w:r>
      <w:r>
        <w:tab/>
        <w:t>Conduct of examinations</w:t>
      </w:r>
      <w:bookmarkEnd w:id="61"/>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 Gazette 5 Jan 2018 p. 6.]</w:t>
      </w:r>
    </w:p>
    <w:p>
      <w:pPr>
        <w:pStyle w:val="Heading5"/>
      </w:pPr>
      <w:bookmarkStart w:id="62" w:name="_Toc7186969"/>
      <w:r>
        <w:rPr>
          <w:rStyle w:val="CharSectno"/>
        </w:rPr>
        <w:t>33</w:t>
      </w:r>
      <w:r>
        <w:t>.</w:t>
      </w:r>
      <w:r>
        <w:tab/>
        <w:t>Financial requirements: painting contractors</w:t>
      </w:r>
      <w:bookmarkEnd w:id="62"/>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63" w:name="_Toc7186970"/>
      <w:r>
        <w:rPr>
          <w:rStyle w:val="CharSectno"/>
        </w:rPr>
        <w:t>34</w:t>
      </w:r>
      <w:r>
        <w:t>.</w:t>
      </w:r>
      <w:r>
        <w:tab/>
        <w:t>Prescribed requirements: painting contractors</w:t>
      </w:r>
      <w:bookmarkEnd w:id="63"/>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64" w:name="_Toc7186971"/>
      <w:r>
        <w:rPr>
          <w:rStyle w:val="CharSectno"/>
        </w:rPr>
        <w:t>35</w:t>
      </w:r>
      <w:r>
        <w:t>.</w:t>
      </w:r>
      <w:r>
        <w:tab/>
        <w:t>Supervisor for painting contractor: eligible person</w:t>
      </w:r>
      <w:bookmarkEnd w:id="64"/>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keepNext/>
      </w:pPr>
      <w:r>
        <w:tab/>
        <w:t>(b)</w:t>
      </w:r>
      <w:r>
        <w:tab/>
        <w:t>painting contractor (partnership);</w:t>
      </w:r>
    </w:p>
    <w:p>
      <w:pPr>
        <w:pStyle w:val="Indenta"/>
      </w:pPr>
      <w:r>
        <w:tab/>
        <w:t>(c)</w:t>
      </w:r>
      <w:r>
        <w:tab/>
        <w:t>painting contractor (company).</w:t>
      </w:r>
    </w:p>
    <w:p>
      <w:pPr>
        <w:pStyle w:val="Heading5"/>
      </w:pPr>
      <w:bookmarkStart w:id="65" w:name="_Toc7186972"/>
      <w:r>
        <w:rPr>
          <w:rStyle w:val="CharSectno"/>
        </w:rPr>
        <w:t>36</w:t>
      </w:r>
      <w:r>
        <w:t>.</w:t>
      </w:r>
      <w:r>
        <w:tab/>
        <w:t>Display of signs</w:t>
      </w:r>
      <w:bookmarkEnd w:id="65"/>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66" w:name="_Toc527548979"/>
      <w:bookmarkStart w:id="67" w:name="_Toc527549017"/>
      <w:bookmarkStart w:id="68" w:name="_Toc527550225"/>
      <w:bookmarkStart w:id="69" w:name="_Toc527552877"/>
      <w:bookmarkStart w:id="70" w:name="_Toc527555543"/>
      <w:bookmarkStart w:id="71" w:name="_Toc527556655"/>
      <w:bookmarkStart w:id="72" w:name="_Toc527557107"/>
      <w:bookmarkStart w:id="73" w:name="_Toc527557275"/>
      <w:bookmarkStart w:id="74" w:name="_Toc527557584"/>
      <w:bookmarkStart w:id="75" w:name="_Toc527558902"/>
      <w:bookmarkStart w:id="76" w:name="_Toc530472134"/>
      <w:bookmarkStart w:id="77" w:name="_Toc530473462"/>
      <w:bookmarkStart w:id="78" w:name="_Toc530473580"/>
      <w:bookmarkStart w:id="79" w:name="_Toc530493655"/>
      <w:bookmarkStart w:id="80" w:name="_Toc530493693"/>
      <w:bookmarkStart w:id="81" w:name="_Toc530493770"/>
      <w:bookmarkStart w:id="82" w:name="_Toc530493842"/>
      <w:bookmarkStart w:id="83" w:name="_Toc530494001"/>
      <w:bookmarkStart w:id="84" w:name="_Toc530494092"/>
      <w:bookmarkStart w:id="85" w:name="_Toc530495393"/>
      <w:bookmarkStart w:id="86" w:name="_Toc532546617"/>
      <w:bookmarkStart w:id="87" w:name="_Toc532548001"/>
      <w:bookmarkStart w:id="88" w:name="_Toc532548090"/>
      <w:bookmarkStart w:id="89" w:name="_Toc532548323"/>
      <w:bookmarkStart w:id="90" w:name="_Toc532548424"/>
      <w:bookmarkStart w:id="91" w:name="_Toc532550686"/>
      <w:bookmarkStart w:id="92" w:name="_Toc2079644"/>
      <w:bookmarkStart w:id="93" w:name="_Toc2083971"/>
      <w:bookmarkStart w:id="94" w:name="_Toc7184709"/>
      <w:bookmarkStart w:id="95" w:name="_Toc7186973"/>
      <w:r>
        <w:rPr>
          <w:rStyle w:val="CharPartNo"/>
        </w:rPr>
        <w:t>Part 3B</w:t>
      </w:r>
      <w:r>
        <w:rPr>
          <w:b w:val="0"/>
        </w:rPr>
        <w:t> </w:t>
      </w:r>
      <w:r>
        <w:t>—</w:t>
      </w:r>
      <w:r>
        <w:rPr>
          <w:b w:val="0"/>
        </w:rPr>
        <w:t> </w:t>
      </w:r>
      <w:r>
        <w:rPr>
          <w:rStyle w:val="CharPartText"/>
        </w:rPr>
        <w:t>Infringement notices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Footnoteheading"/>
      </w:pPr>
      <w:r>
        <w:tab/>
        <w:t>[Heading inserted: Gazette 26 Apr 2019 p. 1215.]</w:t>
      </w:r>
    </w:p>
    <w:p>
      <w:pPr>
        <w:pStyle w:val="Heading5"/>
      </w:pPr>
      <w:bookmarkStart w:id="96" w:name="_Toc527557108"/>
      <w:bookmarkStart w:id="97" w:name="_Toc530493771"/>
      <w:bookmarkStart w:id="98" w:name="_Toc532548324"/>
      <w:bookmarkStart w:id="99" w:name="_Toc2083972"/>
      <w:bookmarkStart w:id="100" w:name="_Toc7186974"/>
      <w:r>
        <w:rPr>
          <w:rStyle w:val="CharSectno"/>
        </w:rPr>
        <w:t>36A</w:t>
      </w:r>
      <w:r>
        <w:t>.</w:t>
      </w:r>
      <w:r>
        <w:tab/>
        <w:t>Prescribed offences and modified penalties</w:t>
      </w:r>
      <w:bookmarkEnd w:id="96"/>
      <w:bookmarkEnd w:id="97"/>
      <w:bookmarkEnd w:id="98"/>
      <w:bookmarkEnd w:id="99"/>
      <w:bookmarkEnd w:id="100"/>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101" w:name="_Toc527557109"/>
      <w:bookmarkStart w:id="102" w:name="_Toc530493772"/>
      <w:bookmarkStart w:id="103" w:name="_Toc532548325"/>
      <w:bookmarkStart w:id="104" w:name="_Toc2083973"/>
      <w:bookmarkStart w:id="105" w:name="_Toc7186975"/>
      <w:r>
        <w:rPr>
          <w:rStyle w:val="CharSectno"/>
        </w:rPr>
        <w:t>36B</w:t>
      </w:r>
      <w:r>
        <w:t>.</w:t>
      </w:r>
      <w:r>
        <w:tab/>
        <w:t>Authorised officers and approved officers</w:t>
      </w:r>
      <w:bookmarkEnd w:id="101"/>
      <w:bookmarkEnd w:id="102"/>
      <w:bookmarkEnd w:id="103"/>
      <w:bookmarkEnd w:id="104"/>
      <w:bookmarkEnd w:id="105"/>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bookmarkStart w:id="106" w:name="_Toc527557110"/>
      <w:bookmarkStart w:id="107" w:name="_Toc530493773"/>
      <w:bookmarkStart w:id="108" w:name="_Toc532548326"/>
      <w:bookmarkStart w:id="109" w:name="_Toc2083974"/>
      <w:r>
        <w:tab/>
        <w:t>[Regulation 36B inserted: Gazette 26 Apr 2019 p. 1215-16.]</w:t>
      </w:r>
    </w:p>
    <w:p>
      <w:pPr>
        <w:pStyle w:val="Heading5"/>
      </w:pPr>
      <w:bookmarkStart w:id="110" w:name="_Toc7186976"/>
      <w:r>
        <w:rPr>
          <w:rStyle w:val="CharSectno"/>
        </w:rPr>
        <w:t>36C</w:t>
      </w:r>
      <w:r>
        <w:t>.</w:t>
      </w:r>
      <w:r>
        <w:tab/>
        <w:t>Forms</w:t>
      </w:r>
      <w:bookmarkEnd w:id="106"/>
      <w:bookmarkEnd w:id="107"/>
      <w:bookmarkEnd w:id="108"/>
      <w:bookmarkEnd w:id="109"/>
      <w:bookmarkEnd w:id="110"/>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111" w:name="_Toc7184713"/>
      <w:bookmarkStart w:id="112" w:name="_Toc7186977"/>
      <w:r>
        <w:rPr>
          <w:rStyle w:val="CharPartNo"/>
        </w:rPr>
        <w:t>Part 4</w:t>
      </w:r>
      <w:r>
        <w:t> — </w:t>
      </w:r>
      <w:r>
        <w:rPr>
          <w:rStyle w:val="CharPartText"/>
        </w:rPr>
        <w:t>Transitional provisions</w:t>
      </w:r>
      <w:bookmarkEnd w:id="111"/>
      <w:bookmarkEnd w:id="112"/>
    </w:p>
    <w:p>
      <w:pPr>
        <w:pStyle w:val="Heading3"/>
      </w:pPr>
      <w:bookmarkStart w:id="113" w:name="_Toc7184714"/>
      <w:bookmarkStart w:id="114" w:name="_Toc7186978"/>
      <w:r>
        <w:rPr>
          <w:rStyle w:val="CharDivNo"/>
        </w:rPr>
        <w:t>Division 1</w:t>
      </w:r>
      <w:r>
        <w:t> — </w:t>
      </w:r>
      <w:r>
        <w:rPr>
          <w:rStyle w:val="CharDivText"/>
          <w:i/>
        </w:rPr>
        <w:t>Builders’ Registration Act 1939</w:t>
      </w:r>
      <w:bookmarkEnd w:id="113"/>
      <w:bookmarkEnd w:id="114"/>
    </w:p>
    <w:p>
      <w:pPr>
        <w:pStyle w:val="Heading5"/>
      </w:pPr>
      <w:bookmarkStart w:id="115" w:name="_Toc7186979"/>
      <w:r>
        <w:rPr>
          <w:rStyle w:val="CharSectno"/>
        </w:rPr>
        <w:t>37</w:t>
      </w:r>
      <w:r>
        <w:t>.</w:t>
      </w:r>
      <w:r>
        <w:tab/>
        <w:t>Terms used</w:t>
      </w:r>
      <w:bookmarkEnd w:id="115"/>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2</w:t>
      </w:r>
      <w:r>
        <w:t>.</w:t>
      </w:r>
    </w:p>
    <w:p>
      <w:pPr>
        <w:pStyle w:val="Heading5"/>
      </w:pPr>
      <w:bookmarkStart w:id="116" w:name="_Toc7186980"/>
      <w:r>
        <w:rPr>
          <w:rStyle w:val="CharSectno"/>
        </w:rPr>
        <w:t>38</w:t>
      </w:r>
      <w:r>
        <w:t>.</w:t>
      </w:r>
      <w:r>
        <w:tab/>
        <w:t>Continuation of registration (Act s. 114)</w:t>
      </w:r>
      <w:bookmarkEnd w:id="116"/>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117" w:name="_Toc7186981"/>
      <w:r>
        <w:rPr>
          <w:rStyle w:val="CharSectno"/>
        </w:rPr>
        <w:t>39</w:t>
      </w:r>
      <w:r>
        <w:t>.</w:t>
      </w:r>
      <w:r>
        <w:tab/>
        <w:t>Continuation of declaration of ineligible persons</w:t>
      </w:r>
      <w:bookmarkEnd w:id="117"/>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118" w:name="_Toc7186982"/>
      <w:r>
        <w:rPr>
          <w:rStyle w:val="CharSectno"/>
        </w:rPr>
        <w:t>40</w:t>
      </w:r>
      <w:r>
        <w:t>.</w:t>
      </w:r>
      <w:r>
        <w:tab/>
        <w:t>Membership of Board — experience as builder</w:t>
      </w:r>
      <w:bookmarkEnd w:id="118"/>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119" w:name="_Toc7186983"/>
      <w:r>
        <w:rPr>
          <w:rStyle w:val="CharSectno"/>
        </w:rPr>
        <w:t>41</w:t>
      </w:r>
      <w:r>
        <w:t>.</w:t>
      </w:r>
      <w:r>
        <w:tab/>
        <w:t>Continuation of owner</w:t>
      </w:r>
      <w:r>
        <w:noBreakHyphen/>
        <w:t>builder authorisation</w:t>
      </w:r>
      <w:bookmarkEnd w:id="119"/>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120" w:name="_Toc7186984"/>
      <w:r>
        <w:rPr>
          <w:rStyle w:val="CharSectno"/>
        </w:rPr>
        <w:t>42</w:t>
      </w:r>
      <w:r>
        <w:t>.</w:t>
      </w:r>
      <w:r>
        <w:tab/>
        <w:t>Building Commissioner may exercise powers</w:t>
      </w:r>
      <w:bookmarkEnd w:id="120"/>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21" w:name="_Toc7184721"/>
      <w:bookmarkStart w:id="122" w:name="_Toc7186985"/>
      <w:r>
        <w:rPr>
          <w:rStyle w:val="CharDivNo"/>
        </w:rPr>
        <w:t>Division 2</w:t>
      </w:r>
      <w:r>
        <w:t> — </w:t>
      </w:r>
      <w:r>
        <w:rPr>
          <w:rStyle w:val="CharDivText"/>
          <w:i/>
        </w:rPr>
        <w:t>Painters’ Registration Act 1961</w:t>
      </w:r>
      <w:bookmarkEnd w:id="121"/>
      <w:bookmarkEnd w:id="122"/>
    </w:p>
    <w:p>
      <w:pPr>
        <w:pStyle w:val="Heading5"/>
      </w:pPr>
      <w:bookmarkStart w:id="123" w:name="_Toc7186986"/>
      <w:r>
        <w:rPr>
          <w:rStyle w:val="CharSectno"/>
        </w:rPr>
        <w:t>43</w:t>
      </w:r>
      <w:r>
        <w:t>.</w:t>
      </w:r>
      <w:r>
        <w:tab/>
        <w:t>Terms used</w:t>
      </w:r>
      <w:bookmarkEnd w:id="123"/>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5</w:t>
      </w:r>
      <w:r>
        <w:t>.</w:t>
      </w:r>
    </w:p>
    <w:p>
      <w:pPr>
        <w:pStyle w:val="Heading5"/>
      </w:pPr>
      <w:bookmarkStart w:id="124" w:name="_Toc7186987"/>
      <w:r>
        <w:rPr>
          <w:rStyle w:val="CharSectno"/>
        </w:rPr>
        <w:t>44</w:t>
      </w:r>
      <w:r>
        <w:t>.</w:t>
      </w:r>
      <w:r>
        <w:tab/>
        <w:t>Continuation of registration (Act s. 127)</w:t>
      </w:r>
      <w:bookmarkEnd w:id="124"/>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125" w:name="_Toc7186988"/>
      <w:r>
        <w:rPr>
          <w:rStyle w:val="CharSectno"/>
        </w:rPr>
        <w:t>45</w:t>
      </w:r>
      <w:r>
        <w:t>.</w:t>
      </w:r>
      <w:r>
        <w:tab/>
        <w:t>Membership of Board — experience as painter</w:t>
      </w:r>
      <w:bookmarkEnd w:id="125"/>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126" w:name="_Toc7186989"/>
      <w:r>
        <w:rPr>
          <w:rStyle w:val="CharSectno"/>
        </w:rPr>
        <w:t>46</w:t>
      </w:r>
      <w:r>
        <w:t>.</w:t>
      </w:r>
      <w:r>
        <w:tab/>
        <w:t>Building Commissioner may exercise powers</w:t>
      </w:r>
      <w:bookmarkEnd w:id="126"/>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27" w:name="_Toc7184726"/>
      <w:bookmarkStart w:id="128" w:name="_Toc7186990"/>
      <w:r>
        <w:rPr>
          <w:rStyle w:val="CharDivNo"/>
        </w:rPr>
        <w:t>Division 3</w:t>
      </w:r>
      <w:r>
        <w:t> — </w:t>
      </w:r>
      <w:r>
        <w:rPr>
          <w:rStyle w:val="CharDivText"/>
          <w:i/>
        </w:rPr>
        <w:t>Local Government (Building Surveyors) Regulations 2008</w:t>
      </w:r>
      <w:bookmarkEnd w:id="127"/>
      <w:bookmarkEnd w:id="128"/>
    </w:p>
    <w:p>
      <w:pPr>
        <w:pStyle w:val="Footnoteheading"/>
      </w:pPr>
      <w:r>
        <w:tab/>
        <w:t>[Heading inserted: Gazette 12 Mar 2012 p. 1002.]</w:t>
      </w:r>
    </w:p>
    <w:p>
      <w:pPr>
        <w:pStyle w:val="Heading5"/>
      </w:pPr>
      <w:bookmarkStart w:id="129" w:name="_Toc7186991"/>
      <w:r>
        <w:rPr>
          <w:rStyle w:val="CharSectno"/>
        </w:rPr>
        <w:t>47</w:t>
      </w:r>
      <w:r>
        <w:t>.</w:t>
      </w:r>
      <w:r>
        <w:tab/>
        <w:t>Terms used</w:t>
      </w:r>
      <w:bookmarkEnd w:id="129"/>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4</w:t>
      </w:r>
      <w:r>
        <w:t>;</w:t>
      </w:r>
    </w:p>
    <w:p>
      <w:pPr>
        <w:pStyle w:val="Defstart"/>
      </w:pPr>
      <w:r>
        <w:tab/>
      </w:r>
      <w:r>
        <w:rPr>
          <w:rStyle w:val="CharDefText"/>
        </w:rPr>
        <w:t>repeal day</w:t>
      </w:r>
      <w:r>
        <w:t xml:space="preserve"> means the day on which section 112 comes into operation</w:t>
      </w:r>
      <w:r>
        <w:rPr>
          <w:vertAlign w:val="superscript"/>
        </w:rPr>
        <w:t> 4</w:t>
      </w:r>
      <w:r>
        <w:t>.</w:t>
      </w:r>
    </w:p>
    <w:p>
      <w:pPr>
        <w:pStyle w:val="Footnotesection"/>
        <w:ind w:left="890" w:hanging="890"/>
      </w:pPr>
      <w:r>
        <w:tab/>
        <w:t>[Regulation 47 inserted: Gazette 12 Mar 2012 p. 1002.]</w:t>
      </w:r>
    </w:p>
    <w:p>
      <w:pPr>
        <w:pStyle w:val="Heading5"/>
      </w:pPr>
      <w:bookmarkStart w:id="130" w:name="_Toc7186992"/>
      <w:r>
        <w:rPr>
          <w:rStyle w:val="CharSectno"/>
        </w:rPr>
        <w:t>48</w:t>
      </w:r>
      <w:r>
        <w:t>.</w:t>
      </w:r>
      <w:r>
        <w:tab/>
        <w:t>Continuation of registration</w:t>
      </w:r>
      <w:bookmarkEnd w:id="130"/>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131" w:name="_Toc7186993"/>
      <w:r>
        <w:rPr>
          <w:rStyle w:val="CharSectno"/>
        </w:rPr>
        <w:t>49</w:t>
      </w:r>
      <w:r>
        <w:t>.</w:t>
      </w:r>
      <w:r>
        <w:tab/>
        <w:t>Nominated supervisors for contractors before repeal day</w:t>
      </w:r>
      <w:bookmarkEnd w:id="131"/>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132" w:name="_Toc7186994"/>
      <w:r>
        <w:rPr>
          <w:rStyle w:val="CharSectno"/>
        </w:rPr>
        <w:t>50</w:t>
      </w:r>
      <w:r>
        <w:t>.</w:t>
      </w:r>
      <w:r>
        <w:tab/>
        <w:t>Cancellation of certificate</w:t>
      </w:r>
      <w:bookmarkEnd w:id="132"/>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133" w:name="_Toc7186995"/>
      <w:r>
        <w:rPr>
          <w:rStyle w:val="CharSectno"/>
        </w:rPr>
        <w:t>51</w:t>
      </w:r>
      <w:r>
        <w:t>.</w:t>
      </w:r>
      <w:r>
        <w:tab/>
        <w:t>Membership of Board — experience as a building surveyor</w:t>
      </w:r>
      <w:bookmarkEnd w:id="133"/>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134" w:name="_Toc7184732"/>
      <w:bookmarkStart w:id="135" w:name="_Toc7186996"/>
      <w:r>
        <w:rPr>
          <w:rStyle w:val="CharDivNo"/>
        </w:rPr>
        <w:t>Division 4</w:t>
      </w:r>
      <w:r>
        <w:t> — </w:t>
      </w:r>
      <w:r>
        <w:rPr>
          <w:rStyle w:val="CharDivText"/>
        </w:rPr>
        <w:t>Building Services (Registration) Amendment Regulations (No. 2) 2017</w:t>
      </w:r>
      <w:bookmarkEnd w:id="134"/>
      <w:bookmarkEnd w:id="135"/>
    </w:p>
    <w:p>
      <w:pPr>
        <w:pStyle w:val="Footnoteheading"/>
        <w:keepNext/>
      </w:pPr>
      <w:r>
        <w:tab/>
        <w:t>[Heading inserted: Gazette 5 Jan 2018 p. 6.]</w:t>
      </w:r>
    </w:p>
    <w:p>
      <w:pPr>
        <w:pStyle w:val="Heading5"/>
      </w:pPr>
      <w:bookmarkStart w:id="136" w:name="_Toc7186997"/>
      <w:r>
        <w:rPr>
          <w:rStyle w:val="CharSectno"/>
        </w:rPr>
        <w:t>52</w:t>
      </w:r>
      <w:r>
        <w:t>.</w:t>
      </w:r>
      <w:r>
        <w:tab/>
        <w:t>Painting practitioners: applications for registration made before 1 September 2018</w:t>
      </w:r>
      <w:bookmarkEnd w:id="136"/>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Next/>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keepLines/>
            </w:pPr>
            <w:r>
              <w:t>Set 1</w:t>
            </w:r>
          </w:p>
        </w:tc>
        <w:tc>
          <w:tcPr>
            <w:tcW w:w="2694" w:type="dxa"/>
          </w:tcPr>
          <w:p>
            <w:pPr>
              <w:pStyle w:val="TableNAm"/>
              <w:keepLines/>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pPr>
              <w:pStyle w:val="TableNAm"/>
              <w:keepLines/>
              <w:ind w:left="567" w:hanging="567"/>
            </w:pPr>
            <w:r>
              <w:t>(b)</w:t>
            </w:r>
            <w:r>
              <w:tab/>
              <w:t>an equivalent qualification as determined by the Board</w:t>
            </w:r>
          </w:p>
        </w:tc>
        <w:tc>
          <w:tcPr>
            <w:tcW w:w="2693" w:type="dxa"/>
          </w:tcPr>
          <w:p>
            <w:pPr>
              <w:pStyle w:val="TableNAm"/>
              <w:keepLines/>
              <w:ind w:left="567" w:hanging="567"/>
            </w:pPr>
            <w:r>
              <w:t>(a)</w:t>
            </w:r>
            <w:r>
              <w:tab/>
              <w:t>experience in carrying out painting work gained in the course of the completion of an apprenticeship in painting; or</w:t>
            </w:r>
          </w:p>
          <w:p>
            <w:pPr>
              <w:pStyle w:val="TableNAm"/>
              <w:keepLines/>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Next/>
            </w:pPr>
            <w:r>
              <w:t>Set 4</w:t>
            </w:r>
          </w:p>
        </w:tc>
        <w:tc>
          <w:tcPr>
            <w:tcW w:w="2694" w:type="dxa"/>
          </w:tcPr>
          <w:p>
            <w:pPr>
              <w:pStyle w:val="zTableNAm"/>
              <w:keepNext/>
              <w:keepLines/>
              <w:widowControl w:val="0"/>
              <w:ind w:left="567" w:hanging="567"/>
              <w:jc w:val="center"/>
            </w:pPr>
          </w:p>
        </w:tc>
        <w:tc>
          <w:tcPr>
            <w:tcW w:w="2693" w:type="dxa"/>
          </w:tcPr>
          <w:p>
            <w:pPr>
              <w:pStyle w:val="TableNAm"/>
              <w:keepNext/>
              <w:tabs>
                <w:tab w:val="clear" w:pos="567"/>
              </w:tabs>
              <w:ind w:left="33" w:hanging="33"/>
            </w:pPr>
            <w:r>
              <w:t xml:space="preserve">experience in carrying out painting work — </w:t>
            </w:r>
          </w:p>
          <w:p>
            <w:pPr>
              <w:pStyle w:val="TableNAm"/>
              <w:keepNext/>
              <w:ind w:left="567" w:hanging="567"/>
            </w:pPr>
            <w:r>
              <w:t>(a)</w:t>
            </w:r>
            <w:r>
              <w:tab/>
              <w:t>covering a significant range of painting techniques for periods totalling at least the equivalent of 5 years full</w:t>
            </w:r>
            <w:r>
              <w:noBreakHyphen/>
              <w:t>time; and</w:t>
            </w:r>
          </w:p>
          <w:p>
            <w:pPr>
              <w:pStyle w:val="TableNAm"/>
              <w:keepNext/>
              <w:ind w:left="567" w:hanging="567"/>
            </w:pPr>
            <w:r>
              <w:t>(b)</w:t>
            </w:r>
            <w:r>
              <w:tab/>
              <w:t>sufficient to gain knowledge and skills equivalent to those possessed by a person who has successfully completed a qualification referred to in set 3</w:t>
            </w:r>
          </w:p>
        </w:tc>
      </w:tr>
    </w:tbl>
    <w:p>
      <w:pPr>
        <w:pStyle w:val="Footnotesection"/>
      </w:pPr>
      <w:r>
        <w:tab/>
        <w:t>[Regulation 52 inserted: Gazette 5 Jan 2018 p. 6</w:t>
      </w:r>
      <w:r>
        <w:noBreakHyphen/>
        <w:t>8.]</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37" w:name="_Toc7184734"/>
      <w:bookmarkStart w:id="138" w:name="_Toc7186998"/>
      <w:r>
        <w:rPr>
          <w:rStyle w:val="CharSchNo"/>
        </w:rPr>
        <w:t>Schedule 1</w:t>
      </w:r>
      <w:r>
        <w:t> — </w:t>
      </w:r>
      <w:r>
        <w:rPr>
          <w:rStyle w:val="CharSchText"/>
        </w:rPr>
        <w:t>Fees</w:t>
      </w:r>
      <w:bookmarkEnd w:id="137"/>
      <w:bookmarkEnd w:id="138"/>
    </w:p>
    <w:p>
      <w:pPr>
        <w:pStyle w:val="yShoulderClause"/>
      </w:pPr>
      <w:r>
        <w:t>[r. 9]</w:t>
      </w:r>
    </w:p>
    <w:p>
      <w:pPr>
        <w:pStyle w:val="yFootnoteheading"/>
        <w:spacing w:after="60"/>
      </w:pPr>
      <w:r>
        <w:tab/>
        <w:t>[Heading inserted: Gazette 25 Jun 2018 p. 2331.]</w:t>
      </w:r>
    </w:p>
    <w:p>
      <w:pPr>
        <w:pStyle w:val="yHeading3"/>
      </w:pPr>
      <w:bookmarkStart w:id="139" w:name="_Toc7184735"/>
      <w:bookmarkStart w:id="140" w:name="_Toc7186999"/>
      <w:r>
        <w:rPr>
          <w:rStyle w:val="CharSDivNo"/>
        </w:rPr>
        <w:t>Division 1</w:t>
      </w:r>
      <w:r>
        <w:t> — </w:t>
      </w:r>
      <w:r>
        <w:rPr>
          <w:rStyle w:val="CharSDivText"/>
        </w:rPr>
        <w:t>General</w:t>
      </w:r>
      <w:bookmarkEnd w:id="139"/>
      <w:bookmarkEnd w:id="140"/>
    </w:p>
    <w:p>
      <w:pPr>
        <w:pStyle w:val="yFootnoteheading"/>
        <w:spacing w:after="120"/>
      </w:pPr>
      <w:r>
        <w:tab/>
        <w:t>[Heading inserted: Gazette 25 Jun 2018 p. 2331.]</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pPr>
            <w:r>
              <w:rPr>
                <w:b/>
              </w:rPr>
              <w:t>Item</w:t>
            </w:r>
          </w:p>
        </w:tc>
        <w:tc>
          <w:tcPr>
            <w:tcW w:w="4678" w:type="dxa"/>
          </w:tcPr>
          <w:p>
            <w:pPr>
              <w:pStyle w:val="yTableNAm"/>
            </w:pPr>
            <w:r>
              <w:rPr>
                <w:b/>
              </w:rPr>
              <w:t>Service</w:t>
            </w:r>
          </w:p>
        </w:tc>
        <w:tc>
          <w:tcPr>
            <w:tcW w:w="1134" w:type="dxa"/>
          </w:tcPr>
          <w:p>
            <w:pPr>
              <w:pStyle w:val="yTableNAm"/>
            </w:pPr>
            <w:r>
              <w:rPr>
                <w:b/>
              </w:rPr>
              <w:t>Fee ($)</w:t>
            </w:r>
          </w:p>
        </w:tc>
      </w:tr>
      <w:tr>
        <w:trPr>
          <w:cantSplit/>
        </w:trPr>
        <w:tc>
          <w:tcPr>
            <w:tcW w:w="992" w:type="dxa"/>
          </w:tcPr>
          <w:p>
            <w:pPr>
              <w:pStyle w:val="yTableNAm"/>
            </w:pPr>
            <w:r>
              <w:t>1.</w:t>
            </w:r>
          </w:p>
        </w:tc>
        <w:tc>
          <w:tcPr>
            <w:tcW w:w="4678" w:type="dxa"/>
          </w:tcPr>
          <w:p>
            <w:pPr>
              <w:pStyle w:val="yTableNAm"/>
            </w:pPr>
            <w:r>
              <w:t>Issue of replacement certificate of registration</w:t>
            </w:r>
          </w:p>
        </w:tc>
        <w:tc>
          <w:tcPr>
            <w:tcW w:w="1134" w:type="dxa"/>
          </w:tcPr>
          <w:p>
            <w:pPr>
              <w:pStyle w:val="yTableNAm"/>
            </w:pPr>
            <w:r>
              <w:t>64.10</w:t>
            </w:r>
          </w:p>
        </w:tc>
      </w:tr>
      <w:tr>
        <w:trPr>
          <w:cantSplit/>
        </w:trPr>
        <w:tc>
          <w:tcPr>
            <w:tcW w:w="992" w:type="dxa"/>
          </w:tcPr>
          <w:p>
            <w:pPr>
              <w:pStyle w:val="yTableNAm"/>
            </w:pPr>
            <w:r>
              <w:t>2.</w:t>
            </w:r>
          </w:p>
        </w:tc>
        <w:tc>
          <w:tcPr>
            <w:tcW w:w="4678" w:type="dxa"/>
          </w:tcPr>
          <w:p>
            <w:pPr>
              <w:pStyle w:val="yTableNAm"/>
            </w:pPr>
            <w:r>
              <w:t>Issue of new certificate of registration following name change</w:t>
            </w:r>
          </w:p>
        </w:tc>
        <w:tc>
          <w:tcPr>
            <w:tcW w:w="1134" w:type="dxa"/>
          </w:tcPr>
          <w:p>
            <w:pPr>
              <w:pStyle w:val="yTableNAm"/>
            </w:pPr>
            <w:r>
              <w:br/>
              <w:t>61.05</w:t>
            </w:r>
          </w:p>
        </w:tc>
      </w:tr>
      <w:tr>
        <w:trPr>
          <w:cantSplit/>
        </w:trPr>
        <w:tc>
          <w:tcPr>
            <w:tcW w:w="992" w:type="dxa"/>
          </w:tcPr>
          <w:p>
            <w:pPr>
              <w:pStyle w:val="yTableNAm"/>
            </w:pPr>
            <w:r>
              <w:t>3.</w:t>
            </w:r>
          </w:p>
        </w:tc>
        <w:tc>
          <w:tcPr>
            <w:tcW w:w="4678" w:type="dxa"/>
          </w:tcPr>
          <w:p>
            <w:pPr>
              <w:pStyle w:val="yTableNAm"/>
            </w:pPr>
            <w:r>
              <w:t>Provision of a certified copy of the register</w:t>
            </w:r>
          </w:p>
        </w:tc>
        <w:tc>
          <w:tcPr>
            <w:tcW w:w="1134" w:type="dxa"/>
          </w:tcPr>
          <w:p>
            <w:pPr>
              <w:pStyle w:val="yTableNAm"/>
            </w:pPr>
            <w:r>
              <w:t>61.05</w:t>
            </w:r>
          </w:p>
        </w:tc>
      </w:tr>
      <w:tr>
        <w:trPr>
          <w:cantSplit/>
        </w:trPr>
        <w:tc>
          <w:tcPr>
            <w:tcW w:w="992" w:type="dxa"/>
          </w:tcPr>
          <w:p>
            <w:pPr>
              <w:pStyle w:val="yTableNAm"/>
            </w:pPr>
            <w:r>
              <w:t>4.</w:t>
            </w:r>
          </w:p>
        </w:tc>
        <w:tc>
          <w:tcPr>
            <w:tcW w:w="4678" w:type="dxa"/>
          </w:tcPr>
          <w:p>
            <w:pPr>
              <w:pStyle w:val="yTableNAm"/>
            </w:pPr>
            <w:r>
              <w:t>Provision of a certified copy of the register in respect of the classes of building service contractors in a specified occupation group referred to in regulation 8</w:t>
            </w:r>
          </w:p>
        </w:tc>
        <w:tc>
          <w:tcPr>
            <w:tcW w:w="1134" w:type="dxa"/>
          </w:tcPr>
          <w:p>
            <w:pPr>
              <w:pStyle w:val="yTableNAm"/>
            </w:pPr>
            <w:r>
              <w:br/>
            </w:r>
            <w:r>
              <w:br/>
            </w:r>
            <w:r>
              <w:br/>
              <w:t>61.05</w:t>
            </w:r>
          </w:p>
        </w:tc>
      </w:tr>
      <w:tr>
        <w:trPr>
          <w:cantSplit/>
        </w:trPr>
        <w:tc>
          <w:tcPr>
            <w:tcW w:w="992" w:type="dxa"/>
          </w:tcPr>
          <w:p>
            <w:pPr>
              <w:pStyle w:val="yTableNAm"/>
            </w:pPr>
            <w:r>
              <w:t>5.</w:t>
            </w:r>
          </w:p>
        </w:tc>
        <w:tc>
          <w:tcPr>
            <w:tcW w:w="4678" w:type="dxa"/>
          </w:tcPr>
          <w:p>
            <w:pPr>
              <w:pStyle w:val="yTableNAm"/>
            </w:pPr>
            <w:r>
              <w:t>Provision of a certified copy of the entry in the register in respect of a specified building service provider on a specified day or within a specified period</w:t>
            </w:r>
          </w:p>
        </w:tc>
        <w:tc>
          <w:tcPr>
            <w:tcW w:w="1134" w:type="dxa"/>
          </w:tcPr>
          <w:p>
            <w:pPr>
              <w:pStyle w:val="yTableNAm"/>
            </w:pPr>
            <w:r>
              <w:br/>
            </w:r>
            <w:r>
              <w:br/>
            </w:r>
            <w:r>
              <w:br/>
              <w:t>61.05</w:t>
            </w:r>
          </w:p>
        </w:tc>
      </w:tr>
      <w:tr>
        <w:trPr>
          <w:cantSplit/>
        </w:trPr>
        <w:tc>
          <w:tcPr>
            <w:tcW w:w="992" w:type="dxa"/>
          </w:tcPr>
          <w:p>
            <w:pPr>
              <w:pStyle w:val="yTableNAm"/>
            </w:pPr>
            <w:r>
              <w:t>6.</w:t>
            </w:r>
          </w:p>
        </w:tc>
        <w:tc>
          <w:tcPr>
            <w:tcW w:w="4678" w:type="dxa"/>
          </w:tcPr>
          <w:p>
            <w:pPr>
              <w:pStyle w:val="yTableNAm"/>
            </w:pPr>
            <w:r>
              <w:t xml:space="preserve">Provision of a certified copy of entries that have been added to, or deleted from, the register after a specified day </w:t>
            </w:r>
          </w:p>
        </w:tc>
        <w:tc>
          <w:tcPr>
            <w:tcW w:w="1134" w:type="dxa"/>
          </w:tcPr>
          <w:p>
            <w:pPr>
              <w:pStyle w:val="yTableNAm"/>
            </w:pPr>
            <w:r>
              <w:br/>
            </w:r>
            <w:r>
              <w:br/>
              <w:t>61.05</w:t>
            </w:r>
          </w:p>
        </w:tc>
      </w:tr>
    </w:tbl>
    <w:p>
      <w:pPr>
        <w:pStyle w:val="yFootnotesection"/>
      </w:pPr>
      <w:r>
        <w:tab/>
        <w:t>[Division 1 inserted: Gazette 25 Jun 2018 p. 2331.]</w:t>
      </w:r>
    </w:p>
    <w:p>
      <w:pPr>
        <w:pStyle w:val="yHeading3"/>
        <w:rPr>
          <w:rStyle w:val="CharSDivText"/>
        </w:rPr>
      </w:pPr>
      <w:bookmarkStart w:id="141" w:name="_Toc7184736"/>
      <w:bookmarkStart w:id="142" w:name="_Toc7187000"/>
      <w:r>
        <w:rPr>
          <w:rStyle w:val="CharSDivNo"/>
        </w:rPr>
        <w:t>Division 2</w:t>
      </w:r>
      <w:r>
        <w:t> — </w:t>
      </w:r>
      <w:r>
        <w:rPr>
          <w:rStyle w:val="CharSDivText"/>
        </w:rPr>
        <w:t>Builders</w:t>
      </w:r>
      <w:bookmarkEnd w:id="141"/>
      <w:bookmarkEnd w:id="142"/>
    </w:p>
    <w:p>
      <w:pPr>
        <w:pStyle w:val="yFootnoteheading"/>
        <w:spacing w:after="120"/>
      </w:pPr>
      <w:r>
        <w:tab/>
        <w:t>[Heading inserted: Gazette 21 Sep 2018 p. 3535.]</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pPr>
            <w:r>
              <w:rPr>
                <w:b/>
              </w:rPr>
              <w:t>Item</w:t>
            </w:r>
          </w:p>
        </w:tc>
        <w:tc>
          <w:tcPr>
            <w:tcW w:w="4678" w:type="dxa"/>
          </w:tcPr>
          <w:p>
            <w:pPr>
              <w:pStyle w:val="yTableNAm"/>
            </w:pPr>
            <w:r>
              <w:rPr>
                <w:b/>
              </w:rPr>
              <w:t>Description of fee</w:t>
            </w:r>
          </w:p>
        </w:tc>
        <w:tc>
          <w:tcPr>
            <w:tcW w:w="1134" w:type="dxa"/>
          </w:tcPr>
          <w:p>
            <w:pPr>
              <w:pStyle w:val="yTableNAm"/>
            </w:pPr>
            <w:r>
              <w:rPr>
                <w:b/>
              </w:rPr>
              <w:t>Fee ($)</w:t>
            </w:r>
          </w:p>
        </w:tc>
      </w:tr>
      <w:tr>
        <w:trPr>
          <w:cantSplit/>
        </w:trPr>
        <w:tc>
          <w:tcPr>
            <w:tcW w:w="992" w:type="dxa"/>
          </w:tcPr>
          <w:p>
            <w:pPr>
              <w:pStyle w:val="yTableNAm"/>
            </w:pPr>
            <w:r>
              <w:t>1.</w:t>
            </w:r>
          </w:p>
        </w:tc>
        <w:tc>
          <w:tcPr>
            <w:tcW w:w="4678" w:type="dxa"/>
          </w:tcPr>
          <w:p>
            <w:pPr>
              <w:pStyle w:val="yTableNAm"/>
            </w:pPr>
            <w:r>
              <w:t>Application for registration as building practitioner</w:t>
            </w:r>
          </w:p>
        </w:tc>
        <w:tc>
          <w:tcPr>
            <w:tcW w:w="1134" w:type="dxa"/>
          </w:tcPr>
          <w:p>
            <w:pPr>
              <w:pStyle w:val="yTableNAm"/>
              <w:jc w:val="right"/>
            </w:pPr>
            <w:r>
              <w:br/>
              <w:t>213.70</w:t>
            </w:r>
          </w:p>
        </w:tc>
      </w:tr>
      <w:tr>
        <w:trPr>
          <w:cantSplit/>
        </w:trPr>
        <w:tc>
          <w:tcPr>
            <w:tcW w:w="992" w:type="dxa"/>
          </w:tcPr>
          <w:p>
            <w:pPr>
              <w:pStyle w:val="yTableNAm"/>
            </w:pPr>
            <w:r>
              <w:t>2.</w:t>
            </w:r>
          </w:p>
        </w:tc>
        <w:tc>
          <w:tcPr>
            <w:tcW w:w="4678" w:type="dxa"/>
          </w:tcPr>
          <w:p>
            <w:pPr>
              <w:pStyle w:val="yTableNAm"/>
            </w:pPr>
            <w:r>
              <w:t>Application for registration as building contractor (individual)</w:t>
            </w:r>
          </w:p>
        </w:tc>
        <w:tc>
          <w:tcPr>
            <w:tcW w:w="1134" w:type="dxa"/>
          </w:tcPr>
          <w:p>
            <w:pPr>
              <w:pStyle w:val="yTableNAm"/>
              <w:jc w:val="right"/>
            </w:pPr>
            <w:r>
              <w:br/>
              <w:t>213.70</w:t>
            </w:r>
          </w:p>
        </w:tc>
      </w:tr>
      <w:tr>
        <w:trPr>
          <w:cantSplit/>
        </w:trPr>
        <w:tc>
          <w:tcPr>
            <w:tcW w:w="992" w:type="dxa"/>
          </w:tcPr>
          <w:p>
            <w:pPr>
              <w:pStyle w:val="yTableNAm"/>
            </w:pPr>
            <w:r>
              <w:t>3.</w:t>
            </w:r>
          </w:p>
        </w:tc>
        <w:tc>
          <w:tcPr>
            <w:tcW w:w="4678" w:type="dxa"/>
          </w:tcPr>
          <w:p>
            <w:pPr>
              <w:pStyle w:val="yTableNAm"/>
            </w:pPr>
            <w:r>
              <w:t>Application for registration as building contractor (partnership)</w:t>
            </w:r>
          </w:p>
        </w:tc>
        <w:tc>
          <w:tcPr>
            <w:tcW w:w="1134" w:type="dxa"/>
          </w:tcPr>
          <w:p>
            <w:pPr>
              <w:pStyle w:val="yTableNAm"/>
              <w:jc w:val="right"/>
            </w:pPr>
            <w:r>
              <w:br/>
              <w:t>350.45</w:t>
            </w:r>
          </w:p>
        </w:tc>
      </w:tr>
      <w:tr>
        <w:trPr>
          <w:cantSplit/>
        </w:trPr>
        <w:tc>
          <w:tcPr>
            <w:tcW w:w="992" w:type="dxa"/>
          </w:tcPr>
          <w:p>
            <w:pPr>
              <w:pStyle w:val="yTableNAm"/>
            </w:pPr>
            <w:r>
              <w:t>4.</w:t>
            </w:r>
          </w:p>
        </w:tc>
        <w:tc>
          <w:tcPr>
            <w:tcW w:w="4678" w:type="dxa"/>
          </w:tcPr>
          <w:p>
            <w:pPr>
              <w:pStyle w:val="yTableNAm"/>
            </w:pPr>
            <w:r>
              <w:t>Application for registration as building contractor (company)</w:t>
            </w:r>
          </w:p>
        </w:tc>
        <w:tc>
          <w:tcPr>
            <w:tcW w:w="1134" w:type="dxa"/>
          </w:tcPr>
          <w:p>
            <w:pPr>
              <w:pStyle w:val="yTableNAm"/>
              <w:jc w:val="right"/>
            </w:pPr>
            <w:r>
              <w:br/>
              <w:t>350.45</w:t>
            </w:r>
          </w:p>
        </w:tc>
      </w:tr>
      <w:tr>
        <w:trPr>
          <w:cantSplit/>
        </w:trPr>
        <w:tc>
          <w:tcPr>
            <w:tcW w:w="992" w:type="dxa"/>
          </w:tcPr>
          <w:p>
            <w:pPr>
              <w:pStyle w:val="yTableNAm"/>
            </w:pPr>
            <w:r>
              <w:t>5.</w:t>
            </w:r>
          </w:p>
        </w:tc>
        <w:tc>
          <w:tcPr>
            <w:tcW w:w="4678" w:type="dxa"/>
          </w:tcPr>
          <w:p>
            <w:pPr>
              <w:pStyle w:val="yTableNAm"/>
            </w:pPr>
            <w:r>
              <w:t>Registration fee for building practitioner (3 years)</w:t>
            </w:r>
          </w:p>
        </w:tc>
        <w:tc>
          <w:tcPr>
            <w:tcW w:w="1134" w:type="dxa"/>
          </w:tcPr>
          <w:p>
            <w:pPr>
              <w:pStyle w:val="yTableNAm"/>
              <w:jc w:val="right"/>
            </w:pPr>
            <w:r>
              <w:t>614.30</w:t>
            </w:r>
          </w:p>
        </w:tc>
      </w:tr>
      <w:tr>
        <w:trPr>
          <w:cantSplit/>
        </w:trPr>
        <w:tc>
          <w:tcPr>
            <w:tcW w:w="992" w:type="dxa"/>
          </w:tcPr>
          <w:p>
            <w:pPr>
              <w:pStyle w:val="yTableNAm"/>
            </w:pPr>
            <w:r>
              <w:t>6.</w:t>
            </w:r>
          </w:p>
        </w:tc>
        <w:tc>
          <w:tcPr>
            <w:tcW w:w="4678" w:type="dxa"/>
          </w:tcPr>
          <w:p>
            <w:pPr>
              <w:pStyle w:val="yTableNAm"/>
            </w:pPr>
            <w:r>
              <w:t>Registration fee for building contractor (individual) (3 years)</w:t>
            </w:r>
          </w:p>
        </w:tc>
        <w:tc>
          <w:tcPr>
            <w:tcW w:w="1134" w:type="dxa"/>
          </w:tcPr>
          <w:p>
            <w:pPr>
              <w:pStyle w:val="yTableNAm"/>
              <w:jc w:val="right"/>
            </w:pPr>
            <w:r>
              <w:br/>
              <w:t>410.25</w:t>
            </w:r>
          </w:p>
        </w:tc>
      </w:tr>
      <w:tr>
        <w:trPr>
          <w:cantSplit/>
        </w:trPr>
        <w:tc>
          <w:tcPr>
            <w:tcW w:w="992" w:type="dxa"/>
          </w:tcPr>
          <w:p>
            <w:pPr>
              <w:pStyle w:val="yTableNAm"/>
            </w:pPr>
            <w:r>
              <w:t>7.</w:t>
            </w:r>
          </w:p>
        </w:tc>
        <w:tc>
          <w:tcPr>
            <w:tcW w:w="4678" w:type="dxa"/>
          </w:tcPr>
          <w:p>
            <w:pPr>
              <w:pStyle w:val="yTableNAm"/>
            </w:pPr>
            <w:r>
              <w:t>Registration fee for building contractor (partnership) (3 years)</w:t>
            </w:r>
          </w:p>
        </w:tc>
        <w:tc>
          <w:tcPr>
            <w:tcW w:w="1134" w:type="dxa"/>
          </w:tcPr>
          <w:p>
            <w:pPr>
              <w:pStyle w:val="yTableNAm"/>
              <w:jc w:val="right"/>
            </w:pPr>
            <w:r>
              <w:br/>
              <w:t>1 378.25</w:t>
            </w:r>
          </w:p>
        </w:tc>
      </w:tr>
      <w:tr>
        <w:trPr>
          <w:cantSplit/>
        </w:trPr>
        <w:tc>
          <w:tcPr>
            <w:tcW w:w="992" w:type="dxa"/>
          </w:tcPr>
          <w:p>
            <w:pPr>
              <w:pStyle w:val="yTableNAm"/>
            </w:pPr>
            <w:r>
              <w:t>8.</w:t>
            </w:r>
          </w:p>
        </w:tc>
        <w:tc>
          <w:tcPr>
            <w:tcW w:w="4678" w:type="dxa"/>
          </w:tcPr>
          <w:p>
            <w:pPr>
              <w:pStyle w:val="yTableNAm"/>
            </w:pPr>
            <w:r>
              <w:t>Registration fee for building contractor (company) (3 years)</w:t>
            </w:r>
          </w:p>
        </w:tc>
        <w:tc>
          <w:tcPr>
            <w:tcW w:w="1134" w:type="dxa"/>
          </w:tcPr>
          <w:p>
            <w:pPr>
              <w:pStyle w:val="yTableNAm"/>
              <w:jc w:val="right"/>
            </w:pPr>
            <w:r>
              <w:br/>
              <w:t>3 136.75</w:t>
            </w:r>
          </w:p>
        </w:tc>
      </w:tr>
      <w:tr>
        <w:trPr>
          <w:cantSplit/>
        </w:trPr>
        <w:tc>
          <w:tcPr>
            <w:tcW w:w="992" w:type="dxa"/>
          </w:tcPr>
          <w:p>
            <w:pPr>
              <w:pStyle w:val="yTableNAm"/>
            </w:pPr>
            <w:r>
              <w:t>9.</w:t>
            </w:r>
          </w:p>
        </w:tc>
        <w:tc>
          <w:tcPr>
            <w:tcW w:w="4678" w:type="dxa"/>
          </w:tcPr>
          <w:p>
            <w:pPr>
              <w:pStyle w:val="yTableNAm"/>
            </w:pPr>
            <w:r>
              <w:t>Late fee for application for renewal made after renewal period</w:t>
            </w:r>
          </w:p>
        </w:tc>
        <w:tc>
          <w:tcPr>
            <w:tcW w:w="1134" w:type="dxa"/>
          </w:tcPr>
          <w:p>
            <w:pPr>
              <w:pStyle w:val="yTableNAm"/>
              <w:jc w:val="right"/>
            </w:pPr>
            <w:r>
              <w:br/>
            </w:r>
            <w:r>
              <w:rPr>
                <w:color w:val="000000"/>
              </w:rPr>
              <w:t>57.15</w:t>
            </w:r>
          </w:p>
        </w:tc>
      </w:tr>
      <w:tr>
        <w:trPr>
          <w:cantSplit/>
        </w:trPr>
        <w:tc>
          <w:tcPr>
            <w:tcW w:w="992" w:type="dxa"/>
          </w:tcPr>
          <w:p>
            <w:pPr>
              <w:pStyle w:val="yTableNAm"/>
            </w:pPr>
            <w:r>
              <w:t>10.</w:t>
            </w:r>
          </w:p>
        </w:tc>
        <w:tc>
          <w:tcPr>
            <w:tcW w:w="4678" w:type="dxa"/>
          </w:tcPr>
          <w:p>
            <w:pPr>
              <w:pStyle w:val="yTableNAm"/>
            </w:pPr>
            <w:r>
              <w:t>Fee for sitting an examination — metropolitan area</w:t>
            </w:r>
          </w:p>
        </w:tc>
        <w:tc>
          <w:tcPr>
            <w:tcW w:w="1134" w:type="dxa"/>
          </w:tcPr>
          <w:p>
            <w:pPr>
              <w:pStyle w:val="yTableNAm"/>
              <w:jc w:val="right"/>
            </w:pPr>
            <w:r>
              <w:br/>
            </w:r>
            <w:r>
              <w:rPr>
                <w:color w:val="000000"/>
              </w:rPr>
              <w:t>192.30</w:t>
            </w:r>
          </w:p>
        </w:tc>
      </w:tr>
      <w:tr>
        <w:trPr>
          <w:cantSplit/>
        </w:trPr>
        <w:tc>
          <w:tcPr>
            <w:tcW w:w="992" w:type="dxa"/>
          </w:tcPr>
          <w:p>
            <w:pPr>
              <w:pStyle w:val="yTableNAm"/>
            </w:pPr>
            <w:r>
              <w:t>11.</w:t>
            </w:r>
          </w:p>
        </w:tc>
        <w:tc>
          <w:tcPr>
            <w:tcW w:w="4678" w:type="dxa"/>
          </w:tcPr>
          <w:p>
            <w:pPr>
              <w:pStyle w:val="yTableNAm"/>
            </w:pPr>
            <w:r>
              <w:t>Fee for marking an examination sat outside metropolitan area</w:t>
            </w:r>
          </w:p>
        </w:tc>
        <w:tc>
          <w:tcPr>
            <w:tcW w:w="1134" w:type="dxa"/>
          </w:tcPr>
          <w:p>
            <w:pPr>
              <w:pStyle w:val="yTableNAm"/>
              <w:jc w:val="right"/>
            </w:pPr>
            <w:r>
              <w:br/>
            </w:r>
            <w:r>
              <w:rPr>
                <w:color w:val="000000"/>
              </w:rPr>
              <w:t>58.75</w:t>
            </w:r>
          </w:p>
        </w:tc>
      </w:tr>
    </w:tbl>
    <w:p>
      <w:pPr>
        <w:pStyle w:val="yFootnotesection"/>
      </w:pPr>
      <w:r>
        <w:tab/>
        <w:t>[Division 2 inserted: Gazette 21 Sep 2018 p. 3535.]</w:t>
      </w:r>
    </w:p>
    <w:p>
      <w:pPr>
        <w:pStyle w:val="yHeading3"/>
      </w:pPr>
      <w:bookmarkStart w:id="143" w:name="_Toc7184737"/>
      <w:bookmarkStart w:id="144" w:name="_Toc7187001"/>
      <w:r>
        <w:rPr>
          <w:rStyle w:val="CharSDivNo"/>
        </w:rPr>
        <w:t>Division 3</w:t>
      </w:r>
      <w:r>
        <w:t> — </w:t>
      </w:r>
      <w:r>
        <w:rPr>
          <w:rStyle w:val="CharSDivText"/>
        </w:rPr>
        <w:t>Owner</w:t>
      </w:r>
      <w:r>
        <w:rPr>
          <w:rStyle w:val="CharSDivText"/>
        </w:rPr>
        <w:noBreakHyphen/>
        <w:t>builders</w:t>
      </w:r>
      <w:bookmarkEnd w:id="143"/>
      <w:bookmarkEnd w:id="144"/>
    </w:p>
    <w:p>
      <w:pPr>
        <w:pStyle w:val="yFootnoteheading"/>
        <w:spacing w:after="120"/>
      </w:pPr>
      <w:r>
        <w:tab/>
        <w:t>[Heading inserted: Gazette 25 Jun 2018 p. 2333.]</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pPr>
            <w:r>
              <w:rPr>
                <w:b/>
              </w:rPr>
              <w:t>Item</w:t>
            </w:r>
          </w:p>
        </w:tc>
        <w:tc>
          <w:tcPr>
            <w:tcW w:w="4678" w:type="dxa"/>
          </w:tcPr>
          <w:p>
            <w:pPr>
              <w:pStyle w:val="yTableNAm"/>
            </w:pPr>
            <w:r>
              <w:rPr>
                <w:b/>
              </w:rPr>
              <w:t>Description of fee</w:t>
            </w:r>
          </w:p>
        </w:tc>
        <w:tc>
          <w:tcPr>
            <w:tcW w:w="1134" w:type="dxa"/>
          </w:tcPr>
          <w:p>
            <w:pPr>
              <w:pStyle w:val="yTableNAm"/>
            </w:pPr>
            <w:r>
              <w:rPr>
                <w:b/>
              </w:rPr>
              <w:t>Fee ($)</w:t>
            </w:r>
          </w:p>
        </w:tc>
      </w:tr>
      <w:tr>
        <w:tc>
          <w:tcPr>
            <w:tcW w:w="992" w:type="dxa"/>
          </w:tcPr>
          <w:p>
            <w:pPr>
              <w:pStyle w:val="yTableNAm"/>
            </w:pPr>
            <w:r>
              <w:t>1.</w:t>
            </w:r>
          </w:p>
        </w:tc>
        <w:tc>
          <w:tcPr>
            <w:tcW w:w="4678" w:type="dxa"/>
          </w:tcPr>
          <w:p>
            <w:pPr>
              <w:pStyle w:val="yTableNAm"/>
            </w:pPr>
            <w:r>
              <w:t>Application for owner</w:t>
            </w:r>
            <w:r>
              <w:noBreakHyphen/>
              <w:t>builder approval (residential)</w:t>
            </w:r>
          </w:p>
        </w:tc>
        <w:tc>
          <w:tcPr>
            <w:tcW w:w="1134" w:type="dxa"/>
          </w:tcPr>
          <w:p>
            <w:pPr>
              <w:pStyle w:val="yTableNAm"/>
            </w:pPr>
            <w:r>
              <w:br/>
            </w:r>
            <w:r>
              <w:rPr>
                <w:color w:val="000000"/>
              </w:rPr>
              <w:t>165.60</w:t>
            </w:r>
          </w:p>
        </w:tc>
      </w:tr>
      <w:tr>
        <w:tc>
          <w:tcPr>
            <w:tcW w:w="992" w:type="dxa"/>
          </w:tcPr>
          <w:p>
            <w:pPr>
              <w:pStyle w:val="yTableNAm"/>
            </w:pPr>
            <w:r>
              <w:t>2.</w:t>
            </w:r>
          </w:p>
        </w:tc>
        <w:tc>
          <w:tcPr>
            <w:tcW w:w="4678" w:type="dxa"/>
          </w:tcPr>
          <w:p>
            <w:pPr>
              <w:pStyle w:val="yTableNAm"/>
            </w:pPr>
            <w:r>
              <w:t>Application for owner</w:t>
            </w:r>
            <w:r>
              <w:noBreakHyphen/>
              <w:t>builder approval (commercial)</w:t>
            </w:r>
          </w:p>
        </w:tc>
        <w:tc>
          <w:tcPr>
            <w:tcW w:w="1134" w:type="dxa"/>
          </w:tcPr>
          <w:p>
            <w:pPr>
              <w:pStyle w:val="yTableNAm"/>
            </w:pPr>
            <w:r>
              <w:br/>
            </w:r>
            <w:r>
              <w:rPr>
                <w:color w:val="000000"/>
              </w:rPr>
              <w:t>444.45</w:t>
            </w:r>
          </w:p>
        </w:tc>
      </w:tr>
    </w:tbl>
    <w:p>
      <w:pPr>
        <w:pStyle w:val="yFootnotesection"/>
      </w:pPr>
      <w:r>
        <w:tab/>
        <w:t>[Division 3 inserted: Gazette 25 Jun 2018 p. 2333.]</w:t>
      </w:r>
    </w:p>
    <w:p>
      <w:pPr>
        <w:pStyle w:val="yHeading3"/>
      </w:pPr>
      <w:bookmarkStart w:id="145" w:name="_Toc7184738"/>
      <w:bookmarkStart w:id="146" w:name="_Toc7187002"/>
      <w:r>
        <w:rPr>
          <w:rStyle w:val="CharSDivNo"/>
        </w:rPr>
        <w:t>Division 4</w:t>
      </w:r>
      <w:r>
        <w:t> — </w:t>
      </w:r>
      <w:r>
        <w:rPr>
          <w:rStyle w:val="CharSDivText"/>
        </w:rPr>
        <w:t>Building surveyors</w:t>
      </w:r>
      <w:bookmarkEnd w:id="145"/>
      <w:bookmarkEnd w:id="146"/>
    </w:p>
    <w:p>
      <w:pPr>
        <w:pStyle w:val="yFootnoteheading"/>
        <w:spacing w:after="120"/>
      </w:pPr>
      <w:r>
        <w:tab/>
        <w:t>[Heading inserted: Gazette 21 Sep 2018 p. 3536.]</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pPr>
            <w:r>
              <w:rPr>
                <w:b/>
              </w:rPr>
              <w:t>Item</w:t>
            </w:r>
          </w:p>
        </w:tc>
        <w:tc>
          <w:tcPr>
            <w:tcW w:w="4678" w:type="dxa"/>
          </w:tcPr>
          <w:p>
            <w:pPr>
              <w:pStyle w:val="yTableNAm"/>
            </w:pPr>
            <w:r>
              <w:rPr>
                <w:b/>
              </w:rPr>
              <w:t>Description of fee</w:t>
            </w:r>
          </w:p>
        </w:tc>
        <w:tc>
          <w:tcPr>
            <w:tcW w:w="1134" w:type="dxa"/>
          </w:tcPr>
          <w:p>
            <w:pPr>
              <w:pStyle w:val="yTableNAm"/>
            </w:pPr>
            <w:r>
              <w:rPr>
                <w:b/>
              </w:rPr>
              <w:t>Fee ($)</w:t>
            </w:r>
          </w:p>
        </w:tc>
      </w:tr>
      <w:tr>
        <w:trPr>
          <w:cantSplit/>
        </w:trPr>
        <w:tc>
          <w:tcPr>
            <w:tcW w:w="992" w:type="dxa"/>
          </w:tcPr>
          <w:p>
            <w:pPr>
              <w:pStyle w:val="yTableNAm"/>
            </w:pPr>
            <w:r>
              <w:t>1.</w:t>
            </w:r>
          </w:p>
        </w:tc>
        <w:tc>
          <w:tcPr>
            <w:tcW w:w="4678" w:type="dxa"/>
          </w:tcPr>
          <w:p>
            <w:pPr>
              <w:pStyle w:val="yTableNAm"/>
            </w:pPr>
            <w:r>
              <w:t>Application for registration as building surveying practitioner level 1 or level 2</w:t>
            </w:r>
          </w:p>
        </w:tc>
        <w:tc>
          <w:tcPr>
            <w:tcW w:w="1134" w:type="dxa"/>
          </w:tcPr>
          <w:p>
            <w:pPr>
              <w:pStyle w:val="yTableNAm"/>
              <w:jc w:val="right"/>
            </w:pPr>
            <w:r>
              <w:br/>
            </w:r>
            <w:r>
              <w:rPr>
                <w:color w:val="000000"/>
              </w:rPr>
              <w:t>112.20</w:t>
            </w:r>
          </w:p>
        </w:tc>
      </w:tr>
      <w:tr>
        <w:trPr>
          <w:cantSplit/>
        </w:trPr>
        <w:tc>
          <w:tcPr>
            <w:tcW w:w="992" w:type="dxa"/>
          </w:tcPr>
          <w:p>
            <w:pPr>
              <w:pStyle w:val="yTableNAm"/>
            </w:pPr>
            <w:r>
              <w:t>2.</w:t>
            </w:r>
          </w:p>
        </w:tc>
        <w:tc>
          <w:tcPr>
            <w:tcW w:w="4678" w:type="dxa"/>
          </w:tcPr>
          <w:p>
            <w:pPr>
              <w:pStyle w:val="yTableNAm"/>
            </w:pPr>
            <w:r>
              <w:t>Application for registration as building surveying practitioner technician</w:t>
            </w:r>
          </w:p>
        </w:tc>
        <w:tc>
          <w:tcPr>
            <w:tcW w:w="1134" w:type="dxa"/>
          </w:tcPr>
          <w:p>
            <w:pPr>
              <w:pStyle w:val="yTableNAm"/>
              <w:jc w:val="right"/>
            </w:pPr>
            <w:r>
              <w:br/>
              <w:t>55.95</w:t>
            </w:r>
          </w:p>
        </w:tc>
      </w:tr>
      <w:tr>
        <w:trPr>
          <w:cantSplit/>
        </w:trPr>
        <w:tc>
          <w:tcPr>
            <w:tcW w:w="992" w:type="dxa"/>
          </w:tcPr>
          <w:p>
            <w:pPr>
              <w:pStyle w:val="yTableNAm"/>
            </w:pPr>
            <w:r>
              <w:t>3.</w:t>
            </w:r>
          </w:p>
        </w:tc>
        <w:tc>
          <w:tcPr>
            <w:tcW w:w="4678" w:type="dxa"/>
          </w:tcPr>
          <w:p>
            <w:pPr>
              <w:pStyle w:val="yTableNAm"/>
            </w:pPr>
            <w:r>
              <w:t>Application for registration as building surveying contractor level 1 or level 2 (individual)</w:t>
            </w:r>
          </w:p>
        </w:tc>
        <w:tc>
          <w:tcPr>
            <w:tcW w:w="1134" w:type="dxa"/>
          </w:tcPr>
          <w:p>
            <w:pPr>
              <w:pStyle w:val="yTableNAm"/>
              <w:jc w:val="right"/>
            </w:pPr>
            <w:r>
              <w:br/>
            </w:r>
            <w:r>
              <w:rPr>
                <w:color w:val="000000"/>
              </w:rPr>
              <w:t>74.80</w:t>
            </w:r>
          </w:p>
        </w:tc>
      </w:tr>
      <w:tr>
        <w:trPr>
          <w:cantSplit/>
        </w:trPr>
        <w:tc>
          <w:tcPr>
            <w:tcW w:w="992" w:type="dxa"/>
          </w:tcPr>
          <w:p>
            <w:pPr>
              <w:pStyle w:val="yTableNAm"/>
            </w:pPr>
            <w:r>
              <w:t>4.</w:t>
            </w:r>
          </w:p>
        </w:tc>
        <w:tc>
          <w:tcPr>
            <w:tcW w:w="4678" w:type="dxa"/>
          </w:tcPr>
          <w:p>
            <w:pPr>
              <w:pStyle w:val="yTableNAm"/>
            </w:pPr>
            <w:r>
              <w:t>Application for registration as building surveying contractor level 1 or level 2 (partnership)</w:t>
            </w:r>
          </w:p>
        </w:tc>
        <w:tc>
          <w:tcPr>
            <w:tcW w:w="1134" w:type="dxa"/>
          </w:tcPr>
          <w:p>
            <w:pPr>
              <w:pStyle w:val="yTableNAm"/>
              <w:jc w:val="right"/>
            </w:pPr>
            <w:r>
              <w:br/>
              <w:t>71.25</w:t>
            </w:r>
          </w:p>
        </w:tc>
      </w:tr>
      <w:tr>
        <w:trPr>
          <w:cantSplit/>
        </w:trPr>
        <w:tc>
          <w:tcPr>
            <w:tcW w:w="992" w:type="dxa"/>
          </w:tcPr>
          <w:p>
            <w:pPr>
              <w:pStyle w:val="yTableNAm"/>
            </w:pPr>
            <w:r>
              <w:t>5.</w:t>
            </w:r>
          </w:p>
        </w:tc>
        <w:tc>
          <w:tcPr>
            <w:tcW w:w="4678" w:type="dxa"/>
          </w:tcPr>
          <w:p>
            <w:pPr>
              <w:pStyle w:val="yTableNAm"/>
            </w:pPr>
            <w:r>
              <w:t>Application for registration as building surveying contractor level 1 or level 2 (company)</w:t>
            </w:r>
          </w:p>
        </w:tc>
        <w:tc>
          <w:tcPr>
            <w:tcW w:w="1134" w:type="dxa"/>
          </w:tcPr>
          <w:p>
            <w:pPr>
              <w:pStyle w:val="yTableNAm"/>
              <w:jc w:val="right"/>
            </w:pPr>
            <w:r>
              <w:br/>
            </w:r>
            <w:r>
              <w:rPr>
                <w:color w:val="000000"/>
              </w:rPr>
              <w:t>74.80</w:t>
            </w:r>
          </w:p>
        </w:tc>
      </w:tr>
      <w:tr>
        <w:trPr>
          <w:cantSplit/>
        </w:trPr>
        <w:tc>
          <w:tcPr>
            <w:tcW w:w="992" w:type="dxa"/>
          </w:tcPr>
          <w:p>
            <w:pPr>
              <w:pStyle w:val="yTableNAm"/>
            </w:pPr>
            <w:r>
              <w:t>6.</w:t>
            </w:r>
          </w:p>
        </w:tc>
        <w:tc>
          <w:tcPr>
            <w:tcW w:w="4678" w:type="dxa"/>
          </w:tcPr>
          <w:p>
            <w:pPr>
              <w:pStyle w:val="yTableNAm"/>
            </w:pPr>
            <w:r>
              <w:t>Registration fee for building surveying practitioner technician (3 years)</w:t>
            </w:r>
          </w:p>
        </w:tc>
        <w:tc>
          <w:tcPr>
            <w:tcW w:w="1134" w:type="dxa"/>
          </w:tcPr>
          <w:p>
            <w:pPr>
              <w:pStyle w:val="yTableNAm"/>
              <w:jc w:val="right"/>
            </w:pPr>
            <w:r>
              <w:br/>
            </w:r>
            <w:r>
              <w:rPr>
                <w:color w:val="000000"/>
              </w:rPr>
              <w:t>480.80</w:t>
            </w:r>
          </w:p>
        </w:tc>
      </w:tr>
      <w:tr>
        <w:trPr>
          <w:cantSplit/>
        </w:trPr>
        <w:tc>
          <w:tcPr>
            <w:tcW w:w="992" w:type="dxa"/>
          </w:tcPr>
          <w:p>
            <w:pPr>
              <w:pStyle w:val="yTableNAm"/>
            </w:pPr>
            <w:r>
              <w:t>7.</w:t>
            </w:r>
          </w:p>
        </w:tc>
        <w:tc>
          <w:tcPr>
            <w:tcW w:w="4678" w:type="dxa"/>
          </w:tcPr>
          <w:p>
            <w:pPr>
              <w:pStyle w:val="yTableNAm"/>
            </w:pPr>
            <w:r>
              <w:t>Registration fee for building surveying practitioner level 1 or level 2 (3 years)</w:t>
            </w:r>
          </w:p>
        </w:tc>
        <w:tc>
          <w:tcPr>
            <w:tcW w:w="1134" w:type="dxa"/>
          </w:tcPr>
          <w:p>
            <w:pPr>
              <w:pStyle w:val="yTableNAm"/>
              <w:jc w:val="right"/>
            </w:pPr>
            <w:r>
              <w:br/>
            </w:r>
            <w:r>
              <w:rPr>
                <w:color w:val="000000"/>
              </w:rPr>
              <w:t>927.35</w:t>
            </w:r>
          </w:p>
        </w:tc>
      </w:tr>
      <w:tr>
        <w:trPr>
          <w:cantSplit/>
        </w:trPr>
        <w:tc>
          <w:tcPr>
            <w:tcW w:w="992" w:type="dxa"/>
          </w:tcPr>
          <w:p>
            <w:pPr>
              <w:pStyle w:val="yTableNAm"/>
            </w:pPr>
            <w:r>
              <w:t>8.</w:t>
            </w:r>
          </w:p>
        </w:tc>
        <w:tc>
          <w:tcPr>
            <w:tcW w:w="4678" w:type="dxa"/>
          </w:tcPr>
          <w:p>
            <w:pPr>
              <w:pStyle w:val="yTableNAm"/>
            </w:pPr>
            <w:r>
              <w:t>Registration fee for building surveying contractor level 1 or level 2 (individual) (3 years)</w:t>
            </w:r>
          </w:p>
        </w:tc>
        <w:tc>
          <w:tcPr>
            <w:tcW w:w="1134" w:type="dxa"/>
          </w:tcPr>
          <w:p>
            <w:pPr>
              <w:pStyle w:val="yTableNAm"/>
              <w:jc w:val="right"/>
            </w:pPr>
            <w:r>
              <w:br/>
            </w:r>
            <w:r>
              <w:rPr>
                <w:color w:val="000000"/>
              </w:rPr>
              <w:t>647.95</w:t>
            </w:r>
          </w:p>
        </w:tc>
      </w:tr>
      <w:tr>
        <w:trPr>
          <w:cantSplit/>
        </w:trPr>
        <w:tc>
          <w:tcPr>
            <w:tcW w:w="992" w:type="dxa"/>
          </w:tcPr>
          <w:p>
            <w:pPr>
              <w:pStyle w:val="yTableNAm"/>
            </w:pPr>
            <w:r>
              <w:t>9.</w:t>
            </w:r>
          </w:p>
        </w:tc>
        <w:tc>
          <w:tcPr>
            <w:tcW w:w="4678" w:type="dxa"/>
          </w:tcPr>
          <w:p>
            <w:pPr>
              <w:pStyle w:val="yTableNAm"/>
            </w:pPr>
            <w:r>
              <w:t>Registration fee for building surveying contractor level 1 or level 2 (partnership) (3 years)</w:t>
            </w:r>
          </w:p>
        </w:tc>
        <w:tc>
          <w:tcPr>
            <w:tcW w:w="1134" w:type="dxa"/>
          </w:tcPr>
          <w:p>
            <w:pPr>
              <w:pStyle w:val="yTableNAm"/>
              <w:jc w:val="right"/>
            </w:pPr>
            <w:r>
              <w:br/>
              <w:t>1 543.55</w:t>
            </w:r>
          </w:p>
        </w:tc>
      </w:tr>
      <w:tr>
        <w:trPr>
          <w:cantSplit/>
        </w:trPr>
        <w:tc>
          <w:tcPr>
            <w:tcW w:w="992" w:type="dxa"/>
          </w:tcPr>
          <w:p>
            <w:pPr>
              <w:pStyle w:val="yTableNAm"/>
            </w:pPr>
            <w:r>
              <w:t>10.</w:t>
            </w:r>
          </w:p>
        </w:tc>
        <w:tc>
          <w:tcPr>
            <w:tcW w:w="4678" w:type="dxa"/>
          </w:tcPr>
          <w:p>
            <w:pPr>
              <w:pStyle w:val="yTableNAm"/>
            </w:pPr>
            <w:r>
              <w:t>Registration fee for building surveying contractor level 1 or level 2 (company) (3 years)</w:t>
            </w:r>
          </w:p>
        </w:tc>
        <w:tc>
          <w:tcPr>
            <w:tcW w:w="1134" w:type="dxa"/>
          </w:tcPr>
          <w:p>
            <w:pPr>
              <w:pStyle w:val="yTableNAm"/>
              <w:jc w:val="right"/>
            </w:pPr>
            <w:r>
              <w:br/>
            </w:r>
            <w:r>
              <w:rPr>
                <w:color w:val="000000"/>
              </w:rPr>
              <w:t>2 112.20</w:t>
            </w:r>
          </w:p>
        </w:tc>
      </w:tr>
      <w:tr>
        <w:trPr>
          <w:cantSplit/>
        </w:trPr>
        <w:tc>
          <w:tcPr>
            <w:tcW w:w="992" w:type="dxa"/>
          </w:tcPr>
          <w:p>
            <w:pPr>
              <w:pStyle w:val="yTableNAm"/>
            </w:pPr>
            <w:r>
              <w:t>11.</w:t>
            </w:r>
          </w:p>
        </w:tc>
        <w:tc>
          <w:tcPr>
            <w:tcW w:w="4678" w:type="dxa"/>
          </w:tcPr>
          <w:p>
            <w:pPr>
              <w:pStyle w:val="yTableNAm"/>
            </w:pPr>
            <w:r>
              <w:t>Late fee for application for renewal made after renewal period</w:t>
            </w:r>
          </w:p>
        </w:tc>
        <w:tc>
          <w:tcPr>
            <w:tcW w:w="1134" w:type="dxa"/>
          </w:tcPr>
          <w:p>
            <w:pPr>
              <w:pStyle w:val="yTableNAm"/>
              <w:jc w:val="right"/>
            </w:pPr>
            <w:r>
              <w:br/>
              <w:t>54.45</w:t>
            </w:r>
          </w:p>
        </w:tc>
      </w:tr>
    </w:tbl>
    <w:p>
      <w:pPr>
        <w:pStyle w:val="yFootnotesection"/>
      </w:pPr>
      <w:r>
        <w:tab/>
        <w:t>[Division 4 inserted: Gazette 21 Sep 2018 p. 3536.]</w:t>
      </w:r>
    </w:p>
    <w:p>
      <w:pPr>
        <w:pStyle w:val="yHeading3"/>
        <w:rPr>
          <w:rStyle w:val="CharSDivText"/>
        </w:rPr>
      </w:pPr>
      <w:bookmarkStart w:id="147" w:name="_Toc7184739"/>
      <w:bookmarkStart w:id="148" w:name="_Toc7187003"/>
      <w:r>
        <w:rPr>
          <w:rStyle w:val="CharSDivNo"/>
        </w:rPr>
        <w:t>Division 5</w:t>
      </w:r>
      <w:r>
        <w:t> — </w:t>
      </w:r>
      <w:r>
        <w:rPr>
          <w:rStyle w:val="CharSDivText"/>
        </w:rPr>
        <w:t>Painters</w:t>
      </w:r>
      <w:bookmarkEnd w:id="147"/>
      <w:bookmarkEnd w:id="148"/>
    </w:p>
    <w:p>
      <w:pPr>
        <w:pStyle w:val="yFootnoteheading"/>
        <w:spacing w:after="120"/>
      </w:pPr>
      <w:r>
        <w:tab/>
        <w:t>[Heading inserted: Gazette 21 Sep 2018 p. 3536.]</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pPr>
            <w:r>
              <w:rPr>
                <w:b/>
              </w:rPr>
              <w:t>Item</w:t>
            </w:r>
          </w:p>
        </w:tc>
        <w:tc>
          <w:tcPr>
            <w:tcW w:w="4678" w:type="dxa"/>
          </w:tcPr>
          <w:p>
            <w:pPr>
              <w:pStyle w:val="yTableNAm"/>
            </w:pPr>
            <w:r>
              <w:rPr>
                <w:b/>
              </w:rPr>
              <w:t>Description of fee</w:t>
            </w:r>
          </w:p>
        </w:tc>
        <w:tc>
          <w:tcPr>
            <w:tcW w:w="1134" w:type="dxa"/>
          </w:tcPr>
          <w:p>
            <w:pPr>
              <w:pStyle w:val="yTableNAm"/>
            </w:pPr>
            <w:r>
              <w:rPr>
                <w:b/>
              </w:rPr>
              <w:t>Fee ($)</w:t>
            </w:r>
          </w:p>
        </w:tc>
      </w:tr>
      <w:tr>
        <w:trPr>
          <w:cantSplit/>
        </w:trPr>
        <w:tc>
          <w:tcPr>
            <w:tcW w:w="992" w:type="dxa"/>
          </w:tcPr>
          <w:p>
            <w:pPr>
              <w:pStyle w:val="yTableNAm"/>
            </w:pPr>
            <w:r>
              <w:t>1.</w:t>
            </w:r>
          </w:p>
        </w:tc>
        <w:tc>
          <w:tcPr>
            <w:tcW w:w="4678" w:type="dxa"/>
          </w:tcPr>
          <w:p>
            <w:pPr>
              <w:pStyle w:val="yTableNAm"/>
            </w:pPr>
            <w:r>
              <w:t>Application for registration as painting practitioner</w:t>
            </w:r>
          </w:p>
        </w:tc>
        <w:tc>
          <w:tcPr>
            <w:tcW w:w="1134" w:type="dxa"/>
          </w:tcPr>
          <w:p>
            <w:pPr>
              <w:pStyle w:val="yTableNAm"/>
              <w:jc w:val="right"/>
            </w:pPr>
            <w:r>
              <w:br/>
            </w:r>
            <w:r>
              <w:rPr>
                <w:color w:val="000000"/>
              </w:rPr>
              <w:t>88.15</w:t>
            </w:r>
          </w:p>
        </w:tc>
      </w:tr>
      <w:tr>
        <w:trPr>
          <w:cantSplit/>
        </w:trPr>
        <w:tc>
          <w:tcPr>
            <w:tcW w:w="992" w:type="dxa"/>
          </w:tcPr>
          <w:p>
            <w:pPr>
              <w:pStyle w:val="yTableNAm"/>
            </w:pPr>
            <w:r>
              <w:t>2.</w:t>
            </w:r>
          </w:p>
        </w:tc>
        <w:tc>
          <w:tcPr>
            <w:tcW w:w="4678" w:type="dxa"/>
          </w:tcPr>
          <w:p>
            <w:pPr>
              <w:pStyle w:val="yTableNAm"/>
            </w:pPr>
            <w:r>
              <w:t>Application for registration as painting contractor (individual)</w:t>
            </w:r>
          </w:p>
        </w:tc>
        <w:tc>
          <w:tcPr>
            <w:tcW w:w="1134" w:type="dxa"/>
          </w:tcPr>
          <w:p>
            <w:pPr>
              <w:pStyle w:val="yTableNAm"/>
              <w:jc w:val="right"/>
            </w:pPr>
            <w:r>
              <w:br/>
            </w:r>
            <w:r>
              <w:rPr>
                <w:color w:val="000000"/>
              </w:rPr>
              <w:t>58.75</w:t>
            </w:r>
          </w:p>
        </w:tc>
      </w:tr>
      <w:tr>
        <w:trPr>
          <w:cantSplit/>
        </w:trPr>
        <w:tc>
          <w:tcPr>
            <w:tcW w:w="992" w:type="dxa"/>
          </w:tcPr>
          <w:p>
            <w:pPr>
              <w:pStyle w:val="yTableNAm"/>
            </w:pPr>
            <w:r>
              <w:t>3.</w:t>
            </w:r>
          </w:p>
        </w:tc>
        <w:tc>
          <w:tcPr>
            <w:tcW w:w="4678" w:type="dxa"/>
          </w:tcPr>
          <w:p>
            <w:pPr>
              <w:pStyle w:val="yTableNAm"/>
            </w:pPr>
            <w:r>
              <w:t>Application for registration as painting contractor (partnership)</w:t>
            </w:r>
          </w:p>
        </w:tc>
        <w:tc>
          <w:tcPr>
            <w:tcW w:w="1134" w:type="dxa"/>
          </w:tcPr>
          <w:p>
            <w:pPr>
              <w:pStyle w:val="yTableNAm"/>
              <w:jc w:val="right"/>
            </w:pPr>
            <w:r>
              <w:br/>
            </w:r>
            <w:r>
              <w:rPr>
                <w:color w:val="000000"/>
              </w:rPr>
              <w:t>142.65</w:t>
            </w:r>
          </w:p>
        </w:tc>
      </w:tr>
      <w:tr>
        <w:trPr>
          <w:cantSplit/>
        </w:trPr>
        <w:tc>
          <w:tcPr>
            <w:tcW w:w="992" w:type="dxa"/>
          </w:tcPr>
          <w:p>
            <w:pPr>
              <w:pStyle w:val="yTableNAm"/>
            </w:pPr>
            <w:r>
              <w:t>4.</w:t>
            </w:r>
          </w:p>
        </w:tc>
        <w:tc>
          <w:tcPr>
            <w:tcW w:w="4678" w:type="dxa"/>
          </w:tcPr>
          <w:p>
            <w:pPr>
              <w:pStyle w:val="yTableNAm"/>
            </w:pPr>
            <w:r>
              <w:t>Application for registration as painting contractor (company)</w:t>
            </w:r>
          </w:p>
        </w:tc>
        <w:tc>
          <w:tcPr>
            <w:tcW w:w="1134" w:type="dxa"/>
          </w:tcPr>
          <w:p>
            <w:pPr>
              <w:pStyle w:val="yTableNAm"/>
              <w:jc w:val="right"/>
            </w:pPr>
            <w:r>
              <w:br/>
            </w:r>
            <w:r>
              <w:rPr>
                <w:color w:val="000000"/>
              </w:rPr>
              <w:t>142.65</w:t>
            </w:r>
          </w:p>
        </w:tc>
      </w:tr>
      <w:tr>
        <w:trPr>
          <w:cantSplit/>
        </w:trPr>
        <w:tc>
          <w:tcPr>
            <w:tcW w:w="992" w:type="dxa"/>
          </w:tcPr>
          <w:p>
            <w:pPr>
              <w:pStyle w:val="yTableNAm"/>
            </w:pPr>
            <w:r>
              <w:t>5.</w:t>
            </w:r>
          </w:p>
        </w:tc>
        <w:tc>
          <w:tcPr>
            <w:tcW w:w="4678" w:type="dxa"/>
          </w:tcPr>
          <w:p>
            <w:pPr>
              <w:pStyle w:val="yTableNAm"/>
            </w:pPr>
            <w:r>
              <w:t>Registration fee for painting practitioner (3 years)</w:t>
            </w:r>
          </w:p>
        </w:tc>
        <w:tc>
          <w:tcPr>
            <w:tcW w:w="1134" w:type="dxa"/>
          </w:tcPr>
          <w:p>
            <w:pPr>
              <w:pStyle w:val="yTableNAm"/>
              <w:jc w:val="right"/>
            </w:pPr>
            <w:r>
              <w:rPr>
                <w:color w:val="000000"/>
              </w:rPr>
              <w:t>454.05</w:t>
            </w:r>
          </w:p>
        </w:tc>
      </w:tr>
      <w:tr>
        <w:trPr>
          <w:cantSplit/>
        </w:trPr>
        <w:tc>
          <w:tcPr>
            <w:tcW w:w="992" w:type="dxa"/>
          </w:tcPr>
          <w:p>
            <w:pPr>
              <w:pStyle w:val="yTableNAm"/>
            </w:pPr>
            <w:r>
              <w:t>6.</w:t>
            </w:r>
          </w:p>
        </w:tc>
        <w:tc>
          <w:tcPr>
            <w:tcW w:w="4678" w:type="dxa"/>
          </w:tcPr>
          <w:p>
            <w:pPr>
              <w:pStyle w:val="yTableNAm"/>
            </w:pPr>
            <w:r>
              <w:t>Registration fee for painting contractor (individual) (3 years)</w:t>
            </w:r>
          </w:p>
        </w:tc>
        <w:tc>
          <w:tcPr>
            <w:tcW w:w="1134" w:type="dxa"/>
          </w:tcPr>
          <w:p>
            <w:pPr>
              <w:pStyle w:val="yTableNAm"/>
              <w:jc w:val="right"/>
            </w:pPr>
            <w:r>
              <w:br/>
            </w:r>
            <w:r>
              <w:rPr>
                <w:color w:val="000000"/>
              </w:rPr>
              <w:t>304.50</w:t>
            </w:r>
          </w:p>
        </w:tc>
      </w:tr>
      <w:tr>
        <w:trPr>
          <w:cantSplit/>
        </w:trPr>
        <w:tc>
          <w:tcPr>
            <w:tcW w:w="992" w:type="dxa"/>
          </w:tcPr>
          <w:p>
            <w:pPr>
              <w:pStyle w:val="yTableNAm"/>
            </w:pPr>
            <w:r>
              <w:t>7.</w:t>
            </w:r>
          </w:p>
        </w:tc>
        <w:tc>
          <w:tcPr>
            <w:tcW w:w="4678" w:type="dxa"/>
          </w:tcPr>
          <w:p>
            <w:pPr>
              <w:pStyle w:val="yTableNAm"/>
            </w:pPr>
            <w:r>
              <w:t>Registration fee for painting contractor (partnership) (3 years)</w:t>
            </w:r>
          </w:p>
        </w:tc>
        <w:tc>
          <w:tcPr>
            <w:tcW w:w="1134" w:type="dxa"/>
          </w:tcPr>
          <w:p>
            <w:pPr>
              <w:pStyle w:val="yTableNAm"/>
              <w:jc w:val="right"/>
            </w:pPr>
            <w:r>
              <w:br/>
            </w:r>
            <w:r>
              <w:rPr>
                <w:color w:val="000000"/>
              </w:rPr>
              <w:t>480.80</w:t>
            </w:r>
          </w:p>
        </w:tc>
      </w:tr>
      <w:tr>
        <w:trPr>
          <w:cantSplit/>
        </w:trPr>
        <w:tc>
          <w:tcPr>
            <w:tcW w:w="992" w:type="dxa"/>
          </w:tcPr>
          <w:p>
            <w:pPr>
              <w:pStyle w:val="yTableNAm"/>
            </w:pPr>
            <w:r>
              <w:t>8.</w:t>
            </w:r>
          </w:p>
        </w:tc>
        <w:tc>
          <w:tcPr>
            <w:tcW w:w="4678" w:type="dxa"/>
          </w:tcPr>
          <w:p>
            <w:pPr>
              <w:pStyle w:val="yTableNAm"/>
            </w:pPr>
            <w:r>
              <w:t>Registration fee for painting contractor (company) (3 years)</w:t>
            </w:r>
          </w:p>
        </w:tc>
        <w:tc>
          <w:tcPr>
            <w:tcW w:w="1134" w:type="dxa"/>
          </w:tcPr>
          <w:p>
            <w:pPr>
              <w:pStyle w:val="yTableNAm"/>
              <w:jc w:val="right"/>
            </w:pPr>
            <w:r>
              <w:br/>
            </w:r>
            <w:r>
              <w:rPr>
                <w:color w:val="000000"/>
              </w:rPr>
              <w:t>1 143.20</w:t>
            </w:r>
          </w:p>
        </w:tc>
      </w:tr>
      <w:tr>
        <w:trPr>
          <w:cantSplit/>
        </w:trPr>
        <w:tc>
          <w:tcPr>
            <w:tcW w:w="992" w:type="dxa"/>
          </w:tcPr>
          <w:p>
            <w:pPr>
              <w:pStyle w:val="yTableNAm"/>
            </w:pPr>
            <w:r>
              <w:t>9.</w:t>
            </w:r>
          </w:p>
        </w:tc>
        <w:tc>
          <w:tcPr>
            <w:tcW w:w="4678" w:type="dxa"/>
          </w:tcPr>
          <w:p>
            <w:pPr>
              <w:pStyle w:val="yTableNAm"/>
            </w:pPr>
            <w:r>
              <w:t>Late fee for application for renewal made after renewal period</w:t>
            </w:r>
          </w:p>
        </w:tc>
        <w:tc>
          <w:tcPr>
            <w:tcW w:w="1134" w:type="dxa"/>
          </w:tcPr>
          <w:p>
            <w:pPr>
              <w:pStyle w:val="yTableNAm"/>
              <w:jc w:val="right"/>
            </w:pPr>
            <w:r>
              <w:br/>
            </w:r>
            <w:r>
              <w:rPr>
                <w:color w:val="000000"/>
              </w:rPr>
              <w:t>42.75</w:t>
            </w:r>
          </w:p>
        </w:tc>
      </w:tr>
      <w:tr>
        <w:trPr>
          <w:cantSplit/>
        </w:trPr>
        <w:tc>
          <w:tcPr>
            <w:tcW w:w="992" w:type="dxa"/>
          </w:tcPr>
          <w:p>
            <w:pPr>
              <w:pStyle w:val="yTableNAm"/>
            </w:pPr>
            <w:r>
              <w:t>10.</w:t>
            </w:r>
          </w:p>
        </w:tc>
        <w:tc>
          <w:tcPr>
            <w:tcW w:w="4678" w:type="dxa"/>
          </w:tcPr>
          <w:p>
            <w:pPr>
              <w:pStyle w:val="yTableNAm"/>
            </w:pPr>
            <w:r>
              <w:t>Fee for sitting an examination — metropolitan area</w:t>
            </w:r>
          </w:p>
        </w:tc>
        <w:tc>
          <w:tcPr>
            <w:tcW w:w="1134" w:type="dxa"/>
          </w:tcPr>
          <w:p>
            <w:pPr>
              <w:pStyle w:val="yTableNAm"/>
              <w:jc w:val="right"/>
            </w:pPr>
            <w:r>
              <w:br/>
              <w:t>111.95</w:t>
            </w:r>
          </w:p>
        </w:tc>
      </w:tr>
      <w:tr>
        <w:trPr>
          <w:cantSplit/>
        </w:trPr>
        <w:tc>
          <w:tcPr>
            <w:tcW w:w="992" w:type="dxa"/>
          </w:tcPr>
          <w:p>
            <w:pPr>
              <w:pStyle w:val="yTableNAm"/>
            </w:pPr>
            <w:r>
              <w:t>11.</w:t>
            </w:r>
          </w:p>
        </w:tc>
        <w:tc>
          <w:tcPr>
            <w:tcW w:w="4678" w:type="dxa"/>
          </w:tcPr>
          <w:p>
            <w:pPr>
              <w:pStyle w:val="yTableNAm"/>
            </w:pPr>
            <w:r>
              <w:t>Fee for marking an examination sat outside metropolitan area</w:t>
            </w:r>
          </w:p>
        </w:tc>
        <w:tc>
          <w:tcPr>
            <w:tcW w:w="1134" w:type="dxa"/>
          </w:tcPr>
          <w:p>
            <w:pPr>
              <w:pStyle w:val="yTableNAm"/>
              <w:jc w:val="right"/>
            </w:pPr>
            <w:r>
              <w:br/>
              <w:t>55.95</w:t>
            </w:r>
          </w:p>
        </w:tc>
      </w:tr>
    </w:tbl>
    <w:p>
      <w:pPr>
        <w:pStyle w:val="yFootnotesection"/>
      </w:pPr>
      <w:r>
        <w:tab/>
        <w:t>[Division 5 inserted: Gazette 21 Sep 2018 p. 3536</w:t>
      </w:r>
      <w:r>
        <w:noBreakHyphen/>
        <w:t>7.]</w:t>
      </w:r>
    </w:p>
    <w:p>
      <w:pPr>
        <w:pStyle w:val="yScheduleHeading"/>
      </w:pPr>
      <w:bookmarkStart w:id="149" w:name="_Toc7184740"/>
      <w:bookmarkStart w:id="150" w:name="_Toc7187004"/>
      <w:r>
        <w:rPr>
          <w:rStyle w:val="CharSchNo"/>
        </w:rPr>
        <w:t>Schedule 2</w:t>
      </w:r>
      <w:r>
        <w:rPr>
          <w:rStyle w:val="CharSDivNo"/>
        </w:rPr>
        <w:t> </w:t>
      </w:r>
      <w:r>
        <w:t>—</w:t>
      </w:r>
      <w:r>
        <w:rPr>
          <w:rStyle w:val="CharSDivText"/>
        </w:rPr>
        <w:t> </w:t>
      </w:r>
      <w:r>
        <w:rPr>
          <w:rStyle w:val="CharSchText"/>
        </w:rPr>
        <w:t>Estimating the value of work</w:t>
      </w:r>
      <w:bookmarkEnd w:id="149"/>
      <w:bookmarkEnd w:id="150"/>
    </w:p>
    <w:p>
      <w:pPr>
        <w:pStyle w:val="yShoulderClause"/>
      </w:pPr>
      <w:r>
        <w:t>[r. 13(1), 28(1)]</w:t>
      </w:r>
    </w:p>
    <w:p>
      <w:pPr>
        <w:pStyle w:val="yHeading5"/>
      </w:pPr>
      <w:bookmarkStart w:id="151" w:name="_Toc7187005"/>
      <w:r>
        <w:rPr>
          <w:rStyle w:val="CharSClsNo"/>
        </w:rPr>
        <w:t>1</w:t>
      </w:r>
      <w:r>
        <w:t>.</w:t>
      </w:r>
      <w:r>
        <w:tab/>
        <w:t>Terms used</w:t>
      </w:r>
      <w:bookmarkEnd w:id="151"/>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52" w:name="_Toc7187006"/>
      <w:r>
        <w:rPr>
          <w:rStyle w:val="CharSClsNo"/>
        </w:rPr>
        <w:t>2</w:t>
      </w:r>
      <w:r>
        <w:t>.</w:t>
      </w:r>
      <w:r>
        <w:tab/>
        <w:t>Estimated value of work</w:t>
      </w:r>
      <w:bookmarkEnd w:id="152"/>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153" w:name="_Toc7184743"/>
      <w:bookmarkStart w:id="154" w:name="_Toc7187007"/>
      <w:r>
        <w:rPr>
          <w:rStyle w:val="CharSchNo"/>
        </w:rPr>
        <w:t>Schedule 3</w:t>
      </w:r>
      <w:r>
        <w:rPr>
          <w:rStyle w:val="CharSDivNo"/>
        </w:rPr>
        <w:t> </w:t>
      </w:r>
      <w:r>
        <w:t>—</w:t>
      </w:r>
      <w:r>
        <w:rPr>
          <w:rStyle w:val="CharSDivText"/>
        </w:rPr>
        <w:t> </w:t>
      </w:r>
      <w:r>
        <w:rPr>
          <w:rStyle w:val="CharSchText"/>
        </w:rPr>
        <w:t>Builder work: areas of State for purposes of definition</w:t>
      </w:r>
      <w:bookmarkEnd w:id="153"/>
      <w:bookmarkEnd w:id="154"/>
    </w:p>
    <w:p>
      <w:pPr>
        <w:pStyle w:val="yShoulderClause"/>
      </w:pPr>
      <w:r>
        <w:t>[r. 13(1)]</w:t>
      </w:r>
    </w:p>
    <w:p>
      <w:pPr>
        <w:pStyle w:val="yHeading5"/>
      </w:pPr>
      <w:bookmarkStart w:id="155" w:name="_Toc7187008"/>
      <w:r>
        <w:rPr>
          <w:rStyle w:val="CharSClsNo"/>
        </w:rPr>
        <w:t>1</w:t>
      </w:r>
      <w:r>
        <w:t>.</w:t>
      </w:r>
      <w:r>
        <w:tab/>
        <w:t>Term used: townsite</w:t>
      </w:r>
      <w:bookmarkEnd w:id="155"/>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56" w:name="_Toc7187009"/>
      <w:r>
        <w:rPr>
          <w:rStyle w:val="CharSClsNo"/>
        </w:rPr>
        <w:t>2</w:t>
      </w:r>
      <w:r>
        <w:t>.</w:t>
      </w:r>
      <w:r>
        <w:tab/>
        <w:t>Areas of State</w:t>
      </w:r>
      <w:bookmarkEnd w:id="156"/>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 xml:space="preserve">Chapman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Footnotesection"/>
      </w:pPr>
      <w:r>
        <w:tab/>
        <w:t>[Clause 2 amended: Gazette 21 Sep 2018 p. 3537.]</w:t>
      </w:r>
    </w:p>
    <w:p>
      <w:pPr>
        <w:pStyle w:val="yScheduleHeading"/>
      </w:pPr>
      <w:bookmarkStart w:id="157" w:name="_Toc7184746"/>
      <w:bookmarkStart w:id="158" w:name="_Toc7187010"/>
      <w:r>
        <w:rPr>
          <w:rStyle w:val="CharSchNo"/>
        </w:rPr>
        <w:t>Schedule 4</w:t>
      </w:r>
      <w:r>
        <w:rPr>
          <w:rStyle w:val="CharSDivNo"/>
        </w:rPr>
        <w:t> </w:t>
      </w:r>
      <w:r>
        <w:t>—</w:t>
      </w:r>
      <w:r>
        <w:rPr>
          <w:rStyle w:val="CharSDivText"/>
        </w:rPr>
        <w:t> </w:t>
      </w:r>
      <w:r>
        <w:rPr>
          <w:rStyle w:val="CharSchText"/>
        </w:rPr>
        <w:t>Painter work: areas of the State for purposes of definition</w:t>
      </w:r>
      <w:bookmarkEnd w:id="157"/>
      <w:bookmarkEnd w:id="158"/>
    </w:p>
    <w:p>
      <w:pPr>
        <w:pStyle w:val="yShoulderClause"/>
      </w:pPr>
      <w:r>
        <w:t>[r. 28]</w:t>
      </w:r>
    </w:p>
    <w:p>
      <w:pPr>
        <w:pStyle w:val="yHeading5"/>
      </w:pPr>
      <w:bookmarkStart w:id="159" w:name="_Toc7187011"/>
      <w:r>
        <w:rPr>
          <w:rStyle w:val="CharSClsNo"/>
        </w:rPr>
        <w:t>1</w:t>
      </w:r>
      <w:r>
        <w:t>.</w:t>
      </w:r>
      <w:r>
        <w:tab/>
        <w:t>Term used: townsite</w:t>
      </w:r>
      <w:bookmarkEnd w:id="159"/>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60" w:name="_Toc7187012"/>
      <w:r>
        <w:rPr>
          <w:rStyle w:val="CharSClsNo"/>
        </w:rPr>
        <w:t>2</w:t>
      </w:r>
      <w:r>
        <w:t>.</w:t>
      </w:r>
      <w:r>
        <w:tab/>
        <w:t>Areas of State</w:t>
      </w:r>
      <w:bookmarkEnd w:id="160"/>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bookmarkStart w:id="161" w:name="_Toc527548984"/>
      <w:bookmarkStart w:id="162" w:name="_Toc527549022"/>
      <w:bookmarkStart w:id="163" w:name="_Toc527550230"/>
      <w:bookmarkStart w:id="164" w:name="_Toc527552882"/>
      <w:bookmarkStart w:id="165" w:name="_Toc527555548"/>
      <w:bookmarkStart w:id="166" w:name="_Toc527556660"/>
      <w:bookmarkStart w:id="167" w:name="_Toc527557112"/>
      <w:bookmarkStart w:id="168" w:name="_Toc527557280"/>
      <w:bookmarkStart w:id="169" w:name="_Toc527557589"/>
      <w:bookmarkStart w:id="170" w:name="_Toc527558907"/>
      <w:bookmarkStart w:id="171" w:name="_Toc530472139"/>
      <w:bookmarkStart w:id="172" w:name="_Toc530473467"/>
      <w:bookmarkStart w:id="173" w:name="_Toc530473585"/>
      <w:bookmarkStart w:id="174" w:name="_Toc530493660"/>
      <w:bookmarkStart w:id="175" w:name="_Toc530493698"/>
      <w:bookmarkStart w:id="176" w:name="_Toc530493775"/>
      <w:bookmarkStart w:id="177" w:name="_Toc530493847"/>
      <w:bookmarkStart w:id="178" w:name="_Toc530494006"/>
      <w:bookmarkStart w:id="179" w:name="_Toc530494097"/>
      <w:bookmarkStart w:id="180" w:name="_Toc530495398"/>
      <w:bookmarkStart w:id="181" w:name="_Toc532546622"/>
      <w:bookmarkStart w:id="182" w:name="_Toc532548006"/>
      <w:bookmarkStart w:id="183" w:name="_Toc532548095"/>
      <w:bookmarkStart w:id="184" w:name="_Toc532548328"/>
      <w:bookmarkStart w:id="185" w:name="_Toc532548429"/>
      <w:bookmarkStart w:id="186" w:name="_Toc532550691"/>
      <w:bookmarkStart w:id="187" w:name="_Toc2079649"/>
      <w:bookmarkStart w:id="188" w:name="_Toc2083976"/>
      <w:bookmarkStart w:id="189" w:name="_Toc7184749"/>
    </w:p>
    <w:p>
      <w:pPr>
        <w:pStyle w:val="yScheduleHeading"/>
      </w:pPr>
      <w:bookmarkStart w:id="190" w:name="_Toc7187013"/>
      <w:r>
        <w:rPr>
          <w:rStyle w:val="CharSchNo"/>
        </w:rPr>
        <w:t>Schedule 5</w:t>
      </w:r>
      <w:r>
        <w:t> — </w:t>
      </w:r>
      <w:r>
        <w:rPr>
          <w:rStyle w:val="CharSchText"/>
        </w:rPr>
        <w:t>Prescribed offences and modified penalties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yShoulderClause"/>
      </w:pPr>
      <w:r>
        <w:t>[r. 36A]</w:t>
      </w:r>
    </w:p>
    <w:p>
      <w:pPr>
        <w:pStyle w:val="yFootnoteheading"/>
      </w:pPr>
      <w:r>
        <w:tab/>
        <w:t>[Heading inserted: Gazette 26 Apr 2019 p. 1216.]</w:t>
      </w:r>
    </w:p>
    <w:p>
      <w:pPr>
        <w:pStyle w:val="yHeading3"/>
      </w:pPr>
      <w:bookmarkStart w:id="191" w:name="_Toc527548985"/>
      <w:bookmarkStart w:id="192" w:name="_Toc527549023"/>
      <w:bookmarkStart w:id="193" w:name="_Toc527550231"/>
      <w:bookmarkStart w:id="194" w:name="_Toc527552883"/>
      <w:bookmarkStart w:id="195" w:name="_Toc527555549"/>
      <w:bookmarkStart w:id="196" w:name="_Toc527556661"/>
      <w:bookmarkStart w:id="197" w:name="_Toc527557113"/>
      <w:bookmarkStart w:id="198" w:name="_Toc527557281"/>
      <w:bookmarkStart w:id="199" w:name="_Toc527557590"/>
      <w:bookmarkStart w:id="200" w:name="_Toc527558908"/>
      <w:bookmarkStart w:id="201" w:name="_Toc530472140"/>
      <w:bookmarkStart w:id="202" w:name="_Toc530473468"/>
      <w:bookmarkStart w:id="203" w:name="_Toc530473586"/>
      <w:bookmarkStart w:id="204" w:name="_Toc530493661"/>
      <w:bookmarkStart w:id="205" w:name="_Toc530493699"/>
      <w:bookmarkStart w:id="206" w:name="_Toc530493776"/>
      <w:bookmarkStart w:id="207" w:name="_Toc530493848"/>
      <w:bookmarkStart w:id="208" w:name="_Toc530494007"/>
      <w:bookmarkStart w:id="209" w:name="_Toc530494098"/>
      <w:bookmarkStart w:id="210" w:name="_Toc530495399"/>
      <w:bookmarkStart w:id="211" w:name="_Toc532546623"/>
      <w:bookmarkStart w:id="212" w:name="_Toc532548007"/>
      <w:bookmarkStart w:id="213" w:name="_Toc532548096"/>
      <w:bookmarkStart w:id="214" w:name="_Toc532548329"/>
      <w:bookmarkStart w:id="215" w:name="_Toc532548430"/>
      <w:bookmarkStart w:id="216" w:name="_Toc532550692"/>
      <w:bookmarkStart w:id="217" w:name="_Toc2079650"/>
      <w:bookmarkStart w:id="218" w:name="_Toc2083977"/>
      <w:bookmarkStart w:id="219" w:name="_Toc7184750"/>
      <w:bookmarkStart w:id="220" w:name="_Toc7187014"/>
      <w:r>
        <w:rPr>
          <w:rStyle w:val="CharSDivNo"/>
        </w:rPr>
        <w:t>Division 1</w:t>
      </w:r>
      <w:r>
        <w:t> — </w:t>
      </w:r>
      <w:r>
        <w:rPr>
          <w:rStyle w:val="CharSDivText"/>
        </w:rPr>
        <w:t>Preliminary</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yFootnoteheading"/>
      </w:pPr>
      <w:bookmarkStart w:id="221" w:name="_Toc527557114"/>
      <w:bookmarkStart w:id="222" w:name="_Toc530493777"/>
      <w:bookmarkStart w:id="223" w:name="_Toc532548330"/>
      <w:bookmarkStart w:id="224" w:name="_Toc2083978"/>
      <w:r>
        <w:tab/>
        <w:t>[Heading inserted: Gazette 26 Apr 2019 p. 1216.]</w:t>
      </w:r>
    </w:p>
    <w:p>
      <w:pPr>
        <w:pStyle w:val="yHeading5"/>
      </w:pPr>
      <w:bookmarkStart w:id="225" w:name="_Toc7187015"/>
      <w:r>
        <w:rPr>
          <w:rStyle w:val="CharSClsNo"/>
        </w:rPr>
        <w:t>1</w:t>
      </w:r>
      <w:r>
        <w:t>.</w:t>
      </w:r>
      <w:r>
        <w:tab/>
        <w:t>Terms used</w:t>
      </w:r>
      <w:bookmarkEnd w:id="221"/>
      <w:bookmarkEnd w:id="222"/>
      <w:bookmarkEnd w:id="223"/>
      <w:bookmarkEnd w:id="224"/>
      <w:bookmarkEnd w:id="225"/>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w:t>
      </w:r>
    </w:p>
    <w:p>
      <w:pPr>
        <w:pStyle w:val="yHeading3"/>
        <w:rPr>
          <w:rStyle w:val="CharSDiv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bookmarkStart w:id="226" w:name="_Toc527548987"/>
      <w:bookmarkStart w:id="227" w:name="_Toc527549025"/>
      <w:bookmarkStart w:id="228" w:name="_Toc527550233"/>
      <w:bookmarkStart w:id="229" w:name="_Toc527552885"/>
      <w:bookmarkStart w:id="230" w:name="_Toc527555551"/>
      <w:bookmarkStart w:id="231" w:name="_Toc527556663"/>
      <w:bookmarkStart w:id="232" w:name="_Toc527557115"/>
      <w:bookmarkStart w:id="233" w:name="_Toc527557283"/>
      <w:bookmarkStart w:id="234" w:name="_Toc527557592"/>
      <w:bookmarkStart w:id="235" w:name="_Toc527558910"/>
      <w:bookmarkStart w:id="236" w:name="_Toc530472142"/>
      <w:bookmarkStart w:id="237" w:name="_Toc530473470"/>
      <w:bookmarkStart w:id="238" w:name="_Toc530473588"/>
      <w:bookmarkStart w:id="239" w:name="_Toc530493663"/>
      <w:bookmarkStart w:id="240" w:name="_Toc530493701"/>
      <w:bookmarkStart w:id="241" w:name="_Toc530493778"/>
      <w:bookmarkStart w:id="242" w:name="_Toc530493850"/>
      <w:bookmarkStart w:id="243" w:name="_Toc530494009"/>
      <w:bookmarkStart w:id="244" w:name="_Toc530494100"/>
      <w:bookmarkStart w:id="245" w:name="_Toc530495401"/>
      <w:bookmarkStart w:id="246" w:name="_Toc532546625"/>
      <w:bookmarkStart w:id="247" w:name="_Toc532548009"/>
      <w:bookmarkStart w:id="248" w:name="_Toc532548098"/>
      <w:bookmarkStart w:id="249" w:name="_Toc532548331"/>
      <w:bookmarkStart w:id="250" w:name="_Toc532548432"/>
      <w:bookmarkStart w:id="251" w:name="_Toc532550694"/>
      <w:bookmarkStart w:id="252" w:name="_Toc2079652"/>
      <w:bookmarkStart w:id="253" w:name="_Toc2083979"/>
      <w:bookmarkStart w:id="254" w:name="_Toc7184752"/>
      <w:bookmarkStart w:id="255" w:name="_Toc7187016"/>
    </w:p>
    <w:p>
      <w:pPr>
        <w:pStyle w:val="yHeading3"/>
      </w:pPr>
      <w:r>
        <w:rPr>
          <w:rStyle w:val="CharSDivNo"/>
        </w:rPr>
        <w:t>Division 2</w:t>
      </w:r>
      <w:r>
        <w:t> — </w:t>
      </w:r>
      <w:r>
        <w:rPr>
          <w:rStyle w:val="CharSDivText"/>
        </w:rPr>
        <w:t>Offences under the Act</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yFootnoteheading"/>
      </w:pPr>
      <w:r>
        <w:tab/>
        <w:t>[Heading inserted: Gazette 26 Apr 2019 p. 1217.]</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851"/>
        <w:gridCol w:w="3118"/>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851"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3118"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contractor or building surveying contractor is entitled to use — $2 500</w:t>
            </w:r>
          </w:p>
          <w:p>
            <w:pPr>
              <w:pStyle w:val="yTableNAm"/>
            </w:pPr>
            <w:r>
              <w:t>For a person who uses the title that a painting practitioner or painting contractor is entitled to use — $1 250</w:t>
            </w:r>
          </w:p>
        </w:tc>
      </w:tr>
      <w:tr>
        <w:trPr>
          <w:cantSplit/>
        </w:trPr>
        <w:tc>
          <w:tcPr>
            <w:tcW w:w="851" w:type="dxa"/>
            <w:tcBorders>
              <w:top w:val="single" w:sz="4" w:space="0" w:color="auto"/>
              <w:bottom w:val="single" w:sz="4" w:space="0" w:color="auto"/>
            </w:tcBorders>
          </w:tcPr>
          <w:p>
            <w:pPr>
              <w:pStyle w:val="yTableNAm"/>
            </w:pPr>
            <w:r>
              <w:rPr>
                <w:szCs w:val="22"/>
              </w:rPr>
              <w:t>s. 5(1)</w:t>
            </w:r>
          </w:p>
        </w:tc>
        <w:tc>
          <w:tcPr>
            <w:tcW w:w="3118"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or building surveying practitioner — $2 500</w:t>
            </w:r>
          </w:p>
          <w:p>
            <w:pPr>
              <w:pStyle w:val="yTableNAm"/>
            </w:pPr>
            <w:r>
              <w:t>For a person who claims to be registered as a painting practitioner — $1 250</w:t>
            </w:r>
          </w:p>
        </w:tc>
      </w:tr>
      <w:tr>
        <w:trPr>
          <w:cantSplit/>
        </w:trPr>
        <w:tc>
          <w:tcPr>
            <w:tcW w:w="851" w:type="dxa"/>
            <w:tcBorders>
              <w:top w:val="single" w:sz="4" w:space="0" w:color="auto"/>
            </w:tcBorders>
          </w:tcPr>
          <w:p>
            <w:pPr>
              <w:pStyle w:val="yTableNAm"/>
            </w:pPr>
            <w:r>
              <w:rPr>
                <w:szCs w:val="22"/>
              </w:rPr>
              <w:t>s. 5(2)</w:t>
            </w:r>
          </w:p>
        </w:tc>
        <w:tc>
          <w:tcPr>
            <w:tcW w:w="3118"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 or building surveying contractor — $2 500</w:t>
            </w:r>
          </w:p>
          <w:p>
            <w:pPr>
              <w:pStyle w:val="yTableNAm"/>
            </w:pPr>
            <w:r>
              <w:t>For a person who claims to be registered as a painting contractor — $1 250</w:t>
            </w:r>
          </w:p>
        </w:tc>
      </w:tr>
      <w:tr>
        <w:trPr>
          <w:cantSplit/>
        </w:trPr>
        <w:tc>
          <w:tcPr>
            <w:tcW w:w="851" w:type="dxa"/>
          </w:tcPr>
          <w:p>
            <w:pPr>
              <w:pStyle w:val="yTableNAm"/>
            </w:pPr>
            <w:r>
              <w:rPr>
                <w:szCs w:val="22"/>
              </w:rPr>
              <w:t>s. 6(1)</w:t>
            </w:r>
          </w:p>
        </w:tc>
        <w:tc>
          <w:tcPr>
            <w:tcW w:w="3118"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 or building surveying work — $2 500</w:t>
            </w:r>
          </w:p>
          <w:p>
            <w:pPr>
              <w:pStyle w:val="yTableNAm"/>
            </w:pPr>
            <w:r>
              <w:t>For a person who claims an entitlement to carry out painter work — $1 250</w:t>
            </w:r>
          </w:p>
        </w:tc>
      </w:tr>
      <w:tr>
        <w:trPr>
          <w:cantSplit/>
        </w:trPr>
        <w:tc>
          <w:tcPr>
            <w:tcW w:w="851" w:type="dxa"/>
          </w:tcPr>
          <w:p>
            <w:pPr>
              <w:pStyle w:val="yTableNAm"/>
            </w:pPr>
            <w:r>
              <w:rPr>
                <w:szCs w:val="22"/>
              </w:rPr>
              <w:t>s. 7(1)</w:t>
            </w:r>
          </w:p>
        </w:tc>
        <w:tc>
          <w:tcPr>
            <w:tcW w:w="3118"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 or building surveying work — $2 500</w:t>
            </w:r>
          </w:p>
          <w:p>
            <w:pPr>
              <w:pStyle w:val="yTableNAm"/>
            </w:pPr>
            <w:r>
              <w:t>For a person who carries out, or undertakes to carry out, painter work — $1 250</w:t>
            </w:r>
          </w:p>
        </w:tc>
      </w:tr>
      <w:tr>
        <w:trPr>
          <w:cantSplit/>
        </w:trPr>
        <w:tc>
          <w:tcPr>
            <w:tcW w:w="851" w:type="dxa"/>
          </w:tcPr>
          <w:p>
            <w:pPr>
              <w:pStyle w:val="yTableNAm"/>
            </w:pPr>
            <w:r>
              <w:rPr>
                <w:szCs w:val="22"/>
              </w:rPr>
              <w:t>s. 7(5)</w:t>
            </w:r>
          </w:p>
        </w:tc>
        <w:tc>
          <w:tcPr>
            <w:tcW w:w="3118"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 or building surveying contractor — $2 500</w:t>
            </w:r>
          </w:p>
          <w:p>
            <w:pPr>
              <w:pStyle w:val="yTableNAm"/>
            </w:pPr>
            <w:r>
              <w:t>For a painting contractor — $1 250</w:t>
            </w:r>
          </w:p>
        </w:tc>
      </w:tr>
      <w:tr>
        <w:trPr>
          <w:cantSplit/>
        </w:trPr>
        <w:tc>
          <w:tcPr>
            <w:tcW w:w="851" w:type="dxa"/>
          </w:tcPr>
          <w:p>
            <w:pPr>
              <w:pStyle w:val="yTableNAm"/>
            </w:pPr>
            <w:r>
              <w:rPr>
                <w:szCs w:val="22"/>
              </w:rPr>
              <w:t>s. 8</w:t>
            </w:r>
          </w:p>
        </w:tc>
        <w:tc>
          <w:tcPr>
            <w:tcW w:w="3118"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851" w:type="dxa"/>
          </w:tcPr>
          <w:p>
            <w:pPr>
              <w:pStyle w:val="yTableNAm"/>
            </w:pPr>
            <w:r>
              <w:rPr>
                <w:szCs w:val="22"/>
              </w:rPr>
              <w:t>s. 22(2)</w:t>
            </w:r>
          </w:p>
        </w:tc>
        <w:tc>
          <w:tcPr>
            <w:tcW w:w="3118"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 or building surveying contractor — $2 500</w:t>
            </w:r>
          </w:p>
          <w:p>
            <w:pPr>
              <w:pStyle w:val="yTableNAm"/>
            </w:pPr>
            <w:r>
              <w:t>For a painting contractor — $750</w:t>
            </w:r>
          </w:p>
        </w:tc>
      </w:tr>
      <w:tr>
        <w:trPr>
          <w:cantSplit/>
        </w:trPr>
        <w:tc>
          <w:tcPr>
            <w:tcW w:w="851" w:type="dxa"/>
          </w:tcPr>
          <w:p>
            <w:pPr>
              <w:pStyle w:val="yTableNAm"/>
            </w:pPr>
            <w:r>
              <w:rPr>
                <w:szCs w:val="22"/>
              </w:rPr>
              <w:t>s. 22(3)</w:t>
            </w:r>
          </w:p>
        </w:tc>
        <w:tc>
          <w:tcPr>
            <w:tcW w:w="3118"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 or building surveying contractor — $500</w:t>
            </w:r>
          </w:p>
          <w:p>
            <w:pPr>
              <w:pStyle w:val="yTableNAm"/>
            </w:pPr>
            <w:r>
              <w:t>For a painting contractor — $250</w:t>
            </w:r>
          </w:p>
        </w:tc>
      </w:tr>
      <w:tr>
        <w:trPr>
          <w:cantSplit/>
        </w:trPr>
        <w:tc>
          <w:tcPr>
            <w:tcW w:w="851" w:type="dxa"/>
          </w:tcPr>
          <w:p>
            <w:pPr>
              <w:pStyle w:val="yTableNAm"/>
            </w:pPr>
            <w:r>
              <w:rPr>
                <w:szCs w:val="22"/>
              </w:rPr>
              <w:t>s. 25</w:t>
            </w:r>
          </w:p>
        </w:tc>
        <w:tc>
          <w:tcPr>
            <w:tcW w:w="3118"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851" w:type="dxa"/>
          </w:tcPr>
          <w:p>
            <w:pPr>
              <w:pStyle w:val="yTableNAm"/>
            </w:pPr>
            <w:r>
              <w:rPr>
                <w:szCs w:val="22"/>
              </w:rPr>
              <w:t>s. 32(1)</w:t>
            </w:r>
          </w:p>
        </w:tc>
        <w:tc>
          <w:tcPr>
            <w:tcW w:w="3118"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851" w:type="dxa"/>
          </w:tcPr>
          <w:p>
            <w:pPr>
              <w:pStyle w:val="yTableNAm"/>
            </w:pPr>
            <w:r>
              <w:rPr>
                <w:szCs w:val="22"/>
              </w:rPr>
              <w:t>s. 33(1)</w:t>
            </w:r>
          </w:p>
        </w:tc>
        <w:tc>
          <w:tcPr>
            <w:tcW w:w="3118"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851" w:type="dxa"/>
          </w:tcPr>
          <w:p>
            <w:pPr>
              <w:pStyle w:val="yTableNAm"/>
            </w:pPr>
            <w:r>
              <w:rPr>
                <w:szCs w:val="22"/>
              </w:rPr>
              <w:t>s. 34(1)</w:t>
            </w:r>
          </w:p>
        </w:tc>
        <w:tc>
          <w:tcPr>
            <w:tcW w:w="3118"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851" w:type="dxa"/>
          </w:tcPr>
          <w:p>
            <w:pPr>
              <w:pStyle w:val="yTableNAm"/>
            </w:pPr>
            <w:r>
              <w:rPr>
                <w:szCs w:val="22"/>
              </w:rPr>
              <w:t>s. 34(3)</w:t>
            </w:r>
          </w:p>
        </w:tc>
        <w:tc>
          <w:tcPr>
            <w:tcW w:w="3118"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851" w:type="dxa"/>
          </w:tcPr>
          <w:p>
            <w:pPr>
              <w:pStyle w:val="yTableNAm"/>
            </w:pPr>
            <w:r>
              <w:rPr>
                <w:szCs w:val="22"/>
              </w:rPr>
              <w:t>s. 35(1)</w:t>
            </w:r>
          </w:p>
        </w:tc>
        <w:tc>
          <w:tcPr>
            <w:tcW w:w="3118"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35(2)</w:t>
            </w:r>
          </w:p>
        </w:tc>
        <w:tc>
          <w:tcPr>
            <w:tcW w:w="3118"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35(3)</w:t>
            </w:r>
          </w:p>
        </w:tc>
        <w:tc>
          <w:tcPr>
            <w:tcW w:w="3118"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851" w:type="dxa"/>
          </w:tcPr>
          <w:p>
            <w:pPr>
              <w:pStyle w:val="yTableNAm"/>
            </w:pPr>
            <w:r>
              <w:rPr>
                <w:szCs w:val="22"/>
              </w:rPr>
              <w:t>s. 36(1)</w:t>
            </w:r>
          </w:p>
        </w:tc>
        <w:tc>
          <w:tcPr>
            <w:tcW w:w="3118"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851" w:type="dxa"/>
          </w:tcPr>
          <w:p>
            <w:pPr>
              <w:pStyle w:val="yTableNAm"/>
            </w:pPr>
            <w:r>
              <w:rPr>
                <w:szCs w:val="22"/>
              </w:rPr>
              <w:t>s. 37(1)</w:t>
            </w:r>
          </w:p>
        </w:tc>
        <w:tc>
          <w:tcPr>
            <w:tcW w:w="3118"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851" w:type="dxa"/>
          </w:tcPr>
          <w:p>
            <w:pPr>
              <w:pStyle w:val="yTableNAm"/>
            </w:pPr>
            <w:r>
              <w:rPr>
                <w:szCs w:val="22"/>
              </w:rPr>
              <w:t>s. 49</w:t>
            </w:r>
          </w:p>
        </w:tc>
        <w:tc>
          <w:tcPr>
            <w:tcW w:w="3118"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bookmarkStart w:id="256" w:name="_Toc527548988"/>
      <w:bookmarkStart w:id="257" w:name="_Toc527549026"/>
      <w:bookmarkStart w:id="258" w:name="_Toc527550234"/>
      <w:bookmarkStart w:id="259" w:name="_Toc527552886"/>
      <w:bookmarkStart w:id="260" w:name="_Toc527555552"/>
      <w:bookmarkStart w:id="261" w:name="_Toc527556664"/>
      <w:bookmarkStart w:id="262" w:name="_Toc527557116"/>
      <w:bookmarkStart w:id="263" w:name="_Toc527557284"/>
      <w:bookmarkStart w:id="264" w:name="_Toc527557593"/>
      <w:bookmarkStart w:id="265" w:name="_Toc527558911"/>
      <w:bookmarkStart w:id="266" w:name="_Toc530472143"/>
      <w:bookmarkStart w:id="267" w:name="_Toc530473471"/>
      <w:bookmarkStart w:id="268" w:name="_Toc530473589"/>
      <w:bookmarkStart w:id="269" w:name="_Toc530493664"/>
      <w:bookmarkStart w:id="270" w:name="_Toc530493702"/>
      <w:bookmarkStart w:id="271" w:name="_Toc530493779"/>
      <w:bookmarkStart w:id="272" w:name="_Toc530493851"/>
      <w:bookmarkStart w:id="273" w:name="_Toc530494010"/>
      <w:bookmarkStart w:id="274" w:name="_Toc530494101"/>
      <w:bookmarkStart w:id="275" w:name="_Toc530495402"/>
      <w:bookmarkStart w:id="276" w:name="_Toc532546626"/>
      <w:bookmarkStart w:id="277" w:name="_Toc532548010"/>
      <w:bookmarkStart w:id="278" w:name="_Toc532548099"/>
      <w:bookmarkStart w:id="279" w:name="_Toc532548332"/>
      <w:bookmarkStart w:id="280" w:name="_Toc532548433"/>
      <w:bookmarkStart w:id="281" w:name="_Toc532550695"/>
      <w:bookmarkStart w:id="282" w:name="_Toc2079653"/>
      <w:bookmarkStart w:id="283" w:name="_Toc2083980"/>
      <w:r>
        <w:tab/>
        <w:t>[Division 2 inserted: Gazette 26 Apr 2019 p. 1217</w:t>
      </w:r>
      <w:r>
        <w:noBreakHyphen/>
        <w:t>19.]</w:t>
      </w:r>
    </w:p>
    <w:p>
      <w:pPr>
        <w:pStyle w:val="yHeading3"/>
      </w:pPr>
      <w:bookmarkStart w:id="284" w:name="_Toc7184753"/>
      <w:bookmarkStart w:id="285" w:name="_Toc7187017"/>
      <w:r>
        <w:rPr>
          <w:rStyle w:val="CharSDivNo"/>
        </w:rPr>
        <w:t>Division 3</w:t>
      </w:r>
      <w:r>
        <w:t xml:space="preserve"> — </w:t>
      </w:r>
      <w:r>
        <w:rPr>
          <w:rStyle w:val="CharSDivText"/>
        </w:rPr>
        <w:t>Offences under these regulations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yFootnoteheading"/>
      </w:pPr>
      <w:r>
        <w:tab/>
        <w:t>[Heading inserted: Gazette 26 Apr 2019 p. 1219.]</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28J(1)</w:t>
            </w:r>
          </w:p>
        </w:tc>
        <w:tc>
          <w:tcPr>
            <w:tcW w:w="4536" w:type="dxa"/>
          </w:tcPr>
          <w:p>
            <w:pPr>
              <w:pStyle w:val="yTableNAm"/>
            </w:pPr>
            <w:r>
              <w:rPr>
                <w:szCs w:val="22"/>
              </w:rPr>
              <w:t>Failure to display certificate of registration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28K(1)</w:t>
            </w:r>
          </w:p>
        </w:tc>
        <w:tc>
          <w:tcPr>
            <w:tcW w:w="4536" w:type="dxa"/>
          </w:tcPr>
          <w:p>
            <w:pPr>
              <w:pStyle w:val="yTableNAm"/>
            </w:pPr>
            <w:r>
              <w:rPr>
                <w:szCs w:val="22"/>
              </w:rPr>
              <w:t>Failure to display sign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36</w:t>
            </w:r>
          </w:p>
        </w:tc>
        <w:tc>
          <w:tcPr>
            <w:tcW w:w="4536" w:type="dxa"/>
          </w:tcPr>
          <w:p>
            <w:pPr>
              <w:pStyle w:val="yTableNAm"/>
            </w:pPr>
            <w:r>
              <w:rPr>
                <w:szCs w:val="22"/>
              </w:rPr>
              <w:t>Failure to display sign — painting contractor</w:t>
            </w:r>
          </w:p>
        </w:tc>
        <w:tc>
          <w:tcPr>
            <w:tcW w:w="1418" w:type="dxa"/>
            <w:vAlign w:val="bottom"/>
          </w:tcPr>
          <w:p>
            <w:pPr>
              <w:pStyle w:val="yTableNAm"/>
              <w:jc w:val="center"/>
            </w:pPr>
            <w:r>
              <w:rPr>
                <w:szCs w:val="22"/>
              </w:rPr>
              <w:t>$100</w:t>
            </w:r>
          </w:p>
        </w:tc>
      </w:tr>
    </w:tbl>
    <w:p>
      <w:pPr>
        <w:pStyle w:val="yFootnotesection"/>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r>
        <w:tab/>
        <w:t>[Division 3 inserted: Gazette 26 Apr 2019 p. 1219.]</w:t>
      </w:r>
      <w:bookmarkStart w:id="286" w:name="_Toc527548989"/>
      <w:bookmarkStart w:id="287" w:name="_Toc527549027"/>
      <w:bookmarkStart w:id="288" w:name="_Toc527550235"/>
      <w:bookmarkStart w:id="289" w:name="_Toc527552887"/>
      <w:bookmarkStart w:id="290" w:name="_Toc527555553"/>
      <w:bookmarkStart w:id="291" w:name="_Toc527556665"/>
      <w:bookmarkStart w:id="292" w:name="_Toc527557117"/>
      <w:bookmarkStart w:id="293" w:name="_Toc527557285"/>
      <w:bookmarkStart w:id="294" w:name="_Toc527557594"/>
      <w:bookmarkStart w:id="295" w:name="_Toc527558912"/>
      <w:bookmarkStart w:id="296" w:name="_Toc530472144"/>
      <w:bookmarkStart w:id="297" w:name="_Toc530473472"/>
      <w:bookmarkStart w:id="298" w:name="_Toc530473590"/>
      <w:bookmarkStart w:id="299" w:name="_Toc530493665"/>
      <w:bookmarkStart w:id="300" w:name="_Toc530493703"/>
      <w:bookmarkStart w:id="301" w:name="_Toc530493780"/>
      <w:bookmarkStart w:id="302" w:name="_Toc530493852"/>
      <w:bookmarkStart w:id="303" w:name="_Toc530494011"/>
      <w:bookmarkStart w:id="304" w:name="_Toc530494102"/>
      <w:bookmarkStart w:id="305" w:name="_Toc530495403"/>
      <w:bookmarkStart w:id="306" w:name="_Toc532546627"/>
      <w:bookmarkStart w:id="307" w:name="_Toc532548011"/>
      <w:bookmarkStart w:id="308" w:name="_Toc532548100"/>
      <w:bookmarkStart w:id="309" w:name="_Toc532548333"/>
      <w:bookmarkStart w:id="310" w:name="_Toc532548434"/>
      <w:bookmarkStart w:id="311" w:name="_Toc532550696"/>
      <w:bookmarkStart w:id="312" w:name="_Toc2079654"/>
      <w:bookmarkStart w:id="313" w:name="_Toc2083981"/>
    </w:p>
    <w:p>
      <w:pPr>
        <w:pStyle w:val="Chs"/>
      </w:pPr>
      <w:r>
        <w:rPr>
          <w:rStyle w:val="CharSchNo"/>
        </w:rPr>
        <w:t>Schedule 6</w:t>
      </w:r>
      <w:r>
        <w:rPr>
          <w:rStyle w:val="CharSDivNo"/>
        </w:rPr>
        <w:t> </w:t>
      </w:r>
      <w:r>
        <w:t>—</w:t>
      </w:r>
      <w:r>
        <w:rPr>
          <w:rStyle w:val="CharSDivText"/>
        </w:rPr>
        <w:t> </w:t>
      </w:r>
      <w:r>
        <w:rPr>
          <w:rStyle w:val="CharSchText"/>
        </w:rPr>
        <w:t>Forms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pPr>
            <w:r>
              <w:rPr>
                <w:b/>
              </w:rPr>
              <w:t xml:space="preserve">TAKE NOTICE </w:t>
            </w:r>
          </w:p>
        </w:tc>
        <w:tc>
          <w:tcPr>
            <w:tcW w:w="5670" w:type="dxa"/>
            <w:gridSpan w:val="6"/>
            <w:tcBorders>
              <w:bottom w:val="nil"/>
            </w:tcBorders>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ind w:left="567" w:hanging="567"/>
            </w:pPr>
            <w:r>
              <w:tab/>
            </w:r>
            <w:r>
              <w:rPr>
                <w:i/>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nHeading2"/>
      </w:pPr>
      <w:bookmarkStart w:id="314" w:name="_Toc7184754"/>
      <w:bookmarkStart w:id="315" w:name="_Toc7187018"/>
      <w:r>
        <w:t>Notes</w:t>
      </w:r>
      <w:bookmarkEnd w:id="314"/>
      <w:bookmarkEnd w:id="315"/>
    </w:p>
    <w:p>
      <w:pPr>
        <w:pStyle w:val="nSubsection"/>
      </w:pPr>
      <w:r>
        <w:rPr>
          <w:vertAlign w:val="superscript"/>
        </w:rPr>
        <w:t>1</w:t>
      </w:r>
      <w:r>
        <w:tab/>
        <w:t xml:space="preserve">This is a compilation of the </w:t>
      </w:r>
      <w:r>
        <w:rPr>
          <w:i/>
          <w:noProof/>
        </w:rPr>
        <w:t>Building Services (Registration) Regulations 2011</w:t>
      </w:r>
      <w:r>
        <w:t xml:space="preserve"> and includes the amendments made by the other written laws referred to in the following table.  The table also contains information about any reprint.</w:t>
      </w:r>
    </w:p>
    <w:p>
      <w:pPr>
        <w:pStyle w:val="nHeading3"/>
      </w:pPr>
      <w:bookmarkStart w:id="316" w:name="_Toc7187019"/>
      <w:r>
        <w:t>Compilation table</w:t>
      </w:r>
      <w:bookmarkEnd w:id="316"/>
    </w:p>
    <w:tbl>
      <w:tblPr>
        <w:tblW w:w="7167"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6"/>
        <w:gridCol w:w="1274"/>
        <w:gridCol w:w="2679"/>
        <w:gridCol w:w="22"/>
        <w:gridCol w:w="86"/>
      </w:tblGrid>
      <w:tr>
        <w:trPr>
          <w:gridAfter w:val="1"/>
          <w:wAfter w:w="81" w:type="dxa"/>
          <w:tblHeader/>
        </w:trPr>
        <w:tc>
          <w:tcPr>
            <w:tcW w:w="3108" w:type="dxa"/>
            <w:tcBorders>
              <w:bottom w:val="single" w:sz="8" w:space="0" w:color="auto"/>
            </w:tcBorders>
            <w:shd w:val="clear" w:color="auto" w:fill="auto"/>
          </w:tcPr>
          <w:p>
            <w:pPr>
              <w:pStyle w:val="nTable"/>
              <w:spacing w:after="40"/>
              <w:rPr>
                <w:b/>
              </w:rPr>
            </w:pPr>
            <w:r>
              <w:rPr>
                <w:b/>
              </w:rPr>
              <w:t>Citation</w:t>
            </w:r>
          </w:p>
        </w:tc>
        <w:tc>
          <w:tcPr>
            <w:tcW w:w="1275" w:type="dxa"/>
            <w:tcBorders>
              <w:bottom w:val="single" w:sz="8" w:space="0" w:color="auto"/>
            </w:tcBorders>
            <w:shd w:val="clear" w:color="auto" w:fill="auto"/>
          </w:tcPr>
          <w:p>
            <w:pPr>
              <w:pStyle w:val="nTable"/>
              <w:spacing w:after="40"/>
              <w:rPr>
                <w:b/>
              </w:rPr>
            </w:pPr>
            <w:r>
              <w:rPr>
                <w:b/>
              </w:rPr>
              <w:t>Gazettal</w:t>
            </w:r>
          </w:p>
        </w:tc>
        <w:tc>
          <w:tcPr>
            <w:tcW w:w="2703" w:type="dxa"/>
            <w:gridSpan w:val="2"/>
            <w:tcBorders>
              <w:bottom w:val="single" w:sz="8" w:space="0" w:color="auto"/>
            </w:tcBorders>
            <w:shd w:val="clear" w:color="auto" w:fill="auto"/>
          </w:tcPr>
          <w:p>
            <w:pPr>
              <w:pStyle w:val="nTable"/>
              <w:spacing w:after="40"/>
              <w:rPr>
                <w:b/>
              </w:rPr>
            </w:pPr>
            <w:r>
              <w:rPr>
                <w:b/>
              </w:rPr>
              <w:t>Commencement</w:t>
            </w:r>
          </w:p>
        </w:tc>
      </w:tr>
      <w:tr>
        <w:trPr>
          <w:gridAfter w:val="1"/>
          <w:wAfter w:w="81" w:type="dxa"/>
        </w:trPr>
        <w:tc>
          <w:tcPr>
            <w:tcW w:w="3108" w:type="dxa"/>
            <w:tcBorders>
              <w:top w:val="single" w:sz="8" w:space="0" w:color="auto"/>
              <w:bottom w:val="nil"/>
            </w:tcBorders>
          </w:tcPr>
          <w:p>
            <w:pPr>
              <w:pStyle w:val="nTable"/>
              <w:spacing w:after="40"/>
            </w:pPr>
            <w:r>
              <w:rPr>
                <w:i/>
                <w:snapToGrid w:val="0"/>
              </w:rPr>
              <w:t>Building Services (Registration) Regulations 2011</w:t>
            </w:r>
          </w:p>
        </w:tc>
        <w:tc>
          <w:tcPr>
            <w:tcW w:w="1275" w:type="dxa"/>
            <w:tcBorders>
              <w:top w:val="single" w:sz="8" w:space="0" w:color="auto"/>
              <w:bottom w:val="nil"/>
            </w:tcBorders>
          </w:tcPr>
          <w:p>
            <w:pPr>
              <w:pStyle w:val="nTable"/>
              <w:spacing w:after="40"/>
            </w:pPr>
            <w:r>
              <w:t>26 Aug 2011 p. 3411-52</w:t>
            </w:r>
          </w:p>
        </w:tc>
        <w:tc>
          <w:tcPr>
            <w:tcW w:w="2703" w:type="dxa"/>
            <w:gridSpan w:val="2"/>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rPr>
          <w:gridAfter w:val="1"/>
          <w:wAfter w:w="81" w:type="dxa"/>
        </w:trPr>
        <w:tc>
          <w:tcPr>
            <w:tcW w:w="3108"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5" w:type="dxa"/>
            <w:tcBorders>
              <w:top w:val="nil"/>
              <w:left w:val="nil"/>
              <w:bottom w:val="nil"/>
              <w:right w:val="nil"/>
            </w:tcBorders>
          </w:tcPr>
          <w:p>
            <w:pPr>
              <w:pStyle w:val="nTable"/>
              <w:spacing w:after="40"/>
            </w:pPr>
            <w:r>
              <w:t>31 Jan 2012 p. 591</w:t>
            </w:r>
            <w:r>
              <w:noBreakHyphen/>
              <w:t>601</w:t>
            </w:r>
          </w:p>
        </w:tc>
        <w:tc>
          <w:tcPr>
            <w:tcW w:w="2703" w:type="dxa"/>
            <w:gridSpan w:val="2"/>
            <w:tcBorders>
              <w:top w:val="nil"/>
              <w:left w:val="nil"/>
              <w:bottom w:val="nil"/>
            </w:tcBorders>
          </w:tcPr>
          <w:p>
            <w:pPr>
              <w:pStyle w:val="nTable"/>
              <w:spacing w:after="40"/>
            </w:pPr>
            <w:r>
              <w:t>r. 1 and 2: 31 Jan 2012 (see r. 2(a));</w:t>
            </w:r>
            <w:r>
              <w:br/>
              <w:t>Regulations other than r. 1 and 2: 1 Feb 2012 (see r. 2(b))</w:t>
            </w:r>
          </w:p>
        </w:tc>
      </w:tr>
      <w:tr>
        <w:trPr>
          <w:gridAfter w:val="1"/>
          <w:wAfter w:w="81" w:type="dxa"/>
        </w:trPr>
        <w:tc>
          <w:tcPr>
            <w:tcW w:w="3108"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5" w:type="dxa"/>
            <w:tcBorders>
              <w:top w:val="nil"/>
              <w:left w:val="nil"/>
              <w:bottom w:val="nil"/>
              <w:right w:val="nil"/>
            </w:tcBorders>
          </w:tcPr>
          <w:p>
            <w:pPr>
              <w:pStyle w:val="nTable"/>
              <w:spacing w:after="40"/>
            </w:pPr>
            <w:r>
              <w:t>12 Mar 2012 p. 989-1011</w:t>
            </w:r>
          </w:p>
        </w:tc>
        <w:tc>
          <w:tcPr>
            <w:tcW w:w="2703" w:type="dxa"/>
            <w:gridSpan w:val="2"/>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rPr>
          <w:gridAfter w:val="1"/>
          <w:wAfter w:w="81" w:type="dxa"/>
        </w:trPr>
        <w:tc>
          <w:tcPr>
            <w:tcW w:w="3108"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5" w:type="dxa"/>
            <w:tcBorders>
              <w:top w:val="nil"/>
              <w:left w:val="nil"/>
              <w:bottom w:val="nil"/>
              <w:right w:val="nil"/>
            </w:tcBorders>
          </w:tcPr>
          <w:p>
            <w:pPr>
              <w:pStyle w:val="nTable"/>
              <w:spacing w:after="40"/>
            </w:pPr>
            <w:r>
              <w:t>15 Jun 2012 p. 2617-20</w:t>
            </w:r>
          </w:p>
        </w:tc>
        <w:tc>
          <w:tcPr>
            <w:tcW w:w="2703" w:type="dxa"/>
            <w:gridSpan w:val="2"/>
            <w:tcBorders>
              <w:top w:val="nil"/>
              <w:left w:val="nil"/>
              <w:bottom w:val="nil"/>
            </w:tcBorders>
          </w:tcPr>
          <w:p>
            <w:pPr>
              <w:pStyle w:val="nTable"/>
              <w:spacing w:after="40"/>
            </w:pPr>
            <w:r>
              <w:t>r. 1 and 2: 15 Jun 2012 (see r. 2(a));</w:t>
            </w:r>
            <w:r>
              <w:br/>
              <w:t>Regulations other than r. 1 and 2: 1 Jul 2012 (see r. 2(b))</w:t>
            </w:r>
          </w:p>
        </w:tc>
      </w:tr>
      <w:tr>
        <w:trPr>
          <w:gridAfter w:val="1"/>
          <w:wAfter w:w="81" w:type="dxa"/>
        </w:trPr>
        <w:tc>
          <w:tcPr>
            <w:tcW w:w="3108"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5" w:type="dxa"/>
            <w:tcBorders>
              <w:top w:val="nil"/>
              <w:left w:val="nil"/>
              <w:bottom w:val="nil"/>
              <w:right w:val="nil"/>
            </w:tcBorders>
          </w:tcPr>
          <w:p>
            <w:pPr>
              <w:pStyle w:val="nTable"/>
              <w:spacing w:after="40"/>
            </w:pPr>
            <w:r>
              <w:t>6 Nov 2012 p. 5293-4</w:t>
            </w:r>
          </w:p>
        </w:tc>
        <w:tc>
          <w:tcPr>
            <w:tcW w:w="2703" w:type="dxa"/>
            <w:gridSpan w:val="2"/>
            <w:tcBorders>
              <w:top w:val="nil"/>
              <w:left w:val="nil"/>
              <w:bottom w:val="nil"/>
            </w:tcBorders>
          </w:tcPr>
          <w:p>
            <w:pPr>
              <w:pStyle w:val="nTable"/>
              <w:spacing w:after="40"/>
            </w:pPr>
            <w:r>
              <w:t>r. 1 and 2: 6 Nov 2012 (see r. 2(a));</w:t>
            </w:r>
            <w:r>
              <w:br/>
              <w:t>Regulations other than r. 1 and 2: 7 Nov 2012 (see r. 2(b))</w:t>
            </w:r>
          </w:p>
        </w:tc>
      </w:tr>
      <w:tr>
        <w:trPr>
          <w:gridAfter w:val="1"/>
          <w:wAfter w:w="81" w:type="dxa"/>
        </w:trPr>
        <w:tc>
          <w:tcPr>
            <w:tcW w:w="3108"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r>
              <w:rPr>
                <w:snapToGrid w:val="0"/>
                <w:vertAlign w:val="superscript"/>
              </w:rPr>
              <w:t>6</w:t>
            </w:r>
          </w:p>
        </w:tc>
        <w:tc>
          <w:tcPr>
            <w:tcW w:w="1275" w:type="dxa"/>
            <w:tcBorders>
              <w:top w:val="nil"/>
              <w:left w:val="nil"/>
              <w:bottom w:val="nil"/>
              <w:right w:val="nil"/>
            </w:tcBorders>
          </w:tcPr>
          <w:p>
            <w:pPr>
              <w:pStyle w:val="nTable"/>
              <w:spacing w:after="40"/>
            </w:pPr>
            <w:r>
              <w:t>18 Dec 2012 p. 6585-9</w:t>
            </w:r>
          </w:p>
        </w:tc>
        <w:tc>
          <w:tcPr>
            <w:tcW w:w="2703" w:type="dxa"/>
            <w:gridSpan w:val="2"/>
            <w:tcBorders>
              <w:top w:val="nil"/>
              <w:left w:val="nil"/>
              <w:bottom w:val="nil"/>
            </w:tcBorders>
          </w:tcPr>
          <w:p>
            <w:pPr>
              <w:pStyle w:val="nTable"/>
              <w:spacing w:after="40"/>
            </w:pPr>
            <w:r>
              <w:t>r. 1 and 2: 18 Dec 2012 (see r. 2(a));</w:t>
            </w:r>
            <w:r>
              <w:br/>
              <w:t>Regulations other than r. 1 and 2: 19 Dec 2012 (see r. 2(b))</w:t>
            </w:r>
          </w:p>
        </w:tc>
      </w:tr>
      <w:tr>
        <w:trPr>
          <w:gridAfter w:val="1"/>
          <w:wAfter w:w="81" w:type="dxa"/>
        </w:trPr>
        <w:tc>
          <w:tcPr>
            <w:tcW w:w="3108"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5" w:type="dxa"/>
            <w:tcBorders>
              <w:top w:val="nil"/>
              <w:left w:val="nil"/>
              <w:bottom w:val="nil"/>
              <w:right w:val="nil"/>
            </w:tcBorders>
            <w:shd w:val="clear" w:color="auto" w:fill="auto"/>
          </w:tcPr>
          <w:p>
            <w:pPr>
              <w:pStyle w:val="nTable"/>
              <w:spacing w:after="40"/>
            </w:pPr>
            <w:r>
              <w:t>22 Jan 2013 p. 211</w:t>
            </w:r>
          </w:p>
        </w:tc>
        <w:tc>
          <w:tcPr>
            <w:tcW w:w="2703" w:type="dxa"/>
            <w:gridSpan w:val="2"/>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rPr>
          <w:gridAfter w:val="1"/>
          <w:wAfter w:w="81" w:type="dxa"/>
        </w:trPr>
        <w:tc>
          <w:tcPr>
            <w:tcW w:w="7086" w:type="dxa"/>
            <w:gridSpan w:val="4"/>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rPr>
          <w:gridAfter w:val="1"/>
          <w:wAfter w:w="81" w:type="dxa"/>
        </w:trPr>
        <w:tc>
          <w:tcPr>
            <w:tcW w:w="3108"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75" w:type="dxa"/>
            <w:tcBorders>
              <w:top w:val="nil"/>
              <w:left w:val="nil"/>
              <w:bottom w:val="nil"/>
              <w:right w:val="nil"/>
            </w:tcBorders>
            <w:shd w:val="clear" w:color="auto" w:fill="auto"/>
          </w:tcPr>
          <w:p>
            <w:pPr>
              <w:pStyle w:val="nTable"/>
              <w:keepNext/>
              <w:spacing w:after="40"/>
            </w:pPr>
            <w:r>
              <w:t>27 Jun 2013 p. 2665-9</w:t>
            </w:r>
          </w:p>
        </w:tc>
        <w:tc>
          <w:tcPr>
            <w:tcW w:w="2703" w:type="dxa"/>
            <w:gridSpan w:val="2"/>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rPr>
          <w:gridAfter w:val="1"/>
          <w:wAfter w:w="81" w:type="dxa"/>
        </w:trPr>
        <w:tc>
          <w:tcPr>
            <w:tcW w:w="3108"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5" w:type="dxa"/>
            <w:tcBorders>
              <w:top w:val="nil"/>
              <w:left w:val="nil"/>
              <w:bottom w:val="nil"/>
              <w:right w:val="nil"/>
            </w:tcBorders>
            <w:shd w:val="clear" w:color="auto" w:fill="auto"/>
          </w:tcPr>
          <w:p>
            <w:pPr>
              <w:pStyle w:val="nTable"/>
              <w:spacing w:after="40"/>
            </w:pPr>
            <w:r>
              <w:t>14 Nov 2013 p. 5029</w:t>
            </w:r>
          </w:p>
        </w:tc>
        <w:tc>
          <w:tcPr>
            <w:tcW w:w="2703" w:type="dxa"/>
            <w:gridSpan w:val="2"/>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rPr>
          <w:gridAfter w:val="1"/>
          <w:wAfter w:w="81" w:type="dxa"/>
        </w:trPr>
        <w:tc>
          <w:tcPr>
            <w:tcW w:w="3108"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5" w:type="dxa"/>
            <w:tcBorders>
              <w:top w:val="nil"/>
              <w:left w:val="nil"/>
              <w:bottom w:val="nil"/>
              <w:right w:val="nil"/>
            </w:tcBorders>
            <w:shd w:val="clear" w:color="auto" w:fill="auto"/>
          </w:tcPr>
          <w:p>
            <w:pPr>
              <w:pStyle w:val="nTable"/>
              <w:spacing w:after="40"/>
            </w:pPr>
            <w:r>
              <w:t>31 Dec 2013 p. 6535</w:t>
            </w:r>
            <w:r>
              <w:noBreakHyphen/>
              <w:t>9</w:t>
            </w:r>
          </w:p>
        </w:tc>
        <w:tc>
          <w:tcPr>
            <w:tcW w:w="2703" w:type="dxa"/>
            <w:gridSpan w:val="2"/>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rPr>
          <w:gridAfter w:val="1"/>
          <w:wAfter w:w="81" w:type="dxa"/>
        </w:trPr>
        <w:tc>
          <w:tcPr>
            <w:tcW w:w="3108"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5" w:type="dxa"/>
            <w:tcBorders>
              <w:top w:val="nil"/>
              <w:left w:val="nil"/>
              <w:bottom w:val="nil"/>
              <w:right w:val="nil"/>
            </w:tcBorders>
            <w:shd w:val="clear" w:color="auto" w:fill="auto"/>
          </w:tcPr>
          <w:p>
            <w:pPr>
              <w:pStyle w:val="nTable"/>
              <w:spacing w:after="40"/>
            </w:pPr>
            <w:r>
              <w:t>17 Jun 2014 p. 1959</w:t>
            </w:r>
            <w:r>
              <w:noBreakHyphen/>
              <w:t>61</w:t>
            </w:r>
          </w:p>
        </w:tc>
        <w:tc>
          <w:tcPr>
            <w:tcW w:w="2703" w:type="dxa"/>
            <w:gridSpan w:val="2"/>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gridAfter w:val="1"/>
          <w:wAfter w:w="81" w:type="dxa"/>
        </w:trPr>
        <w:tc>
          <w:tcPr>
            <w:tcW w:w="3108"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5" w:type="dxa"/>
            <w:tcBorders>
              <w:top w:val="nil"/>
              <w:left w:val="nil"/>
              <w:bottom w:val="nil"/>
              <w:right w:val="nil"/>
            </w:tcBorders>
            <w:shd w:val="clear" w:color="auto" w:fill="auto"/>
          </w:tcPr>
          <w:p>
            <w:pPr>
              <w:pStyle w:val="nTable"/>
              <w:spacing w:after="40"/>
            </w:pPr>
            <w:r>
              <w:t>19 Dec 2014 p. 4841</w:t>
            </w:r>
            <w:r>
              <w:noBreakHyphen/>
              <w:t>2</w:t>
            </w:r>
          </w:p>
        </w:tc>
        <w:tc>
          <w:tcPr>
            <w:tcW w:w="2703" w:type="dxa"/>
            <w:gridSpan w:val="2"/>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rPr>
          <w:gridAfter w:val="1"/>
          <w:wAfter w:w="81" w:type="dxa"/>
        </w:trPr>
        <w:tc>
          <w:tcPr>
            <w:tcW w:w="7086" w:type="dxa"/>
            <w:gridSpan w:val="4"/>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rPr>
          <w:gridAfter w:val="1"/>
          <w:wAfter w:w="81" w:type="dxa"/>
        </w:trPr>
        <w:tc>
          <w:tcPr>
            <w:tcW w:w="3108"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75" w:type="dxa"/>
            <w:tcBorders>
              <w:top w:val="nil"/>
              <w:bottom w:val="nil"/>
            </w:tcBorders>
            <w:shd w:val="clear" w:color="auto" w:fill="auto"/>
          </w:tcPr>
          <w:p>
            <w:pPr>
              <w:pStyle w:val="nTable"/>
              <w:spacing w:after="40"/>
              <w:rPr>
                <w:b/>
                <w:bCs/>
                <w:snapToGrid w:val="0"/>
              </w:rPr>
            </w:pPr>
            <w:r>
              <w:t>23 Jun 2015 p. 2165</w:t>
            </w:r>
            <w:r>
              <w:noBreakHyphen/>
              <w:t>7</w:t>
            </w:r>
          </w:p>
        </w:tc>
        <w:tc>
          <w:tcPr>
            <w:tcW w:w="2703" w:type="dxa"/>
            <w:gridSpan w:val="2"/>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rPr>
          <w:gridAfter w:val="1"/>
          <w:wAfter w:w="81" w:type="dxa"/>
        </w:trPr>
        <w:tc>
          <w:tcPr>
            <w:tcW w:w="3108" w:type="dxa"/>
            <w:tcBorders>
              <w:top w:val="nil"/>
              <w:bottom w:val="nil"/>
            </w:tcBorders>
          </w:tcPr>
          <w:p>
            <w:pPr>
              <w:pStyle w:val="nTable"/>
              <w:spacing w:after="40"/>
            </w:pPr>
            <w:r>
              <w:rPr>
                <w:i/>
              </w:rPr>
              <w:t>Commerce Regulations Amendment (Fees and Charges) Regulations 2016</w:t>
            </w:r>
            <w:r>
              <w:t xml:space="preserve"> Pt. 4</w:t>
            </w:r>
          </w:p>
        </w:tc>
        <w:tc>
          <w:tcPr>
            <w:tcW w:w="1275" w:type="dxa"/>
            <w:tcBorders>
              <w:top w:val="nil"/>
              <w:bottom w:val="nil"/>
            </w:tcBorders>
          </w:tcPr>
          <w:p>
            <w:pPr>
              <w:pStyle w:val="nTable"/>
              <w:spacing w:after="40"/>
            </w:pPr>
            <w:r>
              <w:t>3 Jun 2016 p. 1745-73</w:t>
            </w:r>
          </w:p>
        </w:tc>
        <w:tc>
          <w:tcPr>
            <w:tcW w:w="2703" w:type="dxa"/>
            <w:gridSpan w:val="2"/>
            <w:tcBorders>
              <w:top w:val="nil"/>
              <w:bottom w:val="nil"/>
            </w:tcBorders>
          </w:tcPr>
          <w:p>
            <w:pPr>
              <w:pStyle w:val="nTable"/>
              <w:spacing w:after="40"/>
            </w:pPr>
            <w:r>
              <w:t>1 Jul 2016 (see r. 2(b))</w:t>
            </w:r>
          </w:p>
        </w:tc>
      </w:tr>
      <w:tr>
        <w:trPr>
          <w:gridAfter w:val="1"/>
          <w:wAfter w:w="81" w:type="dxa"/>
        </w:trPr>
        <w:tc>
          <w:tcPr>
            <w:tcW w:w="3108" w:type="dxa"/>
            <w:tcBorders>
              <w:top w:val="nil"/>
              <w:bottom w:val="nil"/>
            </w:tcBorders>
          </w:tcPr>
          <w:p>
            <w:pPr>
              <w:pStyle w:val="nTable"/>
              <w:spacing w:after="40"/>
              <w:rPr>
                <w:i/>
              </w:rPr>
            </w:pPr>
            <w:r>
              <w:rPr>
                <w:i/>
              </w:rPr>
              <w:t>Building Services (Registration) Amendment Regulations 2017</w:t>
            </w:r>
          </w:p>
        </w:tc>
        <w:tc>
          <w:tcPr>
            <w:tcW w:w="1275" w:type="dxa"/>
            <w:tcBorders>
              <w:top w:val="nil"/>
              <w:bottom w:val="nil"/>
            </w:tcBorders>
          </w:tcPr>
          <w:p>
            <w:pPr>
              <w:pStyle w:val="nTable"/>
              <w:spacing w:after="40"/>
            </w:pPr>
            <w:r>
              <w:t>31 Mar 2017 p. 1941-2</w:t>
            </w:r>
          </w:p>
        </w:tc>
        <w:tc>
          <w:tcPr>
            <w:tcW w:w="2703" w:type="dxa"/>
            <w:gridSpan w:val="2"/>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08"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75" w:type="dxa"/>
            <w:tcBorders>
              <w:top w:val="nil"/>
              <w:bottom w:val="nil"/>
            </w:tcBorders>
          </w:tcPr>
          <w:p>
            <w:pPr>
              <w:pStyle w:val="nTable"/>
              <w:spacing w:after="40"/>
            </w:pPr>
            <w:r>
              <w:t>23 Jun 2017 p. 3213</w:t>
            </w:r>
            <w:r>
              <w:noBreakHyphen/>
              <w:t>52</w:t>
            </w:r>
          </w:p>
        </w:tc>
        <w:tc>
          <w:tcPr>
            <w:tcW w:w="2784" w:type="dxa"/>
            <w:gridSpan w:val="3"/>
            <w:tcBorders>
              <w:top w:val="nil"/>
              <w:bottom w:val="nil"/>
            </w:tcBorders>
          </w:tcPr>
          <w:p>
            <w:pPr>
              <w:pStyle w:val="nTable"/>
              <w:spacing w:after="40"/>
            </w:pPr>
            <w:r>
              <w:t>1 Jul 2017 (see r. 2(b))</w:t>
            </w:r>
          </w:p>
        </w:tc>
      </w:tr>
      <w:tr>
        <w:tc>
          <w:tcPr>
            <w:tcW w:w="3108" w:type="dxa"/>
            <w:tcBorders>
              <w:top w:val="nil"/>
              <w:bottom w:val="nil"/>
            </w:tcBorders>
          </w:tcPr>
          <w:p>
            <w:pPr>
              <w:pStyle w:val="nTable"/>
              <w:spacing w:after="40"/>
            </w:pPr>
            <w:r>
              <w:rPr>
                <w:i/>
              </w:rPr>
              <w:t>Building Regulations Amendment Regulations 2017</w:t>
            </w:r>
            <w:r>
              <w:t xml:space="preserve"> Pt. 3</w:t>
            </w:r>
          </w:p>
        </w:tc>
        <w:tc>
          <w:tcPr>
            <w:tcW w:w="1275" w:type="dxa"/>
            <w:tcBorders>
              <w:top w:val="nil"/>
              <w:bottom w:val="nil"/>
            </w:tcBorders>
          </w:tcPr>
          <w:p>
            <w:pPr>
              <w:pStyle w:val="nTable"/>
              <w:spacing w:after="40"/>
            </w:pPr>
            <w:r>
              <w:t>8 Aug 2017 p. 4343</w:t>
            </w:r>
            <w:r>
              <w:noBreakHyphen/>
              <w:t>5</w:t>
            </w:r>
          </w:p>
        </w:tc>
        <w:tc>
          <w:tcPr>
            <w:tcW w:w="2784" w:type="dxa"/>
            <w:gridSpan w:val="3"/>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08" w:type="dxa"/>
            <w:tcBorders>
              <w:top w:val="nil"/>
              <w:bottom w:val="nil"/>
            </w:tcBorders>
          </w:tcPr>
          <w:p>
            <w:pPr>
              <w:pStyle w:val="nTable"/>
              <w:keepNext/>
              <w:spacing w:after="40"/>
              <w:rPr>
                <w:i/>
              </w:rPr>
            </w:pPr>
            <w:r>
              <w:rPr>
                <w:i/>
              </w:rPr>
              <w:t>Building Services (Registration) Amendment Regulations (No. 2) 2017</w:t>
            </w:r>
            <w:r>
              <w:t xml:space="preserve"> </w:t>
            </w:r>
          </w:p>
        </w:tc>
        <w:tc>
          <w:tcPr>
            <w:tcW w:w="1275" w:type="dxa"/>
            <w:tcBorders>
              <w:top w:val="nil"/>
              <w:bottom w:val="nil"/>
            </w:tcBorders>
          </w:tcPr>
          <w:p>
            <w:pPr>
              <w:pStyle w:val="nTable"/>
              <w:keepNext/>
              <w:spacing w:after="40"/>
            </w:pPr>
            <w:r>
              <w:t>5 Jan 2018 p. 4</w:t>
            </w:r>
            <w:r>
              <w:noBreakHyphen/>
              <w:t>8</w:t>
            </w:r>
          </w:p>
        </w:tc>
        <w:tc>
          <w:tcPr>
            <w:tcW w:w="2784" w:type="dxa"/>
            <w:gridSpan w:val="3"/>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08"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75" w:type="dxa"/>
            <w:tcBorders>
              <w:top w:val="nil"/>
              <w:bottom w:val="nil"/>
            </w:tcBorders>
          </w:tcPr>
          <w:p>
            <w:pPr>
              <w:pStyle w:val="nTable"/>
              <w:keepNext/>
              <w:spacing w:after="40"/>
            </w:pPr>
            <w:r>
              <w:t>25 Jun 2018 p. 2325</w:t>
            </w:r>
            <w:r>
              <w:noBreakHyphen/>
              <w:t>53</w:t>
            </w:r>
          </w:p>
        </w:tc>
        <w:tc>
          <w:tcPr>
            <w:tcW w:w="2784" w:type="dxa"/>
            <w:gridSpan w:val="3"/>
            <w:tcBorders>
              <w:top w:val="nil"/>
              <w:bottom w:val="nil"/>
            </w:tcBorders>
          </w:tcPr>
          <w:p>
            <w:pPr>
              <w:pStyle w:val="nTable"/>
              <w:keepNext/>
              <w:spacing w:after="40"/>
              <w:rPr>
                <w:bCs/>
                <w:snapToGrid w:val="0"/>
                <w:spacing w:val="-2"/>
              </w:rPr>
            </w:pPr>
            <w:r>
              <w:rPr>
                <w:bCs/>
                <w:snapToGrid w:val="0"/>
                <w:spacing w:val="-2"/>
              </w:rPr>
              <w:t>1 Jul 2018 (see r. 2(b))</w:t>
            </w:r>
          </w:p>
        </w:tc>
      </w:tr>
      <w:tr>
        <w:tc>
          <w:tcPr>
            <w:tcW w:w="3108" w:type="dxa"/>
            <w:tcBorders>
              <w:top w:val="nil"/>
              <w:bottom w:val="nil"/>
            </w:tcBorders>
          </w:tcPr>
          <w:p>
            <w:pPr>
              <w:pStyle w:val="nTable"/>
              <w:spacing w:after="40"/>
              <w:rPr>
                <w:i/>
              </w:rPr>
            </w:pPr>
            <w:r>
              <w:rPr>
                <w:i/>
              </w:rPr>
              <w:t>Building Services (Registration) Amendment Regulations 2018</w:t>
            </w:r>
          </w:p>
        </w:tc>
        <w:tc>
          <w:tcPr>
            <w:tcW w:w="1275" w:type="dxa"/>
            <w:tcBorders>
              <w:top w:val="nil"/>
              <w:bottom w:val="nil"/>
            </w:tcBorders>
          </w:tcPr>
          <w:p>
            <w:pPr>
              <w:pStyle w:val="nTable"/>
              <w:keepNext/>
              <w:spacing w:after="40"/>
            </w:pPr>
            <w:r>
              <w:t>21 Sep 2018 p. 3534</w:t>
            </w:r>
            <w:r>
              <w:noBreakHyphen/>
              <w:t>7</w:t>
            </w:r>
          </w:p>
        </w:tc>
        <w:tc>
          <w:tcPr>
            <w:tcW w:w="2784" w:type="dxa"/>
            <w:gridSpan w:val="3"/>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rPr>
          <w:gridAfter w:val="2"/>
          <w:wAfter w:w="108" w:type="dxa"/>
        </w:trPr>
        <w:tc>
          <w:tcPr>
            <w:tcW w:w="3108" w:type="dxa"/>
            <w:tcBorders>
              <w:top w:val="nil"/>
              <w:bottom w:val="single" w:sz="4" w:space="0" w:color="auto"/>
            </w:tcBorders>
          </w:tcPr>
          <w:p>
            <w:pPr>
              <w:pStyle w:val="nTable"/>
              <w:spacing w:after="40"/>
            </w:pPr>
            <w:r>
              <w:rPr>
                <w:i/>
              </w:rPr>
              <w:t xml:space="preserve">Commerce Regulations Amendment (Infringement Notices) Regulations 2019 </w:t>
            </w:r>
            <w:r>
              <w:t>Pt. 4</w:t>
            </w:r>
          </w:p>
        </w:tc>
        <w:tc>
          <w:tcPr>
            <w:tcW w:w="1270" w:type="dxa"/>
            <w:tcBorders>
              <w:top w:val="nil"/>
              <w:bottom w:val="single" w:sz="4" w:space="0" w:color="auto"/>
            </w:tcBorders>
          </w:tcPr>
          <w:p>
            <w:pPr>
              <w:pStyle w:val="nTable"/>
              <w:spacing w:after="40"/>
            </w:pPr>
            <w:r>
              <w:t>26 Apr 2019 p. 1209-22</w:t>
            </w:r>
          </w:p>
        </w:tc>
        <w:tc>
          <w:tcPr>
            <w:tcW w:w="2681" w:type="dxa"/>
            <w:tcBorders>
              <w:top w:val="nil"/>
              <w:bottom w:val="single" w:sz="4" w:space="0" w:color="auto"/>
            </w:tcBorders>
          </w:tcPr>
          <w:p>
            <w:pPr>
              <w:pStyle w:val="nTable"/>
              <w:spacing w:after="40"/>
              <w:rPr>
                <w:bCs/>
                <w:snapToGrid w:val="0"/>
                <w:spacing w:val="-2"/>
              </w:rPr>
            </w:pPr>
            <w:r>
              <w:rPr>
                <w:bCs/>
                <w:snapToGrid w:val="0"/>
                <w:spacing w:val="-2"/>
              </w:rPr>
              <w:t>27 Apr 2019 (see r. 2(b))</w:t>
            </w:r>
          </w:p>
        </w:tc>
      </w:tr>
    </w:tbl>
    <w:p>
      <w:pPr>
        <w:pStyle w:val="nSubsection"/>
        <w:spacing w:before="160"/>
        <w:rPr>
          <w:vertAlign w:val="superscript"/>
        </w:rPr>
      </w:pPr>
      <w:r>
        <w:rPr>
          <w:vertAlign w:val="superscript"/>
        </w:rPr>
        <w:t>2</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Subsection"/>
      </w:pPr>
      <w:r>
        <w:rPr>
          <w:vertAlign w:val="superscript"/>
        </w:rPr>
        <w:t>3</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Subsection"/>
        <w:rPr>
          <w:spacing w:val="-2"/>
        </w:rPr>
      </w:pPr>
      <w:r>
        <w:rPr>
          <w:vertAlign w:val="superscript"/>
        </w:rPr>
        <w:t>4</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Subsection"/>
      </w:pPr>
      <w:r>
        <w:rPr>
          <w:vertAlign w:val="superscript"/>
        </w:rPr>
        <w:t>5</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Pr>
        <w:pStyle w:val="BlankClose"/>
      </w:pPr>
    </w:p>
    <w:p>
      <w:pPr>
        <w:pStyle w:val="BlankOpen"/>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318" w:name="_Toc7184756"/>
      <w:bookmarkStart w:id="319" w:name="_Toc7187020"/>
      <w:r>
        <w:rPr>
          <w:sz w:val="28"/>
        </w:rPr>
        <w:t>Defined terms</w:t>
      </w:r>
      <w:bookmarkEnd w:id="318"/>
      <w:bookmarkEnd w:id="3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2008 regulations</w:t>
      </w:r>
      <w:r>
        <w:tab/>
        <w:t>47</w:t>
      </w:r>
    </w:p>
    <w:p>
      <w:pPr>
        <w:pStyle w:val="DefinedTerms"/>
      </w:pPr>
      <w:r>
        <w:t>approval number</w:t>
      </w:r>
      <w:r>
        <w:tab/>
        <w:t>27(1)</w:t>
      </w:r>
    </w:p>
    <w:p>
      <w:pPr>
        <w:pStyle w:val="DefinedTerms"/>
      </w:pPr>
      <w:r>
        <w:t>builder work</w:t>
      </w:r>
      <w:r>
        <w:tab/>
        <w:t>3, 13(1)</w:t>
      </w:r>
    </w:p>
    <w:p>
      <w:pPr>
        <w:pStyle w:val="DefinedTerms"/>
      </w:pPr>
      <w:r>
        <w:t>Building Code</w:t>
      </w:r>
      <w:r>
        <w:tab/>
        <w:t>22</w:t>
      </w:r>
    </w:p>
    <w:p>
      <w:pPr>
        <w:pStyle w:val="DefinedTerms"/>
      </w:pPr>
      <w:r>
        <w:t>building contractor</w:t>
      </w:r>
      <w:r>
        <w:tab/>
        <w:t>13(1), Sch. 5 cl. 1</w:t>
      </w:r>
    </w:p>
    <w:p>
      <w:pPr>
        <w:pStyle w:val="DefinedTerms"/>
      </w:pPr>
      <w:r>
        <w:t>building surveying contractor</w:t>
      </w:r>
      <w:r>
        <w:tab/>
        <w:t>28A, Sch. 5 cl. 1</w:t>
      </w:r>
    </w:p>
    <w:p>
      <w:pPr>
        <w:pStyle w:val="DefinedTerms"/>
      </w:pPr>
      <w:r>
        <w:t>building surveying practitioner</w:t>
      </w:r>
      <w:r>
        <w:tab/>
        <w:t>Sch. 5 cl. 1</w:t>
      </w:r>
    </w:p>
    <w:p>
      <w:pPr>
        <w:pStyle w:val="DefinedTerms"/>
      </w:pPr>
      <w:r>
        <w:t>building surveying work</w:t>
      </w:r>
      <w:r>
        <w:tab/>
        <w:t>28A, Sch. 5 cl. 1</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w:t>
      </w:r>
    </w:p>
    <w:p>
      <w:pPr>
        <w:pStyle w:val="DefinedTerms"/>
      </w:pPr>
      <w:r>
        <w:t>compliance certificate</w:t>
      </w:r>
      <w:r>
        <w:tab/>
        <w:t>3</w:t>
      </w:r>
    </w:p>
    <w:p>
      <w:pPr>
        <w:pStyle w:val="DefinedTerms"/>
      </w:pPr>
      <w:r>
        <w:t>detached house</w:t>
      </w:r>
      <w:r>
        <w:tab/>
        <w:t>22</w:t>
      </w:r>
    </w:p>
    <w:p>
      <w:pPr>
        <w:pStyle w:val="DefinedTerms"/>
      </w:pPr>
      <w:r>
        <w:t>eligible person</w:t>
      </w:r>
      <w:r>
        <w:tab/>
        <w:t>16(4), 28D(2A), 28D(3A), 31(4)</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insolvent</w:t>
      </w:r>
      <w:r>
        <w:tab/>
        <w:t>3</w:t>
      </w:r>
    </w:p>
    <w:p>
      <w:pPr>
        <w:pStyle w:val="DefinedTerms"/>
      </w:pPr>
      <w:r>
        <w:t>owner</w:t>
      </w:r>
      <w:r>
        <w:noBreakHyphen/>
        <w:t>builder</w:t>
      </w:r>
      <w:r>
        <w:tab/>
        <w:t>3</w:t>
      </w:r>
    </w:p>
    <w:p>
      <w:pPr>
        <w:pStyle w:val="DefinedTerms"/>
      </w:pPr>
      <w:r>
        <w:t>owner</w:t>
      </w:r>
      <w:r>
        <w:noBreakHyphen/>
        <w:t>builder authorisation</w:t>
      </w:r>
      <w:r>
        <w:tab/>
        <w:t>37</w:t>
      </w:r>
    </w:p>
    <w:p>
      <w:pPr>
        <w:pStyle w:val="DefinedTerms"/>
      </w:pPr>
      <w:r>
        <w:t>painter work</w:t>
      </w:r>
      <w:r>
        <w:tab/>
        <w:t>3, 28(1)</w:t>
      </w:r>
    </w:p>
    <w:p>
      <w:pPr>
        <w:pStyle w:val="DefinedTerms"/>
      </w:pPr>
      <w:r>
        <w:t>painting contractor</w:t>
      </w:r>
      <w:r>
        <w:tab/>
        <w:t>28(1), Sch. 5 cl. 1</w:t>
      </w:r>
    </w:p>
    <w:p>
      <w:pPr>
        <w:pStyle w:val="DefinedTerms"/>
      </w:pPr>
      <w:r>
        <w:t>painting work</w:t>
      </w:r>
      <w:r>
        <w:tab/>
        <w:t>28(1)</w:t>
      </w:r>
    </w:p>
    <w:p>
      <w:pPr>
        <w:pStyle w:val="DefinedTerms"/>
      </w:pPr>
      <w:r>
        <w:t>previously registered</w:t>
      </w:r>
      <w:r>
        <w:tab/>
        <w:t>16(4)</w:t>
      </w:r>
    </w:p>
    <w:p>
      <w:pPr>
        <w:pStyle w:val="DefinedTerms"/>
      </w:pPr>
      <w:r>
        <w:t>principal builder</w:t>
      </w:r>
      <w:r>
        <w:tab/>
        <w:t>3</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pPr>
      <w:r>
        <w:t>townsite</w:t>
      </w:r>
      <w:r>
        <w:tab/>
        <w:t>Sch. 3 cl. 1, Sch. 4 cl. 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601"/>
      <w:gridCol w:w="1548"/>
    </w:tblGrid>
    <w:tr>
      <w:trPr>
        <w:cantSplit/>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fldChar w:fldCharType="begin"/>
          </w:r>
          <w:r>
            <w:instrText xml:space="preserve"> IF </w:instrText>
          </w:r>
          <w:r>
            <w:fldChar w:fldCharType="begin"/>
          </w:r>
          <w:r>
            <w:instrText xml:space="preserve"> STYLEREF CharSDivNo \n </w:instrText>
          </w:r>
          <w:r>
            <w:fldChar w:fldCharType="separate"/>
          </w:r>
          <w:r>
            <w:instrText>0</w:instrText>
          </w:r>
          <w:r>
            <w:fldChar w:fldCharType="end"/>
          </w:r>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separate"/>
          </w:r>
          <w:r>
            <w:instrText>Division</w:instrText>
          </w:r>
          <w:r>
            <w:fldChar w:fldCharType="end"/>
          </w:r>
          <w:r>
            <w:instrText xml:space="preserve"> </w:instrText>
          </w:r>
          <w:r>
            <w:fldChar w:fldCharType="begin"/>
          </w:r>
          <w:r>
            <w:instrText xml:space="preserve"> STYLEREF CharSDivNo \n </w:instrText>
          </w:r>
          <w:r>
            <w:fldChar w:fldCharType="separate"/>
          </w:r>
          <w:r>
            <w:instrText>4</w:instrText>
          </w:r>
          <w:r>
            <w:fldChar w:fldCharType="end"/>
          </w:r>
          <w:r>
            <w:instrText>"</w:instrText>
          </w:r>
          <w: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ind w:right="17"/>
          </w:pPr>
          <w:r>
            <w:t xml:space="preserve">cl. </w:t>
          </w:r>
          <w:r>
            <w:fldChar w:fldCharType="begin"/>
          </w:r>
          <w:r>
            <w:instrText xml:space="preserve"> IF </w:instrText>
          </w:r>
          <w:r>
            <w:fldChar w:fldCharType="begin"/>
          </w:r>
          <w:r>
            <w:instrText>STYLEREF CharSClsNo \n</w:instrText>
          </w:r>
          <w:r>
            <w:fldChar w:fldCharType="separate"/>
          </w:r>
          <w:r>
            <w:instrText>0</w:instrText>
          </w:r>
          <w:r>
            <w:fldChar w:fldCharType="end"/>
          </w:r>
          <w:r>
            <w:instrText xml:space="preserve"> = 0 "</w:instrText>
          </w:r>
          <w:r>
            <w:fldChar w:fldCharType="begin"/>
          </w:r>
          <w:r>
            <w:instrText>STYLEREF CharSClsNo</w:instrText>
          </w:r>
          <w:r>
            <w:fldChar w:fldCharType="separate"/>
          </w:r>
          <w:r>
            <w:instrText>1</w:instrText>
          </w:r>
          <w:r>
            <w:fldChar w:fldCharType="end"/>
          </w:r>
          <w:r>
            <w:instrText>" "</w:instrText>
          </w:r>
          <w:r>
            <w:fldChar w:fldCharType="begin"/>
          </w:r>
          <w:r>
            <w:instrText>STYLEREF CharSClsNo \n</w:instrText>
          </w:r>
          <w:r>
            <w:fldChar w:fldCharType="end"/>
          </w:r>
          <w:r>
            <w:instrText>"</w:instrText>
          </w:r>
          <w:r>
            <w:fldChar w:fldCharType="separate"/>
          </w:r>
          <w:r>
            <w:t>1</w:t>
          </w:r>
          <w: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Preliminary</w:t>
          </w:r>
          <w:r>
            <w:fldChar w:fldCharType="end"/>
          </w:r>
        </w:p>
      </w:tc>
    </w:tr>
    <w:t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Preliminary</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7" w:name="Compilation"/>
    <w:bookmarkEnd w:id="31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0" w:name="DefinedTerms"/>
    <w:bookmarkEnd w:id="320"/>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1" w:name="Coversheet"/>
    <w:bookmarkEnd w:id="3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0854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426102233"/>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085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Heading5Char">
    <w:name w:val="Heading 5 Char"/>
    <w:basedOn w:val="DefaultParagraphFont"/>
    <w:link w:val="Heading5"/>
    <w:rPr>
      <w:b/>
      <w:sz w:val="24"/>
    </w:rPr>
  </w:style>
  <w:style w:type="character" w:customStyle="1" w:styleId="Heading2Char">
    <w:name w:val="Heading 2 Char"/>
    <w:basedOn w:val="DefaultParagraphFont"/>
    <w:link w:val="Heading2"/>
    <w:rPr>
      <w:b/>
      <w:snapToGrid w:val="0"/>
      <w:sz w:val="30"/>
    </w:rPr>
  </w:style>
  <w:style w:type="paragraph" w:customStyle="1" w:styleId="Chs">
    <w:name w:val="Chs"/>
    <w:basedOn w:val="yScheduleHeading"/>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Heading5Char">
    <w:name w:val="Heading 5 Char"/>
    <w:basedOn w:val="DefaultParagraphFont"/>
    <w:link w:val="Heading5"/>
    <w:rPr>
      <w:b/>
      <w:sz w:val="24"/>
    </w:rPr>
  </w:style>
  <w:style w:type="character" w:customStyle="1" w:styleId="Heading2Char">
    <w:name w:val="Heading 2 Char"/>
    <w:basedOn w:val="DefaultParagraphFont"/>
    <w:link w:val="Heading2"/>
    <w:rPr>
      <w:b/>
      <w:snapToGrid w:val="0"/>
      <w:sz w:val="30"/>
    </w:rPr>
  </w:style>
  <w:style w:type="paragraph" w:customStyle="1" w:styleId="Chs">
    <w:name w:val="Chs"/>
    <w:basedOn w:val="yScheduleHeading"/>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2.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AD6A37-5404-4AF7-B1AD-9F1001B14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81</Pages>
  <Words>13952</Words>
  <Characters>74648</Characters>
  <Application>Microsoft Office Word</Application>
  <DocSecurity>0</DocSecurity>
  <Lines>2985</Lines>
  <Paragraphs>1640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86960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2011 - 02-l0-03</dc:title>
  <dc:subject/>
  <dc:creator/>
  <cp:keywords/>
  <dc:description/>
  <cp:lastModifiedBy>svcMRProcess</cp:lastModifiedBy>
  <cp:revision>4</cp:revision>
  <cp:lastPrinted>2019-05-01T01:45:00Z</cp:lastPrinted>
  <dcterms:created xsi:type="dcterms:W3CDTF">2019-05-01T01:47:00Z</dcterms:created>
  <dcterms:modified xsi:type="dcterms:W3CDTF">2019-05-01T01:47:00Z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AsAtDate">
    <vt:lpwstr>27 Apr 2019</vt:lpwstr>
  </property>
  <property fmtid="{D5CDD505-2E9C-101B-9397-08002B2CF9AE}" pid="7" name="Suffix">
    <vt:lpwstr>02-l0-03</vt:lpwstr>
  </property>
  <property fmtid="{D5CDD505-2E9C-101B-9397-08002B2CF9AE}" pid="8" name="CommencementDate">
    <vt:lpwstr>20190427</vt:lpwstr>
  </property>
</Properties>
</file>