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Home Building Contracts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Home Building Contracts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_Toc7185035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_Toc7185036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amounts for the purposes of “home building work contract” (section 3(1))</w:t>
      </w:r>
      <w:r>
        <w:tab/>
      </w:r>
      <w:r>
        <w:fldChar w:fldCharType="begin"/>
      </w:r>
      <w:r>
        <w:instrText xml:space="preserve"> PAGEREF _Toc7185037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Form of notice prescribed</w:t>
      </w:r>
      <w:r>
        <w:tab/>
      </w:r>
      <w:r>
        <w:fldChar w:fldCharType="begin"/>
      </w:r>
      <w:r>
        <w:instrText xml:space="preserve"> PAGEREF _Toc7185038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Home indemnity insurance maximum excess</w:t>
      </w:r>
      <w:r>
        <w:tab/>
      </w:r>
      <w:r>
        <w:fldChar w:fldCharType="begin"/>
      </w:r>
      <w:r>
        <w:instrText xml:space="preserve"> PAGEREF _Toc7185039 \h </w:instrText>
      </w:r>
      <w:r>
        <w:fldChar w:fldCharType="separate"/>
      </w:r>
      <w:r>
        <w:t>2</w:t>
      </w:r>
      <w:r>
        <w:fldChar w:fldCharType="end"/>
      </w:r>
    </w:p>
    <w:p>
      <w:pPr>
        <w:pStyle w:val="TOC8"/>
        <w:rPr>
          <w:rFonts w:asciiTheme="minorHAnsi" w:eastAsiaTheme="minorEastAsia" w:hAnsiTheme="minorHAnsi" w:cstheme="minorBidi"/>
          <w:szCs w:val="22"/>
        </w:rPr>
      </w:pPr>
      <w:r>
        <w:t>6A.</w:t>
      </w:r>
      <w:r>
        <w:tab/>
        <w:t>Prescribed building service contractors: section 25A</w:t>
      </w:r>
      <w:r>
        <w:tab/>
      </w:r>
      <w:r>
        <w:fldChar w:fldCharType="begin"/>
      </w:r>
      <w:r>
        <w:instrText xml:space="preserve"> PAGEREF _Toc7185040 \h </w:instrText>
      </w:r>
      <w:r>
        <w:fldChar w:fldCharType="separate"/>
      </w:r>
      <w:r>
        <w:t>2</w:t>
      </w:r>
      <w:r>
        <w:fldChar w:fldCharType="end"/>
      </w:r>
    </w:p>
    <w:p>
      <w:pPr>
        <w:pStyle w:val="TOC8"/>
        <w:rPr>
          <w:rFonts w:asciiTheme="minorHAnsi" w:eastAsiaTheme="minorEastAsia" w:hAnsiTheme="minorHAnsi" w:cstheme="minorBidi"/>
          <w:szCs w:val="22"/>
        </w:rPr>
      </w:pPr>
      <w:r>
        <w:t>7.</w:t>
      </w:r>
      <w:r>
        <w:tab/>
      </w:r>
      <w:r>
        <w:rPr>
          <w:spacing w:val="-4"/>
        </w:rPr>
        <w:t>Prescribed minimum amount for the purposes of section 25A</w:t>
      </w:r>
      <w:r>
        <w:tab/>
      </w:r>
      <w:r>
        <w:fldChar w:fldCharType="begin"/>
      </w:r>
      <w:r>
        <w:instrText xml:space="preserve"> PAGEREF _Toc7185041 \h </w:instrText>
      </w:r>
      <w:r>
        <w:fldChar w:fldCharType="separate"/>
      </w:r>
      <w:r>
        <w:t>2</w:t>
      </w:r>
      <w:r>
        <w:fldChar w:fldCharType="end"/>
      </w:r>
    </w:p>
    <w:p>
      <w:pPr>
        <w:pStyle w:val="TOC8"/>
        <w:rPr>
          <w:rFonts w:asciiTheme="minorHAnsi" w:eastAsiaTheme="minorEastAsia" w:hAnsiTheme="minorHAnsi" w:cstheme="minorBidi"/>
          <w:szCs w:val="22"/>
        </w:rPr>
      </w:pPr>
      <w:r>
        <w:t>7A.</w:t>
      </w:r>
      <w:r>
        <w:tab/>
        <w:t>Prescribed limit (section 25D(1)(a)(i))</w:t>
      </w:r>
      <w:r>
        <w:tab/>
      </w:r>
      <w:r>
        <w:fldChar w:fldCharType="begin"/>
      </w:r>
      <w:r>
        <w:instrText xml:space="preserve"> PAGEREF _Toc7185042 \h </w:instrText>
      </w:r>
      <w:r>
        <w:fldChar w:fldCharType="separate"/>
      </w:r>
      <w:r>
        <w:t>2</w:t>
      </w:r>
      <w:r>
        <w:fldChar w:fldCharType="end"/>
      </w:r>
    </w:p>
    <w:p>
      <w:pPr>
        <w:pStyle w:val="TOC8"/>
        <w:rPr>
          <w:rFonts w:asciiTheme="minorHAnsi" w:eastAsiaTheme="minorEastAsia" w:hAnsiTheme="minorHAnsi" w:cstheme="minorBidi"/>
          <w:szCs w:val="22"/>
        </w:rPr>
      </w:pPr>
      <w:r>
        <w:t>8.</w:t>
      </w:r>
      <w:r>
        <w:tab/>
        <w:t>Prescribed offences and modified penalties (section 31B(2) and (4))</w:t>
      </w:r>
      <w:r>
        <w:tab/>
      </w:r>
      <w:r>
        <w:fldChar w:fldCharType="begin"/>
      </w:r>
      <w:r>
        <w:instrText xml:space="preserve"> PAGEREF _Toc7185043 \h </w:instrText>
      </w:r>
      <w:r>
        <w:fldChar w:fldCharType="separate"/>
      </w:r>
      <w:r>
        <w:t>3</w:t>
      </w:r>
      <w:r>
        <w:fldChar w:fldCharType="end"/>
      </w:r>
    </w:p>
    <w:p>
      <w:pPr>
        <w:pStyle w:val="TOC8"/>
        <w:rPr>
          <w:rFonts w:asciiTheme="minorHAnsi" w:eastAsiaTheme="minorEastAsia" w:hAnsiTheme="minorHAnsi" w:cstheme="minorBidi"/>
          <w:szCs w:val="22"/>
        </w:rPr>
      </w:pPr>
      <w:r>
        <w:t>9.</w:t>
      </w:r>
      <w:r>
        <w:tab/>
        <w:t>Prescribed form of infringement notice (section 31B(3))</w:t>
      </w:r>
      <w:r>
        <w:tab/>
      </w:r>
      <w:r>
        <w:fldChar w:fldCharType="begin"/>
      </w:r>
      <w:r>
        <w:instrText xml:space="preserve"> PAGEREF _Toc7185044 \h </w:instrText>
      </w:r>
      <w:r>
        <w:fldChar w:fldCharType="separate"/>
      </w:r>
      <w:r>
        <w:t>3</w:t>
      </w:r>
      <w:r>
        <w:fldChar w:fldCharType="end"/>
      </w:r>
    </w:p>
    <w:p>
      <w:pPr>
        <w:pStyle w:val="TOC8"/>
        <w:rPr>
          <w:rFonts w:asciiTheme="minorHAnsi" w:eastAsiaTheme="minorEastAsia" w:hAnsiTheme="minorHAnsi" w:cstheme="minorBidi"/>
          <w:szCs w:val="22"/>
        </w:rPr>
      </w:pPr>
      <w:r>
        <w:t>10.</w:t>
      </w:r>
      <w:r>
        <w:tab/>
        <w:t>Prescribed form of notice withdrawing infringement notice (section 31B(7))</w:t>
      </w:r>
      <w:r>
        <w:tab/>
      </w:r>
      <w:r>
        <w:fldChar w:fldCharType="begin"/>
      </w:r>
      <w:r>
        <w:instrText xml:space="preserve"> PAGEREF _Toc7185045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9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_Toc7185049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Type">
          <w:r>
            <w:rPr>
              <w:snapToGrid w:val="0"/>
            </w:rPr>
            <w:t>Home</w:t>
          </w:r>
        </w:smartTag>
        <w:r>
          <w:rPr>
            <w:snapToGrid w:val="0"/>
          </w:rPr>
          <w:t xml:space="preserve"> </w:t>
        </w:r>
        <w:smartTag w:uri="urn:schemas-microsoft-com:office:smarttags" w:element="PlaceType">
          <w:r>
            <w:rPr>
              <w:snapToGrid w:val="0"/>
            </w:rPr>
            <w:t>Building</w:t>
          </w:r>
        </w:smartTag>
      </w:smartTag>
      <w:r>
        <w:rPr>
          <w:snapToGrid w:val="0"/>
        </w:rPr>
        <w:t xml:space="preserve"> Contracts Act 1991</w:t>
      </w:r>
    </w:p>
    <w:p>
      <w:pPr>
        <w:pStyle w:val="NameofActReg"/>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Regulations 1992</w:t>
      </w:r>
    </w:p>
    <w:p>
      <w:pPr>
        <w:pStyle w:val="Heading5"/>
        <w:rPr>
          <w:snapToGrid w:val="0"/>
        </w:rPr>
      </w:pPr>
      <w:bookmarkStart w:id="3" w:name="_Toc7185035"/>
      <w:r>
        <w:rPr>
          <w:rStyle w:val="CharSectno"/>
        </w:rPr>
        <w:t>1</w:t>
      </w:r>
      <w:r>
        <w:rPr>
          <w:snapToGrid w:val="0"/>
        </w:rPr>
        <w:t xml:space="preserve">. </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Regulations 1992</w:t>
      </w:r>
      <w:r>
        <w:rPr>
          <w:snapToGrid w:val="0"/>
        </w:rPr>
        <w:t xml:space="preserve"> </w:t>
      </w:r>
      <w:r>
        <w:rPr>
          <w:snapToGrid w:val="0"/>
          <w:vertAlign w:val="superscript"/>
        </w:rPr>
        <w:t>1</w:t>
      </w:r>
      <w:r>
        <w:rPr>
          <w:snapToGrid w:val="0"/>
        </w:rPr>
        <w:t>.</w:t>
      </w:r>
    </w:p>
    <w:p>
      <w:pPr>
        <w:pStyle w:val="Heading5"/>
        <w:rPr>
          <w:snapToGrid w:val="0"/>
        </w:rPr>
      </w:pPr>
      <w:bookmarkStart w:id="4" w:name="_Toc7185036"/>
      <w:r>
        <w:rPr>
          <w:rStyle w:val="CharSectno"/>
        </w:rPr>
        <w:t>2</w:t>
      </w:r>
      <w:r>
        <w:rPr>
          <w:snapToGrid w:val="0"/>
        </w:rPr>
        <w:t xml:space="preserve">. </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comes into operation </w:t>
      </w:r>
      <w:r>
        <w:rPr>
          <w:snapToGrid w:val="0"/>
          <w:vertAlign w:val="superscript"/>
        </w:rPr>
        <w:t>1</w:t>
      </w:r>
      <w:r>
        <w:rPr>
          <w:snapToGrid w:val="0"/>
        </w:rPr>
        <w:t>.</w:t>
      </w:r>
    </w:p>
    <w:p>
      <w:pPr>
        <w:pStyle w:val="Heading5"/>
      </w:pPr>
      <w:bookmarkStart w:id="5" w:name="_Toc7185037"/>
      <w:r>
        <w:rPr>
          <w:rStyle w:val="CharSectno"/>
        </w:rPr>
        <w:t>2A</w:t>
      </w:r>
      <w:r>
        <w:t>.</w:t>
      </w:r>
      <w:r>
        <w:tab/>
        <w:t>Prescribed amounts for the purposes of “home building work contract” (section 3(1))</w:t>
      </w:r>
      <w:bookmarkEnd w:id="5"/>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6" w:name="_Toc7185038"/>
      <w:r>
        <w:rPr>
          <w:rStyle w:val="CharSectno"/>
        </w:rPr>
        <w:t>3</w:t>
      </w:r>
      <w:r>
        <w:rPr>
          <w:snapToGrid w:val="0"/>
        </w:rPr>
        <w:t xml:space="preserve">. </w:t>
      </w:r>
      <w:r>
        <w:rPr>
          <w:snapToGrid w:val="0"/>
        </w:rPr>
        <w:tab/>
        <w:t>Form of notice prescribed</w:t>
      </w:r>
      <w:bookmarkEnd w:id="6"/>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Ednotesection"/>
        <w:spacing w:before="180"/>
      </w:pPr>
      <w:r>
        <w:t>[</w:t>
      </w:r>
      <w:r>
        <w:rPr>
          <w:b/>
        </w:rPr>
        <w:t>4, 4A.</w:t>
      </w:r>
      <w:r>
        <w:tab/>
        <w:t>Deleted: Gazette 2 Sep 2003 p. 3924.]</w:t>
      </w:r>
    </w:p>
    <w:p>
      <w:pPr>
        <w:pStyle w:val="Heading5"/>
        <w:spacing w:before="180"/>
        <w:rPr>
          <w:snapToGrid w:val="0"/>
        </w:rPr>
      </w:pPr>
      <w:bookmarkStart w:id="7" w:name="_Toc7185039"/>
      <w:r>
        <w:rPr>
          <w:rStyle w:val="CharSectno"/>
        </w:rPr>
        <w:t>5</w:t>
      </w:r>
      <w:r>
        <w:rPr>
          <w:snapToGrid w:val="0"/>
        </w:rPr>
        <w:t>.</w:t>
      </w:r>
      <w:r>
        <w:rPr>
          <w:snapToGrid w:val="0"/>
        </w:rPr>
        <w:tab/>
        <w:t>Home indemnity insurance maximum excess</w:t>
      </w:r>
      <w:bookmarkEnd w:id="7"/>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 xml:space="preserve">[Regulation 5 inserted: Gazette 24 Jan 1997 p. 544.] </w:t>
      </w:r>
    </w:p>
    <w:p>
      <w:pPr>
        <w:pStyle w:val="Ednotesection"/>
      </w:pPr>
      <w:r>
        <w:t>[</w:t>
      </w:r>
      <w:r>
        <w:rPr>
          <w:b/>
        </w:rPr>
        <w:t>6.</w:t>
      </w:r>
      <w:r>
        <w:tab/>
        <w:t>Deleted: Gazette 8 Apr 2003 p. 1104.]</w:t>
      </w:r>
    </w:p>
    <w:p>
      <w:pPr>
        <w:pStyle w:val="Heading5"/>
      </w:pPr>
      <w:bookmarkStart w:id="8" w:name="_Toc7185040"/>
      <w:r>
        <w:rPr>
          <w:rStyle w:val="CharSectno"/>
        </w:rPr>
        <w:t>6A</w:t>
      </w:r>
      <w:r>
        <w:t>.</w:t>
      </w:r>
      <w:r>
        <w:tab/>
        <w:t>Prescribed building service contractors: section 25A</w:t>
      </w:r>
      <w:bookmarkEnd w:id="8"/>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9" w:name="_Toc7185041"/>
      <w:r>
        <w:t>7.</w:t>
      </w:r>
      <w:r>
        <w:tab/>
      </w:r>
      <w:r>
        <w:rPr>
          <w:spacing w:val="-4"/>
        </w:rPr>
        <w:t>Prescribed minimum amount for the purposes of section 25A</w:t>
      </w:r>
      <w:bookmarkEnd w:id="9"/>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Heading5"/>
      </w:pPr>
      <w:bookmarkStart w:id="10" w:name="_Toc7185042"/>
      <w:r>
        <w:rPr>
          <w:rStyle w:val="CharSectno"/>
        </w:rPr>
        <w:t>7A</w:t>
      </w:r>
      <w:r>
        <w:t>.</w:t>
      </w:r>
      <w:r>
        <w:tab/>
        <w:t>Prescribed limit (section 25D(1)(a)(i))</w:t>
      </w:r>
      <w:bookmarkEnd w:id="10"/>
    </w:p>
    <w:p>
      <w:pPr>
        <w:pStyle w:val="Subsection"/>
      </w:pPr>
      <w:r>
        <w:tab/>
      </w:r>
      <w:r>
        <w:tab/>
        <w:t>For the purposes of section 25D(1)(a)(i) of the Act, the limit is prescribed to be $20 000.</w:t>
      </w:r>
    </w:p>
    <w:p>
      <w:pPr>
        <w:pStyle w:val="Footnotesection"/>
      </w:pPr>
      <w:r>
        <w:tab/>
        <w:t>[Regulation 7A inserted: Gazette 29 Jun 2007 p. 3191.]</w:t>
      </w:r>
    </w:p>
    <w:p>
      <w:pPr>
        <w:pStyle w:val="Heading5"/>
        <w:keepNext w:val="0"/>
        <w:keepLines w:val="0"/>
        <w:spacing w:before="180"/>
      </w:pPr>
      <w:bookmarkStart w:id="11" w:name="_Toc7185043"/>
      <w:r>
        <w:rPr>
          <w:rStyle w:val="CharSectno"/>
        </w:rPr>
        <w:t>8</w:t>
      </w:r>
      <w:r>
        <w:t>.</w:t>
      </w:r>
      <w:r>
        <w:tab/>
        <w:t>Prescribed offences and modified penalties (section 31B(2) and (4))</w:t>
      </w:r>
      <w:bookmarkEnd w:id="11"/>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12" w:name="_Toc7185044"/>
      <w:r>
        <w:rPr>
          <w:rStyle w:val="CharSectno"/>
        </w:rPr>
        <w:t>9</w:t>
      </w:r>
      <w:r>
        <w:t>.</w:t>
      </w:r>
      <w:r>
        <w:tab/>
        <w:t>Prescribed form of infringement notice (section 31B(3))</w:t>
      </w:r>
      <w:bookmarkEnd w:id="12"/>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13" w:name="_Toc7185045"/>
      <w:r>
        <w:rPr>
          <w:rStyle w:val="CharSectno"/>
        </w:rPr>
        <w:t>10</w:t>
      </w:r>
      <w:r>
        <w:t>.</w:t>
      </w:r>
      <w:r>
        <w:tab/>
        <w:t>Prescribed form of notice withdrawing infringement notice (section 31B(7))</w:t>
      </w:r>
      <w:bookmarkEnd w:id="13"/>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4" w:name="_Toc7185046"/>
      <w:r>
        <w:rPr>
          <w:rStyle w:val="CharSchNo"/>
        </w:rPr>
        <w:t>Schedule 1</w:t>
      </w:r>
      <w:bookmarkEnd w:id="14"/>
    </w:p>
    <w:p>
      <w:pPr>
        <w:pStyle w:val="yShoulderClause"/>
      </w:pPr>
      <w:r>
        <w:t>[r. 3]</w:t>
      </w:r>
    </w:p>
    <w:p>
      <w:pPr>
        <w:pStyle w:val="yMiscellaneousHeading"/>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Heading"/>
        <w:rPr>
          <w:b/>
        </w:rPr>
      </w:pPr>
      <w:r>
        <w:rPr>
          <w:b/>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$20 000);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The Building Commission staff</w:t>
      </w:r>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The builder is required to take out home indemnity insurance in relation to a cost plus contract to cover you and any subsequent owner against financial loss where an order made against the builder is not enforceable due to the insolvency, death or disappearance of the builder.</w:t>
      </w:r>
    </w:p>
    <w:p>
      <w:pPr>
        <w:pStyle w:val="yMiscellaneousBody"/>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ind w:left="1134" w:hanging="1134"/>
      </w:pPr>
      <w:r>
        <w:tab/>
        <w:t>(a)</w:t>
      </w:r>
      <w:r>
        <w:tab/>
        <w:t>a deposit before the work begins of no more than 6.5% of the contract price; 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within 10 working days after receiving the notice, make a complaint about the matter to the Building Commissioner.</w:t>
            </w:r>
          </w:p>
        </w:tc>
      </w:tr>
    </w:tbl>
    <w:p>
      <w:pPr>
        <w:pStyle w:val="yMiscellaneousBody"/>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 xml:space="preserve">Advice on how to make a complaint to the Building Commissioner and related matters may be obtained from Building Commission staff or from the Building Commission’s website at </w:t>
      </w:r>
      <w:r>
        <w:rPr>
          <w:szCs w:val="22"/>
        </w:rPr>
        <w:t>www.buildingcommission.wa.gov.au.</w:t>
      </w:r>
    </w:p>
    <w:p>
      <w:pPr>
        <w:pStyle w:val="yFootnotesection"/>
      </w:pPr>
      <w:r>
        <w:tab/>
        <w:t>[Schedule 1 inserted: Gazette 2 Sep 2003 p. 3924</w:t>
      </w:r>
      <w:r>
        <w:noBreakHyphen/>
        <w:t>30; amended: Gazette 29 Jun 2007 p. 3191</w:t>
      </w:r>
      <w:r>
        <w:noBreakHyphen/>
        <w:t>2; 8 May 2012 p. 1888-91; 12 Feb 2013 p. 921.]</w:t>
      </w:r>
    </w:p>
    <w:p>
      <w:pPr>
        <w:pStyle w:val="yEdnoteschedule"/>
        <w:rPr>
          <w:snapToGrid/>
        </w:rPr>
      </w:pPr>
      <w:r>
        <w:rPr>
          <w:snapToGrid/>
        </w:rPr>
        <w:t>[Schedules 2</w:t>
      </w:r>
      <w:r>
        <w:rPr>
          <w:snapToGrid/>
        </w:rPr>
        <w:noBreakHyphen/>
        <w:t>8 deleted: Gazette 2 Sep 2003 p. 3930.]</w:t>
      </w:r>
    </w:p>
    <w:p>
      <w:pPr>
        <w:pStyle w:val="yScheduleHeading"/>
      </w:pPr>
      <w:bookmarkStart w:id="15" w:name="_Toc7185047"/>
      <w:r>
        <w:rPr>
          <w:rStyle w:val="CharSchNo"/>
        </w:rPr>
        <w:t>Schedule 9</w:t>
      </w:r>
      <w:r>
        <w:t> — </w:t>
      </w:r>
      <w:r>
        <w:rPr>
          <w:rStyle w:val="CharSchText"/>
        </w:rPr>
        <w:t>Prescribed forms</w:t>
      </w:r>
      <w:bookmarkEnd w:id="15"/>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jc w:val="center"/>
      </w:pPr>
      <w:r>
        <w:rPr>
          <w:rStyle w:val="CharSClsNo"/>
          <w:b/>
        </w:rPr>
        <w:t>Form 2</w:t>
      </w:r>
    </w:p>
    <w:p>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 xml:space="preserve">Building Services Board </w:t>
            </w:r>
            <w:r>
              <w:t xml:space="preserve">for the amount of the modified penalty stated in item 2, to the Corporate Services Manager, </w:t>
            </w:r>
            <w:r>
              <w:rPr>
                <w:szCs w:val="22"/>
              </w:rPr>
              <w:t>Building Services Board,</w:t>
            </w:r>
            <w:r>
              <w:t xml:space="preserve"> 18 Harvest Terrace, West Perth WA 6005; </w:t>
            </w:r>
            <w:r>
              <w:rPr>
                <w:b/>
              </w:rPr>
              <w:t>or</w:t>
            </w:r>
          </w:p>
          <w:p>
            <w:pPr>
              <w:pStyle w:val="yTable"/>
              <w:tabs>
                <w:tab w:val="left" w:pos="318"/>
                <w:tab w:val="left" w:pos="743"/>
              </w:tabs>
              <w:ind w:left="743" w:hanging="743"/>
            </w:pPr>
            <w:r>
              <w:tab/>
              <w:t>(b)</w:t>
            </w:r>
            <w:r>
              <w:tab/>
              <w:t xml:space="preserve">delivering this form, and paying the amount of the modified penalty stated in item 2, to an authorised person* at the Building Services Board, 18 Harvest Terrace, </w:t>
            </w: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pPr>
              <w:pStyle w:val="yTable"/>
              <w:ind w:left="743"/>
              <w:rPr>
                <w:sz w:val="20"/>
              </w:rPr>
            </w:pPr>
            <w:r>
              <w:rPr>
                <w:sz w:val="20"/>
              </w:rPr>
              <w:t>[*Authorised persons for the purposes of paragraph (b) are the Registrar, the Deputy Registrar and the Corporate Services Manager of the Building Services Board.</w:t>
            </w:r>
          </w:p>
        </w:tc>
      </w:tr>
    </w:tbl>
    <w:p>
      <w:pPr>
        <w:pStyle w:val="yFootnotesection"/>
      </w:pPr>
      <w:r>
        <w:tab/>
        <w:t>[Form 2 inserted: Gazette 31 Jul 2001 p. 3950; amended: Gazette 26 Apr 2019 p. 1222.]</w:t>
      </w:r>
    </w:p>
    <w:p>
      <w:pPr>
        <w:pStyle w:val="yMiscellaneousBody"/>
        <w:pageBreakBefore/>
        <w:jc w:val="center"/>
        <w:rPr>
          <w:caps/>
        </w:rPr>
      </w:pPr>
      <w:r>
        <w:rPr>
          <w:rStyle w:val="CharSClsNo"/>
          <w:b/>
        </w:rPr>
        <w:t>Form 3</w:t>
      </w:r>
    </w:p>
    <w:p>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7" w:name="_Toc7185048"/>
      <w:r>
        <w:t>Notes</w:t>
      </w:r>
      <w:bookmarkEnd w:id="17"/>
    </w:p>
    <w:p>
      <w:pPr>
        <w:pStyle w:val="nSubsection"/>
        <w:spacing w:after="40"/>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7185049"/>
      <w:r>
        <w:rPr>
          <w:snapToGrid w:val="0"/>
        </w:rPr>
        <w:t>Compilation table</w:t>
      </w:r>
      <w:bookmarkEnd w:id="18"/>
    </w:p>
    <w:tbl>
      <w:tblPr>
        <w:tblW w:w="7088" w:type="dxa"/>
        <w:tblInd w:w="28" w:type="dxa"/>
        <w:tblLayout w:type="fixed"/>
        <w:tblCellMar>
          <w:left w:w="56" w:type="dxa"/>
          <w:right w:w="56" w:type="dxa"/>
        </w:tblCellMar>
        <w:tblLook w:val="0000" w:firstRow="0" w:lastRow="0" w:firstColumn="0" w:lastColumn="0" w:noHBand="0" w:noVBand="0"/>
      </w:tblPr>
      <w:tblGrid>
        <w:gridCol w:w="3118"/>
        <w:gridCol w:w="1277"/>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rPr>
          <w:cantSplit/>
        </w:trPr>
        <w:tc>
          <w:tcPr>
            <w:tcW w:w="7088" w:type="dxa"/>
            <w:gridSpan w:val="3"/>
          </w:tcPr>
          <w:p>
            <w:pPr>
              <w:pStyle w:val="nTable"/>
              <w:spacing w:after="40"/>
              <w:rPr>
                <w:b/>
              </w:rPr>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r>
              <w:rPr>
                <w:b/>
              </w:rPr>
              <w:t xml:space="preserve"> as at 17 Oct 1997 </w:t>
            </w:r>
            <w:r>
              <w:rPr>
                <w:b/>
              </w:rPr>
              <w:br/>
            </w:r>
            <w:r>
              <w:t>(includes amendments listed above)</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rPr>
          <w:cantSplit/>
        </w:trPr>
        <w:tc>
          <w:tcPr>
            <w:tcW w:w="3118" w:type="dxa"/>
          </w:tcPr>
          <w:p>
            <w:pPr>
              <w:pStyle w:val="nTable"/>
              <w:spacing w:after="40"/>
              <w:ind w:right="113"/>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rPr>
          <w:cantSplit/>
        </w:trPr>
        <w:tc>
          <w:tcPr>
            <w:tcW w:w="3118" w:type="dxa"/>
          </w:tcPr>
          <w:p>
            <w:pPr>
              <w:pStyle w:val="nTable"/>
              <w:spacing w:after="40"/>
              <w:ind w:right="113"/>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rPr>
          <w:cantSplit/>
        </w:trPr>
        <w:tc>
          <w:tcPr>
            <w:tcW w:w="3118" w:type="dxa"/>
          </w:tcPr>
          <w:p>
            <w:pPr>
              <w:pStyle w:val="nTable"/>
              <w:spacing w:after="40"/>
              <w:ind w:right="113"/>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rPr>
          <w:cantSplit/>
        </w:trPr>
        <w:tc>
          <w:tcPr>
            <w:tcW w:w="7088" w:type="dxa"/>
            <w:gridSpan w:val="3"/>
          </w:tcPr>
          <w:p>
            <w:pPr>
              <w:pStyle w:val="nTable"/>
              <w:spacing w:after="4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r>
              <w:rPr>
                <w:b/>
              </w:rPr>
              <w:t xml:space="preserve"> as at 7 Jun 2002 </w:t>
            </w:r>
            <w:r>
              <w:rPr>
                <w:b/>
              </w:rPr>
              <w:br/>
            </w:r>
            <w:r>
              <w:t>(includes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rPr>
          <w:cantSplit/>
        </w:trPr>
        <w:tc>
          <w:tcPr>
            <w:tcW w:w="3118" w:type="dxa"/>
          </w:tcPr>
          <w:p>
            <w:pPr>
              <w:pStyle w:val="nTable"/>
              <w:keepLines/>
              <w:spacing w:after="40"/>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rPr>
          <w:cantSplit/>
        </w:trPr>
        <w:tc>
          <w:tcPr>
            <w:tcW w:w="7088" w:type="dxa"/>
            <w:gridSpan w:val="3"/>
          </w:tcPr>
          <w:p>
            <w:pPr>
              <w:pStyle w:val="nTable"/>
              <w:keepLines/>
              <w:spacing w:after="40"/>
              <w:rPr>
                <w:b/>
              </w:rPr>
            </w:pPr>
            <w:r>
              <w:rPr>
                <w:b/>
              </w:rPr>
              <w:t xml:space="preserve">Reprint 3: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r>
              <w:rPr>
                <w:b/>
              </w:rPr>
              <w:t xml:space="preserve"> as at 1 Feb 2008 </w:t>
            </w:r>
            <w:r>
              <w:rPr>
                <w:b/>
              </w:rPr>
              <w:br/>
            </w:r>
            <w:r>
              <w:t>(includes amendments listed above)</w:t>
            </w:r>
          </w:p>
        </w:tc>
      </w:tr>
      <w:tr>
        <w:trPr>
          <w:cantSplit/>
        </w:trPr>
        <w:tc>
          <w:tcPr>
            <w:tcW w:w="3118" w:type="dxa"/>
          </w:tcPr>
          <w:p>
            <w:pPr>
              <w:pStyle w:val="nTable"/>
              <w:keepLines/>
              <w:spacing w:after="40"/>
              <w:rPr>
                <w:b/>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2011</w:t>
            </w:r>
          </w:p>
        </w:tc>
        <w:tc>
          <w:tcPr>
            <w:tcW w:w="1277" w:type="dxa"/>
          </w:tcPr>
          <w:p>
            <w:pPr>
              <w:spacing w:before="40" w:after="40"/>
              <w:rPr>
                <w:sz w:val="19"/>
              </w:rPr>
            </w:pPr>
            <w:r>
              <w:rPr>
                <w:sz w:val="19"/>
              </w:rPr>
              <w:t>26 Aug 2011 p. 3477</w:t>
            </w:r>
            <w:r>
              <w:rPr>
                <w:sz w:val="19"/>
              </w:rPr>
              <w:noBreakHyphen/>
              <w:t>8</w:t>
            </w:r>
          </w:p>
        </w:tc>
        <w:tc>
          <w:tcPr>
            <w:tcW w:w="2693" w:type="dxa"/>
          </w:tcPr>
          <w:p>
            <w:pPr>
              <w:spacing w:before="40" w:after="40"/>
              <w:rPr>
                <w:sz w:val="19"/>
              </w:rPr>
            </w:pPr>
            <w:r>
              <w:rPr>
                <w:sz w:val="19"/>
              </w:rPr>
              <w:t>r. 1 and 2: 26 Aug 2011 (see r. 2(a));</w:t>
            </w:r>
            <w:r>
              <w:rPr>
                <w:sz w:val="19"/>
              </w:rPr>
              <w:br/>
              <w:t xml:space="preserve">Regulations other than r. 1 and 2: 29 Aug 2011 (see r. 2(b) and </w:t>
            </w:r>
            <w:r>
              <w:rPr>
                <w:i/>
                <w:sz w:val="19"/>
              </w:rPr>
              <w:t>Gazette</w:t>
            </w:r>
            <w:r>
              <w:rPr>
                <w:sz w:val="19"/>
              </w:rPr>
              <w:t xml:space="preserve"> 26 Aug 2011 p. 3475</w:t>
            </w:r>
            <w:r>
              <w:rPr>
                <w:sz w:val="19"/>
              </w:rPr>
              <w:noBreakHyphen/>
              <w:t>6)</w:t>
            </w:r>
          </w:p>
        </w:tc>
      </w:tr>
      <w:tr>
        <w:trPr>
          <w:cantSplit/>
        </w:trPr>
        <w:tc>
          <w:tcPr>
            <w:tcW w:w="3118" w:type="dxa"/>
            <w:shd w:val="clear" w:color="auto" w:fill="auto"/>
          </w:tcPr>
          <w:p>
            <w:pPr>
              <w:pStyle w:val="nTable"/>
              <w:keepLines/>
              <w:spacing w:after="40"/>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2012</w:t>
            </w:r>
          </w:p>
        </w:tc>
        <w:tc>
          <w:tcPr>
            <w:tcW w:w="1277" w:type="dxa"/>
            <w:shd w:val="clear" w:color="auto" w:fill="auto"/>
          </w:tcPr>
          <w:p>
            <w:pPr>
              <w:spacing w:before="40" w:after="40"/>
              <w:rPr>
                <w:sz w:val="19"/>
              </w:rPr>
            </w:pPr>
            <w:r>
              <w:rPr>
                <w:sz w:val="19"/>
              </w:rPr>
              <w:t>8 May 2012 p. 1888-91</w:t>
            </w:r>
          </w:p>
        </w:tc>
        <w:tc>
          <w:tcPr>
            <w:tcW w:w="2693" w:type="dxa"/>
            <w:shd w:val="clear" w:color="auto" w:fill="auto"/>
          </w:tcPr>
          <w:p>
            <w:pPr>
              <w:spacing w:before="40" w:after="40"/>
              <w:rPr>
                <w:sz w:val="19"/>
              </w:rPr>
            </w:pPr>
            <w:r>
              <w:rPr>
                <w:sz w:val="19"/>
              </w:rPr>
              <w:t>r. 1 and 2: 8 May 2012 (see r. 2(a));</w:t>
            </w:r>
            <w:r>
              <w:rPr>
                <w:sz w:val="19"/>
              </w:rPr>
              <w:br/>
              <w:t>Regulations other than r. 1 and 2: 9 May 2012 (see r. 2(b))</w:t>
            </w:r>
          </w:p>
        </w:tc>
      </w:tr>
      <w:tr>
        <w:trPr>
          <w:cantSplit/>
        </w:trPr>
        <w:tc>
          <w:tcPr>
            <w:tcW w:w="3118" w:type="dxa"/>
            <w:shd w:val="clear" w:color="auto" w:fill="auto"/>
          </w:tcPr>
          <w:p>
            <w:pPr>
              <w:pStyle w:val="nTable"/>
              <w:keepLines/>
              <w:spacing w:after="40"/>
              <w:rPr>
                <w:i/>
              </w:rPr>
            </w:pPr>
            <w:r>
              <w:rPr>
                <w:i/>
              </w:rPr>
              <w:t>Home Building Contracts Amendment Regulations 2013</w:t>
            </w:r>
          </w:p>
        </w:tc>
        <w:tc>
          <w:tcPr>
            <w:tcW w:w="1277" w:type="dxa"/>
            <w:shd w:val="clear" w:color="auto" w:fill="auto"/>
          </w:tcPr>
          <w:p>
            <w:pPr>
              <w:spacing w:before="40" w:after="40"/>
              <w:rPr>
                <w:sz w:val="19"/>
              </w:rPr>
            </w:pPr>
            <w:r>
              <w:rPr>
                <w:sz w:val="19"/>
              </w:rPr>
              <w:t>12 Feb 2013 p. 920-1</w:t>
            </w:r>
          </w:p>
        </w:tc>
        <w:tc>
          <w:tcPr>
            <w:tcW w:w="2693" w:type="dxa"/>
            <w:shd w:val="clear" w:color="auto" w:fill="auto"/>
          </w:tcPr>
          <w:p>
            <w:pPr>
              <w:spacing w:before="40" w:after="40"/>
              <w:rPr>
                <w:i/>
                <w:sz w:val="19"/>
              </w:rPr>
            </w:pPr>
            <w:r>
              <w:rPr>
                <w:sz w:val="19"/>
              </w:rPr>
              <w:t>r. 1 and 2: 12 Feb 2013 (see r. 2(a));</w:t>
            </w:r>
            <w:r>
              <w:rPr>
                <w:sz w:val="19"/>
              </w:rPr>
              <w:br/>
              <w:t>Regulations other than r. 1 and 2: 13 Feb 2013 (see r. 2(b))</w:t>
            </w:r>
          </w:p>
        </w:tc>
      </w:tr>
      <w:tr>
        <w:tblPrEx>
          <w:tblBorders>
            <w:top w:val="single" w:sz="4" w:space="0" w:color="auto"/>
            <w:bottom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t xml:space="preserve">Commerce Regulations Amendment (Infringement Notices) Regulations 2019 </w:t>
            </w:r>
            <w:r>
              <w:t>Pt. 5</w:t>
            </w:r>
          </w:p>
        </w:tc>
        <w:tc>
          <w:tcPr>
            <w:tcW w:w="1277" w:type="dxa"/>
            <w:tcBorders>
              <w:top w:val="nil"/>
              <w:bottom w:val="single" w:sz="4" w:space="0" w:color="auto"/>
            </w:tcBorders>
          </w:tcPr>
          <w:p>
            <w:pPr>
              <w:pStyle w:val="nTable"/>
              <w:spacing w:after="40"/>
            </w:pPr>
            <w:r>
              <w:t>26 Apr 2019 p. 1209-22</w:t>
            </w:r>
          </w:p>
        </w:tc>
        <w:tc>
          <w:tcPr>
            <w:tcW w:w="2693" w:type="dxa"/>
            <w:tcBorders>
              <w:top w:val="nil"/>
              <w:bottom w:val="single" w:sz="4" w:space="0" w:color="auto"/>
            </w:tcBorders>
          </w:tcPr>
          <w:p>
            <w:pPr>
              <w:pStyle w:val="nTable"/>
              <w:spacing w:after="40"/>
              <w:rPr>
                <w:bCs/>
                <w:snapToGrid w:val="0"/>
                <w:spacing w:val="-2"/>
              </w:rPr>
            </w:pPr>
            <w:r>
              <w:rPr>
                <w:bCs/>
                <w:snapToGrid w:val="0"/>
                <w:spacing w:val="-2"/>
              </w:rPr>
              <w:t>27 Apr 2019 (see r. 2(b))</w:t>
            </w:r>
          </w:p>
        </w:tc>
      </w:tr>
    </w:tbl>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10</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2</w:t>
          </w:r>
          <w:r>
            <w:rPr>
              <w:b/>
            </w:rPr>
            <w:fldChar w:fldCharType="end"/>
          </w: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6C6ED8"/>
    <w:lvl w:ilvl="0">
      <w:start w:val="1"/>
      <w:numFmt w:val="decimal"/>
      <w:lvlText w:val="%1."/>
      <w:lvlJc w:val="left"/>
      <w:pPr>
        <w:tabs>
          <w:tab w:val="num" w:pos="1800"/>
        </w:tabs>
        <w:ind w:left="1800" w:hanging="360"/>
      </w:pPr>
    </w:lvl>
  </w:abstractNum>
  <w:abstractNum w:abstractNumId="1">
    <w:nsid w:val="FFFFFF7D"/>
    <w:multiLevelType w:val="singleLevel"/>
    <w:tmpl w:val="4156D5E8"/>
    <w:lvl w:ilvl="0">
      <w:start w:val="1"/>
      <w:numFmt w:val="decimal"/>
      <w:lvlText w:val="%1."/>
      <w:lvlJc w:val="left"/>
      <w:pPr>
        <w:tabs>
          <w:tab w:val="num" w:pos="1440"/>
        </w:tabs>
        <w:ind w:left="1440" w:hanging="360"/>
      </w:pPr>
    </w:lvl>
  </w:abstractNum>
  <w:abstractNum w:abstractNumId="2">
    <w:nsid w:val="FFFFFF7E"/>
    <w:multiLevelType w:val="singleLevel"/>
    <w:tmpl w:val="E5440F6E"/>
    <w:lvl w:ilvl="0">
      <w:start w:val="1"/>
      <w:numFmt w:val="decimal"/>
      <w:lvlText w:val="%1."/>
      <w:lvlJc w:val="left"/>
      <w:pPr>
        <w:tabs>
          <w:tab w:val="num" w:pos="1080"/>
        </w:tabs>
        <w:ind w:left="1080" w:hanging="360"/>
      </w:pPr>
    </w:lvl>
  </w:abstractNum>
  <w:abstractNum w:abstractNumId="3">
    <w:nsid w:val="FFFFFF7F"/>
    <w:multiLevelType w:val="singleLevel"/>
    <w:tmpl w:val="9B6E54DC"/>
    <w:lvl w:ilvl="0">
      <w:start w:val="1"/>
      <w:numFmt w:val="decimal"/>
      <w:lvlText w:val="%1."/>
      <w:lvlJc w:val="left"/>
      <w:pPr>
        <w:tabs>
          <w:tab w:val="num" w:pos="720"/>
        </w:tabs>
        <w:ind w:left="720" w:hanging="360"/>
      </w:pPr>
    </w:lvl>
  </w:abstractNum>
  <w:abstractNum w:abstractNumId="4">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AD6C074"/>
    <w:lvl w:ilvl="0">
      <w:start w:val="1"/>
      <w:numFmt w:val="decimal"/>
      <w:lvlText w:val="%1."/>
      <w:lvlJc w:val="left"/>
      <w:pPr>
        <w:tabs>
          <w:tab w:val="num" w:pos="360"/>
        </w:tabs>
        <w:ind w:left="360" w:hanging="360"/>
      </w:pPr>
    </w:lvl>
  </w:abstractNum>
  <w:abstractNum w:abstractNumId="9">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26102245"/>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 w:name="WAFER_20190426102245" w:val="RemoveTocBookmarks,RemoveUnusedBookmarks,RemoveLanguageTags,ResetPageSize,RunningHeaders,UpdateStyles,UsedStyles"/>
    <w:docVar w:name="WAFER_20190426102245_GUID" w:val="56dec571-5a55-4243-8853-9bdb69a94b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4341</Words>
  <Characters>22226</Characters>
  <Application>Microsoft Office Word</Application>
  <DocSecurity>0</DocSecurity>
  <Lines>653</Lines>
  <Paragraphs>402</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26165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1992 - 03-e0-01</dc:title>
  <dc:subject/>
  <dc:creator/>
  <cp:keywords/>
  <dc:description/>
  <cp:lastModifiedBy>svcMRProcess</cp:lastModifiedBy>
  <cp:revision>4</cp:revision>
  <cp:lastPrinted>2012-05-07T04:04:00Z</cp:lastPrinted>
  <dcterms:created xsi:type="dcterms:W3CDTF">2019-04-29T02:12:00Z</dcterms:created>
  <dcterms:modified xsi:type="dcterms:W3CDTF">2019-04-29T02:12:00Z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DocumentType">
    <vt:lpwstr>Reg</vt:lpwstr>
  </property>
  <property fmtid="{D5CDD505-2E9C-101B-9397-08002B2CF9AE}" pid="4" name="OwlsUID">
    <vt:i4>4507</vt:i4>
  </property>
  <property fmtid="{D5CDD505-2E9C-101B-9397-08002B2CF9AE}" pid="5" name="ReprintedAsAt">
    <vt:filetime>2008-01-31T15:00:00Z</vt:filetime>
  </property>
  <property fmtid="{D5CDD505-2E9C-101B-9397-08002B2CF9AE}" pid="6" name="ReprintNo">
    <vt:lpwstr>3</vt:lpwstr>
  </property>
  <property fmtid="{D5CDD505-2E9C-101B-9397-08002B2CF9AE}" pid="7" name="AsAtDate">
    <vt:lpwstr>27 Apr 2019</vt:lpwstr>
  </property>
  <property fmtid="{D5CDD505-2E9C-101B-9397-08002B2CF9AE}" pid="8" name="Suffix">
    <vt:lpwstr>03-e0-01</vt:lpwstr>
  </property>
  <property fmtid="{D5CDD505-2E9C-101B-9397-08002B2CF9AE}" pid="9" name="CommencementDate">
    <vt:lpwstr>20190427</vt:lpwstr>
  </property>
</Properties>
</file>