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_Toc7510677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_Toc7510678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_Toc7510679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_Toc7510680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_Toc7510682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_Toc7510683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_Toc7510684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_Toc7510685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_Toc7510686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_Toc7510687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_Toc7510688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_Toc7510689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_Toc7510690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_Toc7510691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_Toc7510692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_Toc7510693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_Toc7510694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_Toc7510696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_Toc7510697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_Toc7510698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_Toc7510699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_Toc7510700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_Toc7510701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_Toc7510702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_Toc7510703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_Toc7510704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_Toc7510705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_Toc7510706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_Toc7510707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_Toc7510708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_Toc7510709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_Toc7510710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_Toc7510711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_Toc7510712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_Toc7510713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_Toc7510714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_Toc7510718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_Toc7510719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_Toc7510720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_Toc7510721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_Toc7510722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_Toc7510723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_Toc7510724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_Toc7510725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_Toc7510726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_Toc7510728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_Toc7510730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_Toc7510732 \h </w:instrText>
      </w:r>
      <w:r>
        <w:fldChar w:fldCharType="separate"/>
      </w:r>
      <w:r>
        <w:t>44</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_Toc7510733 \h </w:instrText>
      </w:r>
      <w:r>
        <w:fldChar w:fldCharType="separate"/>
      </w:r>
      <w:r>
        <w:t>45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_Toc7510734 \h </w:instrText>
      </w:r>
      <w:r>
        <w:fldChar w:fldCharType="separate"/>
      </w:r>
      <w:r>
        <w:t>46</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_Toc7510735 \h </w:instrText>
      </w:r>
      <w:r>
        <w:fldChar w:fldCharType="separate"/>
      </w:r>
      <w:r>
        <w:t>47</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_Toc7510736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_Toc7510738 \h </w:instrText>
      </w:r>
      <w:r>
        <w:fldChar w:fldCharType="separate"/>
      </w:r>
      <w:r>
        <w:t>49</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_Toc7510739 \h </w:instrText>
      </w:r>
      <w:r>
        <w:fldChar w:fldCharType="separate"/>
      </w:r>
      <w:r>
        <w:t>49</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_Toc7510740 \h </w:instrText>
      </w:r>
      <w:r>
        <w:fldChar w:fldCharType="separate"/>
      </w:r>
      <w:r>
        <w:t>50</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_Toc7510741 \h </w:instrText>
      </w:r>
      <w:r>
        <w:fldChar w:fldCharType="separate"/>
      </w:r>
      <w:r>
        <w:t>51</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_Toc7510742 \h </w:instrText>
      </w:r>
      <w:r>
        <w:fldChar w:fldCharType="separate"/>
      </w:r>
      <w:r>
        <w:t>52</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_Toc7510743 \h </w:instrText>
      </w:r>
      <w:r>
        <w:fldChar w:fldCharType="separate"/>
      </w:r>
      <w:r>
        <w:t>52</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_Toc7510744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_Toc7510746 \h </w:instrText>
      </w:r>
      <w:r>
        <w:fldChar w:fldCharType="separate"/>
      </w:r>
      <w:r>
        <w:t>55</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_Toc7510747 \h </w:instrText>
      </w:r>
      <w:r>
        <w:fldChar w:fldCharType="separate"/>
      </w:r>
      <w:r>
        <w:t>56</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_Toc7510748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_Toc7510750 \h </w:instrText>
      </w:r>
      <w:r>
        <w:fldChar w:fldCharType="separate"/>
      </w:r>
      <w:r>
        <w:t>58</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_Toc7510751 \h </w:instrText>
      </w:r>
      <w:r>
        <w:fldChar w:fldCharType="separate"/>
      </w:r>
      <w:r>
        <w:t>58</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_Toc7510752 \h </w:instrText>
      </w:r>
      <w:r>
        <w:fldChar w:fldCharType="separate"/>
      </w:r>
      <w:r>
        <w:t>58</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_Toc7510753 \h </w:instrText>
      </w:r>
      <w:r>
        <w:fldChar w:fldCharType="separate"/>
      </w:r>
      <w:r>
        <w:t>59</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_Toc7510754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_Toc7510757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_Toc7510759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_Toc7510761 \h </w:instrText>
      </w:r>
      <w:r>
        <w:fldChar w:fldCharType="separate"/>
      </w:r>
      <w:r>
        <w:t>65</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_Toc7510762 \h </w:instrText>
      </w:r>
      <w:r>
        <w:fldChar w:fldCharType="separate"/>
      </w:r>
      <w:r>
        <w:t>65</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_Toc7510763 \h </w:instrText>
      </w:r>
      <w:r>
        <w:fldChar w:fldCharType="separate"/>
      </w:r>
      <w:r>
        <w:t>65</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_Toc7510764 \h </w:instrText>
      </w:r>
      <w:r>
        <w:fldChar w:fldCharType="separate"/>
      </w:r>
      <w:r>
        <w:t>67</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_Toc7510765 \h </w:instrText>
      </w:r>
      <w:r>
        <w:fldChar w:fldCharType="separate"/>
      </w:r>
      <w:r>
        <w:t>68</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_Toc7510766 \h </w:instrText>
      </w:r>
      <w:r>
        <w:fldChar w:fldCharType="separate"/>
      </w:r>
      <w:r>
        <w:t>69</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_Toc7510767 \h </w:instrText>
      </w:r>
      <w:r>
        <w:fldChar w:fldCharType="separate"/>
      </w:r>
      <w:r>
        <w:t>69</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_Toc7510768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_Toc7510770 \h </w:instrText>
      </w:r>
      <w:r>
        <w:fldChar w:fldCharType="separate"/>
      </w:r>
      <w:r>
        <w:t>70</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_Toc7510771 \h </w:instrText>
      </w:r>
      <w:r>
        <w:fldChar w:fldCharType="separate"/>
      </w:r>
      <w:r>
        <w:t>72</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_Toc7510772 \h </w:instrText>
      </w:r>
      <w:r>
        <w:fldChar w:fldCharType="separate"/>
      </w:r>
      <w:r>
        <w:t>73</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_Toc7510773 \h </w:instrText>
      </w:r>
      <w:r>
        <w:fldChar w:fldCharType="separate"/>
      </w:r>
      <w:r>
        <w:t>74</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_Toc7510774 \h </w:instrText>
      </w:r>
      <w:r>
        <w:fldChar w:fldCharType="separate"/>
      </w:r>
      <w:r>
        <w:t>74</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_Toc7510775 \h </w:instrText>
      </w:r>
      <w:r>
        <w:fldChar w:fldCharType="separate"/>
      </w:r>
      <w:r>
        <w:t>74</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_Toc7510776 \h </w:instrText>
      </w:r>
      <w:r>
        <w:fldChar w:fldCharType="separate"/>
      </w:r>
      <w:r>
        <w:t>76</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_Toc7510777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_Toc7510779 \h </w:instrText>
      </w:r>
      <w:r>
        <w:fldChar w:fldCharType="separate"/>
      </w:r>
      <w:r>
        <w:t>79</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_Toc7510780 \h </w:instrText>
      </w:r>
      <w:r>
        <w:fldChar w:fldCharType="separate"/>
      </w:r>
      <w:r>
        <w:t>79</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_Toc7510781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_Toc7510783 \h </w:instrText>
      </w:r>
      <w:r>
        <w:fldChar w:fldCharType="separate"/>
      </w:r>
      <w:r>
        <w:t>81</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_Toc7510784 \h </w:instrText>
      </w:r>
      <w:r>
        <w:fldChar w:fldCharType="separate"/>
      </w:r>
      <w:r>
        <w:t>81</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_Toc7510785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_Toc7510791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_Toc7510793 \h </w:instrText>
      </w:r>
      <w:r>
        <w:fldChar w:fldCharType="separate"/>
      </w:r>
      <w:r>
        <w:t>87</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_Toc7510794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_Toc7510801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7182445"/>
      <w:bookmarkStart w:id="4" w:name="_Toc7510343"/>
      <w:bookmarkStart w:id="5" w:name="_Toc751067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751067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7" w:name="_Toc751067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8" w:name="_Toc751067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9" w:name="_Toc1646533"/>
      <w:bookmarkStart w:id="10" w:name="_Toc1649837"/>
      <w:bookmarkStart w:id="11" w:name="_Toc7510680"/>
      <w:bookmarkStart w:id="12" w:name="_Toc7182449"/>
      <w:r>
        <w:rPr>
          <w:rStyle w:val="CharSectno"/>
        </w:rPr>
        <w:t>3A</w:t>
      </w:r>
      <w:r>
        <w:t>.</w:t>
      </w:r>
      <w:r>
        <w:tab/>
        <w:t xml:space="preserve">Transitional provision relating to </w:t>
      </w:r>
      <w:r>
        <w:rPr>
          <w:i/>
        </w:rPr>
        <w:t>Building Amendment Regulations 2019</w:t>
      </w:r>
      <w:r>
        <w:t xml:space="preserve"> Part 3</w:t>
      </w:r>
      <w:bookmarkEnd w:id="9"/>
      <w:bookmarkEnd w:id="10"/>
      <w:bookmarkEnd w:id="11"/>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3" w:name="_Toc7510348"/>
      <w:bookmarkStart w:id="14" w:name="_Toc7510681"/>
      <w:r>
        <w:rPr>
          <w:rStyle w:val="CharPartNo"/>
        </w:rPr>
        <w:lastRenderedPageBreak/>
        <w:t>Part 2</w:t>
      </w:r>
      <w:r>
        <w:rPr>
          <w:rStyle w:val="CharDivNo"/>
        </w:rPr>
        <w:t> </w:t>
      </w:r>
      <w:r>
        <w:t>—</w:t>
      </w:r>
      <w:r>
        <w:rPr>
          <w:rStyle w:val="CharDivText"/>
        </w:rPr>
        <w:t> </w:t>
      </w:r>
      <w:r>
        <w:rPr>
          <w:rStyle w:val="CharPartText"/>
        </w:rPr>
        <w:t>General matters</w:t>
      </w:r>
      <w:bookmarkEnd w:id="12"/>
      <w:bookmarkEnd w:id="13"/>
      <w:bookmarkEnd w:id="14"/>
    </w:p>
    <w:p>
      <w:pPr>
        <w:pStyle w:val="Heading5"/>
      </w:pPr>
      <w:bookmarkStart w:id="15" w:name="_Toc7510682"/>
      <w:r>
        <w:rPr>
          <w:rStyle w:val="CharSectno"/>
        </w:rPr>
        <w:t>4</w:t>
      </w:r>
      <w:r>
        <w:t>.</w:t>
      </w:r>
      <w:r>
        <w:tab/>
        <w:t>Approval of manner or form of things (s. 3)</w:t>
      </w:r>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7510683"/>
      <w:r>
        <w:rPr>
          <w:rStyle w:val="CharSectno"/>
        </w:rPr>
        <w:t>5A</w:t>
      </w:r>
      <w:r>
        <w:t>.</w:t>
      </w:r>
      <w:r>
        <w:tab/>
        <w:t>Authorised persons (s. 3)</w:t>
      </w:r>
      <w:bookmarkEnd w:id="16"/>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17" w:name="_Toc7510684"/>
      <w:r>
        <w:rPr>
          <w:rStyle w:val="CharSectno"/>
        </w:rPr>
        <w:t>5</w:t>
      </w:r>
      <w:r>
        <w:t>.</w:t>
      </w:r>
      <w:r>
        <w:tab/>
        <w:t>Building surveyors (s. 3)</w:t>
      </w:r>
      <w:bookmarkEnd w:id="17"/>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8" w:name="_Toc7510685"/>
      <w:r>
        <w:rPr>
          <w:rStyle w:val="CharSectno"/>
        </w:rPr>
        <w:lastRenderedPageBreak/>
        <w:t>6A</w:t>
      </w:r>
      <w:r>
        <w:t>.</w:t>
      </w:r>
      <w:r>
        <w:tab/>
        <w:t>Building work (s. 3)</w:t>
      </w:r>
      <w:bookmarkEnd w:id="1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9" w:name="_Toc7510686"/>
      <w:r>
        <w:rPr>
          <w:rStyle w:val="CharSectno"/>
        </w:rPr>
        <w:t>6</w:t>
      </w:r>
      <w:r>
        <w:t>.</w:t>
      </w:r>
      <w:r>
        <w:tab/>
        <w:t>Classification of buildings and incidental structures (s. 3)</w:t>
      </w:r>
      <w:bookmarkEnd w:id="1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0" w:name="_Toc7510687"/>
      <w:r>
        <w:rPr>
          <w:rStyle w:val="CharSectno"/>
        </w:rPr>
        <w:t>10</w:t>
      </w:r>
      <w:r>
        <w:t>.</w:t>
      </w:r>
      <w:r>
        <w:tab/>
        <w:t>Owners of land (s. 5(1))</w:t>
      </w:r>
      <w:bookmarkEnd w:id="2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21" w:name="_Toc7510688"/>
      <w:r>
        <w:rPr>
          <w:rStyle w:val="CharSectno"/>
        </w:rPr>
        <w:lastRenderedPageBreak/>
        <w:t>11A</w:t>
      </w:r>
      <w:r>
        <w:t>.</w:t>
      </w:r>
      <w:r>
        <w:tab/>
        <w:t>Restriction on circumstances where person treated as owner (s. 5(2))</w:t>
      </w:r>
      <w:bookmarkEnd w:id="2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2" w:name="_Toc7510689"/>
      <w:r>
        <w:rPr>
          <w:rStyle w:val="CharSectno"/>
        </w:rPr>
        <w:t>11</w:t>
      </w:r>
      <w:r>
        <w:t>.</w:t>
      </w:r>
      <w:r>
        <w:tab/>
        <w:t>Fees</w:t>
      </w:r>
      <w:bookmarkEnd w:id="2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3" w:name="_Toc7510690"/>
      <w:r>
        <w:rPr>
          <w:rStyle w:val="CharSectno"/>
        </w:rPr>
        <w:t>12</w:t>
      </w:r>
      <w:r>
        <w:t>.</w:t>
      </w:r>
      <w:r>
        <w:tab/>
        <w:t>Building records to be kept (s. 130)</w:t>
      </w:r>
      <w:bookmarkEnd w:id="2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4" w:name="_Toc7510691"/>
      <w:r>
        <w:rPr>
          <w:rStyle w:val="CharSectno"/>
        </w:rPr>
        <w:t>13</w:t>
      </w:r>
      <w:r>
        <w:t>.</w:t>
      </w:r>
      <w:r>
        <w:tab/>
        <w:t>Inspection, copies of building records (s. 131)</w:t>
      </w:r>
      <w:bookmarkEnd w:id="2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5" w:name="_Toc7510692"/>
      <w:r>
        <w:rPr>
          <w:rStyle w:val="CharSectno"/>
        </w:rPr>
        <w:t>14</w:t>
      </w:r>
      <w:r>
        <w:t>.</w:t>
      </w:r>
      <w:r>
        <w:tab/>
        <w:t>Provision of information to Building Commissioner (s. 132)</w:t>
      </w:r>
      <w:bookmarkEnd w:id="2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6" w:name="_Toc7510693"/>
      <w:r>
        <w:rPr>
          <w:rStyle w:val="CharSectno"/>
        </w:rPr>
        <w:t>15A</w:t>
      </w:r>
      <w:r>
        <w:t>.</w:t>
      </w:r>
      <w:r>
        <w:tab/>
        <w:t xml:space="preserve">Provision of information to </w:t>
      </w:r>
      <w:smartTag w:uri="urn:schemas-microsoft-com:office:smarttags" w:element="place">
        <w:r>
          <w:t>FES</w:t>
        </w:r>
      </w:smartTag>
      <w:r>
        <w:t xml:space="preserve"> Commissioner (s. 149)</w:t>
      </w:r>
      <w:bookmarkEnd w:id="2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7" w:name="_Toc7510694"/>
      <w:r>
        <w:rPr>
          <w:rStyle w:val="CharSectno"/>
        </w:rPr>
        <w:t>15B</w:t>
      </w:r>
      <w:r>
        <w:t>.</w:t>
      </w:r>
      <w:r>
        <w:tab/>
        <w:t>Modifications to AS 1926.1</w:t>
      </w:r>
      <w:r>
        <w:noBreakHyphen/>
        <w:t>2012 (s. 150)</w:t>
      </w:r>
      <w:bookmarkEnd w:id="27"/>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8" w:name="_Toc7182463"/>
      <w:bookmarkStart w:id="29" w:name="_Toc7510362"/>
      <w:bookmarkStart w:id="30" w:name="_Toc7510695"/>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7510696"/>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7510697"/>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7510698"/>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7510699"/>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35" w:name="_Toc7510700"/>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7510701"/>
      <w:r>
        <w:rPr>
          <w:rStyle w:val="CharSectno"/>
        </w:rPr>
        <w:t>18C</w:t>
      </w:r>
      <w:r>
        <w:t>.</w:t>
      </w:r>
      <w:r>
        <w:tab/>
        <w:t>Certificate of design compliance — things to accompany (s. 149)</w:t>
      </w:r>
      <w:bookmarkEnd w:id="3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lastRenderedPageBreak/>
        <w:tab/>
        <w:t>[Regulation 18C inserted: Gazette 18 Dec 2012 p. 6561.]</w:t>
      </w:r>
    </w:p>
    <w:p>
      <w:pPr>
        <w:pStyle w:val="Heading5"/>
      </w:pPr>
      <w:bookmarkStart w:id="37" w:name="_Toc7510702"/>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lastRenderedPageBreak/>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7510703"/>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lastRenderedPageBreak/>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39" w:name="_Toc7510704"/>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7510705"/>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7510706"/>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42" w:name="_Toc7510707"/>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7510708"/>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7510709"/>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7510710"/>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46" w:name="_Toc7510711"/>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7510712"/>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7510713"/>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7510714"/>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7182483"/>
      <w:bookmarkStart w:id="51" w:name="_Toc7510382"/>
      <w:bookmarkStart w:id="52" w:name="_Toc7510715"/>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7182484"/>
      <w:bookmarkStart w:id="54" w:name="_Toc7510383"/>
      <w:bookmarkStart w:id="55" w:name="_Toc7510716"/>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7182485"/>
      <w:bookmarkStart w:id="57" w:name="_Toc7510384"/>
      <w:bookmarkStart w:id="58" w:name="_Toc7510717"/>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7510718"/>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lastRenderedPageBreak/>
        <w:tab/>
        <w:t>[Regulation 31A inserted: Gazette 18 Dec 2012 p. 6562-3; amended: Gazette 7 Dec 2015 p. 4898; 9 Mar 2018 p. 800; 5 Oct 2018 p. 4013; 26 Mar 2019 p. 946.]</w:t>
      </w:r>
    </w:p>
    <w:p>
      <w:pPr>
        <w:pStyle w:val="Heading5"/>
      </w:pPr>
      <w:bookmarkStart w:id="60" w:name="_Toc7510719"/>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w:t>
      </w:r>
      <w:r>
        <w:lastRenderedPageBreak/>
        <w:t xml:space="preserve">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lastRenderedPageBreak/>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61" w:name="_Toc7510720"/>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7510721"/>
      <w:r>
        <w:rPr>
          <w:rStyle w:val="CharSectno"/>
        </w:rPr>
        <w:t>31D</w:t>
      </w:r>
      <w:r>
        <w:t>.</w:t>
      </w:r>
      <w:r>
        <w:tab/>
        <w:t>Applicable building standards for relocated buildings and incidental structures (other than swimming pools) (s. 3, 19(3) and 37(1) and (2))</w:t>
      </w:r>
      <w:bookmarkEnd w:id="62"/>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rPr>
          <w:cantSplit/>
        </w:trPr>
        <w:tc>
          <w:tcPr>
            <w:tcW w:w="3192" w:type="dxa"/>
          </w:tcPr>
          <w:p>
            <w:pPr>
              <w:pStyle w:val="TableNAm"/>
            </w:pPr>
            <w:r>
              <w:t>Volume One, Section B — Structure</w:t>
            </w:r>
          </w:p>
        </w:tc>
        <w:tc>
          <w:tcPr>
            <w:tcW w:w="3021" w:type="dxa"/>
          </w:tcPr>
          <w:p>
            <w:pPr>
              <w:pStyle w:val="TableNAm"/>
            </w:pPr>
            <w:r>
              <w:t>BP1.1, BP1.2, BP1.3, BP1.4</w:t>
            </w:r>
          </w:p>
        </w:tc>
      </w:tr>
      <w:tr>
        <w:trPr>
          <w:cantSplit/>
        </w:trPr>
        <w:tc>
          <w:tcPr>
            <w:tcW w:w="3192" w:type="dxa"/>
          </w:tcPr>
          <w:p>
            <w:pPr>
              <w:pStyle w:val="TableNAm"/>
            </w:pPr>
            <w:r>
              <w:t>Volume One, Section C — Fire resistance</w:t>
            </w:r>
          </w:p>
        </w:tc>
        <w:tc>
          <w:tcPr>
            <w:tcW w:w="3021" w:type="dxa"/>
          </w:tcPr>
          <w:p>
            <w:pPr>
              <w:pStyle w:val="TableNAm"/>
            </w:pPr>
            <w:r>
              <w:t>CP1, CP2, CP3, CP4, CP5, CP6, CP7, CP8, CP9</w:t>
            </w:r>
          </w:p>
        </w:tc>
      </w:tr>
      <w:tr>
        <w:trPr>
          <w:cantSplit/>
        </w:trPr>
        <w:tc>
          <w:tcPr>
            <w:tcW w:w="3192" w:type="dxa"/>
          </w:tcPr>
          <w:p>
            <w:pPr>
              <w:pStyle w:val="TableNAm"/>
            </w:pPr>
            <w:r>
              <w:t>Volume One, Section D — Access and egress</w:t>
            </w:r>
          </w:p>
        </w:tc>
        <w:tc>
          <w:tcPr>
            <w:tcW w:w="3021" w:type="dxa"/>
          </w:tcPr>
          <w:p>
            <w:pPr>
              <w:pStyle w:val="TableNAm"/>
            </w:pPr>
            <w:r>
              <w:t>DP2, DP3, DP4, DP5, DP6</w:t>
            </w:r>
          </w:p>
        </w:tc>
      </w:tr>
      <w:tr>
        <w:trPr>
          <w:cantSplit/>
        </w:trP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rPr>
          <w:cantSplit/>
        </w:trPr>
        <w:tc>
          <w:tcPr>
            <w:tcW w:w="3192" w:type="dxa"/>
          </w:tcPr>
          <w:p>
            <w:pPr>
              <w:pStyle w:val="TableNAm"/>
            </w:pPr>
            <w:r>
              <w:t>Volume One, Section G — Ancillary provisions</w:t>
            </w:r>
          </w:p>
        </w:tc>
        <w:tc>
          <w:tcPr>
            <w:tcW w:w="3021" w:type="dxa"/>
          </w:tcPr>
          <w:p>
            <w:pPr>
              <w:pStyle w:val="TableNAm"/>
            </w:pPr>
            <w:r>
              <w:t>GP2.1, GP 2.2, GP5.1</w:t>
            </w:r>
          </w:p>
        </w:tc>
      </w:tr>
      <w:tr>
        <w:trPr>
          <w:cantSplit/>
        </w:trPr>
        <w:tc>
          <w:tcPr>
            <w:tcW w:w="3192" w:type="dxa"/>
          </w:tcPr>
          <w:p>
            <w:pPr>
              <w:pStyle w:val="TableNAm"/>
            </w:pPr>
            <w:r>
              <w:t>Volume Two, Part 2.1 — Structure</w:t>
            </w:r>
          </w:p>
        </w:tc>
        <w:tc>
          <w:tcPr>
            <w:tcW w:w="3021" w:type="dxa"/>
          </w:tcPr>
          <w:p>
            <w:pPr>
              <w:pStyle w:val="TableNAm"/>
            </w:pPr>
            <w:r>
              <w:t>P2.1.1, P2.1.2</w:t>
            </w:r>
          </w:p>
        </w:tc>
      </w:tr>
      <w:tr>
        <w:trPr>
          <w:cantSplit/>
        </w:trPr>
        <w:tc>
          <w:tcPr>
            <w:tcW w:w="3192" w:type="dxa"/>
          </w:tcPr>
          <w:p>
            <w:pPr>
              <w:pStyle w:val="TableNAm"/>
            </w:pPr>
            <w:r>
              <w:t>Volume Two, Part 2.3 — Fire safety</w:t>
            </w:r>
          </w:p>
        </w:tc>
        <w:tc>
          <w:tcPr>
            <w:tcW w:w="3021" w:type="dxa"/>
          </w:tcPr>
          <w:p>
            <w:pPr>
              <w:pStyle w:val="TableNAm"/>
            </w:pPr>
            <w:r>
              <w:t>P2.3.1, P2.3.2</w:t>
            </w:r>
          </w:p>
        </w:tc>
      </w:tr>
      <w:tr>
        <w:trPr>
          <w:cantSplit/>
        </w:trPr>
        <w:tc>
          <w:tcPr>
            <w:tcW w:w="3192" w:type="dxa"/>
          </w:tcPr>
          <w:p>
            <w:pPr>
              <w:pStyle w:val="TableNAm"/>
            </w:pPr>
            <w:r>
              <w:t>Volume Two, Part 2.5 — Safe movement and access</w:t>
            </w:r>
          </w:p>
        </w:tc>
        <w:tc>
          <w:tcPr>
            <w:tcW w:w="3021" w:type="dxa"/>
          </w:tcPr>
          <w:p>
            <w:pPr>
              <w:pStyle w:val="TableNAm"/>
            </w:pPr>
            <w:r>
              <w:t>P2.5.1, P2.5.2</w:t>
            </w:r>
          </w:p>
        </w:tc>
      </w:tr>
      <w:tr>
        <w:trPr>
          <w:cantSplit/>
        </w:trP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63" w:name="_Toc7510722"/>
      <w:r>
        <w:rPr>
          <w:rStyle w:val="CharSectno"/>
        </w:rPr>
        <w:t>31E</w:t>
      </w:r>
      <w:r>
        <w:t>.</w:t>
      </w:r>
      <w:r>
        <w:tab/>
        <w:t>Applicable building standards for building work done without permit (s. 3 and 37(2))</w:t>
      </w:r>
      <w:bookmarkEnd w:id="6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w:t>
      </w:r>
      <w:r>
        <w:lastRenderedPageBreak/>
        <w:t>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64" w:name="_Toc7510723"/>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65" w:name="_Toc7510724"/>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7510725"/>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67" w:name="_Toc7510726"/>
      <w:r>
        <w:rPr>
          <w:rStyle w:val="CharSectno"/>
        </w:rPr>
        <w:lastRenderedPageBreak/>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68" w:name="_Toc7182495"/>
      <w:bookmarkStart w:id="69" w:name="_Toc7510394"/>
      <w:bookmarkStart w:id="70" w:name="_Toc7510727"/>
      <w:r>
        <w:lastRenderedPageBreak/>
        <w:t>Subdivision 2 — Building standards in relation to demolition</w:t>
      </w:r>
      <w:bookmarkEnd w:id="68"/>
      <w:bookmarkEnd w:id="69"/>
      <w:bookmarkEnd w:id="70"/>
    </w:p>
    <w:p>
      <w:pPr>
        <w:pStyle w:val="Footnoteheading"/>
        <w:keepNext/>
      </w:pPr>
      <w:r>
        <w:tab/>
        <w:t>[Heading inserted: Gazette 18 Dec 2012 p. 6570.]</w:t>
      </w:r>
    </w:p>
    <w:p>
      <w:pPr>
        <w:pStyle w:val="Heading5"/>
        <w:spacing w:before="240"/>
      </w:pPr>
      <w:bookmarkStart w:id="71" w:name="_Toc7510728"/>
      <w:r>
        <w:rPr>
          <w:rStyle w:val="CharSectno"/>
        </w:rPr>
        <w:t>31I</w:t>
      </w:r>
      <w:r>
        <w:t>.</w:t>
      </w:r>
      <w:r>
        <w:tab/>
        <w:t>Applicable building standards in relation to demolition work (s. 3 and 38)</w:t>
      </w:r>
      <w:bookmarkEnd w:id="7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72" w:name="_Toc7182497"/>
      <w:bookmarkStart w:id="73" w:name="_Toc7510396"/>
      <w:bookmarkStart w:id="74" w:name="_Toc7510729"/>
      <w:r>
        <w:rPr>
          <w:rStyle w:val="CharDivNo"/>
        </w:rPr>
        <w:t>Division 2</w:t>
      </w:r>
      <w:r>
        <w:t> — </w:t>
      </w:r>
      <w:r>
        <w:rPr>
          <w:rStyle w:val="CharDivText"/>
        </w:rPr>
        <w:t>Demonstrating compliance with building standards</w:t>
      </w:r>
      <w:bookmarkEnd w:id="72"/>
      <w:bookmarkEnd w:id="73"/>
      <w:bookmarkEnd w:id="74"/>
    </w:p>
    <w:p>
      <w:pPr>
        <w:pStyle w:val="Footnoteheading"/>
      </w:pPr>
      <w:r>
        <w:tab/>
        <w:t>[Heading inserted: Gazette 18 Dec 2012 p. 6571.]</w:t>
      </w:r>
    </w:p>
    <w:p>
      <w:pPr>
        <w:pStyle w:val="Heading5"/>
      </w:pPr>
      <w:bookmarkStart w:id="75" w:name="_Toc7510730"/>
      <w:r>
        <w:rPr>
          <w:rStyle w:val="CharSectno"/>
        </w:rPr>
        <w:lastRenderedPageBreak/>
        <w:t>31J</w:t>
      </w:r>
      <w:r>
        <w:t>.</w:t>
      </w:r>
      <w:r>
        <w:tab/>
        <w:t>Compliance with building standards — CodeMark certificates</w:t>
      </w:r>
      <w:bookmarkEnd w:id="75"/>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6" w:name="_Toc7182499"/>
      <w:bookmarkStart w:id="77" w:name="_Toc7510398"/>
      <w:bookmarkStart w:id="78" w:name="_Toc7510731"/>
      <w:r>
        <w:rPr>
          <w:rStyle w:val="CharDivNo"/>
        </w:rPr>
        <w:t>Division 3</w:t>
      </w:r>
      <w:r>
        <w:t> — </w:t>
      </w:r>
      <w:r>
        <w:rPr>
          <w:rStyle w:val="CharDivText"/>
        </w:rPr>
        <w:t>Non</w:t>
      </w:r>
      <w:r>
        <w:rPr>
          <w:rStyle w:val="CharDivText"/>
        </w:rPr>
        <w:noBreakHyphen/>
        <w:t>application, modification, of building standards</w:t>
      </w:r>
      <w:bookmarkEnd w:id="76"/>
      <w:bookmarkEnd w:id="77"/>
      <w:bookmarkEnd w:id="78"/>
    </w:p>
    <w:p>
      <w:pPr>
        <w:pStyle w:val="Footnoteheading"/>
      </w:pPr>
      <w:r>
        <w:tab/>
        <w:t>[Heading inserted: Gazette 18 Dec 2012 p. 6571.]</w:t>
      </w:r>
    </w:p>
    <w:p>
      <w:pPr>
        <w:pStyle w:val="Heading5"/>
      </w:pPr>
      <w:bookmarkStart w:id="79" w:name="_Toc7510732"/>
      <w:r>
        <w:rPr>
          <w:rStyle w:val="CharSectno"/>
        </w:rPr>
        <w:t>31</w:t>
      </w:r>
      <w:r>
        <w:t>.</w:t>
      </w:r>
      <w:r>
        <w:tab/>
        <w:t>Terms used</w:t>
      </w:r>
      <w:bookmarkEnd w:id="79"/>
    </w:p>
    <w:p>
      <w:pPr>
        <w:pStyle w:val="Subsection"/>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 xml:space="preserve">an application for a declaration that the building standard does not apply to the building, incidental </w:t>
      </w:r>
      <w:r>
        <w:lastRenderedPageBreak/>
        <w:t>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80" w:name="_Toc7510733"/>
      <w:r>
        <w:rPr>
          <w:rStyle w:val="CharSectno"/>
        </w:rPr>
        <w:t>32</w:t>
      </w:r>
      <w:r>
        <w:t>.</w:t>
      </w:r>
      <w:r>
        <w:tab/>
        <w:t>Statements to accompany application (s. 39(8)(b))</w:t>
      </w:r>
      <w:bookmarkEnd w:id="80"/>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 xml:space="preserve">a statement of a second independent building surveyor, who has been approved by the Building Commissioner </w:t>
      </w:r>
      <w:r>
        <w:lastRenderedPageBreak/>
        <w:t>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1" w:name="_Toc7510734"/>
      <w:r>
        <w:rPr>
          <w:rStyle w:val="CharSectno"/>
        </w:rPr>
        <w:t>32A</w:t>
      </w:r>
      <w:r>
        <w:t>.</w:t>
      </w:r>
      <w:r>
        <w:tab/>
        <w:t>Statement to accompany transitional bush fire application (s. 39(8)(b))</w:t>
      </w:r>
      <w:bookmarkEnd w:id="81"/>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lastRenderedPageBreak/>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2" w:name="_Toc7510735"/>
      <w:r>
        <w:rPr>
          <w:rStyle w:val="CharSectno"/>
        </w:rPr>
        <w:t>33</w:t>
      </w:r>
      <w:r>
        <w:t>.</w:t>
      </w:r>
      <w:r>
        <w:tab/>
        <w:t>Decisions on applications (s. 39(9)(a))</w:t>
      </w:r>
      <w:bookmarkEnd w:id="8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lastRenderedPageBreak/>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83" w:name="_Toc7510736"/>
      <w:r>
        <w:rPr>
          <w:rStyle w:val="CharSectno"/>
        </w:rPr>
        <w:t>34</w:t>
      </w:r>
      <w:r>
        <w:t>.</w:t>
      </w:r>
      <w:r>
        <w:tab/>
        <w:t>Revoking or amending declarations (s. 39(9)(b))</w:t>
      </w:r>
      <w:bookmarkEnd w:id="83"/>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4" w:name="_Toc7182505"/>
      <w:bookmarkStart w:id="85" w:name="_Toc7510404"/>
      <w:bookmarkStart w:id="86" w:name="_Toc7510737"/>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4"/>
      <w:bookmarkEnd w:id="85"/>
      <w:bookmarkEnd w:id="86"/>
    </w:p>
    <w:p>
      <w:pPr>
        <w:pStyle w:val="Heading5"/>
      </w:pPr>
      <w:bookmarkStart w:id="87" w:name="_Toc7510738"/>
      <w:r>
        <w:rPr>
          <w:rStyle w:val="CharSectno"/>
        </w:rPr>
        <w:t>35</w:t>
      </w:r>
      <w:r>
        <w:t>.</w:t>
      </w:r>
      <w:r>
        <w:tab/>
        <w:t>Display of occupancy permit details (s. 42(a))</w:t>
      </w:r>
      <w:bookmarkEnd w:id="8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8" w:name="_Toc7510739"/>
      <w:r>
        <w:rPr>
          <w:rStyle w:val="CharSectno"/>
        </w:rPr>
        <w:t>36A</w:t>
      </w:r>
      <w:r>
        <w:t>.</w:t>
      </w:r>
      <w:r>
        <w:tab/>
        <w:t>Further information (s. 55(3) and (4))</w:t>
      </w:r>
      <w:bookmarkEnd w:id="88"/>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89" w:name="_Toc7510740"/>
      <w:r>
        <w:rPr>
          <w:rStyle w:val="CharSectno"/>
        </w:rPr>
        <w:lastRenderedPageBreak/>
        <w:t>36</w:t>
      </w:r>
      <w:r>
        <w:t>.</w:t>
      </w:r>
      <w:r>
        <w:tab/>
        <w:t>Certificate of building compliance (s. 57)</w:t>
      </w:r>
      <w:bookmarkEnd w:id="8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0" w:name="_Toc7510741"/>
      <w:r>
        <w:rPr>
          <w:rStyle w:val="CharSectno"/>
        </w:rPr>
        <w:t>37</w:t>
      </w:r>
      <w:r>
        <w:t>.</w:t>
      </w:r>
      <w:r>
        <w:tab/>
        <w:t>Grant of occupancy permit or building approval certificate (s. 58)</w:t>
      </w:r>
      <w:bookmarkEnd w:id="90"/>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1" w:name="_Toc7510742"/>
      <w:r>
        <w:rPr>
          <w:rStyle w:val="CharSectno"/>
        </w:rPr>
        <w:t>38</w:t>
      </w:r>
      <w:r>
        <w:t>.</w:t>
      </w:r>
      <w:r>
        <w:tab/>
        <w:t>Time for granting occupancy permit or building approval certificate (s. 59)</w:t>
      </w:r>
      <w:bookmarkEnd w:id="91"/>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92" w:name="_Toc7510743"/>
      <w:r>
        <w:rPr>
          <w:rStyle w:val="CharSectno"/>
        </w:rPr>
        <w:t>39</w:t>
      </w:r>
      <w:r>
        <w:t>.</w:t>
      </w:r>
      <w:r>
        <w:tab/>
        <w:t>Occupancy permit and building approval certificates (s. 61(2))</w:t>
      </w:r>
      <w:bookmarkEnd w:id="92"/>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93" w:name="_Toc7510744"/>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7182513"/>
      <w:bookmarkStart w:id="95" w:name="_Toc7510412"/>
      <w:bookmarkStart w:id="96" w:name="_Toc7510745"/>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7510746"/>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98" w:name="_Toc7510747"/>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7510748"/>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00" w:name="_Toc7182517"/>
      <w:bookmarkStart w:id="101" w:name="_Toc7510416"/>
      <w:bookmarkStart w:id="102" w:name="_Toc7510749"/>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7510750"/>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7510751"/>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05" w:name="_Toc7510752"/>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7510753"/>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07" w:name="_Toc7510754"/>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7182523"/>
      <w:bookmarkStart w:id="109" w:name="_Toc7510422"/>
      <w:bookmarkStart w:id="110" w:name="_Toc7510755"/>
      <w:r>
        <w:rPr>
          <w:rStyle w:val="CharPartNo"/>
        </w:rPr>
        <w:lastRenderedPageBreak/>
        <w:t>Part 8</w:t>
      </w:r>
      <w:r>
        <w:t> — </w:t>
      </w:r>
      <w:r>
        <w:rPr>
          <w:rStyle w:val="CharPartText"/>
        </w:rPr>
        <w:t>Existing buildings</w:t>
      </w:r>
      <w:bookmarkEnd w:id="108"/>
      <w:bookmarkEnd w:id="109"/>
      <w:bookmarkEnd w:id="110"/>
    </w:p>
    <w:p>
      <w:pPr>
        <w:pStyle w:val="Heading3"/>
      </w:pPr>
      <w:bookmarkStart w:id="111" w:name="_Toc7182524"/>
      <w:bookmarkStart w:id="112" w:name="_Toc7510423"/>
      <w:bookmarkStart w:id="113" w:name="_Toc7510756"/>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7510757"/>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lastRenderedPageBreak/>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15" w:name="_Toc7182526"/>
      <w:bookmarkStart w:id="116" w:name="_Toc7510425"/>
      <w:bookmarkStart w:id="117" w:name="_Toc7510758"/>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7510759"/>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7182528"/>
      <w:bookmarkStart w:id="120" w:name="_Toc7510427"/>
      <w:bookmarkStart w:id="121" w:name="_Toc7510760"/>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7510761"/>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7510762"/>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7510763"/>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7510764"/>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7510765"/>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7510766"/>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7510767"/>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7510768"/>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7182537"/>
      <w:bookmarkStart w:id="131" w:name="_Toc7510436"/>
      <w:bookmarkStart w:id="132" w:name="_Toc7510769"/>
      <w:r>
        <w:rPr>
          <w:rStyle w:val="CharDivNo"/>
        </w:rPr>
        <w:t>Division 3</w:t>
      </w:r>
      <w:r>
        <w:t> — </w:t>
      </w:r>
      <w:r>
        <w:rPr>
          <w:rStyle w:val="CharDivText"/>
        </w:rPr>
        <w:t>Smoke alarms</w:t>
      </w:r>
      <w:bookmarkEnd w:id="130"/>
      <w:bookmarkEnd w:id="131"/>
      <w:bookmarkEnd w:id="132"/>
    </w:p>
    <w:p>
      <w:pPr>
        <w:pStyle w:val="Heading5"/>
      </w:pPr>
      <w:bookmarkStart w:id="133" w:name="_Toc7510770"/>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7510771"/>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35" w:name="_Toc7510772"/>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36" w:name="_Toc7510773"/>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7510774"/>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7510775"/>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7510776"/>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7510777"/>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41" w:name="_Toc7182546"/>
      <w:bookmarkStart w:id="142" w:name="_Toc7510445"/>
      <w:bookmarkStart w:id="143" w:name="_Toc7510778"/>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7510779"/>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7510780"/>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lastRenderedPageBreak/>
        <w:tab/>
        <w:t>[Regulation 70 inserted: Gazette 18 Dec 2012 p. 6575-6; amended : Gazette 26 Apr 2019 p. 1209-10.]</w:t>
      </w:r>
    </w:p>
    <w:p>
      <w:pPr>
        <w:pStyle w:val="Heading5"/>
      </w:pPr>
      <w:bookmarkStart w:id="146" w:name="_Toc7510781"/>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7182550"/>
      <w:bookmarkStart w:id="148" w:name="_Toc7510449"/>
      <w:bookmarkStart w:id="149" w:name="_Toc7510782"/>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7510783"/>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7510784"/>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7510785"/>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7182554"/>
      <w:bookmarkStart w:id="155" w:name="_Toc7510453"/>
      <w:bookmarkStart w:id="156" w:name="_Toc7510786"/>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57" w:name="_Toc7182555"/>
      <w:bookmarkStart w:id="158" w:name="_Toc7510454"/>
      <w:bookmarkStart w:id="159" w:name="_Toc7510787"/>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160" w:name="_Toc7182556"/>
      <w:bookmarkStart w:id="161" w:name="_Toc7510455"/>
      <w:bookmarkStart w:id="162" w:name="_Toc7510788"/>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lastRenderedPageBreak/>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163" w:name="_Toc7182557"/>
      <w:bookmarkStart w:id="164" w:name="_Toc7510456"/>
      <w:bookmarkStart w:id="165" w:name="_Toc7510789"/>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7182558"/>
      <w:bookmarkStart w:id="167" w:name="_Toc7510457"/>
      <w:bookmarkStart w:id="168" w:name="_Toc7510790"/>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7510791"/>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0" w:name="_Toc7182560"/>
      <w:bookmarkStart w:id="171" w:name="_Toc7510459"/>
      <w:bookmarkStart w:id="172" w:name="_Toc7510792"/>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7510793"/>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lastRenderedPageBreak/>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lastRenderedPageBreak/>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lastRenderedPageBreak/>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lastRenderedPageBreak/>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lastRenderedPageBreak/>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7510794"/>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5" w:name="_Toc7182563"/>
      <w:bookmarkStart w:id="176" w:name="_Toc7510462"/>
      <w:bookmarkStart w:id="177" w:name="_Toc7510795"/>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178" w:name="_Toc527548961"/>
      <w:bookmarkStart w:id="179" w:name="_Toc527548999"/>
      <w:bookmarkStart w:id="180" w:name="_Toc527550207"/>
      <w:bookmarkStart w:id="181" w:name="_Toc527552859"/>
      <w:bookmarkStart w:id="182" w:name="_Toc527555525"/>
      <w:bookmarkStart w:id="183" w:name="_Toc527556637"/>
      <w:bookmarkStart w:id="184" w:name="_Toc527557089"/>
      <w:bookmarkStart w:id="185" w:name="_Toc527557257"/>
      <w:bookmarkStart w:id="186" w:name="_Toc527557566"/>
      <w:bookmarkStart w:id="187" w:name="_Toc527558884"/>
      <w:bookmarkStart w:id="188" w:name="_Toc530472116"/>
      <w:bookmarkStart w:id="189" w:name="_Toc530473444"/>
      <w:bookmarkStart w:id="190" w:name="_Toc530473562"/>
      <w:bookmarkStart w:id="191" w:name="_Toc530493638"/>
      <w:bookmarkStart w:id="192" w:name="_Toc530493676"/>
      <w:bookmarkStart w:id="193" w:name="_Toc530493753"/>
      <w:bookmarkStart w:id="194" w:name="_Toc530493825"/>
      <w:bookmarkStart w:id="195" w:name="_Toc530493984"/>
      <w:bookmarkStart w:id="196" w:name="_Toc530494075"/>
      <w:bookmarkStart w:id="197" w:name="_Toc530495376"/>
      <w:bookmarkStart w:id="198" w:name="_Toc532546600"/>
      <w:bookmarkStart w:id="199" w:name="_Toc532547984"/>
      <w:bookmarkStart w:id="200" w:name="_Toc532548073"/>
      <w:bookmarkStart w:id="201" w:name="_Toc532548306"/>
      <w:bookmarkStart w:id="202" w:name="_Toc532548407"/>
      <w:bookmarkStart w:id="203" w:name="_Toc532550669"/>
      <w:bookmarkStart w:id="204" w:name="_Toc2079627"/>
      <w:bookmarkStart w:id="205" w:name="_Toc2083954"/>
      <w:bookmarkStart w:id="206" w:name="_Toc7182564"/>
      <w:bookmarkStart w:id="207" w:name="_Toc7510463"/>
      <w:bookmarkStart w:id="208" w:name="_Toc7510796"/>
      <w:r>
        <w:rPr>
          <w:rStyle w:val="CharSchNo"/>
        </w:rPr>
        <w:lastRenderedPageBreak/>
        <w:t>Schedule 6</w:t>
      </w:r>
      <w:r>
        <w:t> — </w:t>
      </w:r>
      <w:r>
        <w:rPr>
          <w:rStyle w:val="CharSchText"/>
        </w:rPr>
        <w:t>Prescribed offences and modified penalties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[r. 69]</w:t>
      </w:r>
    </w:p>
    <w:p>
      <w:pPr>
        <w:pStyle w:val="yFootnoteheading"/>
      </w:pPr>
      <w:r>
        <w:tab/>
        <w:t>[Heading inserted: Gazette 26 Apr 2019 p. 1210.]</w:t>
      </w:r>
    </w:p>
    <w:p>
      <w:pPr>
        <w:pStyle w:val="yHeading3"/>
      </w:pPr>
      <w:bookmarkStart w:id="209" w:name="_Toc527548962"/>
      <w:bookmarkStart w:id="210" w:name="_Toc527549000"/>
      <w:bookmarkStart w:id="211" w:name="_Toc527550208"/>
      <w:bookmarkStart w:id="212" w:name="_Toc527552860"/>
      <w:bookmarkStart w:id="213" w:name="_Toc527555526"/>
      <w:bookmarkStart w:id="214" w:name="_Toc527556638"/>
      <w:bookmarkStart w:id="215" w:name="_Toc527557090"/>
      <w:bookmarkStart w:id="216" w:name="_Toc527557258"/>
      <w:bookmarkStart w:id="217" w:name="_Toc527557567"/>
      <w:bookmarkStart w:id="218" w:name="_Toc527558885"/>
      <w:bookmarkStart w:id="219" w:name="_Toc530472117"/>
      <w:bookmarkStart w:id="220" w:name="_Toc530473445"/>
      <w:bookmarkStart w:id="221" w:name="_Toc530473563"/>
      <w:bookmarkStart w:id="222" w:name="_Toc530493639"/>
      <w:bookmarkStart w:id="223" w:name="_Toc530493677"/>
      <w:bookmarkStart w:id="224" w:name="_Toc530493754"/>
      <w:bookmarkStart w:id="225" w:name="_Toc530493826"/>
      <w:bookmarkStart w:id="226" w:name="_Toc530493985"/>
      <w:bookmarkStart w:id="227" w:name="_Toc530494076"/>
      <w:bookmarkStart w:id="228" w:name="_Toc530495377"/>
      <w:bookmarkStart w:id="229" w:name="_Toc532546601"/>
      <w:bookmarkStart w:id="230" w:name="_Toc532547985"/>
      <w:bookmarkStart w:id="231" w:name="_Toc532548074"/>
      <w:bookmarkStart w:id="232" w:name="_Toc532548307"/>
      <w:bookmarkStart w:id="233" w:name="_Toc532548408"/>
      <w:bookmarkStart w:id="234" w:name="_Toc532550670"/>
      <w:bookmarkStart w:id="235" w:name="_Toc2079628"/>
      <w:bookmarkStart w:id="236" w:name="_Toc2083955"/>
      <w:bookmarkStart w:id="237" w:name="_Toc7182565"/>
      <w:bookmarkStart w:id="238" w:name="_Toc7510464"/>
      <w:bookmarkStart w:id="239" w:name="_Toc7510797"/>
      <w:r>
        <w:rPr>
          <w:rStyle w:val="CharSDivNo"/>
        </w:rPr>
        <w:t>Division 1</w:t>
      </w:r>
      <w:r>
        <w:t> — </w:t>
      </w:r>
      <w:r>
        <w:rPr>
          <w:rStyle w:val="CharSDivText"/>
        </w:rPr>
        <w:t>Offences under the Act</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bookmarkStart w:id="240" w:name="_Toc527548963"/>
      <w:bookmarkStart w:id="241" w:name="_Toc527549001"/>
      <w:bookmarkStart w:id="242" w:name="_Toc527550209"/>
      <w:bookmarkStart w:id="243" w:name="_Toc527552861"/>
      <w:bookmarkStart w:id="244" w:name="_Toc527555527"/>
      <w:bookmarkStart w:id="245" w:name="_Toc527556639"/>
      <w:bookmarkStart w:id="246" w:name="_Toc527557091"/>
      <w:bookmarkStart w:id="247" w:name="_Toc527557259"/>
      <w:bookmarkStart w:id="248" w:name="_Toc527557568"/>
      <w:bookmarkStart w:id="249" w:name="_Toc527558886"/>
      <w:bookmarkStart w:id="250" w:name="_Toc530472118"/>
      <w:bookmarkStart w:id="251" w:name="_Toc530473446"/>
      <w:bookmarkStart w:id="252" w:name="_Toc530473564"/>
      <w:bookmarkStart w:id="253" w:name="_Toc530493640"/>
      <w:bookmarkStart w:id="254" w:name="_Toc530493678"/>
      <w:bookmarkStart w:id="255" w:name="_Toc530493755"/>
      <w:bookmarkStart w:id="256" w:name="_Toc530493827"/>
      <w:bookmarkStart w:id="257" w:name="_Toc530493986"/>
      <w:bookmarkStart w:id="258" w:name="_Toc530494077"/>
      <w:bookmarkStart w:id="259" w:name="_Toc530495378"/>
      <w:bookmarkStart w:id="260" w:name="_Toc532546602"/>
      <w:bookmarkStart w:id="261" w:name="_Toc532547986"/>
      <w:bookmarkStart w:id="262" w:name="_Toc532548075"/>
      <w:bookmarkStart w:id="263" w:name="_Toc532548308"/>
      <w:bookmarkStart w:id="264" w:name="_Toc532548409"/>
      <w:bookmarkStart w:id="265" w:name="_Toc532550671"/>
      <w:bookmarkStart w:id="266" w:name="_Toc2079629"/>
      <w:bookmarkStart w:id="267" w:name="_Toc2083956"/>
      <w:r>
        <w:tab/>
        <w:t>[Division 1 inserted: Gazette 26 Apr 2019 p. 1210.]</w:t>
      </w:r>
    </w:p>
    <w:p>
      <w:pPr>
        <w:pStyle w:val="yHeading3"/>
      </w:pPr>
      <w:bookmarkStart w:id="268" w:name="_Toc7182566"/>
      <w:bookmarkStart w:id="269" w:name="_Toc7510465"/>
      <w:bookmarkStart w:id="270" w:name="_Toc7510798"/>
      <w:r>
        <w:rPr>
          <w:rStyle w:val="CharSDivNo"/>
        </w:rPr>
        <w:t>Division 2</w:t>
      </w:r>
      <w:r>
        <w:t> — </w:t>
      </w:r>
      <w:r>
        <w:rPr>
          <w:rStyle w:val="CharSDivText"/>
        </w:rPr>
        <w:t>Offences under these regulations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271" w:name="_Toc7182567"/>
      <w:bookmarkStart w:id="272" w:name="_Toc7510466"/>
      <w:bookmarkStart w:id="273" w:name="_Toc7510799"/>
      <w:r>
        <w:rPr>
          <w:rStyle w:val="CharSchNo"/>
        </w:rPr>
        <w:lastRenderedPageBreak/>
        <w:t>Schedule 7</w:t>
      </w:r>
      <w:r>
        <w:rPr>
          <w:rStyle w:val="CharSDivNo"/>
        </w:rPr>
        <w:t> </w:t>
      </w:r>
      <w:r>
        <w:t>—</w:t>
      </w:r>
      <w:r>
        <w:rPr>
          <w:rStyle w:val="CharSDivText"/>
        </w:rPr>
        <w:t> </w:t>
      </w:r>
      <w:r>
        <w:rPr>
          <w:rStyle w:val="CharSchText"/>
        </w:rPr>
        <w:t>Forms</w:t>
      </w:r>
      <w:bookmarkEnd w:id="271"/>
      <w:bookmarkEnd w:id="272"/>
      <w:bookmarkEnd w:id="273"/>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274" w:name="_Toc7182568"/>
      <w:bookmarkStart w:id="275" w:name="_Toc7510467"/>
      <w:bookmarkStart w:id="276" w:name="_Toc7510800"/>
      <w:r>
        <w:lastRenderedPageBreak/>
        <w:t>Notes</w:t>
      </w:r>
      <w:bookmarkEnd w:id="274"/>
      <w:bookmarkEnd w:id="275"/>
      <w:bookmarkEnd w:id="276"/>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  The table also contains information about any reprint.</w:t>
      </w:r>
    </w:p>
    <w:p>
      <w:pPr>
        <w:pStyle w:val="nHeading3"/>
      </w:pPr>
      <w:bookmarkStart w:id="277" w:name="_Toc7510801"/>
      <w:r>
        <w:t>Compilation table</w:t>
      </w:r>
      <w:bookmarkEnd w:id="27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lastRenderedPageBreak/>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single" w:sz="4" w:space="0" w:color="auto"/>
            </w:tcBorders>
          </w:tcPr>
          <w:p>
            <w:pPr>
              <w:pStyle w:val="nTable"/>
              <w:spacing w:after="40"/>
              <w:rPr>
                <w:i/>
              </w:rPr>
            </w:pPr>
            <w:r>
              <w:rPr>
                <w:i/>
              </w:rPr>
              <w:t>Building Amendment Regulations 2019</w:t>
            </w:r>
          </w:p>
        </w:tc>
        <w:tc>
          <w:tcPr>
            <w:tcW w:w="1276" w:type="dxa"/>
            <w:tcBorders>
              <w:top w:val="nil"/>
              <w:bottom w:val="single" w:sz="4" w:space="0" w:color="auto"/>
            </w:tcBorders>
          </w:tcPr>
          <w:p>
            <w:pPr>
              <w:pStyle w:val="nTable"/>
              <w:spacing w:after="40"/>
            </w:pPr>
            <w:r>
              <w:t>26 Mar 2019 p. 943</w:t>
            </w:r>
            <w:r>
              <w:noBreakHyphen/>
              <w:t>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79" w:name="_Toc7510802"/>
      <w:r>
        <w:rPr>
          <w:sz w:val="28"/>
        </w:rPr>
        <w:lastRenderedPageBreak/>
        <w:t>Defined terms</w:t>
      </w:r>
      <w:bookmarkEnd w:id="2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lastRenderedPageBreak/>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0" w:name="DefinedTerms"/>
    <w:bookmarkEnd w:id="280"/>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1" w:name="Coversheet"/>
    <w:bookmarkEnd w:id="2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228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426102202"/>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22881"/>
    <o:shapelayout v:ext="edit">
      <o:idmap v:ext="edit" data="1"/>
    </o:shapelayout>
  </w:shapeDefaults>
  <w:decimalSymbol w:val="."/>
  <w:listSeparator w:val=","/>
  <w15:docId w15:val="{9C271C3D-5933-4DD4-B358-A87131A61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DD3CE-87E5-4D3A-B864-55E8AFCCA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25186</Words>
  <Characters>125429</Characters>
  <Application>Microsoft Office Word</Application>
  <DocSecurity>0</DocSecurity>
  <Lines>4180</Lines>
  <Paragraphs>2390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2012 - 03-m0-01</dc:title>
  <dc:subject/>
  <dc:creator/>
  <cp:keywords/>
  <dc:description/>
  <cp:lastModifiedBy>Master Repository Process</cp:lastModifiedBy>
  <cp:revision>4</cp:revision>
  <cp:lastPrinted>2017-06-23T08:00:00Z</cp:lastPrinted>
  <dcterms:created xsi:type="dcterms:W3CDTF">2022-06-27T05:19:00Z</dcterms:created>
  <dcterms:modified xsi:type="dcterms:W3CDTF">2022-06-27T05:19:00Z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01 May 2019</vt:lpwstr>
  </property>
  <property fmtid="{D5CDD505-2E9C-101B-9397-08002B2CF9AE}" pid="7" name="Suffix">
    <vt:lpwstr>03-m0-01</vt:lpwstr>
  </property>
  <property fmtid="{D5CDD505-2E9C-101B-9397-08002B2CF9AE}" pid="8" name="CommencementDate">
    <vt:lpwstr>20190501</vt:lpwstr>
  </property>
</Properties>
</file>