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Suitors’ Fund Amendment Act 2019</w:t>
      </w:r>
      <w:r>
        <w:fldChar w:fldCharType="end"/>
      </w:r>
    </w:p>
    <w:p>
      <w:p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Suitors’ Fund Amendment Act 2019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_Toc8901141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_Toc8901142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_Toc8901143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5 amended</w:t>
      </w:r>
      <w:r>
        <w:tab/>
      </w:r>
      <w:r>
        <w:fldChar w:fldCharType="begin"/>
      </w:r>
      <w:r>
        <w:instrText xml:space="preserve"> PAGEREF _Toc8901144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6 amended</w:t>
      </w:r>
      <w:r>
        <w:tab/>
      </w:r>
      <w:r>
        <w:fldChar w:fldCharType="begin"/>
      </w:r>
      <w:r>
        <w:instrText xml:space="preserve"> PAGEREF _Toc8901145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18 inserted</w:t>
      </w:r>
      <w:r>
        <w:tab/>
      </w:r>
      <w:r>
        <w:fldChar w:fldCharType="begin"/>
      </w:r>
      <w:r>
        <w:instrText xml:space="preserve"> PAGEREF _Toc8901146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18.</w:t>
      </w:r>
      <w:r>
        <w:rPr>
          <w:noProof/>
        </w:rPr>
        <w:tab/>
        <w:t>Review of Act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_Toc8901147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  <w:spacing w:before="120"/>
      </w:pPr>
      <w:r>
        <w:t>Suitors’ Fund Amendment Act 2019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8 of 2019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Suitors’ Fund Act 1964</w:t>
      </w:r>
      <w:r>
        <w:t>.</w:t>
      </w:r>
    </w:p>
    <w:p>
      <w:pPr>
        <w:pStyle w:val="AssentNote"/>
      </w:pPr>
      <w:r>
        <w:t>[Assented to 15 May 2019]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8298815"/>
      <w:bookmarkStart w:id="5" w:name="_Toc8898657"/>
      <w:bookmarkStart w:id="6" w:name="_Toc8901141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Suitors’ Fund Amendment Act 2019</w:t>
      </w:r>
      <w:r>
        <w:t>.</w:t>
      </w:r>
    </w:p>
    <w:p>
      <w:pPr>
        <w:pStyle w:val="Heading5"/>
      </w:pPr>
      <w:bookmarkStart w:id="7" w:name="_Toc8298816"/>
      <w:bookmarkStart w:id="8" w:name="_Toc8898658"/>
      <w:bookmarkStart w:id="9" w:name="_Toc8901142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to 3 and 6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proclamation.</w:t>
      </w:r>
    </w:p>
    <w:p>
      <w:pPr>
        <w:pStyle w:val="Heading5"/>
        <w:rPr>
          <w:snapToGrid w:val="0"/>
        </w:rPr>
      </w:pPr>
      <w:bookmarkStart w:id="10" w:name="_Toc8298817"/>
      <w:bookmarkStart w:id="11" w:name="_Toc8898659"/>
      <w:bookmarkStart w:id="12" w:name="_Toc890114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Suitors’ Fund Act 1964</w:t>
      </w:r>
      <w:r>
        <w:t>.</w:t>
      </w:r>
    </w:p>
    <w:p>
      <w:pPr>
        <w:pStyle w:val="Heading5"/>
      </w:pPr>
      <w:bookmarkStart w:id="13" w:name="_Toc8298818"/>
      <w:bookmarkStart w:id="14" w:name="_Toc8898660"/>
      <w:bookmarkStart w:id="15" w:name="_Toc8901144"/>
      <w:r>
        <w:rPr>
          <w:rStyle w:val="CharSectno"/>
        </w:rPr>
        <w:t>4</w:t>
      </w:r>
      <w:r>
        <w:t>.</w:t>
      </w:r>
      <w:r>
        <w:tab/>
        <w:t>Section 5 amended</w:t>
      </w:r>
      <w:bookmarkEnd w:id="13"/>
      <w:bookmarkEnd w:id="14"/>
      <w:bookmarkEnd w:id="15"/>
    </w:p>
    <w:p>
      <w:pPr>
        <w:pStyle w:val="Subsection"/>
        <w:rPr>
          <w:snapToGrid w:val="0"/>
        </w:rPr>
      </w:pPr>
      <w:r>
        <w:tab/>
        <w:t>(1)</w:t>
      </w:r>
      <w:r>
        <w:tab/>
        <w:t>In section 5(1) delete “</w:t>
      </w:r>
      <w:r>
        <w:rPr>
          <w:snapToGrid w:val="0"/>
        </w:rPr>
        <w:t>court, the sum of 10 cents or such other sum not exceeding 20 cents as may from time to time be prescribed.”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court, a levy of an amount prescribed by the regulations.</w:t>
      </w:r>
    </w:p>
    <w:p>
      <w:pPr>
        <w:pStyle w:val="BlankClose"/>
        <w:rPr>
          <w:snapToGrid w:val="0"/>
        </w:rPr>
      </w:pPr>
    </w:p>
    <w:p>
      <w:pPr>
        <w:pStyle w:val="Subsection"/>
      </w:pPr>
      <w:r>
        <w:tab/>
        <w:t>(2)</w:t>
      </w:r>
      <w:r>
        <w:tab/>
        <w:t>After section 5(2) insert:</w:t>
      </w:r>
    </w:p>
    <w:p>
      <w:pPr>
        <w:pStyle w:val="BlankOpen"/>
      </w:pPr>
    </w:p>
    <w:p>
      <w:pPr>
        <w:pStyle w:val="zSubsection"/>
      </w:pPr>
      <w:r>
        <w:tab/>
        <w:t>(3)</w:t>
      </w:r>
      <w:r>
        <w:tab/>
        <w:t>The regulations may prescribe different amounts of levy for different processes or classes of process.</w:t>
      </w:r>
    </w:p>
    <w:p>
      <w:pPr>
        <w:pStyle w:val="zSubsection"/>
      </w:pPr>
      <w:r>
        <w:tab/>
        <w:t>(4)</w:t>
      </w:r>
      <w:r>
        <w:tab/>
        <w:t xml:space="preserve">Nothing in this section is to be taken as limiting the operation of the </w:t>
      </w:r>
      <w:r>
        <w:rPr>
          <w:i/>
        </w:rPr>
        <w:t>Interpretation Act 1984</w:t>
      </w:r>
      <w:r>
        <w:t xml:space="preserve"> section 43.</w:t>
      </w:r>
    </w:p>
    <w:p>
      <w:pPr>
        <w:pStyle w:val="BlankClose"/>
      </w:pPr>
    </w:p>
    <w:p>
      <w:pPr>
        <w:pStyle w:val="SectAltNote"/>
      </w:pPr>
      <w:r>
        <w:tab/>
        <w:t>Note:</w:t>
      </w:r>
      <w:r>
        <w:tab/>
        <w:t>The heading to amended section 5 is to read:</w:t>
      </w:r>
    </w:p>
    <w:p>
      <w:pPr>
        <w:pStyle w:val="SectAltHeading"/>
      </w:pPr>
      <w:r>
        <w:rPr>
          <w:b w:val="0"/>
        </w:rPr>
        <w:tab/>
      </w:r>
      <w:r>
        <w:rPr>
          <w:b w:val="0"/>
        </w:rPr>
        <w:tab/>
      </w:r>
      <w:r>
        <w:t>Levy to be paid to courts</w:t>
      </w:r>
    </w:p>
    <w:p>
      <w:pPr>
        <w:pStyle w:val="Heading5"/>
      </w:pPr>
      <w:bookmarkStart w:id="16" w:name="_Toc8298819"/>
      <w:bookmarkStart w:id="17" w:name="_Toc8898661"/>
      <w:bookmarkStart w:id="18" w:name="_Toc8901145"/>
      <w:r>
        <w:rPr>
          <w:rStyle w:val="CharSectno"/>
        </w:rPr>
        <w:t>5</w:t>
      </w:r>
      <w:r>
        <w:t>.</w:t>
      </w:r>
      <w:r>
        <w:tab/>
        <w:t>Section 6 amended</w:t>
      </w:r>
      <w:bookmarkEnd w:id="16"/>
      <w:bookmarkEnd w:id="17"/>
      <w:bookmarkEnd w:id="18"/>
    </w:p>
    <w:p>
      <w:pPr>
        <w:pStyle w:val="Subsection"/>
        <w:keepNext/>
      </w:pPr>
      <w:r>
        <w:tab/>
        <w:t>(1)</w:t>
      </w:r>
      <w:r>
        <w:tab/>
        <w:t>In section 6(1) delete “fee”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levy</w:t>
      </w:r>
    </w:p>
    <w:p>
      <w:pPr>
        <w:pStyle w:val="BlankClose"/>
      </w:pPr>
    </w:p>
    <w:p>
      <w:pPr>
        <w:pStyle w:val="Subsection"/>
        <w:keepNext/>
        <w:keepLines/>
        <w:widowControl w:val="0"/>
      </w:pPr>
      <w:r>
        <w:tab/>
        <w:t>(2)</w:t>
      </w:r>
      <w:r>
        <w:tab/>
        <w:t>In section 6(2) delete “additional fee” and insert:</w:t>
      </w:r>
    </w:p>
    <w:p>
      <w:pPr>
        <w:pStyle w:val="BlankOpen"/>
        <w:widowControl w:val="0"/>
      </w:pPr>
    </w:p>
    <w:p>
      <w:pPr>
        <w:pStyle w:val="Subsection"/>
        <w:keepNext/>
        <w:keepLines/>
        <w:widowControl w:val="0"/>
      </w:pPr>
      <w:r>
        <w:tab/>
      </w:r>
      <w:r>
        <w:tab/>
        <w:t>levy</w:t>
      </w:r>
    </w:p>
    <w:p>
      <w:pPr>
        <w:pStyle w:val="BlankClose"/>
        <w:keepNext/>
        <w:widowControl w:val="0"/>
      </w:pPr>
    </w:p>
    <w:p>
      <w:pPr>
        <w:pStyle w:val="SectAltNote"/>
      </w:pPr>
      <w:r>
        <w:tab/>
        <w:t>Note:</w:t>
      </w:r>
      <w:r>
        <w:tab/>
        <w:t>The heading to amended section 6 is to read:</w:t>
      </w:r>
    </w:p>
    <w:p>
      <w:pPr>
        <w:pStyle w:val="SectAltHeading"/>
      </w:pPr>
      <w:r>
        <w:rPr>
          <w:b w:val="0"/>
        </w:rPr>
        <w:tab/>
      </w:r>
      <w:r>
        <w:rPr>
          <w:b w:val="0"/>
        </w:rPr>
        <w:tab/>
      </w:r>
      <w:r>
        <w:t>Department to advise Treasurer of number of processes upon which levy payable</w:t>
      </w:r>
    </w:p>
    <w:p>
      <w:pPr>
        <w:pStyle w:val="Heading5"/>
      </w:pPr>
      <w:bookmarkStart w:id="19" w:name="_Toc8298820"/>
      <w:bookmarkStart w:id="20" w:name="_Toc8898662"/>
      <w:bookmarkStart w:id="21" w:name="_Toc8901146"/>
      <w:r>
        <w:rPr>
          <w:rStyle w:val="CharSectno"/>
        </w:rPr>
        <w:t>6</w:t>
      </w:r>
      <w:r>
        <w:t>.</w:t>
      </w:r>
      <w:r>
        <w:tab/>
        <w:t>Section 18 inserted</w:t>
      </w:r>
      <w:bookmarkEnd w:id="19"/>
      <w:bookmarkEnd w:id="20"/>
      <w:bookmarkEnd w:id="21"/>
    </w:p>
    <w:p>
      <w:pPr>
        <w:pStyle w:val="Subsection"/>
      </w:pPr>
      <w:r>
        <w:tab/>
      </w:r>
      <w:r>
        <w:tab/>
        <w:t xml:space="preserve">After section 17 insert — </w:t>
      </w:r>
    </w:p>
    <w:p>
      <w:pPr>
        <w:pStyle w:val="zHeading5"/>
      </w:pPr>
      <w:bookmarkStart w:id="22" w:name="_Toc8298821"/>
      <w:bookmarkStart w:id="23" w:name="_Toc8898663"/>
      <w:bookmarkStart w:id="24" w:name="_Toc8901147"/>
      <w:r>
        <w:t>18.</w:t>
      </w:r>
      <w:r>
        <w:tab/>
        <w:t>Review of Act</w:t>
      </w:r>
      <w:bookmarkEnd w:id="22"/>
      <w:bookmarkEnd w:id="23"/>
      <w:bookmarkEnd w:id="24"/>
    </w:p>
    <w:p>
      <w:pPr>
        <w:pStyle w:val="zSubsection"/>
      </w:pPr>
      <w:r>
        <w:tab/>
        <w:t>(1)</w:t>
      </w:r>
      <w:r>
        <w:tab/>
        <w:t>The Minister must review the operation and effectiveness of this Act, and prepare a report based on the review, as soon as practicable after the 2</w:t>
      </w:r>
      <w:r>
        <w:rPr>
          <w:vertAlign w:val="superscript"/>
        </w:rPr>
        <w:t>nd</w:t>
      </w:r>
      <w:r>
        <w:t xml:space="preserve"> anniversary of the day on which the </w:t>
      </w:r>
      <w:r>
        <w:rPr>
          <w:i/>
        </w:rPr>
        <w:t>Suitors’ Fund Amendment Act 2019</w:t>
      </w:r>
      <w:r>
        <w:t xml:space="preserve"> section 6 comes into operation.</w:t>
      </w:r>
    </w:p>
    <w:p>
      <w:pPr>
        <w:pStyle w:val="zSubsection"/>
      </w:pPr>
      <w:r>
        <w:tab/>
        <w:t>(2)</w:t>
      </w:r>
      <w:r>
        <w:tab/>
        <w:t xml:space="preserve">The review must address the following — </w:t>
      </w:r>
    </w:p>
    <w:p>
      <w:pPr>
        <w:pStyle w:val="zIndenta"/>
      </w:pPr>
      <w:r>
        <w:tab/>
        <w:t>(a)</w:t>
      </w:r>
      <w:r>
        <w:tab/>
        <w:t>the effect of the levy payable under section 5 on access by litigants to the courts;</w:t>
      </w:r>
    </w:p>
    <w:p>
      <w:pPr>
        <w:pStyle w:val="zIndenta"/>
      </w:pPr>
      <w:r>
        <w:tab/>
        <w:t>(b)</w:t>
      </w:r>
      <w:r>
        <w:tab/>
        <w:t>the extent to which recommendations from reports of the Law Reform Commission of Western Australia relating to the operation of this Act have not been implemented; and</w:t>
      </w:r>
    </w:p>
    <w:p>
      <w:pPr>
        <w:pStyle w:val="zIndenta"/>
      </w:pPr>
      <w:r>
        <w:tab/>
        <w:t>(c)</w:t>
      </w:r>
      <w:r>
        <w:tab/>
        <w:t>any other matters that appear to the Minister to be relevant to the operation and effectiveness of this Act.</w:t>
      </w:r>
    </w:p>
    <w:p>
      <w:pPr>
        <w:pStyle w:val="zSubsection"/>
      </w:pPr>
      <w:r>
        <w:tab/>
        <w:t>(3)</w:t>
      </w:r>
      <w:r>
        <w:tab/>
        <w:t>The Minister must cause the report to be laid before each House of Parliament as soon as practicable after it is prepared, but not later than 12 months after the 2</w:t>
      </w:r>
      <w:r>
        <w:rPr>
          <w:vertAlign w:val="superscript"/>
        </w:rPr>
        <w:t>nd</w:t>
      </w:r>
      <w:r>
        <w:t> anniversary.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1246632" cy="231648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46632" cy="23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ectAltHeading"/>
        <w:sectPr>
          <w:headerReference w:type="even" r:id="rId30"/>
          <w:headerReference w:type="default" r:id="rId3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-59635</wp:posOffset>
                </wp:positionH>
                <wp:positionV relativeFrom="page">
                  <wp:posOffset>7975048</wp:posOffset>
                </wp:positionV>
                <wp:extent cx="128016" cy="2629424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" cy="26294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4.7pt;margin-top:627.95pt;width:10.1pt;height:207.05pt;z-index:251664384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" stroked="f" strokeweight=".5pt">
                <v:textbox>
                  <w:txbxContent>
                    <w:p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2019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May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May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2019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May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2019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2019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May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May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2019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May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8 of 2019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Suitors’ Fund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Suitors’ Fund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Suitors’ Fund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Suitors’ Fund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Suitors’ Fund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Suitors’ Fund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Suitors’ Fund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Suitors’ Fund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5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2"/>
  </w:num>
  <w:num w:numId="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1115095847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70913153644" w:val="RemoveTocBookmarks,RemoveUnusedBookmarks,RemoveLanguageTags,UsedStyles,ResetPageSize"/>
    <w:docVar w:name="WAFER_20170913153644_GUID" w:val="bff69077-c257-4e2e-b161-6ee0c69ef010"/>
    <w:docVar w:name="WAFER_20170913154433" w:val="RemoveTocBookmarks,RemoveUnusedBookmarks,RemoveLanguageTags,UsedStyles,ResetPageSize"/>
    <w:docVar w:name="WAFER_20170913154433_GUID" w:val="db2877e9-8cb3-48e0-ba6e-cd5848a1ddcb"/>
    <w:docVar w:name="WAFER_20170913160335" w:val="RemoveTocBookmarks,RunningHeaders"/>
    <w:docVar w:name="WAFER_20170913160335_GUID" w:val="44911af5-8f0b-4c06-9085-c6119c3d67bd"/>
    <w:docVar w:name="WAFER_20170929141210" w:val="RemoveTocBookmarks,RemoveUnusedBookmarks,RemoveLanguageTags,UsedStyles,ResetPageSize"/>
    <w:docVar w:name="WAFER_20170929141210_GUID" w:val="f5187dc2-ed78-4ce6-8334-6a0a980a419f"/>
    <w:docVar w:name="WAFER_20170929143740" w:val="RemoveTocBookmarks,RemoveUnusedBookmarks,RemoveLanguageTags,UsedStyles,ResetPageSize"/>
    <w:docVar w:name="WAFER_20170929143740_GUID" w:val="49966c40-026e-4161-b1d9-d27412324a62"/>
    <w:docVar w:name="WAFER_20170929143849" w:val="RemoveTocBookmarks,RemoveUnusedBookmarks,RemoveLanguageTags,UsedStyles,ResetPageSize"/>
    <w:docVar w:name="WAFER_20170929143849_GUID" w:val="58503d53-a91a-4129-9512-74940f9c0e74"/>
    <w:docVar w:name="WAFER_20170929145853" w:val="RemoveTocBookmarks,RunningHeaders"/>
    <w:docVar w:name="WAFER_20170929145853_GUID" w:val="1a5e565d-4154-4651-9d71-b613d31c46aa"/>
    <w:docVar w:name="WAFER_20171115095847" w:val="RemoveTocBookmarks,RemoveUnusedBookmarks,RemoveLanguageTags,UsedStyles,ResetPageSize"/>
    <w:docVar w:name="WAFER_20171115095847_GUID" w:val="db4ddc24-da77-4715-add5-00d0b3ad814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10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header" Target="header13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image" Target="media/image3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2.xml"/><Relationship Id="rId37" Type="http://schemas.openxmlformats.org/officeDocument/2006/relationships/footer" Target="footer1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footer" Target="footer9.xml"/><Relationship Id="rId36" Type="http://schemas.openxmlformats.org/officeDocument/2006/relationships/header" Target="header14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9.xml"/><Relationship Id="rId30" Type="http://schemas.openxmlformats.org/officeDocument/2006/relationships/header" Target="header10.xml"/><Relationship Id="rId35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47888-C7F9-473A-B55A-3C4F2B71F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560</Words>
  <Characters>2581</Characters>
  <Application>Microsoft Office Word</Application>
  <DocSecurity>0</DocSecurity>
  <Lines>107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3067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Suitors' Fund Amendment Act 2019 - 00-00-00</dc:title>
  <dc:subject/>
  <dc:creator/>
  <cp:keywords/>
  <dc:description/>
  <cp:lastModifiedBy>svcMRProcess</cp:lastModifiedBy>
  <cp:revision>4</cp:revision>
  <cp:lastPrinted>2019-05-16T03:04:00Z</cp:lastPrinted>
  <dcterms:created xsi:type="dcterms:W3CDTF">2019-05-16T04:20:00Z</dcterms:created>
  <dcterms:modified xsi:type="dcterms:W3CDTF">2019-05-16T04:20:00Z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2583</vt:lpwstr>
  </property>
  <property fmtid="{D5CDD505-2E9C-101B-9397-08002B2CF9AE}" pid="3" name="ShortTitle">
    <vt:lpwstr>Suitors’ Fund Amendment Act 2019</vt:lpwstr>
  </property>
  <property fmtid="{D5CDD505-2E9C-101B-9397-08002B2CF9AE}" pid="4" name="Citation">
    <vt:lpwstr>Suitors’ Fund Amendment Act 2019</vt:lpwstr>
  </property>
  <property fmtid="{D5CDD505-2E9C-101B-9397-08002B2CF9AE}" pid="5" name="PrincipalAct">
    <vt:lpwstr>Suitors’ Fund Act 1964</vt:lpwstr>
  </property>
  <property fmtid="{D5CDD505-2E9C-101B-9397-08002B2CF9AE}" pid="6" name="DraftNo">
    <vt:lpwstr>Final</vt:lpwstr>
  </property>
  <property fmtid="{D5CDD505-2E9C-101B-9397-08002B2CF9AE}" pid="7" name="PrivateMember">
    <vt:lpwstr/>
  </property>
  <property fmtid="{D5CDD505-2E9C-101B-9397-08002B2CF9AE}" pid="8" name="PreviousSLPBillNumber">
    <vt:lpwstr>50—1</vt:lpwstr>
  </property>
  <property fmtid="{D5CDD505-2E9C-101B-9397-08002B2CF9AE}" pid="9" name="SLPBillNumber">
    <vt:lpwstr>50—2</vt:lpwstr>
  </property>
  <property fmtid="{D5CDD505-2E9C-101B-9397-08002B2CF9AE}" pid="10" name="PrintABill">
    <vt:lpwstr>Yes</vt:lpwstr>
  </property>
  <property fmtid="{D5CDD505-2E9C-101B-9397-08002B2CF9AE}" pid="11" name="Cancel">
    <vt:lpwstr>No</vt:lpwstr>
  </property>
  <property fmtid="{D5CDD505-2E9C-101B-9397-08002B2CF9AE}" pid="12" name="ActNo">
    <vt:lpwstr>8 of 2019</vt:lpwstr>
  </property>
  <property fmtid="{D5CDD505-2E9C-101B-9397-08002B2CF9AE}" pid="13" name="KitandImprint">
    <vt:lpwstr>  </vt:lpwstr>
  </property>
  <property fmtid="{D5CDD505-2E9C-101B-9397-08002B2CF9AE}" pid="14" name="Assent Date">
    <vt:lpwstr>15 May 2019</vt:lpwstr>
  </property>
  <property fmtid="{D5CDD505-2E9C-101B-9397-08002B2CF9AE}" pid="15" name="PerfectBound">
    <vt:lpwstr>NO</vt:lpwstr>
  </property>
  <property fmtid="{D5CDD505-2E9C-101B-9397-08002B2CF9AE}" pid="16" name="_AdHocReviewCycleID">
    <vt:i4>1380934066</vt:i4>
  </property>
  <property fmtid="{D5CDD505-2E9C-101B-9397-08002B2CF9AE}" pid="17" name="_NewReviewCycle">
    <vt:lpwstr/>
  </property>
  <property fmtid="{D5CDD505-2E9C-101B-9397-08002B2CF9AE}" pid="18" name="_EmailSubject">
    <vt:lpwstr>Act 8 of 2019  (Suitors’ Fund Amendment Act 2019)</vt:lpwstr>
  </property>
  <property fmtid="{D5CDD505-2E9C-101B-9397-08002B2CF9AE}" pid="19" name="_AuthorEmail">
    <vt:lpwstr>Allan.Mathieson@dpc.wa.gov.au</vt:lpwstr>
  </property>
  <property fmtid="{D5CDD505-2E9C-101B-9397-08002B2CF9AE}" pid="20" name="_AuthorEmailDisplayName">
    <vt:lpwstr>Mathieson, Alan</vt:lpwstr>
  </property>
  <property fmtid="{D5CDD505-2E9C-101B-9397-08002B2CF9AE}" pid="21" name="_ReviewingToolsShownOnce">
    <vt:lpwstr/>
  </property>
  <property fmtid="{D5CDD505-2E9C-101B-9397-08002B2CF9AE}" pid="22" name="DocumentType">
    <vt:lpwstr>Act</vt:lpwstr>
  </property>
  <property fmtid="{D5CDD505-2E9C-101B-9397-08002B2CF9AE}" pid="23" name="AsAtDate">
    <vt:lpwstr>15 May 2019</vt:lpwstr>
  </property>
  <property fmtid="{D5CDD505-2E9C-101B-9397-08002B2CF9AE}" pid="24" name="Suffix">
    <vt:lpwstr>00-00-00</vt:lpwstr>
  </property>
  <property fmtid="{D5CDD505-2E9C-101B-9397-08002B2CF9AE}" pid="25" name="ActNoFooter">
    <vt:lpwstr>No. 8 of 2019</vt:lpwstr>
  </property>
  <property fmtid="{D5CDD505-2E9C-101B-9397-08002B2CF9AE}" pid="26" name="CommencementDate">
    <vt:lpwstr>20190515</vt:lpwstr>
  </property>
</Properties>
</file>