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Suitors’ Fund Act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Suitors’ Fund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_Toc33611835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_Toc33611836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_Toc33611837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Suitors’ Fund established</w:t>
      </w:r>
      <w:r>
        <w:tab/>
      </w:r>
      <w:r>
        <w:fldChar w:fldCharType="begin"/>
      </w:r>
      <w:r>
        <w:instrText xml:space="preserve"> PAGEREF _Toc33611838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w:t>
      </w:r>
      <w:r>
        <w:rPr>
          <w:i/>
        </w:rPr>
        <w:t xml:space="preserve"> Financial Management Act 2006</w:t>
      </w:r>
      <w:r>
        <w:t xml:space="preserve"> and </w:t>
      </w:r>
      <w:r>
        <w:rPr>
          <w:i/>
        </w:rPr>
        <w:t>Auditor General Act 2006</w:t>
      </w:r>
      <w:r>
        <w:tab/>
      </w:r>
      <w:r>
        <w:fldChar w:fldCharType="begin"/>
      </w:r>
      <w:r>
        <w:instrText xml:space="preserve"> PAGEREF _Toc33611839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 to be paid to courts on issue of writs etc.</w:t>
      </w:r>
      <w:r>
        <w:tab/>
      </w:r>
      <w:r>
        <w:fldChar w:fldCharType="begin"/>
      </w:r>
      <w:r>
        <w:instrText xml:space="preserve"> PAGEREF _Toc33611840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Department to advise Treasurer of number of writs etc. issued</w:t>
      </w:r>
      <w:r>
        <w:tab/>
      </w:r>
      <w:r>
        <w:fldChar w:fldCharType="begin"/>
      </w:r>
      <w:r>
        <w:instrText xml:space="preserve"> PAGEREF _Toc33611841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from Fund only on direction of Board</w:t>
      </w:r>
      <w:r>
        <w:tab/>
      </w:r>
      <w:r>
        <w:fldChar w:fldCharType="begin"/>
      </w:r>
      <w:r>
        <w:instrText xml:space="preserve"> PAGEREF _Toc33611842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Appeal Costs Board, constitution</w:t>
      </w:r>
      <w:r>
        <w:tab/>
      </w:r>
      <w:r>
        <w:fldChar w:fldCharType="begin"/>
      </w:r>
      <w:r>
        <w:instrText xml:space="preserve"> PAGEREF _Toc33611843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Board meetings</w:t>
      </w:r>
      <w:r>
        <w:tab/>
      </w:r>
      <w:r>
        <w:fldChar w:fldCharType="begin"/>
      </w:r>
      <w:r>
        <w:instrText xml:space="preserve"> PAGEREF _Toc33611844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Successful appeal on question of law, indemnity certificate may be granted</w:t>
      </w:r>
      <w:r>
        <w:tab/>
      </w:r>
      <w:r>
        <w:fldChar w:fldCharType="begin"/>
      </w:r>
      <w:r>
        <w:instrText xml:space="preserve"> PAGEREF _Toc33611845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Indemnity certificate entitles respondent to costs from the Fund</w:t>
      </w:r>
      <w:r>
        <w:tab/>
      </w:r>
      <w:r>
        <w:fldChar w:fldCharType="begin"/>
      </w:r>
      <w:r>
        <w:instrText xml:space="preserve"> PAGEREF _Toc33611846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Indemnity certificate vacated or inoperative in certain circumstances</w:t>
      </w:r>
      <w:r>
        <w:tab/>
      </w:r>
      <w:r>
        <w:fldChar w:fldCharType="begin"/>
      </w:r>
      <w:r>
        <w:instrText xml:space="preserve"> PAGEREF _Toc33611847 \h </w:instrText>
      </w:r>
      <w:r>
        <w:fldChar w:fldCharType="separate"/>
      </w:r>
      <w:r>
        <w:t>10</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Costs of trial where conviction quashed without new trial may be met from Fund; cost certificates</w:t>
      </w:r>
      <w:r>
        <w:tab/>
      </w:r>
      <w:r>
        <w:fldChar w:fldCharType="begin"/>
      </w:r>
      <w:r>
        <w:instrText xml:space="preserve"> PAGEREF _Toc33611848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appeal lies against grant or refusal of certificate</w:t>
      </w:r>
      <w:r>
        <w:tab/>
      </w:r>
      <w:r>
        <w:fldChar w:fldCharType="begin"/>
      </w:r>
      <w:r>
        <w:instrText xml:space="preserve"> PAGEREF _Toc33611849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Costs of new trial etc. where proceedings aborted etc. due to no fault of party may be met from Fund</w:t>
      </w:r>
      <w:r>
        <w:tab/>
      </w:r>
      <w:r>
        <w:fldChar w:fldCharType="begin"/>
      </w:r>
      <w:r>
        <w:instrText xml:space="preserve"> PAGEREF _Toc33611850 \h </w:instrText>
      </w:r>
      <w:r>
        <w:fldChar w:fldCharType="separate"/>
      </w:r>
      <w:r>
        <w:t>14</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Costs of legal representation of infant may be met from Fund</w:t>
      </w:r>
      <w:r>
        <w:tab/>
      </w:r>
      <w:r>
        <w:fldChar w:fldCharType="begin"/>
      </w:r>
      <w:r>
        <w:instrText xml:space="preserve"> PAGEREF _Toc33611851 \h </w:instrText>
      </w:r>
      <w:r>
        <w:fldChar w:fldCharType="separate"/>
      </w:r>
      <w:r>
        <w:t>16</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Costs of trial etc. where court refuses to approve settlement may be met from Fund</w:t>
      </w:r>
      <w:r>
        <w:tab/>
      </w:r>
      <w:r>
        <w:fldChar w:fldCharType="begin"/>
      </w:r>
      <w:r>
        <w:instrText xml:space="preserve"> PAGEREF _Toc33611852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Costs of appeal etc. where award of damages overturned on appeal may be met from Fund</w:t>
      </w:r>
      <w:r>
        <w:tab/>
      </w:r>
      <w:r>
        <w:fldChar w:fldCharType="begin"/>
      </w:r>
      <w:r>
        <w:instrText xml:space="preserve"> PAGEREF _Toc33611853 \h </w:instrText>
      </w:r>
      <w:r>
        <w:fldChar w:fldCharType="separate"/>
      </w:r>
      <w:r>
        <w:t>19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Subsidiary and related corporations</w:t>
      </w:r>
      <w:r>
        <w:tab/>
      </w:r>
      <w:r>
        <w:fldChar w:fldCharType="begin"/>
      </w:r>
      <w:r>
        <w:instrText xml:space="preserve"> PAGEREF _Toc33611854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from personal liability</w:t>
      </w:r>
      <w:r>
        <w:tab/>
      </w:r>
      <w:r>
        <w:fldChar w:fldCharType="begin"/>
      </w:r>
      <w:r>
        <w:instrText xml:space="preserve"> PAGEREF _Toc33611855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_Toc33611856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w:t>
      </w:r>
      <w:r>
        <w:tab/>
      </w:r>
      <w:r>
        <w:fldChar w:fldCharType="begin"/>
      </w:r>
      <w:r>
        <w:instrText xml:space="preserve"> PAGEREF _Toc33611857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_Toc33611859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_Toc33611860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_Toc33611861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40"/>
      </w:pPr>
      <w:r>
        <w:t>Suitors’ Fund Act 1964</w:t>
      </w:r>
    </w:p>
    <w:p>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pPr>
        <w:pStyle w:val="Heading5"/>
        <w:rPr>
          <w:snapToGrid w:val="0"/>
        </w:rPr>
      </w:pPr>
      <w:bookmarkStart w:id="3" w:name="_Toc3361183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pPr>
        <w:pStyle w:val="Heading5"/>
        <w:rPr>
          <w:snapToGrid w:val="0"/>
        </w:rPr>
      </w:pPr>
      <w:bookmarkStart w:id="4" w:name="_Toc33611836"/>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Subject to subsection (2), this Act shall come into operation on a date to be fixed by proclamation.</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5" w:name="_Toc33611837"/>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6" w:name="_Toc33611838"/>
      <w:r>
        <w:rPr>
          <w:rStyle w:val="CharSectno"/>
        </w:rPr>
        <w:t>4</w:t>
      </w:r>
      <w:r>
        <w:rPr>
          <w:snapToGrid w:val="0"/>
        </w:rPr>
        <w:t>.</w:t>
      </w:r>
      <w:r>
        <w:rPr>
          <w:snapToGrid w:val="0"/>
        </w:rPr>
        <w:tab/>
        <w:t>Suitors’ Fund established</w:t>
      </w:r>
      <w:bookmarkEnd w:id="6"/>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7" w:name="_Toc33611839"/>
      <w:r>
        <w:rPr>
          <w:rStyle w:val="CharSectno"/>
        </w:rPr>
        <w:t>4A</w:t>
      </w:r>
      <w:r>
        <w:rPr>
          <w:snapToGrid w:val="0"/>
        </w:rPr>
        <w:t>.</w:t>
      </w:r>
      <w:r>
        <w:rPr>
          <w:snapToGrid w:val="0"/>
        </w:rPr>
        <w:tab/>
        <w:t>Application of</w:t>
      </w:r>
      <w:r>
        <w:rPr>
          <w:i/>
        </w:rPr>
        <w:t xml:space="preserve"> Financial Management Act 2006</w:t>
      </w:r>
      <w:r>
        <w:t xml:space="preserve"> and </w:t>
      </w:r>
      <w:r>
        <w:rPr>
          <w:i/>
        </w:rPr>
        <w:t>Auditor General Act 2006</w:t>
      </w:r>
      <w:bookmarkEnd w:id="7"/>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8" w:name="_Toc33611840"/>
      <w:r>
        <w:rPr>
          <w:rStyle w:val="CharSectno"/>
        </w:rPr>
        <w:t>5</w:t>
      </w:r>
      <w:r>
        <w:rPr>
          <w:snapToGrid w:val="0"/>
        </w:rPr>
        <w:t>.</w:t>
      </w:r>
      <w:r>
        <w:rPr>
          <w:snapToGrid w:val="0"/>
        </w:rPr>
        <w:tab/>
        <w:t>Fees to be paid to courts on issue of writs etc.</w:t>
      </w:r>
      <w:bookmarkEnd w:id="8"/>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Footnotesection"/>
        <w:keepLines w:val="0"/>
      </w:pPr>
      <w:r>
        <w:tab/>
        <w:t>[Section 5 amended: No. 113 of 1965 s. 8; No. 57 of 1971 s. 4; No. 59 of 2004 s. 141; No. 84 of 2004 s. 78.]</w:t>
      </w:r>
    </w:p>
    <w:p>
      <w:pPr>
        <w:pStyle w:val="Heading5"/>
        <w:rPr>
          <w:snapToGrid w:val="0"/>
        </w:rPr>
      </w:pPr>
      <w:bookmarkStart w:id="9" w:name="_Toc33611841"/>
      <w:r>
        <w:rPr>
          <w:rStyle w:val="CharSectno"/>
        </w:rPr>
        <w:t>6</w:t>
      </w:r>
      <w:r>
        <w:rPr>
          <w:snapToGrid w:val="0"/>
        </w:rPr>
        <w:t>.</w:t>
      </w:r>
      <w:r>
        <w:rPr>
          <w:snapToGrid w:val="0"/>
        </w:rPr>
        <w:tab/>
        <w:t>Department to advise Treasurer of number of writs etc. issued</w:t>
      </w:r>
      <w:bookmarkEnd w:id="9"/>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w:t>
      </w:r>
    </w:p>
    <w:p>
      <w:pPr>
        <w:pStyle w:val="Heading5"/>
        <w:rPr>
          <w:snapToGrid w:val="0"/>
        </w:rPr>
      </w:pPr>
      <w:bookmarkStart w:id="10" w:name="_Toc33611842"/>
      <w:r>
        <w:rPr>
          <w:rStyle w:val="CharSectno"/>
        </w:rPr>
        <w:t>7</w:t>
      </w:r>
      <w:r>
        <w:rPr>
          <w:snapToGrid w:val="0"/>
        </w:rPr>
        <w:t>.</w:t>
      </w:r>
      <w:r>
        <w:rPr>
          <w:snapToGrid w:val="0"/>
        </w:rPr>
        <w:tab/>
        <w:t>Payment from Fund only on direction of Board</w:t>
      </w:r>
      <w:bookmarkEnd w:id="10"/>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11" w:name="_Toc33611843"/>
      <w:r>
        <w:rPr>
          <w:rStyle w:val="CharSectno"/>
        </w:rPr>
        <w:t>8</w:t>
      </w:r>
      <w:r>
        <w:rPr>
          <w:snapToGrid w:val="0"/>
        </w:rPr>
        <w:t>.</w:t>
      </w:r>
      <w:r>
        <w:rPr>
          <w:snapToGrid w:val="0"/>
        </w:rPr>
        <w:tab/>
        <w:t>Appeal Costs Board, constitution</w:t>
      </w:r>
      <w:bookmarkEnd w:id="11"/>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w:t>
      </w:r>
    </w:p>
    <w:p>
      <w:pPr>
        <w:pStyle w:val="Heading5"/>
        <w:rPr>
          <w:snapToGrid w:val="0"/>
        </w:rPr>
      </w:pPr>
      <w:bookmarkStart w:id="12" w:name="_Toc33611844"/>
      <w:r>
        <w:rPr>
          <w:rStyle w:val="CharSectno"/>
        </w:rPr>
        <w:t>9</w:t>
      </w:r>
      <w:r>
        <w:rPr>
          <w:snapToGrid w:val="0"/>
        </w:rPr>
        <w:t>.</w:t>
      </w:r>
      <w:r>
        <w:rPr>
          <w:snapToGrid w:val="0"/>
        </w:rPr>
        <w:tab/>
        <w:t>Board meetings</w:t>
      </w:r>
      <w:bookmarkEnd w:id="12"/>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13" w:name="_Toc33611845"/>
      <w:r>
        <w:rPr>
          <w:rStyle w:val="CharSectno"/>
        </w:rPr>
        <w:t>10</w:t>
      </w:r>
      <w:r>
        <w:rPr>
          <w:snapToGrid w:val="0"/>
        </w:rPr>
        <w:t>.</w:t>
      </w:r>
      <w:r>
        <w:rPr>
          <w:snapToGrid w:val="0"/>
        </w:rPr>
        <w:tab/>
        <w:t>Successful appeal on question of law, indemnity certificate may be granted</w:t>
      </w:r>
      <w:bookmarkEnd w:id="13"/>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14" w:name="_Toc33611846"/>
      <w:r>
        <w:rPr>
          <w:rStyle w:val="CharSectno"/>
        </w:rPr>
        <w:t>11</w:t>
      </w:r>
      <w:r>
        <w:rPr>
          <w:snapToGrid w:val="0"/>
        </w:rPr>
        <w:t>.</w:t>
      </w:r>
      <w:r>
        <w:rPr>
          <w:snapToGrid w:val="0"/>
        </w:rPr>
        <w:tab/>
        <w:t>Indemnity certificate entitles respondent to costs from the Fund</w:t>
      </w:r>
      <w:bookmarkEnd w:id="14"/>
    </w:p>
    <w:p>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15" w:name="_Toc33611847"/>
      <w:r>
        <w:rPr>
          <w:rStyle w:val="CharSectno"/>
        </w:rPr>
        <w:t>12</w:t>
      </w:r>
      <w:r>
        <w:rPr>
          <w:snapToGrid w:val="0"/>
        </w:rPr>
        <w:t>.</w:t>
      </w:r>
      <w:r>
        <w:rPr>
          <w:snapToGrid w:val="0"/>
        </w:rPr>
        <w:tab/>
        <w:t>Indemnity certificate vacated or inoperative in certain circumstances</w:t>
      </w:r>
      <w:bookmarkEnd w:id="15"/>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16" w:name="_Toc33611848"/>
      <w:r>
        <w:rPr>
          <w:rStyle w:val="CharSectno"/>
        </w:rPr>
        <w:t>12A</w:t>
      </w:r>
      <w:r>
        <w:rPr>
          <w:snapToGrid w:val="0"/>
        </w:rPr>
        <w:t>.</w:t>
      </w:r>
      <w:r>
        <w:rPr>
          <w:snapToGrid w:val="0"/>
        </w:rPr>
        <w:tab/>
        <w:t>Costs of trial where conviction quashed without new trial may be met from Fund; cost certificates</w:t>
      </w:r>
      <w:bookmarkEnd w:id="16"/>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pPr>
      <w:r>
        <w:tab/>
        <w:t>[Section 12A inserted: No. 57 of 1971 s. 5; amended: No. 49 of 1996 s. 64.]</w:t>
      </w:r>
    </w:p>
    <w:p>
      <w:pPr>
        <w:pStyle w:val="Heading5"/>
        <w:rPr>
          <w:snapToGrid w:val="0"/>
        </w:rPr>
      </w:pPr>
      <w:bookmarkStart w:id="17" w:name="_Toc33611849"/>
      <w:r>
        <w:rPr>
          <w:rStyle w:val="CharSectno"/>
        </w:rPr>
        <w:t>13</w:t>
      </w:r>
      <w:r>
        <w:rPr>
          <w:snapToGrid w:val="0"/>
        </w:rPr>
        <w:t>.</w:t>
      </w:r>
      <w:r>
        <w:rPr>
          <w:snapToGrid w:val="0"/>
        </w:rPr>
        <w:tab/>
        <w:t>No appeal lies against grant or refusal of certificate</w:t>
      </w:r>
      <w:bookmarkEnd w:id="17"/>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18" w:name="_Toc33611850"/>
      <w:r>
        <w:rPr>
          <w:rStyle w:val="CharSectno"/>
        </w:rPr>
        <w:t>14</w:t>
      </w:r>
      <w:r>
        <w:rPr>
          <w:snapToGrid w:val="0"/>
        </w:rPr>
        <w:t>.</w:t>
      </w:r>
      <w:r>
        <w:rPr>
          <w:snapToGrid w:val="0"/>
        </w:rPr>
        <w:tab/>
        <w:t>Costs of new trial etc. where proceedings aborted etc. due to no fault of party may be met from Fund</w:t>
      </w:r>
      <w:bookmarkEnd w:id="18"/>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19" w:name="_Toc33611851"/>
      <w:r>
        <w:rPr>
          <w:rStyle w:val="CharSectno"/>
        </w:rPr>
        <w:t>14A</w:t>
      </w:r>
      <w:r>
        <w:rPr>
          <w:snapToGrid w:val="0"/>
        </w:rPr>
        <w:t>.</w:t>
      </w:r>
      <w:r>
        <w:rPr>
          <w:snapToGrid w:val="0"/>
        </w:rPr>
        <w:tab/>
        <w:t>Costs of legal representation of infant may be met from Fund</w:t>
      </w:r>
      <w:bookmarkEnd w:id="19"/>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20" w:name="_Toc33611852"/>
      <w:r>
        <w:rPr>
          <w:rStyle w:val="CharSectno"/>
        </w:rPr>
        <w:t>14B</w:t>
      </w:r>
      <w:r>
        <w:rPr>
          <w:snapToGrid w:val="0"/>
        </w:rPr>
        <w:t>.</w:t>
      </w:r>
      <w:r>
        <w:rPr>
          <w:snapToGrid w:val="0"/>
        </w:rPr>
        <w:tab/>
        <w:t>Costs of trial etc. where court refuses to approve settlement may be met from Fund</w:t>
      </w:r>
      <w:bookmarkEnd w:id="20"/>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21" w:name="_Toc33611853"/>
      <w:r>
        <w:rPr>
          <w:rStyle w:val="CharSectno"/>
        </w:rPr>
        <w:t>15</w:t>
      </w:r>
      <w:r>
        <w:rPr>
          <w:snapToGrid w:val="0"/>
        </w:rPr>
        <w:t>.</w:t>
      </w:r>
      <w:r>
        <w:rPr>
          <w:snapToGrid w:val="0"/>
        </w:rPr>
        <w:tab/>
        <w:t>Costs of appeal etc. where award of damages overturned on appeal may be met from Fund</w:t>
      </w:r>
      <w:bookmarkEnd w:id="21"/>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22" w:name="_Toc33611854"/>
      <w:r>
        <w:rPr>
          <w:rStyle w:val="CharSectno"/>
        </w:rPr>
        <w:t>15A</w:t>
      </w:r>
      <w:r>
        <w:rPr>
          <w:snapToGrid w:val="0"/>
        </w:rPr>
        <w:t>.</w:t>
      </w:r>
      <w:r>
        <w:rPr>
          <w:snapToGrid w:val="0"/>
        </w:rPr>
        <w:tab/>
        <w:t>Subsidiary and related corporations</w:t>
      </w:r>
      <w:bookmarkEnd w:id="22"/>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23" w:name="_Toc33611855"/>
      <w:r>
        <w:rPr>
          <w:rStyle w:val="CharSectno"/>
        </w:rPr>
        <w:t>16</w:t>
      </w:r>
      <w:r>
        <w:rPr>
          <w:snapToGrid w:val="0"/>
        </w:rPr>
        <w:t>.</w:t>
      </w:r>
      <w:r>
        <w:rPr>
          <w:snapToGrid w:val="0"/>
        </w:rPr>
        <w:tab/>
        <w:t>Protection from personal liability</w:t>
      </w:r>
      <w:bookmarkEnd w:id="23"/>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24" w:name="_Toc33611856"/>
      <w:r>
        <w:rPr>
          <w:rStyle w:val="CharSectno"/>
        </w:rPr>
        <w:t>17</w:t>
      </w:r>
      <w:r>
        <w:rPr>
          <w:snapToGrid w:val="0"/>
        </w:rPr>
        <w:t>.</w:t>
      </w:r>
      <w:r>
        <w:rPr>
          <w:snapToGrid w:val="0"/>
        </w:rPr>
        <w:tab/>
        <w:t>Regulations</w:t>
      </w:r>
      <w:bookmarkEnd w:id="24"/>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Heading5"/>
      </w:pPr>
      <w:bookmarkStart w:id="25" w:name="_Toc33611857"/>
      <w:r>
        <w:rPr>
          <w:rStyle w:val="CharSectno"/>
        </w:rPr>
        <w:t>18</w:t>
      </w:r>
      <w:r>
        <w:t>.</w:t>
      </w:r>
      <w:r>
        <w:tab/>
        <w:t>Review of Act</w:t>
      </w:r>
      <w:bookmarkEnd w:id="25"/>
    </w:p>
    <w:p>
      <w:pPr>
        <w:pStyle w:val="Subsection"/>
      </w:pPr>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pPr>
        <w:pStyle w:val="Subsection"/>
      </w:pPr>
      <w:r>
        <w:tab/>
        <w:t>(2)</w:t>
      </w:r>
      <w:r>
        <w:tab/>
        <w:t xml:space="preserve">The review must address the following — </w:t>
      </w:r>
    </w:p>
    <w:p>
      <w:pPr>
        <w:pStyle w:val="Indenta"/>
      </w:pPr>
      <w:r>
        <w:tab/>
        <w:t>(a)</w:t>
      </w:r>
      <w:r>
        <w:tab/>
        <w:t>the effect of the levy payable under section 5 on access by litigants to the courts;</w:t>
      </w:r>
    </w:p>
    <w:p>
      <w:pPr>
        <w:pStyle w:val="Indenta"/>
      </w:pPr>
      <w:r>
        <w:tab/>
        <w:t>(b)</w:t>
      </w:r>
      <w:r>
        <w:tab/>
        <w:t>the extent to which recommendations from reports of the Law Reform Commission of Western Australia relating to the operation of this Act have not been implemented; and</w:t>
      </w:r>
    </w:p>
    <w:p>
      <w:pPr>
        <w:pStyle w:val="Indenta"/>
      </w:pPr>
      <w:r>
        <w:tab/>
        <w:t>(c)</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Footnotesection"/>
      </w:pPr>
      <w:r>
        <w:tab/>
        <w:t>[Section 18 inserted: No. 8 of 2019 s. 6.]</w:t>
      </w:r>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6" w:name="_Toc33611830"/>
      <w:bookmarkStart w:id="27" w:name="_Toc33611858"/>
      <w:r>
        <w:t>Notes</w:t>
      </w:r>
      <w:bookmarkEnd w:id="26"/>
      <w:bookmarkEnd w:id="27"/>
    </w:p>
    <w:p>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 w:name="_Toc33611859"/>
      <w:r>
        <w:t>Compilation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trPr>
          <w:cantSplit/>
        </w:trPr>
        <w:tc>
          <w:tcPr>
            <w:tcW w:w="2268" w:type="dxa"/>
            <w:tcBorders>
              <w:bottom w:val="single" w:sz="4" w:space="0" w:color="auto"/>
            </w:tcBorders>
          </w:tcPr>
          <w:p>
            <w:pPr>
              <w:pStyle w:val="nTable"/>
              <w:spacing w:after="40"/>
              <w:ind w:right="170"/>
              <w:rPr>
                <w:snapToGrid w:val="0"/>
              </w:rPr>
            </w:pPr>
            <w:r>
              <w:rPr>
                <w:i/>
              </w:rPr>
              <w:t>Suitors’ Fund Amendment Act 2019</w:t>
            </w:r>
            <w:r>
              <w:t xml:space="preserve"> s. 1-3 and 6</w:t>
            </w:r>
          </w:p>
        </w:tc>
        <w:tc>
          <w:tcPr>
            <w:tcW w:w="1134" w:type="dxa"/>
            <w:tcBorders>
              <w:bottom w:val="single" w:sz="4" w:space="0" w:color="auto"/>
            </w:tcBorders>
          </w:tcPr>
          <w:p>
            <w:pPr>
              <w:pStyle w:val="nTable"/>
              <w:spacing w:after="40"/>
            </w:pPr>
            <w:r>
              <w:t>8 of 2019</w:t>
            </w:r>
          </w:p>
        </w:tc>
        <w:tc>
          <w:tcPr>
            <w:tcW w:w="1134" w:type="dxa"/>
            <w:tcBorders>
              <w:bottom w:val="single" w:sz="4" w:space="0" w:color="auto"/>
            </w:tcBorders>
          </w:tcPr>
          <w:p>
            <w:pPr>
              <w:pStyle w:val="nTable"/>
              <w:spacing w:after="40"/>
            </w:pPr>
            <w:r>
              <w:t>15 May 2019</w:t>
            </w:r>
          </w:p>
        </w:tc>
        <w:tc>
          <w:tcPr>
            <w:tcW w:w="2551" w:type="dxa"/>
            <w:tcBorders>
              <w:bottom w:val="single" w:sz="4" w:space="0" w:color="auto"/>
            </w:tcBorders>
          </w:tcPr>
          <w:p>
            <w:pPr>
              <w:pStyle w:val="nTable"/>
              <w:spacing w:after="40"/>
              <w:rPr>
                <w:snapToGrid w:val="0"/>
              </w:rPr>
            </w:pPr>
            <w:r>
              <w:rPr>
                <w:snapToGrid w:val="0"/>
              </w:rPr>
              <w:t>15 May 2019 (see s. 2(a))</w:t>
            </w:r>
          </w:p>
        </w:tc>
      </w:tr>
    </w:tbl>
    <w:p>
      <w:pPr>
        <w:pStyle w:val="nHeading3"/>
      </w:pPr>
      <w:bookmarkStart w:id="29" w:name="_Toc33611860"/>
      <w:r>
        <w:t>Uncommenced provisions table</w:t>
      </w:r>
      <w:bookmarkEnd w:id="2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bottom w:val="nil"/>
            </w:tcBorders>
          </w:tcPr>
          <w:p>
            <w:pPr>
              <w:pStyle w:val="nTable"/>
              <w:spacing w:after="40"/>
              <w:ind w:right="170"/>
              <w:rPr>
                <w:snapToGrid w:val="0"/>
              </w:rPr>
            </w:pPr>
            <w:r>
              <w:rPr>
                <w:i/>
              </w:rPr>
              <w:t>Suitors’ Fund Amendment Act 2019</w:t>
            </w:r>
            <w:r>
              <w:t xml:space="preserve"> s. 4 and 5</w:t>
            </w:r>
          </w:p>
        </w:tc>
        <w:tc>
          <w:tcPr>
            <w:tcW w:w="1134" w:type="dxa"/>
            <w:tcBorders>
              <w:bottom w:val="nil"/>
            </w:tcBorders>
          </w:tcPr>
          <w:p>
            <w:pPr>
              <w:pStyle w:val="nTable"/>
              <w:spacing w:after="40"/>
            </w:pPr>
            <w:r>
              <w:t>8 of 2019</w:t>
            </w:r>
          </w:p>
        </w:tc>
        <w:tc>
          <w:tcPr>
            <w:tcW w:w="1134" w:type="dxa"/>
            <w:tcBorders>
              <w:bottom w:val="nil"/>
            </w:tcBorders>
          </w:tcPr>
          <w:p>
            <w:pPr>
              <w:pStyle w:val="nTable"/>
              <w:spacing w:after="40"/>
            </w:pPr>
            <w:r>
              <w:t>15 May 2019</w:t>
            </w:r>
          </w:p>
        </w:tc>
        <w:tc>
          <w:tcPr>
            <w:tcW w:w="2552" w:type="dxa"/>
            <w:tcBorders>
              <w:bottom w:val="nil"/>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70"/>
            </w:pPr>
            <w:r>
              <w:rPr>
                <w:i/>
              </w:rPr>
              <w:t>Suitors’ Fund Amendment (Levy) Act 2019</w:t>
            </w:r>
            <w:r>
              <w:t xml:space="preserve"> s. 3 and 4</w:t>
            </w:r>
          </w:p>
        </w:tc>
        <w:tc>
          <w:tcPr>
            <w:tcW w:w="1134" w:type="dxa"/>
            <w:tcBorders>
              <w:bottom w:val="single" w:sz="4" w:space="0" w:color="auto"/>
            </w:tcBorders>
          </w:tcPr>
          <w:p>
            <w:pPr>
              <w:pStyle w:val="nTable"/>
              <w:spacing w:after="40"/>
            </w:pPr>
            <w:r>
              <w:t>9 of 2019</w:t>
            </w:r>
          </w:p>
        </w:tc>
        <w:tc>
          <w:tcPr>
            <w:tcW w:w="1134" w:type="dxa"/>
            <w:tcBorders>
              <w:bottom w:val="single" w:sz="4" w:space="0" w:color="auto"/>
            </w:tcBorders>
          </w:tcPr>
          <w:p>
            <w:pPr>
              <w:pStyle w:val="nTable"/>
              <w:spacing w:after="40"/>
            </w:pPr>
            <w:r>
              <w:t>15 May 2019</w:t>
            </w:r>
          </w:p>
        </w:tc>
        <w:tc>
          <w:tcPr>
            <w:tcW w:w="2552" w:type="dxa"/>
            <w:tcBorders>
              <w:bottom w:val="single" w:sz="4" w:space="0" w:color="auto"/>
            </w:tcBorders>
          </w:tcPr>
          <w:p>
            <w:pPr>
              <w:pStyle w:val="nTable"/>
              <w:spacing w:after="40"/>
              <w:rPr>
                <w:snapToGrid w:val="0"/>
              </w:rPr>
            </w:pPr>
            <w:r>
              <w:rPr>
                <w:snapToGrid w:val="0"/>
              </w:rPr>
              <w:t xml:space="preserve">Operative on commencement of the </w:t>
            </w:r>
            <w:r>
              <w:rPr>
                <w:i/>
                <w:snapToGrid w:val="0"/>
              </w:rPr>
              <w:t xml:space="preserve">Suitors’ </w:t>
            </w:r>
            <w:r>
              <w:rPr>
                <w:i/>
              </w:rPr>
              <w:t>Fund Amendment Act 2019</w:t>
            </w:r>
            <w:r>
              <w:t xml:space="preserve"> s. 4 </w:t>
            </w:r>
            <w:r>
              <w:rPr>
                <w:snapToGrid w:val="0"/>
              </w:rPr>
              <w:t>(see s. 2(b))</w:t>
            </w:r>
          </w:p>
        </w:tc>
      </w:tr>
    </w:tbl>
    <w:p>
      <w:pPr>
        <w:pStyle w:val="nHeading3"/>
      </w:pPr>
      <w:bookmarkStart w:id="30" w:name="_Toc33611861"/>
      <w:r>
        <w:t>Other notes</w:t>
      </w:r>
      <w:bookmarkEnd w:id="30"/>
    </w:p>
    <w:p>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pPr>
        <w:pStyle w:val="nNote"/>
        <w:widowControl w:val="0"/>
      </w:pPr>
      <w:r>
        <w:rPr>
          <w:snapToGrid w:val="0"/>
          <w:vertAlign w:val="superscript"/>
        </w:rPr>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2" w:name="_Toc33611834"/>
      <w:bookmarkStart w:id="33" w:name="_Toc33611862"/>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3</w:t>
      </w:r>
    </w:p>
    <w:p>
      <w:pPr>
        <w:pStyle w:val="DefinedTerms"/>
      </w:pPr>
      <w:r>
        <w:t>company</w:t>
      </w:r>
      <w:r>
        <w:tab/>
        <w:t>3</w:t>
      </w:r>
    </w:p>
    <w:p>
      <w:pPr>
        <w:pStyle w:val="DefinedTerms"/>
      </w:pPr>
      <w:r>
        <w:t>costs</w:t>
      </w:r>
      <w:r>
        <w:tab/>
        <w:t>3</w:t>
      </w:r>
    </w:p>
    <w:p>
      <w:pPr>
        <w:pStyle w:val="DefinedTerms"/>
      </w:pPr>
      <w:r>
        <w:t>costs certificate</w:t>
      </w:r>
      <w:r>
        <w:tab/>
        <w:t>3</w:t>
      </w:r>
    </w:p>
    <w:p>
      <w:pPr>
        <w:pStyle w:val="DefinedTerms"/>
      </w:pPr>
      <w:r>
        <w:t>Department</w:t>
      </w:r>
      <w:r>
        <w:tab/>
        <w:t>3</w:t>
      </w:r>
    </w:p>
    <w:p>
      <w:pPr>
        <w:pStyle w:val="DefinedTerms"/>
      </w:pPr>
      <w:r>
        <w:t>foreign company</w:t>
      </w:r>
      <w:r>
        <w:tab/>
        <w:t>3</w:t>
      </w:r>
    </w:p>
    <w:p>
      <w:pPr>
        <w:pStyle w:val="DefinedTerms"/>
      </w:pPr>
      <w:r>
        <w:t>indemnity certificate</w:t>
      </w:r>
      <w:r>
        <w:tab/>
        <w:t>3</w:t>
      </w:r>
    </w:p>
    <w:p>
      <w:pPr>
        <w:pStyle w:val="DefinedTerms"/>
      </w:pPr>
      <w:r>
        <w:t>person under a disability</w:t>
      </w:r>
      <w:r>
        <w:tab/>
        <w:t>14B(1)</w:t>
      </w:r>
    </w:p>
    <w:p>
      <w:pPr>
        <w:pStyle w:val="DefinedTerms"/>
      </w:pPr>
      <w:r>
        <w:t>sequence of appeals</w:t>
      </w:r>
      <w:r>
        <w:tab/>
        <w:t>3</w:t>
      </w:r>
    </w:p>
    <w:p>
      <w:pPr>
        <w:pStyle w:val="DefinedTerms"/>
      </w:pPr>
      <w:r>
        <w:t>settlement</w:t>
      </w:r>
      <w:r>
        <w:tab/>
        <w:t>14B(1)</w:t>
      </w:r>
    </w:p>
    <w:p>
      <w:pPr>
        <w:pStyle w:val="DefinedTerms"/>
      </w:pPr>
      <w:r>
        <w:t>the appellant</w:t>
      </w:r>
      <w:r>
        <w:tab/>
        <w:t>14(1)</w:t>
      </w:r>
    </w:p>
    <w:p>
      <w:pPr>
        <w:pStyle w:val="DefinedTerms"/>
      </w:pPr>
      <w:r>
        <w:t>the Board</w:t>
      </w:r>
      <w:r>
        <w:tab/>
        <w:t>3</w:t>
      </w:r>
    </w:p>
    <w:p>
      <w:pPr>
        <w:pStyle w:val="DefinedTerms"/>
      </w:pPr>
      <w:r>
        <w:t>the Fund</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21036"/>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8B9DE-47F4-4983-806C-A0D654FFA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7905</Words>
  <Characters>35021</Characters>
  <Application>Microsoft Office Word</Application>
  <DocSecurity>0</DocSecurity>
  <Lines>1030</Lines>
  <Paragraphs>505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42421</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1964 - 04-b0-01</dc:title>
  <dc:subject/>
  <dc:creator/>
  <cp:keywords/>
  <dc:description/>
  <cp:lastModifiedBy>svcMRProcess</cp:lastModifiedBy>
  <cp:revision>4</cp:revision>
  <cp:lastPrinted>2019-05-16T06:57:00Z</cp:lastPrinted>
  <dcterms:created xsi:type="dcterms:W3CDTF">2020-02-26T06:05:00Z</dcterms:created>
  <dcterms:modified xsi:type="dcterms:W3CDTF">2020-02-26T06:05:00Z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CommencementDate">
    <vt:lpwstr>20190515</vt:lpwstr>
  </property>
  <property fmtid="{D5CDD505-2E9C-101B-9397-08002B2CF9AE}" pid="8" name="AsAtDate">
    <vt:lpwstr>15 May 2019</vt:lpwstr>
  </property>
  <property fmtid="{D5CDD505-2E9C-101B-9397-08002B2CF9AE}" pid="9" name="Suffix">
    <vt:lpwstr>04-b0-01</vt:lpwstr>
  </property>
</Properties>
</file>