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Registration of Deeds Act 1856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Registration of Deeds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_Toc9331551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_Toc9331552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_Toc9331553 \h </w:instrText>
      </w:r>
      <w:r>
        <w:fldChar w:fldCharType="separate"/>
      </w:r>
      <w:r>
        <w:t>1</w:t>
      </w:r>
      <w:r>
        <w:fldChar w:fldCharType="end"/>
      </w:r>
    </w:p>
    <w:p>
      <w:pPr>
        <w:pStyle w:val="TOC8"/>
        <w:rPr>
          <w:rFonts w:asciiTheme="minorHAnsi" w:eastAsiaTheme="minorEastAsia" w:hAnsiTheme="minorHAnsi" w:cstheme="minorBidi"/>
          <w:szCs w:val="22"/>
        </w:rPr>
      </w:pPr>
      <w:r>
        <w:t>4.</w:t>
      </w:r>
      <w:r>
        <w:tab/>
        <w:t>Memorials for registration, requirements for etc.</w:t>
      </w:r>
      <w:r>
        <w:tab/>
      </w:r>
      <w:r>
        <w:fldChar w:fldCharType="begin"/>
      </w:r>
      <w:r>
        <w:instrText xml:space="preserve"> PAGEREF _Toc9331554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snapToGrid w:val="0"/>
        </w:rPr>
        <w:t>Fees (Sch. 1)</w:t>
      </w:r>
      <w:r>
        <w:tab/>
      </w:r>
      <w:r>
        <w:fldChar w:fldCharType="begin"/>
      </w:r>
      <w:r>
        <w:instrText xml:space="preserve"> PAGEREF _Toc9331555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to be charged by the Registrar</w:t>
      </w:r>
    </w:p>
    <w:p>
      <w:pPr>
        <w:pStyle w:val="TOC4"/>
        <w:tabs>
          <w:tab w:val="right" w:leader="dot" w:pos="7077"/>
        </w:tabs>
        <w:rPr>
          <w:rFonts w:asciiTheme="minorHAnsi" w:eastAsiaTheme="minorEastAsia" w:hAnsiTheme="minorHAnsi" w:cstheme="minorBidi"/>
          <w:b w:val="0"/>
          <w:szCs w:val="22"/>
        </w:rPr>
      </w:pPr>
      <w:r>
        <w:t>Division 1 — Registrations</w:t>
      </w:r>
    </w:p>
    <w:p>
      <w:pPr>
        <w:pStyle w:val="TOC4"/>
        <w:tabs>
          <w:tab w:val="right" w:leader="dot" w:pos="7077"/>
        </w:tabs>
        <w:rPr>
          <w:rFonts w:asciiTheme="minorHAnsi" w:eastAsiaTheme="minorEastAsia" w:hAnsiTheme="minorHAnsi" w:cstheme="minorBidi"/>
          <w:b w:val="0"/>
          <w:szCs w:val="22"/>
        </w:rPr>
      </w:pPr>
      <w:r>
        <w:t>Division 2 — Reproduction of documents</w:t>
      </w:r>
    </w:p>
    <w:p>
      <w:pPr>
        <w:pStyle w:val="TOC4"/>
        <w:tabs>
          <w:tab w:val="right" w:leader="dot" w:pos="7077"/>
        </w:tabs>
        <w:rPr>
          <w:rFonts w:asciiTheme="minorHAnsi" w:eastAsiaTheme="minorEastAsia" w:hAnsiTheme="minorHAnsi" w:cstheme="minorBidi"/>
          <w:b w:val="0"/>
          <w:szCs w:val="22"/>
        </w:rPr>
      </w:pPr>
      <w:r>
        <w:t>Division 3 — Miscellaneous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_Toc9331561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_Toc9331562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Registration of Deeds Act 1856</w:t>
      </w:r>
    </w:p>
    <w:p>
      <w:pPr>
        <w:pStyle w:val="NameofActReg"/>
      </w:pPr>
      <w:r>
        <w:t>Registration of Deeds Regulations 2004</w:t>
      </w:r>
    </w:p>
    <w:p>
      <w:pPr>
        <w:pStyle w:val="Heading5"/>
      </w:pPr>
      <w:bookmarkStart w:id="3" w:name="_Toc9331551"/>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rPr>
          <w:vertAlign w:val="superscript"/>
        </w:rPr>
        <w:t> 1</w:t>
      </w:r>
      <w:r>
        <w:t>.</w:t>
      </w:r>
    </w:p>
    <w:p>
      <w:pPr>
        <w:pStyle w:val="Heading5"/>
        <w:rPr>
          <w:spacing w:val="-2"/>
        </w:rPr>
      </w:pPr>
      <w:bookmarkStart w:id="4" w:name="_Toc9331552"/>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6 September 2004.</w:t>
      </w:r>
    </w:p>
    <w:p>
      <w:pPr>
        <w:pStyle w:val="Heading5"/>
        <w:rPr>
          <w:snapToGrid w:val="0"/>
        </w:rPr>
      </w:pPr>
      <w:bookmarkStart w:id="5" w:name="_Toc9331553"/>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memorial</w:t>
      </w:r>
      <w:r>
        <w:t xml:space="preserve"> means any judgment, deed, will, conveyance or instrument presented for registration;</w:t>
      </w:r>
    </w:p>
    <w:p>
      <w:pPr>
        <w:pStyle w:val="Defstart"/>
      </w:pPr>
      <w:r>
        <w:rPr>
          <w:b/>
        </w:rPr>
        <w:tab/>
      </w:r>
      <w:r>
        <w:rPr>
          <w:rStyle w:val="CharDefText"/>
        </w:rPr>
        <w:t>Registrar</w:t>
      </w:r>
      <w:r>
        <w:t xml:space="preserve"> means the Registrar of Deeds and Transfers.</w:t>
      </w:r>
    </w:p>
    <w:p>
      <w:pPr>
        <w:pStyle w:val="Heading5"/>
        <w:rPr>
          <w:snapToGrid w:val="0"/>
        </w:rPr>
      </w:pPr>
      <w:bookmarkStart w:id="6" w:name="_Toc9331554"/>
      <w:r>
        <w:rPr>
          <w:rStyle w:val="CharSectno"/>
        </w:rPr>
        <w:t>4</w:t>
      </w:r>
      <w:r>
        <w:t>.</w:t>
      </w:r>
      <w:r>
        <w:tab/>
        <w:t>Memorials for registration, requirements for etc.</w:t>
      </w:r>
      <w:bookmarkEnd w:id="6"/>
    </w:p>
    <w:p>
      <w:pPr>
        <w:pStyle w:val="Subsection"/>
        <w:rPr>
          <w:snapToGrid w:val="0"/>
        </w:rPr>
      </w:pPr>
      <w:r>
        <w:rPr>
          <w:snapToGrid w:val="0"/>
        </w:rPr>
        <w:tab/>
        <w:t>(1)</w:t>
      </w:r>
      <w:r>
        <w:rPr>
          <w:snapToGrid w:val="0"/>
        </w:rPr>
        <w:tab/>
        <w:t>Every memorial presented for registration is to — </w:t>
      </w:r>
    </w:p>
    <w:p>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pPr>
        <w:pStyle w:val="Indenta"/>
        <w:rPr>
          <w:snapToGrid w:val="0"/>
        </w:rPr>
      </w:pPr>
      <w:r>
        <w:rPr>
          <w:snapToGrid w:val="0"/>
        </w:rPr>
        <w:tab/>
        <w:t>(b)</w:t>
      </w:r>
      <w:r>
        <w:rPr>
          <w:snapToGrid w:val="0"/>
        </w:rPr>
        <w:tab/>
        <w:t>be clearly and legibly handwritten in ink, printed or typewritten;</w:t>
      </w:r>
    </w:p>
    <w:p>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pPr>
        <w:pStyle w:val="Subsection"/>
        <w:rPr>
          <w:snapToGrid w:val="0"/>
        </w:rPr>
      </w:pPr>
      <w:r>
        <w:rPr>
          <w:snapToGrid w:val="0"/>
        </w:rPr>
        <w:tab/>
        <w:t>(2)</w:t>
      </w:r>
      <w:r>
        <w:rPr>
          <w:snapToGrid w:val="0"/>
        </w:rPr>
        <w:tab/>
        <w:t>The Registrar may reject for registration a memorial which does not comply with this regulation.</w:t>
      </w:r>
    </w:p>
    <w:p>
      <w:pPr>
        <w:pStyle w:val="Footnotesection"/>
      </w:pPr>
      <w:r>
        <w:tab/>
        <w:t>[Regulation 4 amended: Gazette 7 Jul 2006 p. 2512.]</w:t>
      </w:r>
    </w:p>
    <w:p>
      <w:pPr>
        <w:pStyle w:val="Heading5"/>
        <w:rPr>
          <w:snapToGrid w:val="0"/>
        </w:rPr>
      </w:pPr>
      <w:bookmarkStart w:id="7" w:name="_Toc9331555"/>
      <w:r>
        <w:rPr>
          <w:rStyle w:val="CharSectno"/>
        </w:rPr>
        <w:t>5</w:t>
      </w:r>
      <w:r>
        <w:t>.</w:t>
      </w:r>
      <w:r>
        <w:tab/>
      </w:r>
      <w:r>
        <w:rPr>
          <w:snapToGrid w:val="0"/>
        </w:rPr>
        <w:t>Fees (Sch. 1)</w:t>
      </w:r>
      <w:bookmarkEnd w:id="7"/>
    </w:p>
    <w:p>
      <w:pPr>
        <w:pStyle w:val="Subsection"/>
        <w:rPr>
          <w:snapToGrid w:val="0"/>
        </w:rPr>
      </w:pPr>
      <w:r>
        <w:rPr>
          <w:snapToGrid w:val="0"/>
        </w:rPr>
        <w:tab/>
      </w:r>
      <w:r>
        <w:rPr>
          <w:snapToGrid w:val="0"/>
        </w:rPr>
        <w:tab/>
        <w:t>The fees to be charged by the Registrar are set out in Schedule 1.</w:t>
      </w:r>
    </w:p>
    <w:p>
      <w:pPr>
        <w:pStyle w:val="Ednotesection"/>
      </w:pPr>
      <w:r>
        <w:rPr>
          <w:rStyle w:val="CharSectno"/>
        </w:rPr>
        <w:t>[</w:t>
      </w:r>
      <w:r>
        <w:rPr>
          <w:rStyle w:val="CharSectno"/>
          <w:b/>
          <w:bCs/>
        </w:rPr>
        <w:t>6</w:t>
      </w:r>
      <w:r>
        <w:rPr>
          <w:b/>
          <w:bCs/>
        </w:rPr>
        <w:t>.</w:t>
      </w:r>
      <w:r>
        <w:tab/>
        <w:t>Omitted under the Reprints Act 1984 s. 7(4)(f).]</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8" w:name="_Toc517945422"/>
      <w:bookmarkStart w:id="9" w:name="_Toc517957494"/>
      <w:bookmarkStart w:id="10" w:name="_Toc9331495"/>
      <w:bookmarkStart w:id="11" w:name="_Toc9331556"/>
      <w:r>
        <w:rPr>
          <w:rStyle w:val="CharSchNo"/>
        </w:rPr>
        <w:t>Schedule 1</w:t>
      </w:r>
      <w:r>
        <w:t xml:space="preserve"> — </w:t>
      </w:r>
      <w:r>
        <w:rPr>
          <w:rStyle w:val="CharSchText"/>
        </w:rPr>
        <w:t>Fees to be charged by the Registrar</w:t>
      </w:r>
      <w:bookmarkEnd w:id="8"/>
      <w:bookmarkEnd w:id="9"/>
      <w:bookmarkEnd w:id="10"/>
      <w:bookmarkEnd w:id="11"/>
    </w:p>
    <w:p>
      <w:pPr>
        <w:pStyle w:val="yShoulderClause"/>
        <w:spacing w:after="120"/>
        <w:rPr>
          <w:b/>
          <w:i/>
        </w:rPr>
      </w:pPr>
      <w:r>
        <w:t>[r. 5]</w:t>
      </w:r>
      <w:r>
        <w:rPr>
          <w:b/>
          <w:i/>
        </w:rPr>
        <w:t xml:space="preserve"> </w:t>
      </w:r>
    </w:p>
    <w:p>
      <w:pPr>
        <w:pStyle w:val="yHeading3"/>
        <w:spacing w:before="260" w:after="120"/>
      </w:pPr>
      <w:bookmarkStart w:id="12" w:name="_Toc517945423"/>
      <w:bookmarkStart w:id="13" w:name="_Toc517957495"/>
      <w:bookmarkStart w:id="14" w:name="_Toc9331496"/>
      <w:bookmarkStart w:id="15" w:name="_Toc9331557"/>
      <w:r>
        <w:rPr>
          <w:rStyle w:val="CharSDivNo"/>
        </w:rPr>
        <w:t>Division 1</w:t>
      </w:r>
      <w:r>
        <w:t> — </w:t>
      </w:r>
      <w:r>
        <w:rPr>
          <w:rStyle w:val="CharSDivText"/>
        </w:rPr>
        <w:t>Registrations</w:t>
      </w:r>
      <w:bookmarkEnd w:id="12"/>
      <w:bookmarkEnd w:id="13"/>
      <w:bookmarkEnd w:id="14"/>
      <w:bookmarkEnd w:id="15"/>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pPr>
              <w:pStyle w:val="yTableNAm"/>
              <w:spacing w:after="40"/>
            </w:pPr>
            <w:r>
              <w:br/>
              <w:t>$149.20</w:t>
            </w:r>
          </w:p>
        </w:tc>
      </w:tr>
      <w:tr>
        <w:tc>
          <w:tcPr>
            <w:tcW w:w="458" w:type="dxa"/>
          </w:tcPr>
          <w:p>
            <w:pPr>
              <w:pStyle w:val="yTableNAm"/>
              <w:spacing w:after="40"/>
            </w:pPr>
            <w:r>
              <w:t>2.</w:t>
            </w:r>
          </w:p>
        </w:tc>
        <w:tc>
          <w:tcPr>
            <w:tcW w:w="4986" w:type="dxa"/>
          </w:tcPr>
          <w:p>
            <w:pPr>
              <w:pStyle w:val="yTableNAm"/>
              <w:tabs>
                <w:tab w:val="right" w:leader="dot" w:pos="5018"/>
              </w:tabs>
              <w:spacing w:after="40"/>
            </w:pPr>
            <w:r>
              <w:t xml:space="preserve">For cancelling or amending a registration by order of the Court </w:t>
            </w:r>
            <w:r>
              <w:tab/>
            </w:r>
          </w:p>
        </w:tc>
        <w:tc>
          <w:tcPr>
            <w:tcW w:w="1502" w:type="dxa"/>
          </w:tcPr>
          <w:p>
            <w:pPr>
              <w:pStyle w:val="yTableNAm"/>
              <w:spacing w:after="40"/>
            </w:pPr>
            <w:r>
              <w:br/>
              <w:t>$149.20</w:t>
            </w:r>
          </w:p>
        </w:tc>
      </w:tr>
    </w:tbl>
    <w:p>
      <w:pPr>
        <w:pStyle w:val="yFootnotesection"/>
      </w:pPr>
      <w:r>
        <w:tab/>
        <w:t>[Division 1 amended: Gazette 24 Jun 2005 p. 2761; 7 Jul 2006 p. 2512; 25 Jun 2007 p. 2966</w:t>
      </w:r>
      <w:r>
        <w:noBreakHyphen/>
        <w:t>7; 20 Jun 2008 p. 2708; 9 Jan 2009 p. 28; 19 Jun 2009 p. 2242; 18 Jun 2010 p. 2677; 14 Jun 2011 p. 2137; 19 Jun 2015 p. 2135; 24 Jun 2016 p. 2321; 23 Jun 2017 p. 3181; 15 Jun 2018 p. 1923.]</w:t>
      </w:r>
    </w:p>
    <w:p>
      <w:pPr>
        <w:pStyle w:val="yHeading3"/>
        <w:spacing w:before="260" w:after="120"/>
      </w:pPr>
      <w:bookmarkStart w:id="16" w:name="_Toc517945424"/>
      <w:bookmarkStart w:id="17" w:name="_Toc517957496"/>
      <w:bookmarkStart w:id="18" w:name="_Toc9331497"/>
      <w:bookmarkStart w:id="19" w:name="_Toc9331558"/>
      <w:r>
        <w:rPr>
          <w:rStyle w:val="CharSDivNo"/>
        </w:rPr>
        <w:t>Division 2</w:t>
      </w:r>
      <w:r>
        <w:t xml:space="preserve"> — </w:t>
      </w:r>
      <w:r>
        <w:rPr>
          <w:rStyle w:val="CharSDivText"/>
        </w:rPr>
        <w:t>Reproduction of documents</w:t>
      </w:r>
      <w:bookmarkEnd w:id="16"/>
      <w:bookmarkEnd w:id="17"/>
      <w:bookmarkEnd w:id="18"/>
      <w:bookmarkEnd w:id="19"/>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pPr>
              <w:pStyle w:val="yTableNAm"/>
              <w:spacing w:after="40"/>
            </w:pPr>
            <w:r>
              <w:br/>
              <w:t>$25.70</w:t>
            </w:r>
          </w:p>
        </w:tc>
      </w:tr>
    </w:tbl>
    <w:p>
      <w:pPr>
        <w:pStyle w:val="yFootnotesection"/>
      </w:pPr>
      <w:r>
        <w:tab/>
        <w:t>[Division 2 amended: Gazette 7 Jul 2006 p. 2512; 25 Jun 2007 p. 2967; 20 Jun 2008 p. 2708; 9 Jan 2009 p. 29; 19 Jun 2009 p. 2242; 18 Jun 2010 p. 2677; 14 Jun 2011 p. 2137; 19 Jun 2015 p. 2135; 24 Jun 2016 p. 2321; 23 Jun 2017 p. 3181; 15 Jun 2018 p. 1923.]</w:t>
      </w:r>
    </w:p>
    <w:p>
      <w:pPr>
        <w:pStyle w:val="yHeading3"/>
        <w:spacing w:before="260" w:after="120"/>
      </w:pPr>
      <w:bookmarkStart w:id="20" w:name="_Toc517945425"/>
      <w:bookmarkStart w:id="21" w:name="_Toc517957497"/>
      <w:bookmarkStart w:id="22" w:name="_Toc9331498"/>
      <w:bookmarkStart w:id="23" w:name="_Toc9331559"/>
      <w:r>
        <w:rPr>
          <w:rStyle w:val="CharSDivNo"/>
        </w:rPr>
        <w:t>Division 3</w:t>
      </w:r>
      <w:r>
        <w:t> — </w:t>
      </w:r>
      <w:r>
        <w:rPr>
          <w:rStyle w:val="CharSDivText"/>
        </w:rPr>
        <w:t>Miscellaneous</w:t>
      </w:r>
      <w:bookmarkEnd w:id="20"/>
      <w:bookmarkEnd w:id="21"/>
      <w:bookmarkEnd w:id="22"/>
      <w:bookmarkEnd w:id="23"/>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tc>
          <w:tcPr>
            <w:tcW w:w="458" w:type="dxa"/>
          </w:tcPr>
          <w:p>
            <w:pPr>
              <w:pStyle w:val="yTableNAm"/>
              <w:spacing w:after="40"/>
            </w:pPr>
            <w:r>
              <w:t>1.</w:t>
            </w:r>
          </w:p>
        </w:tc>
        <w:tc>
          <w:tcPr>
            <w:tcW w:w="4929" w:type="dxa"/>
          </w:tcPr>
          <w:p>
            <w:pPr>
              <w:pStyle w:val="yTableNAm"/>
              <w:tabs>
                <w:tab w:val="right" w:leader="dot" w:pos="5018"/>
              </w:tabs>
              <w:spacing w:after="40"/>
            </w:pPr>
            <w:r>
              <w:t xml:space="preserve">For a certification by the Registrar </w:t>
            </w:r>
            <w:r>
              <w:tab/>
            </w:r>
          </w:p>
        </w:tc>
        <w:tc>
          <w:tcPr>
            <w:tcW w:w="1559" w:type="dxa"/>
          </w:tcPr>
          <w:p>
            <w:pPr>
              <w:pStyle w:val="yTableNAm"/>
              <w:spacing w:after="40"/>
            </w:pPr>
            <w:r>
              <w:t>$62.00</w:t>
            </w:r>
          </w:p>
        </w:tc>
      </w:tr>
      <w:tr>
        <w:tc>
          <w:tcPr>
            <w:tcW w:w="458" w:type="dxa"/>
          </w:tcPr>
          <w:p>
            <w:pPr>
              <w:pStyle w:val="yTableNAm"/>
              <w:spacing w:after="40"/>
            </w:pPr>
            <w:r>
              <w:t>2.</w:t>
            </w:r>
          </w:p>
        </w:tc>
        <w:tc>
          <w:tcPr>
            <w:tcW w:w="4929" w:type="dxa"/>
          </w:tcPr>
          <w:p>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pPr>
              <w:pStyle w:val="yTableNAm"/>
              <w:spacing w:after="40"/>
            </w:pPr>
            <w:r>
              <w:br/>
            </w:r>
            <w:r>
              <w:br/>
            </w:r>
            <w:r>
              <w:br/>
              <w:t>$149.20</w:t>
            </w:r>
          </w:p>
        </w:tc>
      </w:tr>
      <w:tr>
        <w:tc>
          <w:tcPr>
            <w:tcW w:w="458" w:type="dxa"/>
          </w:tcPr>
          <w:p>
            <w:pPr>
              <w:pStyle w:val="yTableNAm"/>
              <w:keepNext/>
              <w:keepLines/>
              <w:spacing w:after="40"/>
            </w:pPr>
            <w:r>
              <w:t>3.</w:t>
            </w:r>
          </w:p>
        </w:tc>
        <w:tc>
          <w:tcPr>
            <w:tcW w:w="4929" w:type="dxa"/>
          </w:tcPr>
          <w:p>
            <w:pPr>
              <w:pStyle w:val="yTableNAm"/>
              <w:keepNext/>
              <w:keepLines/>
              <w:tabs>
                <w:tab w:val="right" w:leader="dot" w:pos="5018"/>
              </w:tabs>
              <w:spacing w:after="40"/>
            </w:pPr>
            <w:r>
              <w:t xml:space="preserve">For any service not mentioned in this Schedule </w:t>
            </w:r>
            <w:r>
              <w:tab/>
            </w:r>
          </w:p>
        </w:tc>
        <w:tc>
          <w:tcPr>
            <w:tcW w:w="1559" w:type="dxa"/>
          </w:tcPr>
          <w:p>
            <w:pPr>
              <w:pStyle w:val="yTableNAm"/>
              <w:keepNext/>
              <w:keepLines/>
              <w:spacing w:after="40"/>
              <w:rPr>
                <w:rFonts w:ascii="Times" w:hAnsi="Times"/>
                <w:szCs w:val="22"/>
              </w:rPr>
            </w:pPr>
            <w:r>
              <w:rPr>
                <w:rFonts w:ascii="Times" w:hAnsi="Times"/>
                <w:szCs w:val="22"/>
              </w:rPr>
              <w:t>fee, if any, as assessed by the Registrar, not exceeding actual cost</w:t>
            </w:r>
          </w:p>
        </w:tc>
      </w:tr>
    </w:tbl>
    <w:p>
      <w:pPr>
        <w:pStyle w:val="yFootnotesection"/>
      </w:pPr>
      <w:r>
        <w:tab/>
        <w:t>[Division 3 amended: Gazette 24 Jun 2005 p. 2761; 7 Jul 2006 p. 2512; 25 Jun 2007 p. 2967; 20 Jun 2008 p. 2709; 9 Jan 2009 p. 29; 19 Jun 2009 p. 2242; 18 Jun 2010 p. 2677; 14 Jun 2011 p. 2137; 19 Jun 2015 p. 2135; 24 Jun 2016 p. 2321; 23 Jun 2017 p. 3181; 15 Jun 2018 p. 1923.]</w:t>
      </w:r>
    </w:p>
    <w:p>
      <w:pPr>
        <w:pStyle w:val="yEdnotedivision"/>
        <w:spacing w:before="240"/>
      </w:pPr>
      <w:r>
        <w:t>[Division 4 deleted: Gazette 22 Jun 2012 p. 2784.]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81" w:right="2409" w:bottom="3543" w:left="2409" w:header="720" w:footer="3380" w:gutter="0"/>
          <w:cols w:space="720"/>
          <w:noEndnote/>
          <w:docGrid w:linePitch="326"/>
        </w:sectPr>
      </w:pPr>
    </w:p>
    <w:p>
      <w:pPr>
        <w:pStyle w:val="nHeading2"/>
      </w:pPr>
      <w:bookmarkStart w:id="25" w:name="_Toc517945426"/>
      <w:bookmarkStart w:id="26" w:name="_Toc517957498"/>
      <w:bookmarkStart w:id="27" w:name="_Toc9331499"/>
      <w:bookmarkStart w:id="28" w:name="_Toc9331560"/>
      <w:r>
        <w:t>Notes</w:t>
      </w:r>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Regulations 2004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9" w:name="_Toc9331561"/>
      <w:r>
        <w:rPr>
          <w:snapToGrid w:val="0"/>
        </w:rPr>
        <w:t>Compilation table</w:t>
      </w:r>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Registration of Deeds Regulations 2004</w:t>
            </w:r>
          </w:p>
        </w:tc>
        <w:tc>
          <w:tcPr>
            <w:tcW w:w="1276" w:type="dxa"/>
            <w:gridSpan w:val="2"/>
            <w:tcBorders>
              <w:top w:val="single" w:sz="8" w:space="0" w:color="auto"/>
            </w:tcBorders>
          </w:tcPr>
          <w:p>
            <w:pPr>
              <w:pStyle w:val="nTable"/>
              <w:spacing w:after="40"/>
            </w:pPr>
            <w:r>
              <w:t>2 Sep 2004 p. 3822</w:t>
            </w:r>
            <w:r>
              <w:noBreakHyphen/>
              <w:t>3</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Registration of Deeds Amendment Regulations 2005</w:t>
            </w:r>
          </w:p>
        </w:tc>
        <w:tc>
          <w:tcPr>
            <w:tcW w:w="1276" w:type="dxa"/>
            <w:gridSpan w:val="2"/>
          </w:tcPr>
          <w:p>
            <w:pPr>
              <w:pStyle w:val="nTable"/>
              <w:spacing w:after="40"/>
            </w:pPr>
            <w:r>
              <w:t>24 Jun 2005 p. 2760</w:t>
            </w:r>
            <w:r>
              <w:noBreakHyphen/>
              <w:t>1</w:t>
            </w:r>
          </w:p>
        </w:tc>
        <w:tc>
          <w:tcPr>
            <w:tcW w:w="2693" w:type="dxa"/>
            <w:gridSpan w:val="2"/>
          </w:tcPr>
          <w:p>
            <w:pPr>
              <w:pStyle w:val="nTable"/>
              <w:spacing w:after="40"/>
            </w:pPr>
            <w:r>
              <w:t>4 Jul 2005 (see r. 2)</w:t>
            </w:r>
          </w:p>
        </w:tc>
      </w:tr>
      <w:tr>
        <w:tc>
          <w:tcPr>
            <w:tcW w:w="3118" w:type="dxa"/>
          </w:tcPr>
          <w:p>
            <w:pPr>
              <w:pStyle w:val="nTable"/>
              <w:spacing w:after="40"/>
              <w:rPr>
                <w:i/>
              </w:rPr>
            </w:pPr>
            <w:r>
              <w:rPr>
                <w:i/>
              </w:rPr>
              <w:t>Registration of Deeds Amendment Regulations 2006</w:t>
            </w:r>
          </w:p>
        </w:tc>
        <w:tc>
          <w:tcPr>
            <w:tcW w:w="1276" w:type="dxa"/>
            <w:gridSpan w:val="2"/>
          </w:tcPr>
          <w:p>
            <w:pPr>
              <w:pStyle w:val="nTable"/>
              <w:spacing w:after="40"/>
            </w:pPr>
            <w:r>
              <w:t>7 Jul 2006 p. 2511</w:t>
            </w:r>
            <w:r>
              <w:noBreakHyphen/>
              <w:t>12</w:t>
            </w:r>
          </w:p>
        </w:tc>
        <w:tc>
          <w:tcPr>
            <w:tcW w:w="2693" w:type="dxa"/>
            <w:gridSpan w:val="2"/>
          </w:tcPr>
          <w:p>
            <w:pPr>
              <w:pStyle w:val="nTable"/>
              <w:spacing w:after="40"/>
            </w:pPr>
            <w:r>
              <w:t>10 Jul 2006 (see r. 2)</w:t>
            </w:r>
          </w:p>
        </w:tc>
      </w:tr>
      <w:tr>
        <w:tc>
          <w:tcPr>
            <w:tcW w:w="3118" w:type="dxa"/>
          </w:tcPr>
          <w:p>
            <w:pPr>
              <w:pStyle w:val="nTable"/>
              <w:spacing w:after="40"/>
              <w:rPr>
                <w:i/>
              </w:rPr>
            </w:pPr>
            <w:r>
              <w:rPr>
                <w:i/>
              </w:rPr>
              <w:t>Registration of Deeds Amendment Regulations 2007</w:t>
            </w:r>
          </w:p>
        </w:tc>
        <w:tc>
          <w:tcPr>
            <w:tcW w:w="1276" w:type="dxa"/>
            <w:gridSpan w:val="2"/>
          </w:tcPr>
          <w:p>
            <w:pPr>
              <w:pStyle w:val="nTable"/>
              <w:spacing w:after="40"/>
            </w:pPr>
            <w:r>
              <w:t>25 Jun 2007 p. 2966</w:t>
            </w:r>
            <w:r>
              <w:noBreakHyphen/>
              <w:t>7</w:t>
            </w:r>
          </w:p>
        </w:tc>
        <w:tc>
          <w:tcPr>
            <w:tcW w:w="2693" w:type="dxa"/>
            <w:gridSpan w:val="2"/>
          </w:tcPr>
          <w:p>
            <w:pPr>
              <w:pStyle w:val="nTable"/>
              <w:spacing w:after="40"/>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Registration of Deeds Amendment Regulations 2008</w:t>
            </w:r>
          </w:p>
        </w:tc>
        <w:tc>
          <w:tcPr>
            <w:tcW w:w="1276" w:type="dxa"/>
            <w:gridSpan w:val="2"/>
          </w:tcPr>
          <w:p>
            <w:pPr>
              <w:pStyle w:val="nTable"/>
              <w:spacing w:after="40"/>
            </w:pPr>
            <w:r>
              <w:t>20 Jun 2008 p. 2708</w:t>
            </w:r>
            <w:r>
              <w:noBreakHyphen/>
              <w:t>9</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7087" w:type="dxa"/>
            <w:gridSpan w:val="5"/>
          </w:tcPr>
          <w:p>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tc>
          <w:tcPr>
            <w:tcW w:w="3118" w:type="dxa"/>
          </w:tcPr>
          <w:p>
            <w:pPr>
              <w:pStyle w:val="nTable"/>
              <w:spacing w:after="40"/>
              <w:rPr>
                <w:i/>
              </w:rPr>
            </w:pPr>
            <w:r>
              <w:rPr>
                <w:i/>
              </w:rPr>
              <w:t>Registration of Deeds Amendment Regulations (No. 2) 2008</w:t>
            </w:r>
          </w:p>
        </w:tc>
        <w:tc>
          <w:tcPr>
            <w:tcW w:w="1276" w:type="dxa"/>
            <w:gridSpan w:val="2"/>
          </w:tcPr>
          <w:p>
            <w:pPr>
              <w:pStyle w:val="nTable"/>
              <w:spacing w:after="40"/>
            </w:pPr>
            <w:r>
              <w:t>9 Jan 2009 p. 28-9</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c>
          <w:tcPr>
            <w:tcW w:w="3118" w:type="dxa"/>
          </w:tcPr>
          <w:p>
            <w:pPr>
              <w:pStyle w:val="nTable"/>
              <w:spacing w:after="40"/>
              <w:rPr>
                <w:i/>
              </w:rPr>
            </w:pPr>
            <w:r>
              <w:rPr>
                <w:i/>
              </w:rPr>
              <w:t>Registration of Deeds Amendment Regulations 2009</w:t>
            </w:r>
          </w:p>
        </w:tc>
        <w:tc>
          <w:tcPr>
            <w:tcW w:w="1276" w:type="dxa"/>
            <w:gridSpan w:val="2"/>
          </w:tcPr>
          <w:p>
            <w:pPr>
              <w:pStyle w:val="nTable"/>
              <w:spacing w:after="40"/>
            </w:pPr>
            <w:r>
              <w:t>19 Jun 2009 p. 2241-2</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c>
          <w:tcPr>
            <w:tcW w:w="3118" w:type="dxa"/>
          </w:tcPr>
          <w:p>
            <w:pPr>
              <w:pStyle w:val="nTable"/>
              <w:spacing w:after="40"/>
              <w:rPr>
                <w:i/>
              </w:rPr>
            </w:pPr>
            <w:r>
              <w:rPr>
                <w:i/>
              </w:rPr>
              <w:t>Registration of Deeds Amendment Regulations 2010</w:t>
            </w:r>
          </w:p>
        </w:tc>
        <w:tc>
          <w:tcPr>
            <w:tcW w:w="1276" w:type="dxa"/>
            <w:gridSpan w:val="2"/>
          </w:tcPr>
          <w:p>
            <w:pPr>
              <w:pStyle w:val="nTable"/>
              <w:spacing w:after="40"/>
            </w:pPr>
            <w:r>
              <w:t>18 Jun 2010 p. 2677</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Registration of Deeds Amendment Regulations 2011</w:t>
            </w:r>
          </w:p>
        </w:tc>
        <w:tc>
          <w:tcPr>
            <w:tcW w:w="1276" w:type="dxa"/>
            <w:gridSpan w:val="2"/>
          </w:tcPr>
          <w:p>
            <w:pPr>
              <w:pStyle w:val="nTable"/>
              <w:spacing w:after="40"/>
            </w:pPr>
            <w:r>
              <w:t>14 Jun 2011 p. 2136</w:t>
            </w:r>
            <w:r>
              <w:noBreakHyphen/>
              <w:t>7</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Registration of Deeds Amendment Regulations 2012</w:t>
            </w:r>
          </w:p>
        </w:tc>
        <w:tc>
          <w:tcPr>
            <w:tcW w:w="1276" w:type="dxa"/>
            <w:gridSpan w:val="2"/>
            <w:shd w:val="clear" w:color="auto" w:fill="auto"/>
          </w:tcPr>
          <w:p>
            <w:pPr>
              <w:pStyle w:val="nTable"/>
              <w:spacing w:after="40"/>
            </w:pPr>
            <w:r>
              <w:t>22 Jun 2012 p. 2783-4</w:t>
            </w:r>
          </w:p>
        </w:tc>
        <w:tc>
          <w:tcPr>
            <w:tcW w:w="2693" w:type="dxa"/>
            <w:gridSpan w:val="2"/>
            <w:shd w:val="clear" w:color="auto" w:fill="auto"/>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7087" w:type="dxa"/>
            <w:gridSpan w:val="5"/>
            <w:shd w:val="clear" w:color="auto" w:fill="auto"/>
          </w:tcPr>
          <w:p>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tc>
          <w:tcPr>
            <w:tcW w:w="3147" w:type="dxa"/>
            <w:gridSpan w:val="2"/>
            <w:shd w:val="clear" w:color="auto" w:fill="auto"/>
          </w:tcPr>
          <w:p>
            <w:pPr>
              <w:pStyle w:val="nTable"/>
              <w:spacing w:after="40"/>
              <w:rPr>
                <w:b/>
                <w:bCs/>
                <w:snapToGrid w:val="0"/>
              </w:rPr>
            </w:pPr>
            <w:r>
              <w:rPr>
                <w:i/>
              </w:rPr>
              <w:t>Registration of Deeds Amendment Regulations 2015</w:t>
            </w:r>
          </w:p>
        </w:tc>
        <w:tc>
          <w:tcPr>
            <w:tcW w:w="1276" w:type="dxa"/>
            <w:gridSpan w:val="2"/>
            <w:shd w:val="clear" w:color="auto" w:fill="auto"/>
          </w:tcPr>
          <w:p>
            <w:pPr>
              <w:pStyle w:val="nTable"/>
              <w:spacing w:after="40"/>
              <w:rPr>
                <w:b/>
                <w:bCs/>
                <w:snapToGrid w:val="0"/>
              </w:rPr>
            </w:pPr>
            <w:r>
              <w:t>19 Jun 2015 p. 2134</w:t>
            </w:r>
            <w:r>
              <w:noBreakHyphen/>
              <w:t>5</w:t>
            </w:r>
          </w:p>
        </w:tc>
        <w:tc>
          <w:tcPr>
            <w:tcW w:w="2664" w:type="dxa"/>
            <w:shd w:val="clear" w:color="auto" w:fill="auto"/>
          </w:tcPr>
          <w:p>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c>
          <w:tcPr>
            <w:tcW w:w="3147" w:type="dxa"/>
            <w:gridSpan w:val="2"/>
            <w:shd w:val="clear" w:color="auto" w:fill="auto"/>
          </w:tcPr>
          <w:p>
            <w:pPr>
              <w:pStyle w:val="nTable"/>
              <w:spacing w:after="40"/>
            </w:pPr>
            <w:r>
              <w:rPr>
                <w:i/>
              </w:rPr>
              <w:t>Lands Regulations Amendment (Fees and Charges) Regulations 2016</w:t>
            </w:r>
            <w:r>
              <w:t xml:space="preserve"> Pt. 2</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c>
          <w:tcPr>
            <w:tcW w:w="3147" w:type="dxa"/>
            <w:gridSpan w:val="2"/>
            <w:shd w:val="clear" w:color="auto" w:fill="auto"/>
          </w:tcPr>
          <w:p>
            <w:pPr>
              <w:pStyle w:val="nTable"/>
              <w:spacing w:after="40"/>
            </w:pPr>
            <w:r>
              <w:rPr>
                <w:i/>
              </w:rPr>
              <w:t xml:space="preserve">Lands Regulations Amendment (Fees and Charges) Regulations 2017 </w:t>
            </w:r>
            <w:r>
              <w:t>Pt. 2</w:t>
            </w:r>
          </w:p>
        </w:tc>
        <w:tc>
          <w:tcPr>
            <w:tcW w:w="1276" w:type="dxa"/>
            <w:gridSpan w:val="2"/>
            <w:shd w:val="clear" w:color="auto" w:fill="auto"/>
          </w:tcPr>
          <w:p>
            <w:pPr>
              <w:pStyle w:val="nTable"/>
              <w:spacing w:after="40"/>
            </w:pPr>
            <w:r>
              <w:t>23 Jun 2017 p. 3181</w:t>
            </w:r>
            <w:r>
              <w:noBreakHyphen/>
              <w:t>6</w:t>
            </w:r>
          </w:p>
        </w:tc>
        <w:tc>
          <w:tcPr>
            <w:tcW w:w="2664" w:type="dxa"/>
            <w:shd w:val="clear" w:color="auto" w:fill="auto"/>
          </w:tcPr>
          <w:p>
            <w:pPr>
              <w:pStyle w:val="nTable"/>
              <w:spacing w:after="40"/>
              <w:rPr>
                <w:snapToGrid w:val="0"/>
              </w:rPr>
            </w:pPr>
            <w:r>
              <w:rPr>
                <w:snapToGrid w:val="0"/>
              </w:rPr>
              <w:t>3 Jul 2017 (see r. 2(b))</w:t>
            </w:r>
          </w:p>
        </w:tc>
      </w:tr>
      <w:tr>
        <w:tc>
          <w:tcPr>
            <w:tcW w:w="3147" w:type="dxa"/>
            <w:gridSpan w:val="2"/>
            <w:tcBorders>
              <w:bottom w:val="single" w:sz="8" w:space="0" w:color="auto"/>
            </w:tcBorders>
            <w:shd w:val="clear" w:color="auto" w:fill="auto"/>
          </w:tcPr>
          <w:p>
            <w:pPr>
              <w:pStyle w:val="nTable"/>
              <w:spacing w:after="40"/>
            </w:pPr>
            <w:r>
              <w:rPr>
                <w:i/>
              </w:rPr>
              <w:t>Lands Regulations Amendment (Fees and Charges) Regulations 2018</w:t>
            </w:r>
            <w:r>
              <w:t xml:space="preserve"> Pt. 2</w:t>
            </w:r>
          </w:p>
        </w:tc>
        <w:tc>
          <w:tcPr>
            <w:tcW w:w="1276" w:type="dxa"/>
            <w:gridSpan w:val="2"/>
            <w:tcBorders>
              <w:bottom w:val="single" w:sz="8" w:space="0" w:color="auto"/>
            </w:tcBorders>
            <w:shd w:val="clear" w:color="auto" w:fill="auto"/>
          </w:tcPr>
          <w:p>
            <w:pPr>
              <w:pStyle w:val="nTable"/>
              <w:spacing w:after="40"/>
            </w:pPr>
            <w:r>
              <w:t>15 Jun 2018 p. 1923</w:t>
            </w:r>
            <w:r>
              <w:noBreakHyphen/>
              <w:t>8</w:t>
            </w:r>
          </w:p>
        </w:tc>
        <w:tc>
          <w:tcPr>
            <w:tcW w:w="2664" w:type="dxa"/>
            <w:tcBorders>
              <w:bottom w:val="single" w:sz="8" w:space="0" w:color="auto"/>
            </w:tcBorders>
            <w:shd w:val="clear" w:color="auto" w:fill="auto"/>
          </w:tcPr>
          <w:p>
            <w:pPr>
              <w:pStyle w:val="nTable"/>
              <w:spacing w:after="40"/>
              <w:rPr>
                <w:snapToGrid w:val="0"/>
              </w:rPr>
            </w:pPr>
            <w:r>
              <w:rPr>
                <w:snapToGrid w:val="0"/>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 w:name="_Toc9331562"/>
      <w:r>
        <w:t>Provisions that have not come into operation</w:t>
      </w:r>
      <w:bookmarkEnd w:id="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Lands Regulations Amendment (Fees and Charges) Regulations 2019</w:t>
            </w:r>
            <w:r>
              <w:t xml:space="preserve"> Pt. 2</w:t>
            </w:r>
            <w:r>
              <w:rPr>
                <w:vertAlign w:val="superscript"/>
              </w:rPr>
              <w:t> 2</w:t>
            </w:r>
          </w:p>
        </w:tc>
        <w:tc>
          <w:tcPr>
            <w:tcW w:w="1276" w:type="dxa"/>
          </w:tcPr>
          <w:p>
            <w:pPr>
              <w:pStyle w:val="nTable"/>
              <w:spacing w:after="40"/>
            </w:pPr>
            <w:r>
              <w:t>21 May 2019 p. 1474</w:t>
            </w:r>
            <w:r>
              <w:noBreakHyphen/>
              <w:t>81</w:t>
            </w:r>
          </w:p>
        </w:tc>
        <w:tc>
          <w:tcPr>
            <w:tcW w:w="2693" w:type="dxa"/>
          </w:tcPr>
          <w:p>
            <w:pPr>
              <w:pStyle w:val="nTable"/>
              <w:spacing w:after="40"/>
            </w:pPr>
            <w:r>
              <w:t>1 Jul 2019 (see r. 2(b))</w:t>
            </w:r>
          </w:p>
        </w:tc>
      </w:tr>
    </w:tbl>
    <w:p>
      <w:pPr>
        <w:pStyle w:val="nSubsection"/>
      </w:pPr>
      <w:r>
        <w:rPr>
          <w:vertAlign w:val="superscript"/>
        </w:rPr>
        <w:t>2</w:t>
      </w:r>
      <w:r>
        <w:tab/>
        <w:t xml:space="preserve">On the date at which this compilation was prepared, the </w:t>
      </w:r>
      <w:r>
        <w:rPr>
          <w:i/>
        </w:rPr>
        <w:t>Lands Regulations Amendment (Fees and Charges) Regulations 2019</w:t>
      </w:r>
      <w:r>
        <w:t xml:space="preserve"> Pt. 2 had not come into operation. It reads as follows:</w:t>
      </w:r>
    </w:p>
    <w:p>
      <w:pPr>
        <w:pStyle w:val="BlankOpen"/>
      </w:pPr>
    </w:p>
    <w:p>
      <w:pPr>
        <w:pStyle w:val="nzHeading2"/>
        <w:rPr>
          <w:rStyle w:val="CharPartText"/>
        </w:rPr>
      </w:pPr>
      <w:bookmarkStart w:id="31" w:name="_Toc6493573"/>
      <w:bookmarkStart w:id="32" w:name="_Toc6493597"/>
      <w:bookmarkStart w:id="33" w:name="_Toc6494138"/>
      <w:bookmarkStart w:id="34" w:name="_Toc6494947"/>
      <w:bookmarkStart w:id="35" w:name="_Toc7601075"/>
      <w:r>
        <w:rPr>
          <w:rStyle w:val="CharPartNo"/>
        </w:rPr>
        <w:t>Part 2</w:t>
      </w:r>
      <w:r>
        <w:rPr>
          <w:rStyle w:val="CharDivNo"/>
        </w:rPr>
        <w:t> </w:t>
      </w:r>
      <w:r>
        <w:t>—</w:t>
      </w:r>
      <w:r>
        <w:rPr>
          <w:rStyle w:val="CharDivText"/>
        </w:rPr>
        <w:t> </w:t>
      </w:r>
      <w:r>
        <w:rPr>
          <w:rStyle w:val="CharPartText"/>
          <w:i/>
        </w:rPr>
        <w:t>Registration of Deeds Regulations 2004</w:t>
      </w:r>
      <w:r>
        <w:rPr>
          <w:rStyle w:val="CharPartText"/>
        </w:rPr>
        <w:t xml:space="preserve"> amended</w:t>
      </w:r>
      <w:bookmarkEnd w:id="31"/>
      <w:bookmarkEnd w:id="32"/>
      <w:bookmarkEnd w:id="33"/>
      <w:bookmarkEnd w:id="34"/>
      <w:bookmarkEnd w:id="35"/>
    </w:p>
    <w:p>
      <w:pPr>
        <w:pStyle w:val="nzHeading5"/>
      </w:pPr>
      <w:bookmarkStart w:id="36" w:name="_Toc6494139"/>
      <w:bookmarkStart w:id="37" w:name="_Toc7601076"/>
      <w:r>
        <w:rPr>
          <w:rStyle w:val="CharSectno"/>
        </w:rPr>
        <w:t>3</w:t>
      </w:r>
      <w:r>
        <w:t>.</w:t>
      </w:r>
      <w:r>
        <w:tab/>
        <w:t>Regulations amended</w:t>
      </w:r>
      <w:bookmarkEnd w:id="36"/>
      <w:bookmarkEnd w:id="37"/>
    </w:p>
    <w:p>
      <w:pPr>
        <w:pStyle w:val="nzSubsection"/>
      </w:pPr>
      <w:r>
        <w:tab/>
      </w:r>
      <w:r>
        <w:tab/>
        <w:t xml:space="preserve">This Part amends the </w:t>
      </w:r>
      <w:r>
        <w:rPr>
          <w:i/>
        </w:rPr>
        <w:t>Registration of Deeds Regulations 2004</w:t>
      </w:r>
      <w:r>
        <w:t>.</w:t>
      </w:r>
    </w:p>
    <w:p>
      <w:pPr>
        <w:pStyle w:val="nzHeading5"/>
      </w:pPr>
      <w:bookmarkStart w:id="38" w:name="_Toc6494140"/>
      <w:bookmarkStart w:id="39" w:name="_Toc7601077"/>
      <w:r>
        <w:rPr>
          <w:rStyle w:val="CharSectno"/>
        </w:rPr>
        <w:t>4</w:t>
      </w:r>
      <w:r>
        <w:t>.</w:t>
      </w:r>
      <w:r>
        <w:tab/>
        <w:t>Schedule 1 amended</w:t>
      </w:r>
      <w:bookmarkEnd w:id="38"/>
      <w:bookmarkEnd w:id="39"/>
    </w:p>
    <w:p>
      <w:pPr>
        <w:pStyle w:val="nzSubsection"/>
      </w:pPr>
      <w:r>
        <w:tab/>
      </w:r>
      <w:r>
        <w:tab/>
        <w:t xml:space="preserve">In Schedule 1 amend the provisions listed in the Table as set out in the Table. </w:t>
      </w:r>
    </w:p>
    <w:p>
      <w:pPr>
        <w:pStyle w:val="THeading"/>
        <w:rPr>
          <w:sz w:val="22"/>
          <w:szCs w:val="22"/>
        </w:rPr>
      </w:pPr>
      <w:r>
        <w:rPr>
          <w:sz w:val="22"/>
          <w:szCs w:val="22"/>
        </w:rPr>
        <w:t>Table</w:t>
      </w:r>
    </w:p>
    <w:tbl>
      <w:tblPr>
        <w:tblW w:w="0" w:type="auto"/>
        <w:jc w:val="center"/>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6"/>
        <w:gridCol w:w="1734"/>
        <w:gridCol w:w="2022"/>
      </w:tblGrid>
      <w:tr>
        <w:trPr>
          <w:cantSplit/>
          <w:tblHeader/>
          <w:jc w:val="center"/>
        </w:trPr>
        <w:tc>
          <w:tcPr>
            <w:tcW w:w="2056" w:type="dxa"/>
          </w:tcPr>
          <w:p>
            <w:pPr>
              <w:pStyle w:val="nzTable"/>
              <w:jc w:val="center"/>
              <w:rPr>
                <w:b/>
              </w:rPr>
            </w:pPr>
            <w:r>
              <w:rPr>
                <w:b/>
              </w:rPr>
              <w:t>Provision</w:t>
            </w:r>
          </w:p>
        </w:tc>
        <w:tc>
          <w:tcPr>
            <w:tcW w:w="1734" w:type="dxa"/>
          </w:tcPr>
          <w:p>
            <w:pPr>
              <w:pStyle w:val="nzTable"/>
              <w:jc w:val="center"/>
              <w:rPr>
                <w:b/>
              </w:rPr>
            </w:pPr>
            <w:r>
              <w:rPr>
                <w:b/>
              </w:rPr>
              <w:t>Delete</w:t>
            </w:r>
          </w:p>
        </w:tc>
        <w:tc>
          <w:tcPr>
            <w:tcW w:w="2022" w:type="dxa"/>
          </w:tcPr>
          <w:p>
            <w:pPr>
              <w:pStyle w:val="nzTable"/>
              <w:jc w:val="center"/>
              <w:rPr>
                <w:b/>
              </w:rPr>
            </w:pPr>
            <w:r>
              <w:rPr>
                <w:b/>
              </w:rPr>
              <w:t>Insert</w:t>
            </w:r>
          </w:p>
        </w:tc>
      </w:tr>
      <w:tr>
        <w:trPr>
          <w:cantSplit/>
          <w:jc w:val="center"/>
        </w:trPr>
        <w:tc>
          <w:tcPr>
            <w:tcW w:w="2056" w:type="dxa"/>
          </w:tcPr>
          <w:p>
            <w:pPr>
              <w:pStyle w:val="nzTable"/>
            </w:pPr>
            <w:r>
              <w:t>Div. 1 it. 1</w:t>
            </w:r>
          </w:p>
        </w:tc>
        <w:tc>
          <w:tcPr>
            <w:tcW w:w="1734" w:type="dxa"/>
          </w:tcPr>
          <w:p>
            <w:pPr>
              <w:pStyle w:val="nzTable"/>
              <w:jc w:val="center"/>
            </w:pPr>
            <w:r>
              <w:t>$149.20</w:t>
            </w:r>
          </w:p>
        </w:tc>
        <w:tc>
          <w:tcPr>
            <w:tcW w:w="2022" w:type="dxa"/>
          </w:tcPr>
          <w:p>
            <w:pPr>
              <w:pStyle w:val="nzTable"/>
              <w:jc w:val="center"/>
            </w:pPr>
            <w:r>
              <w:t>$152.00</w:t>
            </w:r>
          </w:p>
        </w:tc>
      </w:tr>
      <w:tr>
        <w:trPr>
          <w:cantSplit/>
          <w:jc w:val="center"/>
        </w:trPr>
        <w:tc>
          <w:tcPr>
            <w:tcW w:w="2056" w:type="dxa"/>
          </w:tcPr>
          <w:p>
            <w:pPr>
              <w:pStyle w:val="nzTable"/>
            </w:pPr>
            <w:r>
              <w:t>Div. 1 it. 2</w:t>
            </w:r>
          </w:p>
        </w:tc>
        <w:tc>
          <w:tcPr>
            <w:tcW w:w="1734" w:type="dxa"/>
          </w:tcPr>
          <w:p>
            <w:pPr>
              <w:pStyle w:val="nzTable"/>
              <w:jc w:val="center"/>
            </w:pPr>
            <w:r>
              <w:t>$149.20</w:t>
            </w:r>
          </w:p>
        </w:tc>
        <w:tc>
          <w:tcPr>
            <w:tcW w:w="2022" w:type="dxa"/>
          </w:tcPr>
          <w:p>
            <w:pPr>
              <w:pStyle w:val="nzTable"/>
              <w:jc w:val="center"/>
            </w:pPr>
            <w:r>
              <w:t>$152.00</w:t>
            </w:r>
          </w:p>
        </w:tc>
      </w:tr>
      <w:tr>
        <w:trPr>
          <w:cantSplit/>
          <w:jc w:val="center"/>
        </w:trPr>
        <w:tc>
          <w:tcPr>
            <w:tcW w:w="2056" w:type="dxa"/>
          </w:tcPr>
          <w:p>
            <w:pPr>
              <w:pStyle w:val="nzTable"/>
            </w:pPr>
            <w:r>
              <w:t>Div. 2 it. 1</w:t>
            </w:r>
          </w:p>
        </w:tc>
        <w:tc>
          <w:tcPr>
            <w:tcW w:w="1734" w:type="dxa"/>
          </w:tcPr>
          <w:p>
            <w:pPr>
              <w:pStyle w:val="nzTable"/>
              <w:jc w:val="center"/>
            </w:pPr>
            <w:r>
              <w:t>$25.70</w:t>
            </w:r>
          </w:p>
        </w:tc>
        <w:tc>
          <w:tcPr>
            <w:tcW w:w="2022" w:type="dxa"/>
          </w:tcPr>
          <w:p>
            <w:pPr>
              <w:pStyle w:val="nzTable"/>
              <w:jc w:val="center"/>
            </w:pPr>
            <w:r>
              <w:t>$26.20</w:t>
            </w:r>
          </w:p>
        </w:tc>
      </w:tr>
      <w:tr>
        <w:trPr>
          <w:cantSplit/>
          <w:jc w:val="center"/>
        </w:trPr>
        <w:tc>
          <w:tcPr>
            <w:tcW w:w="2056" w:type="dxa"/>
          </w:tcPr>
          <w:p>
            <w:pPr>
              <w:pStyle w:val="nzTable"/>
            </w:pPr>
            <w:r>
              <w:t>Div. 3 it. 1</w:t>
            </w:r>
          </w:p>
        </w:tc>
        <w:tc>
          <w:tcPr>
            <w:tcW w:w="1734" w:type="dxa"/>
          </w:tcPr>
          <w:p>
            <w:pPr>
              <w:pStyle w:val="nzTable"/>
              <w:jc w:val="center"/>
            </w:pPr>
            <w:r>
              <w:t>$62.00</w:t>
            </w:r>
          </w:p>
        </w:tc>
        <w:tc>
          <w:tcPr>
            <w:tcW w:w="2022" w:type="dxa"/>
          </w:tcPr>
          <w:p>
            <w:pPr>
              <w:pStyle w:val="nzTable"/>
              <w:jc w:val="center"/>
            </w:pPr>
            <w:r>
              <w:t>$63.00</w:t>
            </w:r>
          </w:p>
        </w:tc>
      </w:tr>
      <w:tr>
        <w:trPr>
          <w:cantSplit/>
          <w:jc w:val="center"/>
        </w:trPr>
        <w:tc>
          <w:tcPr>
            <w:tcW w:w="2056" w:type="dxa"/>
          </w:tcPr>
          <w:p>
            <w:pPr>
              <w:pStyle w:val="nzTable"/>
            </w:pPr>
            <w:r>
              <w:t>Div. 3 it. 2</w:t>
            </w:r>
          </w:p>
        </w:tc>
        <w:tc>
          <w:tcPr>
            <w:tcW w:w="1734" w:type="dxa"/>
          </w:tcPr>
          <w:p>
            <w:pPr>
              <w:pStyle w:val="nzTable"/>
              <w:jc w:val="center"/>
            </w:pPr>
            <w:r>
              <w:t>$149.20</w:t>
            </w:r>
          </w:p>
        </w:tc>
        <w:tc>
          <w:tcPr>
            <w:tcW w:w="2022" w:type="dxa"/>
          </w:tcPr>
          <w:p>
            <w:pPr>
              <w:pStyle w:val="nzTable"/>
              <w:jc w:val="center"/>
            </w:pPr>
            <w:r>
              <w:t>$152.00</w:t>
            </w:r>
          </w:p>
        </w:tc>
      </w:tr>
    </w:tbl>
    <w:p>
      <w:pPr>
        <w:pStyle w:val="BlankClose"/>
      </w:pPr>
    </w:p>
    <w:p/>
    <w:p>
      <w:pPr>
        <w:sectPr>
          <w:headerReference w:type="even" r:id="rId28"/>
          <w:headerReference w:type="default" r:id="rId29"/>
          <w:headerReference w:type="first" r:id="rId30"/>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41" w:name="_Toc517945428"/>
      <w:bookmarkStart w:id="42" w:name="_Toc517957500"/>
      <w:bookmarkStart w:id="43" w:name="_Toc9331502"/>
      <w:bookmarkStart w:id="44" w:name="_Toc9331563"/>
      <w:r>
        <w:rPr>
          <w:sz w:val="28"/>
        </w:rPr>
        <w:t>Defined terms</w:t>
      </w:r>
      <w:bookmarkEnd w:id="41"/>
      <w:bookmarkEnd w:id="42"/>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memorial</w:t>
      </w:r>
      <w:r>
        <w:tab/>
        <w:t>3</w:t>
      </w:r>
    </w:p>
    <w:p>
      <w:pPr>
        <w:pStyle w:val="DefinedTerms"/>
      </w:pPr>
      <w:r>
        <w:t>Registrar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8102407"/>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 w:name="WAFER_20180614115126" w:val="RemoveTocBookmarks,RemoveUnusedBookmarks,RemoveLanguageTags,UsedStyles,ResetPageSize"/>
    <w:docVar w:name="WAFER_20180614115126_GUID" w:val="a2766285-a092-4144-a2ac-1fc66c0cacb7"/>
    <w:docVar w:name="WAFER_20180628102407" w:val="RemoveTocBookmarks,RemoveUnusedBookmarks,RemoveLanguageTags,UsedStyles,ResetPageSize"/>
    <w:docVar w:name="WAFER_20180628102407_GUID" w:val="87e81bbd-13f4-4d85-87d7-a59c7bfd7c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1452</Words>
  <Characters>6593</Characters>
  <Application>Microsoft Office Word</Application>
  <DocSecurity>0</DocSecurity>
  <Lines>313</Lines>
  <Paragraphs>206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2004 - 02-h0-00</dc:title>
  <dc:subject/>
  <dc:creator/>
  <cp:keywords/>
  <dc:description/>
  <cp:lastModifiedBy>svcMRProcess</cp:lastModifiedBy>
  <cp:revision>4</cp:revision>
  <cp:lastPrinted>2012-10-30T00:56:00Z</cp:lastPrinted>
  <dcterms:created xsi:type="dcterms:W3CDTF">2019-05-21T06:10:00Z</dcterms:created>
  <dcterms:modified xsi:type="dcterms:W3CDTF">2019-05-21T06:10:00Z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AsAtDate">
    <vt:lpwstr>21 May 2019</vt:lpwstr>
  </property>
  <property fmtid="{D5CDD505-2E9C-101B-9397-08002B2CF9AE}" pid="8" name="Suffix">
    <vt:lpwstr>02-h0-00</vt:lpwstr>
  </property>
  <property fmtid="{D5CDD505-2E9C-101B-9397-08002B2CF9AE}" pid="9" name="CommencementDate">
    <vt:lpwstr>20190521</vt:lpwstr>
  </property>
</Properties>
</file>