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_Toc10195192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_Toc10195193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_Toc10195194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_Toc10195195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_Toc10195196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_Toc10195197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_Toc10195198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_Toc10195199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_Toc10195200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_Toc10195201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_Toc10195202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_Toc10195206 \h </w:instrText>
      </w:r>
      <w:r>
        <w:fldChar w:fldCharType="separate"/>
      </w:r>
      <w:r>
        <w:t>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_Toc10195207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Marine and Harbours Act 1981</w:t>
      </w:r>
    </w:p>
    <w:p>
      <w:pPr>
        <w:pStyle w:val="NameofActReg"/>
      </w:pPr>
      <w:r>
        <w:t>Marine and Harbours (Departmental Areas) Regulations 1998</w:t>
      </w:r>
    </w:p>
    <w:p>
      <w:pPr>
        <w:pStyle w:val="Heading5"/>
        <w:rPr>
          <w:snapToGrid w:val="0"/>
        </w:rPr>
      </w:pPr>
      <w:bookmarkStart w:id="3" w:name="_Toc1019519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rFonts w:ascii="Times" w:hAnsi="Times"/>
          <w:snapToGrid w:val="0"/>
          <w:vertAlign w:val="superscript"/>
        </w:rPr>
        <w:t> 1</w:t>
      </w:r>
      <w:r>
        <w:rPr>
          <w:snapToGrid w:val="0"/>
        </w:rPr>
        <w:t>.</w:t>
      </w:r>
    </w:p>
    <w:p>
      <w:pPr>
        <w:pStyle w:val="Heading5"/>
        <w:rPr>
          <w:snapToGrid w:val="0"/>
        </w:rPr>
      </w:pPr>
      <w:bookmarkStart w:id="4" w:name="_Toc10195193"/>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10195194"/>
      <w:r>
        <w:rPr>
          <w:rStyle w:val="CharSectno"/>
        </w:rPr>
        <w:t>3</w:t>
      </w:r>
      <w:r>
        <w:rPr>
          <w:snapToGrid w:val="0"/>
        </w:rPr>
        <w:t>.</w:t>
      </w:r>
      <w:r>
        <w:rPr>
          <w:snapToGrid w:val="0"/>
        </w:rPr>
        <w:tab/>
        <w:t>Parking vehicles on departmental land</w:t>
      </w:r>
      <w:bookmarkEnd w:id="5"/>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6" w:name="_Toc10195195"/>
      <w:r>
        <w:rPr>
          <w:rStyle w:val="CharSectno"/>
        </w:rPr>
        <w:t>3A</w:t>
      </w:r>
      <w:r>
        <w:t>.</w:t>
      </w:r>
      <w:r>
        <w:tab/>
        <w:t>Parking charges for boat trailers: Hillarys Boat Harbour</w:t>
      </w:r>
      <w:bookmarkEnd w:id="6"/>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$9.00;</w:t>
      </w:r>
    </w:p>
    <w:p>
      <w:pPr>
        <w:pStyle w:val="Indenta"/>
      </w:pPr>
      <w:r>
        <w:tab/>
        <w:t>(b)</w:t>
      </w:r>
      <w:r>
        <w:tab/>
        <w:t>an annual charge of $140.00.</w:t>
      </w:r>
    </w:p>
    <w:p>
      <w:pPr>
        <w:pStyle w:val="Footnotesection"/>
      </w:pPr>
      <w:r>
        <w:tab/>
        <w:t>[Regulation 3A inserted: Gazette 23 Jun 2017 p. 3258; amended: Gazette 22 Jun 2018 p. 2184.]</w:t>
      </w:r>
    </w:p>
    <w:p>
      <w:pPr>
        <w:pStyle w:val="Heading5"/>
        <w:rPr>
          <w:snapToGrid w:val="0"/>
        </w:rPr>
      </w:pPr>
      <w:bookmarkStart w:id="7" w:name="_Toc10195196"/>
      <w:r>
        <w:rPr>
          <w:rStyle w:val="CharSectno"/>
        </w:rPr>
        <w:t>4</w:t>
      </w:r>
      <w:r>
        <w:rPr>
          <w:snapToGrid w:val="0"/>
        </w:rPr>
        <w:t>.</w:t>
      </w:r>
      <w:r>
        <w:rPr>
          <w:snapToGrid w:val="0"/>
        </w:rPr>
        <w:tab/>
        <w:t>Driving and riding vehicles on departmental land</w:t>
      </w:r>
      <w:bookmarkEnd w:id="7"/>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8" w:name="_Toc10195197"/>
      <w:r>
        <w:rPr>
          <w:rStyle w:val="CharSectno"/>
        </w:rPr>
        <w:t>5</w:t>
      </w:r>
      <w:r>
        <w:rPr>
          <w:snapToGrid w:val="0"/>
        </w:rPr>
        <w:t>.</w:t>
      </w:r>
      <w:r>
        <w:rPr>
          <w:snapToGrid w:val="0"/>
        </w:rPr>
        <w:tab/>
        <w:t>Departmental land leased to local governments</w:t>
      </w:r>
      <w:bookmarkEnd w:id="8"/>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9" w:name="_Toc10195198"/>
      <w:r>
        <w:rPr>
          <w:rStyle w:val="CharSectno"/>
        </w:rPr>
        <w:t>6</w:t>
      </w:r>
      <w:r>
        <w:rPr>
          <w:snapToGrid w:val="0"/>
        </w:rPr>
        <w:t>.</w:t>
      </w:r>
      <w:r>
        <w:rPr>
          <w:snapToGrid w:val="0"/>
        </w:rPr>
        <w:tab/>
        <w:t>Using waters in departmental areas</w:t>
      </w:r>
      <w:bookmarkEnd w:id="9"/>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0" w:name="_Toc10195199"/>
      <w:r>
        <w:rPr>
          <w:rStyle w:val="CharSectno"/>
        </w:rPr>
        <w:t>7</w:t>
      </w:r>
      <w:r>
        <w:rPr>
          <w:snapToGrid w:val="0"/>
        </w:rPr>
        <w:t>.</w:t>
      </w:r>
      <w:r>
        <w:rPr>
          <w:snapToGrid w:val="0"/>
        </w:rPr>
        <w:tab/>
        <w:t>Permitting animals on jetties in departmental areas</w:t>
      </w:r>
      <w:bookmarkEnd w:id="10"/>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1" w:name="_Toc10195200"/>
      <w:r>
        <w:rPr>
          <w:rStyle w:val="CharSectno"/>
        </w:rPr>
        <w:t>8</w:t>
      </w:r>
      <w:r>
        <w:rPr>
          <w:snapToGrid w:val="0"/>
        </w:rPr>
        <w:t>.</w:t>
      </w:r>
      <w:r>
        <w:rPr>
          <w:snapToGrid w:val="0"/>
        </w:rPr>
        <w:tab/>
        <w:t>Giving false or misleading information</w:t>
      </w:r>
      <w:bookmarkEnd w:id="11"/>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2" w:name="_Toc10195201"/>
      <w:r>
        <w:rPr>
          <w:rStyle w:val="CharSectno"/>
        </w:rPr>
        <w:t>9</w:t>
      </w:r>
      <w:r>
        <w:rPr>
          <w:snapToGrid w:val="0"/>
        </w:rPr>
        <w:t>.</w:t>
      </w:r>
      <w:r>
        <w:rPr>
          <w:snapToGrid w:val="0"/>
        </w:rPr>
        <w:tab/>
        <w:t>Infringement notices and modified penalties</w:t>
      </w:r>
      <w:bookmarkEnd w:id="12"/>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3" w:name="_Toc10195202"/>
      <w:r>
        <w:rPr>
          <w:rStyle w:val="CharSectno"/>
        </w:rPr>
        <w:t>10</w:t>
      </w:r>
      <w:r>
        <w:rPr>
          <w:snapToGrid w:val="0"/>
        </w:rPr>
        <w:t>.</w:t>
      </w:r>
      <w:r>
        <w:rPr>
          <w:snapToGrid w:val="0"/>
        </w:rPr>
        <w:tab/>
        <w:t>Offences that place onus on vehicle owner</w:t>
      </w:r>
      <w:bookmarkEnd w:id="1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 w:name="_Toc10195118"/>
      <w:bookmarkStart w:id="15" w:name="_Toc10195174"/>
      <w:bookmarkStart w:id="16" w:name="_Toc10195203"/>
      <w:r>
        <w:rPr>
          <w:rStyle w:val="CharSchNo"/>
        </w:rPr>
        <w:t>Schedule 1</w:t>
      </w:r>
      <w:r>
        <w:t> — </w:t>
      </w:r>
      <w:r>
        <w:rPr>
          <w:rStyle w:val="CharSchText"/>
        </w:rPr>
        <w:t>Infringement notice offences and modified penalties</w:t>
      </w:r>
      <w:bookmarkEnd w:id="14"/>
      <w:bookmarkEnd w:id="15"/>
      <w:bookmarkEnd w:id="16"/>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7" w:name="_Toc10195119"/>
      <w:bookmarkStart w:id="18" w:name="_Toc10195175"/>
      <w:bookmarkStart w:id="19" w:name="_Toc10195204"/>
      <w:r>
        <w:rPr>
          <w:rStyle w:val="CharSchNo"/>
        </w:rPr>
        <w:t>Schedule 2</w:t>
      </w:r>
      <w:r>
        <w:t> — </w:t>
      </w:r>
      <w:r>
        <w:rPr>
          <w:rStyle w:val="CharSchText"/>
        </w:rPr>
        <w:t>Forms</w:t>
      </w:r>
      <w:bookmarkEnd w:id="17"/>
      <w:bookmarkEnd w:id="18"/>
      <w:bookmarkEnd w:id="19"/>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1" w:name="_Toc10195120"/>
      <w:bookmarkStart w:id="22" w:name="_Toc10195176"/>
      <w:bookmarkStart w:id="23" w:name="_Toc10195205"/>
      <w:r>
        <w:t>Notes</w:t>
      </w:r>
      <w:bookmarkEnd w:id="21"/>
      <w:bookmarkEnd w:id="22"/>
      <w:bookmarkEnd w:id="23"/>
    </w:p>
    <w:p>
      <w:pPr>
        <w:pStyle w:val="nSubsection"/>
      </w:pPr>
      <w:r>
        <w:rPr>
          <w:vertAlign w:val="superscript"/>
        </w:rPr>
        <w:t>1</w:t>
      </w:r>
      <w:r>
        <w:tab/>
        <w:t xml:space="preserve">This is a compilation of the </w:t>
      </w:r>
      <w:r>
        <w:rPr>
          <w:i/>
          <w:noProof/>
        </w:rPr>
        <w:t>Marine and Harbours (Departmental Areas) Regulations 1998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4" w:name="_Toc10195206"/>
      <w:r>
        <w:rPr>
          <w:snapToGrid w:val="0"/>
        </w:rPr>
        <w:t>Compilation table</w:t>
      </w:r>
      <w:bookmarkEnd w:id="24"/>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Marine and Harbours (Departmental Areas) Regulations 1998</w:t>
            </w:r>
          </w:p>
        </w:tc>
        <w:tc>
          <w:tcPr>
            <w:tcW w:w="1276" w:type="dxa"/>
            <w:tcBorders>
              <w:top w:val="single" w:sz="8" w:space="0" w:color="auto"/>
              <w:bottom w:val="nil"/>
            </w:tcBorders>
          </w:tcPr>
          <w:p>
            <w:pPr>
              <w:pStyle w:val="nTable"/>
              <w:spacing w:after="40"/>
            </w:pPr>
            <w:r>
              <w:t>17 Jul 1998 p. 3800</w:t>
            </w:r>
            <w:r>
              <w:noBreakHyphen/>
              <w:t>3</w:t>
            </w:r>
          </w:p>
        </w:tc>
        <w:tc>
          <w:tcPr>
            <w:tcW w:w="2693" w:type="dxa"/>
            <w:tcBorders>
              <w:top w:val="single" w:sz="8" w:space="0" w:color="auto"/>
              <w:bottom w:val="nil"/>
            </w:tcBorders>
          </w:tcPr>
          <w:p>
            <w:pPr>
              <w:pStyle w:val="nTable"/>
              <w:spacing w:after="40"/>
            </w:pPr>
            <w:r>
              <w:t>17 Jul 1998</w:t>
            </w:r>
          </w:p>
        </w:tc>
      </w:tr>
      <w:tr>
        <w:trPr>
          <w:cantSplit/>
        </w:trPr>
        <w:tc>
          <w:tcPr>
            <w:tcW w:w="7087" w:type="dxa"/>
            <w:gridSpan w:val="3"/>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c>
          <w:tcPr>
            <w:tcW w:w="3118" w:type="dxa"/>
            <w:tcBorders>
              <w:top w:val="nil"/>
              <w:bottom w:val="nil"/>
            </w:tcBorders>
          </w:tcPr>
          <w:p>
            <w:pPr>
              <w:pStyle w:val="nTable"/>
              <w:spacing w:after="40"/>
            </w:pPr>
            <w:r>
              <w:rPr>
                <w:i/>
              </w:rPr>
              <w:t>Marine and Harbours (Departmental Areas) Amendment Regulations 2014</w:t>
            </w:r>
          </w:p>
        </w:tc>
        <w:tc>
          <w:tcPr>
            <w:tcW w:w="1276" w:type="dxa"/>
            <w:tcBorders>
              <w:top w:val="nil"/>
              <w:bottom w:val="nil"/>
            </w:tcBorders>
          </w:tcPr>
          <w:p>
            <w:pPr>
              <w:pStyle w:val="nTable"/>
              <w:spacing w:after="40"/>
            </w:pPr>
            <w:r>
              <w:t>8 Jan 2015 p. 53</w:t>
            </w:r>
            <w:r>
              <w:noBreakHyphen/>
              <w:t>5</w:t>
            </w:r>
          </w:p>
        </w:tc>
        <w:tc>
          <w:tcPr>
            <w:tcW w:w="2693" w:type="dxa"/>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pPr>
            <w:r>
              <w:rPr>
                <w:i/>
              </w:rPr>
              <w:t>Transport Regulations Amendment (Fees and Charges) Regulations (No. 2) 2017</w:t>
            </w:r>
            <w:r>
              <w:t xml:space="preserve"> Pt. 2</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c>
          <w:tcPr>
            <w:tcW w:w="3118" w:type="dxa"/>
            <w:tcBorders>
              <w:top w:val="nil"/>
              <w:bottom w:val="single" w:sz="4" w:space="0" w:color="auto"/>
            </w:tcBorders>
          </w:tcPr>
          <w:p>
            <w:pPr>
              <w:pStyle w:val="nTable"/>
              <w:spacing w:after="40"/>
              <w:rPr>
                <w:i/>
              </w:rPr>
            </w:pPr>
            <w:r>
              <w:rPr>
                <w:i/>
              </w:rPr>
              <w:t>Transport Regulations Amendment (Fees and Charges) Regulations (No. 2) 2018</w:t>
            </w:r>
            <w:r>
              <w:t xml:space="preserve"> Pt. 2</w:t>
            </w:r>
          </w:p>
        </w:tc>
        <w:tc>
          <w:tcPr>
            <w:tcW w:w="1276" w:type="dxa"/>
            <w:tcBorders>
              <w:top w:val="nil"/>
              <w:bottom w:val="single" w:sz="4" w:space="0" w:color="auto"/>
            </w:tcBorders>
          </w:tcPr>
          <w:p>
            <w:pPr>
              <w:pStyle w:val="nTable"/>
              <w:spacing w:after="40"/>
            </w:pPr>
            <w:r>
              <w:t>22 Jun 2018 p. 2184</w:t>
            </w:r>
            <w:r>
              <w:noBreakHyphen/>
              <w:t>93</w:t>
            </w:r>
          </w:p>
        </w:tc>
        <w:tc>
          <w:tcPr>
            <w:tcW w:w="2693" w:type="dxa"/>
            <w:tcBorders>
              <w:top w:val="nil"/>
              <w:bottom w:val="single" w:sz="4" w:space="0" w:color="auto"/>
            </w:tcBorders>
          </w:tcPr>
          <w:p>
            <w:pPr>
              <w:pStyle w:val="nTable"/>
              <w:spacing w:after="40"/>
              <w:rPr>
                <w:snapToGrid w:val="0"/>
                <w:spacing w:val="-2"/>
              </w:rPr>
            </w:pPr>
            <w:r>
              <w:rPr>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 w:name="_Toc10195207"/>
      <w:r>
        <w:t>Provisions that have not come into operation</w:t>
      </w:r>
      <w:bookmarkEnd w:id="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(No. 2) 2019</w:t>
            </w:r>
            <w:r>
              <w:t xml:space="preserve"> Pt. 2</w:t>
            </w:r>
            <w:r>
              <w:rPr>
                <w:vertAlign w:val="superscript"/>
              </w:rPr>
              <w:t> 3</w:t>
            </w:r>
          </w:p>
        </w:tc>
        <w:tc>
          <w:tcPr>
            <w:tcW w:w="1276" w:type="dxa"/>
          </w:tcPr>
          <w:p>
            <w:pPr>
              <w:pStyle w:val="nTable"/>
              <w:spacing w:after="40"/>
            </w:pPr>
            <w:r>
              <w:t>31 May 2019 p. 1721</w:t>
            </w:r>
            <w:r>
              <w:noBreakHyphen/>
              <w:t>8</w:t>
            </w:r>
          </w:p>
        </w:tc>
        <w:tc>
          <w:tcPr>
            <w:tcW w:w="2693" w:type="dxa"/>
          </w:tcPr>
          <w:p>
            <w:pPr>
              <w:pStyle w:val="nTable"/>
              <w:spacing w:after="40"/>
            </w:pPr>
            <w:r>
              <w:t>1 Jul 2019 (see r. 2(b))</w:t>
            </w:r>
          </w:p>
        </w:tc>
      </w:tr>
    </w:tbl>
    <w:p>
      <w:pPr>
        <w:pStyle w:val="nSubsection"/>
      </w:pPr>
      <w:r>
        <w:rPr>
          <w:vertAlign w:val="superscript"/>
        </w:rPr>
        <w:t>2</w:t>
      </w:r>
      <w:r>
        <w:tab/>
        <w:t xml:space="preserve">Repealed by the </w:t>
      </w:r>
      <w:r>
        <w:rPr>
          <w:i/>
        </w:rPr>
        <w:t>Road Traffic Code 2000</w:t>
      </w:r>
      <w:r>
        <w:t>.</w:t>
      </w:r>
    </w:p>
    <w:p>
      <w:pPr>
        <w:pStyle w:val="nSubsection"/>
      </w:pPr>
      <w:r>
        <w:rPr>
          <w:vertAlign w:val="superscript"/>
        </w:rPr>
        <w:t>3</w:t>
      </w:r>
      <w:r>
        <w:tab/>
        <w:t xml:space="preserve">On the date at which this compilation was prepared, the </w:t>
      </w:r>
      <w:r>
        <w:rPr>
          <w:i/>
        </w:rPr>
        <w:t>Transport Regulations Amendment (Fees and Charges) Regulations (No. 2) 2019</w:t>
      </w:r>
      <w:r>
        <w:t xml:space="preserve"> Pt. 2 had not come into operation. It reads as follows:</w:t>
      </w:r>
    </w:p>
    <w:p>
      <w:pPr>
        <w:pStyle w:val="BlankOpen"/>
      </w:pPr>
    </w:p>
    <w:p>
      <w:pPr>
        <w:pStyle w:val="nzHeading2"/>
      </w:pPr>
      <w:bookmarkStart w:id="26" w:name="_Toc5260325"/>
      <w:bookmarkStart w:id="27" w:name="_Toc5260355"/>
      <w:bookmarkStart w:id="28" w:name="_Toc5260385"/>
      <w:r>
        <w:rPr>
          <w:rStyle w:val="CharPartNo"/>
        </w:rPr>
        <w:t>Part 2</w:t>
      </w:r>
      <w:r>
        <w:rPr>
          <w:rStyle w:val="CharDivNo"/>
        </w:rPr>
        <w:t> </w:t>
      </w:r>
      <w:r>
        <w:t>—</w:t>
      </w:r>
      <w:r>
        <w:rPr>
          <w:rStyle w:val="CharDivText"/>
        </w:rPr>
        <w:t> </w:t>
      </w:r>
      <w:r>
        <w:rPr>
          <w:rStyle w:val="CharPartText"/>
          <w:i/>
        </w:rPr>
        <w:t>Marine and Harbours (Departmental Areas) Regulations 1998</w:t>
      </w:r>
      <w:r>
        <w:rPr>
          <w:rStyle w:val="CharPartText"/>
        </w:rPr>
        <w:t xml:space="preserve"> amended</w:t>
      </w:r>
      <w:bookmarkEnd w:id="26"/>
      <w:bookmarkEnd w:id="27"/>
      <w:bookmarkEnd w:id="28"/>
    </w:p>
    <w:p>
      <w:pPr>
        <w:pStyle w:val="nzHeading5"/>
        <w:rPr>
          <w:snapToGrid w:val="0"/>
        </w:rPr>
      </w:pPr>
      <w:bookmarkStart w:id="29" w:name="_Toc5260356"/>
      <w:bookmarkStart w:id="30" w:name="_Toc5260386"/>
      <w:r>
        <w:rPr>
          <w:rStyle w:val="CharSectno"/>
        </w:rPr>
        <w:t>3</w:t>
      </w:r>
      <w:r>
        <w:rPr>
          <w:snapToGrid w:val="0"/>
        </w:rPr>
        <w:t>.</w:t>
      </w:r>
      <w:r>
        <w:rPr>
          <w:snapToGrid w:val="0"/>
        </w:rPr>
        <w:tab/>
        <w:t>Regulations amended</w:t>
      </w:r>
      <w:bookmarkEnd w:id="29"/>
      <w:bookmarkEnd w:id="30"/>
    </w:p>
    <w:p>
      <w:pPr>
        <w:pStyle w:val="nzSubsection"/>
      </w:pPr>
      <w:r>
        <w:tab/>
      </w:r>
      <w:r>
        <w:tab/>
        <w:t>This Part amends the</w:t>
      </w:r>
      <w:r>
        <w:rPr>
          <w:i/>
        </w:rPr>
        <w:t xml:space="preserve"> Marine and Harbours (Departmental Areas) Regulations 1998</w:t>
      </w:r>
      <w:r>
        <w:t>.</w:t>
      </w:r>
    </w:p>
    <w:p>
      <w:pPr>
        <w:pStyle w:val="nzHeading5"/>
      </w:pPr>
      <w:bookmarkStart w:id="31" w:name="_Toc5260357"/>
      <w:bookmarkStart w:id="32" w:name="_Toc5260387"/>
      <w:r>
        <w:rPr>
          <w:rStyle w:val="CharSectno"/>
        </w:rPr>
        <w:t>4</w:t>
      </w:r>
      <w:r>
        <w:t>.</w:t>
      </w:r>
      <w:r>
        <w:tab/>
        <w:t>Regulation 3A amended</w:t>
      </w:r>
      <w:bookmarkEnd w:id="31"/>
      <w:bookmarkEnd w:id="32"/>
    </w:p>
    <w:p>
      <w:pPr>
        <w:pStyle w:val="nzSubsection"/>
      </w:pPr>
      <w:r>
        <w:tab/>
      </w:r>
      <w:r>
        <w:tab/>
        <w:t>In regulation 3A:</w:t>
      </w:r>
    </w:p>
    <w:p>
      <w:pPr>
        <w:pStyle w:val="nzIndenta"/>
      </w:pPr>
      <w:r>
        <w:tab/>
        <w:t>(a)</w:t>
      </w:r>
      <w:r>
        <w:tab/>
        <w:t>in paragraph (a) delete “$9.00;” and insert:</w:t>
      </w:r>
    </w:p>
    <w:p>
      <w:pPr>
        <w:pStyle w:val="BlankOpen"/>
      </w:pPr>
    </w:p>
    <w:p>
      <w:pPr>
        <w:pStyle w:val="nzIndenta"/>
      </w:pPr>
      <w:r>
        <w:tab/>
      </w:r>
      <w:r>
        <w:tab/>
        <w:t>$9.10;</w:t>
      </w:r>
    </w:p>
    <w:p>
      <w:pPr>
        <w:pStyle w:val="BlankClose"/>
      </w:pPr>
    </w:p>
    <w:p>
      <w:pPr>
        <w:pStyle w:val="nzIndenta"/>
      </w:pPr>
      <w:r>
        <w:tab/>
        <w:t>(b)</w:t>
      </w:r>
      <w:r>
        <w:tab/>
        <w:t>in paragraph (b) delete “$140.00.” and insert:</w:t>
      </w:r>
    </w:p>
    <w:p>
      <w:pPr>
        <w:pStyle w:val="BlankOpen"/>
      </w:pPr>
    </w:p>
    <w:p>
      <w:pPr>
        <w:pStyle w:val="nzIndenta"/>
      </w:pPr>
      <w:r>
        <w:tab/>
      </w:r>
      <w:r>
        <w:tab/>
        <w:t>$142.45.</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4" w:name="_Toc10195123"/>
      <w:bookmarkStart w:id="35" w:name="_Toc10195179"/>
      <w:bookmarkStart w:id="36" w:name="_Toc10195208"/>
      <w:r>
        <w:rPr>
          <w:sz w:val="28"/>
        </w:rPr>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530153829"/>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2400</Words>
  <Characters>14092</Characters>
  <Application>Microsoft Office Word</Application>
  <DocSecurity>0</DocSecurity>
  <Lines>454</Lines>
  <Paragraphs>317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16175</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1998 - 01-f0-00</dc:title>
  <dc:subject/>
  <dc:creator/>
  <cp:keywords/>
  <dc:description/>
  <cp:lastModifiedBy>svcMRProcess</cp:lastModifiedBy>
  <cp:revision>4</cp:revision>
  <cp:lastPrinted>2004-04-21T03:47:00Z</cp:lastPrinted>
  <dcterms:created xsi:type="dcterms:W3CDTF">2019-05-31T06:38:00Z</dcterms:created>
  <dcterms:modified xsi:type="dcterms:W3CDTF">2019-05-31T06:38:00Z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31 May 2019</vt:lpwstr>
  </property>
  <property fmtid="{D5CDD505-2E9C-101B-9397-08002B2CF9AE}" pid="6" name="Suffix">
    <vt:lpwstr>01-f0-00</vt:lpwstr>
  </property>
  <property fmtid="{D5CDD505-2E9C-101B-9397-08002B2CF9AE}" pid="7" name="CommencementDate">
    <vt:lpwstr>20190531</vt:lpwstr>
  </property>
</Properties>
</file>