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_Toc11404745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_Toc11404746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_Toc11404747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_Toc11404748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_Toc11404749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_Toc11404750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_Toc11404751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_Toc11404752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_Toc11404753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_Toc11404754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_Toc11404755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_Toc11404756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_Toc11404757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_Toc11404758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_Toc11404759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_Toc11404760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_Toc11404761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_Toc11404762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_Toc11404763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_Toc11404764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_Toc11404765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_Toc11404766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_Toc11404767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_Toc11404768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_Toc11404769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_Toc11404770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_Toc11404771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_Toc11404772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_Toc11404773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_Toc11404774 \h </w:instrText>
      </w:r>
      <w:r>
        <w:fldChar w:fldCharType="separate"/>
      </w:r>
      <w:r>
        <w:t>29</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_Toc11404775 \h </w:instrText>
      </w:r>
      <w:r>
        <w:fldChar w:fldCharType="separate"/>
      </w:r>
      <w:r>
        <w:t>37</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_Toc11404776 \h </w:instrText>
      </w:r>
      <w:r>
        <w:fldChar w:fldCharType="separate"/>
      </w:r>
      <w:r>
        <w:t>37</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_Toc11404777 \h </w:instrText>
      </w:r>
      <w:r>
        <w:fldChar w:fldCharType="separate"/>
      </w:r>
      <w:r>
        <w:t>37</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_Toc11404778 \h </w:instrText>
      </w:r>
      <w:r>
        <w:fldChar w:fldCharType="separate"/>
      </w:r>
      <w:r>
        <w:t>38</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_Toc11404779 \h </w:instrText>
      </w:r>
      <w:r>
        <w:fldChar w:fldCharType="separate"/>
      </w:r>
      <w:r>
        <w:t>38</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_Toc11404780 \h </w:instrText>
      </w:r>
      <w:r>
        <w:fldChar w:fldCharType="separate"/>
      </w:r>
      <w:r>
        <w:t>38</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_Toc11404781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_Toc11404782 \h </w:instrText>
      </w:r>
      <w:r>
        <w:fldChar w:fldCharType="separate"/>
      </w:r>
      <w:r>
        <w:t>39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_Toc11404783 \h </w:instrText>
      </w:r>
      <w:r>
        <w:fldChar w:fldCharType="separate"/>
      </w:r>
      <w:r>
        <w:t>40</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_Toc11404784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_Toc11404785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_Toc11404786 \h </w:instrText>
      </w:r>
      <w:r>
        <w:fldChar w:fldCharType="separate"/>
      </w:r>
      <w:r>
        <w:t>43</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_Toc11404787 \h </w:instrText>
      </w:r>
      <w:r>
        <w:fldChar w:fldCharType="separate"/>
      </w:r>
      <w:r>
        <w:t>43</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_Toc11404788 \h </w:instrText>
      </w:r>
      <w:r>
        <w:fldChar w:fldCharType="separate"/>
      </w:r>
      <w:r>
        <w:t>44</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_Toc11404789 \h </w:instrText>
      </w:r>
      <w:r>
        <w:fldChar w:fldCharType="separate"/>
      </w:r>
      <w:r>
        <w:t>44</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_Toc11404790 \h </w:instrText>
      </w:r>
      <w:r>
        <w:fldChar w:fldCharType="separate"/>
      </w:r>
      <w:r>
        <w:t>45</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_Toc11404791 \h </w:instrText>
      </w:r>
      <w:r>
        <w:fldChar w:fldCharType="separate"/>
      </w:r>
      <w:r>
        <w:t>45</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_Toc11404792 \h </w:instrText>
      </w:r>
      <w:r>
        <w:fldChar w:fldCharType="separate"/>
      </w:r>
      <w:r>
        <w:t>46</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_Toc11404793 \h </w:instrText>
      </w:r>
      <w:r>
        <w:fldChar w:fldCharType="separate"/>
      </w:r>
      <w:r>
        <w:t>46</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_Toc11404794 \h </w:instrText>
      </w:r>
      <w:r>
        <w:fldChar w:fldCharType="separate"/>
      </w:r>
      <w:r>
        <w:t>47</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_Toc11404795 \h </w:instrText>
      </w:r>
      <w:r>
        <w:fldChar w:fldCharType="separate"/>
      </w:r>
      <w:r>
        <w:t>48</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_Toc11404796 \h </w:instrText>
      </w:r>
      <w:r>
        <w:fldChar w:fldCharType="separate"/>
      </w:r>
      <w:r>
        <w:t>48</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_Toc11404797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_Toc11404798 \h </w:instrText>
      </w:r>
      <w:r>
        <w:fldChar w:fldCharType="separate"/>
      </w:r>
      <w:r>
        <w:t>51</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_Toc11404799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_Toc11404800 \h </w:instrText>
      </w:r>
      <w:r>
        <w:fldChar w:fldCharType="separate"/>
      </w:r>
      <w:r>
        <w:t>52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_Toc11404801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_Toc11404802 \h </w:instrText>
      </w:r>
      <w:r>
        <w:fldChar w:fldCharType="separate"/>
      </w:r>
      <w:r>
        <w:t>53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_Toc11404803 \h </w:instrText>
      </w:r>
      <w:r>
        <w:fldChar w:fldCharType="separate"/>
      </w:r>
      <w:r>
        <w:t>54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_Toc11404804 \h </w:instrText>
      </w:r>
      <w:r>
        <w:fldChar w:fldCharType="separate"/>
      </w:r>
      <w:r>
        <w:t>55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_Toc11404805 \h </w:instrText>
      </w:r>
      <w:r>
        <w:fldChar w:fldCharType="separate"/>
      </w:r>
      <w:r>
        <w:t>56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_Toc11404806 \h </w:instrText>
      </w:r>
      <w:r>
        <w:fldChar w:fldCharType="separate"/>
      </w:r>
      <w:r>
        <w:t>57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_Toc11404807 \h </w:instrText>
      </w:r>
      <w:r>
        <w:fldChar w:fldCharType="separate"/>
      </w:r>
      <w:r>
        <w:t>58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_Toc11404808 \h </w:instrText>
      </w:r>
      <w:r>
        <w:fldChar w:fldCharType="separate"/>
      </w:r>
      <w:r>
        <w:t>58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_Toc11404809 \h </w:instrText>
      </w:r>
      <w:r>
        <w:fldChar w:fldCharType="separate"/>
      </w:r>
      <w:r>
        <w:t>58</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_Toc11404810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_Toc11404811 \h </w:instrText>
      </w:r>
      <w:r>
        <w:fldChar w:fldCharType="separate"/>
      </w:r>
      <w:r>
        <w:t>60</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_Toc11404812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_Toc11404813 \h </w:instrText>
      </w:r>
      <w:r>
        <w:fldChar w:fldCharType="separate"/>
      </w:r>
      <w:r>
        <w:t>63</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_Toc11404814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_Toc11404815 \h </w:instrText>
      </w:r>
      <w:r>
        <w:fldChar w:fldCharType="separate"/>
      </w:r>
      <w:r>
        <w:t>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_Toc11404816 \h </w:instrText>
      </w:r>
      <w:r>
        <w:fldChar w:fldCharType="separate"/>
      </w:r>
      <w:r>
        <w:t>64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_Toc11404817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_Toc11404818 \h </w:instrText>
      </w:r>
      <w:r>
        <w:fldChar w:fldCharType="separate"/>
      </w:r>
      <w:r>
        <w:t>65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_Toc11404819 \h </w:instrText>
      </w:r>
      <w:r>
        <w:fldChar w:fldCharType="separate"/>
      </w:r>
      <w:r>
        <w:t>66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_Toc11404820 \h </w:instrText>
      </w:r>
      <w:r>
        <w:fldChar w:fldCharType="separate"/>
      </w:r>
      <w:r>
        <w:t>67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_Toc11404821 \h </w:instrText>
      </w:r>
      <w:r>
        <w:fldChar w:fldCharType="separate"/>
      </w:r>
      <w:r>
        <w:t>67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_Toc11404822 \h </w:instrText>
      </w:r>
      <w:r>
        <w:fldChar w:fldCharType="separate"/>
      </w:r>
      <w:r>
        <w:t>67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_Toc11404823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_Toc11404824 \h </w:instrText>
      </w:r>
      <w:r>
        <w:fldChar w:fldCharType="separate"/>
      </w:r>
      <w:r>
        <w:t>70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_Toc11404825 \h </w:instrText>
      </w:r>
      <w:r>
        <w:fldChar w:fldCharType="separate"/>
      </w:r>
      <w:r>
        <w:t>71</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_Toc11404826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_Toc11404827 \h </w:instrText>
      </w:r>
      <w:r>
        <w:fldChar w:fldCharType="separate"/>
      </w:r>
      <w:r>
        <w:t>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_Toc11404828 \h </w:instrText>
      </w:r>
      <w:r>
        <w:fldChar w:fldCharType="separate"/>
      </w:r>
      <w:r>
        <w:t>73</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_Toc11404829 \h </w:instrText>
      </w:r>
      <w:r>
        <w:fldChar w:fldCharType="separate"/>
      </w:r>
      <w:r>
        <w:t>75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_Toc11404830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_Toc11404837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1140474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1140474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1140474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11404748"/>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7" w:name="_Toc11404749"/>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11404750"/>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11404751"/>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1140475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1140475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1140475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11404755"/>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1140475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11404757"/>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11404758"/>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1140475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1140476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11404761"/>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11404762"/>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11404763"/>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11404764"/>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11404765"/>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11404766"/>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11404767"/>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11404768"/>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11404769"/>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11404770"/>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11404771"/>
      <w:r>
        <w:rPr>
          <w:rStyle w:val="CharSectno"/>
        </w:rPr>
        <w:t>8F</w:t>
      </w:r>
      <w:r>
        <w:t>.</w:t>
      </w:r>
      <w:r>
        <w:tab/>
        <w:t>Exemption from Act for consumption in licensed omnibus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w:t>
      </w:r>
    </w:p>
    <w:p>
      <w:pPr>
        <w:pStyle w:val="Heading5"/>
        <w:spacing w:before="240"/>
        <w:rPr>
          <w:snapToGrid w:val="0"/>
        </w:rPr>
      </w:pPr>
      <w:bookmarkStart w:id="30" w:name="_Toc11404772"/>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1404773"/>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snapToGrid w:val="0"/>
        </w:rPr>
      </w:pPr>
      <w:bookmarkStart w:id="32" w:name="_Toc11404774"/>
      <w:r>
        <w:rPr>
          <w:rStyle w:val="CharSectno"/>
        </w:rPr>
        <w:t>9A</w:t>
      </w:r>
      <w:r>
        <w:t>.</w:t>
      </w:r>
      <w:r>
        <w:tab/>
      </w:r>
      <w:r>
        <w:rPr>
          <w:snapToGrid w:val="0"/>
        </w:rPr>
        <w:t>Special facility licence, purposes for which may be granted</w:t>
      </w:r>
      <w:bookmarkEnd w:id="3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3" w:name="_Toc11404775"/>
      <w:r>
        <w:rPr>
          <w:rStyle w:val="CharSectno"/>
        </w:rPr>
        <w:t>9AB</w:t>
      </w:r>
      <w:r>
        <w:t>.</w:t>
      </w:r>
      <w:r>
        <w:tab/>
        <w:t xml:space="preserve">Kind of extended trading permit prescribed </w:t>
      </w:r>
      <w:r>
        <w:rPr>
          <w:snapToGrid w:val="0"/>
        </w:rPr>
        <w:t>(Act s.</w:t>
      </w:r>
      <w:r>
        <w:t> 25(5a))</w:t>
      </w:r>
      <w:bookmarkEnd w:id="3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4" w:name="_Toc11404776"/>
      <w:r>
        <w:rPr>
          <w:rStyle w:val="CharSectno"/>
        </w:rPr>
        <w:t>9B</w:t>
      </w:r>
      <w:r>
        <w:rPr>
          <w:snapToGrid w:val="0"/>
        </w:rPr>
        <w:t>.</w:t>
      </w:r>
      <w:r>
        <w:rPr>
          <w:snapToGrid w:val="0"/>
        </w:rPr>
        <w:tab/>
        <w:t>Special facility licence, effect of as to sale of packaged liquor</w:t>
      </w:r>
      <w:bookmarkEnd w:id="3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5" w:name="_Toc11404777"/>
      <w:r>
        <w:rPr>
          <w:rStyle w:val="CharSectno"/>
        </w:rPr>
        <w:t>9C</w:t>
      </w:r>
      <w:r>
        <w:t>.</w:t>
      </w:r>
      <w:r>
        <w:tab/>
        <w:t>Types of special facility licence prescribed (Act s. 46(6))</w:t>
      </w:r>
      <w:bookmarkEnd w:id="3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6" w:name="_Toc11404778"/>
      <w:r>
        <w:rPr>
          <w:rStyle w:val="CharSectno"/>
        </w:rPr>
        <w:t>9D</w:t>
      </w:r>
      <w:r>
        <w:t>.</w:t>
      </w:r>
      <w:r>
        <w:tab/>
      </w:r>
      <w:r>
        <w:rPr>
          <w:snapToGrid w:val="0"/>
        </w:rPr>
        <w:t>Act s.</w:t>
      </w:r>
      <w:r>
        <w:t> 33(6b) modified as to occasional licences</w:t>
      </w:r>
      <w:bookmarkEnd w:id="36"/>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7" w:name="_Toc11404779"/>
      <w:r>
        <w:rPr>
          <w:rStyle w:val="CharSectno"/>
        </w:rPr>
        <w:t>9E</w:t>
      </w:r>
      <w:r>
        <w:t>.</w:t>
      </w:r>
      <w:r>
        <w:tab/>
        <w:t>Period prescribed (Act s. 33(6D)(b))</w:t>
      </w:r>
      <w:bookmarkEnd w:id="3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38" w:name="_Toc11404780"/>
      <w:r>
        <w:rPr>
          <w:rStyle w:val="CharSectno"/>
        </w:rPr>
        <w:t>9EA</w:t>
      </w:r>
      <w:r>
        <w:t>.</w:t>
      </w:r>
      <w:r>
        <w:tab/>
        <w:t>Kinds of licence prescribed (Act s. 38(1)(a))</w:t>
      </w:r>
      <w:bookmarkEnd w:id="3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39" w:name="_Toc11404781"/>
      <w:r>
        <w:rPr>
          <w:rStyle w:val="CharSectno"/>
        </w:rPr>
        <w:t>9F</w:t>
      </w:r>
      <w:r>
        <w:t>.</w:t>
      </w:r>
      <w:r>
        <w:tab/>
        <w:t>Kinds of permit prescribed (Act s. 38(1)(b))</w:t>
      </w:r>
      <w:bookmarkEnd w:id="39"/>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0" w:name="_Toc11404782"/>
      <w:r>
        <w:rPr>
          <w:rStyle w:val="CharSectno"/>
        </w:rPr>
        <w:t>10</w:t>
      </w:r>
      <w:r>
        <w:rPr>
          <w:snapToGrid w:val="0"/>
        </w:rPr>
        <w:t>.</w:t>
      </w:r>
      <w:r>
        <w:rPr>
          <w:snapToGrid w:val="0"/>
        </w:rPr>
        <w:tab/>
        <w:t>Requirements prescribed (Act s. </w:t>
      </w:r>
      <w:r>
        <w:t>57(2)(d)</w:t>
      </w:r>
      <w:r>
        <w:rPr>
          <w:snapToGrid w:val="0"/>
        </w:rPr>
        <w:t>)</w:t>
      </w:r>
      <w:bookmarkEnd w:id="4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1" w:name="_Toc11404783"/>
      <w:r>
        <w:rPr>
          <w:rStyle w:val="CharSectno"/>
        </w:rPr>
        <w:t>10A</w:t>
      </w:r>
      <w:r>
        <w:rPr>
          <w:snapToGrid w:val="0"/>
        </w:rPr>
        <w:t>.</w:t>
      </w:r>
      <w:r>
        <w:rPr>
          <w:snapToGrid w:val="0"/>
        </w:rPr>
        <w:tab/>
        <w:t>Condition prescribed (Act s. 55(2))</w:t>
      </w:r>
      <w:bookmarkEnd w:id="41"/>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2" w:name="_Toc11404784"/>
      <w:r>
        <w:rPr>
          <w:rStyle w:val="CharSectno"/>
        </w:rPr>
        <w:t>10B</w:t>
      </w:r>
      <w:r>
        <w:t>.</w:t>
      </w:r>
      <w:r>
        <w:tab/>
        <w:t>Days for making application prescribed (Act s. 64(1BA))</w:t>
      </w:r>
      <w:bookmarkEnd w:id="42"/>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3" w:name="_Toc11404785"/>
      <w:r>
        <w:rPr>
          <w:rStyle w:val="CharSectno"/>
        </w:rPr>
        <w:t>11</w:t>
      </w:r>
      <w:r>
        <w:rPr>
          <w:snapToGrid w:val="0"/>
        </w:rPr>
        <w:t>.</w:t>
      </w:r>
      <w:r>
        <w:rPr>
          <w:snapToGrid w:val="0"/>
        </w:rPr>
        <w:tab/>
        <w:t>Plans and specifications, requirements for (Act s. 66(4) and (5))</w:t>
      </w:r>
      <w:bookmarkEnd w:id="4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 w:name="_Toc11404786"/>
      <w:r>
        <w:rPr>
          <w:rStyle w:val="CharSectno"/>
        </w:rPr>
        <w:t>13</w:t>
      </w:r>
      <w:r>
        <w:rPr>
          <w:snapToGrid w:val="0"/>
        </w:rPr>
        <w:t>.</w:t>
      </w:r>
      <w:r>
        <w:rPr>
          <w:snapToGrid w:val="0"/>
        </w:rPr>
        <w:tab/>
        <w:t>Records as to applicant, requirements for (Act s. 68(1)(b))</w:t>
      </w:r>
      <w:bookmarkEnd w:id="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5" w:name="_Toc11404787"/>
      <w:r>
        <w:rPr>
          <w:rStyle w:val="CharSectno"/>
        </w:rPr>
        <w:t>14A</w:t>
      </w:r>
      <w:r>
        <w:t>.</w:t>
      </w:r>
      <w:r>
        <w:tab/>
        <w:t xml:space="preserve">Types etc. of premises prescribed </w:t>
      </w:r>
      <w:r>
        <w:rPr>
          <w:snapToGrid w:val="0"/>
        </w:rPr>
        <w:t>(Act s. 77(5a)(b))</w:t>
      </w:r>
      <w:bookmarkEnd w:id="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6" w:name="_Toc11404788"/>
      <w:r>
        <w:rPr>
          <w:rStyle w:val="CharSectno"/>
        </w:rPr>
        <w:t>14AB</w:t>
      </w:r>
      <w:r>
        <w:t>.</w:t>
      </w:r>
      <w:r>
        <w:tab/>
        <w:t xml:space="preserve">Requirement for lodgment of application prescribed </w:t>
      </w:r>
      <w:r>
        <w:rPr>
          <w:snapToGrid w:val="0"/>
        </w:rPr>
        <w:t>(Act s. </w:t>
      </w:r>
      <w:r>
        <w:t>75(1)(b))</w:t>
      </w:r>
      <w:bookmarkEnd w:id="4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47" w:name="_Toc11404789"/>
      <w:r>
        <w:rPr>
          <w:rStyle w:val="CharSectno"/>
        </w:rPr>
        <w:t>14AC</w:t>
      </w:r>
      <w:r>
        <w:t>.</w:t>
      </w:r>
      <w:r>
        <w:tab/>
        <w:t xml:space="preserve">Requirement for lodgment of application prescribed </w:t>
      </w:r>
      <w:r>
        <w:rPr>
          <w:snapToGrid w:val="0"/>
        </w:rPr>
        <w:t>(Act s. </w:t>
      </w:r>
      <w:r>
        <w:t>76(1)(b))</w:t>
      </w:r>
      <w:bookmarkEnd w:id="47"/>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48" w:name="_Toc11404790"/>
      <w:r>
        <w:rPr>
          <w:rStyle w:val="CharSectno"/>
        </w:rPr>
        <w:t>14ADA</w:t>
      </w:r>
      <w:r>
        <w:t>.</w:t>
      </w:r>
      <w:r>
        <w:tab/>
        <w:t>Manager’s approval, application for (Act s. 102B)</w:t>
      </w:r>
      <w:bookmarkEnd w:id="4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49" w:name="_Toc11404791"/>
      <w:r>
        <w:rPr>
          <w:rStyle w:val="CharSectno"/>
        </w:rPr>
        <w:t>14ADB</w:t>
      </w:r>
      <w:r>
        <w:t>.</w:t>
      </w:r>
      <w:r>
        <w:tab/>
        <w:t>Manager’s approval, conditions on (Act s. 102C)</w:t>
      </w:r>
      <w:bookmarkEnd w:id="4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0" w:name="_Toc11404792"/>
      <w:r>
        <w:rPr>
          <w:rStyle w:val="CharSectno"/>
        </w:rPr>
        <w:t>14ADC</w:t>
      </w:r>
      <w:r>
        <w:t>.</w:t>
      </w:r>
      <w:r>
        <w:tab/>
        <w:t>Manager’s approval, duration of (Act s. 102D)</w:t>
      </w:r>
      <w:bookmarkEnd w:id="5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1" w:name="_Toc11404793"/>
      <w:r>
        <w:rPr>
          <w:rStyle w:val="CharSectno"/>
        </w:rPr>
        <w:t>14ADD</w:t>
      </w:r>
      <w:r>
        <w:t>.</w:t>
      </w:r>
      <w:r>
        <w:tab/>
        <w:t>Manager’s approval, renewal of (Act s. 102E)</w:t>
      </w:r>
      <w:bookmarkEnd w:id="5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2" w:name="_Toc11404794"/>
      <w:r>
        <w:rPr>
          <w:rStyle w:val="CharSectno"/>
        </w:rPr>
        <w:t>14ADE</w:t>
      </w:r>
      <w:r>
        <w:t>.</w:t>
      </w:r>
      <w:r>
        <w:tab/>
        <w:t>Approved manager, identification card for</w:t>
      </w:r>
      <w:bookmarkEnd w:id="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3" w:name="_Toc11404795"/>
      <w:r>
        <w:rPr>
          <w:rStyle w:val="CharSectno"/>
        </w:rPr>
        <w:t>14ADF</w:t>
      </w:r>
      <w:r>
        <w:t>.</w:t>
      </w:r>
      <w:r>
        <w:tab/>
        <w:t>Lost etc. identification card, replacement of</w:t>
      </w:r>
      <w:bookmarkEnd w:id="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4" w:name="_Toc11404796"/>
      <w:r>
        <w:rPr>
          <w:rStyle w:val="CharSectno"/>
        </w:rPr>
        <w:t>14ADG</w:t>
      </w:r>
      <w:r>
        <w:t>.</w:t>
      </w:r>
      <w:r>
        <w:tab/>
        <w:t>Transitioned approvals (Act Sch. 1B)</w:t>
      </w:r>
      <w:bookmarkEnd w:id="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5" w:name="_Toc11404797"/>
      <w:r>
        <w:rPr>
          <w:rStyle w:val="CharSectno"/>
        </w:rPr>
        <w:t>14AD</w:t>
      </w:r>
      <w:r>
        <w:t>.</w:t>
      </w:r>
      <w:r>
        <w:tab/>
        <w:t xml:space="preserve">Responsible practices in selling etc. liquor, courses on required </w:t>
      </w:r>
      <w:r>
        <w:rPr>
          <w:snapToGrid w:val="0"/>
        </w:rPr>
        <w:t>(Act s. </w:t>
      </w:r>
      <w:r>
        <w:t>103A(1)(a))</w:t>
      </w:r>
      <w:bookmarkEnd w:id="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56" w:name="_Toc11404798"/>
      <w:r>
        <w:rPr>
          <w:rStyle w:val="CharSectno"/>
        </w:rPr>
        <w:t>14AE</w:t>
      </w:r>
      <w:r>
        <w:t>.</w:t>
      </w:r>
      <w:r>
        <w:tab/>
        <w:t>Offences for r. 14AD</w:t>
      </w:r>
      <w:bookmarkEnd w:id="5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57" w:name="_Toc11404799"/>
      <w:r>
        <w:rPr>
          <w:rStyle w:val="CharSectno"/>
        </w:rPr>
        <w:t>14AG</w:t>
      </w:r>
      <w:r>
        <w:t>.</w:t>
      </w:r>
      <w:r>
        <w:tab/>
        <w:t>Licensee to maintain register </w:t>
      </w:r>
      <w:r>
        <w:rPr>
          <w:snapToGrid w:val="0"/>
        </w:rPr>
        <w:t>(Act s. </w:t>
      </w:r>
      <w:r>
        <w:t>103A(1)(b))</w:t>
      </w:r>
      <w:bookmarkEnd w:id="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58" w:name="_Toc11404800"/>
      <w:r>
        <w:rPr>
          <w:rStyle w:val="CharSectno"/>
        </w:rPr>
        <w:t>16</w:t>
      </w:r>
      <w:r>
        <w:rPr>
          <w:snapToGrid w:val="0"/>
        </w:rPr>
        <w:t>.</w:t>
      </w:r>
      <w:r>
        <w:rPr>
          <w:snapToGrid w:val="0"/>
        </w:rPr>
        <w:tab/>
        <w:t>Amount of liability prescribed (Act s. 107)</w:t>
      </w:r>
      <w:bookmarkEnd w:id="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9" w:name="_Toc11404801"/>
      <w:r>
        <w:rPr>
          <w:rStyle w:val="CharSectno"/>
        </w:rPr>
        <w:t>16A</w:t>
      </w:r>
      <w:r>
        <w:t>.</w:t>
      </w:r>
      <w:r>
        <w:tab/>
        <w:t xml:space="preserve">Sports arenas prescribed (Act s. 110(4B) </w:t>
      </w:r>
      <w:r>
        <w:rPr>
          <w:i/>
        </w:rPr>
        <w:t>sports arena</w:t>
      </w:r>
      <w:r>
        <w:t>)</w:t>
      </w:r>
      <w:bookmarkEnd w:id="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0" w:name="_Toc11404802"/>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1" w:name="_Toc11404803"/>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2" w:name="_Toc11404804"/>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3" w:name="_Toc11404805"/>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11404806"/>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5" w:name="_Toc11404807"/>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66" w:name="_Toc11404808"/>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67" w:name="_Toc11404809"/>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68" w:name="_Toc11404810"/>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69" w:name="_Toc11404811"/>
      <w:r>
        <w:rPr>
          <w:rStyle w:val="CharSectno"/>
        </w:rPr>
        <w:t>18EB</w:t>
      </w:r>
      <w:r>
        <w:t>.</w:t>
      </w:r>
      <w:r>
        <w:tab/>
        <w:t>Incidents and information prescribed for register (Act s. 116A)</w:t>
      </w:r>
      <w:bookmarkEnd w:id="69"/>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0" w:name="_Toc11404812"/>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1" w:name="_Toc11404813"/>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ageBreakBefore/>
        <w:spacing w:before="0"/>
      </w:pPr>
      <w:bookmarkStart w:id="72" w:name="_Toc11404814"/>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3" w:name="_Toc11404815"/>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4" w:name="_Toc11404816"/>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pageBreakBefore/>
        <w:spacing w:before="0"/>
        <w:rPr>
          <w:snapToGrid w:val="0"/>
        </w:rPr>
      </w:pPr>
      <w:bookmarkStart w:id="75" w:name="_Toc1140481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76" w:name="_Toc11404818"/>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Next w:val="0"/>
        <w:keepLines w:val="0"/>
      </w:pPr>
      <w:bookmarkStart w:id="77" w:name="_Toc11404819"/>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71336"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78" w:name="_Toc11404820"/>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79" w:name="_Toc11404821"/>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0" w:name="_Toc11404822"/>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1" w:name="_Toc11404823"/>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2" w:name="_Toc11404824"/>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3" w:name="_Toc11404825"/>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4" w:name="_Toc11404826"/>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5" w:name="_Toc11404827"/>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86" w:name="_Toc11404828"/>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87" w:name="_Toc11404829"/>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rPr>
          <w:snapToGrid w:val="0"/>
        </w:rPr>
      </w:pPr>
      <w:bookmarkStart w:id="88" w:name="_Toc11404830"/>
      <w:r>
        <w:rPr>
          <w:rStyle w:val="CharSectno"/>
        </w:rPr>
        <w:t>27</w:t>
      </w:r>
      <w:r>
        <w:rPr>
          <w:snapToGrid w:val="0"/>
        </w:rPr>
        <w:t>.</w:t>
      </w:r>
      <w:r>
        <w:rPr>
          <w:snapToGrid w:val="0"/>
        </w:rPr>
        <w:tab/>
      </w:r>
      <w:r>
        <w:t>Prescribed offences for infringement notices (Act s. 167(2))</w:t>
      </w:r>
      <w:bookmarkEnd w:id="88"/>
    </w:p>
    <w:p>
      <w:pPr>
        <w:pStyle w:val="Footnoteheading"/>
      </w:pPr>
      <w:r>
        <w:tab/>
        <w:t>[Heading amended: Gazette 2 Oct 2018 p. 3801.]</w:t>
      </w:r>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2018 p. 1900.]</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531696400"/>
      <w:bookmarkStart w:id="90" w:name="_Toc531786545"/>
      <w:bookmarkStart w:id="91" w:name="_Toc531787426"/>
      <w:bookmarkStart w:id="92" w:name="_Toc531850678"/>
      <w:bookmarkStart w:id="93" w:name="_Toc531871011"/>
      <w:bookmarkStart w:id="94" w:name="_Toc11404672"/>
      <w:bookmarkStart w:id="95" w:name="_Toc11404831"/>
      <w:r>
        <w:rPr>
          <w:rStyle w:val="CharSchNo"/>
        </w:rPr>
        <w:t>Schedule 1</w:t>
      </w:r>
      <w:bookmarkEnd w:id="89"/>
      <w:bookmarkEnd w:id="90"/>
      <w:bookmarkEnd w:id="91"/>
      <w:bookmarkEnd w:id="92"/>
      <w:bookmarkEnd w:id="93"/>
      <w:bookmarkEnd w:id="94"/>
      <w:bookmarkEnd w:id="95"/>
    </w:p>
    <w:p>
      <w:pPr>
        <w:pStyle w:val="yShoulderClause"/>
        <w:spacing w:before="60"/>
        <w:rPr>
          <w:snapToGrid w:val="0"/>
        </w:rPr>
      </w:pPr>
      <w:r>
        <w:rPr>
          <w:snapToGrid w:val="0"/>
        </w:rPr>
        <w:t>[Regulation 3]</w:t>
      </w:r>
    </w:p>
    <w:p>
      <w:pPr>
        <w:pStyle w:val="yHeading2"/>
        <w:outlineLvl w:val="9"/>
      </w:pPr>
      <w:bookmarkStart w:id="96" w:name="_Toc531696401"/>
      <w:bookmarkStart w:id="97" w:name="_Toc531786546"/>
      <w:bookmarkStart w:id="98" w:name="_Toc531787427"/>
      <w:bookmarkStart w:id="99" w:name="_Toc531850679"/>
      <w:bookmarkStart w:id="100" w:name="_Toc531871012"/>
      <w:bookmarkStart w:id="101" w:name="_Toc11404673"/>
      <w:bookmarkStart w:id="102" w:name="_Toc11404832"/>
      <w:r>
        <w:rPr>
          <w:rStyle w:val="CharSchText"/>
        </w:rPr>
        <w:t>Forms</w:t>
      </w:r>
      <w:bookmarkEnd w:id="96"/>
      <w:bookmarkEnd w:id="97"/>
      <w:bookmarkEnd w:id="98"/>
      <w:bookmarkEnd w:id="99"/>
      <w:bookmarkEnd w:id="100"/>
      <w:bookmarkEnd w:id="101"/>
      <w:bookmarkEnd w:id="10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bookmarkStart w:id="103" w:name="_Toc531696402"/>
      <w:bookmarkStart w:id="104" w:name="_Toc531786547"/>
      <w:bookmarkStart w:id="105" w:name="_Toc531787428"/>
      <w:bookmarkStart w:id="106" w:name="_Toc531850680"/>
      <w:bookmarkStart w:id="107" w:name="_Toc531871013"/>
    </w:p>
    <w:p>
      <w:pPr>
        <w:pStyle w:val="yScheduleHeading"/>
      </w:pPr>
      <w:bookmarkStart w:id="108" w:name="_Toc11404674"/>
      <w:bookmarkStart w:id="109" w:name="_Toc11404833"/>
      <w:r>
        <w:rPr>
          <w:rStyle w:val="CharSchNo"/>
        </w:rPr>
        <w:t>Schedule 2</w:t>
      </w:r>
      <w:bookmarkEnd w:id="103"/>
      <w:bookmarkEnd w:id="104"/>
      <w:bookmarkEnd w:id="105"/>
      <w:bookmarkEnd w:id="106"/>
      <w:bookmarkEnd w:id="107"/>
      <w:bookmarkEnd w:id="108"/>
      <w:bookmarkEnd w:id="109"/>
    </w:p>
    <w:p>
      <w:pPr>
        <w:pStyle w:val="yShoulderClause"/>
        <w:spacing w:before="60"/>
        <w:rPr>
          <w:snapToGrid w:val="0"/>
        </w:rPr>
      </w:pPr>
      <w:r>
        <w:rPr>
          <w:snapToGrid w:val="0"/>
        </w:rPr>
        <w:t>[Regulation 13]</w:t>
      </w:r>
    </w:p>
    <w:p>
      <w:pPr>
        <w:pStyle w:val="yHeading2"/>
        <w:spacing w:before="120" w:after="80"/>
      </w:pPr>
      <w:bookmarkStart w:id="110" w:name="_Toc531696403"/>
      <w:bookmarkStart w:id="111" w:name="_Toc531786548"/>
      <w:bookmarkStart w:id="112" w:name="_Toc531787429"/>
      <w:bookmarkStart w:id="113" w:name="_Toc531850681"/>
      <w:bookmarkStart w:id="114" w:name="_Toc531871014"/>
      <w:bookmarkStart w:id="115" w:name="_Toc11404675"/>
      <w:bookmarkStart w:id="116" w:name="_Toc11404834"/>
      <w:r>
        <w:rPr>
          <w:rStyle w:val="CharSchText"/>
        </w:rPr>
        <w:t>Details of applicant</w:t>
      </w:r>
      <w:bookmarkEnd w:id="110"/>
      <w:bookmarkEnd w:id="111"/>
      <w:bookmarkEnd w:id="112"/>
      <w:bookmarkEnd w:id="113"/>
      <w:bookmarkEnd w:id="114"/>
      <w:bookmarkEnd w:id="115"/>
      <w:bookmarkEnd w:id="11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7" w:name="_Toc531696404"/>
      <w:bookmarkStart w:id="118" w:name="_Toc531786549"/>
      <w:bookmarkStart w:id="119" w:name="_Toc531787430"/>
      <w:bookmarkStart w:id="120" w:name="_Toc531850682"/>
      <w:bookmarkStart w:id="121" w:name="_Toc531871015"/>
      <w:bookmarkStart w:id="122" w:name="_Toc11404676"/>
      <w:bookmarkStart w:id="123" w:name="_Toc11404835"/>
      <w:r>
        <w:rPr>
          <w:rStyle w:val="CharSchNo"/>
        </w:rPr>
        <w:t>Schedule 3</w:t>
      </w:r>
      <w:r>
        <w:t> — </w:t>
      </w:r>
      <w:r>
        <w:rPr>
          <w:rStyle w:val="CharSchText"/>
        </w:rPr>
        <w:t>Fees</w:t>
      </w:r>
      <w:bookmarkEnd w:id="117"/>
      <w:bookmarkEnd w:id="118"/>
      <w:bookmarkEnd w:id="119"/>
      <w:bookmarkEnd w:id="120"/>
      <w:bookmarkEnd w:id="121"/>
      <w:bookmarkEnd w:id="122"/>
      <w:bookmarkEnd w:id="123"/>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24" w:name="_Toc531696405"/>
      <w:bookmarkStart w:id="125" w:name="_Toc531786550"/>
      <w:bookmarkStart w:id="126" w:name="_Toc531787431"/>
      <w:bookmarkStart w:id="127" w:name="_Toc531850683"/>
      <w:bookmarkStart w:id="128" w:name="_Toc531871016"/>
      <w:bookmarkStart w:id="129" w:name="_Toc11404677"/>
      <w:bookmarkStart w:id="130" w:name="_Toc11404836"/>
      <w:r>
        <w:t>Notes</w:t>
      </w:r>
      <w:bookmarkEnd w:id="124"/>
      <w:bookmarkEnd w:id="125"/>
      <w:bookmarkEnd w:id="126"/>
      <w:bookmarkEnd w:id="127"/>
      <w:bookmarkEnd w:id="128"/>
      <w:bookmarkEnd w:id="129"/>
      <w:bookmarkEnd w:id="130"/>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31" w:name="_Toc11404837"/>
      <w:r>
        <w:rPr>
          <w:snapToGrid w:val="0"/>
        </w:rPr>
        <w:t>Compilation table</w:t>
      </w:r>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rFonts w:ascii="Times" w:hAnsi="Times"/>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r. 1 and 2: 2 Oct 2018 (see r. 2(a));</w:t>
            </w:r>
            <w:r>
              <w:rPr>
                <w:rFonts w:ascii="Times" w:hAnsi="Times"/>
                <w:bCs/>
                <w:snapToGrid w:val="0"/>
              </w:rPr>
              <w:br/>
              <w:t xml:space="preserve">Regulations other than r. 1, 2, </w:t>
            </w:r>
            <w:r>
              <w:t>15(2) and (4)</w:t>
            </w:r>
            <w:r>
              <w:rPr>
                <w:rFonts w:ascii="Times" w:hAnsi="Times"/>
                <w:bCs/>
                <w:snapToGrid w:val="0"/>
              </w:rPr>
              <w:t xml:space="preserve">: 3 Oct 2018 (see r. 2(c) and </w:t>
            </w:r>
            <w:r>
              <w:rPr>
                <w:rFonts w:ascii="Times" w:hAnsi="Times"/>
                <w:bCs/>
                <w:i/>
                <w:snapToGrid w:val="0"/>
              </w:rPr>
              <w:t xml:space="preserve">Gazette </w:t>
            </w:r>
            <w:r>
              <w:rPr>
                <w:rFonts w:ascii="Times" w:hAnsi="Times"/>
                <w:bCs/>
                <w:snapToGrid w:val="0"/>
              </w:rPr>
              <w:t>2 Oct 2018 p. 3779);</w:t>
            </w:r>
            <w:r>
              <w:rPr>
                <w:rFonts w:ascii="Times" w:hAnsi="Times"/>
                <w:bCs/>
                <w:snapToGrid w:val="0"/>
              </w:rPr>
              <w:br/>
              <w:t>r. 15(2) and (4): 1 Jan 2019 (see r. 2(b))</w:t>
            </w:r>
          </w:p>
        </w:tc>
      </w:tr>
      <w:tr>
        <w:tc>
          <w:tcPr>
            <w:tcW w:w="3119" w:type="dxa"/>
            <w:tcBorders>
              <w:bottom w:val="single" w:sz="4" w:space="0" w:color="auto"/>
            </w:tcBorders>
            <w:shd w:val="clear" w:color="auto" w:fill="auto"/>
          </w:tcPr>
          <w:p>
            <w:pPr>
              <w:pStyle w:val="nTable"/>
              <w:keepNext/>
              <w:spacing w:after="40"/>
            </w:pPr>
            <w:r>
              <w:rPr>
                <w:i/>
              </w:rPr>
              <w:t>Liquor Control (Wakathuni Restricted Area) Regulations 2019</w:t>
            </w:r>
            <w:r>
              <w:t xml:space="preserve"> Pt. 5</w:t>
            </w:r>
          </w:p>
        </w:tc>
        <w:tc>
          <w:tcPr>
            <w:tcW w:w="1276" w:type="dxa"/>
            <w:tcBorders>
              <w:bottom w:val="single" w:sz="4" w:space="0" w:color="auto"/>
            </w:tcBorders>
            <w:shd w:val="clear" w:color="auto" w:fill="auto"/>
          </w:tcPr>
          <w:p>
            <w:pPr>
              <w:pStyle w:val="nTable"/>
              <w:keepNext/>
              <w:spacing w:after="40"/>
            </w:pPr>
            <w:r>
              <w:t>14 Jun 2019 p. 1898-900</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15 Jun 2019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33" w:name="_Toc531850685"/>
      <w:bookmarkStart w:id="134" w:name="_Toc531871018"/>
      <w:bookmarkStart w:id="135" w:name="_Toc11404679"/>
      <w:bookmarkStart w:id="136" w:name="_Toc11404838"/>
      <w:r>
        <w:rPr>
          <w:sz w:val="28"/>
        </w:rPr>
        <w:t>Defined terms</w:t>
      </w:r>
      <w:bookmarkEnd w:id="133"/>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2565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0ACE5-A6CD-4737-9E3F-88FD718AC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27462</Words>
  <Characters>130994</Characters>
  <Application>Microsoft Office Word</Application>
  <DocSecurity>0</DocSecurity>
  <Lines>4678</Lines>
  <Paragraphs>2685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1989 - 14-q0-00</dc:title>
  <dc:subject/>
  <dc:creator/>
  <cp:keywords/>
  <dc:description/>
  <cp:lastModifiedBy>svcMRProcess</cp:lastModifiedBy>
  <cp:revision>4</cp:revision>
  <cp:lastPrinted>2018-12-06T06:42:00Z</cp:lastPrinted>
  <dcterms:created xsi:type="dcterms:W3CDTF">2020-02-26T17:16:00Z</dcterms:created>
  <dcterms:modified xsi:type="dcterms:W3CDTF">2020-02-26T17:16:00Z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15 Jun 2019</vt:lpwstr>
  </property>
  <property fmtid="{D5CDD505-2E9C-101B-9397-08002B2CF9AE}" pid="8" name="Suffix">
    <vt:lpwstr>14-q0-00</vt:lpwstr>
  </property>
  <property fmtid="{D5CDD505-2E9C-101B-9397-08002B2CF9AE}" pid="9" name="CommencementDate">
    <vt:lpwstr>20190615</vt:lpwstr>
  </property>
</Properties>
</file>