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t> </w:t>
      </w:r>
      <w:r>
        <w:rPr>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_Toc11401159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_Toc11401160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_Toc11401161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_Toc11401162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_Toc11401163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_Toc11401164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_Toc11401165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_Toc11401166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_Toc11401167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_Toc11401168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_Toc11401169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_Toc11401172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_Toc11401173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Private Hospitals and Health Services Act 1927</w:t>
      </w:r>
    </w:p>
    <w:p>
      <w:pPr>
        <w:pStyle w:val="NameofActReg"/>
      </w:pPr>
      <w:r>
        <w:t>Hospitals (Licensing and Conduct of Private Hospitals) Regulations 1987</w:t>
      </w:r>
    </w:p>
    <w:p>
      <w:pPr>
        <w:pStyle w:val="Heading5"/>
        <w:rPr>
          <w:snapToGrid w:val="0"/>
        </w:rPr>
      </w:pPr>
      <w:bookmarkStart w:id="3" w:name="_Toc1140115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1140116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1401161"/>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11401162"/>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7" w:name="_Toc1140116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8" w:name="_Toc11401164"/>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9" w:name="_Toc11401165"/>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w:t>
      </w:r>
    </w:p>
    <w:p>
      <w:pPr>
        <w:pStyle w:val="Heading5"/>
        <w:rPr>
          <w:snapToGrid w:val="0"/>
        </w:rPr>
      </w:pPr>
      <w:bookmarkStart w:id="10" w:name="_Toc11401166"/>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11401167"/>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11401168"/>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3" w:name="_Toc11401169"/>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Text"/>
          <w:b w:val="0"/>
          <w:snapToGrid/>
          <w:sz w:val="24"/>
        </w:rPr>
      </w:pPr>
      <w:bookmarkStart w:id="15" w:name="_Toc11329425"/>
      <w:bookmarkStart w:id="16" w:name="_Toc11401140"/>
      <w:bookmarkStart w:id="17" w:name="_Toc11401170"/>
      <w:r>
        <w:rPr>
          <w:rStyle w:val="CharSchNo"/>
        </w:rPr>
        <w:t>Schedule 1</w:t>
      </w:r>
      <w:r>
        <w:rPr>
          <w:rStyle w:val="CharSDivNo"/>
        </w:rPr>
        <w:t> </w:t>
      </w:r>
      <w:r>
        <w:t>—</w:t>
      </w:r>
      <w:r>
        <w:rPr>
          <w:rStyle w:val="CharSDivText"/>
        </w:rPr>
        <w:t> </w:t>
      </w:r>
      <w:r>
        <w:rPr>
          <w:rStyle w:val="CharSchText"/>
        </w:rPr>
        <w:t>Fees</w:t>
      </w:r>
      <w:bookmarkEnd w:id="15"/>
      <w:bookmarkEnd w:id="16"/>
      <w:bookmarkEnd w:id="17"/>
    </w:p>
    <w:p>
      <w:pPr>
        <w:pStyle w:val="yFootnoteheading"/>
        <w:spacing w:after="120"/>
      </w:pPr>
      <w:r>
        <w:tab/>
        <w:t>[Heading inserted: Gazette 25 May 2018 p. 1635.]</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trPr>
        <w:tc>
          <w:tcPr>
            <w:tcW w:w="851" w:type="dxa"/>
          </w:tcPr>
          <w:p>
            <w:pPr>
              <w:pStyle w:val="yTableNAm"/>
              <w:jc w:val="center"/>
            </w:pPr>
            <w:r>
              <w:rPr>
                <w:b/>
                <w:bCs/>
              </w:rPr>
              <w:t>Item</w:t>
            </w:r>
          </w:p>
        </w:tc>
        <w:tc>
          <w:tcPr>
            <w:tcW w:w="4536"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rPr>
                <w:sz w:val="24"/>
              </w:rPr>
              <w:br w:type="page"/>
            </w:r>
            <w:r>
              <w:t>1.</w:t>
            </w:r>
          </w:p>
        </w:tc>
        <w:tc>
          <w:tcPr>
            <w:tcW w:w="2410" w:type="dxa"/>
          </w:tcPr>
          <w:p>
            <w:pPr>
              <w:pStyle w:val="yTableNAm"/>
              <w:spacing w:before="0"/>
            </w:pPr>
            <w:r>
              <w:t>Grant of licence (r. 4(1))</w:t>
            </w:r>
          </w:p>
        </w:tc>
        <w:tc>
          <w:tcPr>
            <w:tcW w:w="2126" w:type="dxa"/>
          </w:tcPr>
          <w:p>
            <w:pPr>
              <w:pStyle w:val="zyTableNAm"/>
              <w:spacing w:before="0"/>
            </w:pPr>
          </w:p>
        </w:tc>
        <w:tc>
          <w:tcPr>
            <w:tcW w:w="992" w:type="dxa"/>
          </w:tcPr>
          <w:p>
            <w:pPr>
              <w:pStyle w:val="yTableNAm"/>
              <w:spacing w:before="0"/>
            </w:pPr>
            <w:r>
              <w:rPr>
                <w:szCs w:val="22"/>
              </w:rPr>
              <w:t>1 240</w:t>
            </w:r>
          </w:p>
        </w:tc>
      </w:tr>
      <w:tr>
        <w:tc>
          <w:tcPr>
            <w:tcW w:w="851" w:type="dxa"/>
          </w:tcPr>
          <w:p>
            <w:pPr>
              <w:pStyle w:val="yTableNAm"/>
              <w:spacing w:before="0"/>
            </w:pPr>
            <w:r>
              <w:t>2.</w:t>
            </w:r>
          </w:p>
        </w:tc>
        <w:tc>
          <w:tcPr>
            <w:tcW w:w="2410" w:type="dxa"/>
          </w:tcPr>
          <w:p>
            <w:pPr>
              <w:pStyle w:val="yTableNAm"/>
              <w:spacing w:before="0"/>
            </w:pPr>
            <w:r>
              <w:t>Renewal of licence (r. 4(3))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410" w:type="dxa"/>
          </w:tcPr>
          <w:p>
            <w:pPr>
              <w:pStyle w:val="yTableNAm"/>
              <w:spacing w:before="0"/>
            </w:pPr>
            <w:r>
              <w:t>Replacement licence (r. 4(6))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410" w:type="dxa"/>
          </w:tcPr>
          <w:p>
            <w:pPr>
              <w:pStyle w:val="yTableNAm"/>
              <w:spacing w:before="0"/>
            </w:pPr>
            <w:r>
              <w:t>Approval of premises as a private hospital (r. 5)</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1635</w:t>
      </w:r>
      <w:r>
        <w:noBreakHyphen/>
        <w:t>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18" w:name="_Toc11329426"/>
      <w:bookmarkStart w:id="19" w:name="_Toc11401141"/>
      <w:bookmarkStart w:id="20" w:name="_Toc11401171"/>
      <w:r>
        <w:t>Notes</w:t>
      </w:r>
      <w:bookmarkEnd w:id="18"/>
      <w:bookmarkEnd w:id="19"/>
      <w:bookmarkEnd w:id="20"/>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21" w:name="_Toc11401172"/>
      <w: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c>
          <w:tcPr>
            <w:tcW w:w="3119" w:type="dxa"/>
            <w:tcBorders>
              <w:bottom w:val="single" w:sz="8" w:space="0" w:color="auto"/>
            </w:tcBorders>
            <w:shd w:val="clear" w:color="auto" w:fill="auto"/>
          </w:tcPr>
          <w:p>
            <w:pPr>
              <w:pStyle w:val="nTable"/>
              <w:spacing w:after="40"/>
              <w:rPr>
                <w:i/>
              </w:rPr>
            </w:pPr>
            <w:r>
              <w:rPr>
                <w:i/>
              </w:rPr>
              <w:t>Health Regulations Amendment (Fees and Charges) Regulations 2018</w:t>
            </w:r>
            <w:r>
              <w:t xml:space="preserve"> Pt. 6</w:t>
            </w:r>
          </w:p>
        </w:tc>
        <w:tc>
          <w:tcPr>
            <w:tcW w:w="1276" w:type="dxa"/>
            <w:tcBorders>
              <w:bottom w:val="single" w:sz="8" w:space="0" w:color="auto"/>
            </w:tcBorders>
            <w:shd w:val="clear" w:color="auto" w:fill="auto"/>
          </w:tcPr>
          <w:p>
            <w:pPr>
              <w:pStyle w:val="nTable"/>
              <w:spacing w:after="40"/>
            </w:pPr>
            <w:r>
              <w:t>25 May 2018 p. 1632</w:t>
            </w:r>
            <w:r>
              <w:noBreakHyphen/>
              <w:t>9</w:t>
            </w:r>
          </w:p>
        </w:tc>
        <w:tc>
          <w:tcPr>
            <w:tcW w:w="2693" w:type="dxa"/>
            <w:tcBorders>
              <w:bottom w:val="single" w:sz="8" w:space="0" w:color="auto"/>
            </w:tcBorders>
            <w:shd w:val="clear" w:color="auto" w:fill="auto"/>
          </w:tcPr>
          <w:p>
            <w:pPr>
              <w:pStyle w:val="nTable"/>
              <w:spacing w:after="40"/>
              <w:rPr>
                <w:bCs/>
                <w:snapToGrid w:val="0"/>
              </w:rPr>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11327828"/>
      <w:bookmarkStart w:id="23" w:name="_Toc11401173"/>
      <w:r>
        <w:t>Provisions that have not come into operation</w:t>
      </w:r>
      <w:bookmarkEnd w:id="22"/>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6</w:t>
            </w:r>
            <w:r>
              <w:rPr>
                <w:snapToGrid w:val="0"/>
              </w:rPr>
              <w:t> </w:t>
            </w:r>
            <w:r>
              <w:rPr>
                <w:snapToGrid w:val="0"/>
                <w:vertAlign w:val="superscript"/>
              </w:rPr>
              <w:t>4</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rPr>
          <w:snapToGrid w:val="0"/>
        </w:rPr>
      </w:pPr>
      <w:r>
        <w:rPr>
          <w:vertAlign w:val="superscript"/>
        </w:rPr>
        <w:t>4</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6 had not come into operation. It reads as follows:</w:t>
      </w:r>
    </w:p>
    <w:p>
      <w:pPr>
        <w:pStyle w:val="BlankOpen"/>
      </w:pPr>
    </w:p>
    <w:p>
      <w:pPr>
        <w:pStyle w:val="nzHeading2"/>
      </w:pPr>
      <w:bookmarkStart w:id="24" w:name="_Toc7165194"/>
      <w:bookmarkStart w:id="25" w:name="_Toc7165241"/>
      <w:bookmarkStart w:id="26" w:name="_Toc7165330"/>
      <w:r>
        <w:t>Part 6 —</w:t>
      </w:r>
      <w:r>
        <w:rPr>
          <w:rStyle w:val="CharDivText"/>
        </w:rPr>
        <w:t> </w:t>
      </w:r>
      <w:r>
        <w:t>Hospitals (Licensing and Conduct of Private Hospitals) Regulations 1987 amended</w:t>
      </w:r>
      <w:bookmarkEnd w:id="24"/>
      <w:bookmarkEnd w:id="25"/>
      <w:bookmarkEnd w:id="26"/>
    </w:p>
    <w:p>
      <w:pPr>
        <w:pStyle w:val="nzHeading5"/>
      </w:pPr>
      <w:bookmarkStart w:id="27" w:name="_Toc7165242"/>
      <w:bookmarkStart w:id="28" w:name="_Toc7165331"/>
      <w:r>
        <w:t>11.</w:t>
      </w:r>
      <w:r>
        <w:tab/>
        <w:t>Regulations amended</w:t>
      </w:r>
      <w:bookmarkEnd w:id="27"/>
      <w:bookmarkEnd w:id="28"/>
    </w:p>
    <w:p>
      <w:pPr>
        <w:pStyle w:val="nzSubsection"/>
      </w:pPr>
      <w:r>
        <w:tab/>
      </w:r>
      <w:r>
        <w:tab/>
        <w:t xml:space="preserve">This Part amends the </w:t>
      </w:r>
      <w:r>
        <w:rPr>
          <w:i/>
        </w:rPr>
        <w:t>Hospitals (Licensing and Conduct of Private Hospitals) Regulations 1987</w:t>
      </w:r>
      <w:r>
        <w:t>.</w:t>
      </w:r>
    </w:p>
    <w:p>
      <w:pPr>
        <w:pStyle w:val="nzHeading5"/>
      </w:pPr>
      <w:bookmarkStart w:id="29" w:name="_Toc7165243"/>
      <w:bookmarkStart w:id="30" w:name="_Toc7165332"/>
      <w:r>
        <w:t>12.</w:t>
      </w:r>
      <w:r>
        <w:tab/>
        <w:t>Schedule 1 replaced</w:t>
      </w:r>
      <w:bookmarkEnd w:id="29"/>
      <w:bookmarkEnd w:id="30"/>
    </w:p>
    <w:p>
      <w:pPr>
        <w:pStyle w:val="nzSubsection"/>
      </w:pPr>
      <w:r>
        <w:tab/>
      </w:r>
      <w:r>
        <w:tab/>
        <w:t>Delete Schedule 1 and insert:</w:t>
      </w:r>
    </w:p>
    <w:p>
      <w:pPr>
        <w:pStyle w:val="BlankOpen"/>
      </w:pPr>
    </w:p>
    <w:p>
      <w:pPr>
        <w:pStyle w:val="nzHeading2"/>
      </w:pPr>
      <w:bookmarkStart w:id="31" w:name="_Toc7165197"/>
      <w:bookmarkStart w:id="32" w:name="_Toc7165244"/>
      <w:bookmarkStart w:id="33" w:name="_Toc7165333"/>
      <w:bookmarkStart w:id="34" w:name="_Toc11329429"/>
      <w:r>
        <w:t>Schedule 1 — Fees</w:t>
      </w:r>
      <w:bookmarkEnd w:id="31"/>
      <w:bookmarkEnd w:id="32"/>
      <w:bookmarkEnd w:id="33"/>
      <w:bookmarkEnd w:id="34"/>
    </w:p>
    <w:p>
      <w:pPr>
        <w:pStyle w:val="nzShoulderClause"/>
      </w:pPr>
      <w:r>
        <w:t>[r. 4 and 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tcPr>
          <w:p>
            <w:pPr>
              <w:pStyle w:val="nzTableNAm"/>
              <w:jc w:val="center"/>
              <w:rPr>
                <w:b/>
                <w:bCs/>
              </w:rPr>
            </w:pPr>
            <w:r>
              <w:rPr>
                <w:b/>
                <w:bCs/>
              </w:rPr>
              <w:t>Item</w:t>
            </w:r>
          </w:p>
        </w:tc>
        <w:tc>
          <w:tcPr>
            <w:tcW w:w="4961" w:type="dxa"/>
            <w:gridSpan w:val="2"/>
          </w:tcPr>
          <w:p>
            <w:pPr>
              <w:pStyle w:val="nzTableNAm"/>
              <w:jc w:val="center"/>
              <w:rPr>
                <w:b/>
                <w:bCs/>
              </w:rPr>
            </w:pPr>
            <w:r>
              <w:rPr>
                <w:b/>
                <w:bCs/>
              </w:rPr>
              <w:t>Description</w:t>
            </w:r>
          </w:p>
        </w:tc>
        <w:tc>
          <w:tcPr>
            <w:tcW w:w="992" w:type="dxa"/>
          </w:tcPr>
          <w:p>
            <w:pPr>
              <w:pStyle w:val="nzTableNAm"/>
              <w:jc w:val="center"/>
              <w:rPr>
                <w:b/>
                <w:bCs/>
              </w:rPr>
            </w:pPr>
            <w:r>
              <w:rPr>
                <w:b/>
                <w:bCs/>
              </w:rPr>
              <w:t>Fee ($)</w:t>
            </w:r>
          </w:p>
        </w:tc>
      </w:tr>
      <w:tr>
        <w:tc>
          <w:tcPr>
            <w:tcW w:w="851" w:type="dxa"/>
          </w:tcPr>
          <w:p>
            <w:pPr>
              <w:pStyle w:val="nzTableNAm"/>
            </w:pPr>
            <w:r>
              <w:rPr>
                <w:sz w:val="24"/>
              </w:rPr>
              <w:br w:type="page"/>
            </w:r>
            <w:r>
              <w:t>1.</w:t>
            </w:r>
          </w:p>
        </w:tc>
        <w:tc>
          <w:tcPr>
            <w:tcW w:w="2551" w:type="dxa"/>
          </w:tcPr>
          <w:p>
            <w:pPr>
              <w:pStyle w:val="nzTableNAm"/>
            </w:pPr>
            <w:r>
              <w:t>Grant of licence (r. 4(1))</w:t>
            </w:r>
          </w:p>
        </w:tc>
        <w:tc>
          <w:tcPr>
            <w:tcW w:w="2410" w:type="dxa"/>
          </w:tcPr>
          <w:p>
            <w:pPr>
              <w:pStyle w:val="nzTableNAm"/>
            </w:pPr>
          </w:p>
        </w:tc>
        <w:tc>
          <w:tcPr>
            <w:tcW w:w="992" w:type="dxa"/>
          </w:tcPr>
          <w:p>
            <w:pPr>
              <w:pStyle w:val="nzTableNAm"/>
            </w:pPr>
            <w:r>
              <w:rPr>
                <w:szCs w:val="22"/>
              </w:rPr>
              <w:t>1 360</w:t>
            </w:r>
          </w:p>
        </w:tc>
      </w:tr>
      <w:tr>
        <w:tc>
          <w:tcPr>
            <w:tcW w:w="851" w:type="dxa"/>
          </w:tcPr>
          <w:p>
            <w:pPr>
              <w:pStyle w:val="nzTableNAm"/>
            </w:pPr>
            <w:r>
              <w:t>2.</w:t>
            </w:r>
          </w:p>
        </w:tc>
        <w:tc>
          <w:tcPr>
            <w:tcW w:w="2551" w:type="dxa"/>
          </w:tcPr>
          <w:p>
            <w:pPr>
              <w:pStyle w:val="nzTableNAm"/>
            </w:pPr>
            <w:r>
              <w:t>Renewal of licence (r. 4(3))</w:t>
            </w:r>
          </w:p>
        </w:tc>
        <w:tc>
          <w:tcPr>
            <w:tcW w:w="2410" w:type="dxa"/>
          </w:tcPr>
          <w:p>
            <w:pPr>
              <w:pStyle w:val="nzTableNAm"/>
            </w:pPr>
            <w:r>
              <w:t xml:space="preserve">Number of persons licensed to be accommodated — </w:t>
            </w:r>
          </w:p>
          <w:p>
            <w:pPr>
              <w:pStyle w:val="nzTableNAm"/>
            </w:pPr>
            <w:r>
              <w:t>Fewer than 25 …….</w:t>
            </w:r>
          </w:p>
          <w:p>
            <w:pPr>
              <w:pStyle w:val="nzTableNAm"/>
            </w:pPr>
            <w:r>
              <w:t>25</w:t>
            </w:r>
            <w:r>
              <w:noBreakHyphen/>
              <w:t>100 ……………</w:t>
            </w:r>
          </w:p>
          <w:p>
            <w:pPr>
              <w:pStyle w:val="nzTableNAm"/>
            </w:pPr>
            <w:r>
              <w:t>101</w:t>
            </w:r>
            <w:r>
              <w:noBreakHyphen/>
              <w:t>200 …………..</w:t>
            </w:r>
          </w:p>
          <w:p>
            <w:pPr>
              <w:pStyle w:val="nzTableNAm"/>
            </w:pPr>
            <w:r>
              <w:t>more than 201 ……</w:t>
            </w:r>
          </w:p>
        </w:tc>
        <w:tc>
          <w:tcPr>
            <w:tcW w:w="992" w:type="dxa"/>
          </w:tcPr>
          <w:p>
            <w:pPr>
              <w:pStyle w:val="nzTableNAm"/>
            </w:pPr>
            <w:r>
              <w:br/>
            </w:r>
            <w:r>
              <w:br/>
            </w:r>
          </w:p>
          <w:p>
            <w:pPr>
              <w:pStyle w:val="nzTableNAm"/>
            </w:pPr>
            <w:r>
              <w:rPr>
                <w:szCs w:val="22"/>
              </w:rPr>
              <w:t>1 350</w:t>
            </w:r>
          </w:p>
          <w:p>
            <w:pPr>
              <w:pStyle w:val="nzTableNAm"/>
            </w:pPr>
            <w:r>
              <w:rPr>
                <w:szCs w:val="22"/>
              </w:rPr>
              <w:t>1 400</w:t>
            </w:r>
          </w:p>
          <w:p>
            <w:pPr>
              <w:pStyle w:val="nzTableNAm"/>
            </w:pPr>
            <w:r>
              <w:rPr>
                <w:szCs w:val="22"/>
              </w:rPr>
              <w:t>1 625</w:t>
            </w:r>
          </w:p>
          <w:p>
            <w:pPr>
              <w:pStyle w:val="nzTableNAm"/>
            </w:pPr>
            <w:r>
              <w:rPr>
                <w:szCs w:val="22"/>
              </w:rPr>
              <w:t>2 225</w:t>
            </w:r>
          </w:p>
        </w:tc>
      </w:tr>
      <w:tr>
        <w:tc>
          <w:tcPr>
            <w:tcW w:w="851" w:type="dxa"/>
          </w:tcPr>
          <w:p>
            <w:pPr>
              <w:pStyle w:val="nzTableNAm"/>
            </w:pPr>
            <w:r>
              <w:t>3.</w:t>
            </w:r>
          </w:p>
        </w:tc>
        <w:tc>
          <w:tcPr>
            <w:tcW w:w="2551" w:type="dxa"/>
          </w:tcPr>
          <w:p>
            <w:pPr>
              <w:pStyle w:val="nzTableNAm"/>
            </w:pPr>
            <w:r>
              <w:t>Replacement licence (r. 4(6))</w:t>
            </w:r>
          </w:p>
        </w:tc>
        <w:tc>
          <w:tcPr>
            <w:tcW w:w="2410" w:type="dxa"/>
          </w:tcPr>
          <w:p>
            <w:pPr>
              <w:pStyle w:val="nzTableNAm"/>
            </w:pPr>
          </w:p>
        </w:tc>
        <w:tc>
          <w:tcPr>
            <w:tcW w:w="992" w:type="dxa"/>
          </w:tcPr>
          <w:p>
            <w:pPr>
              <w:pStyle w:val="nzTableNAm"/>
            </w:pPr>
            <w:r>
              <w:rPr>
                <w:szCs w:val="22"/>
              </w:rPr>
              <w:br/>
              <w:t>355</w:t>
            </w:r>
          </w:p>
        </w:tc>
      </w:tr>
      <w:tr>
        <w:tc>
          <w:tcPr>
            <w:tcW w:w="851" w:type="dxa"/>
          </w:tcPr>
          <w:p>
            <w:pPr>
              <w:pStyle w:val="nzTableNAm"/>
              <w:keepNext/>
            </w:pPr>
            <w:r>
              <w:t>4.</w:t>
            </w:r>
          </w:p>
        </w:tc>
        <w:tc>
          <w:tcPr>
            <w:tcW w:w="2551" w:type="dxa"/>
          </w:tcPr>
          <w:p>
            <w:pPr>
              <w:pStyle w:val="nzTableNAm"/>
              <w:keepNext/>
            </w:pPr>
            <w:r>
              <w:t>Approval of premises as a private hospital (r. 5)</w:t>
            </w:r>
          </w:p>
        </w:tc>
        <w:tc>
          <w:tcPr>
            <w:tcW w:w="2410" w:type="dxa"/>
          </w:tcPr>
          <w:p>
            <w:pPr>
              <w:pStyle w:val="nzTableNAm"/>
              <w:keepNext/>
            </w:pPr>
            <w:r>
              <w:t xml:space="preserve">Number of persons licensed to be accommodated — </w:t>
            </w:r>
          </w:p>
          <w:p>
            <w:pPr>
              <w:pStyle w:val="nzTableNAm"/>
              <w:keepNext/>
            </w:pPr>
            <w:r>
              <w:t>Fewer than 25 …….</w:t>
            </w:r>
          </w:p>
          <w:p>
            <w:pPr>
              <w:pStyle w:val="nzTableNAm"/>
              <w:keepNext/>
            </w:pPr>
            <w:r>
              <w:t>25</w:t>
            </w:r>
            <w:r>
              <w:noBreakHyphen/>
              <w:t>100 ……………</w:t>
            </w:r>
          </w:p>
          <w:p>
            <w:pPr>
              <w:pStyle w:val="nzTableNAm"/>
              <w:keepNext/>
            </w:pPr>
            <w:r>
              <w:t>101</w:t>
            </w:r>
            <w:r>
              <w:noBreakHyphen/>
              <w:t>200 …………..</w:t>
            </w:r>
          </w:p>
          <w:p>
            <w:pPr>
              <w:pStyle w:val="nzTableNAm"/>
              <w:keepNext/>
            </w:pPr>
            <w:r>
              <w:t>more than 201 ……</w:t>
            </w:r>
          </w:p>
        </w:tc>
        <w:tc>
          <w:tcPr>
            <w:tcW w:w="992" w:type="dxa"/>
          </w:tcPr>
          <w:p>
            <w:pPr>
              <w:pStyle w:val="nzTableNAm"/>
              <w:keepNext/>
            </w:pPr>
            <w:r>
              <w:br/>
            </w:r>
            <w:r>
              <w:br/>
            </w:r>
          </w:p>
          <w:p>
            <w:pPr>
              <w:pStyle w:val="nzTableNAm"/>
              <w:keepNext/>
            </w:pPr>
            <w:r>
              <w:rPr>
                <w:szCs w:val="22"/>
              </w:rPr>
              <w:t>7 600</w:t>
            </w:r>
          </w:p>
          <w:p>
            <w:pPr>
              <w:pStyle w:val="nzTableNAm"/>
              <w:keepNext/>
            </w:pPr>
            <w:r>
              <w:rPr>
                <w:szCs w:val="22"/>
              </w:rPr>
              <w:t>8 750</w:t>
            </w:r>
          </w:p>
          <w:p>
            <w:pPr>
              <w:pStyle w:val="nzTableNAm"/>
              <w:keepNext/>
            </w:pPr>
            <w:r>
              <w:rPr>
                <w:szCs w:val="22"/>
              </w:rPr>
              <w:t>11 750</w:t>
            </w:r>
          </w:p>
          <w:p>
            <w:pPr>
              <w:pStyle w:val="nzTableNAm"/>
              <w:keepNext/>
            </w:pPr>
            <w:r>
              <w:rPr>
                <w:szCs w:val="22"/>
              </w:rPr>
              <w:t>14 750</w:t>
            </w:r>
          </w:p>
        </w:tc>
      </w:tr>
    </w:tbl>
    <w:p>
      <w:pPr>
        <w:pStyle w:val="BlankClose"/>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6" w:name="_Toc11329430"/>
      <w:bookmarkStart w:id="37" w:name="_Toc11401144"/>
      <w:bookmarkStart w:id="38" w:name="_Toc11401174"/>
      <w:r>
        <w:rPr>
          <w:sz w:val="28"/>
        </w:rPr>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09"/>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2389</Words>
  <Characters>11422</Characters>
  <Application>Microsoft Office Word</Application>
  <DocSecurity>0</DocSecurity>
  <Lines>456</Lines>
  <Paragraphs>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1987 - 02-e0-00</dc:title>
  <dc:subject/>
  <dc:creator/>
  <cp:keywords/>
  <dc:description/>
  <cp:lastModifiedBy>svcMRProcess</cp:lastModifiedBy>
  <cp:revision>4</cp:revision>
  <cp:lastPrinted>2017-06-30T06:36:00Z</cp:lastPrinted>
  <dcterms:created xsi:type="dcterms:W3CDTF">2019-06-14T06:18:00Z</dcterms:created>
  <dcterms:modified xsi:type="dcterms:W3CDTF">2019-06-14T06:18:00Z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14 Jun 2019</vt:lpwstr>
  </property>
  <property fmtid="{D5CDD505-2E9C-101B-9397-08002B2CF9AE}" pid="8" name="Suffix">
    <vt:lpwstr>02-e0-00</vt:lpwstr>
  </property>
  <property fmtid="{D5CDD505-2E9C-101B-9397-08002B2CF9AE}" pid="9" name="CommencementDate">
    <vt:lpwstr>20190614</vt:lpwstr>
  </property>
</Properties>
</file>