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_Toc11760165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_Toc11760166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_Toc11760167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_Toc11760168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_Toc11760169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_Toc11760170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_Toc11760171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_Toc11760172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_Toc11760173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_Toc11760174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_Toc11760175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_Toc11760178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_Toc11760180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_Toc11760181 \h </w:instrText>
      </w:r>
      <w:r>
        <w:fldChar w:fldCharType="separate"/>
      </w:r>
      <w:r>
        <w:t>10</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_Toc11760182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_Toc11760183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_Toc11760184 \h </w:instrText>
      </w:r>
      <w:r>
        <w:fldChar w:fldCharType="separate"/>
      </w:r>
      <w:r>
        <w:t>17</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_Toc11760185 \h </w:instrText>
      </w:r>
      <w:r>
        <w:fldChar w:fldCharType="separate"/>
      </w:r>
      <w:r>
        <w:t>17</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_Toc11760186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_Toc11760187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_Toc11760188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_Toc11760190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_Toc11760191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_Toc11760192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_Toc11760193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_Toc11760194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_Toc11760195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_Toc11760196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_Toc11760198 \h </w:instrText>
      </w:r>
      <w:r>
        <w:fldChar w:fldCharType="separate"/>
      </w:r>
      <w:r>
        <w:t>22</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_Toc11760199 \h </w:instrText>
      </w:r>
      <w:r>
        <w:fldChar w:fldCharType="separate"/>
      </w:r>
      <w:r>
        <w:t>22</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_Toc11760200 \h </w:instrText>
      </w:r>
      <w:r>
        <w:fldChar w:fldCharType="separate"/>
      </w:r>
      <w:r>
        <w:t>24</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_Toc11760201 \h </w:instrText>
      </w:r>
      <w:r>
        <w:fldChar w:fldCharType="separate"/>
      </w:r>
      <w:r>
        <w:t>25</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_Toc11760202 \h </w:instrText>
      </w:r>
      <w:r>
        <w:fldChar w:fldCharType="separate"/>
      </w:r>
      <w:r>
        <w:t>30</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_Toc11760203 \h </w:instrText>
      </w:r>
      <w:r>
        <w:fldChar w:fldCharType="separate"/>
      </w:r>
      <w:r>
        <w:t>31</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_Toc11760204 \h </w:instrText>
      </w:r>
      <w:r>
        <w:fldChar w:fldCharType="separate"/>
      </w:r>
      <w:r>
        <w:t>31</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_Toc11760205 \h </w:instrText>
      </w:r>
      <w:r>
        <w:fldChar w:fldCharType="separate"/>
      </w:r>
      <w:r>
        <w:t>32</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_Toc11760206 \h </w:instrText>
      </w:r>
      <w:r>
        <w:fldChar w:fldCharType="separate"/>
      </w:r>
      <w:r>
        <w:t>32</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_Toc11760207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_Toc11760208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_Toc11760210 \h </w:instrText>
      </w:r>
      <w:r>
        <w:fldChar w:fldCharType="separate"/>
      </w:r>
      <w:r>
        <w:t>35</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_Toc11760211 \h </w:instrText>
      </w:r>
      <w:r>
        <w:fldChar w:fldCharType="separate"/>
      </w:r>
      <w:r>
        <w:t>36</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_Toc11760212 \h </w:instrText>
      </w:r>
      <w:r>
        <w:fldChar w:fldCharType="separate"/>
      </w:r>
      <w:r>
        <w:t>37</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_Toc11760213 \h </w:instrText>
      </w:r>
      <w:r>
        <w:fldChar w:fldCharType="separate"/>
      </w:r>
      <w:r>
        <w:t>37</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_Toc11760214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_Toc11760215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_Toc11760216 \h </w:instrText>
      </w:r>
      <w:r>
        <w:fldChar w:fldCharType="separate"/>
      </w:r>
      <w:r>
        <w:t>41</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_Toc11760217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_Toc11760218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_Toc11760220 \h </w:instrText>
      </w:r>
      <w:r>
        <w:fldChar w:fldCharType="separate"/>
      </w:r>
      <w:r>
        <w:t>43</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_Toc11760221 \h </w:instrText>
      </w:r>
      <w:r>
        <w:fldChar w:fldCharType="separate"/>
      </w:r>
      <w:r>
        <w:t>43</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_Toc11760222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_Toc11760225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_Toc11760226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_Toc11760227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_Toc11760228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_Toc11760229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_Toc11760230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_Toc11760232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_Toc11760233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_Toc11760234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_Toc11760235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_Toc11760237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_Toc11760238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_Toc11760239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_Toc11760240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_Toc11760241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_Toc11760243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_Toc11760251 \h </w:instrText>
      </w:r>
      <w:r>
        <w:fldChar w:fldCharType="separate"/>
      </w:r>
      <w:r>
        <w:t>59</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_Toc11760252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_Toc11760254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_Toc11760255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_Toc11760257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_Toc11760258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_Toc11760261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_Toc11760266 \h </w:instrText>
      </w:r>
      <w:r>
        <w:fldChar w:fldCharType="separate"/>
      </w:r>
      <w:r>
        <w:t>72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_Toc11760267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1747157"/>
      <w:bookmarkStart w:id="4" w:name="_Toc11751917"/>
      <w:bookmarkStart w:id="5" w:name="_Toc11760164"/>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11760165"/>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8" w:name="_Toc1176016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9" w:name="_Toc11760167"/>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10" w:name="_Toc11760168"/>
      <w:r>
        <w:rPr>
          <w:rStyle w:val="CharSectno"/>
        </w:rPr>
        <w:t>4</w:t>
      </w:r>
      <w:r>
        <w:t>.</w:t>
      </w:r>
      <w:r>
        <w:tab/>
        <w:t>Prescribed building services</w:t>
      </w:r>
      <w:bookmarkEnd w:id="1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1760169"/>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1760170"/>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1760171"/>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1760172"/>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11760173"/>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Heading5"/>
        <w:spacing w:before="180"/>
      </w:pPr>
      <w:bookmarkStart w:id="16" w:name="_Toc11760174"/>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11760175"/>
      <w:r>
        <w:rPr>
          <w:rStyle w:val="CharSectno"/>
        </w:rPr>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8" w:name="_Toc11747169"/>
      <w:bookmarkStart w:id="19" w:name="_Toc11751929"/>
      <w:bookmarkStart w:id="20" w:name="_Toc11760176"/>
      <w:r>
        <w:rPr>
          <w:rStyle w:val="CharPartNo"/>
        </w:rPr>
        <w:t>Part 2</w:t>
      </w:r>
      <w:r>
        <w:t> — </w:t>
      </w:r>
      <w:r>
        <w:rPr>
          <w:rStyle w:val="CharPartText"/>
        </w:rPr>
        <w:t>Builders</w:t>
      </w:r>
      <w:bookmarkEnd w:id="18"/>
      <w:bookmarkEnd w:id="19"/>
      <w:bookmarkEnd w:id="20"/>
    </w:p>
    <w:p>
      <w:pPr>
        <w:pStyle w:val="Heading3"/>
      </w:pPr>
      <w:bookmarkStart w:id="21" w:name="_Toc11747170"/>
      <w:bookmarkStart w:id="22" w:name="_Toc11751930"/>
      <w:bookmarkStart w:id="23" w:name="_Toc11760177"/>
      <w:r>
        <w:rPr>
          <w:rStyle w:val="CharDivNo"/>
        </w:rPr>
        <w:t>Division 1</w:t>
      </w:r>
      <w:r>
        <w:t> — </w:t>
      </w:r>
      <w:r>
        <w:rPr>
          <w:rStyle w:val="CharDivText"/>
        </w:rPr>
        <w:t>Preliminary</w:t>
      </w:r>
      <w:bookmarkEnd w:id="21"/>
      <w:bookmarkEnd w:id="22"/>
      <w:bookmarkEnd w:id="23"/>
    </w:p>
    <w:p>
      <w:pPr>
        <w:pStyle w:val="Heading5"/>
      </w:pPr>
      <w:bookmarkStart w:id="24" w:name="_Toc11760178"/>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11747172"/>
      <w:bookmarkStart w:id="26" w:name="_Toc11751932"/>
      <w:bookmarkStart w:id="27" w:name="_Toc11760179"/>
      <w:r>
        <w:rPr>
          <w:rStyle w:val="CharDivNo"/>
        </w:rPr>
        <w:t>Division 2</w:t>
      </w:r>
      <w:r>
        <w:t> — </w:t>
      </w:r>
      <w:r>
        <w:rPr>
          <w:rStyle w:val="CharDivText"/>
        </w:rPr>
        <w:t>Building service providers</w:t>
      </w:r>
      <w:bookmarkEnd w:id="25"/>
      <w:bookmarkEnd w:id="26"/>
      <w:bookmarkEnd w:id="27"/>
    </w:p>
    <w:p>
      <w:pPr>
        <w:pStyle w:val="Heading5"/>
      </w:pPr>
      <w:bookmarkStart w:id="28" w:name="_Toc11760180"/>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29" w:name="_Toc11760181"/>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11760182"/>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1" w:name="_Toc11760183"/>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32" w:name="_Toc11760184"/>
      <w:r>
        <w:rPr>
          <w:rStyle w:val="CharSectno"/>
        </w:rPr>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3" w:name="_Toc11760185"/>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11760186"/>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11760187"/>
      <w:r>
        <w:rPr>
          <w:rStyle w:val="CharSectno"/>
        </w:rPr>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11760188"/>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7" w:name="_Toc11747182"/>
      <w:bookmarkStart w:id="38" w:name="_Toc11751942"/>
      <w:bookmarkStart w:id="39" w:name="_Toc11760189"/>
      <w:r>
        <w:rPr>
          <w:rStyle w:val="CharDivNo"/>
        </w:rPr>
        <w:t>Division 3</w:t>
      </w:r>
      <w:r>
        <w:t> — </w:t>
      </w:r>
      <w:r>
        <w:rPr>
          <w:rStyle w:val="CharDivText"/>
        </w:rPr>
        <w:t>Owner</w:t>
      </w:r>
      <w:r>
        <w:rPr>
          <w:rStyle w:val="CharDivText"/>
        </w:rPr>
        <w:noBreakHyphen/>
        <w:t>builders</w:t>
      </w:r>
      <w:bookmarkEnd w:id="37"/>
      <w:bookmarkEnd w:id="38"/>
      <w:bookmarkEnd w:id="39"/>
    </w:p>
    <w:p>
      <w:pPr>
        <w:pStyle w:val="Heading5"/>
      </w:pPr>
      <w:bookmarkStart w:id="40" w:name="_Toc11760190"/>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11760191"/>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11760192"/>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3" w:name="_Toc11760193"/>
      <w:r>
        <w:rPr>
          <w:rStyle w:val="CharSectno"/>
        </w:rPr>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11760194"/>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5" w:name="_Toc11760195"/>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11760196"/>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7" w:name="_Toc11747190"/>
      <w:bookmarkStart w:id="48" w:name="_Toc11751950"/>
      <w:bookmarkStart w:id="49" w:name="_Toc11760197"/>
      <w:r>
        <w:rPr>
          <w:rStyle w:val="CharPartNo"/>
        </w:rPr>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Gazette 12 Mar 2012 p. 992.]</w:t>
      </w:r>
    </w:p>
    <w:p>
      <w:pPr>
        <w:pStyle w:val="Heading5"/>
      </w:pPr>
      <w:bookmarkStart w:id="50" w:name="_Toc11760198"/>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1" w:name="_Toc11760199"/>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2" w:name="_Toc11760200"/>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3" w:name="_Toc11760201"/>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54" w:name="_Toc11760202"/>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5" w:name="_Toc11760203"/>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6" w:name="_Toc11760204"/>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7" w:name="_Toc11760205"/>
      <w:r>
        <w:rPr>
          <w:rStyle w:val="CharSectno"/>
        </w:rPr>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8" w:name="_Toc11760206"/>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9" w:name="_Toc11760207"/>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0" w:name="_Toc11760208"/>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1" w:name="_Toc11747202"/>
      <w:bookmarkStart w:id="62" w:name="_Toc11751962"/>
      <w:bookmarkStart w:id="63" w:name="_Toc11760209"/>
      <w:r>
        <w:rPr>
          <w:rStyle w:val="CharPartNo"/>
        </w:rPr>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11760210"/>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65" w:name="_Toc11760211"/>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11760212"/>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11760213"/>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68" w:name="_Toc11760214"/>
      <w:r>
        <w:rPr>
          <w:rStyle w:val="CharSectno"/>
        </w:rPr>
        <w:t>32</w:t>
      </w:r>
      <w:r>
        <w:t>.</w:t>
      </w:r>
      <w:r>
        <w:tab/>
        <w:t>Conduct of examinations</w:t>
      </w:r>
      <w:bookmarkEnd w:id="6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9" w:name="_Toc11760215"/>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0" w:name="_Toc11760216"/>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11760217"/>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2" w:name="_Toc11760218"/>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3" w:name="_Toc11747212"/>
      <w:bookmarkStart w:id="74" w:name="_Toc11751972"/>
      <w:bookmarkStart w:id="75" w:name="_Toc11760219"/>
      <w:r>
        <w:rPr>
          <w:rStyle w:val="CharPartNo"/>
        </w:rPr>
        <w:t>Part 3B</w:t>
      </w:r>
      <w:r>
        <w:rPr>
          <w:b w:val="0"/>
        </w:rPr>
        <w:t> </w:t>
      </w:r>
      <w:r>
        <w:t>—</w:t>
      </w:r>
      <w:r>
        <w:rPr>
          <w:b w:val="0"/>
        </w:rPr>
        <w:t> </w:t>
      </w:r>
      <w:r>
        <w:rPr>
          <w:rStyle w:val="CharPartText"/>
        </w:rPr>
        <w:t>Infringement notices</w:t>
      </w:r>
      <w:bookmarkEnd w:id="73"/>
      <w:bookmarkEnd w:id="74"/>
      <w:bookmarkEnd w:id="75"/>
    </w:p>
    <w:p>
      <w:pPr>
        <w:pStyle w:val="Footnoteheading"/>
      </w:pPr>
      <w:r>
        <w:tab/>
        <w:t>[Heading inserted: Gazette 26 Apr 2019 p. 1215.]</w:t>
      </w:r>
    </w:p>
    <w:p>
      <w:pPr>
        <w:pStyle w:val="Heading5"/>
      </w:pPr>
      <w:bookmarkStart w:id="76" w:name="_Toc11760220"/>
      <w:r>
        <w:rPr>
          <w:rStyle w:val="CharSectno"/>
        </w:rPr>
        <w:t>36A</w:t>
      </w:r>
      <w:r>
        <w:t>.</w:t>
      </w:r>
      <w:r>
        <w:tab/>
        <w:t>Prescribed offences and modified penalties</w:t>
      </w:r>
      <w:bookmarkEnd w:id="7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7" w:name="_Toc11760221"/>
      <w:r>
        <w:rPr>
          <w:rStyle w:val="CharSectno"/>
        </w:rPr>
        <w:t>36B</w:t>
      </w:r>
      <w:r>
        <w:t>.</w:t>
      </w:r>
      <w:r>
        <w:tab/>
        <w:t>Authorised officers and approved officers</w:t>
      </w:r>
      <w:bookmarkEnd w:id="7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8" w:name="_Toc11760222"/>
      <w:r>
        <w:rPr>
          <w:rStyle w:val="CharSectno"/>
        </w:rPr>
        <w:t>36C</w:t>
      </w:r>
      <w:r>
        <w:t>.</w:t>
      </w:r>
      <w:r>
        <w:tab/>
        <w:t>Forms</w:t>
      </w:r>
      <w:bookmarkEnd w:id="7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9" w:name="_Toc11747216"/>
      <w:bookmarkStart w:id="80" w:name="_Toc11751976"/>
      <w:bookmarkStart w:id="81" w:name="_Toc11760223"/>
      <w:r>
        <w:rPr>
          <w:rStyle w:val="CharPartNo"/>
        </w:rPr>
        <w:t>Part 4</w:t>
      </w:r>
      <w:r>
        <w:t> — </w:t>
      </w:r>
      <w:r>
        <w:rPr>
          <w:rStyle w:val="CharPartText"/>
        </w:rPr>
        <w:t>Transitional provisions</w:t>
      </w:r>
      <w:bookmarkEnd w:id="79"/>
      <w:bookmarkEnd w:id="80"/>
      <w:bookmarkEnd w:id="81"/>
    </w:p>
    <w:p>
      <w:pPr>
        <w:pStyle w:val="Heading3"/>
      </w:pPr>
      <w:bookmarkStart w:id="82" w:name="_Toc11747217"/>
      <w:bookmarkStart w:id="83" w:name="_Toc11751977"/>
      <w:bookmarkStart w:id="84" w:name="_Toc11760224"/>
      <w:r>
        <w:rPr>
          <w:rStyle w:val="CharDivNo"/>
        </w:rPr>
        <w:t>Division 1</w:t>
      </w:r>
      <w:r>
        <w:t> — </w:t>
      </w:r>
      <w:r>
        <w:rPr>
          <w:rStyle w:val="CharDivText"/>
          <w:i/>
        </w:rPr>
        <w:t>Builders’ Registration Act 1939</w:t>
      </w:r>
      <w:bookmarkEnd w:id="82"/>
      <w:bookmarkEnd w:id="83"/>
      <w:bookmarkEnd w:id="84"/>
    </w:p>
    <w:p>
      <w:pPr>
        <w:pStyle w:val="Heading5"/>
      </w:pPr>
      <w:bookmarkStart w:id="85" w:name="_Toc11760225"/>
      <w:r>
        <w:rPr>
          <w:rStyle w:val="CharSectno"/>
        </w:rPr>
        <w:t>37</w:t>
      </w:r>
      <w:r>
        <w:t>.</w:t>
      </w:r>
      <w:r>
        <w:tab/>
        <w:t>Terms used</w:t>
      </w:r>
      <w:bookmarkEnd w:id="8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86" w:name="_Toc11760226"/>
      <w:r>
        <w:rPr>
          <w:rStyle w:val="CharSectno"/>
        </w:rPr>
        <w:t>38</w:t>
      </w:r>
      <w:r>
        <w:t>.</w:t>
      </w:r>
      <w:r>
        <w:tab/>
        <w:t>Continuation of registration (Act s. 114)</w:t>
      </w:r>
      <w:bookmarkEnd w:id="8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7" w:name="_Toc11760227"/>
      <w:r>
        <w:rPr>
          <w:rStyle w:val="CharSectno"/>
        </w:rPr>
        <w:t>39</w:t>
      </w:r>
      <w:r>
        <w:t>.</w:t>
      </w:r>
      <w:r>
        <w:tab/>
        <w:t>Continuation of declaration of ineligible persons</w:t>
      </w:r>
      <w:bookmarkEnd w:id="8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8" w:name="_Toc11760228"/>
      <w:r>
        <w:rPr>
          <w:rStyle w:val="CharSectno"/>
        </w:rPr>
        <w:t>40</w:t>
      </w:r>
      <w:r>
        <w:t>.</w:t>
      </w:r>
      <w:r>
        <w:tab/>
        <w:t>Membership of Board — experience as builder</w:t>
      </w:r>
      <w:bookmarkEnd w:id="8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9" w:name="_Toc11760229"/>
      <w:r>
        <w:rPr>
          <w:rStyle w:val="CharSectno"/>
        </w:rPr>
        <w:t>41</w:t>
      </w:r>
      <w:r>
        <w:t>.</w:t>
      </w:r>
      <w:r>
        <w:tab/>
        <w:t>Continuation of owner</w:t>
      </w:r>
      <w:r>
        <w:noBreakHyphen/>
        <w:t>builder authorisation</w:t>
      </w:r>
      <w:bookmarkEnd w:id="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0" w:name="_Toc11760230"/>
      <w:r>
        <w:rPr>
          <w:rStyle w:val="CharSectno"/>
        </w:rPr>
        <w:t>42</w:t>
      </w:r>
      <w:r>
        <w:t>.</w:t>
      </w:r>
      <w:r>
        <w:tab/>
        <w:t>Building Commissioner may exercise powers</w:t>
      </w:r>
      <w:bookmarkEnd w:id="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1" w:name="_Toc11747224"/>
      <w:bookmarkStart w:id="92" w:name="_Toc11751984"/>
      <w:bookmarkStart w:id="93" w:name="_Toc11760231"/>
      <w:r>
        <w:rPr>
          <w:rStyle w:val="CharDivNo"/>
        </w:rPr>
        <w:t>Division 2</w:t>
      </w:r>
      <w:r>
        <w:t> — </w:t>
      </w:r>
      <w:r>
        <w:rPr>
          <w:rStyle w:val="CharDivText"/>
          <w:i/>
        </w:rPr>
        <w:t>Painters’ Registration Act 1961</w:t>
      </w:r>
      <w:bookmarkEnd w:id="91"/>
      <w:bookmarkEnd w:id="92"/>
      <w:bookmarkEnd w:id="93"/>
    </w:p>
    <w:p>
      <w:pPr>
        <w:pStyle w:val="Heading5"/>
      </w:pPr>
      <w:bookmarkStart w:id="94" w:name="_Toc11760232"/>
      <w:r>
        <w:rPr>
          <w:rStyle w:val="CharSectno"/>
        </w:rPr>
        <w:t>43</w:t>
      </w:r>
      <w:r>
        <w:t>.</w:t>
      </w:r>
      <w:r>
        <w:tab/>
        <w:t>Terms used</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95" w:name="_Toc11760233"/>
      <w:r>
        <w:rPr>
          <w:rStyle w:val="CharSectno"/>
        </w:rPr>
        <w:t>44</w:t>
      </w:r>
      <w:r>
        <w:t>.</w:t>
      </w:r>
      <w:r>
        <w:tab/>
        <w:t>Continuation of registration (Act s. 127)</w:t>
      </w:r>
      <w:bookmarkEnd w:id="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6" w:name="_Toc11760234"/>
      <w:r>
        <w:rPr>
          <w:rStyle w:val="CharSectno"/>
        </w:rPr>
        <w:t>45</w:t>
      </w:r>
      <w:r>
        <w:t>.</w:t>
      </w:r>
      <w:r>
        <w:tab/>
        <w:t>Membership of Board — experience as painter</w:t>
      </w:r>
      <w:bookmarkEnd w:id="9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97" w:name="_Toc11760235"/>
      <w:r>
        <w:rPr>
          <w:rStyle w:val="CharSectno"/>
        </w:rPr>
        <w:t>46</w:t>
      </w:r>
      <w:r>
        <w:t>.</w:t>
      </w:r>
      <w:r>
        <w:tab/>
        <w:t>Building Commissioner may exercise powers</w:t>
      </w:r>
      <w:bookmarkEnd w:id="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8" w:name="_Toc11747229"/>
      <w:bookmarkStart w:id="99" w:name="_Toc11751989"/>
      <w:bookmarkStart w:id="100" w:name="_Toc11760236"/>
      <w:r>
        <w:rPr>
          <w:rStyle w:val="CharDivNo"/>
        </w:rPr>
        <w:t>Division 3</w:t>
      </w:r>
      <w:r>
        <w:t> — </w:t>
      </w:r>
      <w:r>
        <w:rPr>
          <w:rStyle w:val="CharDivText"/>
          <w:i/>
        </w:rPr>
        <w:t>Local Government (Building Surveyors) Regulations 2008</w:t>
      </w:r>
      <w:bookmarkEnd w:id="98"/>
      <w:bookmarkEnd w:id="99"/>
      <w:bookmarkEnd w:id="100"/>
    </w:p>
    <w:p>
      <w:pPr>
        <w:pStyle w:val="Footnoteheading"/>
      </w:pPr>
      <w:r>
        <w:tab/>
        <w:t>[Heading inserted: Gazette 12 Mar 2012 p. 1002.]</w:t>
      </w:r>
    </w:p>
    <w:p>
      <w:pPr>
        <w:pStyle w:val="Heading5"/>
      </w:pPr>
      <w:bookmarkStart w:id="101" w:name="_Toc11760237"/>
      <w:r>
        <w:rPr>
          <w:rStyle w:val="CharSectno"/>
        </w:rPr>
        <w:t>47</w:t>
      </w:r>
      <w:r>
        <w:t>.</w:t>
      </w:r>
      <w:r>
        <w:tab/>
        <w:t>Terms used</w:t>
      </w:r>
      <w:bookmarkEnd w:id="1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102" w:name="_Toc11760238"/>
      <w:r>
        <w:rPr>
          <w:rStyle w:val="CharSectno"/>
        </w:rPr>
        <w:t>48</w:t>
      </w:r>
      <w:r>
        <w:t>.</w:t>
      </w:r>
      <w:r>
        <w:tab/>
        <w:t>Continuation of registration</w:t>
      </w:r>
      <w:bookmarkEnd w:id="1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3" w:name="_Toc11760239"/>
      <w:r>
        <w:rPr>
          <w:rStyle w:val="CharSectno"/>
        </w:rPr>
        <w:t>49</w:t>
      </w:r>
      <w:r>
        <w:t>.</w:t>
      </w:r>
      <w:r>
        <w:tab/>
        <w:t>Nominated supervisors for contractors before repeal day</w:t>
      </w:r>
      <w:bookmarkEnd w:id="10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4" w:name="_Toc11760240"/>
      <w:r>
        <w:rPr>
          <w:rStyle w:val="CharSectno"/>
        </w:rPr>
        <w:t>50</w:t>
      </w:r>
      <w:r>
        <w:t>.</w:t>
      </w:r>
      <w:r>
        <w:tab/>
        <w:t>Cancellation of certificate</w:t>
      </w:r>
      <w:bookmarkEnd w:id="1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5" w:name="_Toc11760241"/>
      <w:r>
        <w:rPr>
          <w:rStyle w:val="CharSectno"/>
        </w:rPr>
        <w:t>51</w:t>
      </w:r>
      <w:r>
        <w:t>.</w:t>
      </w:r>
      <w:r>
        <w:tab/>
        <w:t>Membership of Board — experience as a building surveyor</w:t>
      </w:r>
      <w:bookmarkEnd w:id="10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6" w:name="_Toc11747235"/>
      <w:bookmarkStart w:id="107" w:name="_Toc11751995"/>
      <w:bookmarkStart w:id="108" w:name="_Toc11760242"/>
      <w:r>
        <w:rPr>
          <w:rStyle w:val="CharDivNo"/>
        </w:rPr>
        <w:t>Division 4</w:t>
      </w:r>
      <w:r>
        <w:t> — </w:t>
      </w:r>
      <w:r>
        <w:rPr>
          <w:rStyle w:val="CharDivText"/>
        </w:rPr>
        <w:t>Building Services (Registration) Amendment Regulations (No. 2) 2017</w:t>
      </w:r>
      <w:bookmarkEnd w:id="106"/>
      <w:bookmarkEnd w:id="107"/>
      <w:bookmarkEnd w:id="108"/>
    </w:p>
    <w:p>
      <w:pPr>
        <w:pStyle w:val="Footnoteheading"/>
        <w:keepNext/>
      </w:pPr>
      <w:r>
        <w:tab/>
        <w:t>[Heading inserted: Gazette 5 Jan 2018 p. 6.]</w:t>
      </w:r>
    </w:p>
    <w:p>
      <w:pPr>
        <w:pStyle w:val="Heading5"/>
      </w:pPr>
      <w:bookmarkStart w:id="109" w:name="_Toc11760243"/>
      <w:r>
        <w:rPr>
          <w:rStyle w:val="CharSectno"/>
        </w:rPr>
        <w:t>52</w:t>
      </w:r>
      <w:r>
        <w:t>.</w:t>
      </w:r>
      <w:r>
        <w:tab/>
        <w:t>Painting practitioners: applications for registration made before 1 September 2018</w:t>
      </w:r>
      <w:bookmarkEnd w:id="10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0" w:name="_Toc11747237"/>
      <w:bookmarkStart w:id="111" w:name="_Toc11751997"/>
      <w:bookmarkStart w:id="112" w:name="_Toc11760244"/>
      <w:r>
        <w:rPr>
          <w:rStyle w:val="CharSchNo"/>
        </w:rPr>
        <w:t>Schedule 1</w:t>
      </w:r>
      <w:r>
        <w:t> — </w:t>
      </w:r>
      <w:r>
        <w:rPr>
          <w:rStyle w:val="CharSchText"/>
        </w:rPr>
        <w:t>Fees</w:t>
      </w:r>
      <w:bookmarkEnd w:id="110"/>
      <w:bookmarkEnd w:id="111"/>
      <w:bookmarkEnd w:id="112"/>
    </w:p>
    <w:p>
      <w:pPr>
        <w:pStyle w:val="yShoulderClause"/>
      </w:pPr>
      <w:r>
        <w:t>[r. 9]</w:t>
      </w:r>
    </w:p>
    <w:p>
      <w:pPr>
        <w:pStyle w:val="yFootnoteheading"/>
        <w:spacing w:after="60"/>
      </w:pPr>
      <w:r>
        <w:tab/>
        <w:t>[Heading inserted: Gazette 25 Jun 2018 p. 2331.]</w:t>
      </w:r>
    </w:p>
    <w:p>
      <w:pPr>
        <w:pStyle w:val="yHeading3"/>
      </w:pPr>
      <w:bookmarkStart w:id="113" w:name="_Toc11747238"/>
      <w:bookmarkStart w:id="114" w:name="_Toc11751998"/>
      <w:bookmarkStart w:id="115" w:name="_Toc11760245"/>
      <w:r>
        <w:rPr>
          <w:rStyle w:val="CharSDivNo"/>
        </w:rPr>
        <w:t>Division 1</w:t>
      </w:r>
      <w:r>
        <w:t> — </w:t>
      </w:r>
      <w:r>
        <w:rPr>
          <w:rStyle w:val="CharSDivText"/>
        </w:rPr>
        <w:t>General</w:t>
      </w:r>
      <w:bookmarkEnd w:id="113"/>
      <w:bookmarkEnd w:id="114"/>
      <w:bookmarkEnd w:id="115"/>
    </w:p>
    <w:p>
      <w:pPr>
        <w:pStyle w:val="yFootnoteheading"/>
        <w:spacing w:after="120"/>
      </w:pPr>
      <w:r>
        <w:tab/>
        <w:t>[Heading inserted: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 Gazette 25 Jun 2018 p. 2331.]</w:t>
      </w:r>
    </w:p>
    <w:p>
      <w:pPr>
        <w:pStyle w:val="yHeading3"/>
        <w:rPr>
          <w:rStyle w:val="CharSDivText"/>
        </w:rPr>
      </w:pPr>
      <w:bookmarkStart w:id="116" w:name="_Toc11747239"/>
      <w:bookmarkStart w:id="117" w:name="_Toc11751999"/>
      <w:bookmarkStart w:id="118" w:name="_Toc11760246"/>
      <w:r>
        <w:rPr>
          <w:rStyle w:val="CharSDivNo"/>
        </w:rPr>
        <w:t>Division 2</w:t>
      </w:r>
      <w:r>
        <w:t> — </w:t>
      </w:r>
      <w:r>
        <w:rPr>
          <w:rStyle w:val="CharSDivText"/>
        </w:rPr>
        <w:t>Builders</w:t>
      </w:r>
      <w:bookmarkEnd w:id="116"/>
      <w:bookmarkEnd w:id="117"/>
      <w:bookmarkEnd w:id="118"/>
    </w:p>
    <w:p>
      <w:pPr>
        <w:pStyle w:val="yFootnoteheading"/>
        <w:spacing w:after="120"/>
      </w:pPr>
      <w:r>
        <w:tab/>
        <w:t>[Heading inserted: Gazette 21 Sep 2018 p. 3535.]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tcPr>
          <w:p>
            <w:pPr>
              <w:pStyle w:val="yTableNAm"/>
              <w:jc w:val="right"/>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350.45</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tcPr>
          <w:p>
            <w:pPr>
              <w:pStyle w:val="yTableNAm"/>
              <w:jc w:val="right"/>
            </w:pPr>
            <w:r>
              <w:t>614.30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tcPr>
          <w:p>
            <w:pPr>
              <w:pStyle w:val="yTableNAm"/>
              <w:jc w:val="right"/>
            </w:pPr>
            <w:r>
              <w:br/>
              <w:t>410.25</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tcPr>
          <w:p>
            <w:pPr>
              <w:pStyle w:val="yTableNAm"/>
              <w:jc w:val="right"/>
            </w:pPr>
            <w:r>
              <w:br/>
              <w:t>1 378.25</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tcPr>
          <w:p>
            <w:pPr>
              <w:pStyle w:val="yTableNAm"/>
              <w:jc w:val="right"/>
            </w:pPr>
            <w:r>
              <w:b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57.15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r>
            <w:r>
              <w:rPr>
                <w:color w:val="000000"/>
              </w:rPr>
              <w:t>192.30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r>
            <w:r>
              <w:rPr>
                <w:color w:val="000000"/>
              </w:rPr>
              <w:t>58.75</w:t>
            </w:r>
          </w:p>
        </w:tc>
      </w:tr>
    </w:tbl>
    <w:p>
      <w:pPr>
        <w:pStyle w:val="yFootnotesection"/>
      </w:pPr>
      <w:r>
        <w:tab/>
        <w:t>[Division 2 inserted: Gazette 21 Sep 2018 p. 3535.]</w:t>
      </w:r>
    </w:p>
    <w:p>
      <w:pPr>
        <w:pStyle w:val="yHeading3"/>
      </w:pPr>
      <w:bookmarkStart w:id="119" w:name="_Toc11747240"/>
      <w:bookmarkStart w:id="120" w:name="_Toc11752000"/>
      <w:bookmarkStart w:id="121" w:name="_Toc11760247"/>
      <w:r>
        <w:rPr>
          <w:rStyle w:val="CharSDivNo"/>
        </w:rPr>
        <w:t>Division 3</w:t>
      </w:r>
      <w:r>
        <w:t> — </w:t>
      </w:r>
      <w:r>
        <w:rPr>
          <w:rStyle w:val="CharSDivText"/>
        </w:rPr>
        <w:t>Owner</w:t>
      </w:r>
      <w:r>
        <w:rPr>
          <w:rStyle w:val="CharSDivText"/>
        </w:rPr>
        <w:noBreakHyphen/>
        <w:t>builders</w:t>
      </w:r>
      <w:bookmarkEnd w:id="119"/>
      <w:bookmarkEnd w:id="120"/>
      <w:bookmarkEnd w:id="121"/>
    </w:p>
    <w:p>
      <w:pPr>
        <w:pStyle w:val="yFootnoteheading"/>
        <w:spacing w:after="120"/>
      </w:pPr>
      <w:r>
        <w:tab/>
        <w:t>[Heading inserted: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 Gazette 25 Jun 2018 p. 2333.]</w:t>
      </w:r>
    </w:p>
    <w:p>
      <w:pPr>
        <w:pStyle w:val="yHeading3"/>
      </w:pPr>
      <w:bookmarkStart w:id="122" w:name="_Toc11747241"/>
      <w:bookmarkStart w:id="123" w:name="_Toc11752001"/>
      <w:bookmarkStart w:id="124" w:name="_Toc11760248"/>
      <w:r>
        <w:rPr>
          <w:rStyle w:val="CharSDivNo"/>
        </w:rPr>
        <w:t>Division 4</w:t>
      </w:r>
      <w:r>
        <w:t> — </w:t>
      </w:r>
      <w:r>
        <w:rPr>
          <w:rStyle w:val="CharSDivText"/>
        </w:rPr>
        <w:t>Building surveyors</w:t>
      </w:r>
      <w:bookmarkEnd w:id="122"/>
      <w:bookmarkEnd w:id="123"/>
      <w:bookmarkEnd w:id="124"/>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tcPr>
          <w:p>
            <w:pPr>
              <w:pStyle w:val="yTableNAm"/>
              <w:jc w:val="right"/>
            </w:pPr>
            <w:r>
              <w:br/>
            </w:r>
            <w:r>
              <w:rPr>
                <w:color w:val="000000"/>
              </w:rPr>
              <w:t>480.80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tcPr>
          <w:p>
            <w:pPr>
              <w:pStyle w:val="yTableNAm"/>
              <w:jc w:val="right"/>
            </w:pPr>
            <w:r>
              <w:br/>
            </w:r>
            <w:r>
              <w:rPr>
                <w:color w:val="000000"/>
              </w:rPr>
              <w:t>927.35</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r>
              <w:rPr>
                <w:color w:val="000000"/>
              </w:rPr>
              <w:t>647.95</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r>
              <w:rPr>
                <w:color w:val="000000"/>
              </w:rPr>
              <w:t>2 112.20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tcPr>
          <w:p>
            <w:pPr>
              <w:pStyle w:val="yTableNAm"/>
              <w:jc w:val="right"/>
            </w:pPr>
            <w:r>
              <w:br/>
              <w:t>54.45</w:t>
            </w:r>
          </w:p>
        </w:tc>
      </w:tr>
    </w:tbl>
    <w:p>
      <w:pPr>
        <w:pStyle w:val="yFootnotesection"/>
      </w:pPr>
      <w:r>
        <w:tab/>
        <w:t>[Division 4 inserted: Gazette 21 Sep 2018 p. 3536.]</w:t>
      </w:r>
    </w:p>
    <w:p>
      <w:pPr>
        <w:pStyle w:val="yHeading3"/>
        <w:rPr>
          <w:rStyle w:val="CharSDivText"/>
        </w:rPr>
      </w:pPr>
      <w:bookmarkStart w:id="125" w:name="_Toc11747242"/>
      <w:bookmarkStart w:id="126" w:name="_Toc11752002"/>
      <w:bookmarkStart w:id="127" w:name="_Toc11760249"/>
      <w:r>
        <w:rPr>
          <w:rStyle w:val="CharSDivNo"/>
        </w:rPr>
        <w:t>Division 5</w:t>
      </w:r>
      <w:r>
        <w:t> — </w:t>
      </w:r>
      <w:r>
        <w:rPr>
          <w:rStyle w:val="CharSDivText"/>
        </w:rPr>
        <w:t>Painters</w:t>
      </w:r>
      <w:bookmarkEnd w:id="125"/>
      <w:bookmarkEnd w:id="126"/>
      <w:bookmarkEnd w:id="127"/>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tcPr>
          <w:p>
            <w:pPr>
              <w:pStyle w:val="yTableNAm"/>
              <w:jc w:val="right"/>
            </w:pPr>
            <w:r>
              <w:rPr>
                <w:color w:val="000000"/>
              </w:rPr>
              <w:t>454.05</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tcPr>
          <w:p>
            <w:pPr>
              <w:pStyle w:val="yTableNAm"/>
              <w:jc w:val="right"/>
            </w:pPr>
            <w:r>
              <w:br/>
            </w:r>
            <w:r>
              <w:rPr>
                <w:color w:val="000000"/>
              </w:rPr>
              <w:t>304.50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tcPr>
          <w:p>
            <w:pPr>
              <w:pStyle w:val="yTableNAm"/>
              <w:jc w:val="right"/>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tcPr>
          <w:p>
            <w:pPr>
              <w:pStyle w:val="yTableNAm"/>
              <w:jc w:val="right"/>
            </w:pPr>
            <w:r>
              <w:br/>
            </w: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42.75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pPr>
      <w:r>
        <w:tab/>
        <w:t>[Division 5 inserted: Gazette 21 Sep 2018 p. 3536</w:t>
      </w:r>
      <w:r>
        <w:noBreakHyphen/>
        <w:t>7.]</w:t>
      </w:r>
    </w:p>
    <w:p>
      <w:pPr>
        <w:pStyle w:val="yScheduleHeading"/>
      </w:pPr>
      <w:bookmarkStart w:id="128" w:name="_Toc11747243"/>
      <w:bookmarkStart w:id="129" w:name="_Toc11752003"/>
      <w:bookmarkStart w:id="130" w:name="_Toc11760250"/>
      <w:r>
        <w:rPr>
          <w:rStyle w:val="CharSchNo"/>
        </w:rPr>
        <w:t>Schedule 2</w:t>
      </w:r>
      <w:r>
        <w:rPr>
          <w:rStyle w:val="CharSDivNo"/>
        </w:rPr>
        <w:t> </w:t>
      </w:r>
      <w:r>
        <w:t>—</w:t>
      </w:r>
      <w:r>
        <w:rPr>
          <w:rStyle w:val="CharSDivText"/>
        </w:rPr>
        <w:t> </w:t>
      </w:r>
      <w:r>
        <w:rPr>
          <w:rStyle w:val="CharSchText"/>
        </w:rPr>
        <w:t>Estimating the value of work</w:t>
      </w:r>
      <w:bookmarkEnd w:id="128"/>
      <w:bookmarkEnd w:id="129"/>
      <w:bookmarkEnd w:id="130"/>
    </w:p>
    <w:p>
      <w:pPr>
        <w:pStyle w:val="yShoulderClause"/>
      </w:pPr>
      <w:r>
        <w:t>[r. 13(1), 28(1)]</w:t>
      </w:r>
    </w:p>
    <w:p>
      <w:pPr>
        <w:pStyle w:val="yHeading5"/>
      </w:pPr>
      <w:bookmarkStart w:id="131" w:name="_Toc11760251"/>
      <w:r>
        <w:rPr>
          <w:rStyle w:val="CharSClsNo"/>
        </w:rPr>
        <w:t>1</w:t>
      </w:r>
      <w:r>
        <w:t>.</w:t>
      </w:r>
      <w:r>
        <w:tab/>
        <w:t>Terms used</w:t>
      </w:r>
      <w:bookmarkEnd w:id="13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2" w:name="_Toc11760252"/>
      <w:r>
        <w:rPr>
          <w:rStyle w:val="CharSClsNo"/>
        </w:rPr>
        <w:t>2</w:t>
      </w:r>
      <w:r>
        <w:t>.</w:t>
      </w:r>
      <w:r>
        <w:tab/>
        <w:t>Estimated value of work</w:t>
      </w:r>
      <w:bookmarkEnd w:id="13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3" w:name="_Toc11747246"/>
      <w:bookmarkStart w:id="134" w:name="_Toc11752006"/>
      <w:bookmarkStart w:id="135" w:name="_Toc11760253"/>
      <w:r>
        <w:rPr>
          <w:rStyle w:val="CharSchNo"/>
        </w:rPr>
        <w:t>Schedule 3</w:t>
      </w:r>
      <w:r>
        <w:rPr>
          <w:rStyle w:val="CharSDivNo"/>
        </w:rPr>
        <w:t> </w:t>
      </w:r>
      <w:r>
        <w:t>—</w:t>
      </w:r>
      <w:r>
        <w:rPr>
          <w:rStyle w:val="CharSDivText"/>
        </w:rPr>
        <w:t> </w:t>
      </w:r>
      <w:r>
        <w:rPr>
          <w:rStyle w:val="CharSchText"/>
        </w:rPr>
        <w:t>Builder work: areas of State for purposes of definition</w:t>
      </w:r>
      <w:bookmarkEnd w:id="133"/>
      <w:bookmarkEnd w:id="134"/>
      <w:bookmarkEnd w:id="135"/>
    </w:p>
    <w:p>
      <w:pPr>
        <w:pStyle w:val="yShoulderClause"/>
      </w:pPr>
      <w:r>
        <w:t>[r. 13(1)]</w:t>
      </w:r>
    </w:p>
    <w:p>
      <w:pPr>
        <w:pStyle w:val="yHeading5"/>
      </w:pPr>
      <w:bookmarkStart w:id="136" w:name="_Toc11760254"/>
      <w:r>
        <w:rPr>
          <w:rStyle w:val="CharSClsNo"/>
        </w:rPr>
        <w:t>1</w:t>
      </w:r>
      <w:r>
        <w:t>.</w:t>
      </w:r>
      <w:r>
        <w:tab/>
        <w:t>Term used: townsite</w:t>
      </w:r>
      <w:bookmarkEnd w:id="13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7" w:name="_Toc11760255"/>
      <w:r>
        <w:rPr>
          <w:rStyle w:val="CharSClsNo"/>
        </w:rPr>
        <w:t>2</w:t>
      </w:r>
      <w:r>
        <w:t>.</w:t>
      </w:r>
      <w:r>
        <w:tab/>
        <w:t>Areas of State</w:t>
      </w:r>
      <w:bookmarkEnd w:id="13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138" w:name="_Toc11747249"/>
      <w:bookmarkStart w:id="139" w:name="_Toc11752009"/>
      <w:bookmarkStart w:id="140" w:name="_Toc11760256"/>
      <w:r>
        <w:rPr>
          <w:rStyle w:val="CharSchNo"/>
        </w:rPr>
        <w:t>Schedule 4</w:t>
      </w:r>
      <w:r>
        <w:rPr>
          <w:rStyle w:val="CharSDivNo"/>
        </w:rPr>
        <w:t> </w:t>
      </w:r>
      <w:r>
        <w:t>—</w:t>
      </w:r>
      <w:r>
        <w:rPr>
          <w:rStyle w:val="CharSDivText"/>
        </w:rPr>
        <w:t> </w:t>
      </w:r>
      <w:r>
        <w:rPr>
          <w:rStyle w:val="CharSchText"/>
        </w:rPr>
        <w:t>Painter work: areas of the State for purposes of definition</w:t>
      </w:r>
      <w:bookmarkEnd w:id="138"/>
      <w:bookmarkEnd w:id="139"/>
      <w:bookmarkEnd w:id="140"/>
    </w:p>
    <w:p>
      <w:pPr>
        <w:pStyle w:val="yShoulderClause"/>
      </w:pPr>
      <w:r>
        <w:t>[r. 28]</w:t>
      </w:r>
    </w:p>
    <w:p>
      <w:pPr>
        <w:pStyle w:val="yHeading5"/>
      </w:pPr>
      <w:bookmarkStart w:id="141" w:name="_Toc11760257"/>
      <w:r>
        <w:rPr>
          <w:rStyle w:val="CharSClsNo"/>
        </w:rPr>
        <w:t>1</w:t>
      </w:r>
      <w:r>
        <w:t>.</w:t>
      </w:r>
      <w:r>
        <w:tab/>
        <w:t>Term used: townsite</w:t>
      </w:r>
      <w:bookmarkEnd w:id="14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2" w:name="_Toc11760258"/>
      <w:r>
        <w:rPr>
          <w:rStyle w:val="CharSClsNo"/>
        </w:rPr>
        <w:t>2</w:t>
      </w:r>
      <w:r>
        <w:t>.</w:t>
      </w:r>
      <w:r>
        <w:tab/>
        <w:t>Areas of State</w:t>
      </w:r>
      <w:bookmarkEnd w:id="14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43" w:name="_Toc11747252"/>
      <w:bookmarkStart w:id="144" w:name="_Toc11752012"/>
      <w:bookmarkStart w:id="145" w:name="_Toc11760259"/>
      <w:r>
        <w:rPr>
          <w:rStyle w:val="CharSchNo"/>
        </w:rPr>
        <w:t>Schedule 5</w:t>
      </w:r>
      <w:r>
        <w:t> — </w:t>
      </w:r>
      <w:r>
        <w:rPr>
          <w:rStyle w:val="CharSchText"/>
        </w:rPr>
        <w:t>Prescribed offences and modified penalties</w:t>
      </w:r>
      <w:bookmarkEnd w:id="143"/>
      <w:bookmarkEnd w:id="144"/>
      <w:bookmarkEnd w:id="145"/>
    </w:p>
    <w:p>
      <w:pPr>
        <w:pStyle w:val="yShoulderClause"/>
      </w:pPr>
      <w:r>
        <w:t>[r. 36A]</w:t>
      </w:r>
    </w:p>
    <w:p>
      <w:pPr>
        <w:pStyle w:val="yFootnoteheading"/>
      </w:pPr>
      <w:r>
        <w:tab/>
        <w:t>[Heading inserted: Gazette 26 Apr 2019 p. 1216.]</w:t>
      </w:r>
    </w:p>
    <w:p>
      <w:pPr>
        <w:pStyle w:val="yHeading3"/>
      </w:pPr>
      <w:bookmarkStart w:id="146" w:name="_Toc11747253"/>
      <w:bookmarkStart w:id="147" w:name="_Toc11752013"/>
      <w:bookmarkStart w:id="148" w:name="_Toc11760260"/>
      <w:r>
        <w:rPr>
          <w:rStyle w:val="CharSDivNo"/>
        </w:rPr>
        <w:t>Division 1</w:t>
      </w:r>
      <w:r>
        <w:t> — </w:t>
      </w:r>
      <w:r>
        <w:rPr>
          <w:rStyle w:val="CharSDivText"/>
        </w:rPr>
        <w:t>Preliminary</w:t>
      </w:r>
      <w:bookmarkEnd w:id="146"/>
      <w:bookmarkEnd w:id="147"/>
      <w:bookmarkEnd w:id="148"/>
    </w:p>
    <w:p>
      <w:pPr>
        <w:pStyle w:val="yFootnoteheading"/>
      </w:pPr>
      <w:r>
        <w:tab/>
        <w:t>[Heading inserted: Gazette 26 Apr 2019 p. 1216.]</w:t>
      </w:r>
    </w:p>
    <w:p>
      <w:pPr>
        <w:pStyle w:val="yHeading5"/>
      </w:pPr>
      <w:bookmarkStart w:id="149" w:name="_Toc11760261"/>
      <w:r>
        <w:rPr>
          <w:rStyle w:val="CharSClsNo"/>
        </w:rPr>
        <w:t>1</w:t>
      </w:r>
      <w:r>
        <w:t>.</w:t>
      </w:r>
      <w:r>
        <w:tab/>
        <w:t>Terms used</w:t>
      </w:r>
      <w:bookmarkEnd w:id="14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Heading3"/>
      </w:pPr>
      <w:bookmarkStart w:id="150" w:name="_Toc11747255"/>
      <w:bookmarkStart w:id="151" w:name="_Toc11752015"/>
      <w:bookmarkStart w:id="152" w:name="_Toc11760262"/>
      <w:r>
        <w:rPr>
          <w:rStyle w:val="CharSDivNo"/>
        </w:rPr>
        <w:t>Division 2</w:t>
      </w:r>
      <w:r>
        <w:t> — </w:t>
      </w:r>
      <w:r>
        <w:rPr>
          <w:rStyle w:val="CharSDivText"/>
        </w:rPr>
        <w:t>Offences under the Act</w:t>
      </w:r>
      <w:bookmarkEnd w:id="150"/>
      <w:bookmarkEnd w:id="151"/>
      <w:bookmarkEnd w:id="152"/>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53" w:name="_Toc11747256"/>
      <w:bookmarkStart w:id="154" w:name="_Toc11752016"/>
      <w:bookmarkStart w:id="155" w:name="_Toc11760263"/>
      <w:r>
        <w:rPr>
          <w:rStyle w:val="CharSDivNo"/>
        </w:rPr>
        <w:t>Division 3</w:t>
      </w:r>
      <w:r>
        <w:t xml:space="preserve"> — </w:t>
      </w:r>
      <w:r>
        <w:rPr>
          <w:rStyle w:val="CharSDivText"/>
        </w:rPr>
        <w:t>Offences under these regulations</w:t>
      </w:r>
      <w:bookmarkEnd w:id="153"/>
      <w:bookmarkEnd w:id="154"/>
      <w:bookmarkEnd w:id="155"/>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56" w:name="_Toc11747257"/>
      <w:bookmarkStart w:id="157" w:name="_Toc11752017"/>
      <w:bookmarkStart w:id="158" w:name="_Toc11760264"/>
      <w:r>
        <w:rPr>
          <w:rStyle w:val="CharSchNo"/>
        </w:rPr>
        <w:t>Schedule 6</w:t>
      </w:r>
      <w:r>
        <w:t> —</w:t>
      </w:r>
      <w:r>
        <w:rPr>
          <w:rStyle w:val="CharSchNo"/>
        </w:rPr>
        <w:t> </w:t>
      </w:r>
      <w:r>
        <w:rPr>
          <w:rStyle w:val="CharSchText"/>
        </w:rPr>
        <w:t>Forms</w:t>
      </w:r>
      <w:bookmarkEnd w:id="156"/>
      <w:bookmarkEnd w:id="157"/>
      <w:bookmarkEnd w:id="158"/>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159" w:name="_Toc11747258"/>
      <w:bookmarkStart w:id="160" w:name="_Toc11752018"/>
      <w:bookmarkStart w:id="161" w:name="_Toc11760265"/>
      <w:r>
        <w:t>Notes</w:t>
      </w:r>
      <w:bookmarkEnd w:id="159"/>
      <w:bookmarkEnd w:id="160"/>
      <w:bookmarkEnd w:id="161"/>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162" w:name="_Toc11760266"/>
      <w:r>
        <w:t>Compilation table</w:t>
      </w:r>
      <w:bookmarkEnd w:id="162"/>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gridCol w:w="22"/>
        <w:gridCol w:w="86"/>
      </w:tblGrid>
      <w:tr>
        <w:trPr>
          <w:gridAfter w:val="1"/>
          <w:wAfter w:w="86" w:type="dxa"/>
          <w:tblHeader/>
        </w:trPr>
        <w:tc>
          <w:tcPr>
            <w:tcW w:w="3106" w:type="dxa"/>
            <w:tcBorders>
              <w:bottom w:val="single" w:sz="8" w:space="0" w:color="auto"/>
            </w:tcBorders>
            <w:shd w:val="clear" w:color="auto" w:fill="auto"/>
          </w:tcPr>
          <w:p>
            <w:pPr>
              <w:pStyle w:val="nTable"/>
              <w:spacing w:after="40"/>
              <w:rPr>
                <w:b/>
              </w:rPr>
            </w:pPr>
            <w:r>
              <w:rPr>
                <w:b/>
              </w:rPr>
              <w:t>Citation</w:t>
            </w:r>
          </w:p>
        </w:tc>
        <w:tc>
          <w:tcPr>
            <w:tcW w:w="1274" w:type="dxa"/>
            <w:tcBorders>
              <w:bottom w:val="single" w:sz="8" w:space="0" w:color="auto"/>
            </w:tcBorders>
            <w:shd w:val="clear" w:color="auto" w:fill="auto"/>
          </w:tcPr>
          <w:p>
            <w:pPr>
              <w:pStyle w:val="nTable"/>
              <w:spacing w:after="40"/>
              <w:rPr>
                <w:b/>
              </w:rPr>
            </w:pPr>
            <w:r>
              <w:rPr>
                <w:b/>
              </w:rPr>
              <w:t>Gazettal</w:t>
            </w:r>
          </w:p>
        </w:tc>
        <w:tc>
          <w:tcPr>
            <w:tcW w:w="2701"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86" w:type="dxa"/>
        </w:trPr>
        <w:tc>
          <w:tcPr>
            <w:tcW w:w="3106" w:type="dxa"/>
            <w:tcBorders>
              <w:top w:val="single" w:sz="8" w:space="0" w:color="auto"/>
              <w:bottom w:val="nil"/>
            </w:tcBorders>
          </w:tcPr>
          <w:p>
            <w:pPr>
              <w:pStyle w:val="nTable"/>
              <w:spacing w:after="40"/>
            </w:pPr>
            <w:r>
              <w:rPr>
                <w:i/>
                <w:snapToGrid w:val="0"/>
              </w:rPr>
              <w:t>Building Services (Registration) Regulations 2011</w:t>
            </w:r>
          </w:p>
        </w:tc>
        <w:tc>
          <w:tcPr>
            <w:tcW w:w="1274" w:type="dxa"/>
            <w:tcBorders>
              <w:top w:val="single" w:sz="8" w:space="0" w:color="auto"/>
              <w:bottom w:val="nil"/>
            </w:tcBorders>
          </w:tcPr>
          <w:p>
            <w:pPr>
              <w:pStyle w:val="nTable"/>
              <w:spacing w:after="40"/>
            </w:pPr>
            <w:r>
              <w:t>26 Aug 2011 p. 3411-52</w:t>
            </w:r>
          </w:p>
        </w:tc>
        <w:tc>
          <w:tcPr>
            <w:tcW w:w="2701"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4" w:type="dxa"/>
            <w:tcBorders>
              <w:top w:val="nil"/>
              <w:left w:val="nil"/>
              <w:bottom w:val="nil"/>
              <w:right w:val="nil"/>
            </w:tcBorders>
          </w:tcPr>
          <w:p>
            <w:pPr>
              <w:pStyle w:val="nTable"/>
              <w:spacing w:after="40"/>
            </w:pPr>
            <w:r>
              <w:t>31 Jan 2012 p. 591</w:t>
            </w:r>
            <w:r>
              <w:noBreakHyphen/>
              <w:t>601</w:t>
            </w:r>
          </w:p>
        </w:tc>
        <w:tc>
          <w:tcPr>
            <w:tcW w:w="2701"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86" w:type="dxa"/>
        </w:trPr>
        <w:tc>
          <w:tcPr>
            <w:tcW w:w="3106"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4" w:type="dxa"/>
            <w:tcBorders>
              <w:top w:val="nil"/>
              <w:left w:val="nil"/>
              <w:bottom w:val="nil"/>
              <w:right w:val="nil"/>
            </w:tcBorders>
          </w:tcPr>
          <w:p>
            <w:pPr>
              <w:pStyle w:val="nTable"/>
              <w:spacing w:after="40"/>
            </w:pPr>
            <w:r>
              <w:t>12 Mar 2012 p. 989-1011</w:t>
            </w:r>
          </w:p>
        </w:tc>
        <w:tc>
          <w:tcPr>
            <w:tcW w:w="2701"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4" w:type="dxa"/>
            <w:tcBorders>
              <w:top w:val="nil"/>
              <w:left w:val="nil"/>
              <w:bottom w:val="nil"/>
              <w:right w:val="nil"/>
            </w:tcBorders>
          </w:tcPr>
          <w:p>
            <w:pPr>
              <w:pStyle w:val="nTable"/>
              <w:spacing w:after="40"/>
            </w:pPr>
            <w:r>
              <w:t>15 Jun 2012 p. 2617-20</w:t>
            </w:r>
          </w:p>
        </w:tc>
        <w:tc>
          <w:tcPr>
            <w:tcW w:w="2701"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4" w:type="dxa"/>
            <w:tcBorders>
              <w:top w:val="nil"/>
              <w:left w:val="nil"/>
              <w:bottom w:val="nil"/>
              <w:right w:val="nil"/>
            </w:tcBorders>
          </w:tcPr>
          <w:p>
            <w:pPr>
              <w:pStyle w:val="nTable"/>
              <w:spacing w:after="40"/>
            </w:pPr>
            <w:r>
              <w:t>6 Nov 2012 p. 5293-4</w:t>
            </w:r>
          </w:p>
        </w:tc>
        <w:tc>
          <w:tcPr>
            <w:tcW w:w="2701"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86" w:type="dxa"/>
        </w:trPr>
        <w:tc>
          <w:tcPr>
            <w:tcW w:w="3106"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4" w:type="dxa"/>
            <w:tcBorders>
              <w:top w:val="nil"/>
              <w:left w:val="nil"/>
              <w:bottom w:val="nil"/>
              <w:right w:val="nil"/>
            </w:tcBorders>
          </w:tcPr>
          <w:p>
            <w:pPr>
              <w:pStyle w:val="nTable"/>
              <w:spacing w:after="40"/>
            </w:pPr>
            <w:r>
              <w:t>18 Dec 2012 p. 6585-9</w:t>
            </w:r>
          </w:p>
        </w:tc>
        <w:tc>
          <w:tcPr>
            <w:tcW w:w="2701"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4" w:type="dxa"/>
            <w:tcBorders>
              <w:top w:val="nil"/>
              <w:left w:val="nil"/>
              <w:bottom w:val="nil"/>
              <w:right w:val="nil"/>
            </w:tcBorders>
            <w:shd w:val="clear" w:color="auto" w:fill="auto"/>
          </w:tcPr>
          <w:p>
            <w:pPr>
              <w:pStyle w:val="nTable"/>
              <w:spacing w:after="40"/>
            </w:pPr>
            <w:r>
              <w:t>22 Jan 2013 p. 211</w:t>
            </w:r>
          </w:p>
        </w:tc>
        <w:tc>
          <w:tcPr>
            <w:tcW w:w="2701"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86" w:type="dxa"/>
        </w:trPr>
        <w:tc>
          <w:tcPr>
            <w:tcW w:w="7081"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86" w:type="dxa"/>
        </w:trPr>
        <w:tc>
          <w:tcPr>
            <w:tcW w:w="3106"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4" w:type="dxa"/>
            <w:tcBorders>
              <w:top w:val="nil"/>
              <w:left w:val="nil"/>
              <w:bottom w:val="nil"/>
              <w:right w:val="nil"/>
            </w:tcBorders>
            <w:shd w:val="clear" w:color="auto" w:fill="auto"/>
          </w:tcPr>
          <w:p>
            <w:pPr>
              <w:pStyle w:val="nTable"/>
              <w:keepNext/>
              <w:spacing w:after="40"/>
            </w:pPr>
            <w:r>
              <w:t>27 Jun 2013 p. 2665-9</w:t>
            </w:r>
          </w:p>
        </w:tc>
        <w:tc>
          <w:tcPr>
            <w:tcW w:w="2701"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4" w:type="dxa"/>
            <w:tcBorders>
              <w:top w:val="nil"/>
              <w:left w:val="nil"/>
              <w:bottom w:val="nil"/>
              <w:right w:val="nil"/>
            </w:tcBorders>
            <w:shd w:val="clear" w:color="auto" w:fill="auto"/>
          </w:tcPr>
          <w:p>
            <w:pPr>
              <w:pStyle w:val="nTable"/>
              <w:spacing w:after="40"/>
            </w:pPr>
            <w:r>
              <w:t>14 Nov 2013 p. 5029</w:t>
            </w:r>
          </w:p>
        </w:tc>
        <w:tc>
          <w:tcPr>
            <w:tcW w:w="2701"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4" w:type="dxa"/>
            <w:tcBorders>
              <w:top w:val="nil"/>
              <w:left w:val="nil"/>
              <w:bottom w:val="nil"/>
              <w:right w:val="nil"/>
            </w:tcBorders>
            <w:shd w:val="clear" w:color="auto" w:fill="auto"/>
          </w:tcPr>
          <w:p>
            <w:pPr>
              <w:pStyle w:val="nTable"/>
              <w:spacing w:after="40"/>
            </w:pPr>
            <w:r>
              <w:t>31 Dec 2013 p. 6535</w:t>
            </w:r>
            <w:r>
              <w:noBreakHyphen/>
              <w:t>9</w:t>
            </w:r>
          </w:p>
        </w:tc>
        <w:tc>
          <w:tcPr>
            <w:tcW w:w="2701"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4" w:type="dxa"/>
            <w:tcBorders>
              <w:top w:val="nil"/>
              <w:left w:val="nil"/>
              <w:bottom w:val="nil"/>
              <w:right w:val="nil"/>
            </w:tcBorders>
            <w:shd w:val="clear" w:color="auto" w:fill="auto"/>
          </w:tcPr>
          <w:p>
            <w:pPr>
              <w:pStyle w:val="nTable"/>
              <w:spacing w:after="40"/>
            </w:pPr>
            <w:r>
              <w:t>17 Jun 2014 p. 1959</w:t>
            </w:r>
            <w:r>
              <w:noBreakHyphen/>
              <w:t>61</w:t>
            </w:r>
          </w:p>
        </w:tc>
        <w:tc>
          <w:tcPr>
            <w:tcW w:w="2701"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4" w:type="dxa"/>
            <w:tcBorders>
              <w:top w:val="nil"/>
              <w:left w:val="nil"/>
              <w:bottom w:val="nil"/>
              <w:right w:val="nil"/>
            </w:tcBorders>
            <w:shd w:val="clear" w:color="auto" w:fill="auto"/>
          </w:tcPr>
          <w:p>
            <w:pPr>
              <w:pStyle w:val="nTable"/>
              <w:spacing w:after="40"/>
            </w:pPr>
            <w:r>
              <w:t>19 Dec 2014 p. 4841</w:t>
            </w:r>
            <w:r>
              <w:noBreakHyphen/>
              <w:t>2</w:t>
            </w:r>
          </w:p>
        </w:tc>
        <w:tc>
          <w:tcPr>
            <w:tcW w:w="2701"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After w:val="1"/>
          <w:wAfter w:w="86" w:type="dxa"/>
        </w:trPr>
        <w:tc>
          <w:tcPr>
            <w:tcW w:w="7081" w:type="dxa"/>
            <w:gridSpan w:val="4"/>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After w:val="1"/>
          <w:wAfter w:w="86" w:type="dxa"/>
        </w:trPr>
        <w:tc>
          <w:tcPr>
            <w:tcW w:w="3106"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4" w:type="dxa"/>
            <w:tcBorders>
              <w:top w:val="nil"/>
              <w:bottom w:val="nil"/>
            </w:tcBorders>
            <w:shd w:val="clear" w:color="auto" w:fill="auto"/>
          </w:tcPr>
          <w:p>
            <w:pPr>
              <w:pStyle w:val="nTable"/>
              <w:spacing w:after="40"/>
              <w:rPr>
                <w:b/>
                <w:bCs/>
                <w:snapToGrid w:val="0"/>
              </w:rPr>
            </w:pPr>
            <w:r>
              <w:t>23 Jun 2015 p. 2165</w:t>
            </w:r>
            <w:r>
              <w:noBreakHyphen/>
              <w:t>7</w:t>
            </w:r>
          </w:p>
        </w:tc>
        <w:tc>
          <w:tcPr>
            <w:tcW w:w="2701"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After w:val="1"/>
          <w:wAfter w:w="86" w:type="dxa"/>
        </w:trPr>
        <w:tc>
          <w:tcPr>
            <w:tcW w:w="3106" w:type="dxa"/>
            <w:tcBorders>
              <w:top w:val="nil"/>
              <w:bottom w:val="nil"/>
            </w:tcBorders>
          </w:tcPr>
          <w:p>
            <w:pPr>
              <w:pStyle w:val="nTable"/>
              <w:spacing w:after="40"/>
            </w:pPr>
            <w:r>
              <w:rPr>
                <w:i/>
              </w:rPr>
              <w:t>Commerce Regulations Amendment (Fees and Charges) Regulations 2016</w:t>
            </w:r>
            <w:r>
              <w:t xml:space="preserve"> Pt. 4</w:t>
            </w:r>
          </w:p>
        </w:tc>
        <w:tc>
          <w:tcPr>
            <w:tcW w:w="1274" w:type="dxa"/>
            <w:tcBorders>
              <w:top w:val="nil"/>
              <w:bottom w:val="nil"/>
            </w:tcBorders>
          </w:tcPr>
          <w:p>
            <w:pPr>
              <w:pStyle w:val="nTable"/>
              <w:spacing w:after="40"/>
            </w:pPr>
            <w:r>
              <w:t>3 Jun 2016 p. 1745-73</w:t>
            </w:r>
          </w:p>
        </w:tc>
        <w:tc>
          <w:tcPr>
            <w:tcW w:w="2701" w:type="dxa"/>
            <w:gridSpan w:val="2"/>
            <w:tcBorders>
              <w:top w:val="nil"/>
              <w:bottom w:val="nil"/>
            </w:tcBorders>
          </w:tcPr>
          <w:p>
            <w:pPr>
              <w:pStyle w:val="nTable"/>
              <w:spacing w:after="40"/>
            </w:pPr>
            <w:r>
              <w:t>1 Jul 2016 (see r. 2(b))</w:t>
            </w:r>
          </w:p>
        </w:tc>
      </w:tr>
      <w:tr>
        <w:trPr>
          <w:gridAfter w:val="1"/>
          <w:wAfter w:w="86" w:type="dxa"/>
        </w:trPr>
        <w:tc>
          <w:tcPr>
            <w:tcW w:w="3106" w:type="dxa"/>
            <w:tcBorders>
              <w:top w:val="nil"/>
              <w:bottom w:val="nil"/>
            </w:tcBorders>
          </w:tcPr>
          <w:p>
            <w:pPr>
              <w:pStyle w:val="nTable"/>
              <w:spacing w:after="40"/>
              <w:rPr>
                <w:i/>
              </w:rPr>
            </w:pPr>
            <w:r>
              <w:rPr>
                <w:i/>
              </w:rPr>
              <w:t>Building Services (Registration) Amendment Regulations 2017</w:t>
            </w:r>
          </w:p>
        </w:tc>
        <w:tc>
          <w:tcPr>
            <w:tcW w:w="1274" w:type="dxa"/>
            <w:tcBorders>
              <w:top w:val="nil"/>
              <w:bottom w:val="nil"/>
            </w:tcBorders>
          </w:tcPr>
          <w:p>
            <w:pPr>
              <w:pStyle w:val="nTable"/>
              <w:spacing w:after="40"/>
            </w:pPr>
            <w:r>
              <w:t>31 Mar 2017 p. 1941-2</w:t>
            </w:r>
          </w:p>
        </w:tc>
        <w:tc>
          <w:tcPr>
            <w:tcW w:w="2701"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06"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4" w:type="dxa"/>
            <w:tcBorders>
              <w:top w:val="nil"/>
              <w:bottom w:val="nil"/>
            </w:tcBorders>
          </w:tcPr>
          <w:p>
            <w:pPr>
              <w:pStyle w:val="nTable"/>
              <w:spacing w:after="40"/>
            </w:pPr>
            <w:r>
              <w:t>23 Jun 2017 p. 3213</w:t>
            </w:r>
            <w:r>
              <w:noBreakHyphen/>
              <w:t>52</w:t>
            </w:r>
          </w:p>
        </w:tc>
        <w:tc>
          <w:tcPr>
            <w:tcW w:w="2787" w:type="dxa"/>
            <w:gridSpan w:val="3"/>
            <w:tcBorders>
              <w:top w:val="nil"/>
              <w:bottom w:val="nil"/>
            </w:tcBorders>
          </w:tcPr>
          <w:p>
            <w:pPr>
              <w:pStyle w:val="nTable"/>
              <w:spacing w:after="40"/>
            </w:pPr>
            <w:r>
              <w:t>1 Jul 2017 (see r. 2(b))</w:t>
            </w:r>
          </w:p>
        </w:tc>
      </w:tr>
      <w:tr>
        <w:tc>
          <w:tcPr>
            <w:tcW w:w="3106" w:type="dxa"/>
            <w:tcBorders>
              <w:top w:val="nil"/>
              <w:bottom w:val="nil"/>
            </w:tcBorders>
          </w:tcPr>
          <w:p>
            <w:pPr>
              <w:pStyle w:val="nTable"/>
              <w:spacing w:after="40"/>
            </w:pPr>
            <w:r>
              <w:rPr>
                <w:i/>
              </w:rPr>
              <w:t>Building Regulations Amendment Regulations 2017</w:t>
            </w:r>
            <w:r>
              <w:t xml:space="preserve"> Pt. 3</w:t>
            </w:r>
          </w:p>
        </w:tc>
        <w:tc>
          <w:tcPr>
            <w:tcW w:w="1274" w:type="dxa"/>
            <w:tcBorders>
              <w:top w:val="nil"/>
              <w:bottom w:val="nil"/>
            </w:tcBorders>
          </w:tcPr>
          <w:p>
            <w:pPr>
              <w:pStyle w:val="nTable"/>
              <w:spacing w:after="40"/>
            </w:pPr>
            <w:r>
              <w:t>8 Aug 2017 p. 4343</w:t>
            </w:r>
            <w:r>
              <w:noBreakHyphen/>
              <w:t>5</w:t>
            </w:r>
          </w:p>
        </w:tc>
        <w:tc>
          <w:tcPr>
            <w:tcW w:w="2787"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06"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4" w:type="dxa"/>
            <w:tcBorders>
              <w:top w:val="nil"/>
              <w:bottom w:val="nil"/>
            </w:tcBorders>
          </w:tcPr>
          <w:p>
            <w:pPr>
              <w:pStyle w:val="nTable"/>
              <w:keepNext/>
              <w:spacing w:after="40"/>
            </w:pPr>
            <w:r>
              <w:t>5 Jan 2018 p. 4</w:t>
            </w:r>
            <w:r>
              <w:noBreakHyphen/>
              <w:t>8</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06"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4" w:type="dxa"/>
            <w:tcBorders>
              <w:top w:val="nil"/>
              <w:bottom w:val="nil"/>
            </w:tcBorders>
          </w:tcPr>
          <w:p>
            <w:pPr>
              <w:pStyle w:val="nTable"/>
              <w:keepNext/>
              <w:spacing w:after="40"/>
            </w:pPr>
            <w:r>
              <w:t>25 Jun 2018 p. 2325</w:t>
            </w:r>
            <w:r>
              <w:noBreakHyphen/>
              <w:t>53</w:t>
            </w:r>
          </w:p>
        </w:tc>
        <w:tc>
          <w:tcPr>
            <w:tcW w:w="2787"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c>
          <w:tcPr>
            <w:tcW w:w="3106" w:type="dxa"/>
            <w:tcBorders>
              <w:top w:val="nil"/>
              <w:bottom w:val="nil"/>
            </w:tcBorders>
          </w:tcPr>
          <w:p>
            <w:pPr>
              <w:pStyle w:val="nTable"/>
              <w:spacing w:after="40"/>
              <w:rPr>
                <w:i/>
              </w:rPr>
            </w:pPr>
            <w:r>
              <w:rPr>
                <w:i/>
              </w:rPr>
              <w:t>Building Services (Registration) Amendment Regulations 2018</w:t>
            </w:r>
          </w:p>
        </w:tc>
        <w:tc>
          <w:tcPr>
            <w:tcW w:w="1274" w:type="dxa"/>
            <w:tcBorders>
              <w:top w:val="nil"/>
              <w:bottom w:val="nil"/>
            </w:tcBorders>
          </w:tcPr>
          <w:p>
            <w:pPr>
              <w:pStyle w:val="nTable"/>
              <w:keepNext/>
              <w:spacing w:after="40"/>
            </w:pPr>
            <w:r>
              <w:t>21 Sep 2018 p. 3534</w:t>
            </w:r>
            <w:r>
              <w:noBreakHyphen/>
              <w:t>7</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After w:val="2"/>
          <w:wAfter w:w="108" w:type="dxa"/>
        </w:trPr>
        <w:tc>
          <w:tcPr>
            <w:tcW w:w="3106" w:type="dxa"/>
            <w:tcBorders>
              <w:top w:val="nil"/>
              <w:bottom w:val="single" w:sz="4" w:space="0" w:color="auto"/>
            </w:tcBorders>
          </w:tcPr>
          <w:p>
            <w:pPr>
              <w:pStyle w:val="nTable"/>
              <w:spacing w:after="40"/>
            </w:pPr>
            <w:r>
              <w:rPr>
                <w:i/>
              </w:rPr>
              <w:t xml:space="preserve">Commerce Regulations Amendment (Infringement Notices) Regulations 2019 </w:t>
            </w:r>
            <w:r>
              <w:t>Pt. 4</w:t>
            </w:r>
          </w:p>
        </w:tc>
        <w:tc>
          <w:tcPr>
            <w:tcW w:w="1274" w:type="dxa"/>
            <w:tcBorders>
              <w:top w:val="nil"/>
              <w:bottom w:val="single" w:sz="4" w:space="0" w:color="auto"/>
            </w:tcBorders>
          </w:tcPr>
          <w:p>
            <w:pPr>
              <w:pStyle w:val="nTable"/>
              <w:spacing w:after="40"/>
            </w:pPr>
            <w:r>
              <w:t>26 Apr 2019 p. 1209-22</w:t>
            </w:r>
          </w:p>
        </w:tc>
        <w:tc>
          <w:tcPr>
            <w:tcW w:w="2679"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11750470"/>
      <w:bookmarkStart w:id="164" w:name="_Toc11760267"/>
      <w:r>
        <w:t>Provisions that have not come into operation</w:t>
      </w:r>
      <w:bookmarkEnd w:id="163"/>
      <w:bookmarkEnd w:id="1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6</w:t>
            </w:r>
            <w:r>
              <w:rPr>
                <w:snapToGrid w:val="0"/>
                <w:vertAlign w:val="superscript"/>
              </w:rPr>
              <w:t> 6</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On the date as at which this compilation was prepared, the </w:t>
      </w:r>
      <w:r>
        <w:rPr>
          <w:i/>
        </w:rPr>
        <w:t xml:space="preserve">Commerce Regulations Amendment (Fees and Charges) Regulations 2019 </w:t>
      </w:r>
      <w:r>
        <w:t>Pt. 6 had not come into operation. It reads as follows:</w:t>
      </w:r>
    </w:p>
    <w:p>
      <w:pPr>
        <w:pStyle w:val="BlankOpen"/>
      </w:pPr>
    </w:p>
    <w:p>
      <w:pPr>
        <w:pStyle w:val="nzHeading2"/>
      </w:pPr>
      <w:r>
        <w:t>Part 6</w:t>
      </w:r>
      <w:r>
        <w:rPr>
          <w:rStyle w:val="CharDivNo"/>
        </w:rPr>
        <w:t> </w:t>
      </w:r>
      <w:r>
        <w:t>— Building Services (Registration) Regulations 2011 amended</w:t>
      </w:r>
    </w:p>
    <w:p>
      <w:pPr>
        <w:pStyle w:val="nzHeading5"/>
        <w:rPr>
          <w:snapToGrid w:val="0"/>
        </w:rPr>
      </w:pPr>
      <w:r>
        <w:t>11</w:t>
      </w:r>
      <w:r>
        <w:rPr>
          <w:snapToGrid w:val="0"/>
        </w:rPr>
        <w:t>.</w:t>
      </w:r>
      <w:r>
        <w:rPr>
          <w:snapToGrid w:val="0"/>
        </w:rPr>
        <w:tab/>
        <w:t>Regulations amended</w:t>
      </w:r>
    </w:p>
    <w:p>
      <w:pPr>
        <w:pStyle w:val="nzSubsection"/>
      </w:pPr>
      <w:r>
        <w:tab/>
      </w:r>
      <w:r>
        <w:tab/>
        <w:t xml:space="preserve">This Part amends the </w:t>
      </w:r>
      <w:r>
        <w:rPr>
          <w:i/>
        </w:rPr>
        <w:t>Building Services (Registration) Regulations 2011</w:t>
      </w:r>
      <w:r>
        <w:t>.</w:t>
      </w:r>
    </w:p>
    <w:p>
      <w:pPr>
        <w:pStyle w:val="nzHeading5"/>
      </w:pPr>
      <w:r>
        <w:t>12.</w:t>
      </w:r>
      <w:r>
        <w:tab/>
        <w:t>Schedule 1 replaced</w:t>
      </w:r>
    </w:p>
    <w:p>
      <w:pPr>
        <w:pStyle w:val="nzSubsection"/>
      </w:pPr>
      <w:r>
        <w:tab/>
      </w:r>
      <w:r>
        <w:tab/>
        <w:t>Delete Schedule 1 and insert:</w:t>
      </w:r>
    </w:p>
    <w:p>
      <w:pPr>
        <w:pStyle w:val="BlankOpen"/>
      </w:pPr>
    </w:p>
    <w:p>
      <w:pPr>
        <w:pStyle w:val="nzHeading2"/>
      </w:pPr>
      <w:r>
        <w:t>Schedule 1 — Fees</w:t>
      </w:r>
    </w:p>
    <w:p>
      <w:pPr>
        <w:pStyle w:val="nzShoulderClause"/>
      </w:pPr>
      <w:r>
        <w:t>[r. 9]</w:t>
      </w:r>
    </w:p>
    <w:p>
      <w:pPr>
        <w:pStyle w:val="nzHeading3"/>
      </w:pPr>
      <w:r>
        <w:t>Division 1 — General</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nzTableNAm"/>
              <w:rPr>
                <w:b/>
              </w:rPr>
            </w:pPr>
            <w:r>
              <w:rPr>
                <w:b/>
              </w:rPr>
              <w:t>Item</w:t>
            </w:r>
          </w:p>
        </w:tc>
        <w:tc>
          <w:tcPr>
            <w:tcW w:w="4678" w:type="dxa"/>
          </w:tcPr>
          <w:p>
            <w:pPr>
              <w:pStyle w:val="nzTableNAm"/>
              <w:rPr>
                <w:b/>
              </w:rPr>
            </w:pPr>
            <w:r>
              <w:rPr>
                <w:b/>
              </w:rPr>
              <w:t>Service</w:t>
            </w:r>
          </w:p>
        </w:tc>
        <w:tc>
          <w:tcPr>
            <w:tcW w:w="1134" w:type="dxa"/>
            <w:vAlign w:val="center"/>
          </w:tcPr>
          <w:p>
            <w:pPr>
              <w:pStyle w:val="nzTableNAm"/>
              <w:jc w:val="center"/>
              <w:rPr>
                <w:b/>
              </w:rPr>
            </w:pPr>
            <w:r>
              <w:rPr>
                <w:b/>
              </w:rPr>
              <w:t xml:space="preserve"> Fee ($)</w:t>
            </w:r>
          </w:p>
        </w:tc>
      </w:tr>
      <w:tr>
        <w:trPr>
          <w:cantSplit/>
        </w:trPr>
        <w:tc>
          <w:tcPr>
            <w:tcW w:w="992" w:type="dxa"/>
          </w:tcPr>
          <w:p>
            <w:pPr>
              <w:pStyle w:val="nzTableNAm"/>
            </w:pPr>
            <w:r>
              <w:t>1.</w:t>
            </w:r>
          </w:p>
        </w:tc>
        <w:tc>
          <w:tcPr>
            <w:tcW w:w="4678" w:type="dxa"/>
          </w:tcPr>
          <w:p>
            <w:pPr>
              <w:pStyle w:val="nzTableNAm"/>
            </w:pPr>
            <w:r>
              <w:t>Issue of replacement certificate of registration</w:t>
            </w:r>
          </w:p>
        </w:tc>
        <w:tc>
          <w:tcPr>
            <w:tcW w:w="1134" w:type="dxa"/>
            <w:vAlign w:val="bottom"/>
          </w:tcPr>
          <w:p>
            <w:pPr>
              <w:pStyle w:val="nzTableNAm"/>
              <w:jc w:val="right"/>
            </w:pPr>
            <w:r>
              <w:t>67.50</w:t>
            </w:r>
          </w:p>
        </w:tc>
      </w:tr>
      <w:tr>
        <w:trPr>
          <w:cantSplit/>
        </w:trPr>
        <w:tc>
          <w:tcPr>
            <w:tcW w:w="992" w:type="dxa"/>
          </w:tcPr>
          <w:p>
            <w:pPr>
              <w:pStyle w:val="nzTableNAm"/>
            </w:pPr>
            <w:r>
              <w:t>2.</w:t>
            </w:r>
          </w:p>
        </w:tc>
        <w:tc>
          <w:tcPr>
            <w:tcW w:w="4678" w:type="dxa"/>
          </w:tcPr>
          <w:p>
            <w:pPr>
              <w:pStyle w:val="nzTableNAm"/>
            </w:pPr>
            <w:r>
              <w:t>Issue of new certificate of registration following name change</w:t>
            </w:r>
          </w:p>
        </w:tc>
        <w:tc>
          <w:tcPr>
            <w:tcW w:w="1134" w:type="dxa"/>
            <w:vAlign w:val="bottom"/>
          </w:tcPr>
          <w:p>
            <w:pPr>
              <w:pStyle w:val="nzTableNAm"/>
              <w:jc w:val="right"/>
            </w:pPr>
            <w:r>
              <w:t>64.00</w:t>
            </w:r>
          </w:p>
        </w:tc>
      </w:tr>
      <w:tr>
        <w:trPr>
          <w:cantSplit/>
        </w:trPr>
        <w:tc>
          <w:tcPr>
            <w:tcW w:w="992" w:type="dxa"/>
          </w:tcPr>
          <w:p>
            <w:pPr>
              <w:pStyle w:val="nzTableNAm"/>
            </w:pPr>
            <w:r>
              <w:t>3.</w:t>
            </w:r>
          </w:p>
        </w:tc>
        <w:tc>
          <w:tcPr>
            <w:tcW w:w="4678" w:type="dxa"/>
          </w:tcPr>
          <w:p>
            <w:pPr>
              <w:pStyle w:val="nzTableNAm"/>
            </w:pPr>
            <w:r>
              <w:t>Provision of a certified copy of the register</w:t>
            </w:r>
          </w:p>
        </w:tc>
        <w:tc>
          <w:tcPr>
            <w:tcW w:w="1134" w:type="dxa"/>
            <w:vAlign w:val="bottom"/>
          </w:tcPr>
          <w:p>
            <w:pPr>
              <w:pStyle w:val="nzTableNAm"/>
              <w:jc w:val="right"/>
            </w:pPr>
            <w:r>
              <w:t>64.00</w:t>
            </w:r>
          </w:p>
        </w:tc>
      </w:tr>
      <w:tr>
        <w:trPr>
          <w:cantSplit/>
        </w:trPr>
        <w:tc>
          <w:tcPr>
            <w:tcW w:w="992" w:type="dxa"/>
          </w:tcPr>
          <w:p>
            <w:pPr>
              <w:pStyle w:val="nzTableNAm"/>
            </w:pPr>
            <w:r>
              <w:t>4.</w:t>
            </w:r>
          </w:p>
        </w:tc>
        <w:tc>
          <w:tcPr>
            <w:tcW w:w="4678" w:type="dxa"/>
          </w:tcPr>
          <w:p>
            <w:pPr>
              <w:pStyle w:val="nzTableNAm"/>
            </w:pPr>
            <w:r>
              <w:t>Provision of a certified copy of the register in respect of the classes of building service contractors in a specified occupation group referred to in regulation 8</w:t>
            </w:r>
          </w:p>
        </w:tc>
        <w:tc>
          <w:tcPr>
            <w:tcW w:w="1134" w:type="dxa"/>
            <w:vAlign w:val="bottom"/>
          </w:tcPr>
          <w:p>
            <w:pPr>
              <w:pStyle w:val="nzTableNAm"/>
              <w:jc w:val="right"/>
            </w:pPr>
            <w:r>
              <w:t>64.00</w:t>
            </w:r>
          </w:p>
        </w:tc>
      </w:tr>
      <w:tr>
        <w:trPr>
          <w:cantSplit/>
        </w:trPr>
        <w:tc>
          <w:tcPr>
            <w:tcW w:w="992" w:type="dxa"/>
          </w:tcPr>
          <w:p>
            <w:pPr>
              <w:pStyle w:val="nzTableNAm"/>
            </w:pPr>
            <w:r>
              <w:t>5.</w:t>
            </w:r>
          </w:p>
        </w:tc>
        <w:tc>
          <w:tcPr>
            <w:tcW w:w="4678" w:type="dxa"/>
          </w:tcPr>
          <w:p>
            <w:pPr>
              <w:pStyle w:val="nzTableNAm"/>
            </w:pPr>
            <w:r>
              <w:t>Provision of a certified copy of the entry in the register in respect of a specified building service provider on a specified day or within a specified period</w:t>
            </w:r>
          </w:p>
        </w:tc>
        <w:tc>
          <w:tcPr>
            <w:tcW w:w="1134" w:type="dxa"/>
            <w:vAlign w:val="bottom"/>
          </w:tcPr>
          <w:p>
            <w:pPr>
              <w:pStyle w:val="nzTableNAm"/>
              <w:jc w:val="right"/>
            </w:pPr>
            <w:r>
              <w:t>64.00</w:t>
            </w:r>
          </w:p>
        </w:tc>
      </w:tr>
      <w:tr>
        <w:trPr>
          <w:cantSplit/>
        </w:trPr>
        <w:tc>
          <w:tcPr>
            <w:tcW w:w="992" w:type="dxa"/>
          </w:tcPr>
          <w:p>
            <w:pPr>
              <w:pStyle w:val="nzTableNAm"/>
            </w:pPr>
            <w:r>
              <w:t>6.</w:t>
            </w:r>
          </w:p>
        </w:tc>
        <w:tc>
          <w:tcPr>
            <w:tcW w:w="4678" w:type="dxa"/>
          </w:tcPr>
          <w:p>
            <w:pPr>
              <w:pStyle w:val="nzTableNAm"/>
            </w:pPr>
            <w:r>
              <w:t xml:space="preserve">Provision of a certified copy of entries that have been added to, or deleted from, the register after a specified day </w:t>
            </w:r>
          </w:p>
        </w:tc>
        <w:tc>
          <w:tcPr>
            <w:tcW w:w="1134" w:type="dxa"/>
            <w:vAlign w:val="bottom"/>
          </w:tcPr>
          <w:p>
            <w:pPr>
              <w:pStyle w:val="nzTableNAm"/>
              <w:jc w:val="right"/>
            </w:pPr>
            <w:r>
              <w:t>64.00</w:t>
            </w:r>
          </w:p>
        </w:tc>
      </w:tr>
    </w:tbl>
    <w:p>
      <w:pPr>
        <w:pStyle w:val="nzHeading3"/>
      </w:pPr>
      <w:r>
        <w:t>Division 2 — Builders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nzTableNAm"/>
              <w:rPr>
                <w:b/>
              </w:rPr>
            </w:pPr>
            <w:r>
              <w:rPr>
                <w:b/>
              </w:rPr>
              <w:t>Item</w:t>
            </w:r>
          </w:p>
        </w:tc>
        <w:tc>
          <w:tcPr>
            <w:tcW w:w="4678" w:type="dxa"/>
          </w:tcPr>
          <w:p>
            <w:pPr>
              <w:pStyle w:val="nzTableNAm"/>
              <w:rPr>
                <w:b/>
              </w:rPr>
            </w:pPr>
            <w:r>
              <w:rPr>
                <w:b/>
              </w:rPr>
              <w:t>Description of fee</w:t>
            </w:r>
          </w:p>
        </w:tc>
        <w:tc>
          <w:tcPr>
            <w:tcW w:w="1134" w:type="dxa"/>
            <w:vAlign w:val="center"/>
          </w:tcPr>
          <w:p>
            <w:pPr>
              <w:pStyle w:val="nzTableNAm"/>
              <w:jc w:val="center"/>
              <w:rPr>
                <w:b/>
              </w:rPr>
            </w:pPr>
            <w:r>
              <w:rPr>
                <w:b/>
              </w:rPr>
              <w:t>Fee ($)</w:t>
            </w:r>
          </w:p>
        </w:tc>
      </w:tr>
      <w:tr>
        <w:trPr>
          <w:cantSplit/>
        </w:trPr>
        <w:tc>
          <w:tcPr>
            <w:tcW w:w="992" w:type="dxa"/>
          </w:tcPr>
          <w:p>
            <w:pPr>
              <w:pStyle w:val="nzTableNAm"/>
            </w:pPr>
            <w:r>
              <w:t>1.</w:t>
            </w:r>
          </w:p>
        </w:tc>
        <w:tc>
          <w:tcPr>
            <w:tcW w:w="4678" w:type="dxa"/>
          </w:tcPr>
          <w:p>
            <w:pPr>
              <w:pStyle w:val="nzTableNAm"/>
            </w:pPr>
            <w:r>
              <w:t>Application for registration as building practitioner</w:t>
            </w:r>
          </w:p>
        </w:tc>
        <w:tc>
          <w:tcPr>
            <w:tcW w:w="1134" w:type="dxa"/>
            <w:vAlign w:val="bottom"/>
          </w:tcPr>
          <w:p>
            <w:pPr>
              <w:pStyle w:val="nzTableNAm"/>
              <w:jc w:val="right"/>
            </w:pPr>
            <w:r>
              <w:t>224.00</w:t>
            </w:r>
          </w:p>
        </w:tc>
      </w:tr>
      <w:tr>
        <w:trPr>
          <w:cantSplit/>
        </w:trPr>
        <w:tc>
          <w:tcPr>
            <w:tcW w:w="992" w:type="dxa"/>
          </w:tcPr>
          <w:p>
            <w:pPr>
              <w:pStyle w:val="nzTableNAm"/>
            </w:pPr>
            <w:r>
              <w:t>2.</w:t>
            </w:r>
          </w:p>
        </w:tc>
        <w:tc>
          <w:tcPr>
            <w:tcW w:w="4678" w:type="dxa"/>
          </w:tcPr>
          <w:p>
            <w:pPr>
              <w:pStyle w:val="nzTableNAm"/>
            </w:pPr>
            <w:r>
              <w:t>Application for registration as building contractor (individual)</w:t>
            </w:r>
          </w:p>
        </w:tc>
        <w:tc>
          <w:tcPr>
            <w:tcW w:w="1134" w:type="dxa"/>
            <w:vAlign w:val="bottom"/>
          </w:tcPr>
          <w:p>
            <w:pPr>
              <w:pStyle w:val="nzTableNAm"/>
              <w:jc w:val="right"/>
            </w:pPr>
            <w:r>
              <w:t>224.00</w:t>
            </w:r>
          </w:p>
        </w:tc>
      </w:tr>
      <w:tr>
        <w:trPr>
          <w:cantSplit/>
        </w:trPr>
        <w:tc>
          <w:tcPr>
            <w:tcW w:w="992" w:type="dxa"/>
          </w:tcPr>
          <w:p>
            <w:pPr>
              <w:pStyle w:val="nzTableNAm"/>
            </w:pPr>
            <w:r>
              <w:t>3.</w:t>
            </w:r>
          </w:p>
        </w:tc>
        <w:tc>
          <w:tcPr>
            <w:tcW w:w="4678" w:type="dxa"/>
          </w:tcPr>
          <w:p>
            <w:pPr>
              <w:pStyle w:val="nzTableNAm"/>
            </w:pPr>
            <w:r>
              <w:t>Application for registration as building contractor (partnership)</w:t>
            </w:r>
          </w:p>
        </w:tc>
        <w:tc>
          <w:tcPr>
            <w:tcW w:w="1134" w:type="dxa"/>
            <w:vAlign w:val="bottom"/>
          </w:tcPr>
          <w:p>
            <w:pPr>
              <w:pStyle w:val="nzTableNAm"/>
              <w:jc w:val="right"/>
            </w:pPr>
            <w:r>
              <w:t>368.00</w:t>
            </w:r>
          </w:p>
        </w:tc>
      </w:tr>
      <w:tr>
        <w:trPr>
          <w:cantSplit/>
        </w:trPr>
        <w:tc>
          <w:tcPr>
            <w:tcW w:w="992" w:type="dxa"/>
          </w:tcPr>
          <w:p>
            <w:pPr>
              <w:pStyle w:val="nzTableNAm"/>
            </w:pPr>
            <w:r>
              <w:t>4.</w:t>
            </w:r>
          </w:p>
        </w:tc>
        <w:tc>
          <w:tcPr>
            <w:tcW w:w="4678" w:type="dxa"/>
          </w:tcPr>
          <w:p>
            <w:pPr>
              <w:pStyle w:val="nzTableNAm"/>
            </w:pPr>
            <w:r>
              <w:t>Application for registration as building contractor (company)</w:t>
            </w:r>
          </w:p>
        </w:tc>
        <w:tc>
          <w:tcPr>
            <w:tcW w:w="1134" w:type="dxa"/>
            <w:vAlign w:val="bottom"/>
          </w:tcPr>
          <w:p>
            <w:pPr>
              <w:pStyle w:val="nzTableNAm"/>
              <w:jc w:val="right"/>
            </w:pPr>
            <w:r>
              <w:t>368.00</w:t>
            </w:r>
          </w:p>
        </w:tc>
      </w:tr>
      <w:tr>
        <w:trPr>
          <w:cantSplit/>
        </w:trPr>
        <w:tc>
          <w:tcPr>
            <w:tcW w:w="992" w:type="dxa"/>
          </w:tcPr>
          <w:p>
            <w:pPr>
              <w:pStyle w:val="nzTableNAm"/>
            </w:pPr>
            <w:r>
              <w:t>5.</w:t>
            </w:r>
          </w:p>
        </w:tc>
        <w:tc>
          <w:tcPr>
            <w:tcW w:w="4678" w:type="dxa"/>
          </w:tcPr>
          <w:p>
            <w:pPr>
              <w:pStyle w:val="nzTableNAm"/>
            </w:pPr>
            <w:r>
              <w:t>Registration fee for building practitioner (3 years)</w:t>
            </w:r>
          </w:p>
        </w:tc>
        <w:tc>
          <w:tcPr>
            <w:tcW w:w="1134" w:type="dxa"/>
            <w:vAlign w:val="bottom"/>
          </w:tcPr>
          <w:p>
            <w:pPr>
              <w:pStyle w:val="nzTableNAm"/>
              <w:jc w:val="right"/>
            </w:pPr>
            <w:r>
              <w:t>645.00</w:t>
            </w:r>
          </w:p>
        </w:tc>
      </w:tr>
      <w:tr>
        <w:trPr>
          <w:cantSplit/>
        </w:trPr>
        <w:tc>
          <w:tcPr>
            <w:tcW w:w="992" w:type="dxa"/>
          </w:tcPr>
          <w:p>
            <w:pPr>
              <w:pStyle w:val="nzTableNAm"/>
            </w:pPr>
            <w:r>
              <w:t>6.</w:t>
            </w:r>
          </w:p>
        </w:tc>
        <w:tc>
          <w:tcPr>
            <w:tcW w:w="4678" w:type="dxa"/>
          </w:tcPr>
          <w:p>
            <w:pPr>
              <w:pStyle w:val="nzTableNAm"/>
            </w:pPr>
            <w:r>
              <w:t>Registration fee for building contractor (individual) (3 years)</w:t>
            </w:r>
          </w:p>
        </w:tc>
        <w:tc>
          <w:tcPr>
            <w:tcW w:w="1134" w:type="dxa"/>
            <w:vAlign w:val="bottom"/>
          </w:tcPr>
          <w:p>
            <w:pPr>
              <w:pStyle w:val="nzTableNAm"/>
              <w:jc w:val="right"/>
            </w:pPr>
            <w:r>
              <w:t>431.00</w:t>
            </w:r>
          </w:p>
        </w:tc>
      </w:tr>
      <w:tr>
        <w:trPr>
          <w:cantSplit/>
        </w:trPr>
        <w:tc>
          <w:tcPr>
            <w:tcW w:w="992" w:type="dxa"/>
          </w:tcPr>
          <w:p>
            <w:pPr>
              <w:pStyle w:val="nzTableNAm"/>
            </w:pPr>
            <w:r>
              <w:t>7.</w:t>
            </w:r>
          </w:p>
        </w:tc>
        <w:tc>
          <w:tcPr>
            <w:tcW w:w="4678" w:type="dxa"/>
          </w:tcPr>
          <w:p>
            <w:pPr>
              <w:pStyle w:val="nzTableNAm"/>
            </w:pPr>
            <w:r>
              <w:t>Registration fee for building contractor (partnership) (3 years)</w:t>
            </w:r>
          </w:p>
        </w:tc>
        <w:tc>
          <w:tcPr>
            <w:tcW w:w="1134" w:type="dxa"/>
            <w:vAlign w:val="bottom"/>
          </w:tcPr>
          <w:p>
            <w:pPr>
              <w:pStyle w:val="nzTableNAm"/>
              <w:jc w:val="right"/>
            </w:pPr>
            <w:r>
              <w:t>1 447.00</w:t>
            </w:r>
          </w:p>
        </w:tc>
      </w:tr>
      <w:tr>
        <w:trPr>
          <w:cantSplit/>
        </w:trPr>
        <w:tc>
          <w:tcPr>
            <w:tcW w:w="992" w:type="dxa"/>
          </w:tcPr>
          <w:p>
            <w:pPr>
              <w:pStyle w:val="nzTableNAm"/>
            </w:pPr>
            <w:r>
              <w:t>8.</w:t>
            </w:r>
          </w:p>
        </w:tc>
        <w:tc>
          <w:tcPr>
            <w:tcW w:w="4678" w:type="dxa"/>
          </w:tcPr>
          <w:p>
            <w:pPr>
              <w:pStyle w:val="nzTableNAm"/>
            </w:pPr>
            <w:r>
              <w:t>Registration fee for building contractor (company) (3 years)</w:t>
            </w:r>
          </w:p>
        </w:tc>
        <w:tc>
          <w:tcPr>
            <w:tcW w:w="1134" w:type="dxa"/>
            <w:vAlign w:val="bottom"/>
          </w:tcPr>
          <w:p>
            <w:pPr>
              <w:pStyle w:val="nzTableNAm"/>
              <w:jc w:val="right"/>
            </w:pPr>
            <w:r>
              <w:t>3 136.75</w:t>
            </w:r>
          </w:p>
        </w:tc>
      </w:tr>
      <w:tr>
        <w:trPr>
          <w:cantSplit/>
        </w:trPr>
        <w:tc>
          <w:tcPr>
            <w:tcW w:w="992" w:type="dxa"/>
          </w:tcPr>
          <w:p>
            <w:pPr>
              <w:pStyle w:val="nzTableNAm"/>
            </w:pPr>
            <w:r>
              <w:t>9.</w:t>
            </w:r>
          </w:p>
        </w:tc>
        <w:tc>
          <w:tcPr>
            <w:tcW w:w="4678" w:type="dxa"/>
          </w:tcPr>
          <w:p>
            <w:pPr>
              <w:pStyle w:val="nzTableNAm"/>
            </w:pPr>
            <w:r>
              <w:t>Late fee for application for renewal made after renewal period</w:t>
            </w:r>
          </w:p>
        </w:tc>
        <w:tc>
          <w:tcPr>
            <w:tcW w:w="1134" w:type="dxa"/>
            <w:vAlign w:val="bottom"/>
          </w:tcPr>
          <w:p>
            <w:pPr>
              <w:pStyle w:val="nzTableNAm"/>
              <w:jc w:val="right"/>
            </w:pPr>
            <w:r>
              <w:rPr>
                <w:color w:val="000000"/>
              </w:rPr>
              <w:t>60.00</w:t>
            </w:r>
          </w:p>
        </w:tc>
      </w:tr>
      <w:tr>
        <w:trPr>
          <w:cantSplit/>
        </w:trPr>
        <w:tc>
          <w:tcPr>
            <w:tcW w:w="992" w:type="dxa"/>
          </w:tcPr>
          <w:p>
            <w:pPr>
              <w:pStyle w:val="nzTableNAm"/>
            </w:pPr>
            <w:r>
              <w:t>10.</w:t>
            </w:r>
          </w:p>
        </w:tc>
        <w:tc>
          <w:tcPr>
            <w:tcW w:w="4678" w:type="dxa"/>
          </w:tcPr>
          <w:p>
            <w:pPr>
              <w:pStyle w:val="nzTableNAm"/>
            </w:pPr>
            <w:r>
              <w:t>Fee for sitting an examination — metropolitan area</w:t>
            </w:r>
          </w:p>
        </w:tc>
        <w:tc>
          <w:tcPr>
            <w:tcW w:w="1134" w:type="dxa"/>
            <w:vAlign w:val="bottom"/>
          </w:tcPr>
          <w:p>
            <w:pPr>
              <w:pStyle w:val="nzTableNAm"/>
              <w:jc w:val="right"/>
            </w:pPr>
            <w:r>
              <w:rPr>
                <w:color w:val="000000"/>
              </w:rPr>
              <w:t>202.00</w:t>
            </w:r>
          </w:p>
        </w:tc>
      </w:tr>
      <w:tr>
        <w:trPr>
          <w:cantSplit/>
        </w:trPr>
        <w:tc>
          <w:tcPr>
            <w:tcW w:w="992" w:type="dxa"/>
          </w:tcPr>
          <w:p>
            <w:pPr>
              <w:pStyle w:val="nzTableNAm"/>
            </w:pPr>
            <w:r>
              <w:t>11.</w:t>
            </w:r>
          </w:p>
        </w:tc>
        <w:tc>
          <w:tcPr>
            <w:tcW w:w="4678" w:type="dxa"/>
          </w:tcPr>
          <w:p>
            <w:pPr>
              <w:pStyle w:val="nzTableNAm"/>
            </w:pPr>
            <w:r>
              <w:t>Fee for marking an examination sat outside metropolitan area</w:t>
            </w:r>
          </w:p>
        </w:tc>
        <w:tc>
          <w:tcPr>
            <w:tcW w:w="1134" w:type="dxa"/>
            <w:vAlign w:val="bottom"/>
          </w:tcPr>
          <w:p>
            <w:pPr>
              <w:pStyle w:val="nzTableNAm"/>
              <w:jc w:val="right"/>
            </w:pPr>
            <w:r>
              <w:rPr>
                <w:color w:val="000000"/>
              </w:rPr>
              <w:t>61.50</w:t>
            </w:r>
          </w:p>
        </w:tc>
      </w:tr>
    </w:tbl>
    <w:p>
      <w:pPr>
        <w:pStyle w:val="nzHeading3"/>
      </w:pPr>
      <w:r>
        <w:t>Division 3 — Owner</w:t>
      </w:r>
      <w:r>
        <w:noBreakHyphen/>
        <w:t>builders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nzTableNAm"/>
              <w:keepNext/>
              <w:rPr>
                <w:b/>
              </w:rPr>
            </w:pPr>
            <w:r>
              <w:rPr>
                <w:b/>
              </w:rPr>
              <w:t>Item</w:t>
            </w:r>
          </w:p>
        </w:tc>
        <w:tc>
          <w:tcPr>
            <w:tcW w:w="4678" w:type="dxa"/>
          </w:tcPr>
          <w:p>
            <w:pPr>
              <w:pStyle w:val="nzTableNAm"/>
              <w:keepNext/>
              <w:rPr>
                <w:b/>
              </w:rPr>
            </w:pPr>
            <w:r>
              <w:rPr>
                <w:b/>
              </w:rPr>
              <w:t>Description of fee</w:t>
            </w:r>
          </w:p>
        </w:tc>
        <w:tc>
          <w:tcPr>
            <w:tcW w:w="1134" w:type="dxa"/>
            <w:vAlign w:val="center"/>
          </w:tcPr>
          <w:p>
            <w:pPr>
              <w:pStyle w:val="nzTableNAm"/>
              <w:keepNext/>
              <w:rPr>
                <w:b/>
              </w:rPr>
            </w:pPr>
            <w:r>
              <w:rPr>
                <w:b/>
              </w:rPr>
              <w:t xml:space="preserve">   Fee ($)</w:t>
            </w:r>
          </w:p>
        </w:tc>
      </w:tr>
      <w:tr>
        <w:tc>
          <w:tcPr>
            <w:tcW w:w="992" w:type="dxa"/>
          </w:tcPr>
          <w:p>
            <w:pPr>
              <w:pStyle w:val="nzTableNAm"/>
            </w:pPr>
            <w:r>
              <w:t>1.</w:t>
            </w:r>
          </w:p>
        </w:tc>
        <w:tc>
          <w:tcPr>
            <w:tcW w:w="4678" w:type="dxa"/>
          </w:tcPr>
          <w:p>
            <w:pPr>
              <w:pStyle w:val="nzTableNAm"/>
            </w:pPr>
            <w:r>
              <w:t>Application for owner</w:t>
            </w:r>
            <w:r>
              <w:noBreakHyphen/>
              <w:t>builder approval (residential)</w:t>
            </w:r>
          </w:p>
        </w:tc>
        <w:tc>
          <w:tcPr>
            <w:tcW w:w="1134" w:type="dxa"/>
            <w:vAlign w:val="bottom"/>
          </w:tcPr>
          <w:p>
            <w:pPr>
              <w:pStyle w:val="nzTableNAm"/>
              <w:jc w:val="right"/>
              <w:rPr>
                <w:color w:val="000000"/>
              </w:rPr>
            </w:pPr>
            <w:r>
              <w:rPr>
                <w:color w:val="000000"/>
              </w:rPr>
              <w:t>174.00</w:t>
            </w:r>
          </w:p>
        </w:tc>
      </w:tr>
      <w:tr>
        <w:tc>
          <w:tcPr>
            <w:tcW w:w="992" w:type="dxa"/>
          </w:tcPr>
          <w:p>
            <w:pPr>
              <w:pStyle w:val="nzTableNAm"/>
            </w:pPr>
            <w:r>
              <w:t>2.</w:t>
            </w:r>
          </w:p>
        </w:tc>
        <w:tc>
          <w:tcPr>
            <w:tcW w:w="4678" w:type="dxa"/>
          </w:tcPr>
          <w:p>
            <w:pPr>
              <w:pStyle w:val="nzTableNAm"/>
            </w:pPr>
            <w:r>
              <w:t>Application for owner</w:t>
            </w:r>
            <w:r>
              <w:noBreakHyphen/>
              <w:t>builder approval (commercial)</w:t>
            </w:r>
          </w:p>
        </w:tc>
        <w:tc>
          <w:tcPr>
            <w:tcW w:w="1134" w:type="dxa"/>
            <w:vAlign w:val="bottom"/>
          </w:tcPr>
          <w:p>
            <w:pPr>
              <w:pStyle w:val="nzTableNAm"/>
              <w:jc w:val="right"/>
              <w:rPr>
                <w:color w:val="000000"/>
              </w:rPr>
            </w:pPr>
            <w:r>
              <w:rPr>
                <w:color w:val="000000"/>
              </w:rPr>
              <w:t>467.00</w:t>
            </w:r>
          </w:p>
        </w:tc>
      </w:tr>
    </w:tbl>
    <w:p>
      <w:pPr>
        <w:pStyle w:val="nzHeading3"/>
      </w:pPr>
      <w:r>
        <w:t>Division 4 — Building surveyors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nzTableNAm"/>
              <w:rPr>
                <w:b/>
              </w:rPr>
            </w:pPr>
            <w:r>
              <w:rPr>
                <w:b/>
              </w:rPr>
              <w:t>Item</w:t>
            </w:r>
          </w:p>
        </w:tc>
        <w:tc>
          <w:tcPr>
            <w:tcW w:w="4678" w:type="dxa"/>
          </w:tcPr>
          <w:p>
            <w:pPr>
              <w:pStyle w:val="nzTableNAm"/>
              <w:rPr>
                <w:b/>
              </w:rPr>
            </w:pPr>
            <w:r>
              <w:rPr>
                <w:b/>
              </w:rPr>
              <w:t>Description of fee</w:t>
            </w:r>
          </w:p>
        </w:tc>
        <w:tc>
          <w:tcPr>
            <w:tcW w:w="1134" w:type="dxa"/>
            <w:vAlign w:val="center"/>
          </w:tcPr>
          <w:p>
            <w:pPr>
              <w:pStyle w:val="nzTableNAm"/>
              <w:jc w:val="right"/>
              <w:rPr>
                <w:b/>
              </w:rPr>
            </w:pPr>
            <w:r>
              <w:rPr>
                <w:b/>
              </w:rPr>
              <w:t>Fee ($)</w:t>
            </w:r>
          </w:p>
        </w:tc>
      </w:tr>
      <w:tr>
        <w:trPr>
          <w:cantSplit/>
        </w:trPr>
        <w:tc>
          <w:tcPr>
            <w:tcW w:w="992" w:type="dxa"/>
          </w:tcPr>
          <w:p>
            <w:pPr>
              <w:pStyle w:val="nzTableNAm"/>
            </w:pPr>
            <w:r>
              <w:t>1.</w:t>
            </w:r>
          </w:p>
        </w:tc>
        <w:tc>
          <w:tcPr>
            <w:tcW w:w="4678" w:type="dxa"/>
          </w:tcPr>
          <w:p>
            <w:pPr>
              <w:pStyle w:val="nzTableNAm"/>
            </w:pPr>
            <w:r>
              <w:t>Application for registration as building surveying practitioner level 1 or level 2</w:t>
            </w:r>
          </w:p>
        </w:tc>
        <w:tc>
          <w:tcPr>
            <w:tcW w:w="1134" w:type="dxa"/>
            <w:vAlign w:val="bottom"/>
          </w:tcPr>
          <w:p>
            <w:pPr>
              <w:pStyle w:val="nzTableNAm"/>
              <w:jc w:val="right"/>
            </w:pPr>
            <w:r>
              <w:t>118.00</w:t>
            </w:r>
          </w:p>
        </w:tc>
      </w:tr>
      <w:tr>
        <w:trPr>
          <w:cantSplit/>
        </w:trPr>
        <w:tc>
          <w:tcPr>
            <w:tcW w:w="992" w:type="dxa"/>
          </w:tcPr>
          <w:p>
            <w:pPr>
              <w:pStyle w:val="nzTableNAm"/>
            </w:pPr>
            <w:r>
              <w:t>2.</w:t>
            </w:r>
          </w:p>
        </w:tc>
        <w:tc>
          <w:tcPr>
            <w:tcW w:w="4678" w:type="dxa"/>
          </w:tcPr>
          <w:p>
            <w:pPr>
              <w:pStyle w:val="nzTableNAm"/>
            </w:pPr>
            <w:r>
              <w:t>Application for registration as building surveying practitioner technician</w:t>
            </w:r>
          </w:p>
        </w:tc>
        <w:tc>
          <w:tcPr>
            <w:tcW w:w="1134" w:type="dxa"/>
            <w:vAlign w:val="bottom"/>
          </w:tcPr>
          <w:p>
            <w:pPr>
              <w:pStyle w:val="nzTableNAm"/>
              <w:jc w:val="right"/>
            </w:pPr>
            <w:r>
              <w:t>58.50</w:t>
            </w:r>
          </w:p>
        </w:tc>
      </w:tr>
      <w:tr>
        <w:trPr>
          <w:cantSplit/>
        </w:trPr>
        <w:tc>
          <w:tcPr>
            <w:tcW w:w="992" w:type="dxa"/>
          </w:tcPr>
          <w:p>
            <w:pPr>
              <w:pStyle w:val="nzTableNAm"/>
            </w:pPr>
            <w:r>
              <w:t>3.</w:t>
            </w:r>
          </w:p>
        </w:tc>
        <w:tc>
          <w:tcPr>
            <w:tcW w:w="4678" w:type="dxa"/>
          </w:tcPr>
          <w:p>
            <w:pPr>
              <w:pStyle w:val="nzTableNAm"/>
            </w:pPr>
            <w:r>
              <w:t>Application for registration as building surveying contractor level 1 or level 2 (individual)</w:t>
            </w:r>
          </w:p>
        </w:tc>
        <w:tc>
          <w:tcPr>
            <w:tcW w:w="1134" w:type="dxa"/>
            <w:vAlign w:val="bottom"/>
          </w:tcPr>
          <w:p>
            <w:pPr>
              <w:pStyle w:val="nzTableNAm"/>
              <w:jc w:val="right"/>
            </w:pPr>
            <w:r>
              <w:t>78.50</w:t>
            </w:r>
          </w:p>
        </w:tc>
      </w:tr>
      <w:tr>
        <w:trPr>
          <w:cantSplit/>
        </w:trPr>
        <w:tc>
          <w:tcPr>
            <w:tcW w:w="992" w:type="dxa"/>
          </w:tcPr>
          <w:p>
            <w:pPr>
              <w:pStyle w:val="nzTableNAm"/>
            </w:pPr>
            <w:r>
              <w:t>4.</w:t>
            </w:r>
          </w:p>
        </w:tc>
        <w:tc>
          <w:tcPr>
            <w:tcW w:w="4678" w:type="dxa"/>
          </w:tcPr>
          <w:p>
            <w:pPr>
              <w:pStyle w:val="nzTableNAm"/>
            </w:pPr>
            <w:r>
              <w:t>Application for registration as building surveying contractor level 1 or level 2 (partnership)</w:t>
            </w:r>
          </w:p>
        </w:tc>
        <w:tc>
          <w:tcPr>
            <w:tcW w:w="1134" w:type="dxa"/>
            <w:vAlign w:val="bottom"/>
          </w:tcPr>
          <w:p>
            <w:pPr>
              <w:pStyle w:val="nzTableNAm"/>
              <w:jc w:val="right"/>
            </w:pPr>
            <w:r>
              <w:t>75.00</w:t>
            </w:r>
          </w:p>
        </w:tc>
      </w:tr>
      <w:tr>
        <w:trPr>
          <w:cantSplit/>
        </w:trPr>
        <w:tc>
          <w:tcPr>
            <w:tcW w:w="992" w:type="dxa"/>
          </w:tcPr>
          <w:p>
            <w:pPr>
              <w:pStyle w:val="nzTableNAm"/>
            </w:pPr>
            <w:r>
              <w:t>5.</w:t>
            </w:r>
          </w:p>
        </w:tc>
        <w:tc>
          <w:tcPr>
            <w:tcW w:w="4678" w:type="dxa"/>
          </w:tcPr>
          <w:p>
            <w:pPr>
              <w:pStyle w:val="nzTableNAm"/>
            </w:pPr>
            <w:r>
              <w:t>Application for registration as building surveying contractor level 1 or level 2 (company)</w:t>
            </w:r>
          </w:p>
        </w:tc>
        <w:tc>
          <w:tcPr>
            <w:tcW w:w="1134" w:type="dxa"/>
            <w:vAlign w:val="bottom"/>
          </w:tcPr>
          <w:p>
            <w:pPr>
              <w:pStyle w:val="nzTableNAm"/>
              <w:jc w:val="right"/>
            </w:pPr>
            <w:r>
              <w:t>78.50</w:t>
            </w:r>
          </w:p>
        </w:tc>
      </w:tr>
      <w:tr>
        <w:trPr>
          <w:cantSplit/>
        </w:trPr>
        <w:tc>
          <w:tcPr>
            <w:tcW w:w="992" w:type="dxa"/>
          </w:tcPr>
          <w:p>
            <w:pPr>
              <w:pStyle w:val="nzTableNAm"/>
            </w:pPr>
            <w:r>
              <w:t>6.</w:t>
            </w:r>
          </w:p>
        </w:tc>
        <w:tc>
          <w:tcPr>
            <w:tcW w:w="4678" w:type="dxa"/>
          </w:tcPr>
          <w:p>
            <w:pPr>
              <w:pStyle w:val="nzTableNAm"/>
            </w:pPr>
            <w:r>
              <w:t>Registration fee for building surveying practitioner technician (3 years)</w:t>
            </w:r>
          </w:p>
        </w:tc>
        <w:tc>
          <w:tcPr>
            <w:tcW w:w="1134" w:type="dxa"/>
            <w:vAlign w:val="bottom"/>
          </w:tcPr>
          <w:p>
            <w:pPr>
              <w:pStyle w:val="nzTableNAm"/>
              <w:jc w:val="right"/>
            </w:pPr>
            <w:r>
              <w:t>505.00</w:t>
            </w:r>
          </w:p>
        </w:tc>
      </w:tr>
      <w:tr>
        <w:trPr>
          <w:cantSplit/>
        </w:trPr>
        <w:tc>
          <w:tcPr>
            <w:tcW w:w="992" w:type="dxa"/>
          </w:tcPr>
          <w:p>
            <w:pPr>
              <w:pStyle w:val="nzTableNAm"/>
            </w:pPr>
            <w:r>
              <w:t>7.</w:t>
            </w:r>
          </w:p>
        </w:tc>
        <w:tc>
          <w:tcPr>
            <w:tcW w:w="4678" w:type="dxa"/>
          </w:tcPr>
          <w:p>
            <w:pPr>
              <w:pStyle w:val="nzTableNAm"/>
            </w:pPr>
            <w:r>
              <w:t>Registration fee for building surveying practitioner level 1 or level 2 (3 years)</w:t>
            </w:r>
          </w:p>
        </w:tc>
        <w:tc>
          <w:tcPr>
            <w:tcW w:w="1134" w:type="dxa"/>
            <w:vAlign w:val="bottom"/>
          </w:tcPr>
          <w:p>
            <w:pPr>
              <w:pStyle w:val="nzTableNAm"/>
              <w:jc w:val="right"/>
            </w:pPr>
            <w:r>
              <w:t>974.00</w:t>
            </w:r>
          </w:p>
        </w:tc>
      </w:tr>
      <w:tr>
        <w:trPr>
          <w:cantSplit/>
        </w:trPr>
        <w:tc>
          <w:tcPr>
            <w:tcW w:w="992" w:type="dxa"/>
          </w:tcPr>
          <w:p>
            <w:pPr>
              <w:pStyle w:val="nzTableNAm"/>
            </w:pPr>
            <w:r>
              <w:t>8.</w:t>
            </w:r>
          </w:p>
        </w:tc>
        <w:tc>
          <w:tcPr>
            <w:tcW w:w="4678" w:type="dxa"/>
          </w:tcPr>
          <w:p>
            <w:pPr>
              <w:pStyle w:val="nzTableNAm"/>
            </w:pPr>
            <w:r>
              <w:t>Registration fee for building surveying contractor level 1 or level 2 (individual) (3 years)</w:t>
            </w:r>
          </w:p>
        </w:tc>
        <w:tc>
          <w:tcPr>
            <w:tcW w:w="1134" w:type="dxa"/>
            <w:vAlign w:val="bottom"/>
          </w:tcPr>
          <w:p>
            <w:pPr>
              <w:pStyle w:val="nzTableNAm"/>
              <w:jc w:val="right"/>
            </w:pPr>
            <w:r>
              <w:t>680.00</w:t>
            </w:r>
          </w:p>
        </w:tc>
      </w:tr>
      <w:tr>
        <w:trPr>
          <w:cantSplit/>
        </w:trPr>
        <w:tc>
          <w:tcPr>
            <w:tcW w:w="992" w:type="dxa"/>
          </w:tcPr>
          <w:p>
            <w:pPr>
              <w:pStyle w:val="nzTableNAm"/>
            </w:pPr>
            <w:r>
              <w:t>9.</w:t>
            </w:r>
          </w:p>
        </w:tc>
        <w:tc>
          <w:tcPr>
            <w:tcW w:w="4678" w:type="dxa"/>
          </w:tcPr>
          <w:p>
            <w:pPr>
              <w:pStyle w:val="nzTableNAm"/>
            </w:pPr>
            <w:r>
              <w:t>Registration fee for building surveying contractor level 1 or level 2 (partnership) (3 years)</w:t>
            </w:r>
          </w:p>
        </w:tc>
        <w:tc>
          <w:tcPr>
            <w:tcW w:w="1134" w:type="dxa"/>
            <w:vAlign w:val="bottom"/>
          </w:tcPr>
          <w:p>
            <w:pPr>
              <w:pStyle w:val="nzTableNAm"/>
              <w:jc w:val="right"/>
            </w:pPr>
            <w:r>
              <w:t>1 621.00</w:t>
            </w:r>
          </w:p>
        </w:tc>
      </w:tr>
      <w:tr>
        <w:trPr>
          <w:cantSplit/>
        </w:trPr>
        <w:tc>
          <w:tcPr>
            <w:tcW w:w="992" w:type="dxa"/>
          </w:tcPr>
          <w:p>
            <w:pPr>
              <w:pStyle w:val="nzTableNAm"/>
            </w:pPr>
            <w:r>
              <w:t>10.</w:t>
            </w:r>
          </w:p>
        </w:tc>
        <w:tc>
          <w:tcPr>
            <w:tcW w:w="4678" w:type="dxa"/>
          </w:tcPr>
          <w:p>
            <w:pPr>
              <w:pStyle w:val="nzTableNAm"/>
            </w:pPr>
            <w:r>
              <w:t>Registration fee for building surveying contractor level 1 or level 2 (company) (3 years)</w:t>
            </w:r>
          </w:p>
        </w:tc>
        <w:tc>
          <w:tcPr>
            <w:tcW w:w="1134" w:type="dxa"/>
            <w:vAlign w:val="bottom"/>
          </w:tcPr>
          <w:p>
            <w:pPr>
              <w:pStyle w:val="nzTableNAm"/>
              <w:jc w:val="right"/>
            </w:pPr>
            <w:r>
              <w:t>2 218.00</w:t>
            </w:r>
          </w:p>
        </w:tc>
      </w:tr>
      <w:tr>
        <w:trPr>
          <w:cantSplit/>
        </w:trPr>
        <w:tc>
          <w:tcPr>
            <w:tcW w:w="992" w:type="dxa"/>
          </w:tcPr>
          <w:p>
            <w:pPr>
              <w:pStyle w:val="nzTableNAm"/>
            </w:pPr>
            <w:r>
              <w:t>11.</w:t>
            </w:r>
          </w:p>
        </w:tc>
        <w:tc>
          <w:tcPr>
            <w:tcW w:w="4678" w:type="dxa"/>
          </w:tcPr>
          <w:p>
            <w:pPr>
              <w:pStyle w:val="nzTableNAm"/>
            </w:pPr>
            <w:r>
              <w:t>Late fee for application for renewal made after renewal period</w:t>
            </w:r>
          </w:p>
        </w:tc>
        <w:tc>
          <w:tcPr>
            <w:tcW w:w="1134" w:type="dxa"/>
            <w:vAlign w:val="bottom"/>
          </w:tcPr>
          <w:p>
            <w:pPr>
              <w:pStyle w:val="nzTableNAm"/>
              <w:jc w:val="right"/>
            </w:pPr>
            <w:r>
              <w:t>57.00</w:t>
            </w:r>
          </w:p>
        </w:tc>
      </w:tr>
    </w:tbl>
    <w:p>
      <w:pPr>
        <w:pStyle w:val="nzHeading3"/>
      </w:pPr>
      <w:r>
        <w:t>Division 5 — Painters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nzTableNAm"/>
              <w:rPr>
                <w:b/>
              </w:rPr>
            </w:pPr>
            <w:r>
              <w:rPr>
                <w:b/>
              </w:rPr>
              <w:t>Item</w:t>
            </w:r>
          </w:p>
        </w:tc>
        <w:tc>
          <w:tcPr>
            <w:tcW w:w="4678" w:type="dxa"/>
          </w:tcPr>
          <w:p>
            <w:pPr>
              <w:pStyle w:val="nzTableNAm"/>
              <w:rPr>
                <w:b/>
              </w:rPr>
            </w:pPr>
            <w:r>
              <w:rPr>
                <w:b/>
              </w:rPr>
              <w:t>Description of fee</w:t>
            </w:r>
          </w:p>
        </w:tc>
        <w:tc>
          <w:tcPr>
            <w:tcW w:w="1134" w:type="dxa"/>
            <w:vAlign w:val="center"/>
          </w:tcPr>
          <w:p>
            <w:pPr>
              <w:pStyle w:val="nzTableNAm"/>
              <w:jc w:val="center"/>
              <w:rPr>
                <w:b/>
              </w:rPr>
            </w:pPr>
            <w:r>
              <w:rPr>
                <w:b/>
              </w:rPr>
              <w:t xml:space="preserve">  Fee ($)</w:t>
            </w:r>
          </w:p>
        </w:tc>
      </w:tr>
      <w:tr>
        <w:trPr>
          <w:cantSplit/>
        </w:trPr>
        <w:tc>
          <w:tcPr>
            <w:tcW w:w="992" w:type="dxa"/>
          </w:tcPr>
          <w:p>
            <w:pPr>
              <w:pStyle w:val="nzTableNAm"/>
            </w:pPr>
            <w:r>
              <w:t>1.</w:t>
            </w:r>
          </w:p>
        </w:tc>
        <w:tc>
          <w:tcPr>
            <w:tcW w:w="4678" w:type="dxa"/>
          </w:tcPr>
          <w:p>
            <w:pPr>
              <w:pStyle w:val="nzTableNAm"/>
            </w:pPr>
            <w:r>
              <w:t>Application for registration as painting practitioner</w:t>
            </w:r>
          </w:p>
        </w:tc>
        <w:tc>
          <w:tcPr>
            <w:tcW w:w="1134" w:type="dxa"/>
            <w:vAlign w:val="bottom"/>
          </w:tcPr>
          <w:p>
            <w:pPr>
              <w:pStyle w:val="nzTableNAm"/>
              <w:jc w:val="right"/>
            </w:pPr>
            <w:r>
              <w:rPr>
                <w:color w:val="000000"/>
              </w:rPr>
              <w:t>92.50</w:t>
            </w:r>
          </w:p>
        </w:tc>
      </w:tr>
      <w:tr>
        <w:trPr>
          <w:cantSplit/>
        </w:trPr>
        <w:tc>
          <w:tcPr>
            <w:tcW w:w="992" w:type="dxa"/>
          </w:tcPr>
          <w:p>
            <w:pPr>
              <w:pStyle w:val="nzTableNAm"/>
            </w:pPr>
            <w:r>
              <w:t>2.</w:t>
            </w:r>
          </w:p>
        </w:tc>
        <w:tc>
          <w:tcPr>
            <w:tcW w:w="4678" w:type="dxa"/>
          </w:tcPr>
          <w:p>
            <w:pPr>
              <w:pStyle w:val="nzTableNAm"/>
            </w:pPr>
            <w:r>
              <w:t>Application for registration as painting contractor (individual)</w:t>
            </w:r>
          </w:p>
        </w:tc>
        <w:tc>
          <w:tcPr>
            <w:tcW w:w="1134" w:type="dxa"/>
            <w:vAlign w:val="bottom"/>
          </w:tcPr>
          <w:p>
            <w:pPr>
              <w:pStyle w:val="nzTableNAm"/>
              <w:jc w:val="right"/>
            </w:pPr>
            <w:r>
              <w:rPr>
                <w:color w:val="000000"/>
              </w:rPr>
              <w:t>61.50</w:t>
            </w:r>
          </w:p>
        </w:tc>
      </w:tr>
      <w:tr>
        <w:trPr>
          <w:cantSplit/>
        </w:trPr>
        <w:tc>
          <w:tcPr>
            <w:tcW w:w="992" w:type="dxa"/>
          </w:tcPr>
          <w:p>
            <w:pPr>
              <w:pStyle w:val="nzTableNAm"/>
            </w:pPr>
            <w:r>
              <w:t>3.</w:t>
            </w:r>
          </w:p>
        </w:tc>
        <w:tc>
          <w:tcPr>
            <w:tcW w:w="4678" w:type="dxa"/>
          </w:tcPr>
          <w:p>
            <w:pPr>
              <w:pStyle w:val="nzTableNAm"/>
            </w:pPr>
            <w:r>
              <w:t>Application for registration as painting contractor (partnership)</w:t>
            </w:r>
          </w:p>
        </w:tc>
        <w:tc>
          <w:tcPr>
            <w:tcW w:w="1134" w:type="dxa"/>
            <w:vAlign w:val="bottom"/>
          </w:tcPr>
          <w:p>
            <w:pPr>
              <w:pStyle w:val="nzTableNAm"/>
              <w:jc w:val="right"/>
            </w:pPr>
            <w:r>
              <w:rPr>
                <w:color w:val="000000"/>
              </w:rPr>
              <w:t>150.00</w:t>
            </w:r>
          </w:p>
        </w:tc>
      </w:tr>
      <w:tr>
        <w:trPr>
          <w:cantSplit/>
        </w:trPr>
        <w:tc>
          <w:tcPr>
            <w:tcW w:w="992" w:type="dxa"/>
          </w:tcPr>
          <w:p>
            <w:pPr>
              <w:pStyle w:val="nzTableNAm"/>
            </w:pPr>
            <w:r>
              <w:t>4.</w:t>
            </w:r>
          </w:p>
        </w:tc>
        <w:tc>
          <w:tcPr>
            <w:tcW w:w="4678" w:type="dxa"/>
          </w:tcPr>
          <w:p>
            <w:pPr>
              <w:pStyle w:val="nzTableNAm"/>
            </w:pPr>
            <w:r>
              <w:t>Application for registration as painting contractor (company)</w:t>
            </w:r>
          </w:p>
        </w:tc>
        <w:tc>
          <w:tcPr>
            <w:tcW w:w="1134" w:type="dxa"/>
            <w:vAlign w:val="bottom"/>
          </w:tcPr>
          <w:p>
            <w:pPr>
              <w:pStyle w:val="nzTableNAm"/>
              <w:jc w:val="right"/>
            </w:pPr>
            <w:r>
              <w:rPr>
                <w:color w:val="000000"/>
              </w:rPr>
              <w:t>150.00</w:t>
            </w:r>
          </w:p>
        </w:tc>
      </w:tr>
      <w:tr>
        <w:trPr>
          <w:cantSplit/>
        </w:trPr>
        <w:tc>
          <w:tcPr>
            <w:tcW w:w="992" w:type="dxa"/>
          </w:tcPr>
          <w:p>
            <w:pPr>
              <w:pStyle w:val="nzTableNAm"/>
            </w:pPr>
            <w:r>
              <w:t>5.</w:t>
            </w:r>
          </w:p>
        </w:tc>
        <w:tc>
          <w:tcPr>
            <w:tcW w:w="4678" w:type="dxa"/>
          </w:tcPr>
          <w:p>
            <w:pPr>
              <w:pStyle w:val="nzTableNAm"/>
            </w:pPr>
            <w:r>
              <w:t>Registration fee for painting practitioner (3 years)</w:t>
            </w:r>
          </w:p>
        </w:tc>
        <w:tc>
          <w:tcPr>
            <w:tcW w:w="1134" w:type="dxa"/>
            <w:vAlign w:val="bottom"/>
          </w:tcPr>
          <w:p>
            <w:pPr>
              <w:pStyle w:val="nzTableNAm"/>
              <w:jc w:val="right"/>
            </w:pPr>
            <w:r>
              <w:rPr>
                <w:color w:val="000000"/>
              </w:rPr>
              <w:t>477.00</w:t>
            </w:r>
          </w:p>
        </w:tc>
      </w:tr>
      <w:tr>
        <w:trPr>
          <w:cantSplit/>
        </w:trPr>
        <w:tc>
          <w:tcPr>
            <w:tcW w:w="992" w:type="dxa"/>
          </w:tcPr>
          <w:p>
            <w:pPr>
              <w:pStyle w:val="nzTableNAm"/>
            </w:pPr>
            <w:r>
              <w:t>6.</w:t>
            </w:r>
          </w:p>
        </w:tc>
        <w:tc>
          <w:tcPr>
            <w:tcW w:w="4678" w:type="dxa"/>
          </w:tcPr>
          <w:p>
            <w:pPr>
              <w:pStyle w:val="nzTableNAm"/>
            </w:pPr>
            <w:r>
              <w:t>Registration fee for painting contractor (individual) (3 years)</w:t>
            </w:r>
          </w:p>
        </w:tc>
        <w:tc>
          <w:tcPr>
            <w:tcW w:w="1134" w:type="dxa"/>
            <w:vAlign w:val="bottom"/>
          </w:tcPr>
          <w:p>
            <w:pPr>
              <w:pStyle w:val="nzTableNAm"/>
              <w:jc w:val="right"/>
            </w:pPr>
            <w:r>
              <w:rPr>
                <w:color w:val="000000"/>
              </w:rPr>
              <w:t>320.00</w:t>
            </w:r>
          </w:p>
        </w:tc>
      </w:tr>
      <w:tr>
        <w:trPr>
          <w:cantSplit/>
        </w:trPr>
        <w:tc>
          <w:tcPr>
            <w:tcW w:w="992" w:type="dxa"/>
          </w:tcPr>
          <w:p>
            <w:pPr>
              <w:pStyle w:val="nzTableNAm"/>
            </w:pPr>
            <w:r>
              <w:t>7.</w:t>
            </w:r>
          </w:p>
        </w:tc>
        <w:tc>
          <w:tcPr>
            <w:tcW w:w="4678" w:type="dxa"/>
          </w:tcPr>
          <w:p>
            <w:pPr>
              <w:pStyle w:val="nzTableNAm"/>
            </w:pPr>
            <w:r>
              <w:t>Registration fee for painting contractor (partnership) (3 years)</w:t>
            </w:r>
          </w:p>
        </w:tc>
        <w:tc>
          <w:tcPr>
            <w:tcW w:w="1134" w:type="dxa"/>
            <w:vAlign w:val="bottom"/>
          </w:tcPr>
          <w:p>
            <w:pPr>
              <w:pStyle w:val="nzTableNAm"/>
              <w:jc w:val="right"/>
            </w:pPr>
            <w:r>
              <w:rPr>
                <w:color w:val="000000"/>
              </w:rPr>
              <w:t>505.00</w:t>
            </w:r>
          </w:p>
        </w:tc>
      </w:tr>
      <w:tr>
        <w:trPr>
          <w:cantSplit/>
        </w:trPr>
        <w:tc>
          <w:tcPr>
            <w:tcW w:w="992" w:type="dxa"/>
          </w:tcPr>
          <w:p>
            <w:pPr>
              <w:pStyle w:val="nzTableNAm"/>
            </w:pPr>
            <w:r>
              <w:t>8.</w:t>
            </w:r>
          </w:p>
        </w:tc>
        <w:tc>
          <w:tcPr>
            <w:tcW w:w="4678" w:type="dxa"/>
          </w:tcPr>
          <w:p>
            <w:pPr>
              <w:pStyle w:val="nzTableNAm"/>
            </w:pPr>
            <w:r>
              <w:t>Registration fee for painting contractor (company) (3 years)</w:t>
            </w:r>
          </w:p>
        </w:tc>
        <w:tc>
          <w:tcPr>
            <w:tcW w:w="1134" w:type="dxa"/>
            <w:vAlign w:val="bottom"/>
          </w:tcPr>
          <w:p>
            <w:pPr>
              <w:pStyle w:val="nzTableNAm"/>
              <w:jc w:val="right"/>
            </w:pPr>
            <w:r>
              <w:rPr>
                <w:color w:val="000000"/>
              </w:rPr>
              <w:t>1 143.20</w:t>
            </w:r>
          </w:p>
        </w:tc>
      </w:tr>
      <w:tr>
        <w:trPr>
          <w:cantSplit/>
        </w:trPr>
        <w:tc>
          <w:tcPr>
            <w:tcW w:w="992" w:type="dxa"/>
          </w:tcPr>
          <w:p>
            <w:pPr>
              <w:pStyle w:val="nzTableNAm"/>
            </w:pPr>
            <w:r>
              <w:t>9.</w:t>
            </w:r>
          </w:p>
        </w:tc>
        <w:tc>
          <w:tcPr>
            <w:tcW w:w="4678" w:type="dxa"/>
          </w:tcPr>
          <w:p>
            <w:pPr>
              <w:pStyle w:val="nzTableNAm"/>
            </w:pPr>
            <w:r>
              <w:t>Late fee for application for renewal made after renewal period</w:t>
            </w:r>
          </w:p>
        </w:tc>
        <w:tc>
          <w:tcPr>
            <w:tcW w:w="1134" w:type="dxa"/>
            <w:vAlign w:val="bottom"/>
          </w:tcPr>
          <w:p>
            <w:pPr>
              <w:pStyle w:val="nzTableNAm"/>
              <w:jc w:val="right"/>
            </w:pPr>
            <w:r>
              <w:rPr>
                <w:color w:val="000000"/>
              </w:rPr>
              <w:t>45.00</w:t>
            </w:r>
          </w:p>
        </w:tc>
      </w:tr>
      <w:tr>
        <w:trPr>
          <w:cantSplit/>
        </w:trPr>
        <w:tc>
          <w:tcPr>
            <w:tcW w:w="992" w:type="dxa"/>
          </w:tcPr>
          <w:p>
            <w:pPr>
              <w:pStyle w:val="nzTableNAm"/>
            </w:pPr>
            <w:r>
              <w:t>10.</w:t>
            </w:r>
          </w:p>
        </w:tc>
        <w:tc>
          <w:tcPr>
            <w:tcW w:w="4678" w:type="dxa"/>
          </w:tcPr>
          <w:p>
            <w:pPr>
              <w:pStyle w:val="nzTableNAm"/>
            </w:pPr>
            <w:r>
              <w:t>Fee for sitting an examination — metropolitan area</w:t>
            </w:r>
          </w:p>
        </w:tc>
        <w:tc>
          <w:tcPr>
            <w:tcW w:w="1134" w:type="dxa"/>
            <w:vAlign w:val="bottom"/>
          </w:tcPr>
          <w:p>
            <w:pPr>
              <w:pStyle w:val="nzTableNAm"/>
              <w:jc w:val="right"/>
            </w:pPr>
            <w:r>
              <w:t>111.95</w:t>
            </w:r>
          </w:p>
        </w:tc>
      </w:tr>
      <w:tr>
        <w:trPr>
          <w:cantSplit/>
        </w:trPr>
        <w:tc>
          <w:tcPr>
            <w:tcW w:w="992" w:type="dxa"/>
          </w:tcPr>
          <w:p>
            <w:pPr>
              <w:pStyle w:val="nzTableNAm"/>
            </w:pPr>
            <w:r>
              <w:t>11.</w:t>
            </w:r>
          </w:p>
        </w:tc>
        <w:tc>
          <w:tcPr>
            <w:tcW w:w="4678" w:type="dxa"/>
          </w:tcPr>
          <w:p>
            <w:pPr>
              <w:pStyle w:val="nzTableNAm"/>
            </w:pPr>
            <w:r>
              <w:t>Fee for marking an examination sat outside metropolitan area</w:t>
            </w:r>
          </w:p>
        </w:tc>
        <w:tc>
          <w:tcPr>
            <w:tcW w:w="1134" w:type="dxa"/>
            <w:vAlign w:val="bottom"/>
          </w:tcPr>
          <w:p>
            <w:pPr>
              <w:pStyle w:val="nzTableNAm"/>
              <w:jc w:val="right"/>
            </w:pPr>
            <w:r>
              <w:t>58.50</w:t>
            </w:r>
          </w:p>
        </w:tc>
      </w:tr>
    </w:tbl>
    <w:p>
      <w:pPr>
        <w:pStyle w:val="BlankClose"/>
      </w:pPr>
    </w:p>
    <w:p>
      <w:pPr>
        <w:pStyle w:val="BlankOpen"/>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66" w:name="_Toc11747260"/>
      <w:bookmarkStart w:id="167" w:name="_Toc11752021"/>
      <w:bookmarkStart w:id="168" w:name="_Toc11760268"/>
      <w:r>
        <w:rPr>
          <w:sz w:val="28"/>
        </w:rPr>
        <w:t>Defined terms</w:t>
      </w:r>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CharSDivNo \n </w:instrText>
          </w:r>
          <w:r>
            <w:fldChar w:fldCharType="separate"/>
          </w:r>
          <w:r>
            <w:instrText>0</w:instrText>
          </w:r>
          <w:r>
            <w:fldChar w:fldCharType="end"/>
          </w:r>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separate"/>
          </w:r>
          <w:r>
            <w:instrText>Division</w:instrText>
          </w:r>
          <w:r>
            <w:fldChar w:fldCharType="end"/>
          </w:r>
          <w:r>
            <w:instrText xml:space="preserve"> </w:instrText>
          </w:r>
          <w:r>
            <w:fldChar w:fldCharType="begin"/>
          </w:r>
          <w:r>
            <w:instrText xml:space="preserve"> STYLEREF CharSDivNo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t xml:space="preserve">cl. </w:t>
          </w:r>
          <w:r>
            <w:fldChar w:fldCharType="begin"/>
          </w:r>
          <w:r>
            <w:instrText xml:space="preserve"> IF </w:instrText>
          </w:r>
          <w:r>
            <w:fldChar w:fldCharType="begin"/>
          </w:r>
          <w:r>
            <w:instrText>STYLEREF CharSClsNo \n</w:instrText>
          </w:r>
          <w:r>
            <w:fldChar w:fldCharType="separate"/>
          </w:r>
          <w:r>
            <w:instrText>0</w:instrText>
          </w:r>
          <w:r>
            <w:fldChar w:fldCharType="end"/>
          </w:r>
          <w:r>
            <w:instrText xml:space="preserve"> = 0 "</w:instrText>
          </w:r>
          <w:r>
            <w:fldChar w:fldCharType="begin"/>
          </w:r>
          <w:r>
            <w:instrText>STYLEREF CharSClsNo</w:instrText>
          </w:r>
          <w:r>
            <w:fldChar w:fldCharType="separate"/>
          </w:r>
          <w:r>
            <w:instrText>1</w:instrText>
          </w:r>
          <w:r>
            <w:fldChar w:fldCharType="end"/>
          </w:r>
          <w:r>
            <w:instrText>" "</w:instrText>
          </w:r>
          <w:r>
            <w:fldChar w:fldCharType="begin"/>
          </w:r>
          <w:r>
            <w:instrText>STYLEREF CharSClsNo \n</w:instrText>
          </w:r>
          <w:r>
            <w:fldChar w:fldCharType="end"/>
          </w:r>
          <w:r>
            <w:instrText>"</w:instrText>
          </w:r>
          <w:r>
            <w:fldChar w:fldCharType="separate"/>
          </w:r>
          <w:r>
            <w:t>1</w:t>
          </w:r>
          <w: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40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AF5B8-C304-4970-914B-7C1FC2B70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14681</Words>
  <Characters>78692</Characters>
  <Application>Microsoft Office Word</Application>
  <DocSecurity>0</DocSecurity>
  <Lines>3147</Lines>
  <Paragraphs>1830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2011 - 02-m0-00</dc:title>
  <dc:subject/>
  <dc:creator/>
  <cp:keywords/>
  <dc:description/>
  <cp:lastModifiedBy>svcMRProcess</cp:lastModifiedBy>
  <cp:revision>4</cp:revision>
  <cp:lastPrinted>2019-05-01T01:45:00Z</cp:lastPrinted>
  <dcterms:created xsi:type="dcterms:W3CDTF">2019-06-18T07:50:00Z</dcterms:created>
  <dcterms:modified xsi:type="dcterms:W3CDTF">2019-06-18T07:50:00Z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18 Jun 2019</vt:lpwstr>
  </property>
  <property fmtid="{D5CDD505-2E9C-101B-9397-08002B2CF9AE}" pid="7" name="Suffix">
    <vt:lpwstr>02-m0-00</vt:lpwstr>
  </property>
  <property fmtid="{D5CDD505-2E9C-101B-9397-08002B2CF9AE}" pid="8" name="CommencementDate">
    <vt:lpwstr>20190618</vt:lpwstr>
  </property>
</Properties>
</file>