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Infrastructure Western Australia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Infrastructure Western Australia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_Toc12358565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_Toc12358566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_Toc12358567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_Toc12358568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Infrastructure WA</w:t>
      </w:r>
    </w:p>
    <w:p>
      <w:pPr>
        <w:pStyle w:val="TOC8"/>
        <w:rPr>
          <w:rFonts w:asciiTheme="minorHAnsi" w:eastAsiaTheme="minorEastAsia" w:hAnsiTheme="minorHAnsi" w:cstheme="minorBidi"/>
          <w:szCs w:val="22"/>
        </w:rPr>
      </w:pPr>
      <w:r>
        <w:t>5.</w:t>
      </w:r>
      <w:r>
        <w:tab/>
        <w:t>Infrastructure WA established</w:t>
      </w:r>
      <w:r>
        <w:tab/>
      </w:r>
      <w:r>
        <w:fldChar w:fldCharType="begin"/>
      </w:r>
      <w:r>
        <w:instrText xml:space="preserve"> PAGEREF _Toc12358570 \h </w:instrText>
      </w:r>
      <w:r>
        <w:fldChar w:fldCharType="separate"/>
      </w:r>
      <w:r>
        <w:t>6</w:t>
      </w:r>
      <w:r>
        <w:fldChar w:fldCharType="end"/>
      </w:r>
    </w:p>
    <w:p>
      <w:pPr>
        <w:pStyle w:val="TOC8"/>
        <w:rPr>
          <w:rFonts w:asciiTheme="minorHAnsi" w:eastAsiaTheme="minorEastAsia" w:hAnsiTheme="minorHAnsi" w:cstheme="minorBidi"/>
          <w:szCs w:val="22"/>
        </w:rPr>
      </w:pPr>
      <w:r>
        <w:t>6.</w:t>
      </w:r>
      <w:r>
        <w:tab/>
        <w:t>Agent of Crown</w:t>
      </w:r>
      <w:r>
        <w:tab/>
      </w:r>
      <w:r>
        <w:fldChar w:fldCharType="begin"/>
      </w:r>
      <w:r>
        <w:instrText xml:space="preserve"> PAGEREF _Toc12358571 \h </w:instrText>
      </w:r>
      <w:r>
        <w:fldChar w:fldCharType="separate"/>
      </w:r>
      <w:r>
        <w:t>6</w:t>
      </w:r>
      <w:r>
        <w:fldChar w:fldCharType="end"/>
      </w:r>
    </w:p>
    <w:p>
      <w:pPr>
        <w:pStyle w:val="TOC8"/>
        <w:rPr>
          <w:rFonts w:asciiTheme="minorHAnsi" w:eastAsiaTheme="minorEastAsia" w:hAnsiTheme="minorHAnsi" w:cstheme="minorBidi"/>
          <w:szCs w:val="22"/>
        </w:rPr>
      </w:pPr>
      <w:r>
        <w:t>7.</w:t>
      </w:r>
      <w:r>
        <w:tab/>
        <w:t>Principal objects</w:t>
      </w:r>
      <w:r>
        <w:tab/>
      </w:r>
      <w:r>
        <w:fldChar w:fldCharType="begin"/>
      </w:r>
      <w:r>
        <w:instrText xml:space="preserve"> PAGEREF _Toc12358572 \h </w:instrText>
      </w:r>
      <w:r>
        <w:fldChar w:fldCharType="separate"/>
      </w:r>
      <w:r>
        <w:t>6</w:t>
      </w:r>
      <w:r>
        <w:fldChar w:fldCharType="end"/>
      </w:r>
    </w:p>
    <w:p>
      <w:pPr>
        <w:pStyle w:val="TOC8"/>
        <w:rPr>
          <w:rFonts w:asciiTheme="minorHAnsi" w:eastAsiaTheme="minorEastAsia" w:hAnsiTheme="minorHAnsi" w:cstheme="minorBidi"/>
          <w:szCs w:val="22"/>
        </w:rPr>
      </w:pPr>
      <w:r>
        <w:t>8.</w:t>
      </w:r>
      <w:r>
        <w:tab/>
        <w:t>Functions</w:t>
      </w:r>
      <w:r>
        <w:tab/>
      </w:r>
      <w:r>
        <w:fldChar w:fldCharType="begin"/>
      </w:r>
      <w:r>
        <w:instrText xml:space="preserve"> PAGEREF _Toc12358573 \h </w:instrText>
      </w:r>
      <w:r>
        <w:fldChar w:fldCharType="separate"/>
      </w:r>
      <w:r>
        <w:t>6</w:t>
      </w:r>
      <w:r>
        <w:fldChar w:fldCharType="end"/>
      </w:r>
    </w:p>
    <w:p>
      <w:pPr>
        <w:pStyle w:val="TOC8"/>
        <w:rPr>
          <w:rFonts w:asciiTheme="minorHAnsi" w:eastAsiaTheme="minorEastAsia" w:hAnsiTheme="minorHAnsi" w:cstheme="minorBidi"/>
          <w:szCs w:val="22"/>
        </w:rPr>
      </w:pPr>
      <w:r>
        <w:t>9.</w:t>
      </w:r>
      <w:r>
        <w:tab/>
        <w:t>Advice and reports may be made publicly available</w:t>
      </w:r>
      <w:r>
        <w:tab/>
      </w:r>
      <w:r>
        <w:fldChar w:fldCharType="begin"/>
      </w:r>
      <w:r>
        <w:instrText xml:space="preserve"> PAGEREF _Toc12358574 \h </w:instrText>
      </w:r>
      <w:r>
        <w:fldChar w:fldCharType="separate"/>
      </w:r>
      <w:r>
        <w:t>9</w:t>
      </w:r>
      <w:r>
        <w:fldChar w:fldCharType="end"/>
      </w:r>
    </w:p>
    <w:p>
      <w:pPr>
        <w:pStyle w:val="TOC8"/>
        <w:rPr>
          <w:rFonts w:asciiTheme="minorHAnsi" w:eastAsiaTheme="minorEastAsia" w:hAnsiTheme="minorHAnsi" w:cstheme="minorBidi"/>
          <w:szCs w:val="22"/>
        </w:rPr>
      </w:pPr>
      <w:r>
        <w:t>10.</w:t>
      </w:r>
      <w:r>
        <w:tab/>
        <w:t>Annual work programme</w:t>
      </w:r>
      <w:r>
        <w:tab/>
      </w:r>
      <w:r>
        <w:fldChar w:fldCharType="begin"/>
      </w:r>
      <w:r>
        <w:instrText xml:space="preserve"> PAGEREF _Toc12358575 \h </w:instrText>
      </w:r>
      <w:r>
        <w:fldChar w:fldCharType="separate"/>
      </w:r>
      <w:r>
        <w:t>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_Toc12358576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w:t>
      </w:r>
      <w:r>
        <w:tab/>
      </w:r>
      <w:r>
        <w:fldChar w:fldCharType="begin"/>
      </w:r>
      <w:r>
        <w:instrText xml:space="preserve"> PAGEREF _Toc12358577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Infrastructure strategy and planning</w:t>
      </w:r>
    </w:p>
    <w:p>
      <w:pPr>
        <w:pStyle w:val="TOC4"/>
        <w:tabs>
          <w:tab w:val="right" w:leader="dot" w:pos="7077"/>
        </w:tabs>
        <w:rPr>
          <w:rFonts w:asciiTheme="minorHAnsi" w:eastAsiaTheme="minorEastAsia" w:hAnsiTheme="minorHAnsi" w:cstheme="minorBidi"/>
          <w:b w:val="0"/>
          <w:szCs w:val="22"/>
        </w:rPr>
      </w:pPr>
      <w:r>
        <w:t>Division 1 — State Infrastructure Strategy</w:t>
      </w:r>
    </w:p>
    <w:p>
      <w:pPr>
        <w:pStyle w:val="TOC8"/>
        <w:rPr>
          <w:rFonts w:asciiTheme="minorHAnsi" w:eastAsiaTheme="minorEastAsia" w:hAnsiTheme="minorHAnsi" w:cstheme="minorBidi"/>
          <w:szCs w:val="22"/>
        </w:rPr>
      </w:pPr>
      <w:r>
        <w:t>13.</w:t>
      </w:r>
      <w:r>
        <w:tab/>
        <w:t>Preparation and submission to Premier</w:t>
      </w:r>
      <w:r>
        <w:tab/>
      </w:r>
      <w:r>
        <w:fldChar w:fldCharType="begin"/>
      </w:r>
      <w:r>
        <w:instrText xml:space="preserve"> PAGEREF _Toc12358580 \h </w:instrText>
      </w:r>
      <w:r>
        <w:fldChar w:fldCharType="separate"/>
      </w:r>
      <w:r>
        <w:t>11</w:t>
      </w:r>
      <w:r>
        <w:fldChar w:fldCharType="end"/>
      </w:r>
    </w:p>
    <w:p>
      <w:pPr>
        <w:pStyle w:val="TOC8"/>
        <w:rPr>
          <w:rFonts w:asciiTheme="minorHAnsi" w:eastAsiaTheme="minorEastAsia" w:hAnsiTheme="minorHAnsi" w:cstheme="minorBidi"/>
          <w:szCs w:val="22"/>
        </w:rPr>
      </w:pPr>
      <w:r>
        <w:t>14.</w:t>
      </w:r>
      <w:r>
        <w:tab/>
        <w:t>Content and preparation</w:t>
      </w:r>
      <w:r>
        <w:tab/>
      </w:r>
      <w:r>
        <w:fldChar w:fldCharType="begin"/>
      </w:r>
      <w:r>
        <w:instrText xml:space="preserve"> PAGEREF _Toc12358581 \h </w:instrText>
      </w:r>
      <w:r>
        <w:fldChar w:fldCharType="separate"/>
      </w:r>
      <w:r>
        <w:t>11</w:t>
      </w:r>
      <w:r>
        <w:fldChar w:fldCharType="end"/>
      </w:r>
    </w:p>
    <w:p>
      <w:pPr>
        <w:pStyle w:val="TOC8"/>
        <w:rPr>
          <w:rFonts w:asciiTheme="minorHAnsi" w:eastAsiaTheme="minorEastAsia" w:hAnsiTheme="minorHAnsi" w:cstheme="minorBidi"/>
          <w:szCs w:val="22"/>
        </w:rPr>
      </w:pPr>
      <w:r>
        <w:t>15.</w:t>
      </w:r>
      <w:r>
        <w:tab/>
        <w:t>Acceptance, tabling and publication</w:t>
      </w:r>
      <w:r>
        <w:tab/>
      </w:r>
      <w:r>
        <w:fldChar w:fldCharType="begin"/>
      </w:r>
      <w:r>
        <w:instrText xml:space="preserve"> PAGEREF _Toc12358582 \h </w:instrText>
      </w:r>
      <w:r>
        <w:fldChar w:fldCharType="separate"/>
      </w:r>
      <w:r>
        <w:t>12</w:t>
      </w:r>
      <w:r>
        <w:fldChar w:fldCharType="end"/>
      </w:r>
    </w:p>
    <w:p>
      <w:pPr>
        <w:pStyle w:val="TOC8"/>
        <w:rPr>
          <w:rFonts w:asciiTheme="minorHAnsi" w:eastAsiaTheme="minorEastAsia" w:hAnsiTheme="minorHAnsi" w:cstheme="minorBidi"/>
          <w:szCs w:val="22"/>
        </w:rPr>
      </w:pPr>
      <w:r>
        <w:t>16.</w:t>
      </w:r>
      <w:r>
        <w:tab/>
        <w:t>Government response</w:t>
      </w:r>
      <w:r>
        <w:tab/>
      </w:r>
      <w:r>
        <w:fldChar w:fldCharType="begin"/>
      </w:r>
      <w:r>
        <w:instrText xml:space="preserve"> PAGEREF _Toc12358583 \h </w:instrText>
      </w:r>
      <w:r>
        <w:fldChar w:fldCharType="separate"/>
      </w:r>
      <w:r>
        <w:t>13</w:t>
      </w:r>
      <w:r>
        <w:fldChar w:fldCharType="end"/>
      </w:r>
    </w:p>
    <w:p>
      <w:pPr>
        <w:pStyle w:val="TOC8"/>
        <w:rPr>
          <w:rFonts w:asciiTheme="minorHAnsi" w:eastAsiaTheme="minorEastAsia" w:hAnsiTheme="minorHAnsi" w:cstheme="minorBidi"/>
          <w:szCs w:val="22"/>
        </w:rPr>
      </w:pPr>
      <w:r>
        <w:t>17.</w:t>
      </w:r>
      <w:r>
        <w:tab/>
        <w:t>Amendment</w:t>
      </w:r>
      <w:r>
        <w:tab/>
      </w:r>
      <w:r>
        <w:fldChar w:fldCharType="begin"/>
      </w:r>
      <w:r>
        <w:instrText xml:space="preserve"> PAGEREF _Toc12358584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State Infrastructure Programmes</w:t>
      </w:r>
    </w:p>
    <w:p>
      <w:pPr>
        <w:pStyle w:val="TOC8"/>
        <w:rPr>
          <w:rFonts w:asciiTheme="minorHAnsi" w:eastAsiaTheme="minorEastAsia" w:hAnsiTheme="minorHAnsi" w:cstheme="minorBidi"/>
          <w:szCs w:val="22"/>
        </w:rPr>
      </w:pPr>
      <w:r>
        <w:t>18.</w:t>
      </w:r>
      <w:r>
        <w:tab/>
        <w:t>State Infrastructure Programmes</w:t>
      </w:r>
      <w:r>
        <w:tab/>
      </w:r>
      <w:r>
        <w:fldChar w:fldCharType="begin"/>
      </w:r>
      <w:r>
        <w:instrText xml:space="preserve"> PAGEREF _Toc12358586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Major infrastructure proposals</w:t>
      </w:r>
    </w:p>
    <w:p>
      <w:pPr>
        <w:pStyle w:val="TOC8"/>
        <w:rPr>
          <w:rFonts w:asciiTheme="minorHAnsi" w:eastAsiaTheme="minorEastAsia" w:hAnsiTheme="minorHAnsi" w:cstheme="minorBidi"/>
          <w:szCs w:val="22"/>
        </w:rPr>
      </w:pPr>
      <w:r>
        <w:t>19.</w:t>
      </w:r>
      <w:r>
        <w:tab/>
        <w:t>Infrastructure WA to assess major infrastructure proposals prior to investment decision</w:t>
      </w:r>
      <w:r>
        <w:tab/>
      </w:r>
      <w:r>
        <w:fldChar w:fldCharType="begin"/>
      </w:r>
      <w:r>
        <w:instrText xml:space="preserve"> PAGEREF _Toc12358588 \h </w:instrText>
      </w:r>
      <w:r>
        <w:fldChar w:fldCharType="separate"/>
      </w:r>
      <w:r>
        <w:t>15</w:t>
      </w:r>
      <w:r>
        <w:fldChar w:fldCharType="end"/>
      </w:r>
    </w:p>
    <w:p>
      <w:pPr>
        <w:pStyle w:val="TOC8"/>
        <w:rPr>
          <w:rFonts w:asciiTheme="minorHAnsi" w:eastAsiaTheme="minorEastAsia" w:hAnsiTheme="minorHAnsi" w:cstheme="minorBidi"/>
          <w:szCs w:val="22"/>
        </w:rPr>
      </w:pPr>
      <w:r>
        <w:t>20.</w:t>
      </w:r>
      <w:r>
        <w:tab/>
        <w:t>Timing of assessment of major infrastructure proposals</w:t>
      </w:r>
      <w:r>
        <w:tab/>
      </w:r>
      <w:r>
        <w:fldChar w:fldCharType="begin"/>
      </w:r>
      <w:r>
        <w:instrText xml:space="preserve"> PAGEREF _Toc12358589 \h </w:instrText>
      </w:r>
      <w:r>
        <w:fldChar w:fldCharType="separate"/>
      </w:r>
      <w:r>
        <w:t>16</w:t>
      </w:r>
      <w:r>
        <w:fldChar w:fldCharType="end"/>
      </w:r>
    </w:p>
    <w:p>
      <w:pPr>
        <w:pStyle w:val="TOC8"/>
        <w:rPr>
          <w:rFonts w:asciiTheme="minorHAnsi" w:eastAsiaTheme="minorEastAsia" w:hAnsiTheme="minorHAnsi" w:cstheme="minorBidi"/>
          <w:szCs w:val="22"/>
        </w:rPr>
      </w:pPr>
      <w:r>
        <w:t>21.</w:t>
      </w:r>
      <w:r>
        <w:tab/>
        <w:t>Guidelines and summary reports</w:t>
      </w:r>
      <w:r>
        <w:tab/>
      </w:r>
      <w:r>
        <w:fldChar w:fldCharType="begin"/>
      </w:r>
      <w:r>
        <w:instrText xml:space="preserve"> PAGEREF _Toc12358590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Obligations of State agencies</w:t>
      </w:r>
    </w:p>
    <w:p>
      <w:pPr>
        <w:pStyle w:val="TOC8"/>
        <w:rPr>
          <w:rFonts w:asciiTheme="minorHAnsi" w:eastAsiaTheme="minorEastAsia" w:hAnsiTheme="minorHAnsi" w:cstheme="minorBidi"/>
          <w:szCs w:val="22"/>
        </w:rPr>
      </w:pPr>
      <w:r>
        <w:t>22.</w:t>
      </w:r>
      <w:r>
        <w:tab/>
        <w:t>State agencies to provide information to Infrastructure WA</w:t>
      </w:r>
      <w:r>
        <w:tab/>
      </w:r>
      <w:r>
        <w:fldChar w:fldCharType="begin"/>
      </w:r>
      <w:r>
        <w:instrText xml:space="preserve"> PAGEREF _Toc12358592 \h </w:instrText>
      </w:r>
      <w:r>
        <w:fldChar w:fldCharType="separate"/>
      </w:r>
      <w:r>
        <w:t>17</w:t>
      </w:r>
      <w:r>
        <w:fldChar w:fldCharType="end"/>
      </w:r>
    </w:p>
    <w:p>
      <w:pPr>
        <w:pStyle w:val="TOC8"/>
        <w:rPr>
          <w:rFonts w:asciiTheme="minorHAnsi" w:eastAsiaTheme="minorEastAsia" w:hAnsiTheme="minorHAnsi" w:cstheme="minorBidi"/>
          <w:szCs w:val="22"/>
        </w:rPr>
      </w:pPr>
      <w:r>
        <w:t>23.</w:t>
      </w:r>
      <w:r>
        <w:tab/>
        <w:t>Obligations of State agencies</w:t>
      </w:r>
      <w:r>
        <w:tab/>
      </w:r>
      <w:r>
        <w:fldChar w:fldCharType="begin"/>
      </w:r>
      <w:r>
        <w:instrText xml:space="preserve"> PAGEREF _Toc12358593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Implementation of State Infrastructure Strategy</w:t>
      </w:r>
    </w:p>
    <w:p>
      <w:pPr>
        <w:pStyle w:val="TOC8"/>
        <w:rPr>
          <w:rFonts w:asciiTheme="minorHAnsi" w:eastAsiaTheme="minorEastAsia" w:hAnsiTheme="minorHAnsi" w:cstheme="minorBidi"/>
          <w:szCs w:val="22"/>
        </w:rPr>
      </w:pPr>
      <w:r>
        <w:t>24.</w:t>
      </w:r>
      <w:r>
        <w:tab/>
        <w:t>Report on implementation of State Infrastructure Strategy</w:t>
      </w:r>
      <w:r>
        <w:tab/>
      </w:r>
      <w:r>
        <w:fldChar w:fldCharType="begin"/>
      </w:r>
      <w:r>
        <w:instrText xml:space="preserve"> PAGEREF _Toc12358595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Governance and administration</w:t>
      </w:r>
    </w:p>
    <w:p>
      <w:pPr>
        <w:pStyle w:val="TOC4"/>
        <w:tabs>
          <w:tab w:val="right" w:leader="dot" w:pos="7077"/>
        </w:tabs>
        <w:rPr>
          <w:rFonts w:asciiTheme="minorHAnsi" w:eastAsiaTheme="minorEastAsia" w:hAnsiTheme="minorHAnsi" w:cstheme="minorBidi"/>
          <w:b w:val="0"/>
          <w:szCs w:val="22"/>
        </w:rPr>
      </w:pPr>
      <w:r>
        <w:t>Division 1 — The Board</w:t>
      </w:r>
    </w:p>
    <w:p>
      <w:pPr>
        <w:pStyle w:val="TOC6"/>
        <w:tabs>
          <w:tab w:val="right" w:leader="dot" w:pos="7077"/>
        </w:tabs>
        <w:rPr>
          <w:rFonts w:asciiTheme="minorHAnsi" w:eastAsiaTheme="minorEastAsia" w:hAnsiTheme="minorHAnsi" w:cstheme="minorBidi"/>
          <w:b w:val="0"/>
          <w:sz w:val="22"/>
          <w:szCs w:val="22"/>
        </w:rPr>
      </w:pPr>
      <w:r>
        <w:t>Subdivision 1 — Board constituted</w:t>
      </w:r>
    </w:p>
    <w:p>
      <w:pPr>
        <w:pStyle w:val="TOC8"/>
        <w:rPr>
          <w:rFonts w:asciiTheme="minorHAnsi" w:eastAsiaTheme="minorEastAsia" w:hAnsiTheme="minorHAnsi" w:cstheme="minorBidi"/>
          <w:szCs w:val="22"/>
        </w:rPr>
      </w:pPr>
      <w:r>
        <w:t>25.</w:t>
      </w:r>
      <w:r>
        <w:tab/>
        <w:t>Board is governing body of Infrastructure WA</w:t>
      </w:r>
      <w:r>
        <w:tab/>
      </w:r>
      <w:r>
        <w:fldChar w:fldCharType="begin"/>
      </w:r>
      <w:r>
        <w:instrText xml:space="preserve"> PAGEREF _Toc12358599 \h </w:instrText>
      </w:r>
      <w:r>
        <w:fldChar w:fldCharType="separate"/>
      </w:r>
      <w:r>
        <w:t>20</w:t>
      </w:r>
      <w:r>
        <w:fldChar w:fldCharType="end"/>
      </w:r>
    </w:p>
    <w:p>
      <w:pPr>
        <w:pStyle w:val="TOC8"/>
        <w:rPr>
          <w:rFonts w:asciiTheme="minorHAnsi" w:eastAsiaTheme="minorEastAsia" w:hAnsiTheme="minorHAnsi" w:cstheme="minorBidi"/>
          <w:szCs w:val="22"/>
        </w:rPr>
      </w:pPr>
      <w:r>
        <w:t>26.</w:t>
      </w:r>
      <w:r>
        <w:tab/>
        <w:t>Board membership</w:t>
      </w:r>
      <w:r>
        <w:tab/>
      </w:r>
      <w:r>
        <w:fldChar w:fldCharType="begin"/>
      </w:r>
      <w:r>
        <w:instrText xml:space="preserve"> PAGEREF _Toc12358600 \h </w:instrText>
      </w:r>
      <w:r>
        <w:fldChar w:fldCharType="separate"/>
      </w:r>
      <w:r>
        <w:t>20</w:t>
      </w:r>
      <w:r>
        <w:fldChar w:fldCharType="end"/>
      </w:r>
    </w:p>
    <w:p>
      <w:pPr>
        <w:pStyle w:val="TOC8"/>
        <w:rPr>
          <w:rFonts w:asciiTheme="minorHAnsi" w:eastAsiaTheme="minorEastAsia" w:hAnsiTheme="minorHAnsi" w:cstheme="minorBidi"/>
          <w:szCs w:val="22"/>
        </w:rPr>
      </w:pPr>
      <w:r>
        <w:t>27.</w:t>
      </w:r>
      <w:r>
        <w:tab/>
        <w:t>Chairperson and deputy chairperson</w:t>
      </w:r>
      <w:r>
        <w:tab/>
      </w:r>
      <w:r>
        <w:fldChar w:fldCharType="begin"/>
      </w:r>
      <w:r>
        <w:instrText xml:space="preserve"> PAGEREF _Toc12358601 \h </w:instrText>
      </w:r>
      <w:r>
        <w:fldChar w:fldCharType="separate"/>
      </w:r>
      <w:r>
        <w:t>21</w:t>
      </w:r>
      <w:r>
        <w:fldChar w:fldCharType="end"/>
      </w:r>
    </w:p>
    <w:p>
      <w:pPr>
        <w:pStyle w:val="TOC8"/>
        <w:rPr>
          <w:rFonts w:asciiTheme="minorHAnsi" w:eastAsiaTheme="minorEastAsia" w:hAnsiTheme="minorHAnsi" w:cstheme="minorBidi"/>
          <w:szCs w:val="22"/>
        </w:rPr>
      </w:pPr>
      <w:r>
        <w:t>28.</w:t>
      </w:r>
      <w:r>
        <w:tab/>
        <w:t>Terms and conditions of appointment</w:t>
      </w:r>
      <w:r>
        <w:tab/>
      </w:r>
      <w:r>
        <w:fldChar w:fldCharType="begin"/>
      </w:r>
      <w:r>
        <w:instrText xml:space="preserve"> PAGEREF _Toc12358602 \h </w:instrText>
      </w:r>
      <w:r>
        <w:fldChar w:fldCharType="separate"/>
      </w:r>
      <w:r>
        <w:t>21</w:t>
      </w:r>
      <w:r>
        <w:fldChar w:fldCharType="end"/>
      </w:r>
    </w:p>
    <w:p>
      <w:pPr>
        <w:pStyle w:val="TOC8"/>
        <w:rPr>
          <w:rFonts w:asciiTheme="minorHAnsi" w:eastAsiaTheme="minorEastAsia" w:hAnsiTheme="minorHAnsi" w:cstheme="minorBidi"/>
          <w:szCs w:val="22"/>
        </w:rPr>
      </w:pPr>
      <w:r>
        <w:t>29.</w:t>
      </w:r>
      <w:r>
        <w:tab/>
        <w:t>Remuneration and expenses</w:t>
      </w:r>
      <w:r>
        <w:tab/>
      </w:r>
      <w:r>
        <w:fldChar w:fldCharType="begin"/>
      </w:r>
      <w:r>
        <w:instrText xml:space="preserve"> PAGEREF _Toc12358603 \h </w:instrText>
      </w:r>
      <w:r>
        <w:fldChar w:fldCharType="separate"/>
      </w:r>
      <w:r>
        <w:t>22</w:t>
      </w:r>
      <w:r>
        <w:fldChar w:fldCharType="end"/>
      </w:r>
    </w:p>
    <w:p>
      <w:pPr>
        <w:pStyle w:val="TOC8"/>
        <w:rPr>
          <w:rFonts w:asciiTheme="minorHAnsi" w:eastAsiaTheme="minorEastAsia" w:hAnsiTheme="minorHAnsi" w:cstheme="minorBidi"/>
          <w:szCs w:val="22"/>
        </w:rPr>
      </w:pPr>
      <w:r>
        <w:t>30.</w:t>
      </w:r>
      <w:r>
        <w:tab/>
        <w:t>Casual vacancies</w:t>
      </w:r>
      <w:r>
        <w:tab/>
      </w:r>
      <w:r>
        <w:fldChar w:fldCharType="begin"/>
      </w:r>
      <w:r>
        <w:instrText xml:space="preserve"> PAGEREF _Toc12358604 \h </w:instrText>
      </w:r>
      <w:r>
        <w:fldChar w:fldCharType="separate"/>
      </w:r>
      <w:r>
        <w:t>22</w:t>
      </w:r>
      <w:r>
        <w:fldChar w:fldCharType="end"/>
      </w:r>
    </w:p>
    <w:p>
      <w:pPr>
        <w:pStyle w:val="TOC8"/>
        <w:rPr>
          <w:rFonts w:asciiTheme="minorHAnsi" w:eastAsiaTheme="minorEastAsia" w:hAnsiTheme="minorHAnsi" w:cstheme="minorBidi"/>
          <w:szCs w:val="22"/>
        </w:rPr>
      </w:pPr>
      <w:r>
        <w:t>31.</w:t>
      </w:r>
      <w:r>
        <w:tab/>
        <w:t>Extension of term of office</w:t>
      </w:r>
      <w:r>
        <w:tab/>
      </w:r>
      <w:r>
        <w:fldChar w:fldCharType="begin"/>
      </w:r>
      <w:r>
        <w:instrText xml:space="preserve"> PAGEREF _Toc12358605 \h </w:instrText>
      </w:r>
      <w:r>
        <w:fldChar w:fldCharType="separate"/>
      </w:r>
      <w:r>
        <w:t>23</w:t>
      </w:r>
      <w:r>
        <w:fldChar w:fldCharType="end"/>
      </w:r>
    </w:p>
    <w:p>
      <w:pPr>
        <w:pStyle w:val="TOC8"/>
        <w:rPr>
          <w:rFonts w:asciiTheme="minorHAnsi" w:eastAsiaTheme="minorEastAsia" w:hAnsiTheme="minorHAnsi" w:cstheme="minorBidi"/>
          <w:szCs w:val="22"/>
        </w:rPr>
      </w:pPr>
      <w:r>
        <w:t>32.</w:t>
      </w:r>
      <w:r>
        <w:tab/>
        <w:t>Leave of absence</w:t>
      </w:r>
      <w:r>
        <w:tab/>
      </w:r>
      <w:r>
        <w:fldChar w:fldCharType="begin"/>
      </w:r>
      <w:r>
        <w:instrText xml:space="preserve"> PAGEREF _Toc12358606 \h </w:instrText>
      </w:r>
      <w:r>
        <w:fldChar w:fldCharType="separate"/>
      </w:r>
      <w:r>
        <w:t>24</w:t>
      </w:r>
      <w:r>
        <w:fldChar w:fldCharType="end"/>
      </w:r>
    </w:p>
    <w:p>
      <w:pPr>
        <w:pStyle w:val="TOC8"/>
        <w:rPr>
          <w:rFonts w:asciiTheme="minorHAnsi" w:eastAsiaTheme="minorEastAsia" w:hAnsiTheme="minorHAnsi" w:cstheme="minorBidi"/>
          <w:szCs w:val="22"/>
        </w:rPr>
      </w:pPr>
      <w:r>
        <w:t>33.</w:t>
      </w:r>
      <w:r>
        <w:tab/>
        <w:t>Alternate members</w:t>
      </w:r>
      <w:r>
        <w:tab/>
      </w:r>
      <w:r>
        <w:fldChar w:fldCharType="begin"/>
      </w:r>
      <w:r>
        <w:instrText xml:space="preserve"> PAGEREF _Toc12358607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Board procedures</w:t>
      </w:r>
    </w:p>
    <w:p>
      <w:pPr>
        <w:pStyle w:val="TOC8"/>
        <w:rPr>
          <w:rFonts w:asciiTheme="minorHAnsi" w:eastAsiaTheme="minorEastAsia" w:hAnsiTheme="minorHAnsi" w:cstheme="minorBidi"/>
          <w:szCs w:val="22"/>
        </w:rPr>
      </w:pPr>
      <w:r>
        <w:t>34.</w:t>
      </w:r>
      <w:r>
        <w:tab/>
        <w:t>Holding meetings</w:t>
      </w:r>
      <w:r>
        <w:tab/>
      </w:r>
      <w:r>
        <w:fldChar w:fldCharType="begin"/>
      </w:r>
      <w:r>
        <w:instrText xml:space="preserve"> PAGEREF _Toc12358609 \h </w:instrText>
      </w:r>
      <w:r>
        <w:fldChar w:fldCharType="separate"/>
      </w:r>
      <w:r>
        <w:t>25</w:t>
      </w:r>
      <w:r>
        <w:fldChar w:fldCharType="end"/>
      </w:r>
    </w:p>
    <w:p>
      <w:pPr>
        <w:pStyle w:val="TOC8"/>
        <w:rPr>
          <w:rFonts w:asciiTheme="minorHAnsi" w:eastAsiaTheme="minorEastAsia" w:hAnsiTheme="minorHAnsi" w:cstheme="minorBidi"/>
          <w:szCs w:val="22"/>
        </w:rPr>
      </w:pPr>
      <w:r>
        <w:t>35.</w:t>
      </w:r>
      <w:r>
        <w:tab/>
        <w:t>Quorum</w:t>
      </w:r>
      <w:r>
        <w:tab/>
      </w:r>
      <w:r>
        <w:fldChar w:fldCharType="begin"/>
      </w:r>
      <w:r>
        <w:instrText xml:space="preserve"> PAGEREF _Toc12358610 \h </w:instrText>
      </w:r>
      <w:r>
        <w:fldChar w:fldCharType="separate"/>
      </w:r>
      <w:r>
        <w:t>25</w:t>
      </w:r>
      <w:r>
        <w:fldChar w:fldCharType="end"/>
      </w:r>
    </w:p>
    <w:p>
      <w:pPr>
        <w:pStyle w:val="TOC8"/>
        <w:rPr>
          <w:rFonts w:asciiTheme="minorHAnsi" w:eastAsiaTheme="minorEastAsia" w:hAnsiTheme="minorHAnsi" w:cstheme="minorBidi"/>
          <w:szCs w:val="22"/>
        </w:rPr>
      </w:pPr>
      <w:r>
        <w:t>36.</w:t>
      </w:r>
      <w:r>
        <w:tab/>
        <w:t>Balance of members at meetings</w:t>
      </w:r>
      <w:r>
        <w:tab/>
      </w:r>
      <w:r>
        <w:fldChar w:fldCharType="begin"/>
      </w:r>
      <w:r>
        <w:instrText xml:space="preserve"> PAGEREF _Toc12358611 \h </w:instrText>
      </w:r>
      <w:r>
        <w:fldChar w:fldCharType="separate"/>
      </w:r>
      <w:r>
        <w:t>25</w:t>
      </w:r>
      <w:r>
        <w:fldChar w:fldCharType="end"/>
      </w:r>
    </w:p>
    <w:p>
      <w:pPr>
        <w:pStyle w:val="TOC8"/>
        <w:rPr>
          <w:rFonts w:asciiTheme="minorHAnsi" w:eastAsiaTheme="minorEastAsia" w:hAnsiTheme="minorHAnsi" w:cstheme="minorBidi"/>
          <w:szCs w:val="22"/>
        </w:rPr>
      </w:pPr>
      <w:r>
        <w:t>37.</w:t>
      </w:r>
      <w:r>
        <w:tab/>
        <w:t>Presiding members</w:t>
      </w:r>
      <w:r>
        <w:tab/>
      </w:r>
      <w:r>
        <w:fldChar w:fldCharType="begin"/>
      </w:r>
      <w:r>
        <w:instrText xml:space="preserve"> PAGEREF _Toc12358612 \h </w:instrText>
      </w:r>
      <w:r>
        <w:fldChar w:fldCharType="separate"/>
      </w:r>
      <w:r>
        <w:t>25</w:t>
      </w:r>
      <w:r>
        <w:fldChar w:fldCharType="end"/>
      </w:r>
    </w:p>
    <w:p>
      <w:pPr>
        <w:pStyle w:val="TOC8"/>
        <w:rPr>
          <w:rFonts w:asciiTheme="minorHAnsi" w:eastAsiaTheme="minorEastAsia" w:hAnsiTheme="minorHAnsi" w:cstheme="minorBidi"/>
          <w:szCs w:val="22"/>
        </w:rPr>
      </w:pPr>
      <w:r>
        <w:t>38.</w:t>
      </w:r>
      <w:r>
        <w:tab/>
        <w:t>Procedure at meetings</w:t>
      </w:r>
      <w:r>
        <w:tab/>
      </w:r>
      <w:r>
        <w:fldChar w:fldCharType="begin"/>
      </w:r>
      <w:r>
        <w:instrText xml:space="preserve"> PAGEREF _Toc12358613 \h </w:instrText>
      </w:r>
      <w:r>
        <w:fldChar w:fldCharType="separate"/>
      </w:r>
      <w:r>
        <w:t>26</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_Toc12358614 \h </w:instrText>
      </w:r>
      <w:r>
        <w:fldChar w:fldCharType="separate"/>
      </w:r>
      <w:r>
        <w:t>26</w:t>
      </w:r>
      <w:r>
        <w:fldChar w:fldCharType="end"/>
      </w:r>
    </w:p>
    <w:p>
      <w:pPr>
        <w:pStyle w:val="TOC8"/>
        <w:rPr>
          <w:rFonts w:asciiTheme="minorHAnsi" w:eastAsiaTheme="minorEastAsia" w:hAnsiTheme="minorHAnsi" w:cstheme="minorBidi"/>
          <w:szCs w:val="22"/>
        </w:rPr>
      </w:pPr>
      <w:r>
        <w:t>40.</w:t>
      </w:r>
      <w:r>
        <w:tab/>
        <w:t>Voting</w:t>
      </w:r>
      <w:r>
        <w:tab/>
      </w:r>
      <w:r>
        <w:fldChar w:fldCharType="begin"/>
      </w:r>
      <w:r>
        <w:instrText xml:space="preserve"> PAGEREF _Toc12358615 \h </w:instrText>
      </w:r>
      <w:r>
        <w:fldChar w:fldCharType="separate"/>
      </w:r>
      <w:r>
        <w:t>26</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_Toc12358616 \h </w:instrText>
      </w:r>
      <w:r>
        <w:fldChar w:fldCharType="separate"/>
      </w:r>
      <w:r>
        <w:t>26</w:t>
      </w:r>
      <w:r>
        <w:fldChar w:fldCharType="end"/>
      </w:r>
    </w:p>
    <w:p>
      <w:pPr>
        <w:pStyle w:val="TOC8"/>
        <w:rPr>
          <w:rFonts w:asciiTheme="minorHAnsi" w:eastAsiaTheme="minorEastAsia" w:hAnsiTheme="minorHAnsi" w:cstheme="minorBidi"/>
          <w:szCs w:val="22"/>
        </w:rPr>
      </w:pPr>
      <w:r>
        <w:t>42.</w:t>
      </w:r>
      <w:r>
        <w:tab/>
        <w:t>Minutes to be kept</w:t>
      </w:r>
      <w:r>
        <w:tab/>
      </w:r>
      <w:r>
        <w:fldChar w:fldCharType="begin"/>
      </w:r>
      <w:r>
        <w:instrText xml:space="preserve"> PAGEREF _Toc12358617 \h </w:instrText>
      </w:r>
      <w:r>
        <w:fldChar w:fldCharType="separate"/>
      </w:r>
      <w:r>
        <w:t>26</w:t>
      </w:r>
      <w:r>
        <w:fldChar w:fldCharType="end"/>
      </w:r>
    </w:p>
    <w:p>
      <w:pPr>
        <w:pStyle w:val="TOC8"/>
        <w:rPr>
          <w:rFonts w:asciiTheme="minorHAnsi" w:eastAsiaTheme="minorEastAsia" w:hAnsiTheme="minorHAnsi" w:cstheme="minorBidi"/>
          <w:szCs w:val="22"/>
        </w:rPr>
      </w:pPr>
      <w:r>
        <w:t>43.</w:t>
      </w:r>
      <w:r>
        <w:tab/>
        <w:t>Committees</w:t>
      </w:r>
      <w:r>
        <w:tab/>
      </w:r>
      <w:r>
        <w:fldChar w:fldCharType="begin"/>
      </w:r>
      <w:r>
        <w:instrText xml:space="preserve"> PAGEREF _Toc12358618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Disclosure of interests</w:t>
      </w:r>
    </w:p>
    <w:p>
      <w:pPr>
        <w:pStyle w:val="TOC8"/>
        <w:rPr>
          <w:rFonts w:asciiTheme="minorHAnsi" w:eastAsiaTheme="minorEastAsia" w:hAnsiTheme="minorHAnsi" w:cstheme="minorBidi"/>
          <w:szCs w:val="22"/>
        </w:rPr>
      </w:pPr>
      <w:r>
        <w:t>44.</w:t>
      </w:r>
      <w:r>
        <w:tab/>
        <w:t>Financial interest in a matter</w:t>
      </w:r>
      <w:r>
        <w:tab/>
      </w:r>
      <w:r>
        <w:fldChar w:fldCharType="begin"/>
      </w:r>
      <w:r>
        <w:instrText xml:space="preserve"> PAGEREF _Toc12358620 \h </w:instrText>
      </w:r>
      <w:r>
        <w:fldChar w:fldCharType="separate"/>
      </w:r>
      <w:r>
        <w:t>27</w:t>
      </w:r>
      <w:r>
        <w:fldChar w:fldCharType="end"/>
      </w:r>
    </w:p>
    <w:p>
      <w:pPr>
        <w:pStyle w:val="TOC8"/>
        <w:rPr>
          <w:rFonts w:asciiTheme="minorHAnsi" w:eastAsiaTheme="minorEastAsia" w:hAnsiTheme="minorHAnsi" w:cstheme="minorBidi"/>
          <w:szCs w:val="22"/>
        </w:rPr>
      </w:pPr>
      <w:r>
        <w:t>45.</w:t>
      </w:r>
      <w:r>
        <w:tab/>
        <w:t>Disclosure of material personal interests</w:t>
      </w:r>
      <w:r>
        <w:tab/>
      </w:r>
      <w:r>
        <w:fldChar w:fldCharType="begin"/>
      </w:r>
      <w:r>
        <w:instrText xml:space="preserve"> PAGEREF _Toc12358621 \h </w:instrText>
      </w:r>
      <w:r>
        <w:fldChar w:fldCharType="separate"/>
      </w:r>
      <w:r>
        <w:t>27</w:t>
      </w:r>
      <w:r>
        <w:fldChar w:fldCharType="end"/>
      </w:r>
    </w:p>
    <w:p>
      <w:pPr>
        <w:pStyle w:val="TOC8"/>
        <w:rPr>
          <w:rFonts w:asciiTheme="minorHAnsi" w:eastAsiaTheme="minorEastAsia" w:hAnsiTheme="minorHAnsi" w:cstheme="minorBidi"/>
          <w:szCs w:val="22"/>
        </w:rPr>
      </w:pPr>
      <w:r>
        <w:t>46.</w:t>
      </w:r>
      <w:r>
        <w:tab/>
        <w:t>Participation by interested members</w:t>
      </w:r>
      <w:r>
        <w:tab/>
      </w:r>
      <w:r>
        <w:fldChar w:fldCharType="begin"/>
      </w:r>
      <w:r>
        <w:instrText xml:space="preserve"> PAGEREF _Toc12358622 \h </w:instrText>
      </w:r>
      <w:r>
        <w:fldChar w:fldCharType="separate"/>
      </w:r>
      <w:r>
        <w:t>28</w:t>
      </w:r>
      <w:r>
        <w:fldChar w:fldCharType="end"/>
      </w:r>
    </w:p>
    <w:p>
      <w:pPr>
        <w:pStyle w:val="TOC8"/>
        <w:rPr>
          <w:rFonts w:asciiTheme="minorHAnsi" w:eastAsiaTheme="minorEastAsia" w:hAnsiTheme="minorHAnsi" w:cstheme="minorBidi"/>
          <w:szCs w:val="22"/>
        </w:rPr>
      </w:pPr>
      <w:r>
        <w:t>47.</w:t>
      </w:r>
      <w:r>
        <w:tab/>
        <w:t>Section 46 may be declared inapplicable</w:t>
      </w:r>
      <w:r>
        <w:tab/>
      </w:r>
      <w:r>
        <w:fldChar w:fldCharType="begin"/>
      </w:r>
      <w:r>
        <w:instrText xml:space="preserve"> PAGEREF _Toc12358623 \h </w:instrText>
      </w:r>
      <w:r>
        <w:fldChar w:fldCharType="separate"/>
      </w:r>
      <w:r>
        <w:t>29</w:t>
      </w:r>
      <w:r>
        <w:fldChar w:fldCharType="end"/>
      </w:r>
    </w:p>
    <w:p>
      <w:pPr>
        <w:pStyle w:val="TOC8"/>
        <w:rPr>
          <w:rFonts w:asciiTheme="minorHAnsi" w:eastAsiaTheme="minorEastAsia" w:hAnsiTheme="minorHAnsi" w:cstheme="minorBidi"/>
          <w:szCs w:val="22"/>
        </w:rPr>
      </w:pPr>
      <w:r>
        <w:t>48.</w:t>
      </w:r>
      <w:r>
        <w:tab/>
        <w:t>Quorum where section 46 applies</w:t>
      </w:r>
      <w:r>
        <w:tab/>
      </w:r>
      <w:r>
        <w:fldChar w:fldCharType="begin"/>
      </w:r>
      <w:r>
        <w:instrText xml:space="preserve"> PAGEREF _Toc12358624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6"/>
        <w:tabs>
          <w:tab w:val="right" w:leader="dot" w:pos="7077"/>
        </w:tabs>
        <w:rPr>
          <w:rFonts w:asciiTheme="minorHAnsi" w:eastAsiaTheme="minorEastAsia" w:hAnsiTheme="minorHAnsi" w:cstheme="minorBidi"/>
          <w:b w:val="0"/>
          <w:sz w:val="22"/>
          <w:szCs w:val="22"/>
        </w:rPr>
      </w:pPr>
      <w:r>
        <w:t>Subdivision 1 — CEO</w:t>
      </w:r>
    </w:p>
    <w:p>
      <w:pPr>
        <w:pStyle w:val="TOC8"/>
        <w:rPr>
          <w:rFonts w:asciiTheme="minorHAnsi" w:eastAsiaTheme="minorEastAsia" w:hAnsiTheme="minorHAnsi" w:cstheme="minorBidi"/>
          <w:szCs w:val="22"/>
        </w:rPr>
      </w:pPr>
      <w:r>
        <w:t>49.</w:t>
      </w:r>
      <w:r>
        <w:tab/>
        <w:t>CEO</w:t>
      </w:r>
      <w:r>
        <w:tab/>
      </w:r>
      <w:r>
        <w:fldChar w:fldCharType="begin"/>
      </w:r>
      <w:r>
        <w:instrText xml:space="preserve"> PAGEREF _Toc12358627 \h </w:instrText>
      </w:r>
      <w:r>
        <w:fldChar w:fldCharType="separate"/>
      </w:r>
      <w:r>
        <w:t>30</w:t>
      </w:r>
      <w:r>
        <w:fldChar w:fldCharType="end"/>
      </w:r>
    </w:p>
    <w:p>
      <w:pPr>
        <w:pStyle w:val="TOC8"/>
        <w:rPr>
          <w:rFonts w:asciiTheme="minorHAnsi" w:eastAsiaTheme="minorEastAsia" w:hAnsiTheme="minorHAnsi" w:cstheme="minorBidi"/>
          <w:szCs w:val="22"/>
        </w:rPr>
      </w:pPr>
      <w:r>
        <w:t>50.</w:t>
      </w:r>
      <w:r>
        <w:tab/>
        <w:t>Appointment of CEO</w:t>
      </w:r>
      <w:r>
        <w:tab/>
      </w:r>
      <w:r>
        <w:fldChar w:fldCharType="begin"/>
      </w:r>
      <w:r>
        <w:instrText xml:space="preserve"> PAGEREF _Toc12358628 \h </w:instrText>
      </w:r>
      <w:r>
        <w:fldChar w:fldCharType="separate"/>
      </w:r>
      <w:r>
        <w:t>30</w:t>
      </w:r>
      <w:r>
        <w:fldChar w:fldCharType="end"/>
      </w:r>
    </w:p>
    <w:p>
      <w:pPr>
        <w:pStyle w:val="TOC8"/>
        <w:rPr>
          <w:rFonts w:asciiTheme="minorHAnsi" w:eastAsiaTheme="minorEastAsia" w:hAnsiTheme="minorHAnsi" w:cstheme="minorBidi"/>
          <w:szCs w:val="22"/>
        </w:rPr>
      </w:pPr>
      <w:r>
        <w:t>51.</w:t>
      </w:r>
      <w:r>
        <w:tab/>
        <w:t>Terms and conditions of appointment</w:t>
      </w:r>
      <w:r>
        <w:tab/>
      </w:r>
      <w:r>
        <w:fldChar w:fldCharType="begin"/>
      </w:r>
      <w:r>
        <w:instrText xml:space="preserve"> PAGEREF _Toc12358629 \h </w:instrText>
      </w:r>
      <w:r>
        <w:fldChar w:fldCharType="separate"/>
      </w:r>
      <w:r>
        <w:t>31</w:t>
      </w:r>
      <w:r>
        <w:fldChar w:fldCharType="end"/>
      </w:r>
    </w:p>
    <w:p>
      <w:pPr>
        <w:pStyle w:val="TOC8"/>
        <w:rPr>
          <w:rFonts w:asciiTheme="minorHAnsi" w:eastAsiaTheme="minorEastAsia" w:hAnsiTheme="minorHAnsi" w:cstheme="minorBidi"/>
          <w:szCs w:val="22"/>
        </w:rPr>
      </w:pPr>
      <w:r>
        <w:t>52.</w:t>
      </w:r>
      <w:r>
        <w:tab/>
        <w:t>Remuneration</w:t>
      </w:r>
      <w:r>
        <w:tab/>
      </w:r>
      <w:r>
        <w:fldChar w:fldCharType="begin"/>
      </w:r>
      <w:r>
        <w:instrText xml:space="preserve"> PAGEREF _Toc12358630 \h </w:instrText>
      </w:r>
      <w:r>
        <w:fldChar w:fldCharType="separate"/>
      </w:r>
      <w:r>
        <w:t>31</w:t>
      </w:r>
      <w:r>
        <w:fldChar w:fldCharType="end"/>
      </w:r>
    </w:p>
    <w:p>
      <w:pPr>
        <w:pStyle w:val="TOC8"/>
        <w:rPr>
          <w:rFonts w:asciiTheme="minorHAnsi" w:eastAsiaTheme="minorEastAsia" w:hAnsiTheme="minorHAnsi" w:cstheme="minorBidi"/>
          <w:szCs w:val="22"/>
        </w:rPr>
      </w:pPr>
      <w:r>
        <w:t>53.</w:t>
      </w:r>
      <w:r>
        <w:tab/>
        <w:t>Casual vacancies</w:t>
      </w:r>
      <w:r>
        <w:tab/>
      </w:r>
      <w:r>
        <w:fldChar w:fldCharType="begin"/>
      </w:r>
      <w:r>
        <w:instrText xml:space="preserve"> PAGEREF _Toc12358631 \h </w:instrText>
      </w:r>
      <w:r>
        <w:fldChar w:fldCharType="separate"/>
      </w:r>
      <w:r>
        <w:t>31</w:t>
      </w:r>
      <w:r>
        <w:fldChar w:fldCharType="end"/>
      </w:r>
    </w:p>
    <w:p>
      <w:pPr>
        <w:pStyle w:val="TOC8"/>
        <w:rPr>
          <w:rFonts w:asciiTheme="minorHAnsi" w:eastAsiaTheme="minorEastAsia" w:hAnsiTheme="minorHAnsi" w:cstheme="minorBidi"/>
          <w:szCs w:val="22"/>
        </w:rPr>
      </w:pPr>
      <w:r>
        <w:t>54.</w:t>
      </w:r>
      <w:r>
        <w:tab/>
        <w:t>Disclosure of material personal interests</w:t>
      </w:r>
      <w:r>
        <w:tab/>
      </w:r>
      <w:r>
        <w:fldChar w:fldCharType="begin"/>
      </w:r>
      <w:r>
        <w:instrText xml:space="preserve"> PAGEREF _Toc12358632 \h </w:instrText>
      </w:r>
      <w:r>
        <w:fldChar w:fldCharType="separate"/>
      </w:r>
      <w:r>
        <w:t>33</w:t>
      </w:r>
      <w:r>
        <w:fldChar w:fldCharType="end"/>
      </w:r>
    </w:p>
    <w:p>
      <w:pPr>
        <w:pStyle w:val="TOC8"/>
        <w:rPr>
          <w:rFonts w:asciiTheme="minorHAnsi" w:eastAsiaTheme="minorEastAsia" w:hAnsiTheme="minorHAnsi" w:cstheme="minorBidi"/>
          <w:szCs w:val="22"/>
        </w:rPr>
      </w:pPr>
      <w:r>
        <w:t>55.</w:t>
      </w:r>
      <w:r>
        <w:tab/>
        <w:t>Entitlements of public service officer as CEO</w:t>
      </w:r>
      <w:r>
        <w:tab/>
      </w:r>
      <w:r>
        <w:fldChar w:fldCharType="begin"/>
      </w:r>
      <w:r>
        <w:instrText xml:space="preserve"> PAGEREF _Toc12358633 \h </w:instrText>
      </w:r>
      <w:r>
        <w:fldChar w:fldCharType="separate"/>
      </w:r>
      <w:r>
        <w:t>33</w:t>
      </w:r>
      <w:r>
        <w:fldChar w:fldCharType="end"/>
      </w:r>
    </w:p>
    <w:p>
      <w:pPr>
        <w:pStyle w:val="TOC8"/>
        <w:rPr>
          <w:rFonts w:asciiTheme="minorHAnsi" w:eastAsiaTheme="minorEastAsia" w:hAnsiTheme="minorHAnsi" w:cstheme="minorBidi"/>
          <w:szCs w:val="22"/>
        </w:rPr>
      </w:pPr>
      <w:r>
        <w:t>56.</w:t>
      </w:r>
      <w:r>
        <w:tab/>
        <w:t>No outside employment</w:t>
      </w:r>
      <w:r>
        <w:tab/>
      </w:r>
      <w:r>
        <w:fldChar w:fldCharType="begin"/>
      </w:r>
      <w:r>
        <w:instrText xml:space="preserve"> PAGEREF _Toc12358634 \h </w:instrText>
      </w:r>
      <w:r>
        <w:fldChar w:fldCharType="separate"/>
      </w:r>
      <w:r>
        <w:t>34</w:t>
      </w:r>
      <w:r>
        <w:fldChar w:fldCharType="end"/>
      </w:r>
    </w:p>
    <w:p>
      <w:pPr>
        <w:pStyle w:val="TOC8"/>
        <w:rPr>
          <w:rFonts w:asciiTheme="minorHAnsi" w:eastAsiaTheme="minorEastAsia" w:hAnsiTheme="minorHAnsi" w:cstheme="minorBidi"/>
          <w:szCs w:val="22"/>
        </w:rPr>
      </w:pPr>
      <w:r>
        <w:t>57.</w:t>
      </w:r>
      <w:r>
        <w:tab/>
        <w:t>Acting CEO</w:t>
      </w:r>
      <w:r>
        <w:tab/>
      </w:r>
      <w:r>
        <w:fldChar w:fldCharType="begin"/>
      </w:r>
      <w:r>
        <w:instrText xml:space="preserve"> PAGEREF _Toc12358635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58.</w:t>
      </w:r>
      <w:r>
        <w:tab/>
        <w:t>Other staff</w:t>
      </w:r>
      <w:r>
        <w:tab/>
      </w:r>
      <w:r>
        <w:fldChar w:fldCharType="begin"/>
      </w:r>
      <w:r>
        <w:instrText xml:space="preserve"> PAGEREF _Toc12358637 \h </w:instrText>
      </w:r>
      <w:r>
        <w:fldChar w:fldCharType="separate"/>
      </w:r>
      <w:r>
        <w:t>35</w:t>
      </w:r>
      <w:r>
        <w:fldChar w:fldCharType="end"/>
      </w:r>
    </w:p>
    <w:p>
      <w:pPr>
        <w:pStyle w:val="TOC8"/>
        <w:rPr>
          <w:rFonts w:asciiTheme="minorHAnsi" w:eastAsiaTheme="minorEastAsia" w:hAnsiTheme="minorHAnsi" w:cstheme="minorBidi"/>
          <w:szCs w:val="22"/>
        </w:rPr>
      </w:pPr>
      <w:r>
        <w:t>59.</w:t>
      </w:r>
      <w:r>
        <w:tab/>
        <w:t>Use of government staff and facilities</w:t>
      </w:r>
      <w:r>
        <w:tab/>
      </w:r>
      <w:r>
        <w:fldChar w:fldCharType="begin"/>
      </w:r>
      <w:r>
        <w:instrText xml:space="preserve"> PAGEREF _Toc12358638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Accountability and financial provisions</w:t>
      </w:r>
    </w:p>
    <w:p>
      <w:pPr>
        <w:pStyle w:val="TOC8"/>
        <w:rPr>
          <w:rFonts w:asciiTheme="minorHAnsi" w:eastAsiaTheme="minorEastAsia" w:hAnsiTheme="minorHAnsi" w:cstheme="minorBidi"/>
          <w:szCs w:val="22"/>
        </w:rPr>
      </w:pPr>
      <w:r>
        <w:t>60.</w:t>
      </w:r>
      <w:r>
        <w:tab/>
        <w:t>Premier may give directions</w:t>
      </w:r>
      <w:r>
        <w:tab/>
      </w:r>
      <w:r>
        <w:fldChar w:fldCharType="begin"/>
      </w:r>
      <w:r>
        <w:instrText xml:space="preserve"> PAGEREF _Toc12358640 \h </w:instrText>
      </w:r>
      <w:r>
        <w:fldChar w:fldCharType="separate"/>
      </w:r>
      <w:r>
        <w:t>35</w:t>
      </w:r>
      <w:r>
        <w:fldChar w:fldCharType="end"/>
      </w:r>
    </w:p>
    <w:p>
      <w:pPr>
        <w:pStyle w:val="TOC8"/>
        <w:rPr>
          <w:rFonts w:asciiTheme="minorHAnsi" w:eastAsiaTheme="minorEastAsia" w:hAnsiTheme="minorHAnsi" w:cstheme="minorBidi"/>
          <w:szCs w:val="22"/>
        </w:rPr>
      </w:pPr>
      <w:r>
        <w:t>61.</w:t>
      </w:r>
      <w:r>
        <w:tab/>
        <w:t>Premier to have access to information</w:t>
      </w:r>
      <w:r>
        <w:tab/>
      </w:r>
      <w:r>
        <w:fldChar w:fldCharType="begin"/>
      </w:r>
      <w:r>
        <w:instrText xml:space="preserve"> PAGEREF _Toc12358641 \h </w:instrText>
      </w:r>
      <w:r>
        <w:fldChar w:fldCharType="separate"/>
      </w:r>
      <w:r>
        <w:t>36</w:t>
      </w:r>
      <w:r>
        <w:fldChar w:fldCharType="end"/>
      </w:r>
    </w:p>
    <w:p>
      <w:pPr>
        <w:pStyle w:val="TOC8"/>
        <w:rPr>
          <w:rFonts w:asciiTheme="minorHAnsi" w:eastAsiaTheme="minorEastAsia" w:hAnsiTheme="minorHAnsi" w:cstheme="minorBidi"/>
          <w:szCs w:val="22"/>
        </w:rPr>
      </w:pPr>
      <w:r>
        <w:t>62.</w:t>
      </w:r>
      <w:r>
        <w:tab/>
        <w:t xml:space="preserve">Application of </w:t>
      </w:r>
      <w:r>
        <w:rPr>
          <w:i/>
        </w:rPr>
        <w:t>Financial Management Act 2006</w:t>
      </w:r>
      <w:r>
        <w:t xml:space="preserve"> and </w:t>
      </w:r>
      <w:r>
        <w:rPr>
          <w:i/>
        </w:rPr>
        <w:t>Auditor General Act 2006</w:t>
      </w:r>
      <w:r>
        <w:tab/>
      </w:r>
      <w:r>
        <w:fldChar w:fldCharType="begin"/>
      </w:r>
      <w:r>
        <w:instrText xml:space="preserve"> PAGEREF _Toc12358642 \h </w:instrText>
      </w:r>
      <w:r>
        <w:fldChar w:fldCharType="separate"/>
      </w:r>
      <w:r>
        <w:t>37</w:t>
      </w:r>
      <w:r>
        <w:fldChar w:fldCharType="end"/>
      </w:r>
    </w:p>
    <w:p>
      <w:pPr>
        <w:pStyle w:val="TOC8"/>
        <w:rPr>
          <w:rFonts w:asciiTheme="minorHAnsi" w:eastAsiaTheme="minorEastAsia" w:hAnsiTheme="minorHAnsi" w:cstheme="minorBidi"/>
          <w:szCs w:val="22"/>
        </w:rPr>
      </w:pPr>
      <w:r>
        <w:t>63.</w:t>
      </w:r>
      <w:r>
        <w:tab/>
        <w:t>Infrastructure WA’s funds</w:t>
      </w:r>
      <w:r>
        <w:tab/>
      </w:r>
      <w:r>
        <w:fldChar w:fldCharType="begin"/>
      </w:r>
      <w:r>
        <w:instrText xml:space="preserve"> PAGEREF _Toc12358643 \h </w:instrText>
      </w:r>
      <w:r>
        <w:fldChar w:fldCharType="separate"/>
      </w:r>
      <w:r>
        <w:t>37</w:t>
      </w:r>
      <w:r>
        <w:fldChar w:fldCharType="end"/>
      </w:r>
    </w:p>
    <w:p>
      <w:pPr>
        <w:pStyle w:val="TOC8"/>
        <w:rPr>
          <w:rFonts w:asciiTheme="minorHAnsi" w:eastAsiaTheme="minorEastAsia" w:hAnsiTheme="minorHAnsi" w:cstheme="minorBidi"/>
          <w:szCs w:val="22"/>
        </w:rPr>
      </w:pPr>
      <w:r>
        <w:t>64.</w:t>
      </w:r>
      <w:r>
        <w:tab/>
        <w:t>Protection for disclosure or compliance with directions</w:t>
      </w:r>
      <w:r>
        <w:tab/>
      </w:r>
      <w:r>
        <w:fldChar w:fldCharType="begin"/>
      </w:r>
      <w:r>
        <w:instrText xml:space="preserve"> PAGEREF _Toc12358644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Protection of information</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_Toc12358647 \h </w:instrText>
      </w:r>
      <w:r>
        <w:fldChar w:fldCharType="separate"/>
      </w:r>
      <w:r>
        <w:t>38</w:t>
      </w:r>
      <w:r>
        <w:fldChar w:fldCharType="end"/>
      </w:r>
    </w:p>
    <w:p>
      <w:pPr>
        <w:pStyle w:val="TOC8"/>
        <w:rPr>
          <w:rFonts w:asciiTheme="minorHAnsi" w:eastAsiaTheme="minorEastAsia" w:hAnsiTheme="minorHAnsi" w:cstheme="minorBidi"/>
          <w:szCs w:val="22"/>
        </w:rPr>
      </w:pPr>
      <w:r>
        <w:t>66.</w:t>
      </w:r>
      <w:r>
        <w:tab/>
        <w:t>Authorised use or disclosure of information</w:t>
      </w:r>
      <w:r>
        <w:tab/>
      </w:r>
      <w:r>
        <w:fldChar w:fldCharType="begin"/>
      </w:r>
      <w:r>
        <w:instrText xml:space="preserve"> PAGEREF _Toc12358648 \h </w:instrText>
      </w:r>
      <w:r>
        <w:fldChar w:fldCharType="separate"/>
      </w:r>
      <w:r>
        <w:t>38</w:t>
      </w:r>
      <w:r>
        <w:fldChar w:fldCharType="end"/>
      </w:r>
    </w:p>
    <w:p>
      <w:pPr>
        <w:pStyle w:val="TOC8"/>
        <w:rPr>
          <w:rFonts w:asciiTheme="minorHAnsi" w:eastAsiaTheme="minorEastAsia" w:hAnsiTheme="minorHAnsi" w:cstheme="minorBidi"/>
          <w:szCs w:val="22"/>
        </w:rPr>
      </w:pPr>
      <w:r>
        <w:t>67.</w:t>
      </w:r>
      <w:r>
        <w:tab/>
        <w:t>Restrictions on disclosure of sensitive information</w:t>
      </w:r>
      <w:r>
        <w:tab/>
      </w:r>
      <w:r>
        <w:fldChar w:fldCharType="begin"/>
      </w:r>
      <w:r>
        <w:instrText xml:space="preserve"> PAGEREF _Toc12358649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68.</w:t>
      </w:r>
      <w:r>
        <w:tab/>
        <w:t>Execution of documents</w:t>
      </w:r>
      <w:r>
        <w:tab/>
      </w:r>
      <w:r>
        <w:fldChar w:fldCharType="begin"/>
      </w:r>
      <w:r>
        <w:instrText xml:space="preserve"> PAGEREF _Toc12358651 \h </w:instrText>
      </w:r>
      <w:r>
        <w:fldChar w:fldCharType="separate"/>
      </w:r>
      <w:r>
        <w:t>40</w:t>
      </w:r>
      <w:r>
        <w:fldChar w:fldCharType="end"/>
      </w:r>
    </w:p>
    <w:p>
      <w:pPr>
        <w:pStyle w:val="TOC8"/>
        <w:rPr>
          <w:rFonts w:asciiTheme="minorHAnsi" w:eastAsiaTheme="minorEastAsia" w:hAnsiTheme="minorHAnsi" w:cstheme="minorBidi"/>
          <w:szCs w:val="22"/>
        </w:rPr>
      </w:pPr>
      <w:r>
        <w:t>69.</w:t>
      </w:r>
      <w:r>
        <w:tab/>
        <w:t>Protection from liability for wrongdoing</w:t>
      </w:r>
      <w:r>
        <w:tab/>
      </w:r>
      <w:r>
        <w:fldChar w:fldCharType="begin"/>
      </w:r>
      <w:r>
        <w:instrText xml:space="preserve"> PAGEREF _Toc12358652 \h </w:instrText>
      </w:r>
      <w:r>
        <w:fldChar w:fldCharType="separate"/>
      </w:r>
      <w:r>
        <w:t>41</w:t>
      </w:r>
      <w:r>
        <w:fldChar w:fldCharType="end"/>
      </w:r>
    </w:p>
    <w:p>
      <w:pPr>
        <w:pStyle w:val="TOC8"/>
        <w:rPr>
          <w:rFonts w:asciiTheme="minorHAnsi" w:eastAsiaTheme="minorEastAsia" w:hAnsiTheme="minorHAnsi" w:cstheme="minorBidi"/>
          <w:szCs w:val="22"/>
        </w:rPr>
      </w:pPr>
      <w:r>
        <w:t>70.</w:t>
      </w:r>
      <w:r>
        <w:tab/>
        <w:t>Making certain things publicly available</w:t>
      </w:r>
      <w:r>
        <w:tab/>
      </w:r>
      <w:r>
        <w:fldChar w:fldCharType="begin"/>
      </w:r>
      <w:r>
        <w:instrText xml:space="preserve"> PAGEREF _Toc12358653 \h </w:instrText>
      </w:r>
      <w:r>
        <w:fldChar w:fldCharType="separate"/>
      </w:r>
      <w:r>
        <w:t>41</w:t>
      </w:r>
      <w:r>
        <w:fldChar w:fldCharType="end"/>
      </w:r>
    </w:p>
    <w:p>
      <w:pPr>
        <w:pStyle w:val="TOC8"/>
        <w:rPr>
          <w:rFonts w:asciiTheme="minorHAnsi" w:eastAsiaTheme="minorEastAsia" w:hAnsiTheme="minorHAnsi" w:cstheme="minorBidi"/>
          <w:szCs w:val="22"/>
        </w:rPr>
      </w:pPr>
      <w:r>
        <w:t>71.</w:t>
      </w:r>
      <w:r>
        <w:tab/>
        <w:t>Laying documents before Parliament not sitting</w:t>
      </w:r>
      <w:r>
        <w:tab/>
      </w:r>
      <w:r>
        <w:fldChar w:fldCharType="begin"/>
      </w:r>
      <w:r>
        <w:instrText xml:space="preserve"> PAGEREF _Toc12358654 \h </w:instrText>
      </w:r>
      <w:r>
        <w:fldChar w:fldCharType="separate"/>
      </w:r>
      <w:r>
        <w:t>42</w:t>
      </w:r>
      <w:r>
        <w:fldChar w:fldCharType="end"/>
      </w:r>
    </w:p>
    <w:p>
      <w:pPr>
        <w:pStyle w:val="TOC8"/>
        <w:rPr>
          <w:rFonts w:asciiTheme="minorHAnsi" w:eastAsiaTheme="minorEastAsia" w:hAnsiTheme="minorHAnsi" w:cstheme="minorBidi"/>
          <w:szCs w:val="22"/>
        </w:rPr>
      </w:pPr>
      <w:r>
        <w:t>72.</w:t>
      </w:r>
      <w:r>
        <w:tab/>
        <w:t>Regulations</w:t>
      </w:r>
      <w:r>
        <w:tab/>
      </w:r>
      <w:r>
        <w:fldChar w:fldCharType="begin"/>
      </w:r>
      <w:r>
        <w:instrText xml:space="preserve"> PAGEREF _Toc12358655 \h </w:instrText>
      </w:r>
      <w:r>
        <w:fldChar w:fldCharType="separate"/>
      </w:r>
      <w:r>
        <w:t>42</w:t>
      </w:r>
      <w:r>
        <w:fldChar w:fldCharType="end"/>
      </w:r>
    </w:p>
    <w:p>
      <w:pPr>
        <w:pStyle w:val="TOC8"/>
        <w:rPr>
          <w:rFonts w:asciiTheme="minorHAnsi" w:eastAsiaTheme="minorEastAsia" w:hAnsiTheme="minorHAnsi" w:cstheme="minorBidi"/>
          <w:szCs w:val="22"/>
        </w:rPr>
      </w:pPr>
      <w:r>
        <w:t>73.</w:t>
      </w:r>
      <w:r>
        <w:tab/>
        <w:t>Review of Act</w:t>
      </w:r>
      <w:r>
        <w:tab/>
      </w:r>
      <w:r>
        <w:fldChar w:fldCharType="begin"/>
      </w:r>
      <w:r>
        <w:instrText xml:space="preserve"> PAGEREF _Toc12358656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 to other Acts</w:t>
      </w:r>
    </w:p>
    <w:p>
      <w:pPr>
        <w:pStyle w:val="TOC8"/>
        <w:rPr>
          <w:rFonts w:asciiTheme="minorHAnsi" w:eastAsiaTheme="minorEastAsia" w:hAnsiTheme="minorHAnsi" w:cstheme="minorBidi"/>
          <w:szCs w:val="22"/>
        </w:rPr>
      </w:pPr>
      <w:r>
        <w:t>74.</w:t>
      </w:r>
      <w:r>
        <w:tab/>
      </w:r>
      <w:r>
        <w:rPr>
          <w:i/>
        </w:rPr>
        <w:t>Constitution Acts Amendment Act 1899</w:t>
      </w:r>
      <w:r>
        <w:t xml:space="preserve"> amended</w:t>
      </w:r>
      <w:r>
        <w:tab/>
      </w:r>
      <w:r>
        <w:fldChar w:fldCharType="begin"/>
      </w:r>
      <w:r>
        <w:instrText xml:space="preserve"> PAGEREF _Toc12358658 \h </w:instrText>
      </w:r>
      <w:r>
        <w:fldChar w:fldCharType="separate"/>
      </w:r>
      <w:r>
        <w:t>44</w:t>
      </w:r>
      <w:r>
        <w:fldChar w:fldCharType="end"/>
      </w:r>
    </w:p>
    <w:p>
      <w:pPr>
        <w:pStyle w:val="TOC8"/>
        <w:rPr>
          <w:rFonts w:asciiTheme="minorHAnsi" w:eastAsiaTheme="minorEastAsia" w:hAnsiTheme="minorHAnsi" w:cstheme="minorBidi"/>
          <w:szCs w:val="22"/>
        </w:rPr>
      </w:pPr>
      <w:r>
        <w:t>75.</w:t>
      </w:r>
      <w:r>
        <w:tab/>
      </w:r>
      <w:r>
        <w:rPr>
          <w:i/>
        </w:rPr>
        <w:t>Financial Management Act 2006</w:t>
      </w:r>
      <w:r>
        <w:t xml:space="preserve"> amended</w:t>
      </w:r>
      <w:r>
        <w:tab/>
      </w:r>
      <w:r>
        <w:fldChar w:fldCharType="begin"/>
      </w:r>
      <w:r>
        <w:instrText xml:space="preserve"> PAGEREF _Toc12358659 \h </w:instrText>
      </w:r>
      <w:r>
        <w:fldChar w:fldCharType="separate"/>
      </w:r>
      <w:r>
        <w:t>44</w:t>
      </w:r>
      <w:r>
        <w:fldChar w:fldCharType="end"/>
      </w:r>
    </w:p>
    <w:p>
      <w:pPr>
        <w:pStyle w:val="TOC8"/>
        <w:rPr>
          <w:rFonts w:asciiTheme="minorHAnsi" w:eastAsiaTheme="minorEastAsia" w:hAnsiTheme="minorHAnsi" w:cstheme="minorBidi"/>
          <w:szCs w:val="22"/>
        </w:rPr>
      </w:pPr>
      <w:r>
        <w:t>76.</w:t>
      </w:r>
      <w:r>
        <w:tab/>
      </w:r>
      <w:r>
        <w:rPr>
          <w:i/>
        </w:rPr>
        <w:t>Planning and Development Act 2005</w:t>
      </w:r>
      <w:r>
        <w:t xml:space="preserve"> amended</w:t>
      </w:r>
      <w:r>
        <w:tab/>
      </w:r>
      <w:r>
        <w:fldChar w:fldCharType="begin"/>
      </w:r>
      <w:r>
        <w:instrText xml:space="preserve"> PAGEREF _Toc12358660 \h </w:instrText>
      </w:r>
      <w:r>
        <w:fldChar w:fldCharType="separate"/>
      </w:r>
      <w:r>
        <w:t>44</w:t>
      </w:r>
      <w:r>
        <w:fldChar w:fldCharType="end"/>
      </w:r>
    </w:p>
    <w:p>
      <w:pPr>
        <w:pStyle w:val="TOC8"/>
        <w:rPr>
          <w:rFonts w:asciiTheme="minorHAnsi" w:eastAsiaTheme="minorEastAsia" w:hAnsiTheme="minorHAnsi" w:cstheme="minorBidi"/>
          <w:szCs w:val="22"/>
        </w:rPr>
      </w:pPr>
      <w:r>
        <w:t>77.</w:t>
      </w:r>
      <w:r>
        <w:tab/>
      </w:r>
      <w:r>
        <w:rPr>
          <w:i/>
        </w:rPr>
        <w:t>Public Sector Management Act 1994</w:t>
      </w:r>
      <w:r>
        <w:t xml:space="preserve"> amended</w:t>
      </w:r>
      <w:r>
        <w:tab/>
      </w:r>
      <w:r>
        <w:fldChar w:fldCharType="begin"/>
      </w:r>
      <w:r>
        <w:instrText xml:space="preserve"> PAGEREF _Toc12358661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spacing w:before="120"/>
      </w:pPr>
      <w:r>
        <w:t>Infrastructure Western Australia Act 2019</w:t>
      </w:r>
    </w:p>
    <w:p>
      <w:pPr>
        <w:pStyle w:val="ABillFor"/>
        <w:pBdr>
          <w:top w:val="single" w:sz="4" w:space="6" w:color="auto"/>
          <w:bottom w:val="single" w:sz="4" w:space="6" w:color="auto"/>
        </w:pBdr>
        <w:spacing w:before="0" w:after="240"/>
        <w:ind w:left="2551" w:right="2551"/>
      </w:pPr>
      <w:bookmarkStart w:id="3" w:name="BillCited"/>
      <w:bookmarkEnd w:id="3"/>
      <w:r>
        <w:t>No. 13 of 2019</w:t>
      </w:r>
    </w:p>
    <w:p>
      <w:pPr>
        <w:pStyle w:val="LongTitle"/>
        <w:suppressLineNumbers/>
      </w:pPr>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pStyle w:val="AssentNote"/>
      </w:pPr>
      <w:r>
        <w:t>[Assented to 24 June 2019]</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358122"/>
      <w:bookmarkStart w:id="5" w:name="_Toc12358564"/>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12358565"/>
      <w:r>
        <w:rPr>
          <w:rStyle w:val="CharSectno"/>
        </w:rPr>
        <w:t>1</w:t>
      </w:r>
      <w:r>
        <w:t>.</w:t>
      </w:r>
      <w:r>
        <w:tab/>
        <w:t>Short title</w:t>
      </w:r>
      <w:bookmarkEnd w:id="6"/>
    </w:p>
    <w:p>
      <w:pPr>
        <w:pStyle w:val="Subsection"/>
      </w:pPr>
      <w:r>
        <w:tab/>
      </w:r>
      <w:r>
        <w:tab/>
        <w:t>This is the</w:t>
      </w:r>
      <w:r>
        <w:rPr>
          <w:i/>
        </w:rPr>
        <w:t xml:space="preserve"> Infrastructure Western Australia Act 2019</w:t>
      </w:r>
      <w:r>
        <w:t>.</w:t>
      </w:r>
    </w:p>
    <w:p>
      <w:pPr>
        <w:pStyle w:val="Heading5"/>
      </w:pPr>
      <w:bookmarkStart w:id="7" w:name="_Toc1235856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8" w:name="_Toc12358567"/>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9" w:name="_Toc12358568"/>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2358127"/>
      <w:bookmarkStart w:id="11" w:name="_Toc12358569"/>
      <w:r>
        <w:rPr>
          <w:rStyle w:val="CharPartNo"/>
        </w:rPr>
        <w:t>Part 2</w:t>
      </w:r>
      <w:r>
        <w:t> — </w:t>
      </w:r>
      <w:r>
        <w:rPr>
          <w:rStyle w:val="CharPartText"/>
        </w:rPr>
        <w:t>Infrastructure WA</w:t>
      </w:r>
      <w:bookmarkEnd w:id="10"/>
      <w:bookmarkEnd w:id="11"/>
    </w:p>
    <w:p>
      <w:pPr>
        <w:pStyle w:val="Heading5"/>
      </w:pPr>
      <w:bookmarkStart w:id="12" w:name="_Toc12358570"/>
      <w:r>
        <w:rPr>
          <w:rStyle w:val="CharSectno"/>
        </w:rPr>
        <w:t>5</w:t>
      </w:r>
      <w:r>
        <w:t>.</w:t>
      </w:r>
      <w:r>
        <w:tab/>
        <w:t>Infrastructure WA established</w:t>
      </w:r>
      <w:bookmarkEnd w:id="12"/>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13" w:name="_Toc12358571"/>
      <w:r>
        <w:rPr>
          <w:rStyle w:val="CharSectno"/>
        </w:rPr>
        <w:t>6</w:t>
      </w:r>
      <w:r>
        <w:t>.</w:t>
      </w:r>
      <w:r>
        <w:tab/>
        <w:t>Agent of Crown</w:t>
      </w:r>
      <w:bookmarkEnd w:id="13"/>
    </w:p>
    <w:p>
      <w:pPr>
        <w:pStyle w:val="Subsection"/>
      </w:pPr>
      <w:r>
        <w:tab/>
      </w:r>
      <w:r>
        <w:tab/>
        <w:t>Infrastructure WA is an agent of the Crown and has the status, immunity and privileges of the Crown.</w:t>
      </w:r>
    </w:p>
    <w:p>
      <w:pPr>
        <w:pStyle w:val="Heading5"/>
      </w:pPr>
      <w:bookmarkStart w:id="14" w:name="_Toc12358572"/>
      <w:r>
        <w:rPr>
          <w:rStyle w:val="CharSectno"/>
        </w:rPr>
        <w:t>7</w:t>
      </w:r>
      <w:r>
        <w:t>.</w:t>
      </w:r>
      <w:r>
        <w:tab/>
        <w:t>Principal objects</w:t>
      </w:r>
      <w:bookmarkEnd w:id="14"/>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15" w:name="_Toc12358573"/>
      <w:r>
        <w:rPr>
          <w:rStyle w:val="CharSectno"/>
        </w:rPr>
        <w:t>8</w:t>
      </w:r>
      <w:r>
        <w:t>.</w:t>
      </w:r>
      <w:r>
        <w:tab/>
        <w:t>Functions</w:t>
      </w:r>
      <w:bookmarkEnd w:id="15"/>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Indenta"/>
      </w:pPr>
      <w:r>
        <w:tab/>
        <w:t>(b)</w:t>
      </w:r>
      <w:r>
        <w:tab/>
        <w:t>to assess and report to the Premier on major infrastructure proposals, in accordance with Part 3 Division 3;</w:t>
      </w:r>
    </w:p>
    <w:p>
      <w:pPr>
        <w:pStyle w:val="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16" w:name="_Toc12358574"/>
      <w:r>
        <w:rPr>
          <w:rStyle w:val="CharSectno"/>
        </w:rPr>
        <w:t>9</w:t>
      </w:r>
      <w:r>
        <w:t>.</w:t>
      </w:r>
      <w:r>
        <w:tab/>
        <w:t>Advice and reports may be made publicly available</w:t>
      </w:r>
      <w:bookmarkEnd w:id="16"/>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17" w:name="_Toc12358575"/>
      <w:r>
        <w:rPr>
          <w:rStyle w:val="CharSectno"/>
        </w:rPr>
        <w:t>10</w:t>
      </w:r>
      <w:r>
        <w:t>.</w:t>
      </w:r>
      <w:r>
        <w:tab/>
        <w:t>Annual work programme</w:t>
      </w:r>
      <w:bookmarkEnd w:id="17"/>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18" w:name="_Toc12358576"/>
      <w:r>
        <w:rPr>
          <w:rStyle w:val="CharSectno"/>
        </w:rPr>
        <w:t>11</w:t>
      </w:r>
      <w:r>
        <w:t>.</w:t>
      </w:r>
      <w:r>
        <w:tab/>
        <w:t>Powers</w:t>
      </w:r>
      <w:bookmarkEnd w:id="18"/>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19" w:name="_Toc12358577"/>
      <w:r>
        <w:rPr>
          <w:rStyle w:val="CharSectno"/>
        </w:rPr>
        <w:t>12</w:t>
      </w:r>
      <w:r>
        <w:t>.</w:t>
      </w:r>
      <w:r>
        <w:tab/>
        <w:t>Delegation</w:t>
      </w:r>
      <w:bookmarkEnd w:id="19"/>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20" w:name="_Toc12358136"/>
      <w:bookmarkStart w:id="21" w:name="_Toc12358578"/>
      <w:r>
        <w:rPr>
          <w:rStyle w:val="CharPartNo"/>
        </w:rPr>
        <w:t>Part 3</w:t>
      </w:r>
      <w:r>
        <w:t> — </w:t>
      </w:r>
      <w:r>
        <w:rPr>
          <w:rStyle w:val="CharPartText"/>
        </w:rPr>
        <w:t>Infrastructure strategy and planning</w:t>
      </w:r>
      <w:bookmarkEnd w:id="20"/>
      <w:bookmarkEnd w:id="21"/>
    </w:p>
    <w:p>
      <w:pPr>
        <w:pStyle w:val="Heading3"/>
      </w:pPr>
      <w:bookmarkStart w:id="22" w:name="_Toc12358137"/>
      <w:bookmarkStart w:id="23" w:name="_Toc12358579"/>
      <w:r>
        <w:rPr>
          <w:rStyle w:val="CharDivNo"/>
        </w:rPr>
        <w:t>Division 1</w:t>
      </w:r>
      <w:r>
        <w:t> — </w:t>
      </w:r>
      <w:r>
        <w:rPr>
          <w:rStyle w:val="CharDivText"/>
        </w:rPr>
        <w:t>State Infrastructure Strategy</w:t>
      </w:r>
      <w:bookmarkEnd w:id="22"/>
      <w:bookmarkEnd w:id="23"/>
    </w:p>
    <w:p>
      <w:pPr>
        <w:pStyle w:val="Heading5"/>
      </w:pPr>
      <w:bookmarkStart w:id="24" w:name="_Toc12358580"/>
      <w:r>
        <w:rPr>
          <w:rStyle w:val="CharSectno"/>
        </w:rPr>
        <w:t>13</w:t>
      </w:r>
      <w:r>
        <w:t>.</w:t>
      </w:r>
      <w:r>
        <w:tab/>
        <w:t>Preparation and submission to Premier</w:t>
      </w:r>
      <w:bookmarkEnd w:id="24"/>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25" w:name="_Toc12358581"/>
      <w:r>
        <w:rPr>
          <w:rStyle w:val="CharSectno"/>
        </w:rPr>
        <w:t>14</w:t>
      </w:r>
      <w:r>
        <w:t>.</w:t>
      </w:r>
      <w:r>
        <w:tab/>
        <w:t>Content and preparation</w:t>
      </w:r>
      <w:bookmarkEnd w:id="25"/>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pPr>
      <w:r>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26" w:name="_Toc12358582"/>
      <w:r>
        <w:rPr>
          <w:rStyle w:val="CharSectno"/>
        </w:rPr>
        <w:t>15</w:t>
      </w:r>
      <w:r>
        <w:t>.</w:t>
      </w:r>
      <w:r>
        <w:tab/>
        <w:t>Acceptance, tabling and publication</w:t>
      </w:r>
      <w:bookmarkEnd w:id="26"/>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27" w:name="_Toc12358583"/>
      <w:r>
        <w:rPr>
          <w:rStyle w:val="CharSectno"/>
        </w:rPr>
        <w:t>16</w:t>
      </w:r>
      <w:r>
        <w:t>.</w:t>
      </w:r>
      <w:r>
        <w:tab/>
        <w:t>Government response</w:t>
      </w:r>
      <w:bookmarkEnd w:id="27"/>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28" w:name="_Toc12358584"/>
      <w:r>
        <w:rPr>
          <w:rStyle w:val="CharSectno"/>
        </w:rPr>
        <w:t>17</w:t>
      </w:r>
      <w:r>
        <w:t>.</w:t>
      </w:r>
      <w:r>
        <w:tab/>
        <w:t>Amendment</w:t>
      </w:r>
      <w:bookmarkEnd w:id="28"/>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Heading3"/>
      </w:pPr>
      <w:bookmarkStart w:id="29" w:name="_Toc12358143"/>
      <w:bookmarkStart w:id="30" w:name="_Toc12358585"/>
      <w:r>
        <w:rPr>
          <w:rStyle w:val="CharDivNo"/>
        </w:rPr>
        <w:t>Division 2</w:t>
      </w:r>
      <w:r>
        <w:t> — </w:t>
      </w:r>
      <w:r>
        <w:rPr>
          <w:rStyle w:val="CharDivText"/>
        </w:rPr>
        <w:t>State Infrastructure Programmes</w:t>
      </w:r>
      <w:bookmarkEnd w:id="29"/>
      <w:bookmarkEnd w:id="30"/>
    </w:p>
    <w:p>
      <w:pPr>
        <w:pStyle w:val="Heading5"/>
      </w:pPr>
      <w:bookmarkStart w:id="31" w:name="_Toc12358586"/>
      <w:r>
        <w:rPr>
          <w:rStyle w:val="CharSectno"/>
        </w:rPr>
        <w:t>18</w:t>
      </w:r>
      <w:r>
        <w:t>.</w:t>
      </w:r>
      <w:r>
        <w:tab/>
        <w:t>State Infrastructure Programmes</w:t>
      </w:r>
      <w:bookmarkEnd w:id="31"/>
    </w:p>
    <w:p>
      <w:pPr>
        <w:pStyle w:val="Subsection"/>
      </w:pPr>
      <w:r>
        <w:tab/>
        <w:t>(1)</w:t>
      </w:r>
      <w:r>
        <w:tab/>
        <w:t>The Premier must, in consultation with the Treasurer, prepare annual State Infrastructure Programmes and make them publicly available.</w:t>
      </w:r>
    </w:p>
    <w:p>
      <w:pPr>
        <w:pStyle w:val="Subsection"/>
      </w:pPr>
      <w:r>
        <w:tab/>
        <w:t>(2)</w:t>
      </w:r>
      <w:r>
        <w:tab/>
        <w:t>Each State Infrastructure Programme must be made publicly available within 3 months after the day on which the State Budget, for the first of the years to which the programme relates, is presented in the Legislative Assembly.</w:t>
      </w:r>
    </w:p>
    <w:p>
      <w:pPr>
        <w:pStyle w:val="Subsection"/>
      </w:pPr>
      <w:r>
        <w:tab/>
        <w:t>(3)</w:t>
      </w:r>
      <w:r>
        <w:tab/>
        <w:t>A State Infrastructure Programme must cover a 10</w:t>
      </w:r>
      <w:r>
        <w:noBreakHyphen/>
        <w:t xml:space="preserve">year period and must include — </w:t>
      </w:r>
    </w:p>
    <w:p>
      <w:pPr>
        <w:pStyle w:val="Indenta"/>
      </w:pPr>
      <w:r>
        <w:tab/>
        <w:t>(a)</w:t>
      </w:r>
      <w:r>
        <w:tab/>
        <w:t>an overview of the Government’s proposed significant infrastructure investments for the year to which the Budget relates and the years covered by the forward estimates; and</w:t>
      </w:r>
    </w:p>
    <w:p>
      <w:pPr>
        <w:pStyle w:val="Indenta"/>
      </w:pPr>
      <w:r>
        <w:tab/>
        <w:t>(b)</w:t>
      </w:r>
      <w:r>
        <w:tab/>
        <w:t>an overview of Western Australia’s expected significant infrastructure needs and challenges over the remaining years and, where relevant, options to address them.</w:t>
      </w:r>
    </w:p>
    <w:p>
      <w:pPr>
        <w:pStyle w:val="Subsection"/>
      </w:pPr>
      <w:r>
        <w:tab/>
        <w:t>(4)</w:t>
      </w:r>
      <w:r>
        <w:tab/>
        <w:t xml:space="preserve">When preparing a State Infrastructure Programme, the Premier must — </w:t>
      </w:r>
    </w:p>
    <w:p>
      <w:pPr>
        <w:pStyle w:val="Indenta"/>
      </w:pPr>
      <w:r>
        <w:tab/>
        <w:t>(a)</w:t>
      </w:r>
      <w:r>
        <w:tab/>
        <w:t>take into account the recommendations in the State Infrastructure Strategy, to the extent to which the recommendations are supported by the current Government response; and</w:t>
      </w:r>
    </w:p>
    <w:p>
      <w:pPr>
        <w:pStyle w:val="Indenta"/>
      </w:pPr>
      <w:r>
        <w:tab/>
        <w:t>(b)</w:t>
      </w:r>
      <w:r>
        <w:tab/>
        <w:t>seek Infrastructure WA’s advice.</w:t>
      </w:r>
    </w:p>
    <w:p>
      <w:pPr>
        <w:pStyle w:val="Subsection"/>
      </w:pPr>
      <w:r>
        <w:tab/>
        <w:t>(5)</w:t>
      </w:r>
      <w:r>
        <w:tab/>
        <w:t>The Premier may amend the State Infrastructure Programme and subsections (1) and (4) apply with the necessary modifications.</w:t>
      </w:r>
    </w:p>
    <w:p>
      <w:pPr>
        <w:pStyle w:val="Subsection"/>
      </w:pPr>
      <w:r>
        <w:tab/>
        <w:t>(6)</w:t>
      </w:r>
      <w:r>
        <w:tab/>
        <w:t>The regulations may provide for the detail of the content of State Infrastructure Programmes.</w:t>
      </w:r>
    </w:p>
    <w:p>
      <w:pPr>
        <w:pStyle w:val="Heading3"/>
      </w:pPr>
      <w:bookmarkStart w:id="32" w:name="_Toc12358145"/>
      <w:bookmarkStart w:id="33" w:name="_Toc12358587"/>
      <w:r>
        <w:rPr>
          <w:rStyle w:val="CharDivNo"/>
        </w:rPr>
        <w:t>Division 3</w:t>
      </w:r>
      <w:r>
        <w:t> — </w:t>
      </w:r>
      <w:r>
        <w:rPr>
          <w:rStyle w:val="CharDivText"/>
        </w:rPr>
        <w:t>Major infrastructure proposals</w:t>
      </w:r>
      <w:bookmarkEnd w:id="32"/>
      <w:bookmarkEnd w:id="33"/>
    </w:p>
    <w:p>
      <w:pPr>
        <w:pStyle w:val="Heading5"/>
      </w:pPr>
      <w:bookmarkStart w:id="34" w:name="_Toc12358588"/>
      <w:r>
        <w:rPr>
          <w:rStyle w:val="CharSectno"/>
        </w:rPr>
        <w:t>19</w:t>
      </w:r>
      <w:r>
        <w:t>.</w:t>
      </w:r>
      <w:r>
        <w:tab/>
        <w:t>Infrastructure WA to assess major infrastructure proposals prior to investment decision</w:t>
      </w:r>
      <w:bookmarkEnd w:id="34"/>
    </w:p>
    <w:p>
      <w:pPr>
        <w:pStyle w:val="Subsection"/>
      </w:pPr>
      <w:r>
        <w:tab/>
        <w:t>(1)</w:t>
      </w:r>
      <w:r>
        <w:tab/>
        <w:t xml:space="preserve">This section applies to a major infrastructure proposal of a State agency, whether or not — </w:t>
      </w:r>
    </w:p>
    <w:p>
      <w:pPr>
        <w:pStyle w:val="Indenta"/>
      </w:pPr>
      <w:r>
        <w:tab/>
        <w:t>(a)</w:t>
      </w:r>
      <w:r>
        <w:tab/>
        <w:t>funding for the proposal is or will be sought from the Crown or is to be provided by a State agency; or</w:t>
      </w:r>
    </w:p>
    <w:p>
      <w:pPr>
        <w:pStyle w:val="Indenta"/>
      </w:pPr>
      <w:r>
        <w:tab/>
        <w:t>(b)</w:t>
      </w:r>
      <w:r>
        <w:tab/>
        <w:t>the proposal is intended to result in the infrastructure being held by the Crown or a State agency; or</w:t>
      </w:r>
    </w:p>
    <w:p>
      <w:pPr>
        <w:pStyle w:val="Indenta"/>
      </w:pPr>
      <w:r>
        <w:tab/>
        <w:t>(c)</w:t>
      </w:r>
      <w:r>
        <w:tab/>
        <w:t>the proposal is a joint proposal.</w:t>
      </w:r>
    </w:p>
    <w:p>
      <w:pPr>
        <w:pStyle w:val="Subsection"/>
      </w:pPr>
      <w:r>
        <w:tab/>
        <w:t>(2)</w:t>
      </w:r>
      <w:r>
        <w:tab/>
        <w:t>The major infrastructure proposal must be submitted to Infrastructure WA, and Infrastructure WA’s report on the proposal must be received by the Premier, prior to the investment decision for the proposal.</w:t>
      </w:r>
    </w:p>
    <w:p>
      <w:pPr>
        <w:pStyle w:val="Subsection"/>
      </w:pPr>
      <w:r>
        <w:tab/>
        <w:t>(3)</w:t>
      </w:r>
      <w:r>
        <w:tab/>
        <w:t xml:space="preserve">In subsection (2) — </w:t>
      </w:r>
    </w:p>
    <w:p>
      <w:pPr>
        <w:pStyle w:val="Defstart"/>
      </w:pPr>
      <w:r>
        <w:tab/>
      </w:r>
      <w:r>
        <w:rPr>
          <w:rStyle w:val="CharDefText"/>
        </w:rPr>
        <w:t>investment decision</w:t>
      </w:r>
      <w:r>
        <w:t>, in relation to a proposal of a State agency, means the decision by the Government or the State agency to implement the proposal.</w:t>
      </w:r>
    </w:p>
    <w:p>
      <w:pPr>
        <w:pStyle w:val="Subsection"/>
      </w:pPr>
      <w:r>
        <w:tab/>
        <w:t>(4)</w:t>
      </w:r>
      <w:r>
        <w:tab/>
        <w:t>Infrastructure WA must assess each proposal submitted to it in accordance with its assessment guidelines, and prepare, and give to the Premier, a report on the proposal and a high</w:t>
      </w:r>
      <w:r>
        <w:noBreakHyphen/>
        <w:t>level summary of the report.</w:t>
      </w:r>
    </w:p>
    <w:p>
      <w:pPr>
        <w:pStyle w:val="Subsection"/>
      </w:pPr>
      <w:r>
        <w:tab/>
        <w:t>(5)</w:t>
      </w:r>
      <w:r>
        <w:tab/>
        <w:t>This section has effect despite any other written law.</w:t>
      </w:r>
    </w:p>
    <w:p>
      <w:pPr>
        <w:pStyle w:val="Subsection"/>
      </w:pPr>
      <w:r>
        <w:tab/>
        <w:t>(6)</w:t>
      </w:r>
      <w:r>
        <w:tab/>
        <w:t>However, a failure to comply with this section does not affect the validity of any decision made or other thing done in relation to a proposal.</w:t>
      </w:r>
    </w:p>
    <w:p>
      <w:pPr>
        <w:pStyle w:val="Subsection"/>
      </w:pPr>
      <w:r>
        <w:tab/>
        <w:t>(7)</w:t>
      </w:r>
      <w:r>
        <w:tab/>
        <w:t>Infrastructure WA may exempt a proposal from the application of this section.</w:t>
      </w:r>
    </w:p>
    <w:p>
      <w:pPr>
        <w:pStyle w:val="Heading5"/>
      </w:pPr>
      <w:bookmarkStart w:id="35" w:name="_Toc12358589"/>
      <w:r>
        <w:rPr>
          <w:rStyle w:val="CharSectno"/>
        </w:rPr>
        <w:t>20</w:t>
      </w:r>
      <w:r>
        <w:t>.</w:t>
      </w:r>
      <w:r>
        <w:tab/>
        <w:t>Timing of assessment of major infrastructure proposals</w:t>
      </w:r>
      <w:bookmarkEnd w:id="35"/>
    </w:p>
    <w:p>
      <w:pPr>
        <w:pStyle w:val="Subsection"/>
      </w:pPr>
      <w:r>
        <w:tab/>
        <w:t>(1)</w:t>
      </w:r>
      <w:r>
        <w:tab/>
        <w:t>In relation to a major infrastructure proposal to which section 19 applies, Infrastructure WA and the State agency must negotiate as to the timeframe for reporting on the proposal.</w:t>
      </w:r>
    </w:p>
    <w:p>
      <w:pPr>
        <w:pStyle w:val="Subsection"/>
      </w:pPr>
      <w:r>
        <w:tab/>
        <w:t>(2)</w:t>
      </w:r>
      <w:r>
        <w:tab/>
        <w:t xml:space="preserve">The regulations may deal with timeframes for reporting on major infrastructure proposals under section 19, including by — </w:t>
      </w:r>
    </w:p>
    <w:p>
      <w:pPr>
        <w:pStyle w:val="Indenta"/>
      </w:pPr>
      <w:r>
        <w:tab/>
        <w:t>(a)</w:t>
      </w:r>
      <w:r>
        <w:tab/>
        <w:t>providing for and in relation to negotiated timeframes; and</w:t>
      </w:r>
    </w:p>
    <w:p>
      <w:pPr>
        <w:pStyle w:val="Indenta"/>
      </w:pPr>
      <w:r>
        <w:tab/>
        <w:t>(b)</w:t>
      </w:r>
      <w:r>
        <w:tab/>
        <w:t>setting default timeframes.</w:t>
      </w:r>
    </w:p>
    <w:p>
      <w:pPr>
        <w:pStyle w:val="Heading5"/>
      </w:pPr>
      <w:bookmarkStart w:id="36" w:name="_Toc12358590"/>
      <w:r>
        <w:rPr>
          <w:rStyle w:val="CharSectno"/>
        </w:rPr>
        <w:t>21</w:t>
      </w:r>
      <w:r>
        <w:t>.</w:t>
      </w:r>
      <w:r>
        <w:tab/>
        <w:t>Guidelines and summary reports</w:t>
      </w:r>
      <w:bookmarkEnd w:id="36"/>
    </w:p>
    <w:p>
      <w:pPr>
        <w:pStyle w:val="Subsection"/>
      </w:pPr>
      <w:r>
        <w:tab/>
        <w:t>(1)</w:t>
      </w:r>
      <w:r>
        <w:tab/>
        <w:t>Infrastructure WA must, in consultation with the Premier, prepare guidelines indicating how it will assess major infrastructure proposals.</w:t>
      </w:r>
    </w:p>
    <w:p>
      <w:pPr>
        <w:pStyle w:val="Subsection"/>
      </w:pPr>
      <w:r>
        <w:tab/>
        <w:t>(2)</w:t>
      </w:r>
      <w:r>
        <w:tab/>
        <w:t>Infrastructure WA must make the guidelines, as they have effect from time to time, publicly available.</w:t>
      </w:r>
    </w:p>
    <w:p>
      <w:pPr>
        <w:pStyle w:val="Subsection"/>
      </w:pPr>
      <w:r>
        <w:tab/>
        <w:t>(3)</w:t>
      </w:r>
      <w:r>
        <w:tab/>
        <w:t>For each report given to the Premier under section 19, the Premier must make the summary of the report publicly available within 6 months after the day on which the report is given to the Premier.</w:t>
      </w:r>
    </w:p>
    <w:p>
      <w:pPr>
        <w:pStyle w:val="Subsection"/>
      </w:pPr>
      <w:r>
        <w:tab/>
        <w:t>(4)</w:t>
      </w:r>
      <w:r>
        <w:tab/>
        <w:t>If the Premier does not make the summary publicly available within the 6 months, Infrastructure WA must make the summary publicly available.</w:t>
      </w:r>
    </w:p>
    <w:p>
      <w:pPr>
        <w:pStyle w:val="Heading3"/>
      </w:pPr>
      <w:bookmarkStart w:id="37" w:name="_Toc12358149"/>
      <w:bookmarkStart w:id="38" w:name="_Toc12358591"/>
      <w:r>
        <w:rPr>
          <w:rStyle w:val="CharDivNo"/>
        </w:rPr>
        <w:t>Division 4</w:t>
      </w:r>
      <w:r>
        <w:t> — </w:t>
      </w:r>
      <w:r>
        <w:rPr>
          <w:rStyle w:val="CharDivText"/>
        </w:rPr>
        <w:t>Obligations of State agencies</w:t>
      </w:r>
      <w:bookmarkEnd w:id="37"/>
      <w:bookmarkEnd w:id="38"/>
    </w:p>
    <w:p>
      <w:pPr>
        <w:pStyle w:val="Heading5"/>
      </w:pPr>
      <w:bookmarkStart w:id="39" w:name="_Toc12358592"/>
      <w:r>
        <w:rPr>
          <w:rStyle w:val="CharSectno"/>
        </w:rPr>
        <w:t>22</w:t>
      </w:r>
      <w:r>
        <w:t>.</w:t>
      </w:r>
      <w:r>
        <w:tab/>
        <w:t>State agencies to provide information to Infrastructure WA</w:t>
      </w:r>
      <w:bookmarkEnd w:id="39"/>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40" w:name="_Toc12358593"/>
      <w:r>
        <w:rPr>
          <w:rStyle w:val="CharSectno"/>
        </w:rPr>
        <w:t>23</w:t>
      </w:r>
      <w:r>
        <w:t>.</w:t>
      </w:r>
      <w:r>
        <w:tab/>
        <w:t>Obligations of State agencies</w:t>
      </w:r>
      <w:bookmarkEnd w:id="40"/>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41" w:name="_Toc12358152"/>
      <w:bookmarkStart w:id="42" w:name="_Toc12358594"/>
      <w:r>
        <w:rPr>
          <w:rStyle w:val="CharDivNo"/>
        </w:rPr>
        <w:t>Division 5</w:t>
      </w:r>
      <w:r>
        <w:t> — </w:t>
      </w:r>
      <w:r>
        <w:rPr>
          <w:rStyle w:val="CharDivText"/>
        </w:rPr>
        <w:t>Implementation of State Infrastructure Strategy</w:t>
      </w:r>
      <w:bookmarkEnd w:id="41"/>
      <w:bookmarkEnd w:id="42"/>
    </w:p>
    <w:p>
      <w:pPr>
        <w:pStyle w:val="Heading5"/>
      </w:pPr>
      <w:bookmarkStart w:id="43" w:name="_Toc12358595"/>
      <w:r>
        <w:rPr>
          <w:rStyle w:val="CharSectno"/>
        </w:rPr>
        <w:t>24</w:t>
      </w:r>
      <w:r>
        <w:t>.</w:t>
      </w:r>
      <w:r>
        <w:tab/>
        <w:t>Report on implementation of State Infrastructure Strategy</w:t>
      </w:r>
      <w:bookmarkEnd w:id="43"/>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44" w:name="_Toc12358154"/>
      <w:bookmarkStart w:id="45" w:name="_Toc12358596"/>
      <w:r>
        <w:rPr>
          <w:rStyle w:val="CharPartNo"/>
        </w:rPr>
        <w:t>Part 4</w:t>
      </w:r>
      <w:r>
        <w:t> — </w:t>
      </w:r>
      <w:r>
        <w:rPr>
          <w:rStyle w:val="CharPartText"/>
        </w:rPr>
        <w:t>Governance and administration</w:t>
      </w:r>
      <w:bookmarkEnd w:id="44"/>
      <w:bookmarkEnd w:id="45"/>
    </w:p>
    <w:p>
      <w:pPr>
        <w:pStyle w:val="Heading3"/>
      </w:pPr>
      <w:bookmarkStart w:id="46" w:name="_Toc12358155"/>
      <w:bookmarkStart w:id="47" w:name="_Toc12358597"/>
      <w:r>
        <w:rPr>
          <w:rStyle w:val="CharDivNo"/>
        </w:rPr>
        <w:t>Division 1</w:t>
      </w:r>
      <w:r>
        <w:t> — </w:t>
      </w:r>
      <w:r>
        <w:rPr>
          <w:rStyle w:val="CharDivText"/>
        </w:rPr>
        <w:t>The Board</w:t>
      </w:r>
      <w:bookmarkEnd w:id="46"/>
      <w:bookmarkEnd w:id="47"/>
    </w:p>
    <w:p>
      <w:pPr>
        <w:pStyle w:val="Heading4"/>
      </w:pPr>
      <w:bookmarkStart w:id="48" w:name="_Toc12358156"/>
      <w:bookmarkStart w:id="49" w:name="_Toc12358598"/>
      <w:r>
        <w:t>Subdivision 1 — Board constituted</w:t>
      </w:r>
      <w:bookmarkEnd w:id="48"/>
      <w:bookmarkEnd w:id="49"/>
    </w:p>
    <w:p>
      <w:pPr>
        <w:pStyle w:val="Heading5"/>
      </w:pPr>
      <w:bookmarkStart w:id="50" w:name="_Toc12358599"/>
      <w:r>
        <w:rPr>
          <w:rStyle w:val="CharSectno"/>
        </w:rPr>
        <w:t>25</w:t>
      </w:r>
      <w:r>
        <w:t>.</w:t>
      </w:r>
      <w:r>
        <w:tab/>
        <w:t>Board is governing body of Infrastructure WA</w:t>
      </w:r>
      <w:bookmarkEnd w:id="50"/>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51" w:name="_Toc12358600"/>
      <w:r>
        <w:rPr>
          <w:rStyle w:val="CharSectno"/>
        </w:rPr>
        <w:t>26</w:t>
      </w:r>
      <w:r>
        <w:t>.</w:t>
      </w:r>
      <w:r>
        <w:tab/>
        <w:t>Board membership</w:t>
      </w:r>
      <w:bookmarkEnd w:id="51"/>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52" w:name="_Toc12358601"/>
      <w:r>
        <w:rPr>
          <w:rStyle w:val="CharSectno"/>
        </w:rPr>
        <w:t>27</w:t>
      </w:r>
      <w:r>
        <w:t>.</w:t>
      </w:r>
      <w:r>
        <w:tab/>
        <w:t>Chairperson and deputy chairperson</w:t>
      </w:r>
      <w:bookmarkEnd w:id="52"/>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53" w:name="_Toc12358602"/>
      <w:r>
        <w:rPr>
          <w:rStyle w:val="CharSectno"/>
        </w:rPr>
        <w:t>28</w:t>
      </w:r>
      <w:r>
        <w:t>.</w:t>
      </w:r>
      <w:r>
        <w:tab/>
        <w:t>Terms and conditions of appointment</w:t>
      </w:r>
      <w:bookmarkEnd w:id="53"/>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54" w:name="_Toc12358603"/>
      <w:r>
        <w:rPr>
          <w:rStyle w:val="CharSectno"/>
        </w:rPr>
        <w:t>29</w:t>
      </w:r>
      <w:r>
        <w:t>.</w:t>
      </w:r>
      <w:r>
        <w:tab/>
        <w:t>Remuneration and expenses</w:t>
      </w:r>
      <w:bookmarkEnd w:id="54"/>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55" w:name="_Toc12358604"/>
      <w:r>
        <w:rPr>
          <w:rStyle w:val="CharSectno"/>
        </w:rPr>
        <w:t>30</w:t>
      </w:r>
      <w:r>
        <w:t>.</w:t>
      </w:r>
      <w:r>
        <w:tab/>
        <w:t>Casual vacancies</w:t>
      </w:r>
      <w:bookmarkEnd w:id="55"/>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56" w:name="_Toc12358605"/>
      <w:r>
        <w:rPr>
          <w:rStyle w:val="CharSectno"/>
        </w:rPr>
        <w:t>31</w:t>
      </w:r>
      <w:r>
        <w:t>.</w:t>
      </w:r>
      <w:r>
        <w:tab/>
        <w:t>Extension of term of office</w:t>
      </w:r>
      <w:bookmarkEnd w:id="56"/>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57" w:name="_Toc12358606"/>
      <w:r>
        <w:rPr>
          <w:rStyle w:val="CharSectno"/>
        </w:rPr>
        <w:t>32</w:t>
      </w:r>
      <w:r>
        <w:t>.</w:t>
      </w:r>
      <w:r>
        <w:tab/>
        <w:t>Leave of absence</w:t>
      </w:r>
      <w:bookmarkEnd w:id="57"/>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58" w:name="_Toc12358607"/>
      <w:r>
        <w:rPr>
          <w:rStyle w:val="CharSectno"/>
        </w:rPr>
        <w:t>33</w:t>
      </w:r>
      <w:r>
        <w:t>.</w:t>
      </w:r>
      <w:r>
        <w:tab/>
        <w:t>Alternate members</w:t>
      </w:r>
      <w:bookmarkEnd w:id="58"/>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tab/>
        <w:t>(6)</w:t>
      </w:r>
      <w:r>
        <w:tab/>
        <w:t>An act or omission of an alternate member cannot be questioned on the ground that the occasion for the appointment or acting had not arisen or had ceased.</w:t>
      </w:r>
    </w:p>
    <w:p>
      <w:pPr>
        <w:pStyle w:val="Heading4"/>
      </w:pPr>
      <w:bookmarkStart w:id="59" w:name="_Toc12358166"/>
      <w:bookmarkStart w:id="60" w:name="_Toc12358608"/>
      <w:r>
        <w:t>Subdivision 2 — Board procedures</w:t>
      </w:r>
      <w:bookmarkEnd w:id="59"/>
      <w:bookmarkEnd w:id="60"/>
    </w:p>
    <w:p>
      <w:pPr>
        <w:pStyle w:val="Heading5"/>
      </w:pPr>
      <w:bookmarkStart w:id="61" w:name="_Toc12358609"/>
      <w:r>
        <w:rPr>
          <w:rStyle w:val="CharSectno"/>
        </w:rPr>
        <w:t>34</w:t>
      </w:r>
      <w:r>
        <w:t>.</w:t>
      </w:r>
      <w:r>
        <w:tab/>
        <w:t>Holding meetings</w:t>
      </w:r>
      <w:bookmarkEnd w:id="61"/>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62" w:name="_Toc12358610"/>
      <w:r>
        <w:rPr>
          <w:rStyle w:val="CharSectno"/>
        </w:rPr>
        <w:t>35</w:t>
      </w:r>
      <w:r>
        <w:t>.</w:t>
      </w:r>
      <w:r>
        <w:tab/>
        <w:t>Quorum</w:t>
      </w:r>
      <w:bookmarkEnd w:id="62"/>
    </w:p>
    <w:p>
      <w:pPr>
        <w:pStyle w:val="Subsection"/>
      </w:pPr>
      <w:r>
        <w:tab/>
      </w:r>
      <w:r>
        <w:tab/>
        <w:t>The quorum for a Board meeting is one half of the number of Board members.</w:t>
      </w:r>
    </w:p>
    <w:p>
      <w:pPr>
        <w:pStyle w:val="Heading5"/>
      </w:pPr>
      <w:bookmarkStart w:id="63" w:name="_Toc12358611"/>
      <w:r>
        <w:rPr>
          <w:rStyle w:val="CharSectno"/>
        </w:rPr>
        <w:t>36</w:t>
      </w:r>
      <w:r>
        <w:t>.</w:t>
      </w:r>
      <w:r>
        <w:tab/>
        <w:t>Balance of members at meetings</w:t>
      </w:r>
      <w:bookmarkEnd w:id="63"/>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64" w:name="_Toc12358612"/>
      <w:r>
        <w:rPr>
          <w:rStyle w:val="CharSectno"/>
        </w:rPr>
        <w:t>37</w:t>
      </w:r>
      <w:r>
        <w:t>.</w:t>
      </w:r>
      <w:r>
        <w:tab/>
        <w:t>Presiding members</w:t>
      </w:r>
      <w:bookmarkEnd w:id="64"/>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65" w:name="_Toc12358613"/>
      <w:r>
        <w:rPr>
          <w:rStyle w:val="CharSectno"/>
        </w:rPr>
        <w:t>38</w:t>
      </w:r>
      <w:r>
        <w:t>.</w:t>
      </w:r>
      <w:r>
        <w:tab/>
        <w:t>Procedure at meetings</w:t>
      </w:r>
      <w:bookmarkEnd w:id="65"/>
    </w:p>
    <w:p>
      <w:pPr>
        <w:pStyle w:val="Subsection"/>
      </w:pPr>
      <w:r>
        <w:tab/>
      </w:r>
      <w:r>
        <w:tab/>
        <w:t>The Board is to determine its own meeting procedures to the extent that they are not fixed under this Act.</w:t>
      </w:r>
    </w:p>
    <w:p>
      <w:pPr>
        <w:pStyle w:val="Heading5"/>
      </w:pPr>
      <w:bookmarkStart w:id="66" w:name="_Toc12358614"/>
      <w:r>
        <w:rPr>
          <w:rStyle w:val="CharSectno"/>
        </w:rPr>
        <w:t>39</w:t>
      </w:r>
      <w:r>
        <w:t>.</w:t>
      </w:r>
      <w:r>
        <w:tab/>
        <w:t>Holding meetings remotely</w:t>
      </w:r>
      <w:bookmarkEnd w:id="66"/>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67" w:name="_Toc12358615"/>
      <w:r>
        <w:rPr>
          <w:rStyle w:val="CharSectno"/>
        </w:rPr>
        <w:t>40</w:t>
      </w:r>
      <w:r>
        <w:t>.</w:t>
      </w:r>
      <w:r>
        <w:tab/>
        <w:t>Voting</w:t>
      </w:r>
      <w:bookmarkEnd w:id="67"/>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68" w:name="_Toc12358616"/>
      <w:r>
        <w:rPr>
          <w:rStyle w:val="CharSectno"/>
        </w:rPr>
        <w:t>41</w:t>
      </w:r>
      <w:r>
        <w:t>.</w:t>
      </w:r>
      <w:r>
        <w:tab/>
        <w:t>Resolution without meeting</w:t>
      </w:r>
      <w:bookmarkEnd w:id="68"/>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69" w:name="_Toc12358617"/>
      <w:r>
        <w:rPr>
          <w:rStyle w:val="CharSectno"/>
        </w:rPr>
        <w:t>42</w:t>
      </w:r>
      <w:r>
        <w:t>.</w:t>
      </w:r>
      <w:r>
        <w:tab/>
        <w:t>Minutes to be kept</w:t>
      </w:r>
      <w:bookmarkEnd w:id="69"/>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70" w:name="_Toc12358618"/>
      <w:r>
        <w:rPr>
          <w:rStyle w:val="CharSectno"/>
        </w:rPr>
        <w:t>43</w:t>
      </w:r>
      <w:r>
        <w:t>.</w:t>
      </w:r>
      <w:r>
        <w:tab/>
        <w:t>Committees</w:t>
      </w:r>
      <w:bookmarkEnd w:id="70"/>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71" w:name="_Toc12358177"/>
      <w:bookmarkStart w:id="72" w:name="_Toc12358619"/>
      <w:r>
        <w:t>Subdivision 3 — Disclosure of interests</w:t>
      </w:r>
      <w:bookmarkEnd w:id="71"/>
      <w:bookmarkEnd w:id="72"/>
    </w:p>
    <w:p>
      <w:pPr>
        <w:pStyle w:val="Heading5"/>
      </w:pPr>
      <w:bookmarkStart w:id="73" w:name="_Toc12358620"/>
      <w:r>
        <w:rPr>
          <w:rStyle w:val="CharSectno"/>
        </w:rPr>
        <w:t>44</w:t>
      </w:r>
      <w:r>
        <w:t>.</w:t>
      </w:r>
      <w:r>
        <w:tab/>
        <w:t>Financial interest in a matter</w:t>
      </w:r>
      <w:bookmarkEnd w:id="73"/>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74" w:name="_Toc12358621"/>
      <w:r>
        <w:rPr>
          <w:rStyle w:val="CharSectno"/>
        </w:rPr>
        <w:t>45</w:t>
      </w:r>
      <w:r>
        <w:t>.</w:t>
      </w:r>
      <w:r>
        <w:tab/>
        <w:t>Disclosure of material personal interests</w:t>
      </w:r>
      <w:bookmarkEnd w:id="74"/>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75" w:name="_Toc12358622"/>
      <w:r>
        <w:rPr>
          <w:rStyle w:val="CharSectno"/>
        </w:rPr>
        <w:t>46</w:t>
      </w:r>
      <w:r>
        <w:t>.</w:t>
      </w:r>
      <w:r>
        <w:tab/>
        <w:t>Participation by interested members</w:t>
      </w:r>
      <w:bookmarkEnd w:id="75"/>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76" w:name="_Toc12358623"/>
      <w:r>
        <w:rPr>
          <w:rStyle w:val="CharSectno"/>
        </w:rPr>
        <w:t>47</w:t>
      </w:r>
      <w:r>
        <w:t>.</w:t>
      </w:r>
      <w:r>
        <w:tab/>
        <w:t>Section 46 may be declared inapplicable</w:t>
      </w:r>
      <w:bookmarkEnd w:id="76"/>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77" w:name="_Toc12358624"/>
      <w:r>
        <w:rPr>
          <w:rStyle w:val="CharSectno"/>
        </w:rPr>
        <w:t>48</w:t>
      </w:r>
      <w:r>
        <w:t>.</w:t>
      </w:r>
      <w:r>
        <w:tab/>
        <w:t>Quorum where section 46 applies</w:t>
      </w:r>
      <w:bookmarkEnd w:id="77"/>
    </w:p>
    <w:p>
      <w:pPr>
        <w:pStyle w:val="Subsection"/>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78" w:name="_Toc12358183"/>
      <w:bookmarkStart w:id="79" w:name="_Toc12358625"/>
      <w:r>
        <w:rPr>
          <w:rStyle w:val="CharDivNo"/>
        </w:rPr>
        <w:t>Division 2</w:t>
      </w:r>
      <w:r>
        <w:t> — </w:t>
      </w:r>
      <w:r>
        <w:rPr>
          <w:rStyle w:val="CharDivText"/>
        </w:rPr>
        <w:t>Staff</w:t>
      </w:r>
      <w:bookmarkEnd w:id="78"/>
      <w:bookmarkEnd w:id="79"/>
    </w:p>
    <w:p>
      <w:pPr>
        <w:pStyle w:val="Heading4"/>
      </w:pPr>
      <w:bookmarkStart w:id="80" w:name="_Toc12358184"/>
      <w:bookmarkStart w:id="81" w:name="_Toc12358626"/>
      <w:r>
        <w:t>Subdivision 1 — CEO</w:t>
      </w:r>
      <w:bookmarkEnd w:id="80"/>
      <w:bookmarkEnd w:id="81"/>
    </w:p>
    <w:p>
      <w:pPr>
        <w:pStyle w:val="Heading5"/>
      </w:pPr>
      <w:bookmarkStart w:id="82" w:name="_Toc12358627"/>
      <w:r>
        <w:rPr>
          <w:rStyle w:val="CharSectno"/>
        </w:rPr>
        <w:t>49</w:t>
      </w:r>
      <w:r>
        <w:t>.</w:t>
      </w:r>
      <w:r>
        <w:tab/>
        <w:t>CEO</w:t>
      </w:r>
      <w:bookmarkEnd w:id="82"/>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83" w:name="_Toc12358628"/>
      <w:r>
        <w:rPr>
          <w:rStyle w:val="CharSectno"/>
        </w:rPr>
        <w:t>50</w:t>
      </w:r>
      <w:r>
        <w:t>.</w:t>
      </w:r>
      <w:r>
        <w:tab/>
        <w:t>Appointment of CEO</w:t>
      </w:r>
      <w:bookmarkEnd w:id="83"/>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84" w:name="_Toc12358629"/>
      <w:r>
        <w:rPr>
          <w:rStyle w:val="CharSectno"/>
        </w:rPr>
        <w:t>51</w:t>
      </w:r>
      <w:r>
        <w:t>.</w:t>
      </w:r>
      <w:r>
        <w:tab/>
        <w:t>Terms and conditions of appointment</w:t>
      </w:r>
      <w:bookmarkEnd w:id="84"/>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85" w:name="_Toc12358630"/>
      <w:r>
        <w:rPr>
          <w:rStyle w:val="CharSectno"/>
        </w:rPr>
        <w:t>52</w:t>
      </w:r>
      <w:r>
        <w:t>.</w:t>
      </w:r>
      <w:r>
        <w:tab/>
        <w:t>Remuneration</w:t>
      </w:r>
      <w:bookmarkEnd w:id="85"/>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86" w:name="_Toc12358631"/>
      <w:r>
        <w:rPr>
          <w:rStyle w:val="CharSectno"/>
        </w:rPr>
        <w:t>53</w:t>
      </w:r>
      <w:r>
        <w:t>.</w:t>
      </w:r>
      <w:r>
        <w:tab/>
        <w:t>Casual vacancies</w:t>
      </w:r>
      <w:bookmarkEnd w:id="86"/>
    </w:p>
    <w:p>
      <w:pPr>
        <w:pStyle w:val="Subsection"/>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87" w:name="_Toc12358632"/>
      <w:r>
        <w:rPr>
          <w:rStyle w:val="CharSectno"/>
        </w:rPr>
        <w:t>54</w:t>
      </w:r>
      <w:r>
        <w:t>.</w:t>
      </w:r>
      <w:r>
        <w:tab/>
        <w:t>Disclosure of material personal interests</w:t>
      </w:r>
      <w:bookmarkEnd w:id="87"/>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88" w:name="_Toc12358633"/>
      <w:r>
        <w:rPr>
          <w:rStyle w:val="CharSectno"/>
          <w:szCs w:val="24"/>
        </w:rPr>
        <w:t>55</w:t>
      </w:r>
      <w:r>
        <w:rPr>
          <w:szCs w:val="24"/>
        </w:rPr>
        <w:t>.</w:t>
      </w:r>
      <w:r>
        <w:rPr>
          <w:szCs w:val="24"/>
        </w:rPr>
        <w:tab/>
        <w:t>Entitlements of public service officer as CEO</w:t>
      </w:r>
      <w:bookmarkEnd w:id="88"/>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89" w:name="_Toc12358634"/>
      <w:r>
        <w:rPr>
          <w:rStyle w:val="CharSectno"/>
        </w:rPr>
        <w:t>56</w:t>
      </w:r>
      <w:r>
        <w:t>.</w:t>
      </w:r>
      <w:r>
        <w:tab/>
        <w:t>No outside employment</w:t>
      </w:r>
      <w:bookmarkEnd w:id="89"/>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90" w:name="_Toc12358635"/>
      <w:r>
        <w:rPr>
          <w:rStyle w:val="CharSectno"/>
        </w:rPr>
        <w:t>57</w:t>
      </w:r>
      <w:r>
        <w:t>.</w:t>
      </w:r>
      <w:r>
        <w:tab/>
        <w:t>Acting CEO</w:t>
      </w:r>
      <w:bookmarkEnd w:id="90"/>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91" w:name="_Toc12358194"/>
      <w:bookmarkStart w:id="92" w:name="_Toc12358636"/>
      <w:r>
        <w:t>Subdivision 2 — Other staff</w:t>
      </w:r>
      <w:bookmarkEnd w:id="91"/>
      <w:bookmarkEnd w:id="92"/>
    </w:p>
    <w:p>
      <w:pPr>
        <w:pStyle w:val="Heading5"/>
      </w:pPr>
      <w:bookmarkStart w:id="93" w:name="_Toc12358637"/>
      <w:r>
        <w:rPr>
          <w:rStyle w:val="CharSectno"/>
        </w:rPr>
        <w:t>58</w:t>
      </w:r>
      <w:r>
        <w:t>.</w:t>
      </w:r>
      <w:r>
        <w:tab/>
        <w:t>Other staff</w:t>
      </w:r>
      <w:bookmarkEnd w:id="93"/>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94" w:name="_Toc12358638"/>
      <w:r>
        <w:rPr>
          <w:rStyle w:val="CharSectno"/>
        </w:rPr>
        <w:t>59</w:t>
      </w:r>
      <w:r>
        <w:t>.</w:t>
      </w:r>
      <w:r>
        <w:tab/>
        <w:t>Use of government staff and facilities</w:t>
      </w:r>
      <w:bookmarkEnd w:id="94"/>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95" w:name="_Toc12358197"/>
      <w:bookmarkStart w:id="96" w:name="_Toc12358639"/>
      <w:r>
        <w:rPr>
          <w:rStyle w:val="CharDivNo"/>
        </w:rPr>
        <w:t>Division 3</w:t>
      </w:r>
      <w:r>
        <w:t> — </w:t>
      </w:r>
      <w:r>
        <w:rPr>
          <w:rStyle w:val="CharDivText"/>
        </w:rPr>
        <w:t>Accountability and financial provisions</w:t>
      </w:r>
      <w:bookmarkEnd w:id="95"/>
      <w:bookmarkEnd w:id="96"/>
    </w:p>
    <w:p>
      <w:pPr>
        <w:pStyle w:val="Heading5"/>
      </w:pPr>
      <w:bookmarkStart w:id="97" w:name="_Toc12358640"/>
      <w:r>
        <w:rPr>
          <w:rStyle w:val="CharSectno"/>
        </w:rPr>
        <w:t>60</w:t>
      </w:r>
      <w:r>
        <w:t>.</w:t>
      </w:r>
      <w:r>
        <w:tab/>
        <w:t>Premier may give directions</w:t>
      </w:r>
      <w:bookmarkEnd w:id="97"/>
    </w:p>
    <w:p>
      <w:pPr>
        <w:pStyle w:val="Subsection"/>
      </w:pPr>
      <w:r>
        <w:tab/>
        <w:t>(1)</w:t>
      </w:r>
      <w:r>
        <w:tab/>
        <w:t>The Premier may give written directions to Infrastructure WA about the performance of its functions, and Infrastructure WA must give effect to the directions.</w:t>
      </w:r>
    </w:p>
    <w:p>
      <w:pPr>
        <w:pStyle w:val="Subsection"/>
      </w:pPr>
      <w:r>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98" w:name="_Toc12358641"/>
      <w:r>
        <w:rPr>
          <w:rStyle w:val="CharSectno"/>
        </w:rPr>
        <w:t>61</w:t>
      </w:r>
      <w:r>
        <w:t>.</w:t>
      </w:r>
      <w:r>
        <w:tab/>
        <w:t>Premier to have access to information</w:t>
      </w:r>
      <w:bookmarkEnd w:id="98"/>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tab/>
        <w:t>(4)</w:t>
      </w:r>
      <w:r>
        <w:tab/>
        <w:t>Infrastructure WA must comply with a request under subsection (3) and make staff and facilities available to the Premier for obtaining information under subsection (3)(c).</w:t>
      </w:r>
    </w:p>
    <w:p>
      <w:pPr>
        <w:pStyle w:val="Heading5"/>
      </w:pPr>
      <w:bookmarkStart w:id="99" w:name="_Toc12358642"/>
      <w:r>
        <w:rPr>
          <w:rStyle w:val="CharSectno"/>
        </w:rPr>
        <w:t>62</w:t>
      </w:r>
      <w:r>
        <w:t>.</w:t>
      </w:r>
      <w:r>
        <w:tab/>
        <w:t xml:space="preserve">Application of </w:t>
      </w:r>
      <w:r>
        <w:rPr>
          <w:i/>
        </w:rPr>
        <w:t>Financial Management Act 2006</w:t>
      </w:r>
      <w:r>
        <w:t xml:space="preserve"> and </w:t>
      </w:r>
      <w:r>
        <w:rPr>
          <w:i/>
        </w:rPr>
        <w:t>Auditor General Act 2006</w:t>
      </w:r>
      <w:bookmarkEnd w:id="9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100" w:name="_Toc12358643"/>
      <w:r>
        <w:rPr>
          <w:rStyle w:val="CharSectno"/>
        </w:rPr>
        <w:t>63</w:t>
      </w:r>
      <w:r>
        <w:t>.</w:t>
      </w:r>
      <w:r>
        <w:tab/>
        <w:t>Infrastructure WA’s funds</w:t>
      </w:r>
      <w:bookmarkEnd w:id="100"/>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101" w:name="_Toc12358644"/>
      <w:r>
        <w:rPr>
          <w:rStyle w:val="CharSectno"/>
        </w:rPr>
        <w:t>64</w:t>
      </w:r>
      <w:r>
        <w:t>.</w:t>
      </w:r>
      <w:r>
        <w:tab/>
        <w:t>Protection for disclosure or compliance with directions</w:t>
      </w:r>
      <w:bookmarkEnd w:id="101"/>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02" w:name="_Toc12358203"/>
      <w:bookmarkStart w:id="103" w:name="_Toc12358645"/>
      <w:r>
        <w:rPr>
          <w:rStyle w:val="CharPartNo"/>
        </w:rPr>
        <w:t>Part 5</w:t>
      </w:r>
      <w:r>
        <w:t> — </w:t>
      </w:r>
      <w:r>
        <w:rPr>
          <w:rStyle w:val="CharPartText"/>
        </w:rPr>
        <w:t>General</w:t>
      </w:r>
      <w:bookmarkEnd w:id="102"/>
      <w:bookmarkEnd w:id="103"/>
    </w:p>
    <w:p>
      <w:pPr>
        <w:pStyle w:val="Heading3"/>
      </w:pPr>
      <w:bookmarkStart w:id="104" w:name="_Toc12358204"/>
      <w:bookmarkStart w:id="105" w:name="_Toc12358646"/>
      <w:r>
        <w:rPr>
          <w:rStyle w:val="CharDivNo"/>
        </w:rPr>
        <w:t>Division 1</w:t>
      </w:r>
      <w:r>
        <w:t> — </w:t>
      </w:r>
      <w:r>
        <w:rPr>
          <w:rStyle w:val="CharDivText"/>
        </w:rPr>
        <w:t>Protection of information</w:t>
      </w:r>
      <w:bookmarkEnd w:id="104"/>
      <w:bookmarkEnd w:id="105"/>
    </w:p>
    <w:p>
      <w:pPr>
        <w:pStyle w:val="Heading5"/>
      </w:pPr>
      <w:bookmarkStart w:id="106" w:name="_Toc12358647"/>
      <w:r>
        <w:rPr>
          <w:rStyle w:val="CharSectno"/>
        </w:rPr>
        <w:t>65</w:t>
      </w:r>
      <w:r>
        <w:t>.</w:t>
      </w:r>
      <w:r>
        <w:tab/>
        <w:t>Confidentiality</w:t>
      </w:r>
      <w:bookmarkEnd w:id="106"/>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107" w:name="_Toc12358648"/>
      <w:r>
        <w:rPr>
          <w:rStyle w:val="CharSectno"/>
        </w:rPr>
        <w:t>66</w:t>
      </w:r>
      <w:r>
        <w:t>.</w:t>
      </w:r>
      <w:r>
        <w:tab/>
        <w:t>Authorised use or disclosure of information</w:t>
      </w:r>
      <w:bookmarkEnd w:id="107"/>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8" w:name="_Toc12358649"/>
      <w:r>
        <w:rPr>
          <w:rStyle w:val="CharSectno"/>
        </w:rPr>
        <w:t>67</w:t>
      </w:r>
      <w:r>
        <w:t>.</w:t>
      </w:r>
      <w:r>
        <w:tab/>
        <w:t>Restrictions on disclosure of sensitive information</w:t>
      </w:r>
      <w:bookmarkEnd w:id="108"/>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109" w:name="_Toc12358208"/>
      <w:bookmarkStart w:id="110" w:name="_Toc12358650"/>
      <w:r>
        <w:rPr>
          <w:rStyle w:val="CharDivNo"/>
        </w:rPr>
        <w:t>Division 2</w:t>
      </w:r>
      <w:r>
        <w:t> — </w:t>
      </w:r>
      <w:r>
        <w:rPr>
          <w:rStyle w:val="CharDivText"/>
        </w:rPr>
        <w:t>Miscellaneous</w:t>
      </w:r>
      <w:bookmarkEnd w:id="109"/>
      <w:bookmarkEnd w:id="110"/>
    </w:p>
    <w:p>
      <w:pPr>
        <w:pStyle w:val="Heading5"/>
      </w:pPr>
      <w:bookmarkStart w:id="111" w:name="_Toc12358651"/>
      <w:r>
        <w:rPr>
          <w:rStyle w:val="CharSectno"/>
        </w:rPr>
        <w:t>68</w:t>
      </w:r>
      <w:r>
        <w:t>.</w:t>
      </w:r>
      <w:r>
        <w:tab/>
        <w:t>Execution of documents</w:t>
      </w:r>
      <w:bookmarkEnd w:id="111"/>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112" w:name="_Toc12358652"/>
      <w:r>
        <w:rPr>
          <w:rStyle w:val="CharSectno"/>
        </w:rPr>
        <w:t>69</w:t>
      </w:r>
      <w:r>
        <w:t>.</w:t>
      </w:r>
      <w:r>
        <w:tab/>
        <w:t>Protection from liability for wrongdoing</w:t>
      </w:r>
      <w:bookmarkEnd w:id="112"/>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13" w:name="_Toc12358653"/>
      <w:r>
        <w:rPr>
          <w:rStyle w:val="CharSectno"/>
        </w:rPr>
        <w:t>70</w:t>
      </w:r>
      <w:r>
        <w:t>.</w:t>
      </w:r>
      <w:r>
        <w:tab/>
        <w:t>Making certain things publicly available</w:t>
      </w:r>
      <w:bookmarkEnd w:id="113"/>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114" w:name="_Toc12358654"/>
      <w:r>
        <w:rPr>
          <w:rStyle w:val="CharSectno"/>
        </w:rPr>
        <w:t>71</w:t>
      </w:r>
      <w:r>
        <w:t>.</w:t>
      </w:r>
      <w:r>
        <w:tab/>
        <w:t>Laying documents before Parliament not sitting</w:t>
      </w:r>
      <w:bookmarkEnd w:id="114"/>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115" w:name="_Toc12358655"/>
      <w:r>
        <w:rPr>
          <w:rStyle w:val="CharSectno"/>
        </w:rPr>
        <w:t>72</w:t>
      </w:r>
      <w:r>
        <w:t>.</w:t>
      </w:r>
      <w:r>
        <w:tab/>
        <w:t>Regulations</w:t>
      </w:r>
      <w:bookmarkEnd w:id="1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116" w:name="_Toc12358656"/>
      <w:r>
        <w:rPr>
          <w:rStyle w:val="CharSectno"/>
        </w:rPr>
        <w:t>73</w:t>
      </w:r>
      <w:r>
        <w:t>.</w:t>
      </w:r>
      <w:r>
        <w:tab/>
        <w:t>Review of Act</w:t>
      </w:r>
      <w:bookmarkEnd w:id="116"/>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117" w:name="_Toc12358215"/>
      <w:bookmarkStart w:id="118" w:name="_Toc12358657"/>
      <w:r>
        <w:rPr>
          <w:rStyle w:val="CharPartNo"/>
        </w:rPr>
        <w:t>Part 6</w:t>
      </w:r>
      <w:r>
        <w:rPr>
          <w:rStyle w:val="CharDivNo"/>
        </w:rPr>
        <w:t> </w:t>
      </w:r>
      <w:r>
        <w:t>—</w:t>
      </w:r>
      <w:r>
        <w:rPr>
          <w:rStyle w:val="CharDivText"/>
        </w:rPr>
        <w:t> </w:t>
      </w:r>
      <w:r>
        <w:rPr>
          <w:rStyle w:val="CharPartText"/>
        </w:rPr>
        <w:t>Consequential amendments to other Acts</w:t>
      </w:r>
      <w:bookmarkEnd w:id="117"/>
      <w:bookmarkEnd w:id="118"/>
    </w:p>
    <w:p>
      <w:pPr>
        <w:pStyle w:val="Heading5"/>
      </w:pPr>
      <w:bookmarkStart w:id="119" w:name="_Toc12358658"/>
      <w:r>
        <w:rPr>
          <w:rStyle w:val="CharSectno"/>
        </w:rPr>
        <w:t>74</w:t>
      </w:r>
      <w:r>
        <w:t>.</w:t>
      </w:r>
      <w:r>
        <w:tab/>
      </w:r>
      <w:r>
        <w:rPr>
          <w:i/>
        </w:rPr>
        <w:t>Constitution Acts Amendment Act 1899</w:t>
      </w:r>
      <w:r>
        <w:t xml:space="preserve"> amended</w:t>
      </w:r>
      <w:bookmarkEnd w:id="119"/>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120" w:name="_Toc12358659"/>
      <w:r>
        <w:rPr>
          <w:rStyle w:val="CharSectno"/>
        </w:rPr>
        <w:t>75</w:t>
      </w:r>
      <w:r>
        <w:t>.</w:t>
      </w:r>
      <w:r>
        <w:tab/>
      </w:r>
      <w:r>
        <w:rPr>
          <w:i/>
        </w:rPr>
        <w:t>Financial Management Act 2006</w:t>
      </w:r>
      <w:r>
        <w:t xml:space="preserve"> amended</w:t>
      </w:r>
      <w:bookmarkEnd w:id="120"/>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121" w:name="_Toc12358660"/>
      <w:r>
        <w:rPr>
          <w:rStyle w:val="CharSectno"/>
        </w:rPr>
        <w:t>76</w:t>
      </w:r>
      <w:r>
        <w:t>.</w:t>
      </w:r>
      <w:r>
        <w:tab/>
      </w:r>
      <w:r>
        <w:rPr>
          <w:i/>
        </w:rPr>
        <w:t>Planning and Development Act 2005</w:t>
      </w:r>
      <w:r>
        <w:t xml:space="preserve"> amended</w:t>
      </w:r>
      <w:bookmarkEnd w:id="121"/>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122" w:name="_Toc12358661"/>
      <w:r>
        <w:rPr>
          <w:rStyle w:val="CharSectno"/>
        </w:rPr>
        <w:t>77</w:t>
      </w:r>
      <w:r>
        <w:t>.</w:t>
      </w:r>
      <w:r>
        <w:tab/>
      </w:r>
      <w:r>
        <w:rPr>
          <w:i/>
        </w:rPr>
        <w:t>Public Sector Management Act 1994</w:t>
      </w:r>
      <w:r>
        <w:t xml:space="preserve"> amended</w:t>
      </w:r>
      <w:bookmarkEnd w:id="122"/>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23" w:name="_Toc12358662"/>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Board member</w:t>
      </w:r>
      <w:r>
        <w:tab/>
        <w:t>3</w:t>
      </w:r>
    </w:p>
    <w:p>
      <w:pPr>
        <w:pStyle w:val="DefinedTerms"/>
      </w:pPr>
      <w:r>
        <w:t>assent day</w:t>
      </w:r>
      <w:r>
        <w:tab/>
        <w:t>2</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committee</w:t>
      </w:r>
      <w:r>
        <w:tab/>
        <w:t>3</w:t>
      </w:r>
    </w:p>
    <w:p>
      <w:pPr>
        <w:pStyle w:val="DefinedTerms"/>
      </w:pPr>
      <w:r>
        <w:t>Department of the Premier and Cabinet</w:t>
      </w:r>
      <w:r>
        <w:tab/>
        <w:t>3</w:t>
      </w:r>
    </w:p>
    <w:p>
      <w:pPr>
        <w:pStyle w:val="DefinedTerms"/>
      </w:pPr>
      <w:r>
        <w:t>document</w:t>
      </w:r>
      <w:r>
        <w:tab/>
        <w:t>61(1)</w:t>
      </w:r>
    </w:p>
    <w:p>
      <w:pPr>
        <w:pStyle w:val="DefinedTerms"/>
      </w:pPr>
      <w:r>
        <w:t>employing authority</w:t>
      </w:r>
      <w:r>
        <w:tab/>
        <w:t>3</w:t>
      </w:r>
    </w:p>
    <w:p>
      <w:pPr>
        <w:pStyle w:val="DefinedTerms"/>
      </w:pPr>
      <w:r>
        <w:t>ex</w:t>
      </w:r>
      <w:r>
        <w:noBreakHyphen/>
        <w:t>officio Board member</w:t>
      </w:r>
      <w:r>
        <w:tab/>
        <w:t>3</w:t>
      </w:r>
    </w:p>
    <w:p>
      <w:pPr>
        <w:pStyle w:val="DefinedTerms"/>
      </w:pPr>
      <w:r>
        <w:t>government employee</w:t>
      </w:r>
      <w:r>
        <w:tab/>
        <w:t>3</w:t>
      </w:r>
    </w:p>
    <w:p>
      <w:pPr>
        <w:pStyle w:val="DefinedTerms"/>
      </w:pPr>
      <w:r>
        <w:t>Government response</w:t>
      </w:r>
      <w:r>
        <w:tab/>
        <w:t>3</w:t>
      </w:r>
    </w:p>
    <w:p>
      <w:pPr>
        <w:pStyle w:val="DefinedTerms"/>
      </w:pPr>
      <w:r>
        <w:t>government trading enterprise</w:t>
      </w:r>
      <w:r>
        <w:tab/>
        <w:t>3</w:t>
      </w:r>
    </w:p>
    <w:p>
      <w:pPr>
        <w:pStyle w:val="DefinedTerms"/>
      </w:pPr>
      <w:r>
        <w:t>information</w:t>
      </w:r>
      <w:r>
        <w:tab/>
        <w:t>61(1)</w:t>
      </w:r>
    </w:p>
    <w:p>
      <w:pPr>
        <w:pStyle w:val="DefinedTerms"/>
      </w:pPr>
      <w:r>
        <w:t>infrastructure</w:t>
      </w:r>
      <w:r>
        <w:tab/>
        <w:t>3</w:t>
      </w:r>
    </w:p>
    <w:p>
      <w:pPr>
        <w:pStyle w:val="DefinedTerms"/>
      </w:pPr>
      <w:r>
        <w:t>Infrastructure Australia</w:t>
      </w:r>
      <w:r>
        <w:tab/>
        <w:t>3</w:t>
      </w:r>
    </w:p>
    <w:p>
      <w:pPr>
        <w:pStyle w:val="DefinedTerms"/>
      </w:pPr>
      <w:r>
        <w:t>investment decision</w:t>
      </w:r>
      <w:r>
        <w:tab/>
        <w:t>19(3)</w:t>
      </w:r>
    </w:p>
    <w:p>
      <w:pPr>
        <w:pStyle w:val="DefinedTerms"/>
      </w:pPr>
      <w:r>
        <w:t>major infrastructure proposal</w:t>
      </w:r>
      <w:r>
        <w:tab/>
        <w:t>3</w:t>
      </w:r>
    </w:p>
    <w:p>
      <w:pPr>
        <w:pStyle w:val="DefinedTerms"/>
      </w:pPr>
      <w:r>
        <w:t>misconduct</w:t>
      </w:r>
      <w:r>
        <w:tab/>
        <w:t>3</w:t>
      </w:r>
    </w:p>
    <w:p>
      <w:pPr>
        <w:pStyle w:val="DefinedTerms"/>
      </w:pPr>
      <w:r>
        <w:t>private sensitive information</w:t>
      </w:r>
      <w:r>
        <w:tab/>
        <w:t>67(1)</w:t>
      </w:r>
    </w:p>
    <w:p>
      <w:pPr>
        <w:pStyle w:val="DefinedTerms"/>
      </w:pPr>
      <w:r>
        <w:t>public authority</w:t>
      </w:r>
      <w:r>
        <w:tab/>
        <w:t>3</w:t>
      </w:r>
    </w:p>
    <w:p>
      <w:pPr>
        <w:pStyle w:val="DefinedTerms"/>
      </w:pPr>
      <w:r>
        <w:t>Public Sector</w:t>
      </w:r>
      <w:r>
        <w:tab/>
        <w:t>3</w:t>
      </w:r>
    </w:p>
    <w:p>
      <w:pPr>
        <w:pStyle w:val="DefinedTerms"/>
      </w:pPr>
      <w:r>
        <w:t>remuneration</w:t>
      </w:r>
      <w:r>
        <w:tab/>
        <w:t>3</w:t>
      </w:r>
    </w:p>
    <w:p>
      <w:pPr>
        <w:pStyle w:val="DefinedTerms"/>
      </w:pPr>
      <w:r>
        <w:t>sensitive information</w:t>
      </w:r>
      <w:r>
        <w:tab/>
        <w:t>67(1)</w:t>
      </w:r>
    </w:p>
    <w:p>
      <w:pPr>
        <w:pStyle w:val="DefinedTerms"/>
      </w:pPr>
      <w:r>
        <w:t>staff member</w:t>
      </w:r>
      <w:r>
        <w:tab/>
        <w:t>3</w:t>
      </w:r>
    </w:p>
    <w:p>
      <w:pPr>
        <w:pStyle w:val="DefinedTerms"/>
      </w:pPr>
      <w:r>
        <w:t>State agency</w:t>
      </w:r>
      <w:r>
        <w:tab/>
        <w:t>3</w:t>
      </w:r>
    </w:p>
    <w:p>
      <w:pPr>
        <w:pStyle w:val="DefinedTerms"/>
      </w:pPr>
      <w:r>
        <w:t>State Infrastructure Programme</w:t>
      </w:r>
      <w:r>
        <w:tab/>
        <w:t>3</w:t>
      </w:r>
    </w:p>
    <w:p>
      <w:pPr>
        <w:pStyle w:val="DefinedTerms"/>
      </w:pPr>
      <w:r>
        <w:t>State Infrastructure Strategy</w:t>
      </w:r>
      <w:r>
        <w:tab/>
        <w:t>3</w:t>
      </w:r>
    </w:p>
    <w:p>
      <w:pPr>
        <w:pStyle w:val="DefinedTerms"/>
      </w:pPr>
      <w:r>
        <w:t>unable to act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3371"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37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13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2019</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2019</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2202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22020" w:val="RemoveTocBookmarks,RemoveUnusedBookmarks,RemoveLanguageTags,ResetPageSize,RunningHeaders"/>
    <w:docVar w:name="WAFER_20190625122020_GUID" w:val="c849006f-bcc8-4bb8-b6a6-61b17dfd81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25211-3420-4C8D-B789-C26C53E00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10575</Words>
  <Characters>53512</Characters>
  <Application>Microsoft Office Word</Application>
  <DocSecurity>0</DocSecurity>
  <Lines>1446</Lines>
  <Paragraphs>915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63172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2019 - 00-00-00</dc:title>
  <dc:subject/>
  <dc:creator/>
  <cp:keywords/>
  <dc:description/>
  <cp:lastModifiedBy>svcMRProcess</cp:lastModifiedBy>
  <cp:revision>4</cp:revision>
  <cp:lastPrinted>2019-06-25T01:41:00Z</cp:lastPrinted>
  <dcterms:created xsi:type="dcterms:W3CDTF">2019-06-25T04:48:00Z</dcterms:created>
  <dcterms:modified xsi:type="dcterms:W3CDTF">2019-06-25T04:48:00Z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AsAtDate">
    <vt:lpwstr>24 Jun 2019</vt:lpwstr>
  </property>
  <property fmtid="{D5CDD505-2E9C-101B-9397-08002B2CF9AE}" pid="6" name="Suffix">
    <vt:lpwstr>00-00-00</vt:lpwstr>
  </property>
  <property fmtid="{D5CDD505-2E9C-101B-9397-08002B2CF9AE}" pid="7" name="ActNoFooter">
    <vt:lpwstr>No. 13 of 2019</vt:lpwstr>
  </property>
  <property fmtid="{D5CDD505-2E9C-101B-9397-08002B2CF9AE}" pid="8" name="CommencementDate">
    <vt:lpwstr>20190624</vt:lpwstr>
  </property>
</Properties>
</file>