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_Toc11856989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_Toc11856990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_Toc11856991 \h </w:instrText>
      </w:r>
      <w:r>
        <w:fldChar w:fldCharType="separate"/>
      </w:r>
      <w:r>
        <w:t>1</w:t>
      </w:r>
      <w:r>
        <w:fldChar w:fldCharType="end"/>
      </w:r>
    </w:p>
    <w:p>
      <w:pPr>
        <w:pStyle w:val="TOC8"/>
        <w:rPr>
          <w:rFonts w:asciiTheme="minorHAnsi" w:eastAsiaTheme="minorEastAsia" w:hAnsiTheme="minorHAnsi" w:cstheme="minorBidi"/>
          <w:szCs w:val="22"/>
        </w:rPr>
      </w:pPr>
      <w:r>
        <w:t>4.</w:t>
      </w:r>
      <w:r>
        <w:tab/>
        <w:t>Intentionally sown, planted or propagated vegetation — section 51A</w:t>
      </w:r>
      <w:r>
        <w:tab/>
      </w:r>
      <w:r>
        <w:fldChar w:fldCharType="begin"/>
      </w:r>
      <w:r>
        <w:instrText xml:space="preserve"> PAGEREF _Toc11856992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clearing — section 51C</w:t>
      </w:r>
      <w:r>
        <w:tab/>
      </w:r>
      <w:r>
        <w:fldChar w:fldCharType="begin"/>
      </w:r>
      <w:r>
        <w:instrText xml:space="preserve"> PAGEREF _Toc11856993 \h </w:instrText>
      </w:r>
      <w:r>
        <w:fldChar w:fldCharType="separate"/>
      </w:r>
      <w:r>
        <w:t>4</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_Toc11856994 \h </w:instrText>
      </w:r>
      <w:r>
        <w:fldChar w:fldCharType="separate"/>
      </w:r>
      <w:r>
        <w:t>18</w:t>
      </w:r>
      <w:r>
        <w:fldChar w:fldCharType="end"/>
      </w:r>
    </w:p>
    <w:p>
      <w:pPr>
        <w:pStyle w:val="TOC8"/>
        <w:rPr>
          <w:rFonts w:asciiTheme="minorHAnsi" w:eastAsiaTheme="minorEastAsia" w:hAnsiTheme="minorHAnsi" w:cstheme="minorBidi"/>
          <w:szCs w:val="22"/>
        </w:rPr>
      </w:pPr>
      <w:r>
        <w:t>8.</w:t>
      </w:r>
      <w:r>
        <w:tab/>
        <w:t>Records to be kept by the CEO — section 51Q</w:t>
      </w:r>
      <w:r>
        <w:tab/>
      </w:r>
      <w:r>
        <w:fldChar w:fldCharType="begin"/>
      </w:r>
      <w:r>
        <w:instrText xml:space="preserve"> PAGEREF _Toc11856995 \h </w:instrText>
      </w:r>
      <w:r>
        <w:fldChar w:fldCharType="separate"/>
      </w:r>
      <w:r>
        <w:t>21</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_Toc11856996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_Toc11856998 \h </w:instrText>
      </w:r>
      <w:r>
        <w:fldChar w:fldCharType="separate"/>
      </w:r>
      <w:r>
        <w:t>25</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_Toc11856999 \h </w:instrText>
      </w:r>
      <w:r>
        <w:fldChar w:fldCharType="separate"/>
      </w:r>
      <w:r>
        <w:t>25</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_Toc11857000 \h </w:instrText>
      </w:r>
      <w:r>
        <w:fldChar w:fldCharType="separate"/>
      </w:r>
      <w:r>
        <w:t>27</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_Toc11857001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_Toc11857003 \h </w:instrText>
      </w:r>
      <w:r>
        <w:fldChar w:fldCharType="separate"/>
      </w:r>
      <w:r>
        <w:t>30</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_Toc11857004 \h </w:instrText>
      </w:r>
      <w:r>
        <w:fldChar w:fldCharType="separate"/>
      </w:r>
      <w:r>
        <w:t>30</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_Toc11857005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_Toc11857007 \h </w:instrText>
      </w:r>
      <w:r>
        <w:fldChar w:fldCharType="separate"/>
      </w:r>
      <w:r>
        <w:t>33</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_Toc11857008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_Toc11857010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3" w:name="_Toc1185698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4" w:name="_Toc11856990"/>
      <w:r>
        <w:rPr>
          <w:rStyle w:val="CharSectno"/>
        </w:rPr>
        <w:t>2</w:t>
      </w:r>
      <w:r>
        <w:rPr>
          <w:spacing w:val="-2"/>
        </w:rPr>
        <w:t>.</w:t>
      </w:r>
      <w:r>
        <w:rPr>
          <w:spacing w:val="-2"/>
        </w:rPr>
        <w:tab/>
        <w:t>Commencement</w:t>
      </w:r>
      <w:bookmarkEnd w:id="4"/>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5" w:name="_Toc11856991"/>
      <w:r>
        <w:rPr>
          <w:rStyle w:val="CharSectno"/>
        </w:rPr>
        <w:t>3</w:t>
      </w:r>
      <w:r>
        <w:t>.</w:t>
      </w:r>
      <w:r>
        <w:tab/>
        <w:t>Terms used</w:t>
      </w:r>
      <w:bookmarkEnd w:id="5"/>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5"/>
      </w:pPr>
      <w:bookmarkStart w:id="6" w:name="_Toc11856992"/>
      <w:r>
        <w:rPr>
          <w:rStyle w:val="CharSectno"/>
        </w:rPr>
        <w:t>4</w:t>
      </w:r>
      <w:r>
        <w:t>.</w:t>
      </w:r>
      <w:r>
        <w:tab/>
        <w:t>Intentionally sown, planted or propagated vegetation — section 51A</w:t>
      </w:r>
      <w:bookmarkEnd w:id="6"/>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7" w:name="_Toc11856993"/>
      <w:r>
        <w:rPr>
          <w:rStyle w:val="CharSectno"/>
        </w:rPr>
        <w:t>5</w:t>
      </w:r>
      <w:r>
        <w:t>.</w:t>
      </w:r>
      <w:r>
        <w:tab/>
        <w:t>Prescribed clearing — section 51C</w:t>
      </w:r>
      <w:bookmarkEnd w:id="7"/>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268"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268"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268"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NAm"/>
            </w:pPr>
          </w:p>
          <w:p>
            <w:pPr>
              <w:pStyle w:val="TableNAm"/>
            </w:pPr>
            <w:r>
              <w:t>The owner of the land on which the clearing is to take place.</w:t>
            </w:r>
          </w:p>
          <w:p>
            <w:pPr>
              <w:pStyle w:val="TableNAm"/>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268"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268"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268"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pPr>
            <w:r>
              <w:t>5</w:t>
            </w:r>
          </w:p>
        </w:tc>
        <w:tc>
          <w:tcPr>
            <w:tcW w:w="3827" w:type="dxa"/>
            <w:tcBorders>
              <w:top w:val="dotted" w:sz="4" w:space="0" w:color="auto"/>
            </w:tcBorders>
          </w:tcPr>
          <w:p>
            <w:pPr>
              <w:pStyle w:val="TableNAm"/>
              <w:rPr>
                <w:b/>
              </w:rPr>
            </w:pPr>
            <w:r>
              <w:rPr>
                <w:b/>
              </w:rPr>
              <w:t>Clearing for firewood</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NAm"/>
            </w:pPr>
            <w:r>
              <w:t>The owner or occupier.</w:t>
            </w:r>
          </w:p>
        </w:tc>
      </w:tr>
      <w:tr>
        <w:trPr>
          <w:cantSplit/>
        </w:trPr>
        <w:tc>
          <w:tcPr>
            <w:tcW w:w="709" w:type="dxa"/>
          </w:tcPr>
          <w:p>
            <w:pPr>
              <w:pStyle w:val="TableNAm"/>
            </w:pPr>
          </w:p>
        </w:tc>
        <w:tc>
          <w:tcPr>
            <w:tcW w:w="3827" w:type="dxa"/>
          </w:tcPr>
          <w:p>
            <w:pPr>
              <w:pStyle w:val="TableNAm"/>
              <w:ind w:left="567" w:hanging="567"/>
              <w:rPr>
                <w:i/>
              </w:rPr>
            </w:pPr>
            <w:r>
              <w:t>(a)</w:t>
            </w:r>
            <w:r>
              <w:tab/>
              <w:t>does not kill any live vegetation and does not prevent regrowth of the vegetation;</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268"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268"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268"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8</w:t>
            </w:r>
          </w:p>
        </w:tc>
        <w:tc>
          <w:tcPr>
            <w:tcW w:w="3827" w:type="dxa"/>
            <w:tcBorders>
              <w:top w:val="dotted" w:sz="4" w:space="0" w:color="auto"/>
            </w:tcBorders>
          </w:tcPr>
          <w:p>
            <w:pPr>
              <w:pStyle w:val="TableNAm"/>
              <w:rPr>
                <w:b/>
              </w:rPr>
            </w:pPr>
            <w:r>
              <w:rPr>
                <w:b/>
              </w:rPr>
              <w:t>Clearing for cultural purposes of Aboriginal persons</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268"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10</w:t>
            </w:r>
          </w:p>
        </w:tc>
        <w:tc>
          <w:tcPr>
            <w:tcW w:w="3827" w:type="dxa"/>
            <w:tcBorders>
              <w:top w:val="dotted" w:sz="4" w:space="0" w:color="auto"/>
            </w:tcBorders>
          </w:tcPr>
          <w:p>
            <w:pPr>
              <w:pStyle w:val="TableNAm"/>
              <w:rPr>
                <w:b/>
              </w:rPr>
            </w:pPr>
            <w:r>
              <w:rPr>
                <w:b/>
              </w:rPr>
              <w:t>Clearing along a fence line – alienated land</w:t>
            </w:r>
          </w:p>
        </w:tc>
        <w:tc>
          <w:tcPr>
            <w:tcW w:w="2268" w:type="dxa"/>
            <w:tcBorders>
              <w:top w:val="dotted" w:sz="4" w:space="0" w:color="auto"/>
            </w:tcBorders>
          </w:tcPr>
          <w:p>
            <w:pPr>
              <w:pStyle w:val="TableNAm"/>
            </w:pPr>
          </w:p>
        </w:tc>
      </w:tr>
      <w:tr>
        <w:trPr>
          <w:trHeight w:val="856"/>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11</w:t>
            </w:r>
          </w:p>
        </w:tc>
        <w:tc>
          <w:tcPr>
            <w:tcW w:w="3827" w:type="dxa"/>
            <w:tcBorders>
              <w:top w:val="dotted" w:sz="4" w:space="0" w:color="auto"/>
            </w:tcBorders>
          </w:tcPr>
          <w:p>
            <w:pPr>
              <w:pStyle w:val="TableNAm"/>
            </w:pPr>
            <w:r>
              <w:rPr>
                <w:b/>
                <w:bCs/>
              </w:rPr>
              <w:t>Clearing along a fence line — Crown land</w:t>
            </w:r>
          </w:p>
        </w:tc>
        <w:tc>
          <w:tcPr>
            <w:tcW w:w="2268" w:type="dxa"/>
            <w:tcBorders>
              <w:top w:val="dotted" w:sz="4" w:space="0" w:color="auto"/>
            </w:tcBorders>
          </w:tcPr>
          <w:p>
            <w:pPr>
              <w:pStyle w:val="TableNAm"/>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268"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12</w:t>
            </w:r>
          </w:p>
        </w:tc>
        <w:tc>
          <w:tcPr>
            <w:tcW w:w="3827" w:type="dxa"/>
            <w:tcBorders>
              <w:top w:val="dotted" w:sz="4" w:space="0" w:color="auto"/>
            </w:tcBorders>
          </w:tcPr>
          <w:p>
            <w:pPr>
              <w:pStyle w:val="TableNAm"/>
              <w:rPr>
                <w:b/>
              </w:rPr>
            </w:pPr>
            <w:r>
              <w:rPr>
                <w:b/>
              </w:rPr>
              <w:t>Clearing for vehicular tracks</w:t>
            </w:r>
          </w:p>
        </w:tc>
        <w:tc>
          <w:tcPr>
            <w:tcW w:w="2268" w:type="dxa"/>
            <w:tcBorders>
              <w:top w:val="dotted" w:sz="4" w:space="0" w:color="auto"/>
            </w:tcBorders>
          </w:tcPr>
          <w:p>
            <w:pPr>
              <w:pStyle w:val="TableNAm"/>
            </w:pPr>
          </w:p>
        </w:tc>
      </w:tr>
      <w:tr>
        <w:trPr>
          <w:trHeight w:val="736"/>
        </w:trPr>
        <w:tc>
          <w:tcPr>
            <w:tcW w:w="709" w:type="dxa"/>
          </w:tcPr>
          <w:p>
            <w:pPr>
              <w:pStyle w:val="TableNAm"/>
            </w:pPr>
          </w:p>
        </w:tc>
        <w:tc>
          <w:tcPr>
            <w:tcW w:w="3827" w:type="dxa"/>
          </w:tcPr>
          <w:p>
            <w:pPr>
              <w:pStyle w:val="TableNAm"/>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268"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268"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268"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268"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268"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14</w:t>
            </w:r>
          </w:p>
        </w:tc>
        <w:tc>
          <w:tcPr>
            <w:tcW w:w="3827" w:type="dxa"/>
            <w:tcBorders>
              <w:top w:val="dotted" w:sz="4" w:space="0" w:color="auto"/>
            </w:tcBorders>
          </w:tcPr>
          <w:p>
            <w:pPr>
              <w:pStyle w:val="TableNAm"/>
              <w:rPr>
                <w:b/>
              </w:rPr>
            </w:pPr>
            <w:r>
              <w:rPr>
                <w:b/>
              </w:rPr>
              <w:t>Clearing to maintain existing cleared areas for pasture, cultivation or forestry</w:t>
            </w:r>
          </w:p>
        </w:tc>
        <w:tc>
          <w:tcPr>
            <w:tcW w:w="2268" w:type="dxa"/>
            <w:tcBorders>
              <w:top w:val="dotted" w:sz="4" w:space="0" w:color="auto"/>
            </w:tcBorders>
          </w:tcPr>
          <w:p>
            <w:pPr>
              <w:pStyle w:val="TableNAm"/>
            </w:pPr>
          </w:p>
        </w:tc>
      </w:tr>
      <w:tr>
        <w:trPr>
          <w:cantSplit/>
          <w:trHeight w:val="1680"/>
        </w:trPr>
        <w:tc>
          <w:tcPr>
            <w:tcW w:w="709" w:type="dxa"/>
            <w:tcBorders>
              <w:bottom w:val="nil"/>
            </w:tcBorders>
          </w:tcPr>
          <w:p>
            <w:pPr>
              <w:pStyle w:val="TableNAm"/>
            </w:pPr>
          </w:p>
        </w:tc>
        <w:tc>
          <w:tcPr>
            <w:tcW w:w="3827" w:type="dxa"/>
            <w:tcBorders>
              <w:bottom w:val="nil"/>
            </w:tcBorders>
          </w:tcPr>
          <w:p>
            <w:pPr>
              <w:pStyle w:val="TableNAm"/>
            </w:pPr>
            <w:r>
              <w:t xml:space="preserve">Clearing of land that was lawfully cleared within the 20 years prior to the clearing if — </w:t>
            </w:r>
          </w:p>
          <w:p>
            <w:pPr>
              <w:pStyle w:val="TableNAm"/>
              <w:ind w:left="567" w:hanging="567"/>
            </w:pPr>
            <w:r>
              <w:t>(a)</w:t>
            </w:r>
            <w:r>
              <w:tab/>
              <w:t>the land has been used as pasture or for cultivation or forestry within those 20 years; and</w:t>
            </w:r>
          </w:p>
        </w:tc>
        <w:tc>
          <w:tcPr>
            <w:tcW w:w="2268" w:type="dxa"/>
            <w:tcBorders>
              <w:bottom w:val="nil"/>
            </w:tcBorders>
          </w:tcPr>
          <w:p>
            <w:pPr>
              <w:pStyle w:val="TableNAm"/>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268"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268"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268"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268"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268"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268"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268" w:type="dxa"/>
          </w:tcPr>
          <w:p>
            <w:pPr>
              <w:pStyle w:val="TableNAm"/>
            </w:pPr>
          </w:p>
        </w:tc>
      </w:tr>
      <w:tr>
        <w:trPr>
          <w:cantSplit/>
        </w:trP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268"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268"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268" w:type="dxa"/>
          </w:tcPr>
          <w:p>
            <w:pPr>
              <w:pStyle w:val="TableNAm"/>
            </w:pPr>
          </w:p>
        </w:tc>
      </w:tr>
      <w:tr>
        <w:tc>
          <w:tcPr>
            <w:tcW w:w="709" w:type="dxa"/>
            <w:tcBorders>
              <w:top w:val="dotted" w:sz="4" w:space="0" w:color="auto"/>
            </w:tcBorders>
          </w:tcPr>
          <w:p>
            <w:pPr>
              <w:pStyle w:val="TableNAm"/>
            </w:pPr>
            <w:r>
              <w:t>16</w:t>
            </w:r>
          </w:p>
        </w:tc>
        <w:tc>
          <w:tcPr>
            <w:tcW w:w="3827" w:type="dxa"/>
            <w:tcBorders>
              <w:top w:val="dotted" w:sz="4" w:space="0" w:color="auto"/>
            </w:tcBorders>
          </w:tcPr>
          <w:p>
            <w:pPr>
              <w:pStyle w:val="TableNAm"/>
              <w:rPr>
                <w:b/>
              </w:rPr>
            </w:pPr>
            <w:r>
              <w:rPr>
                <w:b/>
              </w:rPr>
              <w:t xml:space="preserve">Clearing under the </w:t>
            </w:r>
            <w:r>
              <w:rPr>
                <w:b/>
                <w:i/>
              </w:rPr>
              <w:t>Rights in Water and Irrigation Act 1914</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NAm"/>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2</w:t>
            </w:r>
            <w:r>
              <w:t>; or</w:t>
            </w:r>
          </w:p>
          <w:p>
            <w:pPr>
              <w:pStyle w:val="TableNAm"/>
              <w:ind w:left="567" w:hanging="567"/>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268"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268"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NAm"/>
            </w:pPr>
          </w:p>
        </w:tc>
      </w:tr>
      <w:tr>
        <w:trPr>
          <w:trHeight w:val="209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268"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268"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268"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268"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pPr>
            <w:r>
              <w:t>26</w:t>
            </w:r>
          </w:p>
        </w:tc>
        <w:tc>
          <w:tcPr>
            <w:tcW w:w="3827" w:type="dxa"/>
            <w:tcBorders>
              <w:top w:val="dotted" w:sz="4" w:space="0" w:color="auto"/>
            </w:tcBorders>
          </w:tcPr>
          <w:p>
            <w:pPr>
              <w:pStyle w:val="TableNAm"/>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the result of carrying out an activity — </w:t>
            </w:r>
          </w:p>
        </w:tc>
        <w:tc>
          <w:tcPr>
            <w:tcW w:w="2268" w:type="dxa"/>
          </w:tcPr>
          <w:p>
            <w:pPr>
              <w:pStyle w:val="TableNAm"/>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268"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8" w:name="_Toc11856994"/>
      <w:r>
        <w:rPr>
          <w:rStyle w:val="CharSectno"/>
        </w:rPr>
        <w:t>7</w:t>
      </w:r>
      <w:r>
        <w:t>.</w:t>
      </w:r>
      <w:r>
        <w:tab/>
        <w:t>Fees</w:t>
      </w:r>
      <w:bookmarkEnd w:id="8"/>
    </w:p>
    <w:p>
      <w:pPr>
        <w:pStyle w:val="Subsection"/>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9" w:name="_Toc11856995"/>
      <w:r>
        <w:rPr>
          <w:rStyle w:val="CharSectno"/>
        </w:rPr>
        <w:t>8</w:t>
      </w:r>
      <w:r>
        <w:t>.</w:t>
      </w:r>
      <w:r>
        <w:tab/>
        <w:t>Records to be kept by the CEO — section 51Q</w:t>
      </w:r>
      <w:bookmarkEnd w:id="9"/>
    </w:p>
    <w:p>
      <w:pPr>
        <w:pStyle w:val="Subsection"/>
      </w:pPr>
      <w:r>
        <w:tab/>
        <w:t>(1)</w:t>
      </w:r>
      <w:r>
        <w:tab/>
        <w:t xml:space="preserve">A record of the following particulars is be kept by the CEO for the purposes of section 51Q(1) — </w:t>
      </w:r>
    </w:p>
    <w:p>
      <w:pPr>
        <w:pStyle w:val="Indenta"/>
      </w:pPr>
      <w:r>
        <w:tab/>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r>
        <w:tab/>
        <w:t>[Regulation 8 amended: Gazette 24 Jun 2005 p. 2757.]</w:t>
      </w:r>
    </w:p>
    <w:p>
      <w:pPr>
        <w:pStyle w:val="Heading5"/>
      </w:pPr>
      <w:bookmarkStart w:id="10" w:name="_Toc11856996"/>
      <w:r>
        <w:rPr>
          <w:rStyle w:val="CharSectno"/>
        </w:rPr>
        <w:t>9</w:t>
      </w:r>
      <w:r>
        <w:t>.</w:t>
      </w:r>
      <w:r>
        <w:tab/>
        <w:t>Expiry of certain provisions</w:t>
      </w:r>
      <w:bookmarkEnd w:id="10"/>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 w:name="_Toc11662854"/>
      <w:bookmarkStart w:id="12" w:name="_Toc11664301"/>
      <w:bookmarkStart w:id="13" w:name="_Toc11856574"/>
      <w:bookmarkStart w:id="14" w:name="_Toc11856800"/>
      <w:bookmarkStart w:id="15" w:name="_Toc11856997"/>
      <w:r>
        <w:rPr>
          <w:rStyle w:val="CharSchNo"/>
        </w:rPr>
        <w:t>Schedule 1</w:t>
      </w:r>
      <w:r>
        <w:t> — </w:t>
      </w:r>
      <w:r>
        <w:rPr>
          <w:rStyle w:val="CharSchText"/>
        </w:rPr>
        <w:t>Low impact or other mineral or petroleum activities</w:t>
      </w:r>
      <w:bookmarkEnd w:id="11"/>
      <w:bookmarkEnd w:id="12"/>
      <w:bookmarkEnd w:id="13"/>
      <w:bookmarkEnd w:id="14"/>
      <w:bookmarkEnd w:id="15"/>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16" w:name="_Toc11856998"/>
      <w:r>
        <w:rPr>
          <w:rStyle w:val="CharSClsNo"/>
        </w:rPr>
        <w:t>1</w:t>
      </w:r>
      <w:r>
        <w:t>.</w:t>
      </w:r>
      <w:r>
        <w:tab/>
        <w:t>Terms used</w:t>
      </w:r>
      <w:bookmarkEnd w:id="16"/>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17" w:name="_Toc11856999"/>
      <w:r>
        <w:rPr>
          <w:rStyle w:val="CharSClsNo"/>
        </w:rPr>
        <w:t>2</w:t>
      </w:r>
      <w:r>
        <w:t>.</w:t>
      </w:r>
      <w:r>
        <w:tab/>
        <w:t>Low impact mineral and petroleum activities</w:t>
      </w:r>
      <w:bookmarkEnd w:id="17"/>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18" w:name="_Toc11857000"/>
      <w:r>
        <w:rPr>
          <w:rStyle w:val="CharSClsNo"/>
        </w:rPr>
        <w:t>3</w:t>
      </w:r>
      <w:r>
        <w:t>.</w:t>
      </w:r>
      <w:r>
        <w:tab/>
        <w:t>How the activity is to be carried out</w:t>
      </w:r>
      <w:bookmarkEnd w:id="18"/>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19" w:name="_Toc11857001"/>
      <w:r>
        <w:rPr>
          <w:rStyle w:val="CharSClsNo"/>
        </w:rPr>
        <w:t>4</w:t>
      </w:r>
      <w:r>
        <w:t>.</w:t>
      </w:r>
      <w:r>
        <w:tab/>
        <w:t>Non</w:t>
      </w:r>
      <w:r>
        <w:noBreakHyphen/>
        <w:t>permitted areas</w:t>
      </w:r>
      <w:bookmarkEnd w:id="19"/>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20" w:name="_Toc11662859"/>
      <w:bookmarkStart w:id="21" w:name="_Toc11664306"/>
      <w:bookmarkStart w:id="22" w:name="_Toc11856579"/>
      <w:bookmarkStart w:id="23" w:name="_Toc11856805"/>
      <w:bookmarkStart w:id="24" w:name="_Toc11857002"/>
      <w:r>
        <w:rPr>
          <w:rStyle w:val="CharSchNo"/>
        </w:rPr>
        <w:t>Schedule 2</w:t>
      </w:r>
      <w:r>
        <w:t> — </w:t>
      </w:r>
      <w:r>
        <w:rPr>
          <w:rStyle w:val="CharSchText"/>
        </w:rPr>
        <w:t>Clearing for maintenance in existing transport corridors</w:t>
      </w:r>
      <w:bookmarkEnd w:id="20"/>
      <w:bookmarkEnd w:id="21"/>
      <w:bookmarkEnd w:id="22"/>
      <w:bookmarkEnd w:id="23"/>
      <w:bookmarkEnd w:id="24"/>
    </w:p>
    <w:p>
      <w:pPr>
        <w:pStyle w:val="yShoulderClause"/>
      </w:pPr>
      <w:r>
        <w:t>[r. 5(1) item 22]</w:t>
      </w:r>
    </w:p>
    <w:p>
      <w:pPr>
        <w:pStyle w:val="yFootnoteheading"/>
      </w:pPr>
      <w:r>
        <w:tab/>
        <w:t>[Heading amended: Gazette 7 Jul 2006 p. 2500.]</w:t>
      </w:r>
    </w:p>
    <w:p>
      <w:pPr>
        <w:pStyle w:val="yHeading5"/>
        <w:spacing w:before="240"/>
        <w:outlineLvl w:val="9"/>
      </w:pPr>
      <w:bookmarkStart w:id="25" w:name="_Toc11857003"/>
      <w:r>
        <w:rPr>
          <w:rStyle w:val="CharSClsNo"/>
        </w:rPr>
        <w:t>1</w:t>
      </w:r>
      <w:r>
        <w:t>.</w:t>
      </w:r>
      <w:r>
        <w:tab/>
        <w:t>Terms used</w:t>
      </w:r>
      <w:bookmarkEnd w:id="25"/>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26" w:name="_Toc11857004"/>
      <w:r>
        <w:rPr>
          <w:rStyle w:val="CharSClsNo"/>
        </w:rPr>
        <w:t>2</w:t>
      </w:r>
      <w:r>
        <w:t>.</w:t>
      </w:r>
      <w:r>
        <w:tab/>
        <w:t>Extent of clearing for an area or purpose in relation to a road or railway</w:t>
      </w:r>
      <w:bookmarkEnd w:id="26"/>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27" w:name="_Toc11857005"/>
      <w:r>
        <w:rPr>
          <w:rStyle w:val="CharSClsNo"/>
        </w:rPr>
        <w:t>3</w:t>
      </w:r>
      <w:r>
        <w:t>.</w:t>
      </w:r>
      <w:r>
        <w:tab/>
        <w:t>How the clearing is to be carried out</w:t>
      </w:r>
      <w:bookmarkEnd w:id="27"/>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28" w:name="_Toc11662863"/>
      <w:bookmarkStart w:id="29" w:name="_Toc11664310"/>
      <w:bookmarkStart w:id="30" w:name="_Toc11856583"/>
      <w:bookmarkStart w:id="31" w:name="_Toc11856809"/>
      <w:bookmarkStart w:id="32" w:name="_Toc11857006"/>
      <w:r>
        <w:rPr>
          <w:rStyle w:val="CharSchNo"/>
        </w:rPr>
        <w:t>Schedule 3</w:t>
      </w:r>
      <w:r>
        <w:t> — </w:t>
      </w:r>
      <w:r>
        <w:rPr>
          <w:rStyle w:val="CharSchText"/>
        </w:rPr>
        <w:t>Infrastructure maintenance activities</w:t>
      </w:r>
      <w:bookmarkEnd w:id="28"/>
      <w:bookmarkEnd w:id="29"/>
      <w:bookmarkEnd w:id="30"/>
      <w:bookmarkEnd w:id="31"/>
      <w:bookmarkEnd w:id="32"/>
    </w:p>
    <w:p>
      <w:pPr>
        <w:pStyle w:val="yShoulderClause"/>
      </w:pPr>
      <w:r>
        <w:t>[r. 5(1) item 23]</w:t>
      </w:r>
    </w:p>
    <w:p>
      <w:pPr>
        <w:pStyle w:val="yHeading5"/>
        <w:spacing w:before="120"/>
        <w:outlineLvl w:val="9"/>
      </w:pPr>
      <w:bookmarkStart w:id="33" w:name="_Toc11857007"/>
      <w:r>
        <w:rPr>
          <w:rStyle w:val="CharSClsNo"/>
        </w:rPr>
        <w:t>1</w:t>
      </w:r>
      <w:r>
        <w:t>.</w:t>
      </w:r>
      <w:r>
        <w:tab/>
        <w:t>Infrastructure maintenance activities</w:t>
      </w:r>
      <w:bookmarkEnd w:id="33"/>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34" w:name="_Toc11857008"/>
      <w:r>
        <w:rPr>
          <w:rStyle w:val="CharSClsNo"/>
        </w:rPr>
        <w:t>2</w:t>
      </w:r>
      <w:r>
        <w:t>.</w:t>
      </w:r>
      <w:r>
        <w:tab/>
        <w:t>How the activity is to be carried out</w:t>
      </w:r>
      <w:bookmarkEnd w:id="34"/>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6" w:name="_Toc11662866"/>
      <w:bookmarkStart w:id="37" w:name="_Toc11664313"/>
      <w:bookmarkStart w:id="38" w:name="_Toc11856586"/>
      <w:bookmarkStart w:id="39" w:name="_Toc11856812"/>
      <w:bookmarkStart w:id="40" w:name="_Toc11857009"/>
      <w:r>
        <w:t>Notes</w:t>
      </w:r>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41" w:name="_Toc11857010"/>
      <w: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Environmental Protection (Clearing of Native Vegetation) Amendment Regulations 2019</w:t>
            </w:r>
          </w:p>
        </w:tc>
        <w:tc>
          <w:tcPr>
            <w:tcW w:w="1276" w:type="dxa"/>
            <w:tcBorders>
              <w:top w:val="nil"/>
              <w:bottom w:val="single" w:sz="4" w:space="0" w:color="auto"/>
            </w:tcBorders>
          </w:tcPr>
          <w:p>
            <w:pPr>
              <w:pStyle w:val="nTable"/>
              <w:spacing w:after="40"/>
            </w:pPr>
            <w:r>
              <w:t>3 May 2019 p. 1307</w:t>
            </w:r>
            <w:r>
              <w:noBreakHyphen/>
              <w:t>9</w:t>
            </w:r>
          </w:p>
        </w:tc>
        <w:tc>
          <w:tcPr>
            <w:tcW w:w="2693" w:type="dxa"/>
            <w:tcBorders>
              <w:top w:val="nil"/>
              <w:bottom w:val="single" w:sz="4" w:space="0" w:color="auto"/>
            </w:tcBorders>
          </w:tcPr>
          <w:p>
            <w:pPr>
              <w:pStyle w:val="nTable"/>
              <w:spacing w:after="40"/>
            </w:pPr>
            <w:r>
              <w:t>r. 1 and 2: 3 May 2019 (see r. 2(a));</w:t>
            </w:r>
            <w:r>
              <w:br/>
              <w:t>Regulations other than r. 1 and 2: 1 Jul 2019 (see r. 2(b))</w:t>
            </w:r>
          </w:p>
        </w:tc>
      </w:tr>
    </w:tbl>
    <w:p>
      <w:pPr>
        <w:pStyle w:val="nSubsection"/>
        <w:rPr>
          <w:vertAlign w:val="superscript"/>
        </w:rPr>
      </w:pPr>
    </w:p>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keepNext/>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keepNext/>
        <w:rPr>
          <w:i/>
          <w:snapToGrid w:val="0"/>
          <w:sz w:val="24"/>
        </w:rPr>
      </w:pPr>
      <w:r>
        <w:rPr>
          <w:snapToGrid w:val="0"/>
          <w:sz w:val="24"/>
        </w:rPr>
        <w:t>“</w:t>
      </w:r>
    </w:p>
    <w:p>
      <w:pPr>
        <w:pStyle w:val="nzHeading5"/>
      </w:pPr>
      <w:r>
        <w:t>223.</w:t>
      </w:r>
      <w:r>
        <w:tab/>
        <w:t>Agreements and instruments generally</w:t>
      </w:r>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3" w:name="_Toc11856814"/>
      <w:bookmarkStart w:id="44" w:name="_Toc11857011"/>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alienated land</w:t>
      </w:r>
      <w:r>
        <w:tab/>
        <w:t>3</w:t>
      </w:r>
    </w:p>
    <w:p>
      <w:pPr>
        <w:pStyle w:val="DefinedTerms"/>
      </w:pPr>
      <w:r>
        <w:t>application area</w:t>
      </w:r>
      <w:r>
        <w:tab/>
        <w:t>7(1)</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crossover area</w:t>
      </w:r>
      <w:r>
        <w:tab/>
        <w:t>Sch. 2 cl. 1</w:t>
      </w:r>
    </w:p>
    <w:p>
      <w:pPr>
        <w:pStyle w:val="DefinedTerms"/>
      </w:pPr>
      <w:r>
        <w:t>Crown land</w:t>
      </w:r>
      <w:r>
        <w:tab/>
        <w:t>3</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plant</w:t>
      </w:r>
      <w:r>
        <w:tab/>
        <w:t>4(2)</w:t>
      </w:r>
    </w:p>
    <w:p>
      <w:pPr>
        <w:pStyle w:val="DefinedTerms"/>
      </w:pPr>
      <w:r>
        <w:t>previously cleared</w:t>
      </w:r>
      <w:r>
        <w:tab/>
        <w:t>Sch. 2 cl. 1</w:t>
      </w:r>
    </w:p>
    <w:p>
      <w:pPr>
        <w:pStyle w:val="DefinedTerms"/>
      </w:pPr>
      <w:r>
        <w:t>property</w:t>
      </w:r>
      <w:r>
        <w:tab/>
        <w:t>3</w:t>
      </w:r>
    </w:p>
    <w:p>
      <w:pPr>
        <w:pStyle w:val="DefinedTerms"/>
      </w:pPr>
      <w:r>
        <w:t>public roadside facility</w:t>
      </w:r>
      <w:r>
        <w:tab/>
        <w:t>Sch. 2 cl. 1</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transport corridor infrastructure</w:t>
      </w:r>
      <w:r>
        <w:tab/>
        <w:t>Sch. 2 cl. 1</w:t>
      </w:r>
    </w:p>
    <w:p>
      <w:pPr>
        <w:pStyle w:val="DefinedTerms"/>
      </w:pPr>
      <w:r>
        <w:t>utility</w:t>
      </w:r>
      <w:r>
        <w:tab/>
        <w:t>3</w:t>
      </w:r>
    </w:p>
    <w:p>
      <w:pPr>
        <w:pStyle w:val="DefinedTerms"/>
      </w:pPr>
      <w:r>
        <w:t>water supply area</w:t>
      </w:r>
      <w:r>
        <w:tab/>
        <w:t>Sch. 1 cl. 1</w:t>
      </w:r>
    </w:p>
    <w:p>
      <w:pPr>
        <w:pStyle w:val="DefinedTerms"/>
      </w:pPr>
      <w:r>
        <w:t>watercourse</w:t>
      </w:r>
      <w:r>
        <w:tab/>
        <w:t>3</w:t>
      </w:r>
    </w:p>
    <w:p>
      <w:pPr>
        <w:pStyle w:val="DefinedTerms"/>
      </w:pPr>
      <w:r>
        <w:t>wetland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CharDivNo </w:instrText>
          </w:r>
          <w:r>
            <w:rPr>
              <w:b/>
            </w:rPr>
            <w:fldChar w:fldCharType="end"/>
          </w:r>
        </w:p>
      </w:tc>
    </w:tr>
    <w:tr>
      <w:trPr>
        <w:gridAfter w:val="1"/>
        <w:wAfter w:w="44" w:type="dxa"/>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7111944"/>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726AD-0C52-411C-AE4C-241BDB6F1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7836</Words>
  <Characters>37379</Characters>
  <Application>Microsoft Office Word</Application>
  <DocSecurity>0</DocSecurity>
  <Lines>1625</Lines>
  <Paragraphs>779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44436</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2004 - 02-e0-00</dc:title>
  <dc:subject/>
  <dc:creator/>
  <cp:keywords/>
  <dc:description/>
  <cp:lastModifiedBy>svcMRProcess</cp:lastModifiedBy>
  <cp:revision>4</cp:revision>
  <cp:lastPrinted>2009-05-12T01:47:00Z</cp:lastPrinted>
  <dcterms:created xsi:type="dcterms:W3CDTF">2019-06-28T05:55:00Z</dcterms:created>
  <dcterms:modified xsi:type="dcterms:W3CDTF">2019-06-28T05:55:00Z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01 Jul 2019</vt:lpwstr>
  </property>
  <property fmtid="{D5CDD505-2E9C-101B-9397-08002B2CF9AE}" pid="8" name="Suffix">
    <vt:lpwstr>02-e0-00</vt:lpwstr>
  </property>
  <property fmtid="{D5CDD505-2E9C-101B-9397-08002B2CF9AE}" pid="9" name="CommencementDate">
    <vt:lpwstr>20190701</vt:lpwstr>
  </property>
</Properties>
</file>