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_Toc45630739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_Toc45630740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_Toc45630741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_Toc45630742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_Toc45630743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_Toc45630744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_Toc45630746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_Toc45630747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_Toc45630748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_Toc45630749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_Toc45630750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_Toc45630751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_Toc45630752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_Toc45630755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_Toc45630756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_Toc45630757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_Toc45630758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_Toc45630759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_Toc45630760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_Toc45630762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_Toc45630763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_Toc45630764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_Toc45630765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_Toc45630766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_Toc45630767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_Toc45630768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_Toc45630769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_Toc45630773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_Toc45630775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_Toc45630776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_Toc45630777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_Toc45630778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_Toc45630779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_Toc45630780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_Toc45630781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_Toc45630782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_Toc45630783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_Toc45630784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_Toc45630785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_Toc45630786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_Toc45630787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_Toc45630788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_Toc45630790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_Toc45630791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_Toc45630792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_Toc45630793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_Toc45630794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_Toc45630796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_Toc45630797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_Toc45630798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_Toc45630799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_Toc45630801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_Toc45630802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_Toc45630805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_Toc45630806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_Toc45630808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_Toc45630809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_Toc45630810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_Toc45630811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_Toc45630812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_Toc45630813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_Toc45630814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_Toc45630815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_Toc45630816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_Toc45630817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_Toc45630818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_Toc45630819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_Toc45630820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_Toc45630821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_Toc45630822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_Toc45630823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_Toc45630824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_Toc45630826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_Toc45630827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_Toc45630828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_Toc45630829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_Toc45630830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_Toc45630832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_Toc45630833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_Toc45630834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_Toc45630835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_Toc45630836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_Toc45630837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_Toc45630839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_Toc45630840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_Toc45630842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_Toc45630843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_Toc45630844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_Toc45630845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_Toc45630846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_Toc45630847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_Toc45630848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_Toc45630852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_Toc45630854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_Toc45630855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_Toc45630856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_Toc45630857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_Toc45630858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_Toc45630859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_Toc45630860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_Toc45630861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_Toc45630862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_Toc45630863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_Toc45630864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_Toc45630865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_Toc45630866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_Toc45630867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_Toc45630869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_Toc45630870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_Toc45630871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_Toc45630872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_Toc45630873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_Toc45630875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_Toc45630876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_Toc45630877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_Toc45630879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_Toc45630881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_Toc45630882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_Toc45630883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_Toc45630884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_Toc45630885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_Toc45630886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_Toc45630888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_Toc45630889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_Toc45630890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_Toc45630891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_Toc45630892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_Toc45630895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_Toc45630896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_Toc45630897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_Toc45630898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_Toc45630899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_Toc45630900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_Toc45630901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_Toc45630902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_Toc45630903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_Toc45630904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_Toc45630906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_Toc45630909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_Toc45630910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_Toc45630911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_Toc45630913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_Toc45630914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_Toc45630915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_Toc45630916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_Toc45630917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_Toc45630919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_Toc45630920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_Toc45630921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_Toc45630922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_Toc45630923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_Toc45630924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_Toc45630925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_Toc45630926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_Toc45630927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_Toc45630929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_Toc45630930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_Toc45630931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_Toc45630932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_Toc45630933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_Toc45630934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_Toc45630938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_Toc45630940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_Toc45630941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_Toc45630942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_Toc45630943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_Toc45630944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_Toc45630945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_Toc45630946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_Toc45630948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_Toc45630949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_Toc45630951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_Toc45630952 \h </w:instrText>
      </w:r>
      <w:r>
        <w:fldChar w:fldCharType="separate"/>
      </w:r>
      <w:r>
        <w:t>133</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_Toc45630953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_Toc45630954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_Toc45630955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_Toc45630956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_Toc45630959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_Toc45630960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_Toc45630963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_Toc45630964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_Toc45630965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_Toc45630966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_Toc45630968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_Toc45630970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_Toc45630971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_Toc45630972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_Toc45630973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_Toc45630975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_Toc45630976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_Toc45630977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_Toc45630979 \h </w:instrText>
      </w:r>
      <w:r>
        <w:fldChar w:fldCharType="separate"/>
      </w:r>
      <w:r>
        <w:t>143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_Toc45630980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5629286"/>
      <w:bookmarkStart w:id="4" w:name="_Toc45630494"/>
      <w:bookmarkStart w:id="5" w:name="_Toc4563073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5630739"/>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45630740"/>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45630741"/>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w:t>
      </w:r>
    </w:p>
    <w:p>
      <w:pPr>
        <w:pStyle w:val="Heading5"/>
      </w:pPr>
      <w:bookmarkStart w:id="10" w:name="_Toc45630742"/>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45630743"/>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2" w:name="_Toc45630744"/>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45629293"/>
      <w:bookmarkStart w:id="14" w:name="_Toc45630501"/>
      <w:bookmarkStart w:id="15" w:name="_Toc45630745"/>
      <w:r>
        <w:rPr>
          <w:rStyle w:val="CharPartNo"/>
        </w:rPr>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45630746"/>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45630747"/>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45630748"/>
      <w:r>
        <w:rPr>
          <w:rStyle w:val="CharSectno"/>
        </w:rPr>
        <w:t>9</w:t>
      </w:r>
      <w:r>
        <w:t>.</w:t>
      </w:r>
      <w:r>
        <w:tab/>
        <w:t>Subsidiary risk defined</w:t>
      </w:r>
      <w:bookmarkEnd w:id="18"/>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9" w:name="_Toc45630749"/>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45630750"/>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45630751"/>
      <w:r>
        <w:rPr>
          <w:rStyle w:val="CharSectno"/>
        </w:rPr>
        <w:t>12A</w:t>
      </w:r>
      <w:r>
        <w:t>.</w:t>
      </w:r>
      <w:r>
        <w:tab/>
        <w:t>Chief Officer may determine classification of goods</w:t>
      </w:r>
      <w:bookmarkEnd w:id="2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w:t>
      </w:r>
    </w:p>
    <w:p>
      <w:pPr>
        <w:pStyle w:val="Heading5"/>
      </w:pPr>
      <w:bookmarkStart w:id="22" w:name="_Toc45630752"/>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45629301"/>
      <w:bookmarkStart w:id="24" w:name="_Toc45630509"/>
      <w:bookmarkStart w:id="25" w:name="_Toc45630753"/>
      <w:r>
        <w:rPr>
          <w:rStyle w:val="CharPartNo"/>
        </w:rPr>
        <w:t>Part 3</w:t>
      </w:r>
      <w:r>
        <w:t> — </w:t>
      </w:r>
      <w:r>
        <w:rPr>
          <w:rStyle w:val="CharPartText"/>
        </w:rPr>
        <w:t>Duties of manufacturers, importers and suppliers</w:t>
      </w:r>
      <w:bookmarkEnd w:id="23"/>
      <w:bookmarkEnd w:id="24"/>
      <w:bookmarkEnd w:id="25"/>
    </w:p>
    <w:p>
      <w:pPr>
        <w:pStyle w:val="Heading3"/>
      </w:pPr>
      <w:bookmarkStart w:id="26" w:name="_Toc45629302"/>
      <w:bookmarkStart w:id="27" w:name="_Toc45630510"/>
      <w:bookmarkStart w:id="28" w:name="_Toc45630754"/>
      <w:r>
        <w:rPr>
          <w:rStyle w:val="CharDivNo"/>
        </w:rPr>
        <w:t>Division 1</w:t>
      </w:r>
      <w:r>
        <w:t> — </w:t>
      </w:r>
      <w:r>
        <w:rPr>
          <w:rStyle w:val="CharDivText"/>
        </w:rPr>
        <w:t>General duties</w:t>
      </w:r>
      <w:bookmarkEnd w:id="26"/>
      <w:bookmarkEnd w:id="27"/>
      <w:bookmarkEnd w:id="28"/>
    </w:p>
    <w:p>
      <w:pPr>
        <w:pStyle w:val="Heading5"/>
      </w:pPr>
      <w:bookmarkStart w:id="29" w:name="_Toc45630755"/>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45630756"/>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45630757"/>
      <w:r>
        <w:rPr>
          <w:rStyle w:val="CharSectno"/>
        </w:rPr>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45630758"/>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45630759"/>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45630760"/>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45629309"/>
      <w:bookmarkStart w:id="36" w:name="_Toc45630517"/>
      <w:bookmarkStart w:id="37" w:name="_Toc45630761"/>
      <w:r>
        <w:rPr>
          <w:rStyle w:val="CharDivNo"/>
        </w:rPr>
        <w:t>Division 2</w:t>
      </w:r>
      <w:r>
        <w:t> — </w:t>
      </w:r>
      <w:r>
        <w:rPr>
          <w:rStyle w:val="CharDivText"/>
        </w:rPr>
        <w:t>Safe storage and handling information</w:t>
      </w:r>
      <w:bookmarkEnd w:id="35"/>
      <w:bookmarkEnd w:id="36"/>
      <w:bookmarkEnd w:id="37"/>
    </w:p>
    <w:p>
      <w:pPr>
        <w:pStyle w:val="Heading5"/>
      </w:pPr>
      <w:bookmarkStart w:id="38" w:name="_Toc45630762"/>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45630763"/>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45630764"/>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45630765"/>
      <w:r>
        <w:rPr>
          <w:rStyle w:val="CharSectno"/>
        </w:rPr>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45630766"/>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45630767"/>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w:t>
      </w:r>
    </w:p>
    <w:p>
      <w:pPr>
        <w:pStyle w:val="Heading5"/>
      </w:pPr>
      <w:bookmarkStart w:id="44" w:name="_Toc45630768"/>
      <w:r>
        <w:rPr>
          <w:rStyle w:val="CharSectno"/>
        </w:rPr>
        <w:t>22</w:t>
      </w:r>
      <w:r>
        <w:t>.</w:t>
      </w:r>
      <w:r>
        <w:tab/>
        <w:t>Safe storage and handling information not in SDS to be provided</w:t>
      </w:r>
      <w:bookmarkEnd w:id="44"/>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45630769"/>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45629318"/>
      <w:bookmarkStart w:id="47" w:name="_Toc45630526"/>
      <w:bookmarkStart w:id="48" w:name="_Toc45630770"/>
      <w:r>
        <w:rPr>
          <w:rStyle w:val="CharPartNo"/>
        </w:rPr>
        <w:t>Part 4</w:t>
      </w:r>
      <w:r>
        <w:t> — </w:t>
      </w:r>
      <w:r>
        <w:rPr>
          <w:rStyle w:val="CharPartText"/>
        </w:rPr>
        <w:t>Dangerous goods sites</w:t>
      </w:r>
      <w:bookmarkEnd w:id="46"/>
      <w:bookmarkEnd w:id="47"/>
      <w:bookmarkEnd w:id="48"/>
    </w:p>
    <w:p>
      <w:pPr>
        <w:pStyle w:val="Heading3"/>
        <w:spacing w:before="200"/>
      </w:pPr>
      <w:bookmarkStart w:id="49" w:name="_Toc45629319"/>
      <w:bookmarkStart w:id="50" w:name="_Toc45630527"/>
      <w:bookmarkStart w:id="51" w:name="_Toc45630771"/>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45629320"/>
      <w:bookmarkStart w:id="53" w:name="_Toc45630528"/>
      <w:bookmarkStart w:id="54" w:name="_Toc45630772"/>
      <w:r>
        <w:t>Subdivision 1 — Preliminary matters</w:t>
      </w:r>
      <w:bookmarkEnd w:id="52"/>
      <w:bookmarkEnd w:id="53"/>
      <w:bookmarkEnd w:id="54"/>
    </w:p>
    <w:p>
      <w:pPr>
        <w:pStyle w:val="Heading5"/>
      </w:pPr>
      <w:bookmarkStart w:id="55" w:name="_Toc45630773"/>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45629322"/>
      <w:bookmarkStart w:id="57" w:name="_Toc45630530"/>
      <w:bookmarkStart w:id="58" w:name="_Toc45630774"/>
      <w:r>
        <w:t>Subdivision 2 — General matters</w:t>
      </w:r>
      <w:bookmarkEnd w:id="56"/>
      <w:bookmarkEnd w:id="57"/>
      <w:bookmarkEnd w:id="58"/>
    </w:p>
    <w:p>
      <w:pPr>
        <w:pStyle w:val="Heading5"/>
      </w:pPr>
      <w:bookmarkStart w:id="59" w:name="_Toc45630775"/>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45630776"/>
      <w:r>
        <w:rPr>
          <w:rStyle w:val="CharSectno"/>
        </w:rPr>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45630777"/>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45630778"/>
      <w:r>
        <w:rPr>
          <w:rStyle w:val="CharSectno"/>
        </w:rPr>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45630779"/>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45630780"/>
      <w:r>
        <w:rPr>
          <w:rStyle w:val="CharSectno"/>
        </w:rPr>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45630781"/>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45630782"/>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45630783"/>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45630784"/>
      <w:r>
        <w:rPr>
          <w:rStyle w:val="CharSectno"/>
        </w:rPr>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45630785"/>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45630786"/>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45630787"/>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45630788"/>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45629337"/>
      <w:bookmarkStart w:id="74" w:name="_Toc45630545"/>
      <w:bookmarkStart w:id="75" w:name="_Toc45630789"/>
      <w:r>
        <w:t>Subdivision 3 — Suspending and cancelling licences</w:t>
      </w:r>
      <w:bookmarkEnd w:id="73"/>
      <w:bookmarkEnd w:id="74"/>
      <w:bookmarkEnd w:id="75"/>
    </w:p>
    <w:p>
      <w:pPr>
        <w:pStyle w:val="Heading5"/>
      </w:pPr>
      <w:bookmarkStart w:id="76" w:name="_Toc45630790"/>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45630791"/>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45630792"/>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45630793"/>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45630794"/>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45629343"/>
      <w:bookmarkStart w:id="82" w:name="_Toc45630551"/>
      <w:bookmarkStart w:id="83" w:name="_Toc45630795"/>
      <w:r>
        <w:t>Subdivision 4 — Duties of licence holders</w:t>
      </w:r>
      <w:bookmarkEnd w:id="81"/>
      <w:bookmarkEnd w:id="82"/>
      <w:bookmarkEnd w:id="83"/>
    </w:p>
    <w:p>
      <w:pPr>
        <w:pStyle w:val="Heading5"/>
      </w:pPr>
      <w:bookmarkStart w:id="84" w:name="_Toc45630796"/>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spacing w:before="200"/>
      </w:pPr>
      <w:bookmarkStart w:id="85" w:name="_Toc45630797"/>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45630798"/>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45630799"/>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45629348"/>
      <w:bookmarkStart w:id="89" w:name="_Toc45630556"/>
      <w:bookmarkStart w:id="90" w:name="_Toc45630800"/>
      <w:r>
        <w:t>Subdivision 5 — Miscellaneous matters</w:t>
      </w:r>
      <w:bookmarkEnd w:id="88"/>
      <w:bookmarkEnd w:id="89"/>
      <w:bookmarkEnd w:id="90"/>
    </w:p>
    <w:p>
      <w:pPr>
        <w:pStyle w:val="Heading5"/>
      </w:pPr>
      <w:bookmarkStart w:id="91" w:name="_Toc45630801"/>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45630802"/>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45629351"/>
      <w:bookmarkStart w:id="94" w:name="_Toc45630559"/>
      <w:bookmarkStart w:id="95" w:name="_Toc45630803"/>
      <w:r>
        <w:rPr>
          <w:rStyle w:val="CharDivNo"/>
        </w:rPr>
        <w:t>Division 2</w:t>
      </w:r>
      <w:r>
        <w:t> — </w:t>
      </w:r>
      <w:r>
        <w:rPr>
          <w:rStyle w:val="CharDivText"/>
        </w:rPr>
        <w:t>Risk assessment and control</w:t>
      </w:r>
      <w:bookmarkEnd w:id="93"/>
      <w:bookmarkEnd w:id="94"/>
      <w:bookmarkEnd w:id="95"/>
    </w:p>
    <w:p>
      <w:pPr>
        <w:pStyle w:val="Heading4"/>
      </w:pPr>
      <w:bookmarkStart w:id="96" w:name="_Toc45629352"/>
      <w:bookmarkStart w:id="97" w:name="_Toc45630560"/>
      <w:bookmarkStart w:id="98" w:name="_Toc45630804"/>
      <w:r>
        <w:t>Subdivision 1 — Risk assessment</w:t>
      </w:r>
      <w:bookmarkEnd w:id="96"/>
      <w:bookmarkEnd w:id="97"/>
      <w:bookmarkEnd w:id="98"/>
    </w:p>
    <w:p>
      <w:pPr>
        <w:pStyle w:val="Heading5"/>
        <w:spacing w:before="240"/>
      </w:pPr>
      <w:bookmarkStart w:id="99" w:name="_Toc45630805"/>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45630806"/>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45629355"/>
      <w:bookmarkStart w:id="102" w:name="_Toc45630563"/>
      <w:bookmarkStart w:id="103" w:name="_Toc45630807"/>
      <w:r>
        <w:t>Subdivision 2 — Risk control measures in relation to dangerous goods</w:t>
      </w:r>
      <w:bookmarkEnd w:id="101"/>
      <w:bookmarkEnd w:id="102"/>
      <w:bookmarkEnd w:id="103"/>
    </w:p>
    <w:p>
      <w:pPr>
        <w:pStyle w:val="Heading5"/>
      </w:pPr>
      <w:bookmarkStart w:id="104" w:name="_Toc45630808"/>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45630809"/>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45630810"/>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45630811"/>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45630812"/>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45630813"/>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45630814"/>
      <w:r>
        <w:rPr>
          <w:rStyle w:val="CharSectno"/>
        </w:rPr>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w:t>
      </w:r>
    </w:p>
    <w:p>
      <w:pPr>
        <w:pStyle w:val="Heading5"/>
      </w:pPr>
      <w:bookmarkStart w:id="111" w:name="_Toc45630815"/>
      <w:r>
        <w:rPr>
          <w:rStyle w:val="CharSectno"/>
        </w:rPr>
        <w:t>58</w:t>
      </w:r>
      <w:r>
        <w:t>.</w:t>
      </w:r>
      <w:r>
        <w:tab/>
        <w:t>Storage and handling systems, design etc. of</w:t>
      </w:r>
      <w:bookmarkEnd w:id="111"/>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45630816"/>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45630817"/>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45630818"/>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45630819"/>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45630820"/>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45630821"/>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45630822"/>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45630823"/>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45630824"/>
      <w:r>
        <w:rPr>
          <w:rStyle w:val="CharSectno"/>
        </w:rPr>
        <w:t>67</w:t>
      </w:r>
      <w:r>
        <w:t>.</w:t>
      </w:r>
      <w:r>
        <w:tab/>
        <w:t>Fire hazards, requirements as to</w:t>
      </w:r>
      <w:bookmarkEnd w:id="120"/>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21" w:name="_Toc45629373"/>
      <w:bookmarkStart w:id="122" w:name="_Toc45630581"/>
      <w:bookmarkStart w:id="123" w:name="_Toc45630825"/>
      <w:r>
        <w:t>Subdivision 3 — Placards</w:t>
      </w:r>
      <w:bookmarkEnd w:id="121"/>
      <w:bookmarkEnd w:id="122"/>
      <w:bookmarkEnd w:id="123"/>
    </w:p>
    <w:p>
      <w:pPr>
        <w:pStyle w:val="Heading5"/>
        <w:spacing w:before="200"/>
      </w:pPr>
      <w:bookmarkStart w:id="124" w:name="_Toc45630826"/>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the FES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45630827"/>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45630828"/>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45630829"/>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45630830"/>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45629379"/>
      <w:bookmarkStart w:id="130" w:name="_Toc45630587"/>
      <w:bookmarkStart w:id="131" w:name="_Toc45630831"/>
      <w:r>
        <w:t>Subdivision 4 — Emergency management and planning</w:t>
      </w:r>
      <w:bookmarkEnd w:id="129"/>
      <w:bookmarkEnd w:id="130"/>
      <w:bookmarkEnd w:id="131"/>
    </w:p>
    <w:p>
      <w:pPr>
        <w:pStyle w:val="Heading5"/>
      </w:pPr>
      <w:bookmarkStart w:id="132" w:name="_Toc45630832"/>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45630833"/>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45630834"/>
      <w:r>
        <w:rPr>
          <w:rStyle w:val="CharSectno"/>
        </w:rPr>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45630835"/>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45630836"/>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45630837"/>
      <w:r>
        <w:rPr>
          <w:rStyle w:val="CharSectno"/>
        </w:rPr>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45629386"/>
      <w:bookmarkStart w:id="139" w:name="_Toc45630594"/>
      <w:bookmarkStart w:id="140" w:name="_Toc45630838"/>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45630839"/>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45630840"/>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45629389"/>
      <w:bookmarkStart w:id="144" w:name="_Toc45630597"/>
      <w:bookmarkStart w:id="145" w:name="_Toc45630841"/>
      <w:r>
        <w:t>Subdivision 6 — Duties relating to persons at a dangerous goods site</w:t>
      </w:r>
      <w:bookmarkEnd w:id="143"/>
      <w:bookmarkEnd w:id="144"/>
      <w:bookmarkEnd w:id="145"/>
    </w:p>
    <w:p>
      <w:pPr>
        <w:pStyle w:val="Heading5"/>
      </w:pPr>
      <w:bookmarkStart w:id="146" w:name="_Toc45630842"/>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45630843"/>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45630844"/>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9" w:name="_Toc45630845"/>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45630846"/>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45630847"/>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45630848"/>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45629397"/>
      <w:bookmarkStart w:id="154" w:name="_Toc45630605"/>
      <w:bookmarkStart w:id="155" w:name="_Toc45630849"/>
      <w:r>
        <w:rPr>
          <w:rStyle w:val="CharPartNo"/>
        </w:rPr>
        <w:t>Part 5</w:t>
      </w:r>
      <w:r>
        <w:t> — </w:t>
      </w:r>
      <w:r>
        <w:rPr>
          <w:rStyle w:val="CharPartText"/>
        </w:rPr>
        <w:t>Dangerous goods pipelines</w:t>
      </w:r>
      <w:bookmarkEnd w:id="153"/>
      <w:bookmarkEnd w:id="154"/>
      <w:bookmarkEnd w:id="155"/>
    </w:p>
    <w:p>
      <w:pPr>
        <w:pStyle w:val="Heading3"/>
      </w:pPr>
      <w:bookmarkStart w:id="156" w:name="_Toc45629398"/>
      <w:bookmarkStart w:id="157" w:name="_Toc45630606"/>
      <w:bookmarkStart w:id="158" w:name="_Toc45630850"/>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45629399"/>
      <w:bookmarkStart w:id="160" w:name="_Toc45630607"/>
      <w:bookmarkStart w:id="161" w:name="_Toc45630851"/>
      <w:r>
        <w:t>Subdivision 1 — Preliminary matters</w:t>
      </w:r>
      <w:bookmarkEnd w:id="159"/>
      <w:bookmarkEnd w:id="160"/>
      <w:bookmarkEnd w:id="161"/>
    </w:p>
    <w:p>
      <w:pPr>
        <w:pStyle w:val="Heading5"/>
      </w:pPr>
      <w:bookmarkStart w:id="162" w:name="_Toc45630852"/>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45629401"/>
      <w:bookmarkStart w:id="164" w:name="_Toc45630609"/>
      <w:bookmarkStart w:id="165" w:name="_Toc45630853"/>
      <w:r>
        <w:t>Subdivision 2 — General matters</w:t>
      </w:r>
      <w:bookmarkEnd w:id="163"/>
      <w:bookmarkEnd w:id="164"/>
      <w:bookmarkEnd w:id="165"/>
    </w:p>
    <w:p>
      <w:pPr>
        <w:pStyle w:val="Heading5"/>
      </w:pPr>
      <w:bookmarkStart w:id="166" w:name="_Toc45630854"/>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45630855"/>
      <w:r>
        <w:rPr>
          <w:rStyle w:val="CharSectno"/>
        </w:rPr>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45630856"/>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45630857"/>
      <w:r>
        <w:rPr>
          <w:rStyle w:val="CharSectno"/>
        </w:rPr>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45630858"/>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45630859"/>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45630860"/>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45630861"/>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45630862"/>
      <w:r>
        <w:rPr>
          <w:rStyle w:val="CharSectno"/>
        </w:rPr>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45630863"/>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45630864"/>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45630865"/>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45630866"/>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45630867"/>
      <w:r>
        <w:rPr>
          <w:rStyle w:val="CharSectno"/>
        </w:rPr>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45629416"/>
      <w:bookmarkStart w:id="181" w:name="_Toc45630624"/>
      <w:bookmarkStart w:id="182" w:name="_Toc45630868"/>
      <w:r>
        <w:t>Subdivision 3 — Suspending and cancelling registrations</w:t>
      </w:r>
      <w:bookmarkEnd w:id="180"/>
      <w:bookmarkEnd w:id="181"/>
      <w:bookmarkEnd w:id="182"/>
    </w:p>
    <w:p>
      <w:pPr>
        <w:pStyle w:val="Heading5"/>
      </w:pPr>
      <w:bookmarkStart w:id="183" w:name="_Toc45630869"/>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45630870"/>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45630871"/>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45630872"/>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45630873"/>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45629422"/>
      <w:bookmarkStart w:id="189" w:name="_Toc45630630"/>
      <w:bookmarkStart w:id="190" w:name="_Toc45630874"/>
      <w:r>
        <w:t>Subdivision 4 — Duties of registration holders</w:t>
      </w:r>
      <w:bookmarkEnd w:id="188"/>
      <w:bookmarkEnd w:id="189"/>
      <w:bookmarkEnd w:id="190"/>
    </w:p>
    <w:p>
      <w:pPr>
        <w:pStyle w:val="Heading5"/>
      </w:pPr>
      <w:bookmarkStart w:id="191" w:name="_Toc45630875"/>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45630876"/>
      <w:r>
        <w:rPr>
          <w:rStyle w:val="CharSectno"/>
        </w:rPr>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45630877"/>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45629426"/>
      <w:bookmarkStart w:id="195" w:name="_Toc45630634"/>
      <w:bookmarkStart w:id="196" w:name="_Toc45630878"/>
      <w:r>
        <w:t>Subdivision 5 — Miscellaneous matters</w:t>
      </w:r>
      <w:bookmarkEnd w:id="194"/>
      <w:bookmarkEnd w:id="195"/>
      <w:bookmarkEnd w:id="196"/>
    </w:p>
    <w:p>
      <w:pPr>
        <w:pStyle w:val="Heading5"/>
        <w:spacing w:before="180"/>
      </w:pPr>
      <w:bookmarkStart w:id="197" w:name="_Toc45630879"/>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45629428"/>
      <w:bookmarkStart w:id="199" w:name="_Toc45630636"/>
      <w:bookmarkStart w:id="200" w:name="_Toc45630880"/>
      <w:r>
        <w:rPr>
          <w:rStyle w:val="CharDivNo"/>
        </w:rPr>
        <w:t>Division 2</w:t>
      </w:r>
      <w:r>
        <w:t> — </w:t>
      </w:r>
      <w:r>
        <w:rPr>
          <w:rStyle w:val="CharDivText"/>
        </w:rPr>
        <w:t>Risk control</w:t>
      </w:r>
      <w:bookmarkEnd w:id="198"/>
      <w:bookmarkEnd w:id="199"/>
      <w:bookmarkEnd w:id="200"/>
    </w:p>
    <w:p>
      <w:pPr>
        <w:pStyle w:val="Heading5"/>
      </w:pPr>
      <w:bookmarkStart w:id="201" w:name="_Toc45630881"/>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45630882"/>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45630883"/>
      <w:r>
        <w:rPr>
          <w:rStyle w:val="CharSectno"/>
        </w:rPr>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45630884"/>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45630885"/>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206" w:name="_Toc45630886"/>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45629435"/>
      <w:bookmarkStart w:id="208" w:name="_Toc45630643"/>
      <w:bookmarkStart w:id="209" w:name="_Toc4563088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45630888"/>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45630889"/>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45630890"/>
      <w:r>
        <w:rPr>
          <w:rStyle w:val="CharSectno"/>
        </w:rPr>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45630891"/>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45630892"/>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45629441"/>
      <w:bookmarkStart w:id="216" w:name="_Toc45630649"/>
      <w:bookmarkStart w:id="217" w:name="_Toc45630893"/>
      <w:r>
        <w:rPr>
          <w:rStyle w:val="CharPartNo"/>
        </w:rPr>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45629442"/>
      <w:bookmarkStart w:id="219" w:name="_Toc45630650"/>
      <w:bookmarkStart w:id="220" w:name="_Toc45630894"/>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45630895"/>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45630896"/>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45630897"/>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45630898"/>
      <w:r>
        <w:rPr>
          <w:rStyle w:val="CharSectno"/>
        </w:rPr>
        <w:t>126</w:t>
      </w:r>
      <w:r>
        <w:t>.</w:t>
      </w:r>
      <w:r>
        <w:tab/>
        <w:t>Ignition sources in hazardous areas, requirements as to</w:t>
      </w:r>
      <w:bookmarkEnd w:id="22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45630899"/>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45630900"/>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45630901"/>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45630902"/>
      <w:r>
        <w:rPr>
          <w:rStyle w:val="CharSectno"/>
        </w:rPr>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45630903"/>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45630904"/>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45629453"/>
      <w:bookmarkStart w:id="232" w:name="_Toc45630661"/>
      <w:bookmarkStart w:id="233" w:name="_Toc45630905"/>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45630906"/>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45629455"/>
      <w:bookmarkStart w:id="236" w:name="_Toc45630663"/>
      <w:bookmarkStart w:id="237" w:name="_Toc45630907"/>
      <w:r>
        <w:rPr>
          <w:rStyle w:val="CharPartNo"/>
        </w:rPr>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45629456"/>
      <w:bookmarkStart w:id="239" w:name="_Toc45630664"/>
      <w:bookmarkStart w:id="240" w:name="_Toc45630908"/>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45630909"/>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45630910"/>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45630911"/>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45629460"/>
      <w:bookmarkStart w:id="245" w:name="_Toc45630668"/>
      <w:bookmarkStart w:id="246" w:name="_Toc45630912"/>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45630913"/>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45630914"/>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45630915"/>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45630916"/>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45630917"/>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45629466"/>
      <w:bookmarkStart w:id="253" w:name="_Toc45630674"/>
      <w:bookmarkStart w:id="254" w:name="_Toc45630918"/>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45630919"/>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45630920"/>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45630921"/>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45630922"/>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45630923"/>
      <w:r>
        <w:rPr>
          <w:rStyle w:val="CharSectno"/>
        </w:rPr>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45630924"/>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45630925"/>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45630926"/>
      <w:r>
        <w:rPr>
          <w:rStyle w:val="CharSectno"/>
        </w:rPr>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45630927"/>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45629476"/>
      <w:bookmarkStart w:id="265" w:name="_Toc45630684"/>
      <w:bookmarkStart w:id="266" w:name="_Toc45630928"/>
      <w:r>
        <w:rPr>
          <w:rStyle w:val="CharPartNo"/>
        </w:rPr>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45630929"/>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45630930"/>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45630931"/>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45630932"/>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45630933"/>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45630934"/>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73" w:name="_Toc45629483"/>
      <w:bookmarkStart w:id="274" w:name="_Toc45630691"/>
      <w:bookmarkStart w:id="275" w:name="_Toc45630935"/>
      <w:r>
        <w:rPr>
          <w:rStyle w:val="CharSchNo"/>
        </w:rPr>
        <w:t>Schedule 1</w:t>
      </w:r>
      <w:r>
        <w:rPr>
          <w:rStyle w:val="CharSDivNo"/>
        </w:rPr>
        <w:t> </w:t>
      </w:r>
      <w:r>
        <w:t>—</w:t>
      </w:r>
      <w:r>
        <w:rPr>
          <w:rStyle w:val="CharSDivText"/>
        </w:rPr>
        <w:t> </w:t>
      </w:r>
      <w:r>
        <w:rPr>
          <w:rStyle w:val="CharSchText"/>
        </w:rPr>
        <w:t>Quantities of dangerous goods</w:t>
      </w:r>
      <w:bookmarkEnd w:id="273"/>
      <w:bookmarkEnd w:id="274"/>
      <w:bookmarkEnd w:id="2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277" w:name="_Toc45629484"/>
      <w:bookmarkStart w:id="278" w:name="_Toc45630692"/>
      <w:bookmarkStart w:id="279" w:name="_Toc45630936"/>
      <w:r>
        <w:rPr>
          <w:rStyle w:val="CharSchNo"/>
        </w:rPr>
        <w:t>Schedule 3</w:t>
      </w:r>
      <w:r>
        <w:t> — </w:t>
      </w:r>
      <w:r>
        <w:rPr>
          <w:rStyle w:val="CharSchText"/>
        </w:rPr>
        <w:t>Manifest and dangerous goods site plan</w:t>
      </w:r>
      <w:bookmarkEnd w:id="277"/>
      <w:bookmarkEnd w:id="278"/>
      <w:bookmarkEnd w:id="279"/>
    </w:p>
    <w:p>
      <w:pPr>
        <w:pStyle w:val="yShoulderClause"/>
      </w:pPr>
      <w:r>
        <w:t>[r. 78]</w:t>
      </w:r>
    </w:p>
    <w:p>
      <w:pPr>
        <w:pStyle w:val="yHeading3"/>
        <w:outlineLvl w:val="0"/>
      </w:pPr>
      <w:bookmarkStart w:id="280" w:name="_Toc45629485"/>
      <w:bookmarkStart w:id="281" w:name="_Toc45630693"/>
      <w:bookmarkStart w:id="282" w:name="_Toc45630937"/>
      <w:r>
        <w:rPr>
          <w:rStyle w:val="CharSDivNo"/>
        </w:rPr>
        <w:t>Division 1</w:t>
      </w:r>
      <w:r>
        <w:t> — </w:t>
      </w:r>
      <w:r>
        <w:rPr>
          <w:rStyle w:val="CharSDivText"/>
        </w:rPr>
        <w:t>General</w:t>
      </w:r>
      <w:bookmarkEnd w:id="280"/>
      <w:bookmarkEnd w:id="281"/>
      <w:bookmarkEnd w:id="282"/>
    </w:p>
    <w:p>
      <w:pPr>
        <w:pStyle w:val="yHeading5"/>
        <w:outlineLvl w:val="0"/>
      </w:pPr>
      <w:bookmarkStart w:id="283" w:name="_Toc45630938"/>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284" w:name="_Toc45629487"/>
      <w:bookmarkStart w:id="285" w:name="_Toc45630695"/>
      <w:bookmarkStart w:id="286" w:name="_Toc45630939"/>
      <w:r>
        <w:rPr>
          <w:rStyle w:val="CharSDivNo"/>
        </w:rPr>
        <w:t>Division 2</w:t>
      </w:r>
      <w:r>
        <w:t> — </w:t>
      </w:r>
      <w:r>
        <w:rPr>
          <w:rStyle w:val="CharSDivText"/>
        </w:rPr>
        <w:t>Manifest</w:t>
      </w:r>
      <w:bookmarkEnd w:id="284"/>
      <w:bookmarkEnd w:id="285"/>
      <w:bookmarkEnd w:id="286"/>
    </w:p>
    <w:p>
      <w:pPr>
        <w:pStyle w:val="yHeading5"/>
        <w:outlineLvl w:val="0"/>
      </w:pPr>
      <w:bookmarkStart w:id="287" w:name="_Toc45630940"/>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288" w:name="_Toc45630941"/>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289" w:name="_Toc45630942"/>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outlineLvl w:val="0"/>
      </w:pPr>
      <w:bookmarkStart w:id="290" w:name="_Toc45630943"/>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outlineLvl w:val="0"/>
      </w:pPr>
      <w:bookmarkStart w:id="291" w:name="_Toc45630944"/>
      <w:r>
        <w:rPr>
          <w:rStyle w:val="CharSClsNo"/>
        </w:rPr>
        <w:t>6</w:t>
      </w:r>
      <w:r>
        <w:t>.</w:t>
      </w:r>
      <w:r>
        <w:tab/>
        <w:t>Packaged dangerous goods etc., information in manifest about</w:t>
      </w:r>
      <w:bookmarkEnd w:id="29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outlineLvl w:val="0"/>
      </w:pPr>
      <w:bookmarkStart w:id="292" w:name="_Toc45630945"/>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outlineLvl w:val="0"/>
      </w:pPr>
      <w:bookmarkStart w:id="293" w:name="_Toc45630946"/>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294" w:name="_Toc45629495"/>
      <w:bookmarkStart w:id="295" w:name="_Toc45630703"/>
      <w:bookmarkStart w:id="296" w:name="_Toc45630947"/>
      <w:r>
        <w:rPr>
          <w:rStyle w:val="CharSDivNo"/>
        </w:rPr>
        <w:t>Division 3</w:t>
      </w:r>
      <w:r>
        <w:t> — </w:t>
      </w:r>
      <w:r>
        <w:rPr>
          <w:rStyle w:val="CharSDivText"/>
        </w:rPr>
        <w:t>Dangerous goods site plan</w:t>
      </w:r>
      <w:bookmarkEnd w:id="294"/>
      <w:bookmarkEnd w:id="295"/>
      <w:bookmarkEnd w:id="296"/>
    </w:p>
    <w:p>
      <w:pPr>
        <w:pStyle w:val="yHeading5"/>
        <w:spacing w:before="200"/>
        <w:outlineLvl w:val="0"/>
      </w:pPr>
      <w:bookmarkStart w:id="297" w:name="_Toc45630948"/>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298" w:name="_Toc45630949"/>
      <w:r>
        <w:rPr>
          <w:rStyle w:val="CharSClsNo"/>
        </w:rPr>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45629498"/>
      <w:bookmarkStart w:id="300" w:name="_Toc45630706"/>
      <w:bookmarkStart w:id="301" w:name="_Toc45630950"/>
      <w:r>
        <w:rPr>
          <w:rStyle w:val="CharSchNo"/>
        </w:rPr>
        <w:t>Schedule 4</w:t>
      </w:r>
      <w:r>
        <w:rPr>
          <w:rStyle w:val="CharSDivNo"/>
        </w:rPr>
        <w:t> </w:t>
      </w:r>
      <w:r>
        <w:t>—</w:t>
      </w:r>
      <w:r>
        <w:rPr>
          <w:rStyle w:val="CharSDivText"/>
        </w:rPr>
        <w:t> </w:t>
      </w:r>
      <w:r>
        <w:rPr>
          <w:rStyle w:val="CharSchText"/>
        </w:rPr>
        <w:t>Placarding requirements</w:t>
      </w:r>
      <w:bookmarkEnd w:id="299"/>
      <w:bookmarkEnd w:id="300"/>
      <w:bookmarkEnd w:id="301"/>
    </w:p>
    <w:p>
      <w:pPr>
        <w:pStyle w:val="yShoulderClause"/>
      </w:pPr>
      <w:r>
        <w:t>[r. 68, 69 and 70]</w:t>
      </w:r>
    </w:p>
    <w:p>
      <w:pPr>
        <w:pStyle w:val="yFootnoteheading"/>
      </w:pPr>
      <w:r>
        <w:tab/>
        <w:t>[Heading inserted: Gazette 16 Mar 2012 p. 1236.]</w:t>
      </w:r>
    </w:p>
    <w:p>
      <w:pPr>
        <w:pStyle w:val="yHeading5"/>
      </w:pPr>
      <w:bookmarkStart w:id="302" w:name="_Toc45630951"/>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45630952"/>
      <w:r>
        <w:rPr>
          <w:rStyle w:val="CharSClsNo"/>
        </w:rPr>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45630953"/>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Gazette 16 Mar 2012 p. 1239</w:t>
      </w:r>
      <w:r>
        <w:noBreakHyphen/>
        <w:t>40; amended: Gazette 3 Mar 2017 p. 1481.]</w:t>
      </w:r>
    </w:p>
    <w:p>
      <w:pPr>
        <w:pStyle w:val="yHeading5"/>
      </w:pPr>
      <w:bookmarkStart w:id="305" w:name="_Toc45630954"/>
      <w:r>
        <w:rPr>
          <w:rStyle w:val="CharSClsNo"/>
        </w:rPr>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45630955"/>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45630956"/>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45629505"/>
      <w:bookmarkStart w:id="309" w:name="_Toc45630713"/>
      <w:bookmarkStart w:id="310" w:name="_Toc45630957"/>
      <w:r>
        <w:rPr>
          <w:rStyle w:val="CharSchNo"/>
        </w:rPr>
        <w:t>Schedule 5</w:t>
      </w:r>
      <w:r>
        <w:t> — </w:t>
      </w:r>
      <w:r>
        <w:rPr>
          <w:rStyle w:val="CharSchText"/>
        </w:rPr>
        <w:t>Fees</w:t>
      </w:r>
      <w:bookmarkEnd w:id="308"/>
      <w:bookmarkEnd w:id="309"/>
      <w:bookmarkEnd w:id="310"/>
    </w:p>
    <w:p>
      <w:pPr>
        <w:pStyle w:val="yShoulderClause"/>
        <w:spacing w:before="60"/>
      </w:pPr>
      <w:r>
        <w:t>[r. 26, 27, 29, 89, 90 and 92]</w:t>
      </w:r>
    </w:p>
    <w:p>
      <w:pPr>
        <w:pStyle w:val="yHeading3"/>
        <w:spacing w:before="160"/>
      </w:pPr>
      <w:bookmarkStart w:id="311" w:name="_Toc45629506"/>
      <w:bookmarkStart w:id="312" w:name="_Toc45630714"/>
      <w:bookmarkStart w:id="313" w:name="_Toc45630958"/>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spacing w:before="160"/>
        <w:outlineLvl w:val="0"/>
      </w:pPr>
      <w:bookmarkStart w:id="314" w:name="_Toc45630959"/>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outlineLvl w:val="0"/>
      </w:pPr>
      <w:bookmarkStart w:id="315" w:name="_Toc45630960"/>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pPr>
            <w:r>
              <w:rPr>
                <w:b/>
              </w:rPr>
              <w:t>Item</w:t>
            </w:r>
          </w:p>
        </w:tc>
        <w:tc>
          <w:tcPr>
            <w:tcW w:w="4541" w:type="dxa"/>
          </w:tcPr>
          <w:p>
            <w:pPr>
              <w:pStyle w:val="yTableNAm"/>
            </w:pPr>
            <w:r>
              <w:rPr>
                <w:b/>
              </w:rPr>
              <w:t>Maximum quantity of dangerous goods specified in the licence for the site</w:t>
            </w:r>
          </w:p>
        </w:tc>
        <w:tc>
          <w:tcPr>
            <w:tcW w:w="850" w:type="dxa"/>
          </w:tcPr>
          <w:p>
            <w:pPr>
              <w:pStyle w:val="yTableNAm"/>
              <w:jc w:val="center"/>
            </w:pPr>
            <w:r>
              <w:rPr>
                <w:b/>
              </w:rPr>
              <w:t>Fee</w:t>
            </w:r>
            <w:r>
              <w:rPr>
                <w:b/>
              </w:rPr>
              <w:br/>
              <w:t>($)</w:t>
            </w:r>
          </w:p>
        </w:tc>
      </w:tr>
      <w:tr>
        <w:tc>
          <w:tcPr>
            <w:tcW w:w="650" w:type="dxa"/>
          </w:tcPr>
          <w:p>
            <w:pPr>
              <w:pStyle w:val="yTableNAm"/>
            </w:pPr>
            <w:r>
              <w:t>1.</w:t>
            </w:r>
          </w:p>
        </w:tc>
        <w:tc>
          <w:tcPr>
            <w:tcW w:w="4541" w:type="dxa"/>
          </w:tcPr>
          <w:p>
            <w:pPr>
              <w:pStyle w:val="yTableNAm"/>
            </w:pPr>
            <w:r>
              <w:t>Less than 50 000 kg or L</w:t>
            </w:r>
          </w:p>
        </w:tc>
        <w:tc>
          <w:tcPr>
            <w:tcW w:w="850" w:type="dxa"/>
          </w:tcPr>
          <w:p>
            <w:pPr>
              <w:pStyle w:val="yTableNAm"/>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outlineLvl w:val="0"/>
      </w:pPr>
      <w:bookmarkStart w:id="316" w:name="_Toc45629509"/>
      <w:bookmarkStart w:id="317" w:name="_Toc45630717"/>
      <w:bookmarkStart w:id="318" w:name="_Toc45630961"/>
      <w:r>
        <w:rPr>
          <w:rStyle w:val="CharSchNo"/>
        </w:rPr>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45629510"/>
      <w:bookmarkStart w:id="320" w:name="_Toc45630718"/>
      <w:bookmarkStart w:id="321" w:name="_Toc45630962"/>
      <w:r>
        <w:rPr>
          <w:rStyle w:val="CharSDivNo"/>
        </w:rPr>
        <w:t>Division 1</w:t>
      </w:r>
      <w:r>
        <w:t> — </w:t>
      </w:r>
      <w:r>
        <w:rPr>
          <w:rStyle w:val="CharSDivText"/>
        </w:rPr>
        <w:t>Provisions relating to the commencement of these regulations</w:t>
      </w:r>
      <w:bookmarkEnd w:id="319"/>
      <w:bookmarkEnd w:id="320"/>
      <w:bookmarkEnd w:id="321"/>
    </w:p>
    <w:p>
      <w:pPr>
        <w:pStyle w:val="yHeading5"/>
        <w:outlineLvl w:val="0"/>
      </w:pPr>
      <w:bookmarkStart w:id="322" w:name="_Toc45630963"/>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23" w:name="_Toc45630964"/>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24" w:name="_Toc45630965"/>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25" w:name="_Toc45630966"/>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45629515"/>
      <w:bookmarkStart w:id="327" w:name="_Toc45630723"/>
      <w:bookmarkStart w:id="328" w:name="_Toc45630967"/>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45630968"/>
      <w:r>
        <w:rPr>
          <w:rStyle w:val="CharSClsNo"/>
        </w:rPr>
        <w:t>5</w:t>
      </w:r>
      <w:r>
        <w:t>.</w:t>
      </w:r>
      <w:r>
        <w:tab/>
      </w:r>
      <w:r>
        <w:rPr>
          <w:bCs/>
        </w:rPr>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45629517"/>
      <w:bookmarkStart w:id="331" w:name="_Toc45630725"/>
      <w:bookmarkStart w:id="332" w:name="_Toc45630969"/>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45630970"/>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45630971"/>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45630972"/>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45630973"/>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45629522"/>
      <w:bookmarkStart w:id="338" w:name="_Toc45630730"/>
      <w:bookmarkStart w:id="339" w:name="_Toc45630974"/>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45630975"/>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341" w:name="_Toc45630976"/>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45630977"/>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45629526"/>
      <w:bookmarkStart w:id="344" w:name="_Toc45630734"/>
      <w:bookmarkStart w:id="345" w:name="_Toc45630978"/>
      <w:r>
        <w:t>Notes</w:t>
      </w:r>
      <w:bookmarkEnd w:id="343"/>
      <w:bookmarkEnd w:id="344"/>
      <w:bookmarkEnd w:id="34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6" w:name="_Toc45630979"/>
      <w:r>
        <w:t>Compilation table</w:t>
      </w:r>
      <w:bookmarkEnd w:id="3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single" w:sz="4" w:space="0" w:color="auto"/>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single" w:sz="4" w:space="0" w:color="auto"/>
            </w:tcBorders>
          </w:tcPr>
          <w:p>
            <w:pPr>
              <w:pStyle w:val="nTable"/>
              <w:spacing w:after="40"/>
            </w:pPr>
            <w:r>
              <w:t>SL 2020/104 29 Jun 2020</w:t>
            </w:r>
          </w:p>
        </w:tc>
        <w:tc>
          <w:tcPr>
            <w:tcW w:w="2720" w:type="dxa"/>
            <w:gridSpan w:val="2"/>
            <w:tcBorders>
              <w:top w:val="nil"/>
              <w:bottom w:val="single" w:sz="4" w:space="0" w:color="auto"/>
            </w:tcBorders>
          </w:tcPr>
          <w:p>
            <w:pPr>
              <w:pStyle w:val="nTable"/>
              <w:spacing w:after="40"/>
            </w:pPr>
            <w:r>
              <w:t>29 Jun 2020 (see r. 2)</w:t>
            </w:r>
          </w:p>
        </w:tc>
      </w:tr>
    </w:tbl>
    <w:p>
      <w:pPr>
        <w:pStyle w:val="nHeading3"/>
      </w:pPr>
      <w:bookmarkStart w:id="347" w:name="_Toc45630980"/>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49" w:name="_Toc45629529"/>
      <w:bookmarkStart w:id="350" w:name="_Toc45630737"/>
      <w:bookmarkStart w:id="351" w:name="_Toc45630981"/>
      <w:r>
        <w:rPr>
          <w:sz w:val="28"/>
        </w:rPr>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3" w:name="Coversheet"/>
    <w:bookmarkEnd w:id="3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8545">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14141705"/>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78B4C-94CA-49D7-B4FB-A98827D92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37013</Words>
  <Characters>178778</Characters>
  <Application>Microsoft Office Word</Application>
  <DocSecurity>0</DocSecurity>
  <Lines>5107</Lines>
  <Paragraphs>3220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2007 - 02-j0-03</dc:title>
  <dc:subject/>
  <dc:creator/>
  <cp:keywords/>
  <dc:description/>
  <cp:lastModifiedBy>svcMRProcess</cp:lastModifiedBy>
  <cp:revision>4</cp:revision>
  <cp:lastPrinted>2019-06-20T04:56:00Z</cp:lastPrinted>
  <dcterms:created xsi:type="dcterms:W3CDTF">2020-07-14T07:16:00Z</dcterms:created>
  <dcterms:modified xsi:type="dcterms:W3CDTF">2020-07-14T07:16:00Z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2019</vt:lpwstr>
  </property>
  <property fmtid="{D5CDD505-2E9C-101B-9397-08002B2CF9AE}" pid="8" name="Suffix">
    <vt:lpwstr>02-j0-03</vt:lpwstr>
  </property>
  <property fmtid="{D5CDD505-2E9C-101B-9397-08002B2CF9AE}" pid="9" name="CommencementDate">
    <vt:lpwstr>20190701</vt:lpwstr>
  </property>
</Properties>
</file>