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_Toc166667520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_Toc166667521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tourism precinct prescribed</w:t>
      </w:r>
      <w:r>
        <w:tab/>
      </w:r>
      <w:r>
        <w:fldChar w:fldCharType="begin"/>
      </w:r>
      <w:r>
        <w:instrText xml:space="preserve"> PAGEREF _Toc166667522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Perth tourism precinct prescribed</w:t>
      </w:r>
      <w:r>
        <w:tab/>
      </w:r>
      <w:r>
        <w:fldChar w:fldCharType="begin"/>
      </w:r>
      <w:r>
        <w:instrText xml:space="preserve"> PAGEREF _Toc166667523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Holiday resorts prescribed</w:t>
      </w:r>
      <w:r>
        <w:tab/>
      </w:r>
      <w:r>
        <w:fldChar w:fldCharType="begin"/>
      </w:r>
      <w:r>
        <w:instrText xml:space="preserve"> PAGEREF _Toc166667524 \h </w:instrText>
      </w:r>
      <w:r>
        <w:fldChar w:fldCharType="separate"/>
      </w:r>
      <w:r>
        <w:t>2</w:t>
      </w:r>
      <w:r>
        <w:fldChar w:fldCharType="end"/>
      </w:r>
    </w:p>
    <w:p>
      <w:pPr>
        <w:pStyle w:val="TOC2"/>
        <w:tabs>
          <w:tab w:val="right" w:leader="dot" w:pos="7086"/>
        </w:tabs>
        <w:rPr>
          <w:b w:val="0"/>
          <w:sz w:val="24"/>
          <w:szCs w:val="24"/>
        </w:rPr>
      </w:pPr>
      <w:r>
        <w:rPr>
          <w:szCs w:val="28"/>
        </w:rPr>
        <w:t>Schedule 1 — Tourism precincts</w:t>
      </w:r>
    </w:p>
    <w:p>
      <w:pPr>
        <w:pStyle w:val="TOC4"/>
        <w:tabs>
          <w:tab w:val="right" w:leader="dot" w:pos="7086"/>
        </w:tabs>
        <w:rPr>
          <w:b w:val="0"/>
          <w:sz w:val="24"/>
          <w:szCs w:val="24"/>
        </w:rPr>
      </w:pPr>
      <w:r>
        <w:rPr>
          <w:szCs w:val="24"/>
        </w:rPr>
        <w:t>Division 1 — Fremantle tourism precinct</w:t>
      </w:r>
    </w:p>
    <w:p>
      <w:pPr>
        <w:pStyle w:val="TOC4"/>
        <w:tabs>
          <w:tab w:val="right" w:leader="dot" w:pos="7086"/>
        </w:tabs>
        <w:rPr>
          <w:b w:val="0"/>
          <w:sz w:val="24"/>
          <w:szCs w:val="24"/>
        </w:rPr>
      </w:pPr>
      <w:r>
        <w:rPr>
          <w:szCs w:val="24"/>
        </w:rPr>
        <w:t>Division 2 — General Perth tourism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_Toc166667533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6667520"/>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6666752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166667522"/>
      <w:r>
        <w:rPr>
          <w:rStyle w:val="CharSectno"/>
        </w:rPr>
        <w:t>3</w:t>
      </w:r>
      <w:r>
        <w:rPr>
          <w:snapToGrid w:val="0"/>
        </w:rPr>
        <w:t>.</w:t>
      </w:r>
      <w:r>
        <w:rPr>
          <w:snapToGrid w:val="0"/>
        </w:rPr>
        <w:tab/>
        <w:t>Fremantle tourism precinct prescribed</w:t>
      </w:r>
      <w:bookmarkEnd w:id="18"/>
      <w:bookmarkEnd w:id="19"/>
      <w:bookmarkEnd w:id="20"/>
      <w:bookmarkEnd w:id="21"/>
      <w:bookmarkEnd w:id="22"/>
      <w:bookmarkEnd w:id="23"/>
      <w:bookmarkEnd w:id="24"/>
      <w:bookmarkEnd w:id="25"/>
    </w:p>
    <w:p>
      <w:pPr>
        <w:pStyle w:val="Subsection"/>
      </w:pPr>
      <w:r>
        <w:tab/>
      </w:r>
      <w:r>
        <w:tab/>
        <w:t>The area of the State described in Schedule 1 Division 1 is prescribed as falling within the Fremantle tourism precinct for the purpose of section 12A(4) of the Act.</w:t>
      </w:r>
    </w:p>
    <w:p>
      <w:pPr>
        <w:pStyle w:val="Heading5"/>
        <w:rPr>
          <w:snapToGrid w:val="0"/>
        </w:rPr>
      </w:pPr>
      <w:bookmarkStart w:id="26" w:name="_Toc166667523"/>
      <w:r>
        <w:rPr>
          <w:rStyle w:val="CharSectno"/>
        </w:rPr>
        <w:t>4</w:t>
      </w:r>
      <w:r>
        <w:rPr>
          <w:snapToGrid w:val="0"/>
        </w:rPr>
        <w:t>.</w:t>
      </w:r>
      <w:r>
        <w:rPr>
          <w:snapToGrid w:val="0"/>
        </w:rPr>
        <w:tab/>
        <w:t>Perth tourism precinct prescribed</w:t>
      </w:r>
      <w:bookmarkEnd w:id="26"/>
    </w:p>
    <w:p>
      <w:pPr>
        <w:pStyle w:val="Subsection"/>
      </w:pPr>
      <w:r>
        <w:tab/>
        <w:t>(1)</w:t>
      </w:r>
      <w:r>
        <w:tab/>
        <w:t>The area of the State described in Schedule 1 Division 2 is prescribed as falling within the Perth tourism precinct for the purpose of section 12A(4) of the Act.</w:t>
      </w:r>
    </w:p>
    <w:p>
      <w:pPr>
        <w:pStyle w:val="Subsection"/>
      </w:pPr>
      <w:r>
        <w:tab/>
        <w:t>(2)</w:t>
      </w:r>
      <w:r>
        <w:tab/>
        <w:t xml:space="preserve">The following specific areas of the State are prescribed as falling within the Perth tourism precinct for the purpose of section 12A(4) of the Act — </w:t>
      </w:r>
    </w:p>
    <w:p>
      <w:pPr>
        <w:pStyle w:val="Indenta"/>
      </w:pPr>
      <w:r>
        <w:tab/>
        <w:t>(a)</w:t>
      </w:r>
      <w:r>
        <w:tab/>
        <w:t>the retail complex known as “City West” (located at the corner of Sunderland Street and Railway Road, West Perth);</w:t>
      </w:r>
    </w:p>
    <w:p>
      <w:pPr>
        <w:pStyle w:val="Indenta"/>
      </w:pPr>
      <w:r>
        <w:tab/>
        <w:t>(b)</w:t>
      </w:r>
      <w:r>
        <w:tab/>
        <w:t>the retail complex known as “Harbour Town” (located at 840 Wellington Street, West Perth);</w:t>
      </w:r>
    </w:p>
    <w:p>
      <w:pPr>
        <w:pStyle w:val="Indenta"/>
      </w:pPr>
      <w:r>
        <w:tab/>
        <w:t>(c)</w:t>
      </w:r>
      <w:r>
        <w:tab/>
        <w:t>the area south of, and adjacent to the shaded area in clause 1 bounded by the Mitchell Freeway along to the Narrows bridge, encompassing the foreshore, Busport, Convention Centre and other retail shops within that area.</w:t>
      </w:r>
    </w:p>
    <w:p>
      <w:pPr>
        <w:pStyle w:val="Heading5"/>
        <w:rPr>
          <w:snapToGrid w:val="0"/>
        </w:rPr>
      </w:pPr>
      <w:bookmarkStart w:id="27" w:name="_Toc166667524"/>
      <w:r>
        <w:rPr>
          <w:rStyle w:val="CharSectno"/>
        </w:rPr>
        <w:t>5</w:t>
      </w:r>
      <w:r>
        <w:rPr>
          <w:snapToGrid w:val="0"/>
        </w:rPr>
        <w:t>.</w:t>
      </w:r>
      <w:r>
        <w:rPr>
          <w:snapToGrid w:val="0"/>
        </w:rPr>
        <w:tab/>
        <w:t>Holiday resorts prescribed</w:t>
      </w:r>
      <w:bookmarkEnd w:id="27"/>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 w:name="_Toc166556601"/>
    </w:p>
    <w:p>
      <w:pPr>
        <w:pStyle w:val="yScheduleHeading"/>
      </w:pPr>
      <w:bookmarkStart w:id="29" w:name="_Toc166573864"/>
      <w:bookmarkStart w:id="30" w:name="_Toc166580123"/>
      <w:bookmarkStart w:id="31" w:name="_Toc166667525"/>
      <w:r>
        <w:rPr>
          <w:rStyle w:val="CharSchNo"/>
        </w:rPr>
        <w:t>Schedule 1</w:t>
      </w:r>
      <w:r>
        <w:t> —</w:t>
      </w:r>
      <w:bookmarkStart w:id="32" w:name="AutoSch"/>
      <w:bookmarkEnd w:id="32"/>
      <w:r>
        <w:t> </w:t>
      </w:r>
      <w:r>
        <w:rPr>
          <w:rStyle w:val="CharSchText"/>
        </w:rPr>
        <w:t>Tourism precincts</w:t>
      </w:r>
      <w:bookmarkEnd w:id="28"/>
      <w:bookmarkEnd w:id="29"/>
      <w:bookmarkEnd w:id="30"/>
      <w:bookmarkEnd w:id="31"/>
    </w:p>
    <w:p>
      <w:pPr>
        <w:pStyle w:val="yShoulderClause"/>
      </w:pPr>
      <w:r>
        <w:t>[r. 3 &amp; 4]</w:t>
      </w:r>
    </w:p>
    <w:p>
      <w:pPr>
        <w:pStyle w:val="yHeading3"/>
      </w:pPr>
      <w:bookmarkStart w:id="33" w:name="_Toc166556602"/>
      <w:bookmarkStart w:id="34" w:name="_Toc166573865"/>
      <w:bookmarkStart w:id="35" w:name="_Toc166580124"/>
      <w:bookmarkStart w:id="36" w:name="_Toc166667526"/>
      <w:r>
        <w:rPr>
          <w:rStyle w:val="CharSDivNo"/>
        </w:rPr>
        <w:t>Division 1</w:t>
      </w:r>
      <w:r>
        <w:t> — </w:t>
      </w:r>
      <w:r>
        <w:rPr>
          <w:rStyle w:val="CharSDivText"/>
        </w:rPr>
        <w:t>Fremantle tourism precinct</w:t>
      </w:r>
      <w:bookmarkEnd w:id="33"/>
      <w:bookmarkEnd w:id="34"/>
      <w:bookmarkEnd w:id="35"/>
      <w:bookmarkEnd w:id="36"/>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3933825" cy="4676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3825" cy="4676775"/>
                    </a:xfrm>
                    <a:prstGeom prst="rect">
                      <a:avLst/>
                    </a:prstGeom>
                    <a:noFill/>
                    <a:ln>
                      <a:noFill/>
                    </a:ln>
                  </pic:spPr>
                </pic:pic>
              </a:graphicData>
            </a:graphic>
          </wp:inline>
        </w:drawing>
      </w:r>
    </w:p>
    <w:p>
      <w:pPr>
        <w:pStyle w:val="yHeading3"/>
      </w:pPr>
      <w:bookmarkStart w:id="37" w:name="_Toc166556603"/>
      <w:bookmarkStart w:id="38" w:name="_Toc166573866"/>
      <w:bookmarkStart w:id="39" w:name="_Toc166580125"/>
      <w:bookmarkStart w:id="40" w:name="_Toc166667527"/>
      <w:r>
        <w:rPr>
          <w:rStyle w:val="CharSDivNo"/>
        </w:rPr>
        <w:t>Division 2</w:t>
      </w:r>
      <w:r>
        <w:t> — </w:t>
      </w:r>
      <w:r>
        <w:rPr>
          <w:rStyle w:val="CharSDivText"/>
        </w:rPr>
        <w:t>General Perth tourism precinct</w:t>
      </w:r>
      <w:bookmarkEnd w:id="37"/>
      <w:bookmarkEnd w:id="38"/>
      <w:bookmarkEnd w:id="39"/>
      <w:bookmarkEnd w:id="40"/>
    </w:p>
    <w:p>
      <w:pPr>
        <w:pStyle w:val="ySubsection"/>
      </w:pPr>
      <w:r>
        <w:tab/>
      </w:r>
      <w:r>
        <w:tab/>
        <w:t>The portion of the State delineated in black and bordered red on “Department of Land Administration Miscellaneous Diagram No. 599”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4267200" cy="491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67200" cy="4914900"/>
                    </a:xfrm>
                    <a:prstGeom prst="rect">
                      <a:avLst/>
                    </a:prstGeom>
                    <a:noFill/>
                    <a:ln>
                      <a:noFill/>
                    </a:ln>
                  </pic:spPr>
                </pic:pic>
              </a:graphicData>
            </a:graphic>
          </wp:inline>
        </w:drawing>
      </w:r>
    </w:p>
    <w:p>
      <w:pPr>
        <w:pStyle w:val="yScheduleHeading"/>
      </w:pPr>
      <w:bookmarkStart w:id="41" w:name="_Toc166556604"/>
      <w:bookmarkStart w:id="42" w:name="_Toc166573867"/>
      <w:bookmarkStart w:id="43" w:name="_Toc166580126"/>
      <w:bookmarkStart w:id="44" w:name="_Toc166667528"/>
      <w:r>
        <w:rPr>
          <w:rStyle w:val="CharSchNo"/>
        </w:rPr>
        <w:t>Schedule 2</w:t>
      </w:r>
      <w:r>
        <w:t> — </w:t>
      </w:r>
      <w:r>
        <w:rPr>
          <w:rStyle w:val="CharSchText"/>
        </w:rPr>
        <w:t>Holiday resorts</w:t>
      </w:r>
      <w:bookmarkEnd w:id="41"/>
      <w:bookmarkEnd w:id="42"/>
      <w:bookmarkEnd w:id="43"/>
      <w:bookmarkEnd w:id="44"/>
    </w:p>
    <w:p>
      <w:pPr>
        <w:pStyle w:val="yShoulderClause"/>
      </w:pPr>
      <w:r>
        <w:t>[r. 5]</w:t>
      </w:r>
    </w:p>
    <w:p>
      <w:pPr>
        <w:pStyle w:val="yHeading3"/>
      </w:pPr>
      <w:bookmarkStart w:id="45" w:name="_Toc166556605"/>
      <w:bookmarkStart w:id="46" w:name="_Toc166573868"/>
      <w:bookmarkStart w:id="47" w:name="_Toc166580127"/>
      <w:bookmarkStart w:id="48" w:name="_Toc166667529"/>
      <w:r>
        <w:rPr>
          <w:rStyle w:val="CharSDivNo"/>
        </w:rPr>
        <w:t>Division 1</w:t>
      </w:r>
      <w:r>
        <w:t> — </w:t>
      </w:r>
      <w:r>
        <w:rPr>
          <w:rStyle w:val="CharSDivText"/>
        </w:rPr>
        <w:t>Rockingham holiday resort</w:t>
      </w:r>
      <w:bookmarkEnd w:id="45"/>
      <w:bookmarkEnd w:id="46"/>
      <w:bookmarkEnd w:id="47"/>
      <w:bookmarkEnd w:id="48"/>
    </w:p>
    <w:p>
      <w:pPr>
        <w:pStyle w:val="ySubsection"/>
      </w:pPr>
      <w:r>
        <w:tab/>
      </w:r>
      <w:r>
        <w:tab/>
        <w:t>City of Rockingham.</w:t>
      </w:r>
    </w:p>
    <w:p>
      <w:pPr>
        <w:pStyle w:val="yHeading3"/>
      </w:pPr>
      <w:bookmarkStart w:id="49" w:name="_Toc166556606"/>
      <w:bookmarkStart w:id="50" w:name="_Toc166573869"/>
      <w:bookmarkStart w:id="51" w:name="_Toc166580128"/>
      <w:bookmarkStart w:id="52" w:name="_Toc166667530"/>
      <w:r>
        <w:rPr>
          <w:rStyle w:val="CharSDivNo"/>
        </w:rPr>
        <w:t>Division 2</w:t>
      </w:r>
      <w:r>
        <w:t> — </w:t>
      </w:r>
      <w:r>
        <w:rPr>
          <w:rStyle w:val="CharSDivText"/>
        </w:rPr>
        <w:t>Rottnest Island holiday resort</w:t>
      </w:r>
      <w:bookmarkEnd w:id="49"/>
      <w:bookmarkEnd w:id="50"/>
      <w:bookmarkEnd w:id="51"/>
      <w:bookmarkEnd w:id="52"/>
    </w:p>
    <w:p>
      <w:pPr>
        <w:pStyle w:val="ySubsection"/>
      </w:pPr>
      <w:r>
        <w:tab/>
      </w:r>
      <w:r>
        <w:tab/>
        <w:t>Rottnest Island.</w:t>
      </w:r>
    </w:p>
    <w:p>
      <w:pPr>
        <w:pStyle w:val="yHeading3"/>
        <w:rPr>
          <w:rStyle w:val="CharSDivText"/>
        </w:rPr>
      </w:pPr>
      <w:bookmarkStart w:id="53" w:name="_Toc166556607"/>
      <w:bookmarkStart w:id="54" w:name="_Toc166573870"/>
      <w:bookmarkStart w:id="55" w:name="_Toc166580129"/>
      <w:bookmarkStart w:id="56" w:name="_Toc166667531"/>
      <w:r>
        <w:rPr>
          <w:rStyle w:val="CharSDivNo"/>
        </w:rPr>
        <w:t>Division 3</w:t>
      </w:r>
      <w:r>
        <w:t> — </w:t>
      </w:r>
      <w:r>
        <w:rPr>
          <w:rStyle w:val="CharSDivText"/>
        </w:rPr>
        <w:t>Wanneroo holiday resort</w:t>
      </w:r>
      <w:bookmarkEnd w:id="53"/>
      <w:bookmarkEnd w:id="54"/>
      <w:bookmarkEnd w:id="55"/>
      <w:bookmarkEnd w:id="56"/>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7" w:name="_Toc113695922"/>
    </w:p>
    <w:p>
      <w:pPr>
        <w:pStyle w:val="nHeading2"/>
      </w:pPr>
      <w:bookmarkStart w:id="58" w:name="_Toc166573871"/>
      <w:bookmarkStart w:id="59" w:name="_Toc166580130"/>
      <w:bookmarkStart w:id="60" w:name="_Toc166667532"/>
      <w:r>
        <w:t>Notes</w:t>
      </w:r>
      <w:bookmarkEnd w:id="57"/>
      <w:bookmarkEnd w:id="58"/>
      <w:bookmarkEnd w:id="59"/>
      <w:bookmarkEnd w:id="60"/>
    </w:p>
    <w:p>
      <w:pPr>
        <w:pStyle w:val="nSubsection"/>
        <w:rPr>
          <w:snapToGrid w:val="0"/>
        </w:rPr>
      </w:pPr>
      <w:bookmarkStart w:id="61" w:name="_Toc70311430"/>
      <w:bookmarkStart w:id="62"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The following table contains information about those regulations. </w:t>
      </w:r>
    </w:p>
    <w:p>
      <w:pPr>
        <w:pStyle w:val="nHeading3"/>
      </w:pPr>
      <w:bookmarkStart w:id="63" w:name="_Toc166667533"/>
      <w:r>
        <w:t>Compilation table</w:t>
      </w:r>
      <w:bookmarkEnd w:id="61"/>
      <w:bookmarkEnd w:id="62"/>
      <w:bookmarkEnd w:id="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Retail Trading Hours (Tourism Precincts and Holiday Resorts) Regulations 2007</w:t>
            </w:r>
          </w:p>
        </w:tc>
        <w:tc>
          <w:tcPr>
            <w:tcW w:w="1276" w:type="dxa"/>
          </w:tcPr>
          <w:p>
            <w:pPr>
              <w:pStyle w:val="nTable"/>
              <w:spacing w:after="40"/>
              <w:rPr>
                <w:sz w:val="19"/>
              </w:rPr>
            </w:pPr>
            <w:r>
              <w:rPr>
                <w:sz w:val="19"/>
              </w:rPr>
              <w:t>11 May 2007 p. 2019</w:t>
            </w:r>
            <w:r>
              <w:rPr>
                <w:sz w:val="19"/>
              </w:rPr>
              <w:noBreakHyphen/>
              <w:t>25</w:t>
            </w:r>
          </w:p>
        </w:tc>
        <w:tc>
          <w:tcPr>
            <w:tcW w:w="2693" w:type="dxa"/>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bookmarkStart w:id="64" w:name="UpToHere"/>
      <w:bookmarkEnd w:id="64"/>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Fremantle tourism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Fremantle tourism precinct</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693</Words>
  <Characters>3734</Characters>
  <Application>Microsoft Office Word</Application>
  <DocSecurity>0</DocSecurity>
  <Lines>128</Lines>
  <Paragraphs>85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Tourism precincts</vt:lpstr>
      <vt:lpstr>        Division 1 — Fremantle tourism precinct</vt:lpstr>
      <vt:lpstr>        Division 2 — General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4342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2007 - 00-a0-04</dc:title>
  <dc:subject/>
  <dc:creator/>
  <cp:keywords/>
  <dc:description/>
  <cp:lastModifiedBy>svcMRProcess</cp:lastModifiedBy>
  <cp:revision>4</cp:revision>
  <cp:lastPrinted>2007-05-01T03:00:00Z</cp:lastPrinted>
  <dcterms:created xsi:type="dcterms:W3CDTF">2018-09-13T07:13:00Z</dcterms:created>
  <dcterms:modified xsi:type="dcterms:W3CDTF">2018-09-13T07:13:00Z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20070511</vt:lpwstr>
  </property>
  <property fmtid="{D5CDD505-2E9C-101B-9397-08002B2CF9AE}" pid="4" name="DocumentType">
    <vt:lpwstr>Reg</vt:lpwstr>
  </property>
  <property fmtid="{D5CDD505-2E9C-101B-9397-08002B2CF9AE}" pid="5" name="OwlsUID">
    <vt:i4>39736</vt:i4>
  </property>
  <property fmtid="{D5CDD505-2E9C-101B-9397-08002B2CF9AE}" pid="6" name="AsAtDate">
    <vt:lpwstr>11 May 2007</vt:lpwstr>
  </property>
  <property fmtid="{D5CDD505-2E9C-101B-9397-08002B2CF9AE}" pid="7" name="Suffix">
    <vt:lpwstr>00-a0-04</vt:lpwstr>
  </property>
</Properties>
</file>