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Transport (Country Taxi-cars Fares) Regulations 1991</w:t>
      </w:r>
      <w:r>
        <w:fldChar w:fldCharType="end"/>
      </w:r>
    </w:p>
    <w:p>
      <w:pPr>
        <w:pStyle w:val="Subsection"/>
      </w:pPr>
      <w:r>
        <w:tab/>
      </w:r>
      <w:r>
        <w:tab/>
        <w:t xml:space="preserve">These regulations were repealed by the </w:t>
      </w:r>
      <w:r>
        <w:rPr>
          <w:i/>
        </w:rPr>
        <w:t>Transport Regulations Amendment (Road Passenger Services) Regulations (No. 2) 2019</w:t>
      </w:r>
      <w:r>
        <w:t xml:space="preserve"> r. 55(c) as at 2 July 2019 (see r. 2(d) and </w:t>
      </w:r>
      <w:r>
        <w:rPr>
          <w:i/>
        </w:rPr>
        <w:t>Gazette</w:t>
      </w:r>
      <w:r>
        <w:t xml:space="preserve"> 28 Jun 2019 p. 2473).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Taxi-cars Fares)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_Toc12868465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_Toc12868466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_Toc12868467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fares</w:t>
      </w:r>
      <w:r>
        <w:tab/>
      </w:r>
      <w:r>
        <w:fldChar w:fldCharType="begin"/>
      </w:r>
      <w:r>
        <w:instrText xml:space="preserve"> PAGEREF _Toc12868468 \h </w:instrText>
      </w:r>
      <w:r>
        <w:fldChar w:fldCharType="separate"/>
      </w:r>
      <w:r>
        <w:t>3</w:t>
      </w:r>
      <w:r>
        <w:fldChar w:fldCharType="end"/>
      </w:r>
    </w:p>
    <w:p>
      <w:pPr>
        <w:pStyle w:val="TOC8"/>
        <w:rPr>
          <w:rFonts w:asciiTheme="minorHAnsi" w:eastAsiaTheme="minorEastAsia" w:hAnsiTheme="minorHAnsi" w:cstheme="minorBidi"/>
          <w:szCs w:val="22"/>
        </w:rPr>
      </w:pPr>
      <w:r>
        <w:t>3AA.</w:t>
      </w:r>
      <w:r>
        <w:tab/>
        <w:t>Contract fares</w:t>
      </w:r>
      <w:r>
        <w:tab/>
      </w:r>
      <w:r>
        <w:fldChar w:fldCharType="begin"/>
      </w:r>
      <w:r>
        <w:instrText xml:space="preserve"> PAGEREF _Toc12868469 \h </w:instrText>
      </w:r>
      <w:r>
        <w:fldChar w:fldCharType="separate"/>
      </w:r>
      <w:r>
        <w:t>4</w:t>
      </w:r>
      <w:r>
        <w:fldChar w:fldCharType="end"/>
      </w:r>
    </w:p>
    <w:p>
      <w:pPr>
        <w:pStyle w:val="TOC8"/>
        <w:rPr>
          <w:rFonts w:asciiTheme="minorHAnsi" w:eastAsiaTheme="minorEastAsia" w:hAnsiTheme="minorHAnsi" w:cstheme="minorBidi"/>
          <w:szCs w:val="22"/>
        </w:rPr>
      </w:pPr>
      <w:r>
        <w:t>3AB.</w:t>
      </w:r>
      <w:r>
        <w:tab/>
        <w:t>Parking fees and cleaning costs</w:t>
      </w:r>
      <w:r>
        <w:tab/>
      </w:r>
      <w:r>
        <w:fldChar w:fldCharType="begin"/>
      </w:r>
      <w:r>
        <w:instrText xml:space="preserve"> PAGEREF _Toc12868470 \h </w:instrText>
      </w:r>
      <w:r>
        <w:fldChar w:fldCharType="separate"/>
      </w:r>
      <w:r>
        <w:t>6</w:t>
      </w:r>
      <w:r>
        <w:fldChar w:fldCharType="end"/>
      </w:r>
    </w:p>
    <w:p>
      <w:pPr>
        <w:pStyle w:val="TOC8"/>
        <w:rPr>
          <w:rFonts w:asciiTheme="minorHAnsi" w:eastAsiaTheme="minorEastAsia" w:hAnsiTheme="minorHAnsi" w:cstheme="minorBidi"/>
          <w:szCs w:val="22"/>
        </w:rPr>
      </w:pPr>
      <w:r>
        <w:t>3A.</w:t>
      </w:r>
      <w:r>
        <w:tab/>
        <w:t>Providing a payment terminal</w:t>
      </w:r>
      <w:r>
        <w:tab/>
      </w:r>
      <w:r>
        <w:fldChar w:fldCharType="begin"/>
      </w:r>
      <w:r>
        <w:instrText xml:space="preserve"> PAGEREF _Toc12868471 \h </w:instrText>
      </w:r>
      <w:r>
        <w:fldChar w:fldCharType="separate"/>
      </w:r>
      <w:r>
        <w:t>6</w:t>
      </w:r>
      <w:r>
        <w:fldChar w:fldCharType="end"/>
      </w:r>
    </w:p>
    <w:p>
      <w:pPr>
        <w:pStyle w:val="TOC8"/>
        <w:rPr>
          <w:rFonts w:asciiTheme="minorHAnsi" w:eastAsiaTheme="minorEastAsia" w:hAnsiTheme="minorHAnsi" w:cstheme="minorBidi"/>
          <w:szCs w:val="22"/>
        </w:rPr>
      </w:pPr>
      <w:r>
        <w:t>3B.</w:t>
      </w:r>
      <w:r>
        <w:tab/>
        <w:t>Surcharge for non</w:t>
      </w:r>
      <w:r>
        <w:noBreakHyphen/>
        <w:t>cash payment</w:t>
      </w:r>
      <w:r>
        <w:tab/>
      </w:r>
      <w:r>
        <w:fldChar w:fldCharType="begin"/>
      </w:r>
      <w:r>
        <w:instrText xml:space="preserve"> PAGEREF _Toc12868472 \h </w:instrText>
      </w:r>
      <w:r>
        <w:fldChar w:fldCharType="separate"/>
      </w:r>
      <w:r>
        <w:t>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Evading fares</w:t>
      </w:r>
      <w:r>
        <w:tab/>
      </w:r>
      <w:r>
        <w:fldChar w:fldCharType="begin"/>
      </w:r>
      <w:r>
        <w:instrText xml:space="preserve"> PAGEREF _Toc12868473 \h </w:instrText>
      </w:r>
      <w:r>
        <w:fldChar w:fldCharType="separate"/>
      </w:r>
      <w:r>
        <w:t>7</w:t>
      </w:r>
      <w:r>
        <w:fldChar w:fldCharType="end"/>
      </w:r>
    </w:p>
    <w:p>
      <w:pPr>
        <w:pStyle w:val="TOC8"/>
        <w:rPr>
          <w:rFonts w:asciiTheme="minorHAnsi" w:eastAsiaTheme="minorEastAsia" w:hAnsiTheme="minorHAnsi" w:cstheme="minorBidi"/>
          <w:szCs w:val="22"/>
        </w:rPr>
      </w:pPr>
      <w:r>
        <w:t>4A.</w:t>
      </w:r>
      <w:r>
        <w:tab/>
        <w:t>Deposit of fare in advance, driver may require</w:t>
      </w:r>
      <w:r>
        <w:tab/>
      </w:r>
      <w:r>
        <w:fldChar w:fldCharType="begin"/>
      </w:r>
      <w:r>
        <w:instrText xml:space="preserve"> PAGEREF _Toc12868474 \h </w:instrText>
      </w:r>
      <w:r>
        <w:fldChar w:fldCharType="separate"/>
      </w:r>
      <w:r>
        <w:t>7</w:t>
      </w:r>
      <w:r>
        <w:fldChar w:fldCharType="end"/>
      </w:r>
    </w:p>
    <w:p>
      <w:pPr>
        <w:pStyle w:val="TOC8"/>
        <w:rPr>
          <w:rFonts w:asciiTheme="minorHAnsi" w:eastAsiaTheme="minorEastAsia" w:hAnsiTheme="minorHAnsi" w:cstheme="minorBidi"/>
          <w:szCs w:val="22"/>
        </w:rPr>
      </w:pPr>
      <w:r>
        <w:t>5.</w:t>
      </w:r>
      <w:r>
        <w:tab/>
        <w:t>Multiple hiring</w:t>
      </w:r>
      <w:r>
        <w:tab/>
      </w:r>
      <w:r>
        <w:fldChar w:fldCharType="begin"/>
      </w:r>
      <w:r>
        <w:instrText xml:space="preserve"> PAGEREF _Toc12868475 \h </w:instrText>
      </w:r>
      <w:r>
        <w:fldChar w:fldCharType="separate"/>
      </w:r>
      <w:r>
        <w:t>8</w:t>
      </w:r>
      <w:r>
        <w:fldChar w:fldCharType="end"/>
      </w:r>
    </w:p>
    <w:p>
      <w:pPr>
        <w:pStyle w:val="TOC8"/>
        <w:rPr>
          <w:rFonts w:asciiTheme="minorHAnsi" w:eastAsiaTheme="minorEastAsia" w:hAnsiTheme="minorHAnsi" w:cstheme="minorBidi"/>
          <w:szCs w:val="22"/>
        </w:rPr>
      </w:pPr>
      <w:r>
        <w:t>5A.</w:t>
      </w:r>
      <w:r>
        <w:tab/>
        <w:t>Taxi user subsidy scheme vouchers</w:t>
      </w:r>
      <w:r>
        <w:tab/>
      </w:r>
      <w:r>
        <w:fldChar w:fldCharType="begin"/>
      </w:r>
      <w:r>
        <w:instrText xml:space="preserve"> PAGEREF _Toc12868476 \h </w:instrText>
      </w:r>
      <w:r>
        <w:fldChar w:fldCharType="separate"/>
      </w:r>
      <w:r>
        <w:t>9</w:t>
      </w:r>
      <w:r>
        <w:fldChar w:fldCharType="end"/>
      </w:r>
    </w:p>
    <w:p>
      <w:pPr>
        <w:pStyle w:val="TOC8"/>
        <w:rPr>
          <w:rFonts w:asciiTheme="minorHAnsi" w:eastAsiaTheme="minorEastAsia" w:hAnsiTheme="minorHAnsi" w:cstheme="minorBidi"/>
          <w:szCs w:val="22"/>
        </w:rPr>
      </w:pPr>
      <w:r>
        <w:t>6.</w:t>
      </w:r>
      <w:r>
        <w:tab/>
        <w:t>Fare schedule to be available to hirers</w:t>
      </w:r>
      <w:r>
        <w:tab/>
      </w:r>
      <w:r>
        <w:fldChar w:fldCharType="begin"/>
      </w:r>
      <w:r>
        <w:instrText xml:space="preserve"> PAGEREF _Toc12868477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Breach of regulations, offence</w:t>
      </w:r>
      <w:r>
        <w:tab/>
      </w:r>
      <w:r>
        <w:fldChar w:fldCharType="begin"/>
      </w:r>
      <w:r>
        <w:instrText xml:space="preserve"> PAGEREF _Toc12868478 \h </w:instrText>
      </w:r>
      <w:r>
        <w:fldChar w:fldCharType="separate"/>
      </w:r>
      <w:r>
        <w:t>10</w:t>
      </w:r>
      <w:r>
        <w:fldChar w:fldCharType="end"/>
      </w:r>
    </w:p>
    <w:p>
      <w:pPr>
        <w:pStyle w:val="TOC8"/>
        <w:rPr>
          <w:rFonts w:asciiTheme="minorHAnsi" w:eastAsiaTheme="minorEastAsia" w:hAnsiTheme="minorHAnsi" w:cstheme="minorBidi"/>
          <w:szCs w:val="22"/>
        </w:rPr>
      </w:pPr>
      <w:r>
        <w:t>7A.</w:t>
      </w:r>
      <w:r>
        <w:tab/>
        <w:t>Offences and modified penalties prescribed (Act s. 58A)</w:t>
      </w:r>
      <w:r>
        <w:tab/>
      </w:r>
      <w:r>
        <w:fldChar w:fldCharType="begin"/>
      </w:r>
      <w:r>
        <w:instrText xml:space="preserve"> PAGEREF _Toc12868479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Fares</w:t>
      </w:r>
    </w:p>
    <w:p>
      <w:pPr>
        <w:pStyle w:val="TOC4"/>
        <w:tabs>
          <w:tab w:val="right" w:leader="dot" w:pos="7077"/>
        </w:tabs>
        <w:rPr>
          <w:rFonts w:asciiTheme="minorHAnsi" w:eastAsiaTheme="minorEastAsia" w:hAnsiTheme="minorHAnsi" w:cstheme="minorBidi"/>
          <w:b w:val="0"/>
          <w:szCs w:val="22"/>
        </w:rPr>
      </w:pPr>
      <w:r>
        <w:t>Division 1</w:t>
      </w:r>
      <w:r>
        <w:rPr>
          <w:b w:val="0"/>
        </w:rPr>
        <w:t> — </w:t>
      </w:r>
      <w:r>
        <w:t>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_Toc12868493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(Country Taxi</w:t>
      </w:r>
      <w:r>
        <w:noBreakHyphen/>
        <w:t>cars Fares) Regulations 1991</w:t>
      </w:r>
    </w:p>
    <w:p>
      <w:pPr>
        <w:pStyle w:val="Heading5"/>
        <w:rPr>
          <w:snapToGrid w:val="0"/>
        </w:rPr>
      </w:pPr>
      <w:bookmarkStart w:id="3" w:name="_Toc12868465"/>
      <w:r>
        <w:rPr>
          <w:rStyle w:val="CharSectno"/>
        </w:rPr>
        <w:t>1</w:t>
      </w:r>
      <w:r>
        <w:rPr>
          <w:snapToGrid w:val="0"/>
        </w:rPr>
        <w:t>.</w:t>
      </w:r>
      <w:r>
        <w:rPr>
          <w:snapToGrid w:val="0"/>
        </w:rPr>
        <w:tab/>
        <w:t>Citation</w:t>
      </w:r>
      <w:bookmarkEnd w:id="3"/>
    </w:p>
    <w:p>
      <w:pPr>
        <w:pStyle w:val="Subsection"/>
        <w:rPr>
          <w:i/>
          <w:snapToGrid w:val="0"/>
        </w:rPr>
      </w:pPr>
      <w:r>
        <w:rPr>
          <w:snapToGrid w:val="0"/>
        </w:rPr>
        <w:tab/>
      </w:r>
      <w:r>
        <w:rPr>
          <w:snapToGrid w:val="0"/>
        </w:rPr>
        <w:tab/>
        <w:t xml:space="preserve">These regulations may be cited as the </w:t>
      </w:r>
      <w:r>
        <w:rPr>
          <w:i/>
        </w:rPr>
        <w:t>Transport (Country Taxi</w:t>
      </w:r>
      <w:r>
        <w:rPr>
          <w:i/>
        </w:rPr>
        <w:noBreakHyphen/>
        <w:t>cars Fares)</w:t>
      </w:r>
      <w:r>
        <w:rPr>
          <w:i/>
          <w:snapToGrid w:val="0"/>
        </w:rPr>
        <w:t xml:space="preserve"> Regulations 1991 </w:t>
      </w:r>
      <w:r>
        <w:rPr>
          <w:snapToGrid w:val="0"/>
          <w:vertAlign w:val="superscript"/>
        </w:rPr>
        <w:t>1</w:t>
      </w:r>
      <w:r>
        <w:rPr>
          <w:i/>
          <w:snapToGrid w:val="0"/>
        </w:rPr>
        <w:t>.</w:t>
      </w:r>
    </w:p>
    <w:p>
      <w:pPr>
        <w:pStyle w:val="Footnotesection"/>
      </w:pPr>
      <w:r>
        <w:tab/>
        <w:t>[Regulation 1 amended: Gazette 28 Jun 2016 p. 2662.]</w:t>
      </w:r>
    </w:p>
    <w:p>
      <w:pPr>
        <w:pStyle w:val="Heading5"/>
        <w:rPr>
          <w:snapToGrid w:val="0"/>
        </w:rPr>
      </w:pPr>
      <w:bookmarkStart w:id="4" w:name="_Toc1286846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they are published in the </w:t>
      </w:r>
      <w:r>
        <w:rPr>
          <w:i/>
          <w:snapToGrid w:val="0"/>
        </w:rPr>
        <w:t xml:space="preserve">Government Gazette </w:t>
      </w:r>
      <w:r>
        <w:rPr>
          <w:snapToGrid w:val="0"/>
          <w:vertAlign w:val="superscript"/>
        </w:rPr>
        <w:t>1</w:t>
      </w:r>
      <w:r>
        <w:rPr>
          <w:snapToGrid w:val="0"/>
        </w:rPr>
        <w:t>.</w:t>
      </w:r>
    </w:p>
    <w:p>
      <w:pPr>
        <w:pStyle w:val="Heading5"/>
      </w:pPr>
      <w:bookmarkStart w:id="5" w:name="_Toc12868467"/>
      <w:r>
        <w:rPr>
          <w:rStyle w:val="CharSectno"/>
        </w:rPr>
        <w:t>2A</w:t>
      </w:r>
      <w:r>
        <w:t>.</w:t>
      </w:r>
      <w:r>
        <w:tab/>
        <w:t>Terms used</w:t>
      </w:r>
      <w:bookmarkEnd w:id="5"/>
    </w:p>
    <w:p>
      <w:pPr>
        <w:pStyle w:val="Subsection"/>
      </w:pPr>
      <w:r>
        <w:tab/>
        <w:t>(1)</w:t>
      </w:r>
      <w:r>
        <w:tab/>
        <w:t xml:space="preserve">In these regulations, unless the contrary intention appears — </w:t>
      </w:r>
    </w:p>
    <w:p>
      <w:pPr>
        <w:pStyle w:val="Defstart"/>
      </w:pPr>
      <w:r>
        <w:tab/>
      </w:r>
      <w:r>
        <w:rPr>
          <w:rStyle w:val="CharDefText"/>
        </w:rPr>
        <w:t>booking service</w:t>
      </w:r>
      <w:r>
        <w:t>, for a taxi</w:t>
      </w:r>
      <w:r>
        <w:noBreakHyphen/>
        <w:t>car driver, means a person that, at the request of a person to be provided with a taxi</w:t>
      </w:r>
      <w:r>
        <w:noBreakHyphen/>
        <w:t>car, arranges the provision of a taxi</w:t>
      </w:r>
      <w:r>
        <w:noBreakHyphen/>
        <w:t>car that is driven by the driver;</w:t>
      </w:r>
    </w:p>
    <w:p>
      <w:pPr>
        <w:pStyle w:val="Defstart"/>
      </w:pPr>
      <w:r>
        <w:tab/>
      </w:r>
      <w:r>
        <w:rPr>
          <w:rStyle w:val="CharDefText"/>
        </w:rPr>
        <w:t>business entity</w:t>
      </w:r>
      <w:r>
        <w:t xml:space="preserve"> includes an individual, body corporate, trust or partnership, who or that carries on business;</w:t>
      </w:r>
    </w:p>
    <w:p>
      <w:pPr>
        <w:pStyle w:val="Defstart"/>
      </w:pPr>
      <w:r>
        <w:tab/>
      </w:r>
      <w:r>
        <w:rPr>
          <w:rStyle w:val="CharDefText"/>
        </w:rPr>
        <w:t>call out</w:t>
      </w:r>
      <w:r>
        <w:t xml:space="preserve"> means hiring a taxi</w:t>
      </w:r>
      <w:r>
        <w:noBreakHyphen/>
        <w:t>car through the driver or the driver’s booking service (but not hiring a taxi</w:t>
      </w:r>
      <w:r>
        <w:noBreakHyphen/>
        <w:t>car at a taxi</w:t>
      </w:r>
      <w:r>
        <w:noBreakHyphen/>
        <w:t xml:space="preserve">stand or as a result of hailing the driver); </w:t>
      </w:r>
    </w:p>
    <w:p>
      <w:pPr>
        <w:pStyle w:val="Defstart"/>
      </w:pPr>
      <w:r>
        <w:tab/>
      </w:r>
      <w:r>
        <w:rPr>
          <w:rStyle w:val="CharDefText"/>
        </w:rPr>
        <w:t>contract fare</w:t>
      </w:r>
      <w:r>
        <w:t xml:space="preserve"> means an amount payable for the hire of a taxi</w:t>
      </w:r>
      <w:r>
        <w:noBreakHyphen/>
        <w:t>car agreed under regulation 3AA(1);</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leviable passenger service transaction</w:t>
      </w:r>
      <w:r>
        <w:t xml:space="preserve"> has the meaning given in the </w:t>
      </w:r>
      <w:r>
        <w:rPr>
          <w:i/>
        </w:rPr>
        <w:t xml:space="preserve">Transport (Road Passenger Services) Act 2018 </w:t>
      </w:r>
      <w:r>
        <w:t>section 244;</w:t>
      </w:r>
    </w:p>
    <w:p>
      <w:pPr>
        <w:pStyle w:val="Defstart"/>
      </w:pPr>
      <w:r>
        <w:tab/>
      </w:r>
      <w:r>
        <w:rPr>
          <w:rStyle w:val="CharDefText"/>
        </w:rPr>
        <w:t>non</w:t>
      </w:r>
      <w:r>
        <w:rPr>
          <w:rStyle w:val="CharDefText"/>
        </w:rPr>
        <w:noBreakHyphen/>
        <w:t xml:space="preserve">cash payment </w:t>
      </w:r>
      <w:r>
        <w:t>means the payment, other than by means of cash, of any amount payable in respect of the hiring of a taxi</w:t>
      </w:r>
      <w:r>
        <w:noBreakHyphen/>
        <w:t>car;</w:t>
      </w:r>
    </w:p>
    <w:p>
      <w:pPr>
        <w:pStyle w:val="Defstart"/>
      </w:pPr>
      <w:r>
        <w:tab/>
      </w:r>
      <w:r>
        <w:rPr>
          <w:rStyle w:val="CharDefText"/>
        </w:rPr>
        <w:t>payment terminal</w:t>
      </w:r>
      <w:r>
        <w:t xml:space="preserve"> means a device or system used to facilitate a non</w:t>
      </w:r>
      <w:r>
        <w:noBreakHyphen/>
        <w:t>cash payment and provided in accordance with regulation 3A;</w:t>
      </w:r>
    </w:p>
    <w:p>
      <w:pPr>
        <w:pStyle w:val="Defstart"/>
      </w:pPr>
      <w:r>
        <w:tab/>
      </w:r>
      <w:r>
        <w:rPr>
          <w:rStyle w:val="CharDefText"/>
        </w:rPr>
        <w:t>region</w:t>
      </w:r>
      <w:r>
        <w:t xml:space="preserve"> means a region described in the </w:t>
      </w:r>
      <w:r>
        <w:rPr>
          <w:i/>
        </w:rPr>
        <w:t>Regional Development Commissions Act 1993</w:t>
      </w:r>
      <w:r>
        <w:t xml:space="preserve"> Schedule 1;</w:t>
      </w:r>
    </w:p>
    <w:p>
      <w:pPr>
        <w:pStyle w:val="Defstart"/>
      </w:pPr>
      <w:r>
        <w:tab/>
      </w:r>
      <w:r>
        <w:rPr>
          <w:rStyle w:val="CharDefText"/>
        </w:rPr>
        <w:t>Schedule 1 fare</w:t>
      </w:r>
      <w:r>
        <w:t xml:space="preserve"> means the fare for the hire of a taxi</w:t>
      </w:r>
      <w:r>
        <w:noBreakHyphen/>
        <w:t xml:space="preserve">car referred to in regulation 3(1) and includes — </w:t>
      </w:r>
    </w:p>
    <w:p>
      <w:pPr>
        <w:pStyle w:val="Defpara"/>
      </w:pPr>
      <w:r>
        <w:tab/>
        <w:t>(a)</w:t>
      </w:r>
      <w:r>
        <w:tab/>
        <w:t>any surcharge or fee of a kind set out in Schedule 1 for the hire; and</w:t>
      </w:r>
    </w:p>
    <w:p>
      <w:pPr>
        <w:pStyle w:val="Defpara"/>
      </w:pPr>
      <w:r>
        <w:tab/>
        <w:t>(b)</w:t>
      </w:r>
      <w:r>
        <w:tab/>
        <w:t>any amount charged under regulation 3(1AA) in respect of the hire;</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Subsection"/>
      </w:pPr>
      <w:r>
        <w:tab/>
        <w:t>(2)</w:t>
      </w:r>
      <w:r>
        <w:tab/>
        <w:t xml:space="preserve">A term has the same meaning in these regulations as it has in the </w:t>
      </w:r>
      <w:r>
        <w:rPr>
          <w:i/>
        </w:rPr>
        <w:t>Transport Co</w:t>
      </w:r>
      <w:r>
        <w:rPr>
          <w:i/>
        </w:rPr>
        <w:noBreakHyphen/>
        <w:t>ordination Act 1966</w:t>
      </w:r>
      <w:r>
        <w:t xml:space="preserve"> Part IIIB.</w:t>
      </w:r>
    </w:p>
    <w:p>
      <w:pPr>
        <w:pStyle w:val="Footnotesection"/>
      </w:pPr>
      <w:r>
        <w:tab/>
        <w:t>[Regulation 2A inserted: Gazette 13 Dec 2013 p.</w:t>
      </w:r>
      <w:r>
        <w:rPr>
          <w:sz w:val="19"/>
        </w:rPr>
        <w:t> </w:t>
      </w:r>
      <w:r>
        <w:t>6178; amended: Gazette 20 Feb 2015 p. 690</w:t>
      </w:r>
      <w:r>
        <w:noBreakHyphen/>
        <w:t>1; 28 Jun 2016 p. 2662</w:t>
      </w:r>
      <w:r>
        <w:noBreakHyphen/>
        <w:t>3; 26 Feb 2019 p. 455</w:t>
      </w:r>
      <w:r>
        <w:noBreakHyphen/>
        <w:t>6.]</w:t>
      </w:r>
    </w:p>
    <w:p>
      <w:pPr>
        <w:pStyle w:val="Heading5"/>
        <w:rPr>
          <w:snapToGrid w:val="0"/>
        </w:rPr>
      </w:pPr>
      <w:bookmarkStart w:id="6" w:name="_Toc12868468"/>
      <w:r>
        <w:rPr>
          <w:rStyle w:val="CharSectno"/>
        </w:rPr>
        <w:t>3</w:t>
      </w:r>
      <w:r>
        <w:rPr>
          <w:snapToGrid w:val="0"/>
        </w:rPr>
        <w:t>.</w:t>
      </w:r>
      <w:r>
        <w:rPr>
          <w:snapToGrid w:val="0"/>
        </w:rPr>
        <w:tab/>
        <w:t>Schedule 1 fares</w:t>
      </w:r>
      <w:bookmarkEnd w:id="6"/>
    </w:p>
    <w:p>
      <w:pPr>
        <w:pStyle w:val="Subsection"/>
      </w:pPr>
      <w:r>
        <w:tab/>
        <w:t>(1)</w:t>
      </w:r>
      <w:r>
        <w:tab/>
        <w:t>Each owner, driver and other operator of a taxi</w:t>
      </w:r>
      <w:r>
        <w:noBreakHyphen/>
        <w:t>car that is hired in a region must ensure that the fare, and any surcharge and fee of a kind set out in Schedule 1, for the hire of the taxi</w:t>
      </w:r>
      <w:r>
        <w:noBreakHyphen/>
        <w:t>car, inclusive of GST, are not more than those set out in Schedule 1 in respect of that region.</w:t>
      </w:r>
    </w:p>
    <w:p>
      <w:pPr>
        <w:pStyle w:val="Subsection"/>
      </w:pPr>
      <w:r>
        <w:tab/>
        <w:t>(1AA)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w:t>
      </w:r>
      <w:r>
        <w:noBreakHyphen/>
        <w:t>car, the following may also be charged for the hire of the taxi</w:t>
      </w:r>
      <w:r>
        <w:noBreakHyphen/>
        <w:t xml:space="preserve">car — </w:t>
      </w:r>
    </w:p>
    <w:p>
      <w:pPr>
        <w:pStyle w:val="Indenta"/>
      </w:pPr>
      <w:r>
        <w:tab/>
        <w:t>(a)</w:t>
      </w:r>
      <w:r>
        <w:tab/>
        <w:t>an amount of fare allocated for the levy;</w:t>
      </w:r>
    </w:p>
    <w:p>
      <w:pPr>
        <w:pStyle w:val="Indenta"/>
      </w:pPr>
      <w:r>
        <w:tab/>
        <w:t>(b)</w:t>
      </w:r>
      <w:r>
        <w:tab/>
        <w:t>an amount for the GST payable in relation to the amount referred to in paragraph (a).</w:t>
      </w:r>
    </w:p>
    <w:p>
      <w:pPr>
        <w:pStyle w:val="Subsection"/>
      </w:pPr>
      <w:r>
        <w:tab/>
        <w:t>(1AB)</w:t>
      </w:r>
      <w:r>
        <w:tab/>
        <w:t xml:space="preserve">An amount charged under subregulation (1AA)(a) must not exceed the lesser of — </w:t>
      </w:r>
    </w:p>
    <w:p>
      <w:pPr>
        <w:pStyle w:val="Indenta"/>
      </w:pPr>
      <w:r>
        <w:tab/>
        <w:t>(a)</w:t>
      </w:r>
      <w:r>
        <w:tab/>
        <w:t>10% of the sum of the amounts charged for the hire of the taxi</w:t>
      </w:r>
      <w:r>
        <w:noBreakHyphen/>
        <w:t xml:space="preserve">car of a kind referred to in the </w:t>
      </w:r>
      <w:r>
        <w:rPr>
          <w:i/>
        </w:rPr>
        <w:t>Transport (Road Passenger Services) Regulations 2019</w:t>
      </w:r>
      <w:r>
        <w:t xml:space="preserve"> regulation 47(2) (excluding the GST included in any of those amounts); or</w:t>
      </w:r>
    </w:p>
    <w:p>
      <w:pPr>
        <w:pStyle w:val="Indenta"/>
      </w:pPr>
      <w:r>
        <w:tab/>
        <w:t>(b)</w:t>
      </w:r>
      <w:r>
        <w:tab/>
        <w:t>$10.</w:t>
      </w:r>
    </w:p>
    <w:p>
      <w:pPr>
        <w:pStyle w:val="Subsection"/>
      </w:pPr>
      <w:r>
        <w:tab/>
        <w:t>(1A)</w:t>
      </w:r>
      <w:r>
        <w:tab/>
        <w:t>A driver of a taxi</w:t>
      </w:r>
      <w:r>
        <w:noBreakHyphen/>
        <w:t>car must not select a tariff for a passenger that is not the appropriate tariff as set out in Schedule 1.</w:t>
      </w:r>
    </w:p>
    <w:p>
      <w:pPr>
        <w:pStyle w:val="Subsection"/>
        <w:rPr>
          <w:snapToGrid w:val="0"/>
        </w:rPr>
      </w:pPr>
      <w:r>
        <w:tab/>
        <w:t>(1B)</w:t>
      </w:r>
      <w:r>
        <w:tab/>
        <w:t>Subregulations (1) to (1A) do not apply to a taxi</w:t>
      </w:r>
      <w:r>
        <w:noBreakHyphen/>
        <w:t>car that is hired for a contract fare.</w:t>
      </w:r>
    </w:p>
    <w:p>
      <w:pPr>
        <w:pStyle w:val="Subsection"/>
        <w:rPr>
          <w:snapToGrid w:val="0"/>
        </w:rPr>
      </w:pPr>
      <w:r>
        <w:rPr>
          <w:snapToGrid w:val="0"/>
        </w:rPr>
        <w:tab/>
        <w:t>(2)</w:t>
      </w:r>
      <w:r>
        <w:rPr>
          <w:snapToGrid w:val="0"/>
        </w:rPr>
        <w:tab/>
        <w:t>This regulation does not apply to a taxi</w:t>
      </w:r>
      <w:r>
        <w:rPr>
          <w:snapToGrid w:val="0"/>
        </w:rPr>
        <w:noBreakHyphen/>
        <w:t>car, which under the conditions attached to its licence may be operated as a private taxi</w:t>
      </w:r>
      <w:r>
        <w:rPr>
          <w:snapToGrid w:val="0"/>
        </w:rPr>
        <w:noBreakHyphen/>
        <w:t>car.</w:t>
      </w:r>
    </w:p>
    <w:p>
      <w:pPr>
        <w:pStyle w:val="Subsection"/>
        <w:rPr>
          <w:snapToGrid w:val="0"/>
        </w:rPr>
      </w:pPr>
      <w:r>
        <w:rPr>
          <w:snapToGrid w:val="0"/>
        </w:rPr>
        <w:tab/>
        <w:t>(3)</w:t>
      </w:r>
      <w:r>
        <w:rPr>
          <w:snapToGrid w:val="0"/>
        </w:rPr>
        <w:tab/>
        <w:t>The off meter rates specified in</w:t>
      </w:r>
      <w:r>
        <w:t xml:space="preserve"> Schedule 1</w:t>
      </w:r>
      <w:r>
        <w:rPr>
          <w:snapToGrid w:val="0"/>
        </w:rPr>
        <w:t> —</w:t>
      </w:r>
    </w:p>
    <w:p>
      <w:pPr>
        <w:pStyle w:val="Indenta"/>
        <w:rPr>
          <w:snapToGrid w:val="0"/>
        </w:rPr>
      </w:pPr>
      <w:r>
        <w:rPr>
          <w:snapToGrid w:val="0"/>
        </w:rPr>
        <w:tab/>
        <w:t>(a)</w:t>
      </w:r>
      <w:r>
        <w:rPr>
          <w:snapToGrid w:val="0"/>
        </w:rPr>
        <w:tab/>
        <w:t xml:space="preserve">shall apply to a journey which at any time is outside </w:t>
      </w:r>
      <w:r>
        <w:t>the designated</w:t>
      </w:r>
      <w:r>
        <w:rPr>
          <w:snapToGrid w:val="0"/>
        </w:rPr>
        <w:t xml:space="preserve"> radius; and</w:t>
      </w:r>
    </w:p>
    <w:p>
      <w:pPr>
        <w:pStyle w:val="Indenta"/>
        <w:rPr>
          <w:snapToGrid w:val="0"/>
        </w:rPr>
      </w:pPr>
      <w:r>
        <w:rPr>
          <w:snapToGrid w:val="0"/>
        </w:rPr>
        <w:tab/>
        <w:t>(b)</w:t>
      </w:r>
      <w:r>
        <w:rPr>
          <w:snapToGrid w:val="0"/>
        </w:rPr>
        <w:tab/>
        <w:t>shall apply to the distances travelled by the taxi</w:t>
      </w:r>
      <w:r>
        <w:rPr>
          <w:snapToGrid w:val="0"/>
        </w:rPr>
        <w:noBreakHyphen/>
        <w:t>car —</w:t>
      </w:r>
    </w:p>
    <w:p>
      <w:pPr>
        <w:pStyle w:val="Indenti"/>
        <w:rPr>
          <w:snapToGrid w:val="0"/>
        </w:rPr>
      </w:pPr>
      <w:r>
        <w:rPr>
          <w:snapToGrid w:val="0"/>
        </w:rPr>
        <w:tab/>
        <w:t>(i)</w:t>
      </w:r>
      <w:r>
        <w:rPr>
          <w:snapToGrid w:val="0"/>
        </w:rPr>
        <w:tab/>
        <w:t xml:space="preserve">where the point of engagement is within </w:t>
      </w:r>
      <w:r>
        <w:t>the designated</w:t>
      </w:r>
      <w:r>
        <w:rPr>
          <w:snapToGrid w:val="0"/>
        </w:rPr>
        <w:t xml:space="preserve"> radius — from the point of engagement to the destination and for the return journey by the nearest practicable route; and</w:t>
      </w:r>
    </w:p>
    <w:p>
      <w:pPr>
        <w:pStyle w:val="Indenti"/>
        <w:rPr>
          <w:snapToGrid w:val="0"/>
        </w:rPr>
      </w:pPr>
      <w:r>
        <w:rPr>
          <w:snapToGrid w:val="0"/>
        </w:rPr>
        <w:tab/>
        <w:t>(ii)</w:t>
      </w:r>
      <w:r>
        <w:rPr>
          <w:snapToGrid w:val="0"/>
        </w:rPr>
        <w:tab/>
        <w:t xml:space="preserve">where the point of engagement is outside </w:t>
      </w:r>
      <w:r>
        <w:t>the designated</w:t>
      </w:r>
      <w:r>
        <w:rPr>
          <w:snapToGrid w:val="0"/>
        </w:rPr>
        <w:t xml:space="preserve"> radius — to the point of engagement, from the point of engagement to the destination and for the return journey by the nearest practicable route,</w:t>
      </w:r>
    </w:p>
    <w:p>
      <w:pPr>
        <w:pStyle w:val="Indenta"/>
        <w:rPr>
          <w:snapToGrid w:val="0"/>
        </w:rPr>
      </w:pPr>
      <w:r>
        <w:rPr>
          <w:snapToGrid w:val="0"/>
        </w:rPr>
        <w:tab/>
      </w:r>
      <w:r>
        <w:rPr>
          <w:snapToGrid w:val="0"/>
        </w:rPr>
        <w:tab/>
        <w:t>whether or not the taxi</w:t>
      </w:r>
      <w:r>
        <w:rPr>
          <w:snapToGrid w:val="0"/>
        </w:rPr>
        <w:noBreakHyphen/>
        <w:t>car is occupied by a passenger during the whole of that journey.</w:t>
      </w:r>
    </w:p>
    <w:p>
      <w:pPr>
        <w:pStyle w:val="Subsection"/>
        <w:keepNext/>
      </w:pPr>
      <w:r>
        <w:tab/>
        <w:t>(4)</w:t>
      </w:r>
      <w:r>
        <w:tab/>
        <w:t>In subregulation (3) —</w:t>
      </w:r>
    </w:p>
    <w:p>
      <w:pPr>
        <w:pStyle w:val="Defstart"/>
        <w:keepNext/>
      </w:pPr>
      <w:r>
        <w:tab/>
      </w:r>
      <w:r>
        <w:rPr>
          <w:rStyle w:val="CharDefText"/>
        </w:rPr>
        <w:t>designated radius</w:t>
      </w:r>
      <w:r>
        <w:t xml:space="preserve"> means —</w:t>
      </w:r>
    </w:p>
    <w:p>
      <w:pPr>
        <w:pStyle w:val="Defpara"/>
      </w:pPr>
      <w:r>
        <w:tab/>
        <w:t>(a)</w:t>
      </w:r>
      <w:r>
        <w:tab/>
        <w:t>for a taxi</w:t>
      </w:r>
      <w:r>
        <w:noBreakHyphen/>
        <w:t>car hired in the South West region — a 15 km radius of the post office designated in the relevant taxi</w:t>
      </w:r>
      <w:r>
        <w:noBreakHyphen/>
        <w:t>car licence; or</w:t>
      </w:r>
    </w:p>
    <w:p>
      <w:pPr>
        <w:pStyle w:val="Defpara"/>
        <w:keepNext/>
      </w:pPr>
      <w:r>
        <w:tab/>
        <w:t>(b)</w:t>
      </w:r>
      <w:r>
        <w:tab/>
        <w:t>for a taxi</w:t>
      </w:r>
      <w:r>
        <w:noBreakHyphen/>
        <w:t>car hired in any other region — a 30 km radius of the post office designated in the relevant taxi</w:t>
      </w:r>
      <w:r>
        <w:noBreakHyphen/>
        <w:t>car licence.</w:t>
      </w:r>
    </w:p>
    <w:p>
      <w:pPr>
        <w:pStyle w:val="Footnotesection"/>
      </w:pPr>
      <w:r>
        <w:tab/>
        <w:t>[Regulation 3 amended: Gazette 14 Jul 2006 p. 2571; 29 Jun 2012 p. 2963; 13 Dec 2013 p. 6179; 28 Jun 2016 p. 2663; 26 Feb 2019 p. 456</w:t>
      </w:r>
      <w:r>
        <w:noBreakHyphen/>
        <w:t>7.]</w:t>
      </w:r>
    </w:p>
    <w:p>
      <w:pPr>
        <w:pStyle w:val="Heading5"/>
      </w:pPr>
      <w:bookmarkStart w:id="7" w:name="_Toc12868469"/>
      <w:r>
        <w:rPr>
          <w:rStyle w:val="CharSectno"/>
        </w:rPr>
        <w:t>3AA</w:t>
      </w:r>
      <w:r>
        <w:t>.</w:t>
      </w:r>
      <w:r>
        <w:tab/>
        <w:t>Contract fares</w:t>
      </w:r>
      <w:bookmarkEnd w:id="7"/>
    </w:p>
    <w:p>
      <w:pPr>
        <w:pStyle w:val="Subsection"/>
      </w:pPr>
      <w:r>
        <w:tab/>
        <w:t>(1)</w:t>
      </w:r>
      <w:r>
        <w:tab/>
        <w:t>The amount payable for the hire of a taxi</w:t>
      </w:r>
      <w:r>
        <w:noBreakHyphen/>
        <w:t>car may be agreed between the hirer and the driver of the taxi</w:t>
      </w:r>
      <w:r>
        <w:noBreakHyphen/>
        <w:t xml:space="preserve">car or the driver’s booking service (a </w:t>
      </w:r>
      <w:r>
        <w:rPr>
          <w:rStyle w:val="CharDefText"/>
        </w:rPr>
        <w:t>contract fare</w:t>
      </w:r>
      <w:r>
        <w:t>).</w:t>
      </w:r>
    </w:p>
    <w:p>
      <w:pPr>
        <w:pStyle w:val="Subsection"/>
      </w:pPr>
      <w:r>
        <w:tab/>
        <w:t>(2)</w:t>
      </w:r>
      <w:r>
        <w:tab/>
        <w:t>However, if a voucher (as defined in regulation 5A(1)) is to be used for the payment or part-payment of the contract fare, the amount agreed under subregulation (1) must not exceed the fare (as determined in accordance with regulation 3) that would otherwise be payable for the hire of the taxi-car.</w:t>
      </w:r>
    </w:p>
    <w:p>
      <w:pPr>
        <w:pStyle w:val="Subsection"/>
      </w:pPr>
      <w:r>
        <w:tab/>
        <w:t>(3)</w:t>
      </w:r>
      <w:r>
        <w:tab/>
        <w:t>Subregulation (1) does not apply if the taxi-car is hired at a taxi stand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w:t>
      </w:r>
      <w:r>
        <w:noBreakHyphen/>
        <w:t>car,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keepNext/>
      </w:pPr>
      <w:r>
        <w:tab/>
        <w:t>(e)</w:t>
      </w:r>
      <w:r>
        <w:tab/>
        <w:t xml:space="preserve">a statement to the effect that, in addition to the contract fare, there may be payable in respect of the journey — </w:t>
      </w:r>
    </w:p>
    <w:p>
      <w:pPr>
        <w:pStyle w:val="Indenti"/>
      </w:pPr>
      <w:r>
        <w:tab/>
        <w:t>(i)</w:t>
      </w:r>
      <w:r>
        <w:tab/>
        <w:t>parking fees mentioned in regulation 3AB(2); and</w:t>
      </w:r>
    </w:p>
    <w:p>
      <w:pPr>
        <w:pStyle w:val="Indenti"/>
      </w:pPr>
      <w:r>
        <w:tab/>
        <w:t>(ii)</w:t>
      </w:r>
      <w:r>
        <w:tab/>
        <w:t>costs of cleaning mentioned in regulation 3AB(3); and</w:t>
      </w:r>
    </w:p>
    <w:p>
      <w:pPr>
        <w:pStyle w:val="Indenti"/>
      </w:pPr>
      <w:r>
        <w:tab/>
        <w:t>(iii)</w:t>
      </w:r>
      <w:r>
        <w:tab/>
        <w:t>a surcharge for a non</w:t>
      </w:r>
      <w:r>
        <w:noBreakHyphen/>
        <w:t>cash payment mentioned in regulation 3B.</w:t>
      </w:r>
    </w:p>
    <w:p>
      <w:pPr>
        <w:pStyle w:val="Subsection"/>
      </w:pPr>
      <w:r>
        <w:tab/>
        <w:t>(6)</w:t>
      </w:r>
      <w:r>
        <w:tab/>
        <w:t>A taxi</w:t>
      </w:r>
      <w:r>
        <w:noBreakHyphen/>
        <w:t>car driver must retain a copy of the record of each contract fare agreed by the driver, or agreed on behalf of the driver by the driver’s booking service, for a period of 12 months starting on the day the contract fare was agreed.</w:t>
      </w:r>
    </w:p>
    <w:p>
      <w:pPr>
        <w:pStyle w:val="Footnotesection"/>
      </w:pPr>
      <w:r>
        <w:tab/>
        <w:t>[Regulation 3AA inserted: Gazette 28 Jun 2016 p. 2663</w:t>
      </w:r>
      <w:r>
        <w:noBreakHyphen/>
        <w:t>5; amended: Gazette 22 May 2018 p. 1601; 26 Feb 2019 p. 457.]</w:t>
      </w:r>
    </w:p>
    <w:p>
      <w:pPr>
        <w:pStyle w:val="Heading5"/>
      </w:pPr>
      <w:bookmarkStart w:id="8" w:name="_Toc12868470"/>
      <w:r>
        <w:rPr>
          <w:rStyle w:val="CharSectno"/>
        </w:rPr>
        <w:t>3AB</w:t>
      </w:r>
      <w:r>
        <w:t>.</w:t>
      </w:r>
      <w:r>
        <w:tab/>
        <w:t>Parking fees and cleaning costs</w:t>
      </w:r>
      <w:bookmarkEnd w:id="8"/>
    </w:p>
    <w:p>
      <w:pPr>
        <w:pStyle w:val="Subsection"/>
      </w:pPr>
      <w:r>
        <w:tab/>
        <w:t>(1)</w:t>
      </w:r>
      <w:r>
        <w:tab/>
        <w:t>This regulation applies whether a taxi</w:t>
      </w:r>
      <w:r>
        <w:noBreakHyphen/>
        <w:t>car is hired for a Schedule 1 fare or a contract fare.</w:t>
      </w:r>
    </w:p>
    <w:p>
      <w:pPr>
        <w:pStyle w:val="Subsection"/>
      </w:pPr>
      <w:r>
        <w:tab/>
        <w:t>(2)</w:t>
      </w:r>
      <w:r>
        <w:tab/>
        <w:t>The hirer of a taxi</w:t>
      </w:r>
      <w:r>
        <w:noBreakHyphen/>
        <w:t>car must pay the fee, if any, for parking during the journey at a passenger’s request.</w:t>
      </w:r>
    </w:p>
    <w:p>
      <w:pPr>
        <w:pStyle w:val="Penstart"/>
      </w:pPr>
      <w:r>
        <w:tab/>
        <w:t>Penalty for this subregulation: a fine of $200.</w:t>
      </w:r>
    </w:p>
    <w:p>
      <w:pPr>
        <w:pStyle w:val="Subsection"/>
      </w:pPr>
      <w:r>
        <w:tab/>
        <w:t>(3)</w:t>
      </w:r>
      <w:r>
        <w:tab/>
        <w:t>The hirer of a taxi</w:t>
      </w:r>
      <w:r>
        <w:noBreakHyphen/>
        <w:t>car may be charged for the costs of cleaning the taxi</w:t>
      </w:r>
      <w:r>
        <w:noBreakHyphen/>
        <w:t>car if it is soiled by a passenger during the journey.</w:t>
      </w:r>
    </w:p>
    <w:p>
      <w:pPr>
        <w:pStyle w:val="Subsection"/>
      </w:pPr>
      <w:r>
        <w:tab/>
        <w:t>(4)</w:t>
      </w:r>
      <w:r>
        <w:tab/>
        <w:t xml:space="preserve">A person must not charge another person for the costs mentioned in subregulation (3) — </w:t>
      </w:r>
    </w:p>
    <w:p>
      <w:pPr>
        <w:pStyle w:val="Indenta"/>
      </w:pPr>
      <w:r>
        <w:tab/>
        <w:t>(a)</w:t>
      </w:r>
      <w:r>
        <w:tab/>
        <w:t>for a taxi</w:t>
      </w:r>
      <w:r>
        <w:noBreakHyphen/>
        <w:t>car hired in the Mid West region, at a rate higher than $49.45 for each hour or part of an hour for the time required to clean the taxi</w:t>
      </w:r>
      <w:r>
        <w:noBreakHyphen/>
        <w:t>car; or</w:t>
      </w:r>
    </w:p>
    <w:p>
      <w:pPr>
        <w:pStyle w:val="Indenta"/>
      </w:pPr>
      <w:r>
        <w:tab/>
        <w:t>(b)</w:t>
      </w:r>
      <w:r>
        <w:tab/>
        <w:t>for a taxi</w:t>
      </w:r>
      <w:r>
        <w:noBreakHyphen/>
        <w:t>car hired in any other region, at a rate higher than $49.00 for each hour or part of an hour for the time required to clean the taxi</w:t>
      </w:r>
      <w:r>
        <w:noBreakHyphen/>
        <w:t>car.</w:t>
      </w:r>
    </w:p>
    <w:p>
      <w:pPr>
        <w:pStyle w:val="Penstart"/>
      </w:pPr>
      <w:r>
        <w:tab/>
        <w:t>Penalty for this subregulation: a fine of $200.</w:t>
      </w:r>
    </w:p>
    <w:p>
      <w:pPr>
        <w:pStyle w:val="Footnotesection"/>
      </w:pPr>
      <w:r>
        <w:tab/>
        <w:t>[Regulation 3AB inserted: Gazette 28 Jun 2016 p. 2665.]</w:t>
      </w:r>
    </w:p>
    <w:p>
      <w:pPr>
        <w:pStyle w:val="Heading5"/>
      </w:pPr>
      <w:bookmarkStart w:id="9" w:name="_Toc12868471"/>
      <w:r>
        <w:rPr>
          <w:rStyle w:val="CharSectno"/>
        </w:rPr>
        <w:t>3A</w:t>
      </w:r>
      <w:r>
        <w:t>.</w:t>
      </w:r>
      <w:r>
        <w:tab/>
        <w:t>Providing a payment terminal</w:t>
      </w:r>
      <w:bookmarkEnd w:id="9"/>
    </w:p>
    <w:p>
      <w:pPr>
        <w:pStyle w:val="Subsection"/>
      </w:pPr>
      <w:r>
        <w:tab/>
      </w:r>
      <w:r>
        <w:tab/>
        <w:t>Where a payment terminal is available for use in a taxi</w:t>
      </w:r>
      <w:r>
        <w:noBreakHyphen/>
        <w:t xml:space="preserve">car — </w:t>
      </w:r>
    </w:p>
    <w:p>
      <w:pPr>
        <w:pStyle w:val="Indenta"/>
      </w:pPr>
      <w:r>
        <w:tab/>
        <w:t>(a)</w:t>
      </w:r>
      <w:r>
        <w:tab/>
        <w:t>if the licence holder was involved in requesting or enabling the use of that type of payment terminal, then the licence holder provides the terminal for the purposes of regulation 3B(2);</w:t>
      </w:r>
    </w:p>
    <w:p>
      <w:pPr>
        <w:pStyle w:val="Indenta"/>
      </w:pPr>
      <w:r>
        <w:tab/>
        <w:t>(b)</w:t>
      </w:r>
      <w:r>
        <w:tab/>
        <w:t>if the owner or another operator was involved in requesting or enabling the use of that type of payment terminal, then the owner or another operator provides the terminal for the purposes of regulation 3B(2);</w:t>
      </w:r>
    </w:p>
    <w:p>
      <w:pPr>
        <w:pStyle w:val="Indenta"/>
      </w:pPr>
      <w:r>
        <w:tab/>
        <w:t>(c)</w:t>
      </w:r>
      <w:r>
        <w:tab/>
        <w:t>in any other case, the driver provides the terminal for the purposes of regulation 3B(2).</w:t>
      </w:r>
    </w:p>
    <w:p>
      <w:pPr>
        <w:pStyle w:val="Footnotesection"/>
      </w:pPr>
      <w:r>
        <w:tab/>
        <w:t>[Regulation 3A inserted: Gazette 20 Feb 2015 p. 691.]</w:t>
      </w:r>
    </w:p>
    <w:p>
      <w:pPr>
        <w:pStyle w:val="Heading5"/>
      </w:pPr>
      <w:bookmarkStart w:id="10" w:name="_Toc12868472"/>
      <w:r>
        <w:rPr>
          <w:rStyle w:val="CharSectno"/>
        </w:rPr>
        <w:t>3B</w:t>
      </w:r>
      <w:r>
        <w:t>.</w:t>
      </w:r>
      <w:r>
        <w:tab/>
        <w:t>Surcharge for non</w:t>
      </w:r>
      <w:r>
        <w:noBreakHyphen/>
        <w:t>cash payment</w:t>
      </w:r>
      <w:bookmarkEnd w:id="10"/>
    </w:p>
    <w:p>
      <w:pPr>
        <w:pStyle w:val="Subsection"/>
      </w:pPr>
      <w:r>
        <w:tab/>
        <w:t>(1)</w:t>
      </w:r>
      <w:r>
        <w:tab/>
        <w:t>If a surcharge is added because a Schedule 1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$200.</w:t>
      </w:r>
    </w:p>
    <w:p>
      <w:pPr>
        <w:pStyle w:val="Subsection"/>
      </w:pPr>
      <w:r>
        <w:tab/>
        <w:t>(3)</w:t>
      </w:r>
      <w:r>
        <w:tab/>
        <w:t>Where more than one payment terminal is available for a taxi</w:t>
      </w:r>
      <w:r>
        <w:noBreakHyphen/>
        <w:t>car, the driver must use the terminal that results in the lowest surcharge, if any, being imposed when a non</w:t>
      </w:r>
      <w:r>
        <w:noBreakHyphen/>
        <w:t>cash payment is made.</w:t>
      </w:r>
    </w:p>
    <w:p>
      <w:pPr>
        <w:pStyle w:val="Penstart"/>
      </w:pPr>
      <w:r>
        <w:tab/>
        <w:t>Penalty for this subregulation: a fine of $200.</w:t>
      </w:r>
    </w:p>
    <w:p>
      <w:pPr>
        <w:pStyle w:val="Footnotesection"/>
      </w:pPr>
      <w:r>
        <w:tab/>
        <w:t>[Regulation 3B inserted: Gazette 20 Feb 2015 p. 691; amended: Gazette 28 Jun 2016 p. 2666.]</w:t>
      </w:r>
    </w:p>
    <w:p>
      <w:pPr>
        <w:pStyle w:val="Heading5"/>
        <w:rPr>
          <w:snapToGrid w:val="0"/>
        </w:rPr>
      </w:pPr>
      <w:bookmarkStart w:id="11" w:name="_Toc12868473"/>
      <w:r>
        <w:rPr>
          <w:rStyle w:val="CharSectno"/>
        </w:rPr>
        <w:t>4</w:t>
      </w:r>
      <w:r>
        <w:rPr>
          <w:snapToGrid w:val="0"/>
        </w:rPr>
        <w:t>.</w:t>
      </w:r>
      <w:r>
        <w:rPr>
          <w:snapToGrid w:val="0"/>
        </w:rPr>
        <w:tab/>
        <w:t>Evading fares</w:t>
      </w:r>
      <w:bookmarkEnd w:id="11"/>
    </w:p>
    <w:p>
      <w:pPr>
        <w:pStyle w:val="Subsection"/>
        <w:rPr>
          <w:snapToGrid w:val="0"/>
        </w:rPr>
      </w:pPr>
      <w:r>
        <w:rPr>
          <w:snapToGrid w:val="0"/>
        </w:rPr>
        <w:tab/>
        <w:t>(1)</w:t>
      </w:r>
      <w:r>
        <w:rPr>
          <w:snapToGrid w:val="0"/>
        </w:rPr>
        <w:tab/>
        <w:t xml:space="preserve">A person </w:t>
      </w:r>
      <w:r>
        <w:t>must not evade or attempt to evade the payment of a Schedule 1 fare or a contract fare</w:t>
      </w:r>
      <w:r>
        <w:rPr>
          <w:snapToGrid w:val="0"/>
        </w:rPr>
        <w:t xml:space="preserve"> for the hire of a taxi</w:t>
      </w:r>
      <w:r>
        <w:rPr>
          <w:snapToGrid w:val="0"/>
        </w:rPr>
        <w:noBreakHyphen/>
        <w:t>car.</w:t>
      </w:r>
    </w:p>
    <w:p>
      <w:pPr>
        <w:pStyle w:val="Subsection"/>
        <w:rPr>
          <w:snapToGrid w:val="0"/>
        </w:rPr>
      </w:pPr>
      <w:r>
        <w:rPr>
          <w:snapToGrid w:val="0"/>
        </w:rPr>
        <w:tab/>
        <w:t>(2)</w:t>
      </w:r>
      <w:r>
        <w:rPr>
          <w:snapToGrid w:val="0"/>
        </w:rPr>
        <w:tab/>
        <w:t>A taxi</w:t>
      </w:r>
      <w:r>
        <w:rPr>
          <w:snapToGrid w:val="0"/>
        </w:rPr>
        <w:noBreakHyphen/>
        <w:t xml:space="preserve">car driver </w:t>
      </w:r>
      <w:r>
        <w:t>must report any evasion or attempted evasion of a Schedule 1 fare</w:t>
      </w:r>
      <w:r>
        <w:rPr>
          <w:snapToGrid w:val="0"/>
        </w:rPr>
        <w:t xml:space="preserve"> for a hiring of the taxi</w:t>
      </w:r>
      <w:r>
        <w:rPr>
          <w:snapToGrid w:val="0"/>
        </w:rPr>
        <w:noBreakHyphen/>
        <w:t>car to the Director General as soon as is practicable.</w:t>
      </w:r>
    </w:p>
    <w:p>
      <w:pPr>
        <w:pStyle w:val="Footnotesection"/>
      </w:pPr>
      <w:r>
        <w:tab/>
        <w:t>[Regulation 4 amended: Gazette 24 Dec 2002 p. 6605; 28 Jun 2016 p. 2666.]</w:t>
      </w:r>
    </w:p>
    <w:p>
      <w:pPr>
        <w:pStyle w:val="Heading5"/>
      </w:pPr>
      <w:bookmarkStart w:id="12" w:name="_Toc12868474"/>
      <w:r>
        <w:rPr>
          <w:rStyle w:val="CharSectno"/>
        </w:rPr>
        <w:t>4A</w:t>
      </w:r>
      <w:r>
        <w:t>.</w:t>
      </w:r>
      <w:r>
        <w:tab/>
        <w:t>Deposit of fare in advance, driver may require</w:t>
      </w:r>
      <w:bookmarkEnd w:id="12"/>
    </w:p>
    <w:p>
      <w:pPr>
        <w:pStyle w:val="Subsection"/>
      </w:pPr>
      <w:r>
        <w:tab/>
      </w:r>
      <w:r>
        <w:tab/>
        <w:t>Prior to accepting a hiring, a taxi</w:t>
      </w:r>
      <w:r>
        <w:noBreakHyphen/>
        <w:t>car driver may require a hirer to pay a deposit equal to the anticipated Schedule 1 fare as estimated by the driver or the contract fare.</w:t>
      </w:r>
    </w:p>
    <w:p>
      <w:pPr>
        <w:pStyle w:val="Footnotesection"/>
      </w:pPr>
      <w:r>
        <w:tab/>
        <w:t>[Regulation 4A inserted: Gazette 14 Jul 2006 p. 2571; amended: Gazette 28 Jun 2016 p. 2667.]</w:t>
      </w:r>
    </w:p>
    <w:p>
      <w:pPr>
        <w:pStyle w:val="Heading5"/>
      </w:pPr>
      <w:bookmarkStart w:id="13" w:name="_Toc12868475"/>
      <w:r>
        <w:rPr>
          <w:rStyle w:val="CharSectno"/>
        </w:rPr>
        <w:t>5</w:t>
      </w:r>
      <w:r>
        <w:t>.</w:t>
      </w:r>
      <w:r>
        <w:tab/>
        <w:t>Multiple hiring</w:t>
      </w:r>
      <w:bookmarkEnd w:id="13"/>
      <w:r>
        <w:t xml:space="preserve"> </w:t>
      </w:r>
    </w:p>
    <w:p>
      <w:pPr>
        <w:pStyle w:val="Subsection"/>
      </w:pPr>
      <w:r>
        <w:tab/>
        <w:t>(1)</w:t>
      </w:r>
      <w:r>
        <w:tab/>
        <w:t xml:space="preserve">In this regulation — </w:t>
      </w:r>
    </w:p>
    <w:p>
      <w:pPr>
        <w:pStyle w:val="Defstart"/>
      </w:pPr>
      <w:r>
        <w:tab/>
      </w:r>
      <w:r>
        <w:rPr>
          <w:rStyle w:val="CharDefText"/>
        </w:rPr>
        <w:t>multiple hiring</w:t>
      </w:r>
      <w:r>
        <w:t>, in relation to a taxi</w:t>
      </w:r>
      <w:r>
        <w:noBreakHyphen/>
        <w:t>car, means the hiring of the taxi</w:t>
      </w:r>
      <w:r>
        <w:noBreakHyphen/>
        <w:t>car by 2 or more passengers who are not accompanying each other but who agree to share the hire of the taxi</w:t>
      </w:r>
      <w:r>
        <w:noBreakHyphen/>
        <w:t>car and pay separate fares for carriage in the taxi</w:t>
      </w:r>
      <w:r>
        <w:noBreakHyphen/>
        <w:t>car.</w:t>
      </w:r>
    </w:p>
    <w:p>
      <w:pPr>
        <w:pStyle w:val="Subsection"/>
      </w:pPr>
      <w:r>
        <w:tab/>
        <w:t>(2)</w:t>
      </w:r>
      <w:r>
        <w:tab/>
        <w:t>The hirer of a taxi</w:t>
      </w:r>
      <w:r>
        <w:noBreakHyphen/>
        <w:t>car may refuse to consent to the carriage of passengers, other than those accompanying the hirer, during the period of the hiring.</w:t>
      </w:r>
    </w:p>
    <w:p>
      <w:pPr>
        <w:pStyle w:val="Subsection"/>
      </w:pPr>
      <w:r>
        <w:tab/>
        <w:t>(3)</w:t>
      </w:r>
      <w:r>
        <w:tab/>
        <w:t>If a taxi</w:t>
      </w:r>
      <w:r>
        <w:noBreakHyphen/>
        <w:t>car is the subject of multiple hiring, each separate hirer may, at that hirer’s destination, be charged 75% of the Schedule 1 fare for the hire of the taxi-car applicable at that hirer’s destination.</w:t>
      </w:r>
    </w:p>
    <w:p>
      <w:pPr>
        <w:pStyle w:val="Subsection"/>
        <w:keepLines/>
      </w:pPr>
      <w:r>
        <w:tab/>
        <w:t>(4)</w:t>
      </w:r>
      <w:r>
        <w:tab/>
        <w:t>A taxi</w:t>
      </w:r>
      <w:r>
        <w:noBreakHyphen/>
        <w:t>car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If a taxi</w:t>
      </w:r>
      <w:r>
        <w:noBreakHyphen/>
        <w:t xml:space="preserve">car is the subject of multiple hiring — </w:t>
      </w:r>
    </w:p>
    <w:p>
      <w:pPr>
        <w:pStyle w:val="Indenta"/>
      </w:pPr>
      <w:r>
        <w:tab/>
        <w:t>(a)</w:t>
      </w:r>
      <w:r>
        <w:tab/>
        <w:t>the hirer for the purposes of regulation 3AB(2) who must pay the fee, if any, for parking during the journey at a passenger’s request is the hirer who is, or who is accompanying, that passenger; and</w:t>
      </w:r>
    </w:p>
    <w:p>
      <w:pPr>
        <w:pStyle w:val="Indenta"/>
      </w:pPr>
      <w:r>
        <w:tab/>
        <w:t>(b)</w:t>
      </w:r>
      <w:r>
        <w:tab/>
        <w:t>the hirer for the purposes of regulation 3AB(3) who may be charged for the costs of cleaning the taxi</w:t>
      </w:r>
      <w:r>
        <w:noBreakHyphen/>
        <w:t>car if it is soiled by a passenger during the journey is the hirer who is, or who is accompanying, that passenger; and</w:t>
      </w:r>
    </w:p>
    <w:p>
      <w:pPr>
        <w:pStyle w:val="Indenta"/>
      </w:pPr>
      <w:r>
        <w:tab/>
        <w:t>(c)</w:t>
      </w:r>
      <w:r>
        <w:tab/>
        <w:t>the amounts to be paid by a hirer for the purposes of adding a surcharge under regulation 3B(1) are, in respect of each hirer, the amounts for the separate fare incurred by that hirer and any parking fee or cleaning costs payable by that hirer as mentioned in paragraph (a) or (b).</w:t>
      </w:r>
    </w:p>
    <w:p>
      <w:pPr>
        <w:pStyle w:val="Footnotesection"/>
      </w:pPr>
      <w:r>
        <w:tab/>
        <w:t>[Regulation 5 inserted: Gazette 28 Jun 2016 p. 2667</w:t>
      </w:r>
      <w:r>
        <w:noBreakHyphen/>
        <w:t>9; amended: Gazette 26 Feb 2019 p. 457.]</w:t>
      </w:r>
    </w:p>
    <w:p>
      <w:pPr>
        <w:pStyle w:val="Heading5"/>
      </w:pPr>
      <w:bookmarkStart w:id="14" w:name="_Toc12868476"/>
      <w:r>
        <w:rPr>
          <w:rStyle w:val="CharSectno"/>
        </w:rPr>
        <w:t>5A</w:t>
      </w:r>
      <w:r>
        <w:t>.</w:t>
      </w:r>
      <w:r>
        <w:tab/>
        <w:t>Taxi user subsidy scheme vouchers</w:t>
      </w:r>
      <w:bookmarkEnd w:id="14"/>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taxi</w:t>
      </w:r>
      <w:r>
        <w:noBreakHyphen/>
        <w:t>car driver must not refuse to accept a voucher as payment or part</w:t>
      </w:r>
      <w:r>
        <w:noBreakHyphen/>
        <w:t>payment of a Schedule 1 fare or a contract fare if the payment or part</w:t>
      </w:r>
      <w:r>
        <w:noBreakHyphen/>
        <w:t>payment is in accordance with guidelines published by the Director General.</w:t>
      </w:r>
    </w:p>
    <w:p>
      <w:pPr>
        <w:pStyle w:val="Subsection"/>
      </w:pPr>
      <w:r>
        <w:tab/>
        <w:t>(3)</w:t>
      </w:r>
      <w:r>
        <w:tab/>
        <w:t>A taxi</w:t>
      </w:r>
      <w:r>
        <w:noBreakHyphen/>
        <w:t>car driver who accepts a voucher must not enter on the voucher any information that the driver knows to be false or misleading.</w:t>
      </w:r>
    </w:p>
    <w:p>
      <w:pPr>
        <w:pStyle w:val="Subsection"/>
      </w:pPr>
      <w:r>
        <w:tab/>
        <w:t>(4)</w:t>
      </w:r>
      <w:r>
        <w:tab/>
        <w:t>A taxi</w:t>
      </w:r>
      <w:r>
        <w:noBreakHyphen/>
        <w:t>car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An owner or operator of a taxi</w:t>
      </w:r>
      <w:r>
        <w:noBreakHyphen/>
        <w:t>car must not direct a taxi</w:t>
      </w:r>
      <w:r>
        <w:noBreakHyphen/>
        <w:t>car driver to refuse to accept a voucher as payment or part</w:t>
      </w:r>
      <w:r>
        <w:noBreakHyphen/>
        <w:t>payment of a Schedule 1 fare or a contract fare if the payment or part</w:t>
      </w:r>
      <w:r>
        <w:noBreakHyphen/>
        <w:t>payment is in accordance with guidelines published by the Director General.</w:t>
      </w:r>
    </w:p>
    <w:p>
      <w:pPr>
        <w:pStyle w:val="Footnotesection"/>
      </w:pPr>
      <w:r>
        <w:tab/>
        <w:t>[Regulation 5A inserted: Gazette 28 Jun 2016 p. 2669; amended: Gazette 22 May 2018 p. 1601.]</w:t>
      </w:r>
    </w:p>
    <w:p>
      <w:pPr>
        <w:pStyle w:val="Heading5"/>
      </w:pPr>
      <w:bookmarkStart w:id="15" w:name="_Toc12868477"/>
      <w:r>
        <w:rPr>
          <w:rStyle w:val="CharSectno"/>
        </w:rPr>
        <w:t>6</w:t>
      </w:r>
      <w:r>
        <w:t>.</w:t>
      </w:r>
      <w:r>
        <w:tab/>
        <w:t>Fare schedule to be available to hirers</w:t>
      </w:r>
      <w:bookmarkEnd w:id="15"/>
    </w:p>
    <w:p>
      <w:pPr>
        <w:pStyle w:val="Subsection"/>
      </w:pPr>
      <w:r>
        <w:tab/>
        <w:t>(1)</w:t>
      </w:r>
      <w:r>
        <w:tab/>
        <w:t>The owner of a taxi</w:t>
      </w:r>
      <w:r>
        <w:noBreakHyphen/>
        <w:t>car must ensure that there is carried in the vehicle a schedule in a form approved by the Director General detailing the rates and other amounts in Schedule 1 to be paid in the event that the taxi</w:t>
      </w:r>
      <w:r>
        <w:noBreakHyphen/>
        <w:t xml:space="preserve">car is hired for a Schedule 1 fare (the </w:t>
      </w:r>
      <w:r>
        <w:rPr>
          <w:rStyle w:val="CharDefText"/>
        </w:rPr>
        <w:t>fare schedule</w:t>
      </w:r>
      <w:r>
        <w:t>).</w:t>
      </w:r>
    </w:p>
    <w:p>
      <w:pPr>
        <w:pStyle w:val="Subsection"/>
      </w:pPr>
      <w:r>
        <w:tab/>
        <w:t>(1A)</w:t>
      </w:r>
      <w:r>
        <w:tab/>
        <w:t>If any amounts under regulation 3(1AA) are to be paid in relation to the hire of the taxi</w:t>
      </w:r>
      <w:r>
        <w:noBreakHyphen/>
        <w:t>car, the fare schedule must include a statement that an additional amount of fare allocated for the levy and an amount for the GST on that additional amount may be charged.</w:t>
      </w:r>
    </w:p>
    <w:p>
      <w:pPr>
        <w:pStyle w:val="Subsection"/>
      </w:pPr>
      <w:r>
        <w:tab/>
        <w:t>(2)</w:t>
      </w:r>
      <w:r>
        <w:tab/>
        <w:t>A taxi</w:t>
      </w:r>
      <w:r>
        <w:noBreakHyphen/>
        <w:t>car driver must make the fare schedule available to the hirer at the hirer’s request.</w:t>
      </w:r>
    </w:p>
    <w:p>
      <w:pPr>
        <w:pStyle w:val="Subsection"/>
      </w:pPr>
      <w:r>
        <w:tab/>
        <w:t>(3)</w:t>
      </w:r>
      <w:r>
        <w:tab/>
        <w:t>A person must not drive a taxi</w:t>
      </w:r>
      <w:r>
        <w:noBreakHyphen/>
        <w:t>car in which the fare schedule is not carried.</w:t>
      </w:r>
    </w:p>
    <w:p>
      <w:pPr>
        <w:pStyle w:val="Footnotesection"/>
      </w:pPr>
      <w:r>
        <w:tab/>
        <w:t>[Regulation 6 inserted: Gazette 28 Jun 2016 p. 2670; amended: Gazette 26 Feb 2019 p. 457</w:t>
      </w:r>
      <w:r>
        <w:noBreakHyphen/>
        <w:t>8.]</w:t>
      </w:r>
    </w:p>
    <w:p>
      <w:pPr>
        <w:pStyle w:val="Heading5"/>
        <w:rPr>
          <w:snapToGrid w:val="0"/>
        </w:rPr>
      </w:pPr>
      <w:bookmarkStart w:id="16" w:name="_Toc12868478"/>
      <w:r>
        <w:rPr>
          <w:rStyle w:val="CharSectno"/>
        </w:rPr>
        <w:t>7</w:t>
      </w:r>
      <w:r>
        <w:rPr>
          <w:snapToGrid w:val="0"/>
        </w:rPr>
        <w:t>.</w:t>
      </w:r>
      <w:r>
        <w:rPr>
          <w:snapToGrid w:val="0"/>
        </w:rPr>
        <w:tab/>
      </w:r>
      <w:smartTag w:uri="urn:schemas-microsoft-com:office:smarttags" w:element="City">
        <w:smartTag w:uri="urn:schemas-microsoft-com:office:smarttags" w:element="place">
          <w:r>
            <w:rPr>
              <w:snapToGrid w:val="0"/>
            </w:rPr>
            <w:t>Brea</w:t>
          </w:r>
        </w:smartTag>
      </w:smartTag>
      <w:r>
        <w:rPr>
          <w:snapToGrid w:val="0"/>
        </w:rPr>
        <w:t>ch of regulations, offence</w:t>
      </w:r>
      <w:bookmarkEnd w:id="16"/>
    </w:p>
    <w:p>
      <w:pPr>
        <w:pStyle w:val="Subsection"/>
        <w:spacing w:before="120"/>
        <w:rPr>
          <w:snapToGrid w:val="0"/>
        </w:rPr>
      </w:pPr>
      <w:r>
        <w:rPr>
          <w:snapToGrid w:val="0"/>
        </w:rPr>
        <w:tab/>
      </w:r>
      <w:r>
        <w:rPr>
          <w:snapToGrid w:val="0"/>
        </w:rPr>
        <w:tab/>
        <w:t xml:space="preserve">A person who contravenes or fails to comply with any of these regulations commits an </w:t>
      </w:r>
      <w:r>
        <w:t>offence and, unless otherwise provided in these regulations,</w:t>
      </w:r>
      <w:r>
        <w:rPr>
          <w:snapToGrid w:val="0"/>
        </w:rPr>
        <w:t xml:space="preserve"> is liable to a penalty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Footnotesection"/>
      </w:pPr>
      <w:r>
        <w:tab/>
        <w:t>[Regulation 7 amended: Gazette 28 Jun 2016 p. 2670.]</w:t>
      </w:r>
    </w:p>
    <w:p>
      <w:pPr>
        <w:pStyle w:val="Heading5"/>
      </w:pPr>
      <w:bookmarkStart w:id="17" w:name="_Toc12868479"/>
      <w:r>
        <w:rPr>
          <w:rStyle w:val="CharSectno"/>
        </w:rPr>
        <w:t>7A</w:t>
      </w:r>
      <w:r>
        <w:t>.</w:t>
      </w:r>
      <w:r>
        <w:tab/>
        <w:t>Offences and modified penalties prescribed (Act s. 58A)</w:t>
      </w:r>
      <w:bookmarkEnd w:id="17"/>
    </w:p>
    <w:p>
      <w:pPr>
        <w:pStyle w:val="Subsection"/>
        <w:spacing w:before="120"/>
      </w:pPr>
      <w:r>
        <w:tab/>
        <w:t>(1)</w:t>
      </w:r>
      <w:r>
        <w:tab/>
        <w:t>For the purposes of section 58A of the Act, the prescribed offences against these regulations for which infringement notices may be given, and the modified penalties for those offences, are set out in Schedule 2.</w:t>
      </w:r>
    </w:p>
    <w:p>
      <w:pPr>
        <w:pStyle w:val="Subsection"/>
        <w:spacing w:before="120"/>
      </w:pPr>
      <w:r>
        <w:tab/>
        <w:t>(2)</w:t>
      </w:r>
      <w:r>
        <w:tab/>
        <w:t>For the purposes of section 58A(3), the prescribed form of infringement notice is Form 1 in Schedule 3.</w:t>
      </w:r>
    </w:p>
    <w:p>
      <w:pPr>
        <w:pStyle w:val="Subsection"/>
        <w:spacing w:before="120"/>
      </w:pPr>
      <w:r>
        <w:tab/>
        <w:t>(3)</w:t>
      </w:r>
      <w:r>
        <w:tab/>
        <w:t>For the purposes of section 58A(2), the prescribed form of notice of withdrawal of infringement notice is Form 2 in Schedule 3.</w:t>
      </w:r>
    </w:p>
    <w:p>
      <w:pPr>
        <w:pStyle w:val="Footnotesection"/>
      </w:pPr>
      <w:r>
        <w:tab/>
        <w:t>[Regulation 7A inserted: Gazette 14 Jul 2006 p. 2571</w:t>
      </w:r>
      <w:r>
        <w:noBreakHyphen/>
        <w:t>2.]</w:t>
      </w:r>
    </w:p>
    <w:p>
      <w:pPr>
        <w:pStyle w:val="Footnotesection"/>
        <w:spacing w:before="220"/>
        <w:ind w:left="890" w:hanging="890"/>
      </w:pPr>
      <w:r>
        <w:t>[</w:t>
      </w:r>
      <w:r>
        <w:rPr>
          <w:b/>
          <w:bCs/>
        </w:rPr>
        <w:t>8.</w:t>
      </w:r>
      <w:r>
        <w:tab/>
        <w:t>Omitted under the Reprints Act 1984 s. 7(4)(f).]</w:t>
      </w:r>
    </w:p>
    <w:p>
      <w:pPr>
        <w:sectPr>
          <w:headerReference w:type="even" r:id="rId22"/>
          <w:headerReference w:type="default" r:id="rId23"/>
          <w:pgSz w:w="11907" w:h="16840" w:code="9"/>
          <w:pgMar w:top="2376" w:right="2405" w:bottom="3542" w:left="2405" w:header="706" w:footer="3380" w:gutter="0"/>
          <w:pgNumType w:start="1"/>
          <w:cols w:space="720"/>
          <w:noEndnote/>
          <w:titlePg/>
          <w:docGrid w:linePitch="326"/>
        </w:sectPr>
      </w:pPr>
    </w:p>
    <w:p>
      <w:pPr>
        <w:pStyle w:val="yScheduleHeading"/>
      </w:pPr>
      <w:bookmarkStart w:id="18" w:name="_Toc12442300"/>
      <w:bookmarkStart w:id="19" w:name="_Toc12449492"/>
      <w:bookmarkStart w:id="20" w:name="_Toc12868480"/>
      <w:r>
        <w:rPr>
          <w:rStyle w:val="CharSchNo"/>
        </w:rPr>
        <w:t>Schedule 1</w:t>
      </w:r>
      <w:r>
        <w:t> — </w:t>
      </w:r>
      <w:r>
        <w:rPr>
          <w:rStyle w:val="CharSchText"/>
        </w:rPr>
        <w:t>Fares</w:t>
      </w:r>
      <w:bookmarkEnd w:id="18"/>
      <w:bookmarkEnd w:id="19"/>
      <w:bookmarkEnd w:id="20"/>
    </w:p>
    <w:p>
      <w:pPr>
        <w:pStyle w:val="zyShoulderClause"/>
        <w:keepNext/>
        <w:keepLines/>
      </w:pPr>
      <w:r>
        <w:t xml:space="preserve"> [r. 3]</w:t>
      </w:r>
    </w:p>
    <w:p>
      <w:pPr>
        <w:pStyle w:val="yFootnoteheading"/>
      </w:pPr>
      <w:r>
        <w:tab/>
        <w:t>[Heading inserted: Gazette 23 Dec 2014 p. 4898; amended: Gazette 28 Jun 2016 p. 2670.]</w:t>
      </w:r>
    </w:p>
    <w:p>
      <w:pPr>
        <w:pStyle w:val="yHeading3"/>
        <w:rPr>
          <w:rStyle w:val="CharSDivText"/>
        </w:rPr>
      </w:pPr>
      <w:bookmarkStart w:id="21" w:name="_Toc12442301"/>
      <w:bookmarkStart w:id="22" w:name="_Toc12449493"/>
      <w:bookmarkStart w:id="23" w:name="_Toc12868481"/>
      <w:r>
        <w:rPr>
          <w:rStyle w:val="CharSDivNo"/>
        </w:rPr>
        <w:t>Division 1</w:t>
      </w:r>
      <w:r>
        <w:rPr>
          <w:b w:val="0"/>
        </w:rPr>
        <w:t> — </w:t>
      </w:r>
      <w:r>
        <w:rPr>
          <w:rStyle w:val="CharSDivText"/>
        </w:rPr>
        <w:t>Gascoyne region</w:t>
      </w:r>
      <w:bookmarkEnd w:id="21"/>
      <w:bookmarkEnd w:id="22"/>
      <w:bookmarkEnd w:id="23"/>
    </w:p>
    <w:p>
      <w:pPr>
        <w:pStyle w:val="yFootnoteheading"/>
      </w:pPr>
      <w:r>
        <w:tab/>
        <w:t>[Heading inserted: Gazette 23 Dec 2014 p. 4898.]</w:t>
      </w:r>
    </w:p>
    <w:p>
      <w:pPr>
        <w:pStyle w:val="yTHeadingNAm"/>
      </w:pPr>
      <w:r>
        <w:t xml:space="preserve">Metered rates </w:t>
      </w:r>
      <w:r>
        <w:rPr>
          <w:szCs w:val="22"/>
        </w:rPr>
        <w:t>(maximums)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p>
        </w:tc>
        <w:tc>
          <w:tcPr>
            <w:tcW w:w="1134" w:type="dxa"/>
            <w:tcBorders>
              <w:top w:val="single" w:sz="4" w:space="0" w:color="auto"/>
              <w:left w:val="single" w:sz="4" w:space="0" w:color="auto"/>
              <w:bottom w:val="single" w:sz="4" w:space="0" w:color="auto"/>
              <w:right w:val="nil"/>
            </w:tcBorders>
          </w:tcPr>
          <w:p>
            <w:pPr>
              <w:pStyle w:val="yTableNAm"/>
              <w:rPr>
                <w:b/>
                <w:bCs/>
              </w:rPr>
            </w:pPr>
            <w:r>
              <w:rPr>
                <w:b/>
                <w:bCs/>
              </w:rPr>
              <w:t>Flagfall</w:t>
            </w:r>
          </w:p>
        </w:tc>
        <w:tc>
          <w:tcPr>
            <w:tcW w:w="1551" w:type="dxa"/>
            <w:tcBorders>
              <w:top w:val="single" w:sz="4" w:space="0" w:color="auto"/>
              <w:left w:val="nil"/>
              <w:bottom w:val="single" w:sz="4" w:space="0" w:color="auto"/>
              <w:right w:val="nil"/>
            </w:tcBorders>
          </w:tcPr>
          <w:p>
            <w:pPr>
              <w:pStyle w:val="yTableNAm"/>
              <w:rPr>
                <w:b/>
                <w:bCs/>
              </w:rPr>
            </w:pPr>
            <w:r>
              <w:rPr>
                <w:b/>
                <w:bCs/>
              </w:rPr>
              <w:t>Distance rate</w:t>
            </w:r>
          </w:p>
        </w:tc>
        <w:tc>
          <w:tcPr>
            <w:tcW w:w="1426" w:type="dxa"/>
            <w:tcBorders>
              <w:top w:val="single" w:sz="4" w:space="0" w:color="auto"/>
              <w:left w:val="nil"/>
              <w:bottom w:val="single" w:sz="4" w:space="0" w:color="auto"/>
              <w:right w:val="nil"/>
            </w:tcBorders>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$2.31/km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top w:val="nil"/>
              <w:left w:val="single" w:sz="4" w:space="0" w:color="auto"/>
              <w:bottom w:val="nil"/>
              <w:right w:val="nil"/>
            </w:tcBorders>
          </w:tcPr>
          <w:p>
            <w:pPr>
              <w:pStyle w:val="yTableNAm"/>
            </w:pPr>
          </w:p>
        </w:tc>
        <w:tc>
          <w:tcPr>
            <w:tcW w:w="1551" w:type="dxa"/>
            <w:tcBorders>
              <w:top w:val="nil"/>
              <w:left w:val="nil"/>
              <w:bottom w:val="nil"/>
              <w:right w:val="nil"/>
            </w:tcBorders>
          </w:tcPr>
          <w:p>
            <w:pPr>
              <w:pStyle w:val="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tcPr>
          <w:p>
            <w:pPr>
              <w:pStyle w:val="yTableNAm"/>
            </w:pPr>
            <w:r>
              <w:br/>
            </w:r>
          </w:p>
        </w:tc>
        <w:tc>
          <w:tcPr>
            <w:tcW w:w="1551" w:type="dxa"/>
            <w:tcBorders>
              <w:top w:val="nil"/>
              <w:left w:val="nil"/>
              <w:bottom w:val="nil"/>
              <w:right w:val="nil"/>
            </w:tcBorders>
          </w:tcPr>
          <w:p>
            <w:pPr>
              <w:pStyle w:val="yTableNAm"/>
            </w:pPr>
            <w:r>
              <w:br/>
            </w:r>
          </w:p>
        </w:tc>
        <w:tc>
          <w:tcPr>
            <w:tcW w:w="1426" w:type="dxa"/>
            <w:tcBorders>
              <w:top w:val="nil"/>
              <w:left w:val="nil"/>
              <w:bottom w:val="nil"/>
              <w:right w:val="nil"/>
            </w:tcBorders>
          </w:tcPr>
          <w:p>
            <w:pPr>
              <w:pStyle w:val="yTableNAm"/>
            </w:pPr>
            <w:r>
              <w:br/>
            </w:r>
          </w:p>
        </w:tc>
      </w:tr>
      <w:tr>
        <w:trPr>
          <w:cantSplit/>
        </w:trPr>
        <w:tc>
          <w:tcPr>
            <w:tcW w:w="2126" w:type="dxa"/>
            <w:tcBorders>
              <w:top w:val="nil"/>
              <w:left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$2.31/km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$3.41/km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keepNext/>
            </w:pPr>
          </w:p>
        </w:tc>
        <w:tc>
          <w:tcPr>
            <w:tcW w:w="2977" w:type="dxa"/>
            <w:tcBorders>
              <w:top w:val="single" w:sz="4" w:space="0" w:color="auto"/>
              <w:left w:val="nil"/>
              <w:bottom w:val="single" w:sz="4" w:space="0" w:color="auto"/>
            </w:tcBorders>
          </w:tcPr>
          <w:p>
            <w:pPr>
              <w:pStyle w:val="yTableNAm"/>
              <w:keepNext/>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$1.25/km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$1.90/km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clear" w:pos="567"/>
                <w:tab w:val="left" w:pos="317"/>
              </w:tabs>
              <w:ind w:left="317" w:hanging="317"/>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1 inserted: Gazette 23 Dec 2014 p. 4898-9; amended: Gazette 28 Jun 2016 p. 2671.]</w:t>
      </w:r>
    </w:p>
    <w:p>
      <w:pPr>
        <w:pStyle w:val="yHeading3"/>
      </w:pPr>
      <w:bookmarkStart w:id="24" w:name="_Toc12442302"/>
      <w:bookmarkStart w:id="25" w:name="_Toc12449494"/>
      <w:bookmarkStart w:id="26" w:name="_Toc12868482"/>
      <w:r>
        <w:rPr>
          <w:rStyle w:val="CharSDivNo"/>
        </w:rPr>
        <w:t>Division 2</w:t>
      </w:r>
      <w:r>
        <w:t> — </w:t>
      </w:r>
      <w:r>
        <w:rPr>
          <w:rStyle w:val="CharSDivText"/>
        </w:rPr>
        <w:t>Goldfields</w:t>
      </w:r>
      <w:r>
        <w:rPr>
          <w:rStyle w:val="CharSDivText"/>
        </w:rPr>
        <w:noBreakHyphen/>
        <w:t>Esperance region</w:t>
      </w:r>
      <w:bookmarkEnd w:id="24"/>
      <w:bookmarkEnd w:id="25"/>
      <w:bookmarkEnd w:id="26"/>
    </w:p>
    <w:p>
      <w:pPr>
        <w:pStyle w:val="yFootnoteheading"/>
      </w:pPr>
      <w:r>
        <w:tab/>
        <w:t>[Heading inserted: Gazette 23 Dec 2014 p. 4899.]</w:t>
      </w:r>
    </w:p>
    <w:p>
      <w:pPr>
        <w:pStyle w:val="yTHeadingNAm"/>
      </w:pPr>
      <w:r>
        <w:t xml:space="preserve">Metered rates </w:t>
      </w:r>
      <w:r>
        <w:rPr>
          <w:szCs w:val="22"/>
        </w:rPr>
        <w:t>(maximums)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$1.80/km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$1.80/km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$2.56/km</w:t>
            </w:r>
          </w:p>
        </w:tc>
        <w:tc>
          <w:tcPr>
            <w:tcW w:w="1426" w:type="dxa"/>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t>$1.15/km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$1.66/km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blHeader/>
        </w:trPr>
        <w:tc>
          <w:tcPr>
            <w:tcW w:w="4820" w:type="dxa"/>
            <w:tcBorders>
              <w:top w:val="nil"/>
            </w:tcBorders>
          </w:tcPr>
          <w:p>
            <w:pPr>
              <w:pStyle w:val="yTableNAm"/>
              <w:keepNext/>
              <w:rPr>
                <w:b/>
              </w:rPr>
            </w:pPr>
            <w:r>
              <w:rPr>
                <w:b/>
              </w:rPr>
              <w:t>Surcharges</w:t>
            </w:r>
          </w:p>
        </w:tc>
        <w:tc>
          <w:tcPr>
            <w:tcW w:w="1417" w:type="dxa"/>
            <w:tcBorders>
              <w:top w:val="nil"/>
            </w:tcBorders>
          </w:tcPr>
          <w:p>
            <w:pPr>
              <w:pStyle w:val="yTableNAm"/>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2 inserted: Gazette 23 Dec 2014 p. 4899-901; amended: Gazette 28 Jun 2016 p. 2671.]</w:t>
      </w:r>
    </w:p>
    <w:p>
      <w:pPr>
        <w:pStyle w:val="yHeading3"/>
      </w:pPr>
      <w:bookmarkStart w:id="27" w:name="_Toc12442303"/>
      <w:bookmarkStart w:id="28" w:name="_Toc12449495"/>
      <w:bookmarkStart w:id="29" w:name="_Toc12868483"/>
      <w:r>
        <w:rPr>
          <w:rStyle w:val="CharSDivNo"/>
        </w:rPr>
        <w:t>Division 3 </w:t>
      </w:r>
      <w:r>
        <w:t>— </w:t>
      </w:r>
      <w:r>
        <w:rPr>
          <w:rStyle w:val="CharSDivText"/>
        </w:rPr>
        <w:t>Great Southern region</w:t>
      </w:r>
      <w:bookmarkEnd w:id="27"/>
      <w:bookmarkEnd w:id="28"/>
      <w:bookmarkEnd w:id="29"/>
    </w:p>
    <w:p>
      <w:pPr>
        <w:pStyle w:val="yFootnoteheading"/>
        <w:keepNext/>
      </w:pPr>
      <w:r>
        <w:tab/>
        <w:t>[Heading inserted: Gazette 23 Dec 2014 p. 4901.]</w:t>
      </w:r>
    </w:p>
    <w:p>
      <w:pPr>
        <w:pStyle w:val="yTHeadingNAm"/>
      </w:pPr>
      <w:r>
        <w:t xml:space="preserve">Metered rates </w:t>
      </w:r>
      <w:r>
        <w:rPr>
          <w:szCs w:val="22"/>
        </w:rPr>
        <w:t>(maximums)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keepNext/>
            </w:pPr>
          </w:p>
        </w:tc>
        <w:tc>
          <w:tcPr>
            <w:tcW w:w="1134" w:type="dxa"/>
            <w:tcBorders>
              <w:top w:val="single" w:sz="4" w:space="0" w:color="auto"/>
              <w:left w:val="nil"/>
              <w:bottom w:val="single" w:sz="4" w:space="0" w:color="auto"/>
            </w:tcBorders>
          </w:tcPr>
          <w:p>
            <w:pPr>
              <w:pStyle w:val="yTableNAm"/>
              <w:keepNext/>
              <w:rPr>
                <w:b/>
                <w:bCs/>
              </w:rPr>
            </w:pPr>
            <w:r>
              <w:rPr>
                <w:b/>
                <w:bCs/>
              </w:rPr>
              <w:t>Flagfall</w:t>
            </w:r>
          </w:p>
        </w:tc>
        <w:tc>
          <w:tcPr>
            <w:tcW w:w="1551" w:type="dxa"/>
            <w:tcBorders>
              <w:top w:val="single" w:sz="4" w:space="0" w:color="auto"/>
              <w:bottom w:val="single" w:sz="4" w:space="0" w:color="auto"/>
            </w:tcBorders>
          </w:tcPr>
          <w:p>
            <w:pPr>
              <w:pStyle w:val="yTableNAm"/>
              <w:keepNext/>
              <w:rPr>
                <w:b/>
                <w:bCs/>
              </w:rPr>
            </w:pPr>
            <w:r>
              <w:rPr>
                <w:b/>
                <w:bCs/>
              </w:rPr>
              <w:t>Distance rate</w:t>
            </w:r>
          </w:p>
        </w:tc>
        <w:tc>
          <w:tcPr>
            <w:tcW w:w="1426" w:type="dxa"/>
            <w:tcBorders>
              <w:top w:val="single" w:sz="4" w:space="0" w:color="auto"/>
              <w:bottom w:val="single" w:sz="4" w:space="0" w:color="auto"/>
            </w:tcBorders>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51" w:type="dxa"/>
            <w:tcBorders>
              <w:top w:val="single" w:sz="4" w:space="0" w:color="auto"/>
            </w:tcBorders>
          </w:tcPr>
          <w:p>
            <w:pPr>
              <w:pStyle w:val="yTableNAm"/>
            </w:pPr>
          </w:p>
          <w:p>
            <w:pPr>
              <w:pStyle w:val="yTableNAm"/>
            </w:pPr>
            <w:r>
              <w:br/>
            </w:r>
            <w:r>
              <w:rPr>
                <w:szCs w:val="22"/>
              </w:rPr>
              <w:t>$1.75/km</w:t>
            </w:r>
          </w:p>
        </w:tc>
        <w:tc>
          <w:tcPr>
            <w:tcW w:w="1426"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ind w:left="176" w:hanging="176"/>
            </w:pPr>
            <w:r>
              <w:tab/>
              <w:t>Monday to Friday 6 pm to 6 am</w:t>
            </w:r>
          </w:p>
        </w:tc>
        <w:tc>
          <w:tcPr>
            <w:tcW w:w="1134" w:type="dxa"/>
            <w:tcBorders>
              <w:left w:val="nil"/>
            </w:tcBorders>
          </w:tcPr>
          <w:p>
            <w:pPr>
              <w:pStyle w:val="yTableNAm"/>
            </w:pPr>
          </w:p>
          <w:p>
            <w:pPr>
              <w:pStyle w:val="yTableNAm"/>
            </w:pPr>
            <w:r>
              <w:br/>
            </w:r>
          </w:p>
        </w:tc>
        <w:tc>
          <w:tcPr>
            <w:tcW w:w="1551" w:type="dxa"/>
          </w:tcPr>
          <w:p>
            <w:pPr>
              <w:pStyle w:val="yTableNAm"/>
            </w:pPr>
          </w:p>
          <w:p>
            <w:pPr>
              <w:pStyle w:val="yTableNAm"/>
            </w:pPr>
            <w:r>
              <w:br/>
            </w:r>
          </w:p>
        </w:tc>
        <w:tc>
          <w:tcPr>
            <w:tcW w:w="1426"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All day Public Holidays</w:t>
            </w:r>
          </w:p>
        </w:tc>
        <w:tc>
          <w:tcPr>
            <w:tcW w:w="1134" w:type="dxa"/>
            <w:tcBorders>
              <w:left w:val="nil"/>
            </w:tcBorders>
          </w:tcPr>
          <w:p>
            <w:pPr>
              <w:pStyle w:val="yTableNAm"/>
            </w:pPr>
            <w:r>
              <w:br/>
            </w:r>
            <w:r>
              <w:rPr>
                <w:szCs w:val="22"/>
              </w:rPr>
              <w:t>$6.10</w:t>
            </w:r>
          </w:p>
        </w:tc>
        <w:tc>
          <w:tcPr>
            <w:tcW w:w="1551" w:type="dxa"/>
          </w:tcPr>
          <w:p>
            <w:pPr>
              <w:pStyle w:val="yTableNAm"/>
            </w:pPr>
            <w:r>
              <w:br/>
            </w:r>
            <w:r>
              <w:rPr>
                <w:szCs w:val="22"/>
              </w:rPr>
              <w:t>$1.75/km</w:t>
            </w:r>
          </w:p>
        </w:tc>
        <w:tc>
          <w:tcPr>
            <w:tcW w:w="1426" w:type="dxa"/>
          </w:tcPr>
          <w:p>
            <w:pPr>
              <w:pStyle w:val="yTableNAm"/>
            </w:pPr>
            <w:r>
              <w:br/>
            </w:r>
            <w:r>
              <w:rPr>
                <w:szCs w:val="22"/>
              </w:rP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Borders>
              <w:bottom w:val="single" w:sz="4" w:space="0" w:color="auto"/>
            </w:tcBorders>
          </w:tcPr>
          <w:p>
            <w:pPr>
              <w:pStyle w:val="yTableNAm"/>
            </w:pPr>
          </w:p>
          <w:p>
            <w:pPr>
              <w:pStyle w:val="yTableNAm"/>
            </w:pPr>
            <w:r>
              <w:br/>
            </w:r>
            <w:r>
              <w:rPr>
                <w:szCs w:val="22"/>
              </w:rPr>
              <w:t>$2.60/km</w:t>
            </w:r>
          </w:p>
        </w:tc>
        <w:tc>
          <w:tcPr>
            <w:tcW w:w="1426" w:type="dxa"/>
            <w:tcBorders>
              <w:bottom w:val="single" w:sz="4" w:space="0" w:color="auto"/>
            </w:tcBorders>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$1.05/km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$1.60/km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keepNext/>
              <w:rPr>
                <w:b/>
              </w:rPr>
            </w:pPr>
            <w:r>
              <w:rPr>
                <w:b/>
              </w:rPr>
              <w:t>Call out fee</w:t>
            </w:r>
          </w:p>
        </w:tc>
        <w:tc>
          <w:tcPr>
            <w:tcW w:w="1417" w:type="dxa"/>
          </w:tcPr>
          <w:p>
            <w:pPr>
              <w:pStyle w:val="yTableNAm"/>
              <w:keepNext/>
            </w:pPr>
            <w:r>
              <w:t>$1.50</w:t>
            </w:r>
          </w:p>
        </w:tc>
      </w:tr>
      <w:tr>
        <w:trPr>
          <w:cantSplit/>
          <w:tblHeader/>
        </w:trPr>
        <w:tc>
          <w:tcPr>
            <w:tcW w:w="4820" w:type="dxa"/>
          </w:tcPr>
          <w:p>
            <w:pPr>
              <w:pStyle w:val="yTableNAm"/>
              <w:keepNext/>
              <w:rPr>
                <w:b/>
              </w:rPr>
            </w:pPr>
            <w:r>
              <w:rPr>
                <w:b/>
              </w:rPr>
              <w:t>Surcharges</w:t>
            </w:r>
          </w:p>
        </w:tc>
        <w:tc>
          <w:tcPr>
            <w:tcW w:w="1417" w:type="dxa"/>
          </w:tcPr>
          <w:p>
            <w:pPr>
              <w:pStyle w:val="yTableNAm"/>
              <w:keepNext/>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keepNext/>
            </w:pPr>
            <w:r>
              <w:t>New Year’s Eve —</w:t>
            </w:r>
          </w:p>
          <w:p>
            <w:pPr>
              <w:pStyle w:val="yTableNAm"/>
              <w:keepNext/>
              <w:tabs>
                <w:tab w:val="clear" w:pos="567"/>
                <w:tab w:val="left" w:pos="176"/>
              </w:tabs>
              <w:ind w:left="176" w:hanging="176"/>
            </w:pPr>
            <w:r>
              <w:tab/>
              <w:t>6 pm New Year’s Eve to 6 am New Year’s Day</w:t>
            </w:r>
          </w:p>
        </w:tc>
        <w:tc>
          <w:tcPr>
            <w:tcW w:w="1417" w:type="dxa"/>
          </w:tcPr>
          <w:p>
            <w:pPr>
              <w:pStyle w:val="yTableNAm"/>
              <w:keepNext/>
            </w:pPr>
          </w:p>
          <w:p>
            <w:pPr>
              <w:pStyle w:val="yTableNAm"/>
              <w:keepNext/>
            </w:pPr>
            <w:r>
              <w:rPr>
                <w:szCs w:val="22"/>
              </w:rPr>
              <w:t>$5.70</w:t>
            </w:r>
          </w:p>
        </w:tc>
      </w:tr>
    </w:tbl>
    <w:p>
      <w:pPr>
        <w:pStyle w:val="yFootnotesection"/>
      </w:pPr>
      <w:r>
        <w:tab/>
        <w:t>[Division 3 inserted: Gazette 23 Dec 2014 p. 4901-2; amended: Gazette 28 Jun 2016 p. 2671.]</w:t>
      </w:r>
    </w:p>
    <w:p>
      <w:pPr>
        <w:pStyle w:val="yHeading3"/>
      </w:pPr>
      <w:bookmarkStart w:id="30" w:name="_Toc12442304"/>
      <w:bookmarkStart w:id="31" w:name="_Toc12449496"/>
      <w:bookmarkStart w:id="32" w:name="_Toc12868484"/>
      <w:r>
        <w:rPr>
          <w:rStyle w:val="CharSDivNo"/>
        </w:rPr>
        <w:t>Division 4</w:t>
      </w:r>
      <w:r>
        <w:t> — </w:t>
      </w:r>
      <w:r>
        <w:rPr>
          <w:rStyle w:val="CharSDivText"/>
        </w:rPr>
        <w:t>Kimberley region</w:t>
      </w:r>
      <w:bookmarkEnd w:id="30"/>
      <w:bookmarkEnd w:id="31"/>
      <w:bookmarkEnd w:id="32"/>
    </w:p>
    <w:p>
      <w:pPr>
        <w:pStyle w:val="yFootnoteheading"/>
        <w:keepNext/>
      </w:pPr>
      <w:r>
        <w:tab/>
        <w:t>[Heading inserted: Gazette 23 Dec 2014 p. 4902.]</w:t>
      </w:r>
    </w:p>
    <w:p>
      <w:pPr>
        <w:pStyle w:val="yTHeadingNAm"/>
      </w:pPr>
      <w:r>
        <w:t xml:space="preserve">Metered rates </w:t>
      </w:r>
      <w:r>
        <w:rPr>
          <w:szCs w:val="22"/>
        </w:rPr>
        <w:t>(maximums)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tcPr>
          <w:p>
            <w:pPr>
              <w:pStyle w:val="yTableNAm"/>
              <w:keepNext/>
            </w:pPr>
          </w:p>
        </w:tc>
        <w:tc>
          <w:tcPr>
            <w:tcW w:w="1134" w:type="dxa"/>
            <w:tcBorders>
              <w:top w:val="single" w:sz="4" w:space="0" w:color="auto"/>
              <w:left w:val="nil"/>
              <w:bottom w:val="single" w:sz="4" w:space="0" w:color="auto"/>
            </w:tcBorders>
          </w:tcPr>
          <w:p>
            <w:pPr>
              <w:pStyle w:val="yTableNAm"/>
              <w:keepNext/>
              <w:rPr>
                <w:b/>
                <w:bCs/>
              </w:rPr>
            </w:pPr>
            <w:r>
              <w:rPr>
                <w:b/>
                <w:bCs/>
              </w:rPr>
              <w:t>Flagfall</w:t>
            </w:r>
          </w:p>
        </w:tc>
        <w:tc>
          <w:tcPr>
            <w:tcW w:w="1560" w:type="dxa"/>
            <w:tcBorders>
              <w:top w:val="single" w:sz="4" w:space="0" w:color="auto"/>
              <w:bottom w:val="single" w:sz="4" w:space="0" w:color="auto"/>
            </w:tcBorders>
          </w:tcPr>
          <w:p>
            <w:pPr>
              <w:pStyle w:val="yTableNAm"/>
              <w:keepNext/>
              <w:rPr>
                <w:b/>
                <w:bCs/>
              </w:rPr>
            </w:pPr>
            <w:r>
              <w:rPr>
                <w:b/>
                <w:bCs/>
              </w:rPr>
              <w:t>Distance rate</w:t>
            </w:r>
          </w:p>
        </w:tc>
        <w:tc>
          <w:tcPr>
            <w:tcW w:w="1559" w:type="dxa"/>
            <w:tcBorders>
              <w:top w:val="single" w:sz="4" w:space="0" w:color="auto"/>
              <w:bottom w:val="single" w:sz="4" w:space="0" w:color="auto"/>
            </w:tcBorders>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60" w:type="dxa"/>
            <w:tcBorders>
              <w:top w:val="single" w:sz="4" w:space="0" w:color="auto"/>
            </w:tcBorders>
          </w:tcPr>
          <w:p>
            <w:pPr>
              <w:pStyle w:val="yTableNAm"/>
            </w:pPr>
          </w:p>
          <w:p>
            <w:pPr>
              <w:pStyle w:val="yTableNAm"/>
            </w:pPr>
            <w:r>
              <w:br/>
            </w:r>
            <w:r>
              <w:rPr>
                <w:szCs w:val="22"/>
              </w:rPr>
              <w:t>$2.27/km</w:t>
            </w:r>
          </w:p>
        </w:tc>
        <w:tc>
          <w:tcPr>
            <w:tcW w:w="1559"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ind w:left="176" w:hanging="176"/>
            </w:pPr>
            <w:r>
              <w:tab/>
              <w:t>Monday to Friday 6 pm to 6 am</w:t>
            </w:r>
          </w:p>
        </w:tc>
        <w:tc>
          <w:tcPr>
            <w:tcW w:w="1134" w:type="dxa"/>
            <w:tcBorders>
              <w:left w:val="nil"/>
            </w:tcBorders>
          </w:tcPr>
          <w:p>
            <w:pPr>
              <w:pStyle w:val="yTableNAm"/>
            </w:pPr>
          </w:p>
          <w:p>
            <w:pPr>
              <w:pStyle w:val="yTableNAm"/>
            </w:pPr>
            <w:r>
              <w:br/>
            </w:r>
          </w:p>
        </w:tc>
        <w:tc>
          <w:tcPr>
            <w:tcW w:w="1560" w:type="dxa"/>
          </w:tcPr>
          <w:p>
            <w:pPr>
              <w:pStyle w:val="yTableNAm"/>
            </w:pPr>
          </w:p>
          <w:p>
            <w:pPr>
              <w:pStyle w:val="yTableNAm"/>
            </w:pPr>
            <w:r>
              <w:br/>
            </w:r>
          </w:p>
        </w:tc>
        <w:tc>
          <w:tcPr>
            <w:tcW w:w="1559"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left w:val="nil"/>
            </w:tcBorders>
          </w:tcPr>
          <w:p>
            <w:pPr>
              <w:pStyle w:val="yTableNAm"/>
            </w:pPr>
          </w:p>
        </w:tc>
        <w:tc>
          <w:tcPr>
            <w:tcW w:w="1560" w:type="dxa"/>
          </w:tcPr>
          <w:p>
            <w:pPr>
              <w:pStyle w:val="yTableNAm"/>
            </w:pPr>
          </w:p>
        </w:tc>
        <w:tc>
          <w:tcPr>
            <w:tcW w:w="1559" w:type="dxa"/>
          </w:tcPr>
          <w:p>
            <w:pPr>
              <w:pStyle w:val="yTableNAm"/>
            </w:pP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All day Public Holidays</w:t>
            </w:r>
          </w:p>
        </w:tc>
        <w:tc>
          <w:tcPr>
            <w:tcW w:w="1134" w:type="dxa"/>
            <w:tcBorders>
              <w:left w:val="nil"/>
            </w:tcBorders>
          </w:tcPr>
          <w:p>
            <w:pPr>
              <w:pStyle w:val="yTableNAm"/>
            </w:pPr>
            <w:r>
              <w:br/>
            </w:r>
            <w:r>
              <w:rPr>
                <w:szCs w:val="22"/>
              </w:rPr>
              <w:t>$6.10</w:t>
            </w:r>
          </w:p>
        </w:tc>
        <w:tc>
          <w:tcPr>
            <w:tcW w:w="1560" w:type="dxa"/>
          </w:tcPr>
          <w:p>
            <w:pPr>
              <w:pStyle w:val="yTableNAm"/>
            </w:pPr>
            <w:r>
              <w:br/>
            </w:r>
            <w:r>
              <w:rPr>
                <w:szCs w:val="22"/>
              </w:rPr>
              <w:t>$2.27/km</w:t>
            </w:r>
          </w:p>
        </w:tc>
        <w:tc>
          <w:tcPr>
            <w:tcW w:w="1559" w:type="dxa"/>
          </w:tcPr>
          <w:p>
            <w:pPr>
              <w:pStyle w:val="yTableNAm"/>
            </w:pPr>
            <w:r>
              <w:br/>
            </w:r>
            <w:r>
              <w:rPr>
                <w:szCs w:val="22"/>
              </w:rP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60" w:type="dxa"/>
            <w:tcBorders>
              <w:bottom w:val="single" w:sz="4" w:space="0" w:color="auto"/>
            </w:tcBorders>
          </w:tcPr>
          <w:p>
            <w:pPr>
              <w:pStyle w:val="yTableNAm"/>
            </w:pPr>
          </w:p>
          <w:p>
            <w:pPr>
              <w:pStyle w:val="yTableNAm"/>
            </w:pPr>
            <w:r>
              <w:br/>
            </w:r>
            <w:r>
              <w:rPr>
                <w:szCs w:val="22"/>
              </w:rPr>
              <w:t>$3.35/km</w:t>
            </w:r>
          </w:p>
        </w:tc>
        <w:tc>
          <w:tcPr>
            <w:tcW w:w="1559" w:type="dxa"/>
            <w:tcBorders>
              <w:bottom w:val="single" w:sz="4" w:space="0" w:color="auto"/>
            </w:tcBorders>
          </w:tcPr>
          <w:p>
            <w:pPr>
              <w:pStyle w:val="yTableNAm"/>
            </w:pPr>
          </w:p>
          <w:p>
            <w:pPr>
              <w:pStyle w:val="yTableNAm"/>
              <w:tabs>
                <w:tab w:val="clear" w:pos="567"/>
                <w:tab w:val="left" w:pos="176"/>
              </w:tabs>
              <w:ind w:left="176" w:hanging="176"/>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$1.26/km</w:t>
            </w:r>
          </w:p>
        </w:tc>
      </w:tr>
      <w:tr>
        <w:trPr>
          <w:cantSplit/>
        </w:trPr>
        <w:tc>
          <w:tcPr>
            <w:tcW w:w="3260" w:type="dxa"/>
            <w:tcBorders>
              <w:bottom w:val="single" w:sz="4" w:space="0" w:color="auto"/>
              <w:right w:val="single" w:sz="4" w:space="0" w:color="auto"/>
            </w:tcBorders>
          </w:tcPr>
          <w:p>
            <w:pPr>
              <w:pStyle w:val="yTableNAm"/>
            </w:pPr>
            <w:r>
              <w:t>When carrying 5 or more passengers</w:t>
            </w:r>
          </w:p>
        </w:tc>
        <w:tc>
          <w:tcPr>
            <w:tcW w:w="2977" w:type="dxa"/>
            <w:tcBorders>
              <w:left w:val="nil"/>
              <w:bottom w:val="single" w:sz="4" w:space="0" w:color="auto"/>
            </w:tcBorders>
          </w:tcPr>
          <w:p>
            <w:pPr>
              <w:pStyle w:val="yTableNAm"/>
            </w:pPr>
            <w:r>
              <w:br/>
            </w:r>
            <w:r>
              <w:rPr>
                <w:szCs w:val="22"/>
              </w:rPr>
              <w:t>$1.92/km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rPr>
        <w:tc>
          <w:tcPr>
            <w:tcW w:w="4820" w:type="dxa"/>
            <w:tcBorders>
              <w:top w:val="nil"/>
              <w:bottom w:val="nil"/>
            </w:tcBorders>
          </w:tcPr>
          <w:p>
            <w:pPr>
              <w:pStyle w:val="yTableNAm"/>
              <w:rPr>
                <w:b/>
              </w:rPr>
            </w:pPr>
            <w:r>
              <w:rPr>
                <w:b/>
              </w:rPr>
              <w:t>Airport fee</w:t>
            </w:r>
          </w:p>
        </w:tc>
        <w:tc>
          <w:tcPr>
            <w:tcW w:w="1417" w:type="dxa"/>
            <w:tcBorders>
              <w:top w:val="nil"/>
              <w:bottom w:val="nil"/>
            </w:tcBorders>
          </w:tcPr>
          <w:p>
            <w:pPr>
              <w:pStyle w:val="yTableNAm"/>
            </w:pPr>
          </w:p>
        </w:tc>
      </w:tr>
      <w:tr>
        <w:trPr>
          <w:cantSplit/>
        </w:trPr>
        <w:tc>
          <w:tcPr>
            <w:tcW w:w="4820" w:type="dxa"/>
            <w:tcBorders>
              <w:top w:val="nil"/>
              <w:bottom w:val="nil"/>
            </w:tcBorders>
          </w:tcPr>
          <w:p>
            <w:pPr>
              <w:pStyle w:val="yTableNAm"/>
              <w:keepNext/>
              <w:keepLines/>
              <w:tabs>
                <w:tab w:val="clear" w:pos="567"/>
                <w:tab w:val="left" w:pos="176"/>
              </w:tabs>
              <w:ind w:left="176" w:hanging="176"/>
            </w:pPr>
            <w:r>
              <w:tab/>
              <w:t>(for a journey starting at the terminal at the Broome International Airport)</w:t>
            </w:r>
          </w:p>
        </w:tc>
        <w:tc>
          <w:tcPr>
            <w:tcW w:w="1417" w:type="dxa"/>
            <w:tcBorders>
              <w:top w:val="nil"/>
              <w:bottom w:val="nil"/>
            </w:tcBorders>
          </w:tcPr>
          <w:p>
            <w:pPr>
              <w:pStyle w:val="yTableNAm"/>
            </w:pPr>
            <w:r>
              <w:br/>
              <w:t>$2.50</w:t>
            </w:r>
          </w:p>
        </w:tc>
      </w:tr>
      <w:tr>
        <w:trPr>
          <w:cantSplit/>
          <w:tblHeader/>
        </w:trPr>
        <w:tc>
          <w:tcPr>
            <w:tcW w:w="4820" w:type="dxa"/>
            <w:tcBorders>
              <w:top w:val="nil"/>
            </w:tcBorders>
          </w:tcPr>
          <w:p>
            <w:pPr>
              <w:pStyle w:val="yTableNAm"/>
              <w:keepNext/>
              <w:keepLines/>
              <w:rPr>
                <w:b/>
              </w:rPr>
            </w:pPr>
            <w:r>
              <w:rPr>
                <w:b/>
              </w:rPr>
              <w:t>Surcharges</w:t>
            </w:r>
          </w:p>
        </w:tc>
        <w:tc>
          <w:tcPr>
            <w:tcW w:w="1417" w:type="dxa"/>
            <w:tcBorders>
              <w:top w:val="nil"/>
            </w:tcBorders>
          </w:tcPr>
          <w:p>
            <w:pPr>
              <w:pStyle w:val="yTableNAm"/>
              <w:keepNext/>
              <w:keepLines/>
            </w:pPr>
          </w:p>
        </w:tc>
      </w:tr>
      <w:tr>
        <w:trPr>
          <w:cantSplit/>
        </w:trPr>
        <w:tc>
          <w:tcPr>
            <w:tcW w:w="4820" w:type="dxa"/>
          </w:tcPr>
          <w:p>
            <w:pPr>
              <w:pStyle w:val="yTableNAm"/>
              <w:keepNext/>
              <w:keepLines/>
            </w:pPr>
            <w:r>
              <w:t>Ultra</w:t>
            </w:r>
            <w:r>
              <w:noBreakHyphen/>
              <w:t>Peak —</w:t>
            </w:r>
          </w:p>
          <w:p>
            <w:pPr>
              <w:pStyle w:val="yTableNAm"/>
              <w:keepNext/>
              <w:keepLines/>
              <w:tabs>
                <w:tab w:val="clear" w:pos="567"/>
                <w:tab w:val="left" w:pos="176"/>
              </w:tabs>
              <w:ind w:left="176" w:hanging="176"/>
            </w:pPr>
            <w:r>
              <w:tab/>
              <w:t>Between midnight Friday to 5 am Saturday or midnight Saturday to 5 am Sunday</w:t>
            </w:r>
          </w:p>
        </w:tc>
        <w:tc>
          <w:tcPr>
            <w:tcW w:w="1417" w:type="dxa"/>
          </w:tcPr>
          <w:p>
            <w:pPr>
              <w:pStyle w:val="yTableNAm"/>
              <w:keepNext/>
              <w:keepLines/>
            </w:pPr>
          </w:p>
          <w:p>
            <w:pPr>
              <w:pStyle w:val="yTableNAm"/>
              <w:keepNext/>
              <w:keepLines/>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 w:val="left" w:pos="176"/>
              </w:tabs>
              <w:ind w:left="176" w:hanging="176"/>
            </w:pPr>
            <w:r>
              <w:tab/>
              <w:t>6 pm New Year’s Eve to 6 am New Year’s Day</w:t>
            </w:r>
          </w:p>
        </w:tc>
        <w:tc>
          <w:tcPr>
            <w:tcW w:w="1417" w:type="dxa"/>
            <w:tcBorders>
              <w:bottom w:val="single" w:sz="4" w:space="0" w:color="auto"/>
            </w:tcBorders>
          </w:tcPr>
          <w:p>
            <w:pPr>
              <w:pStyle w:val="yTableNAm"/>
            </w:pPr>
          </w:p>
          <w:p>
            <w:pPr>
              <w:pStyle w:val="yTableNAm"/>
            </w:pPr>
            <w:r>
              <w:rPr>
                <w:szCs w:val="22"/>
              </w:rPr>
              <w:t>$5.70</w:t>
            </w:r>
          </w:p>
        </w:tc>
      </w:tr>
    </w:tbl>
    <w:p>
      <w:pPr>
        <w:pStyle w:val="yFootnotesection"/>
      </w:pPr>
      <w:r>
        <w:tab/>
        <w:t>[Division 4 inserted: Gazette 23 Dec 2014 p. 4902-4; amended: Gazette 28 Jun 2016 p. 2671; 21 Aug 2018 p. 2943.]</w:t>
      </w:r>
    </w:p>
    <w:p>
      <w:pPr>
        <w:pStyle w:val="yHeading3"/>
      </w:pPr>
      <w:bookmarkStart w:id="33" w:name="_Toc12442305"/>
      <w:bookmarkStart w:id="34" w:name="_Toc12449497"/>
      <w:bookmarkStart w:id="35" w:name="_Toc12868485"/>
      <w:r>
        <w:rPr>
          <w:rStyle w:val="CharSDivNo"/>
        </w:rPr>
        <w:t>Division 5</w:t>
      </w:r>
      <w:r>
        <w:t> — </w:t>
      </w:r>
      <w:r>
        <w:rPr>
          <w:rStyle w:val="CharSDivText"/>
        </w:rPr>
        <w:t>Mid West region</w:t>
      </w:r>
      <w:bookmarkEnd w:id="33"/>
      <w:bookmarkEnd w:id="34"/>
      <w:bookmarkEnd w:id="35"/>
    </w:p>
    <w:p>
      <w:pPr>
        <w:pStyle w:val="yFootnoteheading"/>
      </w:pPr>
      <w:r>
        <w:tab/>
        <w:t>[Heading inserted: Gazette 23 Dec 2014 p. 4904.]</w:t>
      </w:r>
    </w:p>
    <w:p>
      <w:pPr>
        <w:pStyle w:val="yTHeadingNAm"/>
      </w:pPr>
      <w:r>
        <w:t xml:space="preserve">Metered rates </w:t>
      </w:r>
      <w:r>
        <w:rPr>
          <w:szCs w:val="22"/>
        </w:rPr>
        <w:t>(maximums)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p>
        </w:tc>
        <w:tc>
          <w:tcPr>
            <w:tcW w:w="1134" w:type="dxa"/>
            <w:tcBorders>
              <w:top w:val="single" w:sz="4" w:space="0" w:color="auto"/>
              <w:left w:val="nil"/>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$4.30</w:t>
            </w:r>
          </w:p>
        </w:tc>
        <w:tc>
          <w:tcPr>
            <w:tcW w:w="1551" w:type="dxa"/>
            <w:tcBorders>
              <w:top w:val="single" w:sz="4" w:space="0" w:color="auto"/>
            </w:tcBorders>
          </w:tcPr>
          <w:p>
            <w:pPr>
              <w:pStyle w:val="yTableNAm"/>
            </w:pPr>
          </w:p>
          <w:p>
            <w:pPr>
              <w:pStyle w:val="yTableNAm"/>
            </w:pPr>
            <w:r>
              <w:br/>
            </w:r>
            <w:r>
              <w:rPr>
                <w:szCs w:val="22"/>
              </w:rPr>
              <w:t>$1.76/km</w:t>
            </w:r>
          </w:p>
        </w:tc>
        <w:tc>
          <w:tcPr>
            <w:tcW w:w="1426" w:type="dxa"/>
            <w:tcBorders>
              <w:top w:val="single" w:sz="4" w:space="0" w:color="auto"/>
            </w:tcBorders>
          </w:tcPr>
          <w:p>
            <w:pPr>
              <w:pStyle w:val="yTableNAm"/>
            </w:pPr>
          </w:p>
          <w:p>
            <w:pPr>
              <w:pStyle w:val="yTableNAm"/>
            </w:pPr>
            <w:r>
              <w:br/>
            </w:r>
            <w:r>
              <w:rPr>
                <w:szCs w:val="22"/>
              </w:rPr>
              <w:t>$49.50/hour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left w:val="nil"/>
            </w:tcBorders>
          </w:tcPr>
          <w:p>
            <w:pPr>
              <w:pStyle w:val="yTableNAm"/>
            </w:pPr>
          </w:p>
          <w:p>
            <w:pPr>
              <w:pStyle w:val="yTableNAm"/>
            </w:pPr>
            <w:r>
              <w:br/>
            </w:r>
          </w:p>
        </w:tc>
        <w:tc>
          <w:tcPr>
            <w:tcW w:w="1551" w:type="dxa"/>
          </w:tcPr>
          <w:p>
            <w:pPr>
              <w:pStyle w:val="yTableNAm"/>
            </w:pPr>
          </w:p>
          <w:p>
            <w:pPr>
              <w:pStyle w:val="yTableNAm"/>
            </w:pPr>
            <w:r>
              <w:br/>
            </w:r>
          </w:p>
        </w:tc>
        <w:tc>
          <w:tcPr>
            <w:tcW w:w="1426"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pPr>
            <w:r>
              <w:tab/>
              <w:t>All day Public Holidays</w:t>
            </w:r>
          </w:p>
        </w:tc>
        <w:tc>
          <w:tcPr>
            <w:tcW w:w="1134" w:type="dxa"/>
            <w:tcBorders>
              <w:left w:val="nil"/>
            </w:tcBorders>
          </w:tcPr>
          <w:p>
            <w:pPr>
              <w:pStyle w:val="yTableNAm"/>
            </w:pPr>
            <w:r>
              <w:br/>
            </w:r>
            <w:r>
              <w:rPr>
                <w:szCs w:val="22"/>
              </w:rPr>
              <w:t>$6.20</w:t>
            </w:r>
          </w:p>
        </w:tc>
        <w:tc>
          <w:tcPr>
            <w:tcW w:w="1551" w:type="dxa"/>
          </w:tcPr>
          <w:p>
            <w:pPr>
              <w:pStyle w:val="yTableNAm"/>
            </w:pPr>
            <w:r>
              <w:br/>
            </w:r>
            <w:r>
              <w:rPr>
                <w:szCs w:val="22"/>
              </w:rPr>
              <w:t>$1.76/km</w:t>
            </w:r>
          </w:p>
        </w:tc>
        <w:tc>
          <w:tcPr>
            <w:tcW w:w="1426" w:type="dxa"/>
          </w:tcPr>
          <w:p>
            <w:pPr>
              <w:pStyle w:val="yTableNAm"/>
            </w:pPr>
            <w:r>
              <w:rPr>
                <w:szCs w:val="22"/>
              </w:rPr>
              <w:br/>
              <w:t>$49.50/hour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$6.20</w:t>
            </w:r>
          </w:p>
        </w:tc>
        <w:tc>
          <w:tcPr>
            <w:tcW w:w="1551" w:type="dxa"/>
            <w:tcBorders>
              <w:bottom w:val="single" w:sz="4" w:space="0" w:color="auto"/>
            </w:tcBorders>
          </w:tcPr>
          <w:p>
            <w:pPr>
              <w:pStyle w:val="yTableNAm"/>
            </w:pPr>
          </w:p>
          <w:p>
            <w:pPr>
              <w:pStyle w:val="yTableNAm"/>
            </w:pPr>
            <w:r>
              <w:br/>
            </w:r>
            <w:r>
              <w:rPr>
                <w:szCs w:val="22"/>
              </w:rPr>
              <w:t>$2.60/km</w:t>
            </w:r>
          </w:p>
        </w:tc>
        <w:tc>
          <w:tcPr>
            <w:tcW w:w="1426" w:type="dxa"/>
            <w:tcBorders>
              <w:bottom w:val="single" w:sz="4" w:space="0" w:color="auto"/>
            </w:tcBorders>
          </w:tcPr>
          <w:p>
            <w:pPr>
              <w:pStyle w:val="yTableNAm"/>
            </w:pPr>
          </w:p>
          <w:p>
            <w:pPr>
              <w:pStyle w:val="yTableNAm"/>
            </w:pPr>
            <w:r>
              <w:br/>
            </w:r>
            <w:r>
              <w:rPr>
                <w:szCs w:val="22"/>
              </w:rPr>
              <w:t>$76.60/hour</w:t>
            </w:r>
          </w:p>
        </w:tc>
      </w:tr>
    </w:tbl>
    <w:p>
      <w:pPr>
        <w:pStyle w:val="yTHeadingNAm"/>
      </w:pPr>
      <w:r>
        <w:t xml:space="preserve">Off meter rates </w:t>
      </w:r>
      <w:r>
        <w:rPr>
          <w:szCs w:val="22"/>
        </w:rPr>
        <w:t>(maximums)</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single" w:sz="4" w:space="0" w:color="auto"/>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top w:val="single" w:sz="4" w:space="0" w:color="auto"/>
              <w:right w:val="single" w:sz="4" w:space="0" w:color="auto"/>
            </w:tcBorders>
          </w:tcPr>
          <w:p>
            <w:pPr>
              <w:pStyle w:val="yTableNAm"/>
            </w:pPr>
            <w:r>
              <w:t>When carrying fewer than 5 passengers</w:t>
            </w:r>
          </w:p>
        </w:tc>
        <w:tc>
          <w:tcPr>
            <w:tcW w:w="2977" w:type="dxa"/>
            <w:tcBorders>
              <w:top w:val="single" w:sz="4" w:space="0" w:color="auto"/>
              <w:left w:val="single" w:sz="4" w:space="0" w:color="auto"/>
            </w:tcBorders>
          </w:tcPr>
          <w:p>
            <w:pPr>
              <w:pStyle w:val="yTableNAm"/>
            </w:pPr>
            <w:r>
              <w:br/>
            </w:r>
            <w:r>
              <w:rPr>
                <w:szCs w:val="22"/>
              </w:rPr>
              <w:t>$1.05/km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single" w:sz="4" w:space="0" w:color="auto"/>
              <w:bottom w:val="single" w:sz="4" w:space="0" w:color="auto"/>
            </w:tcBorders>
          </w:tcPr>
          <w:p>
            <w:pPr>
              <w:pStyle w:val="yTableNAm"/>
            </w:pPr>
            <w:r>
              <w:br/>
            </w:r>
            <w:r>
              <w:rPr>
                <w:szCs w:val="22"/>
              </w:rPr>
              <w:t>$1.60/km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keepNext/>
              <w:rPr>
                <w:b/>
              </w:rPr>
            </w:pPr>
            <w:r>
              <w:rPr>
                <w:b/>
              </w:rPr>
              <w:t>Call out fee</w:t>
            </w:r>
          </w:p>
        </w:tc>
        <w:tc>
          <w:tcPr>
            <w:tcW w:w="1417" w:type="dxa"/>
          </w:tcPr>
          <w:p>
            <w:pPr>
              <w:pStyle w:val="yTableNAm"/>
              <w:keepNext/>
            </w:pPr>
            <w:r>
              <w:t>$1.50</w:t>
            </w:r>
          </w:p>
        </w:tc>
      </w:tr>
      <w:tr>
        <w:trPr>
          <w:cantSplit/>
          <w:tblHeader/>
        </w:trPr>
        <w:tc>
          <w:tcPr>
            <w:tcW w:w="4820" w:type="dxa"/>
          </w:tcPr>
          <w:p>
            <w:pPr>
              <w:pStyle w:val="yTableNAm"/>
              <w:keepNext/>
              <w:rPr>
                <w:b/>
              </w:rPr>
            </w:pPr>
            <w:r>
              <w:rPr>
                <w:b/>
              </w:rPr>
              <w:t>Surcharges</w:t>
            </w:r>
          </w:p>
        </w:tc>
        <w:tc>
          <w:tcPr>
            <w:tcW w:w="1417" w:type="dxa"/>
          </w:tcPr>
          <w:p>
            <w:pPr>
              <w:pStyle w:val="yTableNAm"/>
              <w:keepNext/>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rPr>
                <w:kern w:val="28"/>
              </w:rPr>
            </w:pPr>
            <w:r>
              <w:t>Christmas Day —</w:t>
            </w:r>
          </w:p>
          <w:p>
            <w:pPr>
              <w:pStyle w:val="yTableNAm"/>
              <w:tabs>
                <w:tab w:val="clear" w:pos="567"/>
                <w:tab w:val="left" w:pos="176"/>
              </w:tabs>
              <w:ind w:left="176" w:hanging="176"/>
              <w:rPr>
                <w:kern w:val="28"/>
              </w:rPr>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keepNext/>
              <w:rPr>
                <w:kern w:val="28"/>
              </w:rPr>
            </w:pPr>
            <w:r>
              <w:t>New Year’s Eve —</w:t>
            </w:r>
          </w:p>
          <w:p>
            <w:pPr>
              <w:pStyle w:val="yTableNAm"/>
              <w:keepNext/>
              <w:tabs>
                <w:tab w:val="clear" w:pos="567"/>
                <w:tab w:val="left" w:pos="176"/>
              </w:tabs>
              <w:ind w:left="176" w:hanging="176"/>
              <w:rPr>
                <w:kern w:val="28"/>
              </w:rPr>
            </w:pPr>
            <w:r>
              <w:tab/>
              <w:t>6 pm New Year’s Eve to 6 am New Year’s Day</w:t>
            </w:r>
          </w:p>
        </w:tc>
        <w:tc>
          <w:tcPr>
            <w:tcW w:w="1417" w:type="dxa"/>
            <w:tcBorders>
              <w:bottom w:val="single" w:sz="4" w:space="0" w:color="auto"/>
            </w:tcBorders>
          </w:tcPr>
          <w:p>
            <w:pPr>
              <w:pStyle w:val="yTableNAm"/>
              <w:keepNext/>
            </w:pPr>
          </w:p>
          <w:p>
            <w:pPr>
              <w:pStyle w:val="yTableNAm"/>
              <w:keepNext/>
            </w:pPr>
            <w:r>
              <w:rPr>
                <w:szCs w:val="22"/>
              </w:rPr>
              <w:t>$5.80</w:t>
            </w:r>
          </w:p>
        </w:tc>
      </w:tr>
    </w:tbl>
    <w:p>
      <w:pPr>
        <w:pStyle w:val="yFootnotesection"/>
      </w:pPr>
      <w:r>
        <w:tab/>
        <w:t>[Division 5 inserted: Gazette 23 Dec 2014 p. 4904-5; amended: Gazette 28 Jun 2016 p. 2671.]</w:t>
      </w:r>
    </w:p>
    <w:p>
      <w:pPr>
        <w:pStyle w:val="yHeading3"/>
      </w:pPr>
      <w:bookmarkStart w:id="36" w:name="_Toc12442306"/>
      <w:bookmarkStart w:id="37" w:name="_Toc12449498"/>
      <w:bookmarkStart w:id="38" w:name="_Toc12868486"/>
      <w:r>
        <w:rPr>
          <w:rStyle w:val="CharSDivNo"/>
        </w:rPr>
        <w:t>Division 6</w:t>
      </w:r>
      <w:r>
        <w:t> — </w:t>
      </w:r>
      <w:r>
        <w:rPr>
          <w:rStyle w:val="CharSDivText"/>
        </w:rPr>
        <w:t>Peel region</w:t>
      </w:r>
      <w:bookmarkEnd w:id="36"/>
      <w:bookmarkEnd w:id="37"/>
      <w:bookmarkEnd w:id="38"/>
    </w:p>
    <w:p>
      <w:pPr>
        <w:pStyle w:val="yFootnoteheading"/>
      </w:pPr>
      <w:r>
        <w:tab/>
        <w:t>[Heading inserted: Gazette 23 Dec 2014 p. 4905.]</w:t>
      </w:r>
    </w:p>
    <w:p>
      <w:pPr>
        <w:pStyle w:val="yTHeadingNAm"/>
      </w:pPr>
      <w:r>
        <w:t xml:space="preserve">Metered rates </w:t>
      </w:r>
      <w:r>
        <w:rPr>
          <w:szCs w:val="22"/>
        </w:rPr>
        <w:t>(maximums)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t>$1.75/km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$1.75/km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$2.60/km</w:t>
            </w:r>
          </w:p>
        </w:tc>
        <w:tc>
          <w:tcPr>
            <w:tcW w:w="1426" w:type="dxa"/>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keepNext/>
            </w:pPr>
          </w:p>
        </w:tc>
        <w:tc>
          <w:tcPr>
            <w:tcW w:w="2977" w:type="dxa"/>
            <w:tcBorders>
              <w:top w:val="single" w:sz="4" w:space="0" w:color="auto"/>
              <w:left w:val="nil"/>
              <w:bottom w:val="single" w:sz="4" w:space="0" w:color="auto"/>
            </w:tcBorders>
          </w:tcPr>
          <w:p>
            <w:pPr>
              <w:pStyle w:val="yTableNAm"/>
              <w:keepNext/>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keepNext/>
            </w:pPr>
            <w:r>
              <w:t>When carrying fewer than 5 passengers</w:t>
            </w:r>
          </w:p>
        </w:tc>
        <w:tc>
          <w:tcPr>
            <w:tcW w:w="2977" w:type="dxa"/>
            <w:tcBorders>
              <w:left w:val="nil"/>
            </w:tcBorders>
          </w:tcPr>
          <w:p>
            <w:pPr>
              <w:pStyle w:val="yTableNAm"/>
              <w:keepNext/>
            </w:pPr>
            <w:r>
              <w:br/>
            </w:r>
            <w:r>
              <w:rPr>
                <w:szCs w:val="22"/>
              </w:rPr>
              <w:t>$1.05/km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$1.60/km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rPr>
                <w:b/>
              </w:rPr>
            </w:pPr>
            <w:r>
              <w:rPr>
                <w:b/>
              </w:rPr>
              <w:t>Call out fee</w:t>
            </w:r>
          </w:p>
        </w:tc>
        <w:tc>
          <w:tcPr>
            <w:tcW w:w="1417" w:type="dxa"/>
            <w:tcBorders>
              <w:top w:val="single" w:sz="4" w:space="0" w:color="auto"/>
              <w:bottom w:val="nil"/>
            </w:tcBorders>
          </w:tcPr>
          <w:p>
            <w:pPr>
              <w:pStyle w:val="yTableNAm"/>
            </w:pPr>
            <w:r>
              <w:t>$1.50</w:t>
            </w:r>
          </w:p>
        </w:tc>
      </w:tr>
      <w:tr>
        <w:trPr>
          <w:cantSplit/>
          <w:tblHeader/>
        </w:trPr>
        <w:tc>
          <w:tcPr>
            <w:tcW w:w="4820" w:type="dxa"/>
            <w:tcBorders>
              <w:top w:val="nil"/>
            </w:tcBorders>
          </w:tcPr>
          <w:p>
            <w:pPr>
              <w:pStyle w:val="yTableNAm"/>
              <w:keepNext/>
              <w:keepLines/>
              <w:rPr>
                <w:b/>
              </w:rPr>
            </w:pPr>
            <w:r>
              <w:rPr>
                <w:b/>
              </w:rPr>
              <w:t>Surcharges</w:t>
            </w:r>
          </w:p>
        </w:tc>
        <w:tc>
          <w:tcPr>
            <w:tcW w:w="1417" w:type="dxa"/>
            <w:tcBorders>
              <w:top w:val="nil"/>
            </w:tcBorders>
          </w:tcPr>
          <w:p>
            <w:pPr>
              <w:pStyle w:val="yTableNAm"/>
              <w:keepNext/>
              <w:keepLines/>
            </w:pPr>
          </w:p>
        </w:tc>
      </w:tr>
      <w:tr>
        <w:trPr>
          <w:cantSplit/>
        </w:trPr>
        <w:tc>
          <w:tcPr>
            <w:tcW w:w="4820" w:type="dxa"/>
          </w:tcPr>
          <w:p>
            <w:pPr>
              <w:pStyle w:val="yTableNAm"/>
              <w:keepNext/>
              <w:keepLines/>
            </w:pPr>
            <w:r>
              <w:t>Ultra</w:t>
            </w:r>
            <w:r>
              <w:noBreakHyphen/>
              <w:t>Peak —</w:t>
            </w:r>
          </w:p>
          <w:p>
            <w:pPr>
              <w:pStyle w:val="yTableNAm"/>
              <w:keepNext/>
              <w:keepLines/>
              <w:tabs>
                <w:tab w:val="clear" w:pos="567"/>
                <w:tab w:val="left" w:pos="176"/>
              </w:tabs>
              <w:ind w:left="176" w:hanging="176"/>
            </w:pPr>
            <w:r>
              <w:tab/>
              <w:t>Between midnight Friday to 5 am Saturday or midnight Saturday to 5 am Sunday</w:t>
            </w:r>
          </w:p>
        </w:tc>
        <w:tc>
          <w:tcPr>
            <w:tcW w:w="1417" w:type="dxa"/>
          </w:tcPr>
          <w:p>
            <w:pPr>
              <w:pStyle w:val="yTableNAm"/>
              <w:keepNext/>
              <w:keepLines/>
            </w:pPr>
          </w:p>
          <w:p>
            <w:pPr>
              <w:pStyle w:val="yTableNAm"/>
              <w:keepNext/>
              <w:keepLines/>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keepNext/>
            </w:pPr>
            <w:r>
              <w:t>New Year’s Eve —</w:t>
            </w:r>
          </w:p>
          <w:p>
            <w:pPr>
              <w:pStyle w:val="yTableNAm"/>
              <w:keepNext/>
              <w:tabs>
                <w:tab w:val="clear" w:pos="567"/>
                <w:tab w:val="left" w:pos="176"/>
              </w:tabs>
              <w:ind w:left="176" w:hanging="176"/>
            </w:pPr>
            <w:r>
              <w:tab/>
              <w:t>6 pm New Year’s Eve to 6 am New Year’s Day</w:t>
            </w:r>
          </w:p>
        </w:tc>
        <w:tc>
          <w:tcPr>
            <w:tcW w:w="1417" w:type="dxa"/>
            <w:tcBorders>
              <w:bottom w:val="single" w:sz="4" w:space="0" w:color="auto"/>
            </w:tcBorders>
          </w:tcPr>
          <w:p>
            <w:pPr>
              <w:pStyle w:val="yTableNAm"/>
              <w:keepNext/>
            </w:pPr>
          </w:p>
          <w:p>
            <w:pPr>
              <w:pStyle w:val="yTableNAm"/>
              <w:keepNext/>
            </w:pPr>
            <w:r>
              <w:rPr>
                <w:szCs w:val="22"/>
              </w:rPr>
              <w:t>$5.70</w:t>
            </w:r>
          </w:p>
        </w:tc>
      </w:tr>
    </w:tbl>
    <w:p>
      <w:pPr>
        <w:pStyle w:val="yFootnotesection"/>
      </w:pPr>
      <w:r>
        <w:tab/>
        <w:t>[Division 6 inserted: Gazette 23 Dec 2014 p. 4905-7; amended: Gazette 28 Jun 2016 p. 2671.]</w:t>
      </w:r>
    </w:p>
    <w:p>
      <w:pPr>
        <w:pStyle w:val="yHeading3"/>
      </w:pPr>
      <w:bookmarkStart w:id="39" w:name="_Toc12442307"/>
      <w:bookmarkStart w:id="40" w:name="_Toc12449499"/>
      <w:bookmarkStart w:id="41" w:name="_Toc12868487"/>
      <w:r>
        <w:rPr>
          <w:rStyle w:val="CharSDivNo"/>
        </w:rPr>
        <w:t>Division 7</w:t>
      </w:r>
      <w:r>
        <w:t> — </w:t>
      </w:r>
      <w:r>
        <w:rPr>
          <w:rStyle w:val="CharSDivText"/>
        </w:rPr>
        <w:t>Pilbara region</w:t>
      </w:r>
      <w:bookmarkEnd w:id="39"/>
      <w:bookmarkEnd w:id="40"/>
      <w:bookmarkEnd w:id="41"/>
    </w:p>
    <w:p>
      <w:pPr>
        <w:pStyle w:val="yFootnoteheading"/>
        <w:keepNext/>
      </w:pPr>
      <w:r>
        <w:tab/>
        <w:t>[Heading inserted: Gazette 23 Dec 2014 p. 4907.]</w:t>
      </w:r>
    </w:p>
    <w:p>
      <w:pPr>
        <w:pStyle w:val="yTHeadingNAm"/>
      </w:pPr>
      <w:r>
        <w:t xml:space="preserve">Metered rates </w:t>
      </w:r>
      <w:r>
        <w:rPr>
          <w:szCs w:val="22"/>
        </w:rPr>
        <w:t>(maximums)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keepNext/>
            </w:pPr>
          </w:p>
        </w:tc>
        <w:tc>
          <w:tcPr>
            <w:tcW w:w="1134" w:type="dxa"/>
            <w:tcBorders>
              <w:top w:val="single" w:sz="4" w:space="0" w:color="auto"/>
              <w:left w:val="nil"/>
              <w:bottom w:val="single" w:sz="4" w:space="0" w:color="auto"/>
            </w:tcBorders>
          </w:tcPr>
          <w:p>
            <w:pPr>
              <w:pStyle w:val="yTableNAm"/>
              <w:keepNext/>
              <w:rPr>
                <w:b/>
                <w:bCs/>
              </w:rPr>
            </w:pPr>
            <w:r>
              <w:rPr>
                <w:b/>
                <w:bCs/>
              </w:rPr>
              <w:t>Flagfall</w:t>
            </w:r>
          </w:p>
        </w:tc>
        <w:tc>
          <w:tcPr>
            <w:tcW w:w="1551" w:type="dxa"/>
            <w:tcBorders>
              <w:top w:val="single" w:sz="4" w:space="0" w:color="auto"/>
              <w:bottom w:val="single" w:sz="4" w:space="0" w:color="auto"/>
            </w:tcBorders>
          </w:tcPr>
          <w:p>
            <w:pPr>
              <w:pStyle w:val="yTableNAm"/>
              <w:keepNext/>
              <w:rPr>
                <w:b/>
                <w:bCs/>
              </w:rPr>
            </w:pPr>
            <w:r>
              <w:rPr>
                <w:b/>
                <w:bCs/>
              </w:rPr>
              <w:t>Distance rate</w:t>
            </w:r>
          </w:p>
        </w:tc>
        <w:tc>
          <w:tcPr>
            <w:tcW w:w="1426" w:type="dxa"/>
            <w:tcBorders>
              <w:top w:val="single" w:sz="4" w:space="0" w:color="auto"/>
              <w:bottom w:val="single" w:sz="4" w:space="0" w:color="auto"/>
            </w:tcBorders>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nil"/>
            </w:tcBorders>
          </w:tcPr>
          <w:p>
            <w:pPr>
              <w:pStyle w:val="yTableNAm"/>
            </w:pPr>
          </w:p>
          <w:p>
            <w:pPr>
              <w:pStyle w:val="yTableNAm"/>
            </w:pPr>
            <w:r>
              <w:br/>
            </w:r>
            <w:r>
              <w:rPr>
                <w:szCs w:val="22"/>
              </w:rPr>
              <w:t>$4.20</w:t>
            </w:r>
          </w:p>
        </w:tc>
        <w:tc>
          <w:tcPr>
            <w:tcW w:w="1551" w:type="dxa"/>
            <w:tcBorders>
              <w:top w:val="single" w:sz="4" w:space="0" w:color="auto"/>
            </w:tcBorders>
          </w:tcPr>
          <w:p>
            <w:pPr>
              <w:pStyle w:val="yTableNAm"/>
            </w:pPr>
          </w:p>
          <w:p>
            <w:pPr>
              <w:pStyle w:val="yTableNAm"/>
            </w:pPr>
            <w:r>
              <w:br/>
            </w:r>
            <w:r>
              <w:rPr>
                <w:szCs w:val="22"/>
              </w:rPr>
              <w:t>$2.31/km</w:t>
            </w:r>
          </w:p>
        </w:tc>
        <w:tc>
          <w:tcPr>
            <w:tcW w:w="1426" w:type="dxa"/>
            <w:tcBorders>
              <w:top w:val="single" w:sz="4" w:space="0" w:color="auto"/>
            </w:tcBorders>
          </w:tcPr>
          <w:p>
            <w:pPr>
              <w:pStyle w:val="yTableNAm"/>
            </w:pPr>
          </w:p>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left w:val="nil"/>
            </w:tcBorders>
          </w:tcPr>
          <w:p>
            <w:pPr>
              <w:pStyle w:val="yTableNAm"/>
            </w:pPr>
          </w:p>
          <w:p>
            <w:pPr>
              <w:pStyle w:val="yTableNAm"/>
            </w:pPr>
            <w:r>
              <w:br/>
            </w:r>
          </w:p>
        </w:tc>
        <w:tc>
          <w:tcPr>
            <w:tcW w:w="1551" w:type="dxa"/>
          </w:tcPr>
          <w:p>
            <w:pPr>
              <w:pStyle w:val="yTableNAm"/>
            </w:pPr>
          </w:p>
          <w:p>
            <w:pPr>
              <w:pStyle w:val="yTableNAm"/>
            </w:pPr>
            <w:r>
              <w:br/>
            </w:r>
          </w:p>
        </w:tc>
        <w:tc>
          <w:tcPr>
            <w:tcW w:w="1426" w:type="dxa"/>
          </w:tcPr>
          <w:p>
            <w:pPr>
              <w:pStyle w:val="yTableNAm"/>
            </w:pPr>
          </w:p>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left w:val="nil"/>
            </w:tcBorders>
          </w:tcPr>
          <w:p>
            <w:pPr>
              <w:pStyle w:val="yTableNAm"/>
            </w:pPr>
            <w:r>
              <w:br/>
            </w:r>
          </w:p>
        </w:tc>
        <w:tc>
          <w:tcPr>
            <w:tcW w:w="1551" w:type="dxa"/>
          </w:tcPr>
          <w:p>
            <w:pPr>
              <w:pStyle w:val="yTableNAm"/>
            </w:pPr>
            <w:r>
              <w:br/>
            </w:r>
          </w:p>
        </w:tc>
        <w:tc>
          <w:tcPr>
            <w:tcW w:w="1426" w:type="dxa"/>
          </w:tcPr>
          <w:p>
            <w:pPr>
              <w:pStyle w:val="yTableNAm"/>
            </w:pPr>
            <w:r>
              <w:br/>
            </w:r>
          </w:p>
        </w:tc>
      </w:tr>
      <w:tr>
        <w:trPr>
          <w:cantSplit/>
        </w:trPr>
        <w:tc>
          <w:tcPr>
            <w:tcW w:w="2126" w:type="dxa"/>
            <w:tcBorders>
              <w:right w:val="single" w:sz="4" w:space="0" w:color="auto"/>
            </w:tcBorders>
          </w:tcPr>
          <w:p>
            <w:pPr>
              <w:pStyle w:val="yTableNAm"/>
              <w:tabs>
                <w:tab w:val="clear" w:pos="567"/>
                <w:tab w:val="left" w:pos="176"/>
              </w:tabs>
              <w:ind w:left="176" w:hanging="176"/>
            </w:pPr>
            <w:r>
              <w:tab/>
              <w:t>All day Public Holidays</w:t>
            </w:r>
          </w:p>
        </w:tc>
        <w:tc>
          <w:tcPr>
            <w:tcW w:w="1134" w:type="dxa"/>
            <w:tcBorders>
              <w:left w:val="nil"/>
            </w:tcBorders>
          </w:tcPr>
          <w:p>
            <w:pPr>
              <w:pStyle w:val="yTableNAm"/>
            </w:pPr>
            <w:r>
              <w:rPr>
                <w:szCs w:val="22"/>
              </w:rPr>
              <w:br/>
              <w:t>$6.10</w:t>
            </w:r>
          </w:p>
        </w:tc>
        <w:tc>
          <w:tcPr>
            <w:tcW w:w="1551" w:type="dxa"/>
          </w:tcPr>
          <w:p>
            <w:pPr>
              <w:pStyle w:val="yTableNAm"/>
            </w:pPr>
            <w:r>
              <w:rPr>
                <w:szCs w:val="22"/>
              </w:rPr>
              <w:br/>
              <w:t>$2.31/km</w:t>
            </w:r>
          </w:p>
        </w:tc>
        <w:tc>
          <w:tcPr>
            <w:tcW w:w="1426" w:type="dxa"/>
          </w:tcPr>
          <w:p>
            <w:pPr>
              <w:pStyle w:val="yTableNAm"/>
            </w:pPr>
            <w:r>
              <w:rPr>
                <w:szCs w:val="22"/>
              </w:rPr>
              <w:br/>
              <w:t>$49.00/hour</w:t>
            </w:r>
          </w:p>
        </w:tc>
      </w:tr>
      <w:tr>
        <w:trPr>
          <w:cantSplit/>
        </w:trPr>
        <w:tc>
          <w:tcPr>
            <w:tcW w:w="2126" w:type="dxa"/>
            <w:tcBorders>
              <w:bottom w:val="single" w:sz="4" w:space="0" w:color="auto"/>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Borders>
              <w:bottom w:val="single" w:sz="4" w:space="0" w:color="auto"/>
            </w:tcBorders>
          </w:tcPr>
          <w:p>
            <w:pPr>
              <w:pStyle w:val="yTableNAm"/>
            </w:pPr>
          </w:p>
          <w:p>
            <w:pPr>
              <w:pStyle w:val="yTableNAm"/>
            </w:pPr>
            <w:r>
              <w:br/>
            </w:r>
            <w:r>
              <w:rPr>
                <w:szCs w:val="22"/>
              </w:rPr>
              <w:t>$3.41/km</w:t>
            </w:r>
          </w:p>
        </w:tc>
        <w:tc>
          <w:tcPr>
            <w:tcW w:w="1426" w:type="dxa"/>
            <w:tcBorders>
              <w:bottom w:val="single" w:sz="4" w:space="0" w:color="auto"/>
            </w:tcBorders>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$1.25/km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$1.90/km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tcPr>
          <w:p>
            <w:pPr>
              <w:pStyle w:val="yTableNAm"/>
              <w:keepNext/>
              <w:rPr>
                <w:b/>
              </w:rPr>
            </w:pPr>
            <w:r>
              <w:rPr>
                <w:b/>
              </w:rPr>
              <w:t>Call out fee</w:t>
            </w:r>
          </w:p>
        </w:tc>
        <w:tc>
          <w:tcPr>
            <w:tcW w:w="1417" w:type="dxa"/>
            <w:tcBorders>
              <w:bottom w:val="nil"/>
            </w:tcBorders>
          </w:tcPr>
          <w:p>
            <w:pPr>
              <w:pStyle w:val="yTableNAm"/>
              <w:keepNext/>
            </w:pPr>
            <w:r>
              <w:t>$1.50</w:t>
            </w:r>
          </w:p>
        </w:tc>
      </w:tr>
      <w:tr>
        <w:trPr>
          <w:cantSplit/>
          <w:trHeight w:val="794"/>
        </w:trPr>
        <w:tc>
          <w:tcPr>
            <w:tcW w:w="4820" w:type="dxa"/>
            <w:tcBorders>
              <w:top w:val="nil"/>
              <w:bottom w:val="nil"/>
            </w:tcBorders>
          </w:tcPr>
          <w:p>
            <w:pPr>
              <w:pStyle w:val="yTableNAm"/>
            </w:pPr>
            <w:r>
              <w:rPr>
                <w:b/>
              </w:rPr>
              <w:t>Airport fee</w:t>
            </w:r>
          </w:p>
          <w:p>
            <w:pPr>
              <w:pStyle w:val="yTableNAm"/>
            </w:pPr>
            <w:r>
              <w:t>(for a journey starting at the terminal at the Port Hedland International Airport)</w:t>
            </w:r>
          </w:p>
        </w:tc>
        <w:tc>
          <w:tcPr>
            <w:tcW w:w="1417" w:type="dxa"/>
            <w:tcBorders>
              <w:top w:val="nil"/>
              <w:bottom w:val="nil"/>
            </w:tcBorders>
          </w:tcPr>
          <w:p>
            <w:pPr>
              <w:pStyle w:val="yTableNAm"/>
            </w:pPr>
          </w:p>
          <w:p>
            <w:pPr>
              <w:pStyle w:val="yTableNAm"/>
            </w:pPr>
            <w:r>
              <w:br/>
              <w:t>$2.00</w:t>
            </w:r>
          </w:p>
        </w:tc>
      </w:tr>
      <w:tr>
        <w:trPr>
          <w:cantSplit/>
          <w:tblHeader/>
        </w:trPr>
        <w:tc>
          <w:tcPr>
            <w:tcW w:w="4820" w:type="dxa"/>
            <w:tcBorders>
              <w:top w:val="nil"/>
            </w:tcBorders>
          </w:tcPr>
          <w:p>
            <w:pPr>
              <w:pStyle w:val="yTableNAm"/>
              <w:rPr>
                <w:b/>
              </w:rPr>
            </w:pPr>
            <w:r>
              <w:rPr>
                <w:b/>
              </w:rPr>
              <w:t>Surcharges</w:t>
            </w:r>
          </w:p>
        </w:tc>
        <w:tc>
          <w:tcPr>
            <w:tcW w:w="1417" w:type="dxa"/>
            <w:tcBorders>
              <w:top w:val="nil"/>
            </w:tcBorders>
          </w:tcPr>
          <w:p>
            <w:pPr>
              <w:pStyle w:val="yTableNAm"/>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pPr>
            <w:r>
              <w:t>New Year’s Eve —</w:t>
            </w:r>
          </w:p>
          <w:p>
            <w:pPr>
              <w:pStyle w:val="yTableNAm"/>
              <w:tabs>
                <w:tab w:val="clear" w:pos="567"/>
                <w:tab w:val="left" w:pos="176"/>
              </w:tabs>
              <w:ind w:left="176" w:hanging="176"/>
            </w:pPr>
            <w:r>
              <w:tab/>
              <w:t>6 pm New Year’s Eve to 6 am New Year’s Day</w:t>
            </w:r>
          </w:p>
        </w:tc>
        <w:tc>
          <w:tcPr>
            <w:tcW w:w="1417" w:type="dxa"/>
          </w:tcPr>
          <w:p>
            <w:pPr>
              <w:pStyle w:val="yTableNAm"/>
            </w:pPr>
          </w:p>
          <w:p>
            <w:pPr>
              <w:pStyle w:val="yTableNAm"/>
            </w:pPr>
            <w:r>
              <w:rPr>
                <w:szCs w:val="22"/>
              </w:rPr>
              <w:t>$5.70</w:t>
            </w:r>
          </w:p>
        </w:tc>
      </w:tr>
    </w:tbl>
    <w:p>
      <w:pPr>
        <w:pStyle w:val="yFootnotesection"/>
      </w:pPr>
      <w:r>
        <w:tab/>
        <w:t>[Division 7 inserted: Gazette 23 Dec 2014 p. 4907-8; amended: Gazette 28 Jun 2016 p. 2671; 12 May 2017 p. 2472.]</w:t>
      </w:r>
    </w:p>
    <w:p>
      <w:pPr>
        <w:pStyle w:val="yHeading3"/>
      </w:pPr>
      <w:bookmarkStart w:id="42" w:name="_Toc12442308"/>
      <w:bookmarkStart w:id="43" w:name="_Toc12449500"/>
      <w:bookmarkStart w:id="44" w:name="_Toc12868488"/>
      <w:r>
        <w:rPr>
          <w:rStyle w:val="CharSDivNo"/>
        </w:rPr>
        <w:t>Division 8</w:t>
      </w:r>
      <w:r>
        <w:t> — </w:t>
      </w:r>
      <w:r>
        <w:rPr>
          <w:rStyle w:val="CharSDivText"/>
        </w:rPr>
        <w:t>South West region</w:t>
      </w:r>
      <w:bookmarkEnd w:id="42"/>
      <w:bookmarkEnd w:id="43"/>
      <w:bookmarkEnd w:id="44"/>
    </w:p>
    <w:p>
      <w:pPr>
        <w:pStyle w:val="yFootnoteheading"/>
        <w:keepNext/>
      </w:pPr>
      <w:r>
        <w:tab/>
        <w:t>[Heading inserted: Gazette 23 Dec 2014 p. 4908.]</w:t>
      </w:r>
    </w:p>
    <w:p>
      <w:pPr>
        <w:pStyle w:val="yTHeadingNAm"/>
      </w:pPr>
      <w:r>
        <w:t xml:space="preserve">Metered rates </w:t>
      </w:r>
      <w:r>
        <w:rPr>
          <w:szCs w:val="22"/>
        </w:rPr>
        <w:t>(maximums)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keepNext/>
            </w:pPr>
          </w:p>
        </w:tc>
        <w:tc>
          <w:tcPr>
            <w:tcW w:w="1134" w:type="dxa"/>
            <w:tcBorders>
              <w:top w:val="single" w:sz="4" w:space="0" w:color="auto"/>
              <w:left w:val="single" w:sz="4" w:space="0" w:color="auto"/>
              <w:bottom w:val="single" w:sz="4" w:space="0" w:color="auto"/>
            </w:tcBorders>
          </w:tcPr>
          <w:p>
            <w:pPr>
              <w:pStyle w:val="yTableNAm"/>
              <w:keepNext/>
              <w:rPr>
                <w:b/>
                <w:bCs/>
              </w:rPr>
            </w:pPr>
            <w:r>
              <w:rPr>
                <w:b/>
                <w:bCs/>
              </w:rPr>
              <w:t>Flagfall</w:t>
            </w:r>
          </w:p>
        </w:tc>
        <w:tc>
          <w:tcPr>
            <w:tcW w:w="1551" w:type="dxa"/>
            <w:tcBorders>
              <w:top w:val="single" w:sz="4" w:space="0" w:color="auto"/>
              <w:bottom w:val="single" w:sz="4" w:space="0" w:color="auto"/>
            </w:tcBorders>
          </w:tcPr>
          <w:p>
            <w:pPr>
              <w:pStyle w:val="yTableNAm"/>
              <w:keepNext/>
              <w:rPr>
                <w:b/>
                <w:bCs/>
              </w:rPr>
            </w:pPr>
            <w:r>
              <w:rPr>
                <w:b/>
                <w:bCs/>
              </w:rPr>
              <w:t>Distance rate</w:t>
            </w:r>
          </w:p>
        </w:tc>
        <w:tc>
          <w:tcPr>
            <w:tcW w:w="1426" w:type="dxa"/>
            <w:tcBorders>
              <w:top w:val="single" w:sz="4" w:space="0" w:color="auto"/>
              <w:bottom w:val="single" w:sz="4" w:space="0" w:color="auto"/>
            </w:tcBorders>
          </w:tcPr>
          <w:p>
            <w:pPr>
              <w:pStyle w:val="yTableNAm"/>
              <w:keepNext/>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$1.75/km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$1.75/km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$2.60/km</w:t>
            </w:r>
          </w:p>
        </w:tc>
        <w:tc>
          <w:tcPr>
            <w:tcW w:w="1426" w:type="dxa"/>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$1.05/km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$1.60/km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tcPr>
          <w:p>
            <w:pPr>
              <w:pStyle w:val="yTableNAm"/>
              <w:keepNext/>
              <w:rPr>
                <w:b/>
              </w:rPr>
            </w:pPr>
            <w:r>
              <w:rPr>
                <w:b/>
              </w:rPr>
              <w:t>Call out fee</w:t>
            </w:r>
          </w:p>
        </w:tc>
        <w:tc>
          <w:tcPr>
            <w:tcW w:w="1417" w:type="dxa"/>
            <w:tcBorders>
              <w:top w:val="single" w:sz="4" w:space="0" w:color="auto"/>
              <w:bottom w:val="nil"/>
            </w:tcBorders>
          </w:tcPr>
          <w:p>
            <w:pPr>
              <w:pStyle w:val="yTableNAm"/>
              <w:keepNext/>
            </w:pPr>
            <w:r>
              <w:t>$1.50</w:t>
            </w:r>
          </w:p>
        </w:tc>
      </w:tr>
      <w:tr>
        <w:trPr>
          <w:cantSplit/>
          <w:tblHeader/>
        </w:trPr>
        <w:tc>
          <w:tcPr>
            <w:tcW w:w="4820" w:type="dxa"/>
            <w:tcBorders>
              <w:top w:val="nil"/>
            </w:tcBorders>
          </w:tcPr>
          <w:p>
            <w:pPr>
              <w:pStyle w:val="yTableNAm"/>
              <w:keepNext/>
              <w:keepLines/>
              <w:rPr>
                <w:b/>
              </w:rPr>
            </w:pPr>
            <w:r>
              <w:rPr>
                <w:b/>
              </w:rPr>
              <w:t>Surcharges</w:t>
            </w:r>
          </w:p>
        </w:tc>
        <w:tc>
          <w:tcPr>
            <w:tcW w:w="1417" w:type="dxa"/>
            <w:tcBorders>
              <w:top w:val="nil"/>
            </w:tcBorders>
          </w:tcPr>
          <w:p>
            <w:pPr>
              <w:pStyle w:val="yTableNAm"/>
              <w:keepNext/>
              <w:keepLines/>
            </w:pPr>
          </w:p>
        </w:tc>
      </w:tr>
      <w:tr>
        <w:trPr>
          <w:cantSplit/>
        </w:trPr>
        <w:tc>
          <w:tcPr>
            <w:tcW w:w="4820" w:type="dxa"/>
          </w:tcPr>
          <w:p>
            <w:pPr>
              <w:pStyle w:val="yTableNAm"/>
              <w:keepNext/>
              <w:keepLines/>
            </w:pPr>
            <w:r>
              <w:t>Ultra</w:t>
            </w:r>
            <w:r>
              <w:noBreakHyphen/>
              <w:t>Peak —</w:t>
            </w:r>
          </w:p>
          <w:p>
            <w:pPr>
              <w:pStyle w:val="yTableNAm"/>
              <w:keepNext/>
              <w:keepLines/>
              <w:tabs>
                <w:tab w:val="clear" w:pos="567"/>
                <w:tab w:val="left" w:pos="176"/>
              </w:tabs>
              <w:ind w:left="176" w:hanging="176"/>
            </w:pPr>
            <w:r>
              <w:tab/>
              <w:t>Between midnight Friday to 5 am Saturday or midnight Saturday to 5 am Sunday</w:t>
            </w:r>
          </w:p>
        </w:tc>
        <w:tc>
          <w:tcPr>
            <w:tcW w:w="1417" w:type="dxa"/>
          </w:tcPr>
          <w:p>
            <w:pPr>
              <w:pStyle w:val="yTableNAm"/>
              <w:keepNext/>
              <w:keepLines/>
            </w:pPr>
          </w:p>
          <w:p>
            <w:pPr>
              <w:pStyle w:val="yTableNAm"/>
              <w:keepNext/>
              <w:keepLines/>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keepNext/>
            </w:pPr>
            <w:r>
              <w:t>New Year’s Eve —</w:t>
            </w:r>
          </w:p>
          <w:p>
            <w:pPr>
              <w:pStyle w:val="yTableNAm"/>
              <w:keepNext/>
              <w:tabs>
                <w:tab w:val="clear" w:pos="567"/>
                <w:tab w:val="left" w:pos="176"/>
              </w:tabs>
              <w:ind w:left="176" w:hanging="176"/>
            </w:pPr>
            <w:r>
              <w:tab/>
              <w:t>6 pm New Year’s Eve to 6 am New Year’s Day</w:t>
            </w:r>
          </w:p>
        </w:tc>
        <w:tc>
          <w:tcPr>
            <w:tcW w:w="1417" w:type="dxa"/>
            <w:tcBorders>
              <w:bottom w:val="single" w:sz="4" w:space="0" w:color="auto"/>
            </w:tcBorders>
          </w:tcPr>
          <w:p>
            <w:pPr>
              <w:pStyle w:val="yTableNAm"/>
              <w:keepNext/>
            </w:pPr>
          </w:p>
          <w:p>
            <w:pPr>
              <w:pStyle w:val="yTableNAm"/>
              <w:keepNext/>
            </w:pPr>
            <w:r>
              <w:rPr>
                <w:szCs w:val="22"/>
              </w:rPr>
              <w:t>$5.70</w:t>
            </w:r>
          </w:p>
        </w:tc>
      </w:tr>
    </w:tbl>
    <w:p>
      <w:pPr>
        <w:pStyle w:val="yFootnotesection"/>
      </w:pPr>
      <w:r>
        <w:tab/>
        <w:t>[Division 8 inserted: Gazette 23 Dec 2014 p. 4908-10; amended: Gazette 28 Jun 2016 p. 2671.]</w:t>
      </w:r>
    </w:p>
    <w:p>
      <w:pPr>
        <w:pStyle w:val="yHeading3"/>
      </w:pPr>
      <w:bookmarkStart w:id="45" w:name="_Toc12442309"/>
      <w:bookmarkStart w:id="46" w:name="_Toc12449501"/>
      <w:bookmarkStart w:id="47" w:name="_Toc12868489"/>
      <w:r>
        <w:rPr>
          <w:rStyle w:val="CharSDivNo"/>
        </w:rPr>
        <w:t>Division 9</w:t>
      </w:r>
      <w:r>
        <w:t> — </w:t>
      </w:r>
      <w:r>
        <w:rPr>
          <w:rStyle w:val="CharSDivText"/>
        </w:rPr>
        <w:t>Wheatbelt region</w:t>
      </w:r>
      <w:bookmarkEnd w:id="45"/>
      <w:bookmarkEnd w:id="46"/>
      <w:bookmarkEnd w:id="47"/>
    </w:p>
    <w:p>
      <w:pPr>
        <w:pStyle w:val="yFootnoteheading"/>
        <w:keepNext/>
      </w:pPr>
      <w:r>
        <w:tab/>
        <w:t>[Heading inserted: Gazette 23 Dec 2014 p. 4910.]</w:t>
      </w:r>
    </w:p>
    <w:p>
      <w:pPr>
        <w:pStyle w:val="yTHeadingNAm"/>
      </w:pPr>
      <w:r>
        <w:t xml:space="preserve">Metered rates </w:t>
      </w:r>
      <w:r>
        <w:rPr>
          <w:szCs w:val="22"/>
        </w:rPr>
        <w:t>(maximums)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tcPr>
          <w:p>
            <w:pPr>
              <w:pStyle w:val="yTableNAm"/>
            </w:pPr>
          </w:p>
        </w:tc>
        <w:tc>
          <w:tcPr>
            <w:tcW w:w="1134" w:type="dxa"/>
            <w:tcBorders>
              <w:top w:val="single" w:sz="4" w:space="0" w:color="auto"/>
              <w:left w:val="single" w:sz="4" w:space="0" w:color="auto"/>
              <w:bottom w:val="single" w:sz="4" w:space="0" w:color="auto"/>
            </w:tcBorders>
          </w:tcPr>
          <w:p>
            <w:pPr>
              <w:pStyle w:val="yTableNAm"/>
              <w:rPr>
                <w:b/>
                <w:bCs/>
              </w:rPr>
            </w:pPr>
            <w:r>
              <w:rPr>
                <w:b/>
                <w:bCs/>
              </w:rPr>
              <w:t>Flagfall</w:t>
            </w:r>
          </w:p>
        </w:tc>
        <w:tc>
          <w:tcPr>
            <w:tcW w:w="1551" w:type="dxa"/>
            <w:tcBorders>
              <w:top w:val="single" w:sz="4" w:space="0" w:color="auto"/>
              <w:bottom w:val="single" w:sz="4" w:space="0" w:color="auto"/>
            </w:tcBorders>
          </w:tcPr>
          <w:p>
            <w:pPr>
              <w:pStyle w:val="yTableNAm"/>
              <w:rPr>
                <w:b/>
                <w:bCs/>
              </w:rPr>
            </w:pPr>
            <w:r>
              <w:rPr>
                <w:b/>
                <w:bCs/>
              </w:rPr>
              <w:t>Distance rate</w:t>
            </w:r>
          </w:p>
        </w:tc>
        <w:tc>
          <w:tcPr>
            <w:tcW w:w="1426" w:type="dxa"/>
            <w:tcBorders>
              <w:top w:val="single" w:sz="4" w:space="0" w:color="auto"/>
              <w:bottom w:val="single" w:sz="4" w:space="0" w:color="auto"/>
            </w:tcBorders>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tcPr>
          <w:p>
            <w:pPr>
              <w:pStyle w:val="yTableNAm"/>
              <w:rPr>
                <w:b/>
                <w:bCs/>
              </w:rPr>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tcBorders>
          </w:tcPr>
          <w:p>
            <w:pPr>
              <w:pStyle w:val="yTableNAm"/>
            </w:pPr>
          </w:p>
          <w:p>
            <w:pPr>
              <w:pStyle w:val="yTableNAm"/>
            </w:pPr>
            <w:r>
              <w:br/>
            </w:r>
            <w:r>
              <w:rPr>
                <w:szCs w:val="22"/>
              </w:rPr>
              <w:t>$4.20</w:t>
            </w:r>
          </w:p>
        </w:tc>
        <w:tc>
          <w:tcPr>
            <w:tcW w:w="1551" w:type="dxa"/>
            <w:tcBorders>
              <w:top w:val="single" w:sz="4" w:space="0" w:color="auto"/>
              <w:bottom w:val="nil"/>
            </w:tcBorders>
          </w:tcPr>
          <w:p>
            <w:pPr>
              <w:pStyle w:val="yTableNAm"/>
            </w:pPr>
          </w:p>
          <w:p>
            <w:pPr>
              <w:pStyle w:val="yTableNAm"/>
            </w:pPr>
            <w:r>
              <w:br/>
            </w:r>
            <w:r>
              <w:rPr>
                <w:szCs w:val="22"/>
              </w:rPr>
              <w:t>$1.80/km</w:t>
            </w:r>
          </w:p>
        </w:tc>
        <w:tc>
          <w:tcPr>
            <w:tcW w:w="1426" w:type="dxa"/>
            <w:tcBorders>
              <w:top w:val="single" w:sz="4" w:space="0" w:color="auto"/>
              <w:bottom w:val="nil"/>
            </w:tcBorders>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tcPr>
          <w:p>
            <w:pPr>
              <w:pStyle w:val="yTableNAm"/>
              <w:rPr>
                <w:b/>
                <w:bCs/>
              </w:rPr>
            </w:pPr>
            <w:r>
              <w:rPr>
                <w:b/>
                <w:bCs/>
              </w:rPr>
              <w:t>Tariff 2</w:t>
            </w:r>
          </w:p>
          <w:p>
            <w:pPr>
              <w:pStyle w:val="yTableNAm"/>
              <w:tabs>
                <w:tab w:val="clear" w:pos="567"/>
                <w:tab w:val="left" w:pos="176"/>
              </w:tabs>
              <w:ind w:left="176" w:hanging="176"/>
              <w:rPr>
                <w:bCs/>
              </w:rPr>
            </w:pPr>
            <w:r>
              <w:tab/>
              <w:t>Monday to Friday 6 pm to 6 am</w:t>
            </w:r>
          </w:p>
        </w:tc>
        <w:tc>
          <w:tcPr>
            <w:tcW w:w="1134" w:type="dxa"/>
            <w:tcBorders>
              <w:top w:val="nil"/>
              <w:left w:val="single" w:sz="4" w:space="0" w:color="auto"/>
              <w:bottom w:val="nil"/>
            </w:tcBorders>
          </w:tcPr>
          <w:p>
            <w:pPr>
              <w:pStyle w:val="yTableNAm"/>
            </w:pPr>
          </w:p>
          <w:p>
            <w:pPr>
              <w:pStyle w:val="yTableNAm"/>
            </w:pPr>
            <w:r>
              <w:br/>
            </w:r>
          </w:p>
        </w:tc>
        <w:tc>
          <w:tcPr>
            <w:tcW w:w="1551" w:type="dxa"/>
            <w:tcBorders>
              <w:top w:val="nil"/>
              <w:bottom w:val="nil"/>
            </w:tcBorders>
          </w:tcPr>
          <w:p>
            <w:pPr>
              <w:pStyle w:val="yTableNAm"/>
            </w:pPr>
          </w:p>
          <w:p>
            <w:pPr>
              <w:pStyle w:val="yTableNAm"/>
            </w:pPr>
            <w:r>
              <w:br/>
            </w:r>
          </w:p>
        </w:tc>
        <w:tc>
          <w:tcPr>
            <w:tcW w:w="1426" w:type="dxa"/>
            <w:tcBorders>
              <w:top w:val="nil"/>
              <w:bottom w:val="nil"/>
            </w:tcBorders>
          </w:tcPr>
          <w:p>
            <w:pPr>
              <w:pStyle w:val="yTableNAm"/>
            </w:pPr>
          </w:p>
          <w:p>
            <w:pPr>
              <w:pStyle w:val="yTableNAm"/>
            </w:pPr>
            <w:r>
              <w:br/>
            </w:r>
          </w:p>
        </w:tc>
      </w:tr>
      <w:tr>
        <w:trPr>
          <w:cantSplit/>
        </w:trPr>
        <w:tc>
          <w:tcPr>
            <w:tcW w:w="2126" w:type="dxa"/>
            <w:tcBorders>
              <w:top w:val="nil"/>
              <w:bottom w:val="nil"/>
              <w:right w:val="single" w:sz="4" w:space="0" w:color="auto"/>
            </w:tcBorders>
          </w:tcPr>
          <w:p>
            <w:pPr>
              <w:pStyle w:val="yTableNAm"/>
              <w:tabs>
                <w:tab w:val="clear" w:pos="567"/>
                <w:tab w:val="left" w:pos="176"/>
              </w:tabs>
              <w:ind w:left="176" w:hanging="176"/>
              <w:rPr>
                <w:bCs/>
              </w:rPr>
            </w:pPr>
            <w:r>
              <w:tab/>
              <w:t>Friday 6 pm to Monday 6 am</w:t>
            </w:r>
          </w:p>
        </w:tc>
        <w:tc>
          <w:tcPr>
            <w:tcW w:w="1134" w:type="dxa"/>
            <w:tcBorders>
              <w:top w:val="nil"/>
              <w:left w:val="single" w:sz="4" w:space="0" w:color="auto"/>
              <w:bottom w:val="nil"/>
            </w:tcBorders>
          </w:tcPr>
          <w:p>
            <w:pPr>
              <w:pStyle w:val="yTableNAm"/>
            </w:pPr>
            <w:r>
              <w:br/>
            </w:r>
          </w:p>
        </w:tc>
        <w:tc>
          <w:tcPr>
            <w:tcW w:w="1551" w:type="dxa"/>
            <w:tcBorders>
              <w:top w:val="nil"/>
              <w:bottom w:val="nil"/>
            </w:tcBorders>
          </w:tcPr>
          <w:p>
            <w:pPr>
              <w:pStyle w:val="yTableNAm"/>
            </w:pPr>
            <w:r>
              <w:br/>
            </w:r>
          </w:p>
        </w:tc>
        <w:tc>
          <w:tcPr>
            <w:tcW w:w="1426" w:type="dxa"/>
            <w:tcBorders>
              <w:top w:val="nil"/>
              <w:bottom w:val="nil"/>
            </w:tcBorders>
          </w:tcPr>
          <w:p>
            <w:pPr>
              <w:pStyle w:val="yTableNAm"/>
            </w:pPr>
            <w:r>
              <w:br/>
            </w:r>
          </w:p>
        </w:tc>
      </w:tr>
      <w:tr>
        <w:trPr>
          <w:cantSplit/>
        </w:trPr>
        <w:tc>
          <w:tcPr>
            <w:tcW w:w="2126" w:type="dxa"/>
            <w:tcBorders>
              <w:top w:val="nil"/>
              <w:right w:val="single" w:sz="4" w:space="0" w:color="auto"/>
            </w:tcBorders>
          </w:tcPr>
          <w:p>
            <w:pPr>
              <w:pStyle w:val="yTableNAm"/>
              <w:tabs>
                <w:tab w:val="clear" w:pos="567"/>
                <w:tab w:val="left" w:pos="176"/>
              </w:tabs>
              <w:ind w:left="176" w:hanging="176"/>
            </w:pPr>
            <w:r>
              <w:tab/>
              <w:t>All day Public Holidays</w:t>
            </w:r>
          </w:p>
        </w:tc>
        <w:tc>
          <w:tcPr>
            <w:tcW w:w="1134" w:type="dxa"/>
            <w:tcBorders>
              <w:top w:val="nil"/>
              <w:left w:val="single" w:sz="4" w:space="0" w:color="auto"/>
            </w:tcBorders>
          </w:tcPr>
          <w:p>
            <w:pPr>
              <w:pStyle w:val="yTableNAm"/>
            </w:pPr>
            <w:r>
              <w:br/>
            </w:r>
            <w:r>
              <w:rPr>
                <w:szCs w:val="22"/>
              </w:rPr>
              <w:t>$6.10</w:t>
            </w:r>
          </w:p>
        </w:tc>
        <w:tc>
          <w:tcPr>
            <w:tcW w:w="1551" w:type="dxa"/>
            <w:tcBorders>
              <w:top w:val="nil"/>
            </w:tcBorders>
          </w:tcPr>
          <w:p>
            <w:pPr>
              <w:pStyle w:val="yTableNAm"/>
            </w:pPr>
            <w:r>
              <w:br/>
            </w:r>
            <w:r>
              <w:rPr>
                <w:szCs w:val="22"/>
              </w:rPr>
              <w:t>$1.80/km</w:t>
            </w:r>
          </w:p>
        </w:tc>
        <w:tc>
          <w:tcPr>
            <w:tcW w:w="1426" w:type="dxa"/>
            <w:tcBorders>
              <w:top w:val="nil"/>
            </w:tcBorders>
          </w:tcPr>
          <w:p>
            <w:pPr>
              <w:pStyle w:val="yTableNAm"/>
            </w:pPr>
            <w:r>
              <w:br/>
            </w:r>
            <w:r>
              <w:rPr>
                <w:szCs w:val="22"/>
              </w:rPr>
              <w:t>$49.00/hour</w:t>
            </w:r>
          </w:p>
        </w:tc>
      </w:tr>
      <w:tr>
        <w:trPr>
          <w:cantSplit/>
        </w:trPr>
        <w:tc>
          <w:tcPr>
            <w:tcW w:w="2126" w:type="dxa"/>
            <w:tcBorders>
              <w:right w:val="single" w:sz="4" w:space="0" w:color="auto"/>
            </w:tcBorders>
          </w:tcPr>
          <w:p>
            <w:pPr>
              <w:pStyle w:val="yTableNAm"/>
              <w:rPr>
                <w:b/>
                <w:bCs/>
              </w:rPr>
            </w:pPr>
            <w:r>
              <w:rPr>
                <w:b/>
                <w:bCs/>
              </w:rPr>
              <w:t>Tariff 3</w:t>
            </w:r>
          </w:p>
          <w:p>
            <w:pPr>
              <w:pStyle w:val="yTableNAm"/>
              <w:tabs>
                <w:tab w:val="clear" w:pos="567"/>
                <w:tab w:val="left" w:pos="176"/>
              </w:tabs>
              <w:ind w:left="176" w:hanging="176"/>
            </w:pPr>
            <w:r>
              <w:tab/>
              <w:t xml:space="preserve">When carrying 5 or more passengers </w:t>
            </w:r>
          </w:p>
        </w:tc>
        <w:tc>
          <w:tcPr>
            <w:tcW w:w="1134" w:type="dxa"/>
            <w:tcBorders>
              <w:left w:val="single" w:sz="4" w:space="0" w:color="auto"/>
              <w:bottom w:val="single" w:sz="4" w:space="0" w:color="auto"/>
            </w:tcBorders>
          </w:tcPr>
          <w:p>
            <w:pPr>
              <w:pStyle w:val="yTableNAm"/>
            </w:pPr>
          </w:p>
          <w:p>
            <w:pPr>
              <w:pStyle w:val="yTableNAm"/>
            </w:pPr>
            <w:r>
              <w:br/>
            </w:r>
            <w:r>
              <w:rPr>
                <w:szCs w:val="22"/>
              </w:rPr>
              <w:t>$6.10</w:t>
            </w:r>
          </w:p>
        </w:tc>
        <w:tc>
          <w:tcPr>
            <w:tcW w:w="1551" w:type="dxa"/>
          </w:tcPr>
          <w:p>
            <w:pPr>
              <w:pStyle w:val="yTableNAm"/>
            </w:pPr>
          </w:p>
          <w:p>
            <w:pPr>
              <w:pStyle w:val="yTableNAm"/>
            </w:pPr>
            <w:r>
              <w:br/>
            </w:r>
            <w:r>
              <w:rPr>
                <w:szCs w:val="22"/>
              </w:rPr>
              <w:t>$2.56/km</w:t>
            </w:r>
          </w:p>
        </w:tc>
        <w:tc>
          <w:tcPr>
            <w:tcW w:w="1426" w:type="dxa"/>
          </w:tcPr>
          <w:p>
            <w:pPr>
              <w:pStyle w:val="yTableNAm"/>
            </w:pPr>
          </w:p>
          <w:p>
            <w:pPr>
              <w:pStyle w:val="yTableNAm"/>
            </w:pPr>
            <w:r>
              <w:br/>
            </w:r>
            <w:r>
              <w:rPr>
                <w:szCs w:val="22"/>
              </w:rPr>
              <w:t>$76.00/hour</w:t>
            </w:r>
          </w:p>
        </w:tc>
      </w:tr>
    </w:tbl>
    <w:p>
      <w:pPr>
        <w:pStyle w:val="yTHeadingNAm"/>
      </w:pPr>
      <w:r>
        <w:t xml:space="preserve">Off meter rates </w:t>
      </w:r>
      <w:r>
        <w:rPr>
          <w:szCs w:val="22"/>
        </w:rPr>
        <w:t>(maximums)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p>
        </w:tc>
        <w:tc>
          <w:tcPr>
            <w:tcW w:w="2977" w:type="dxa"/>
            <w:tcBorders>
              <w:top w:val="single" w:sz="4" w:space="0" w:color="auto"/>
              <w:left w:val="nil"/>
              <w:bottom w:val="single" w:sz="4" w:space="0" w:color="auto"/>
            </w:tcBorders>
          </w:tcPr>
          <w:p>
            <w:pPr>
              <w:pStyle w:val="yTableNAm"/>
            </w:pPr>
            <w:r>
              <w:rPr>
                <w:b/>
                <w:bCs/>
              </w:rPr>
              <w:t>Distance rate</w:t>
            </w:r>
            <w:r>
              <w:br/>
              <w:t>(during hiring and for forward or return journey)</w:t>
            </w:r>
          </w:p>
        </w:tc>
      </w:tr>
      <w:tr>
        <w:trPr>
          <w:cantSplit/>
        </w:trPr>
        <w:tc>
          <w:tcPr>
            <w:tcW w:w="3260" w:type="dxa"/>
            <w:tcBorders>
              <w:right w:val="single" w:sz="4" w:space="0" w:color="auto"/>
            </w:tcBorders>
          </w:tcPr>
          <w:p>
            <w:pPr>
              <w:pStyle w:val="yTableNAm"/>
            </w:pPr>
            <w:r>
              <w:t>When carrying fewer than 5 passengers</w:t>
            </w:r>
          </w:p>
        </w:tc>
        <w:tc>
          <w:tcPr>
            <w:tcW w:w="2977" w:type="dxa"/>
            <w:tcBorders>
              <w:left w:val="nil"/>
            </w:tcBorders>
          </w:tcPr>
          <w:p>
            <w:pPr>
              <w:pStyle w:val="yTableNAm"/>
            </w:pPr>
            <w:r>
              <w:br/>
            </w:r>
            <w:r>
              <w:rPr>
                <w:szCs w:val="22"/>
              </w:rPr>
              <w:t>$1.15/km</w:t>
            </w:r>
          </w:p>
        </w:tc>
      </w:tr>
      <w:tr>
        <w:trPr>
          <w:cantSplit/>
        </w:trPr>
        <w:tc>
          <w:tcPr>
            <w:tcW w:w="3260" w:type="dxa"/>
            <w:tcBorders>
              <w:bottom w:val="single" w:sz="4" w:space="0" w:color="auto"/>
              <w:right w:val="single" w:sz="4" w:space="0" w:color="auto"/>
            </w:tcBorders>
          </w:tcPr>
          <w:p>
            <w:pPr>
              <w:pStyle w:val="yTableNAm"/>
            </w:pPr>
            <w:r>
              <w:t xml:space="preserve">When carrying 5 or more passengers </w:t>
            </w:r>
          </w:p>
        </w:tc>
        <w:tc>
          <w:tcPr>
            <w:tcW w:w="2977" w:type="dxa"/>
            <w:tcBorders>
              <w:left w:val="nil"/>
              <w:bottom w:val="single" w:sz="4" w:space="0" w:color="auto"/>
            </w:tcBorders>
          </w:tcPr>
          <w:p>
            <w:pPr>
              <w:pStyle w:val="yTableNAm"/>
            </w:pPr>
            <w:r>
              <w:br/>
            </w:r>
            <w:r>
              <w:rPr>
                <w:szCs w:val="22"/>
              </w:rPr>
              <w:t>$1.66/km</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rPr>
                <w:b/>
              </w:rPr>
            </w:pPr>
            <w:r>
              <w:rPr>
                <w:b/>
              </w:rPr>
              <w:t>Call out fee</w:t>
            </w:r>
          </w:p>
        </w:tc>
        <w:tc>
          <w:tcPr>
            <w:tcW w:w="1417" w:type="dxa"/>
          </w:tcPr>
          <w:p>
            <w:pPr>
              <w:pStyle w:val="yTableNAm"/>
            </w:pPr>
            <w:r>
              <w:t>$1.50</w:t>
            </w:r>
          </w:p>
        </w:tc>
      </w:tr>
      <w:tr>
        <w:trPr>
          <w:cantSplit/>
          <w:tblHeader/>
        </w:trPr>
        <w:tc>
          <w:tcPr>
            <w:tcW w:w="4820" w:type="dxa"/>
          </w:tcPr>
          <w:p>
            <w:pPr>
              <w:pStyle w:val="yTableNAm"/>
              <w:rPr>
                <w:b/>
              </w:rPr>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 w:val="left" w:pos="176"/>
              </w:tabs>
              <w:ind w:left="176" w:hanging="176"/>
            </w:pPr>
            <w:r>
              <w:tab/>
              <w:t>Between midnight Friday to 5 am Saturday or midnight Saturday to 5 am Sunday</w:t>
            </w:r>
          </w:p>
        </w:tc>
        <w:tc>
          <w:tcPr>
            <w:tcW w:w="1417" w:type="dxa"/>
          </w:tcPr>
          <w:p>
            <w:pPr>
              <w:pStyle w:val="yTableNAm"/>
            </w:pPr>
          </w:p>
          <w:p>
            <w:pPr>
              <w:pStyle w:val="yTableNAm"/>
            </w:pPr>
            <w:r>
              <w:br/>
            </w:r>
            <w:r>
              <w:rPr>
                <w:szCs w:val="22"/>
              </w:rPr>
              <w:t>$2.65</w:t>
            </w:r>
          </w:p>
        </w:tc>
      </w:tr>
      <w:tr>
        <w:trPr>
          <w:cantSplit/>
        </w:trPr>
        <w:tc>
          <w:tcPr>
            <w:tcW w:w="4820" w:type="dxa"/>
          </w:tcPr>
          <w:p>
            <w:pPr>
              <w:pStyle w:val="yTableNAm"/>
            </w:pPr>
            <w:r>
              <w:t>Christmas Day —</w:t>
            </w:r>
          </w:p>
          <w:p>
            <w:pPr>
              <w:pStyle w:val="yTableNAm"/>
              <w:tabs>
                <w:tab w:val="clear" w:pos="567"/>
                <w:tab w:val="left" w:pos="176"/>
              </w:tabs>
              <w:ind w:left="176" w:hanging="176"/>
            </w:pPr>
            <w:r>
              <w:tab/>
              <w:t>midnight to midnight</w:t>
            </w:r>
          </w:p>
        </w:tc>
        <w:tc>
          <w:tcPr>
            <w:tcW w:w="1417" w:type="dxa"/>
          </w:tcPr>
          <w:p>
            <w:pPr>
              <w:pStyle w:val="yTableNAm"/>
            </w:pPr>
          </w:p>
          <w:p>
            <w:pPr>
              <w:pStyle w:val="yTableNAm"/>
            </w:pPr>
            <w:r>
              <w:rPr>
                <w:szCs w:val="22"/>
              </w:rPr>
              <w:t>$5.10</w:t>
            </w:r>
          </w:p>
        </w:tc>
      </w:tr>
      <w:tr>
        <w:trPr>
          <w:cantSplit/>
          <w:trHeight w:val="794"/>
        </w:trPr>
        <w:tc>
          <w:tcPr>
            <w:tcW w:w="4820" w:type="dxa"/>
          </w:tcPr>
          <w:p>
            <w:pPr>
              <w:pStyle w:val="yTableNAm"/>
              <w:keepNext/>
            </w:pPr>
            <w:r>
              <w:t>New Year’s Eve —</w:t>
            </w:r>
          </w:p>
          <w:p>
            <w:pPr>
              <w:pStyle w:val="yTableNAm"/>
              <w:keepNext/>
              <w:tabs>
                <w:tab w:val="clear" w:pos="567"/>
                <w:tab w:val="left" w:pos="176"/>
              </w:tabs>
              <w:ind w:left="176" w:hanging="176"/>
            </w:pPr>
            <w:r>
              <w:tab/>
              <w:t>6 pm New Year’s Eve to 6 am New Year’s Day</w:t>
            </w:r>
          </w:p>
        </w:tc>
        <w:tc>
          <w:tcPr>
            <w:tcW w:w="1417" w:type="dxa"/>
          </w:tcPr>
          <w:p>
            <w:pPr>
              <w:pStyle w:val="yTableNAm"/>
              <w:keepNext/>
            </w:pPr>
          </w:p>
          <w:p>
            <w:pPr>
              <w:pStyle w:val="yTableNAm"/>
              <w:keepNext/>
            </w:pPr>
            <w:r>
              <w:rPr>
                <w:szCs w:val="22"/>
              </w:rPr>
              <w:t>$5.70</w:t>
            </w:r>
          </w:p>
        </w:tc>
      </w:tr>
    </w:tbl>
    <w:p>
      <w:pPr>
        <w:pStyle w:val="yFootnotesection"/>
      </w:pPr>
      <w:r>
        <w:tab/>
        <w:t>[Division 9 inserted: Gazette 23 Dec 2014 p. 4910-11; amended: Gazette 28 Jun 2016 p. 2671.]</w:t>
      </w:r>
    </w:p>
    <w:p>
      <w:pPr>
        <w:pStyle w:val="yScheduleHeading"/>
      </w:pPr>
      <w:bookmarkStart w:id="48" w:name="_Toc12442310"/>
      <w:bookmarkStart w:id="49" w:name="_Toc12449502"/>
      <w:bookmarkStart w:id="50" w:name="_Toc12868490"/>
      <w:r>
        <w:rPr>
          <w:rStyle w:val="CharSchNo"/>
        </w:rPr>
        <w:t>Schedule 2</w:t>
      </w:r>
      <w:r>
        <w:rPr>
          <w:rStyle w:val="CharSDivNo"/>
        </w:rPr>
        <w:t> </w:t>
      </w:r>
      <w:r>
        <w:t>—</w:t>
      </w:r>
      <w:r>
        <w:rPr>
          <w:rStyle w:val="CharSDivText"/>
        </w:rPr>
        <w:t> </w:t>
      </w:r>
      <w:r>
        <w:rPr>
          <w:rStyle w:val="CharSchText"/>
        </w:rPr>
        <w:t>Modified penalties</w:t>
      </w:r>
      <w:bookmarkEnd w:id="48"/>
      <w:bookmarkEnd w:id="49"/>
      <w:bookmarkEnd w:id="50"/>
    </w:p>
    <w:p>
      <w:pPr>
        <w:pStyle w:val="yShoulderClause"/>
      </w:pPr>
      <w:r>
        <w:t>[r. 7A(1)]</w:t>
      </w:r>
    </w:p>
    <w:p>
      <w:pPr>
        <w:pStyle w:val="yFootnoteheading"/>
        <w:spacing w:after="60"/>
      </w:pPr>
      <w:r>
        <w:tab/>
        <w:t>[Heading inserted: Gazette 14 Jul 2006 p. 2572.]</w:t>
      </w:r>
    </w:p>
    <w:p>
      <w:pPr>
        <w:pStyle w:val="yTableNAm"/>
        <w:spacing w:after="120"/>
        <w:jc w:val="center"/>
        <w:rPr>
          <w:b/>
        </w:rPr>
      </w:pPr>
      <w:r>
        <w:rPr>
          <w:b/>
        </w:rPr>
        <w:t>Table</w:t>
      </w:r>
    </w:p>
    <w:tbl>
      <w:tblPr>
        <w:tblW w:w="675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3544"/>
        <w:gridCol w:w="1229"/>
      </w:tblGrid>
      <w:tr>
        <w:trPr>
          <w:tblHeader/>
        </w:trPr>
        <w:tc>
          <w:tcPr>
            <w:tcW w:w="709" w:type="dxa"/>
          </w:tcPr>
          <w:p>
            <w:pPr>
              <w:pStyle w:val="yTableNAm"/>
              <w:jc w:val="center"/>
            </w:pPr>
            <w:r>
              <w:rPr>
                <w:b/>
                <w:bCs/>
              </w:rPr>
              <w:t>Item</w:t>
            </w:r>
          </w:p>
        </w:tc>
        <w:tc>
          <w:tcPr>
            <w:tcW w:w="1275" w:type="dxa"/>
          </w:tcPr>
          <w:p>
            <w:pPr>
              <w:pStyle w:val="yTableNAm"/>
              <w:jc w:val="center"/>
            </w:pPr>
            <w:r>
              <w:rPr>
                <w:b/>
                <w:bCs/>
              </w:rPr>
              <w:t>Regulation</w:t>
            </w:r>
          </w:p>
        </w:tc>
        <w:tc>
          <w:tcPr>
            <w:tcW w:w="3544" w:type="dxa"/>
          </w:tcPr>
          <w:p>
            <w:pPr>
              <w:pStyle w:val="yTableNAm"/>
              <w:jc w:val="center"/>
            </w:pPr>
            <w:r>
              <w:rPr>
                <w:b/>
                <w:bCs/>
              </w:rPr>
              <w:t>Description of offence</w:t>
            </w:r>
          </w:p>
        </w:tc>
        <w:tc>
          <w:tcPr>
            <w:tcW w:w="1229" w:type="dxa"/>
          </w:tcPr>
          <w:p>
            <w:pPr>
              <w:pStyle w:val="yTableNAm"/>
              <w:jc w:val="center"/>
            </w:pPr>
            <w:r>
              <w:rPr>
                <w:b/>
                <w:bCs/>
              </w:rPr>
              <w:t>Modified penalty</w:t>
            </w:r>
          </w:p>
          <w:p>
            <w:pPr>
              <w:pStyle w:val="yTableNAm"/>
              <w:jc w:val="center"/>
            </w:pPr>
            <w:r>
              <w:t>$</w:t>
            </w:r>
          </w:p>
        </w:tc>
      </w:tr>
      <w:tr>
        <w:tc>
          <w:tcPr>
            <w:tcW w:w="709" w:type="dxa"/>
          </w:tcPr>
          <w:p>
            <w:pPr>
              <w:pStyle w:val="yTableNAm"/>
            </w:pPr>
            <w:r>
              <w:t>1.</w:t>
            </w:r>
          </w:p>
        </w:tc>
        <w:tc>
          <w:tcPr>
            <w:tcW w:w="1275" w:type="dxa"/>
          </w:tcPr>
          <w:p>
            <w:pPr>
              <w:pStyle w:val="yTableNAm"/>
            </w:pPr>
            <w:r>
              <w:t>r. 3(1)</w:t>
            </w:r>
          </w:p>
        </w:tc>
        <w:tc>
          <w:tcPr>
            <w:tcW w:w="3544" w:type="dxa"/>
          </w:tcPr>
          <w:p>
            <w:pPr>
              <w:pStyle w:val="yTable"/>
              <w:spacing w:before="120"/>
            </w:pPr>
            <w:r>
              <w:t>Fare, surcharge or fee of a kind set out in Schedule 1 for hire of taxi</w:t>
            </w:r>
            <w:r>
              <w:noBreakHyphen/>
              <w:t>car is more than that in Schedule 1</w:t>
            </w:r>
          </w:p>
        </w:tc>
        <w:tc>
          <w:tcPr>
            <w:tcW w:w="1229" w:type="dxa"/>
          </w:tcPr>
          <w:p>
            <w:pPr>
              <w:pStyle w:val="yTableNAm"/>
            </w:pPr>
            <w:r>
              <w:br/>
            </w:r>
            <w:r>
              <w:br/>
              <w:t>50</w:t>
            </w:r>
          </w:p>
        </w:tc>
      </w:tr>
      <w:tr>
        <w:tc>
          <w:tcPr>
            <w:tcW w:w="709" w:type="dxa"/>
          </w:tcPr>
          <w:p>
            <w:pPr>
              <w:pStyle w:val="yTableNAm"/>
            </w:pPr>
            <w:r>
              <w:t>2.</w:t>
            </w:r>
          </w:p>
        </w:tc>
        <w:tc>
          <w:tcPr>
            <w:tcW w:w="1275" w:type="dxa"/>
          </w:tcPr>
          <w:p>
            <w:pPr>
              <w:pStyle w:val="yTable"/>
              <w:spacing w:before="120"/>
            </w:pPr>
            <w:r>
              <w:t>r. 3(1A)</w:t>
            </w:r>
          </w:p>
        </w:tc>
        <w:tc>
          <w:tcPr>
            <w:tcW w:w="3544" w:type="dxa"/>
          </w:tcPr>
          <w:p>
            <w:pPr>
              <w:pStyle w:val="yTable"/>
              <w:spacing w:before="120"/>
            </w:pPr>
            <w:r>
              <w:t>Selecting a tariff that is not the appropriate tariff as set out in Schedule 1</w:t>
            </w:r>
          </w:p>
        </w:tc>
        <w:tc>
          <w:tcPr>
            <w:tcW w:w="1229" w:type="dxa"/>
          </w:tcPr>
          <w:p>
            <w:pPr>
              <w:pStyle w:val="yTableNAm"/>
            </w:pPr>
            <w:r>
              <w:br/>
            </w:r>
            <w:r>
              <w:br/>
              <w:t>50</w:t>
            </w:r>
          </w:p>
        </w:tc>
      </w:tr>
      <w:tr>
        <w:tc>
          <w:tcPr>
            <w:tcW w:w="709" w:type="dxa"/>
          </w:tcPr>
          <w:p>
            <w:pPr>
              <w:pStyle w:val="yTableNAm"/>
            </w:pPr>
            <w:r>
              <w:t>3.</w:t>
            </w:r>
          </w:p>
        </w:tc>
        <w:tc>
          <w:tcPr>
            <w:tcW w:w="1275" w:type="dxa"/>
          </w:tcPr>
          <w:p>
            <w:pPr>
              <w:pStyle w:val="yTable"/>
              <w:spacing w:before="120"/>
            </w:pPr>
            <w:r>
              <w:t>r. 3AA(6)</w:t>
            </w:r>
          </w:p>
        </w:tc>
        <w:tc>
          <w:tcPr>
            <w:tcW w:w="3544" w:type="dxa"/>
          </w:tcPr>
          <w:p>
            <w:pPr>
              <w:pStyle w:val="yTableNAm"/>
            </w:pPr>
            <w:r>
              <w:t>Not retaining contract fare record for 12 months</w:t>
            </w:r>
          </w:p>
        </w:tc>
        <w:tc>
          <w:tcPr>
            <w:tcW w:w="1229" w:type="dxa"/>
          </w:tcPr>
          <w:p>
            <w:pPr>
              <w:pStyle w:val="yTableNAm"/>
            </w:pPr>
            <w:r>
              <w:br/>
              <w:t>50</w:t>
            </w:r>
          </w:p>
        </w:tc>
      </w:tr>
      <w:tr>
        <w:tc>
          <w:tcPr>
            <w:tcW w:w="709" w:type="dxa"/>
          </w:tcPr>
          <w:p>
            <w:pPr>
              <w:pStyle w:val="yTableNAm"/>
            </w:pPr>
            <w:r>
              <w:t>4.</w:t>
            </w:r>
          </w:p>
        </w:tc>
        <w:tc>
          <w:tcPr>
            <w:tcW w:w="1275" w:type="dxa"/>
          </w:tcPr>
          <w:p>
            <w:pPr>
              <w:pStyle w:val="yTable"/>
              <w:spacing w:before="120"/>
            </w:pPr>
            <w:r>
              <w:t>r. 3AB(2)</w:t>
            </w:r>
          </w:p>
        </w:tc>
        <w:tc>
          <w:tcPr>
            <w:tcW w:w="3544" w:type="dxa"/>
          </w:tcPr>
          <w:p>
            <w:pPr>
              <w:pStyle w:val="yTableNAm"/>
            </w:pPr>
            <w:r>
              <w:t>Hirer failing to pay parking fee incurred at passenger’s request</w:t>
            </w:r>
          </w:p>
        </w:tc>
        <w:tc>
          <w:tcPr>
            <w:tcW w:w="1229" w:type="dxa"/>
          </w:tcPr>
          <w:p>
            <w:pPr>
              <w:pStyle w:val="yTableNAm"/>
            </w:pPr>
            <w:r>
              <w:br/>
              <w:t>50</w:t>
            </w:r>
          </w:p>
        </w:tc>
      </w:tr>
      <w:tr>
        <w:tc>
          <w:tcPr>
            <w:tcW w:w="709" w:type="dxa"/>
          </w:tcPr>
          <w:p>
            <w:pPr>
              <w:pStyle w:val="yTableNAm"/>
            </w:pPr>
            <w:r>
              <w:t>5.</w:t>
            </w:r>
          </w:p>
        </w:tc>
        <w:tc>
          <w:tcPr>
            <w:tcW w:w="1275" w:type="dxa"/>
          </w:tcPr>
          <w:p>
            <w:pPr>
              <w:pStyle w:val="yTable"/>
              <w:spacing w:before="120"/>
            </w:pPr>
            <w:r>
              <w:t>r. 3AB(4)</w:t>
            </w:r>
          </w:p>
        </w:tc>
        <w:tc>
          <w:tcPr>
            <w:tcW w:w="3544" w:type="dxa"/>
          </w:tcPr>
          <w:p>
            <w:pPr>
              <w:pStyle w:val="yTableNAm"/>
            </w:pPr>
            <w:r>
              <w:t>Charging excessive cleaning costs</w:t>
            </w:r>
          </w:p>
        </w:tc>
        <w:tc>
          <w:tcPr>
            <w:tcW w:w="1229" w:type="dxa"/>
          </w:tcPr>
          <w:p>
            <w:pPr>
              <w:pStyle w:val="yTableNAm"/>
            </w:pPr>
            <w:r>
              <w:t>50</w:t>
            </w:r>
          </w:p>
        </w:tc>
      </w:tr>
      <w:tr>
        <w:tc>
          <w:tcPr>
            <w:tcW w:w="709" w:type="dxa"/>
          </w:tcPr>
          <w:p>
            <w:pPr>
              <w:pStyle w:val="yTableNAm"/>
            </w:pPr>
            <w:r>
              <w:t>6.</w:t>
            </w:r>
          </w:p>
        </w:tc>
        <w:tc>
          <w:tcPr>
            <w:tcW w:w="1275" w:type="dxa"/>
          </w:tcPr>
          <w:p>
            <w:pPr>
              <w:pStyle w:val="yTable"/>
              <w:spacing w:before="120"/>
            </w:pPr>
            <w:r>
              <w:t>r. 3B(2)</w:t>
            </w:r>
          </w:p>
        </w:tc>
        <w:tc>
          <w:tcPr>
            <w:tcW w:w="3544" w:type="dxa"/>
          </w:tcPr>
          <w:p>
            <w:pPr>
              <w:pStyle w:val="yTableNAm"/>
            </w:pPr>
            <w:r>
              <w:t>Imposing excessive surcharge</w:t>
            </w:r>
          </w:p>
        </w:tc>
        <w:tc>
          <w:tcPr>
            <w:tcW w:w="1229" w:type="dxa"/>
          </w:tcPr>
          <w:p>
            <w:pPr>
              <w:pStyle w:val="yTableNAm"/>
            </w:pPr>
            <w:r>
              <w:t>50</w:t>
            </w:r>
          </w:p>
        </w:tc>
      </w:tr>
      <w:tr>
        <w:tc>
          <w:tcPr>
            <w:tcW w:w="709" w:type="dxa"/>
          </w:tcPr>
          <w:p>
            <w:pPr>
              <w:pStyle w:val="yTableNAm"/>
            </w:pPr>
            <w:r>
              <w:t>7.</w:t>
            </w:r>
          </w:p>
        </w:tc>
        <w:tc>
          <w:tcPr>
            <w:tcW w:w="1275" w:type="dxa"/>
          </w:tcPr>
          <w:p>
            <w:pPr>
              <w:pStyle w:val="yTable"/>
              <w:spacing w:before="120"/>
            </w:pPr>
            <w:r>
              <w:t>r. 3B(3)</w:t>
            </w:r>
          </w:p>
        </w:tc>
        <w:tc>
          <w:tcPr>
            <w:tcW w:w="3544" w:type="dxa"/>
          </w:tcPr>
          <w:p>
            <w:pPr>
              <w:pStyle w:val="yTableNAm"/>
            </w:pPr>
            <w:r>
              <w:t>Not using correct payment terminal</w:t>
            </w:r>
          </w:p>
        </w:tc>
        <w:tc>
          <w:tcPr>
            <w:tcW w:w="1229" w:type="dxa"/>
          </w:tcPr>
          <w:p>
            <w:pPr>
              <w:pStyle w:val="yTableNAm"/>
            </w:pPr>
            <w:r>
              <w:t>50</w:t>
            </w:r>
          </w:p>
        </w:tc>
      </w:tr>
      <w:tr>
        <w:tc>
          <w:tcPr>
            <w:tcW w:w="709" w:type="dxa"/>
          </w:tcPr>
          <w:p>
            <w:pPr>
              <w:pStyle w:val="yTableNAm"/>
            </w:pPr>
            <w:r>
              <w:t>8.</w:t>
            </w:r>
          </w:p>
        </w:tc>
        <w:tc>
          <w:tcPr>
            <w:tcW w:w="1275" w:type="dxa"/>
          </w:tcPr>
          <w:p>
            <w:pPr>
              <w:pStyle w:val="yTable"/>
              <w:spacing w:before="120"/>
            </w:pPr>
            <w:r>
              <w:t>r. 4(1)</w:t>
            </w:r>
          </w:p>
        </w:tc>
        <w:tc>
          <w:tcPr>
            <w:tcW w:w="3544" w:type="dxa"/>
          </w:tcPr>
          <w:p>
            <w:pPr>
              <w:pStyle w:val="yTableNAm"/>
            </w:pPr>
            <w:r>
              <w:rPr>
                <w:spacing w:val="-4"/>
              </w:rPr>
              <w:t>Evading or attempting to evade payment of fare</w:t>
            </w:r>
          </w:p>
        </w:tc>
        <w:tc>
          <w:tcPr>
            <w:tcW w:w="1229" w:type="dxa"/>
          </w:tcPr>
          <w:p>
            <w:pPr>
              <w:pStyle w:val="yTableNAm"/>
            </w:pPr>
            <w:r>
              <w:br/>
              <w:t>50</w:t>
            </w:r>
          </w:p>
        </w:tc>
      </w:tr>
      <w:tr>
        <w:tc>
          <w:tcPr>
            <w:tcW w:w="709" w:type="dxa"/>
          </w:tcPr>
          <w:p>
            <w:pPr>
              <w:pStyle w:val="yTableNAm"/>
            </w:pPr>
            <w:r>
              <w:t>9.</w:t>
            </w:r>
          </w:p>
        </w:tc>
        <w:tc>
          <w:tcPr>
            <w:tcW w:w="1275" w:type="dxa"/>
          </w:tcPr>
          <w:p>
            <w:pPr>
              <w:pStyle w:val="yTable"/>
              <w:spacing w:before="120"/>
            </w:pPr>
            <w:r>
              <w:t>r. 4(2)</w:t>
            </w:r>
          </w:p>
        </w:tc>
        <w:tc>
          <w:tcPr>
            <w:tcW w:w="3544" w:type="dxa"/>
          </w:tcPr>
          <w:p>
            <w:pPr>
              <w:pStyle w:val="yTableNAm"/>
            </w:pPr>
            <w:r>
              <w:t>Failing to report evasion or attempted evasion of payment of fare to Director General</w:t>
            </w:r>
          </w:p>
        </w:tc>
        <w:tc>
          <w:tcPr>
            <w:tcW w:w="1229" w:type="dxa"/>
          </w:tcPr>
          <w:p>
            <w:pPr>
              <w:pStyle w:val="yTableNAm"/>
            </w:pPr>
            <w:r>
              <w:br/>
            </w:r>
            <w:r>
              <w:br/>
              <w:t>50</w:t>
            </w:r>
          </w:p>
        </w:tc>
      </w:tr>
      <w:tr>
        <w:tc>
          <w:tcPr>
            <w:tcW w:w="709" w:type="dxa"/>
          </w:tcPr>
          <w:p>
            <w:pPr>
              <w:pStyle w:val="yTableNAm"/>
            </w:pPr>
            <w:r>
              <w:t>10.</w:t>
            </w:r>
          </w:p>
        </w:tc>
        <w:tc>
          <w:tcPr>
            <w:tcW w:w="1275" w:type="dxa"/>
          </w:tcPr>
          <w:p>
            <w:pPr>
              <w:pStyle w:val="yTable"/>
              <w:spacing w:before="120"/>
            </w:pPr>
            <w:r>
              <w:t>r. 5A(2)</w:t>
            </w:r>
          </w:p>
        </w:tc>
        <w:tc>
          <w:tcPr>
            <w:tcW w:w="3544" w:type="dxa"/>
          </w:tcPr>
          <w:p>
            <w:pPr>
              <w:pStyle w:val="yTableNAm"/>
            </w:pPr>
            <w:r>
              <w:t>Refusing to accept voucher</w:t>
            </w:r>
          </w:p>
        </w:tc>
        <w:tc>
          <w:tcPr>
            <w:tcW w:w="1229" w:type="dxa"/>
          </w:tcPr>
          <w:p>
            <w:pPr>
              <w:pStyle w:val="yTableNAm"/>
            </w:pPr>
            <w:r>
              <w:t>50</w:t>
            </w:r>
          </w:p>
        </w:tc>
      </w:tr>
      <w:tr>
        <w:tc>
          <w:tcPr>
            <w:tcW w:w="709" w:type="dxa"/>
          </w:tcPr>
          <w:p>
            <w:pPr>
              <w:pStyle w:val="yTableNAm"/>
              <w:keepNext/>
            </w:pPr>
            <w:r>
              <w:t>11.</w:t>
            </w:r>
          </w:p>
        </w:tc>
        <w:tc>
          <w:tcPr>
            <w:tcW w:w="1275" w:type="dxa"/>
          </w:tcPr>
          <w:p>
            <w:pPr>
              <w:pStyle w:val="yTable"/>
              <w:keepNext/>
              <w:spacing w:before="120"/>
            </w:pPr>
            <w:r>
              <w:t>r. 5A(3)</w:t>
            </w:r>
          </w:p>
        </w:tc>
        <w:tc>
          <w:tcPr>
            <w:tcW w:w="3544" w:type="dxa"/>
          </w:tcPr>
          <w:p>
            <w:pPr>
              <w:pStyle w:val="yTableNAm"/>
              <w:keepNext/>
            </w:pPr>
            <w:r>
              <w:t>Entering false or misleading information on voucher</w:t>
            </w:r>
          </w:p>
        </w:tc>
        <w:tc>
          <w:tcPr>
            <w:tcW w:w="1229" w:type="dxa"/>
          </w:tcPr>
          <w:p>
            <w:pPr>
              <w:pStyle w:val="yTableNAm"/>
            </w:pPr>
            <w:r>
              <w:br/>
              <w:t>50</w:t>
            </w:r>
          </w:p>
        </w:tc>
      </w:tr>
      <w:tr>
        <w:tc>
          <w:tcPr>
            <w:tcW w:w="709" w:type="dxa"/>
          </w:tcPr>
          <w:p>
            <w:pPr>
              <w:pStyle w:val="yTableNAm"/>
            </w:pPr>
            <w:r>
              <w:t>12.</w:t>
            </w:r>
          </w:p>
        </w:tc>
        <w:tc>
          <w:tcPr>
            <w:tcW w:w="1275" w:type="dxa"/>
          </w:tcPr>
          <w:p>
            <w:pPr>
              <w:pStyle w:val="yTable"/>
              <w:spacing w:before="120"/>
            </w:pPr>
            <w:r>
              <w:t>r. 5A(6)</w:t>
            </w:r>
          </w:p>
        </w:tc>
        <w:tc>
          <w:tcPr>
            <w:tcW w:w="3544" w:type="dxa"/>
          </w:tcPr>
          <w:p>
            <w:pPr>
              <w:pStyle w:val="yTableNAm"/>
            </w:pPr>
            <w:r>
              <w:t>Directing taxi</w:t>
            </w:r>
            <w:r>
              <w:noBreakHyphen/>
              <w:t>car driver to refuse to accept voucher</w:t>
            </w:r>
          </w:p>
        </w:tc>
        <w:tc>
          <w:tcPr>
            <w:tcW w:w="1229" w:type="dxa"/>
          </w:tcPr>
          <w:p>
            <w:pPr>
              <w:pStyle w:val="yTableNAm"/>
            </w:pPr>
            <w:r>
              <w:br/>
              <w:t>50</w:t>
            </w:r>
          </w:p>
        </w:tc>
      </w:tr>
      <w:tr>
        <w:tc>
          <w:tcPr>
            <w:tcW w:w="709" w:type="dxa"/>
          </w:tcPr>
          <w:p>
            <w:pPr>
              <w:pStyle w:val="yTableNAm"/>
            </w:pPr>
            <w:r>
              <w:t>13.</w:t>
            </w:r>
          </w:p>
        </w:tc>
        <w:tc>
          <w:tcPr>
            <w:tcW w:w="1275" w:type="dxa"/>
          </w:tcPr>
          <w:p>
            <w:pPr>
              <w:pStyle w:val="yTableNAm"/>
            </w:pPr>
            <w:r>
              <w:t>r. 6(1)</w:t>
            </w:r>
          </w:p>
        </w:tc>
        <w:tc>
          <w:tcPr>
            <w:tcW w:w="3544" w:type="dxa"/>
          </w:tcPr>
          <w:p>
            <w:pPr>
              <w:pStyle w:val="yTableNAm"/>
            </w:pPr>
            <w:r>
              <w:t>Owner failing to ensure fare schedule carried in vehicle</w:t>
            </w:r>
          </w:p>
        </w:tc>
        <w:tc>
          <w:tcPr>
            <w:tcW w:w="1229" w:type="dxa"/>
          </w:tcPr>
          <w:p>
            <w:pPr>
              <w:pStyle w:val="yTableNAm"/>
            </w:pPr>
            <w:r>
              <w:br/>
              <w:t>50</w:t>
            </w:r>
          </w:p>
        </w:tc>
      </w:tr>
      <w:tr>
        <w:tc>
          <w:tcPr>
            <w:tcW w:w="709" w:type="dxa"/>
          </w:tcPr>
          <w:p>
            <w:pPr>
              <w:pStyle w:val="yTableNAm"/>
            </w:pPr>
            <w:r>
              <w:t>14.</w:t>
            </w:r>
          </w:p>
        </w:tc>
        <w:tc>
          <w:tcPr>
            <w:tcW w:w="1275" w:type="dxa"/>
          </w:tcPr>
          <w:p>
            <w:pPr>
              <w:pStyle w:val="yTableNAm"/>
            </w:pPr>
            <w:r>
              <w:t>r. 6(2)</w:t>
            </w:r>
          </w:p>
        </w:tc>
        <w:tc>
          <w:tcPr>
            <w:tcW w:w="3544" w:type="dxa"/>
          </w:tcPr>
          <w:p>
            <w:pPr>
              <w:pStyle w:val="yTableNAm"/>
            </w:pPr>
            <w:r>
              <w:t>Driver failing to make schedule available to hirer upon request</w:t>
            </w:r>
          </w:p>
        </w:tc>
        <w:tc>
          <w:tcPr>
            <w:tcW w:w="1229" w:type="dxa"/>
          </w:tcPr>
          <w:p>
            <w:pPr>
              <w:pStyle w:val="yTableNAm"/>
            </w:pPr>
            <w:r>
              <w:br/>
              <w:t>50</w:t>
            </w:r>
          </w:p>
        </w:tc>
      </w:tr>
      <w:tr>
        <w:tc>
          <w:tcPr>
            <w:tcW w:w="709" w:type="dxa"/>
          </w:tcPr>
          <w:p>
            <w:pPr>
              <w:pStyle w:val="yTableNAm"/>
            </w:pPr>
            <w:r>
              <w:t>15.</w:t>
            </w:r>
          </w:p>
        </w:tc>
        <w:tc>
          <w:tcPr>
            <w:tcW w:w="1275" w:type="dxa"/>
          </w:tcPr>
          <w:p>
            <w:pPr>
              <w:pStyle w:val="yTable"/>
              <w:spacing w:before="120"/>
            </w:pPr>
            <w:r>
              <w:t>r. 6(3)</w:t>
            </w:r>
          </w:p>
        </w:tc>
        <w:tc>
          <w:tcPr>
            <w:tcW w:w="3544" w:type="dxa"/>
          </w:tcPr>
          <w:p>
            <w:pPr>
              <w:pStyle w:val="yTableNAm"/>
            </w:pPr>
            <w:r>
              <w:t>Driving a taxi</w:t>
            </w:r>
            <w:r>
              <w:noBreakHyphen/>
              <w:t>car in which relevant fare schedule is not carried</w:t>
            </w:r>
          </w:p>
        </w:tc>
        <w:tc>
          <w:tcPr>
            <w:tcW w:w="1229" w:type="dxa"/>
          </w:tcPr>
          <w:p>
            <w:pPr>
              <w:pStyle w:val="yTableNAm"/>
            </w:pPr>
            <w:r>
              <w:br/>
              <w:t>50</w:t>
            </w:r>
          </w:p>
        </w:tc>
      </w:tr>
    </w:tbl>
    <w:p>
      <w:pPr>
        <w:pStyle w:val="yFootnotesection"/>
      </w:pPr>
      <w:r>
        <w:tab/>
        <w:t>[Schedule 2 inserted: Gazette 28 Jun 2016 p. 2671</w:t>
      </w:r>
      <w:r>
        <w:noBreakHyphen/>
        <w:t>3.]</w:t>
      </w:r>
    </w:p>
    <w:p>
      <w:pPr>
        <w:pStyle w:val="yScheduleHeading"/>
        <w:rPr>
          <w:rStyle w:val="CharSchNo"/>
        </w:r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2" w:name="_Toc12442311"/>
      <w:bookmarkStart w:id="53" w:name="_Toc12449503"/>
      <w:bookmarkStart w:id="54" w:name="_Toc12868491"/>
      <w:r>
        <w:rPr>
          <w:rStyle w:val="CharSchNo"/>
        </w:rPr>
        <w:t>Schedule 3</w:t>
      </w:r>
      <w:r>
        <w:rPr>
          <w:rStyle w:val="CharSDivNo"/>
        </w:rPr>
        <w:t> </w:t>
      </w:r>
      <w:r>
        <w:t>—</w:t>
      </w:r>
      <w:r>
        <w:rPr>
          <w:rStyle w:val="CharSDivText"/>
        </w:rPr>
        <w:t> </w:t>
      </w:r>
      <w:r>
        <w:rPr>
          <w:rStyle w:val="CharSchText"/>
        </w:rPr>
        <w:t>Forms</w:t>
      </w:r>
      <w:bookmarkEnd w:id="52"/>
      <w:bookmarkEnd w:id="53"/>
      <w:bookmarkEnd w:id="54"/>
    </w:p>
    <w:p>
      <w:pPr>
        <w:pStyle w:val="yShoulderClause"/>
        <w:spacing w:before="40"/>
      </w:pPr>
      <w:r>
        <w:t>[r. 7A(2) and (3)]</w:t>
      </w:r>
    </w:p>
    <w:p>
      <w:pPr>
        <w:pStyle w:val="yFootnoteheading"/>
        <w:spacing w:before="80"/>
      </w:pPr>
      <w:r>
        <w:tab/>
        <w:t>[Heading inserted: Gazette 14 Jul 2006 p. 2573.]</w:t>
      </w:r>
    </w:p>
    <w:p>
      <w:pPr>
        <w:pStyle w:val="yTable"/>
        <w:jc w:val="center"/>
      </w:pPr>
      <w:r>
        <w:rPr>
          <w:rStyle w:val="CharSClsNo"/>
          <w:b/>
        </w:rPr>
        <w:t>FORM 1</w:t>
      </w:r>
    </w:p>
    <w:p>
      <w:pPr>
        <w:pStyle w:val="yTable"/>
        <w:jc w:val="center"/>
        <w:rPr>
          <w:i/>
          <w:iCs/>
        </w:rPr>
      </w:pPr>
      <w:r>
        <w:rPr>
          <w:i/>
          <w:iCs/>
        </w:rPr>
        <w:t>TRANSPORT CO</w:t>
      </w:r>
      <w:r>
        <w:rPr>
          <w:i/>
          <w:iCs/>
        </w:rPr>
        <w:noBreakHyphen/>
        <w:t>ORDINATION ACT 1966</w:t>
      </w:r>
      <w:r>
        <w:t> — section 58A</w:t>
      </w:r>
    </w:p>
    <w:p>
      <w:pPr>
        <w:pStyle w:val="yTable"/>
        <w:jc w:val="center"/>
        <w:rPr>
          <w:i/>
          <w:iCs/>
        </w:rPr>
      </w:pPr>
      <w:r>
        <w:rPr>
          <w:i/>
          <w:szCs w:val="22"/>
        </w:rPr>
        <w:t>TRANSPORT (COUNTRY TAXI</w:t>
      </w:r>
      <w:r>
        <w:rPr>
          <w:i/>
          <w:szCs w:val="22"/>
        </w:rPr>
        <w:noBreakHyphen/>
        <w:t xml:space="preserve">CARS FARES) </w:t>
      </w:r>
      <w:r>
        <w:rPr>
          <w:i/>
          <w:iCs/>
        </w:rPr>
        <w:t>REGULATIONS 1991 </w:t>
      </w:r>
      <w:r>
        <w:rPr>
          <w:i/>
          <w:iCs/>
        </w:rPr>
        <w:noBreakHyphen/>
        <w:t> </w:t>
      </w:r>
      <w:r>
        <w:t>regulation 7A(2)</w:t>
      </w:r>
    </w:p>
    <w:p>
      <w:pPr>
        <w:pStyle w:val="yTable"/>
        <w:jc w:val="center"/>
      </w:pPr>
      <w:smartTag w:uri="urn:schemas-microsoft-com:office:smarttags" w:element="State">
        <w:smartTag w:uri="urn:schemas-microsoft-com:office:smarttags" w:element="place">
          <w:r>
            <w:t>Western Australia</w:t>
          </w:r>
        </w:smartTag>
      </w:smartTag>
    </w:p>
    <w:p>
      <w:pPr>
        <w:pStyle w:val="yTable"/>
        <w:jc w:val="center"/>
      </w:pPr>
      <w:r>
        <w:t xml:space="preserve">Department </w:t>
      </w:r>
      <w:r>
        <w:rPr>
          <w:szCs w:val="22"/>
        </w:rPr>
        <w:t>of Transport</w:t>
      </w:r>
    </w:p>
    <w:p>
      <w:pPr>
        <w:pStyle w:val="yTable"/>
        <w:spacing w:before="120" w:after="120"/>
        <w:jc w:val="center"/>
        <w:rPr>
          <w:b/>
          <w:bCs/>
        </w:rPr>
      </w:pPr>
      <w:r>
        <w:rPr>
          <w:b/>
          <w:bCs/>
        </w:rPr>
        <w:t>TAXI INFRINGEMENT NOTICE</w:t>
      </w:r>
    </w:p>
    <w:p>
      <w:pPr>
        <w:pStyle w:val="yTable"/>
        <w:rPr>
          <w:sz w:val="20"/>
        </w:rPr>
      </w:pPr>
      <w:r>
        <w:rPr>
          <w:sz w:val="20"/>
        </w:rPr>
        <w:t>PART “B”</w:t>
      </w:r>
      <w:r>
        <w:rPr>
          <w:sz w:val="20"/>
        </w:rPr>
        <w:tab/>
      </w:r>
      <w:r>
        <w:rPr>
          <w:sz w:val="20"/>
        </w:rPr>
        <w:tab/>
      </w:r>
      <w:r>
        <w:rPr>
          <w:sz w:val="20"/>
        </w:rPr>
        <w:tab/>
      </w:r>
      <w:r>
        <w:rPr>
          <w:sz w:val="20"/>
        </w:rPr>
        <w:tab/>
        <w:t>This space for cash register imprint</w:t>
      </w:r>
    </w:p>
    <w:p>
      <w:pPr>
        <w:pStyle w:val="yTable"/>
        <w:rPr>
          <w:sz w:val="20"/>
        </w:rPr>
      </w:pPr>
      <w:r>
        <w:rPr>
          <w:sz w:val="20"/>
        </w:rPr>
        <w:t>To be retained by Cashier.</w:t>
      </w:r>
    </w:p>
    <w:p>
      <w:pPr>
        <w:pStyle w:val="yTable"/>
        <w:rPr>
          <w:sz w:val="20"/>
        </w:rPr>
      </w:pPr>
      <w:r>
        <w:rPr>
          <w:sz w:val="20"/>
        </w:rPr>
        <w:t>OFFICE COPY ONLY</w:t>
      </w:r>
    </w:p>
    <w:p>
      <w:pPr>
        <w:pStyle w:val="yTable"/>
        <w:rPr>
          <w:sz w:val="20"/>
        </w:rPr>
      </w:pPr>
      <w:r>
        <w:rPr>
          <w:sz w:val="20"/>
        </w:rPr>
        <w:t>Please do not detach from Part “A”</w:t>
      </w:r>
    </w:p>
    <w:p>
      <w:pPr>
        <w:pStyle w:val="yTable"/>
        <w:spacing w:before="180"/>
        <w:rPr>
          <w:sz w:val="20"/>
        </w:rPr>
      </w:pPr>
      <w:r>
        <w:rPr>
          <w:sz w:val="20"/>
        </w:rPr>
        <w:t>PART “A”</w:t>
      </w:r>
    </w:p>
    <w:p>
      <w:pPr>
        <w:pStyle w:val="yTable"/>
        <w:rPr>
          <w:sz w:val="20"/>
        </w:rPr>
      </w:pPr>
      <w:r>
        <w:rPr>
          <w:sz w:val="20"/>
        </w:rPr>
        <w:t>OFFICIAL RECEIPT</w:t>
      </w:r>
    </w:p>
    <w:p>
      <w:pPr>
        <w:pStyle w:val="yTable"/>
        <w:rPr>
          <w:sz w:val="20"/>
        </w:rPr>
      </w:pPr>
      <w:r>
        <w:rPr>
          <w:sz w:val="20"/>
        </w:rPr>
        <w:t>DEFENDANT’S COPY</w:t>
      </w:r>
      <w:r>
        <w:rPr>
          <w:sz w:val="20"/>
        </w:rPr>
        <w:tab/>
      </w:r>
      <w:r>
        <w:rPr>
          <w:sz w:val="20"/>
        </w:rPr>
        <w:tab/>
      </w:r>
      <w:r>
        <w:rPr>
          <w:sz w:val="20"/>
        </w:rPr>
        <w:tab/>
      </w:r>
      <w:r>
        <w:rPr>
          <w:sz w:val="20"/>
        </w:rPr>
        <w:tab/>
      </w:r>
      <w:r>
        <w:rPr>
          <w:sz w:val="20"/>
        </w:rPr>
        <w:tab/>
        <w:t xml:space="preserve">        No. ......................</w:t>
      </w:r>
    </w:p>
    <w:p>
      <w:pPr>
        <w:pStyle w:val="yTable"/>
        <w:rPr>
          <w:sz w:val="20"/>
        </w:rPr>
      </w:pPr>
      <w:r>
        <w:rPr>
          <w:sz w:val="20"/>
        </w:rPr>
        <w:tab/>
      </w:r>
      <w:r>
        <w:rPr>
          <w:sz w:val="20"/>
        </w:rPr>
        <w:tab/>
      </w:r>
      <w:r>
        <w:rPr>
          <w:sz w:val="20"/>
        </w:rPr>
        <w:tab/>
      </w:r>
      <w:r>
        <w:rPr>
          <w:sz w:val="20"/>
        </w:rPr>
        <w:tab/>
      </w:r>
      <w:r>
        <w:rPr>
          <w:sz w:val="20"/>
        </w:rPr>
        <w:tab/>
      </w:r>
      <w:r>
        <w:rPr>
          <w:sz w:val="20"/>
        </w:rPr>
        <w:tab/>
        <w:t xml:space="preserve">   Issue Date ........../........../........</w:t>
      </w:r>
    </w:p>
    <w:p>
      <w:pPr>
        <w:pStyle w:val="yTable"/>
        <w:rPr>
          <w:sz w:val="20"/>
        </w:rPr>
      </w:pPr>
      <w:r>
        <w:rPr>
          <w:sz w:val="20"/>
        </w:rPr>
        <w:t>Sex [ ]</w:t>
      </w:r>
      <w:r>
        <w:rPr>
          <w:sz w:val="20"/>
        </w:rPr>
        <w:tab/>
      </w:r>
      <w:r>
        <w:rPr>
          <w:sz w:val="20"/>
        </w:rPr>
        <w:tab/>
      </w:r>
      <w:r>
        <w:rPr>
          <w:sz w:val="20"/>
        </w:rPr>
        <w:tab/>
      </w:r>
      <w:r>
        <w:rPr>
          <w:sz w:val="20"/>
        </w:rPr>
        <w:tab/>
        <w:t>Date of birth [  ]/[  ]/[  ]</w:t>
      </w:r>
    </w:p>
    <w:p>
      <w:pPr>
        <w:pStyle w:val="yTable"/>
        <w:rPr>
          <w:sz w:val="20"/>
        </w:rPr>
      </w:pPr>
      <w:r>
        <w:rPr>
          <w:sz w:val="20"/>
        </w:rPr>
        <w:t>M ........................................................................................................................................</w:t>
      </w:r>
    </w:p>
    <w:p>
      <w:pPr>
        <w:pStyle w:val="yTable"/>
        <w:spacing w:before="0"/>
        <w:rPr>
          <w:sz w:val="18"/>
        </w:rPr>
      </w:pPr>
      <w:r>
        <w:rPr>
          <w:sz w:val="18"/>
        </w:rPr>
        <w:tab/>
        <w:t>Surname (Block Letters)</w:t>
      </w:r>
      <w:r>
        <w:rPr>
          <w:sz w:val="18"/>
        </w:rPr>
        <w:tab/>
        <w:t>Other Names in full</w:t>
      </w:r>
      <w:r>
        <w:rPr>
          <w:sz w:val="18"/>
        </w:rPr>
        <w:tab/>
      </w:r>
      <w:r>
        <w:rPr>
          <w:sz w:val="18"/>
        </w:rPr>
        <w:tab/>
      </w:r>
      <w:r>
        <w:rPr>
          <w:sz w:val="18"/>
        </w:rPr>
        <w:tab/>
        <w:t>MDL Number</w:t>
      </w:r>
    </w:p>
    <w:p>
      <w:pPr>
        <w:pStyle w:val="yTable"/>
        <w:rPr>
          <w:sz w:val="20"/>
        </w:rPr>
      </w:pPr>
      <w:r>
        <w:rPr>
          <w:sz w:val="20"/>
        </w:rPr>
        <w:t>Address ...............................................................................................................................</w:t>
      </w:r>
    </w:p>
    <w:p>
      <w:pPr>
        <w:pStyle w:val="yTable"/>
        <w:tabs>
          <w:tab w:val="left" w:pos="741"/>
          <w:tab w:val="left" w:pos="3591"/>
        </w:tabs>
        <w:spacing w:before="0"/>
        <w:rPr>
          <w:sz w:val="18"/>
          <w:szCs w:val="18"/>
        </w:rPr>
      </w:pPr>
      <w:r>
        <w:rPr>
          <w:sz w:val="18"/>
          <w:szCs w:val="18"/>
        </w:rPr>
        <w:tab/>
        <w:t>Number and Street</w:t>
      </w:r>
      <w:r>
        <w:rPr>
          <w:sz w:val="18"/>
          <w:szCs w:val="18"/>
        </w:rPr>
        <w:tab/>
      </w:r>
      <w:r>
        <w:rPr>
          <w:sz w:val="18"/>
          <w:szCs w:val="18"/>
        </w:rPr>
        <w:tab/>
        <w:t>Town or Suburb</w:t>
      </w:r>
      <w:r>
        <w:rPr>
          <w:sz w:val="18"/>
          <w:szCs w:val="18"/>
        </w:rPr>
        <w:tab/>
      </w:r>
      <w:r>
        <w:rPr>
          <w:sz w:val="18"/>
          <w:szCs w:val="18"/>
        </w:rPr>
        <w:tab/>
        <w:t xml:space="preserve">           Postcode</w:t>
      </w:r>
    </w:p>
    <w:p>
      <w:pPr>
        <w:pStyle w:val="yTable"/>
        <w:rPr>
          <w:sz w:val="20"/>
          <w:u w:val="single"/>
        </w:rPr>
      </w:pPr>
      <w:r>
        <w:rPr>
          <w:sz w:val="20"/>
          <w:u w:val="single"/>
        </w:rPr>
        <w:t>Particulars of Taxi</w:t>
      </w:r>
    </w:p>
    <w:p>
      <w:pPr>
        <w:pStyle w:val="yTable"/>
        <w:rPr>
          <w:sz w:val="20"/>
        </w:rPr>
      </w:pPr>
      <w:r>
        <w:rPr>
          <w:sz w:val="20"/>
        </w:rPr>
        <w:t>Plate No. ............................</w:t>
      </w:r>
      <w:r>
        <w:rPr>
          <w:sz w:val="20"/>
        </w:rPr>
        <w:tab/>
        <w:t>Annual fee due ........./........../..........</w:t>
      </w:r>
    </w:p>
    <w:p>
      <w:pPr>
        <w:pStyle w:val="yTable"/>
        <w:rPr>
          <w:sz w:val="20"/>
        </w:rPr>
      </w:pPr>
      <w:r>
        <w:rPr>
          <w:sz w:val="20"/>
        </w:rPr>
        <w:t>Make .....................................Model ..................................Colour ....................................</w:t>
      </w:r>
    </w:p>
    <w:p>
      <w:pPr>
        <w:pStyle w:val="yTable"/>
        <w:rPr>
          <w:sz w:val="20"/>
        </w:rPr>
      </w:pPr>
      <w:r>
        <w:rPr>
          <w:sz w:val="20"/>
        </w:rPr>
        <w:t>Company ..................................</w:t>
      </w:r>
    </w:p>
    <w:p>
      <w:pPr>
        <w:pStyle w:val="yTable"/>
        <w:rPr>
          <w:sz w:val="20"/>
        </w:rPr>
      </w:pPr>
      <w:r>
        <w:rPr>
          <w:sz w:val="20"/>
        </w:rPr>
        <w:t xml:space="preserve">It is alleged that at .............. hours on ......... day of .......................... 20 .......... </w:t>
      </w:r>
      <w:r>
        <w:rPr>
          <w:sz w:val="20"/>
        </w:rPr>
        <w:br/>
        <w:t>at .........................................................................................................................................</w:t>
      </w:r>
    </w:p>
    <w:p>
      <w:pPr>
        <w:pStyle w:val="yTable"/>
        <w:spacing w:before="0"/>
        <w:rPr>
          <w:sz w:val="20"/>
        </w:rPr>
      </w:pPr>
      <w:r>
        <w:rPr>
          <w:sz w:val="20"/>
        </w:rPr>
        <w:t>that you committed the offence indicated hereunder.</w:t>
      </w:r>
    </w:p>
    <w:p>
      <w:pPr>
        <w:pStyle w:val="yTable"/>
        <w:spacing w:before="0"/>
        <w:rPr>
          <w:sz w:val="20"/>
        </w:rPr>
      </w:pPr>
      <w:r>
        <w:rPr>
          <w:sz w:val="20"/>
        </w:rPr>
        <w:t>..........................................................................................................................................................................................................................................................................................</w:t>
      </w:r>
    </w:p>
    <w:p>
      <w:pPr>
        <w:pStyle w:val="yTable"/>
        <w:spacing w:before="0"/>
        <w:rPr>
          <w:sz w:val="18"/>
        </w:rPr>
      </w:pPr>
      <w:r>
        <w:rPr>
          <w:sz w:val="18"/>
        </w:rPr>
        <w:tab/>
      </w:r>
      <w:r>
        <w:rPr>
          <w:sz w:val="18"/>
        </w:rPr>
        <w:tab/>
      </w:r>
      <w:r>
        <w:rPr>
          <w:sz w:val="18"/>
        </w:rPr>
        <w:tab/>
      </w:r>
      <w:r>
        <w:rPr>
          <w:sz w:val="18"/>
        </w:rPr>
        <w:tab/>
        <w:t>Description of offence</w:t>
      </w:r>
    </w:p>
    <w:p>
      <w:pPr>
        <w:pStyle w:val="yTable"/>
        <w:spacing w:before="40"/>
        <w:jc w:val="right"/>
        <w:rPr>
          <w:sz w:val="20"/>
        </w:rPr>
      </w:pPr>
      <w:r>
        <w:rPr>
          <w:sz w:val="20"/>
        </w:rPr>
        <w:t>Penalty $ [ ] [ ] [ ]</w:t>
      </w:r>
    </w:p>
    <w:p>
      <w:pPr>
        <w:pStyle w:val="yTable"/>
        <w:rPr>
          <w:sz w:val="20"/>
        </w:rPr>
      </w:pPr>
      <w:r>
        <w:rPr>
          <w:sz w:val="20"/>
        </w:rPr>
        <w:t xml:space="preserve">............................................................................ </w:t>
      </w:r>
      <w:r>
        <w:rPr>
          <w:sz w:val="20"/>
        </w:rPr>
        <w:tab/>
      </w:r>
      <w:r>
        <w:rPr>
          <w:sz w:val="20"/>
        </w:rPr>
        <w:tab/>
      </w:r>
      <w:r>
        <w:rPr>
          <w:sz w:val="20"/>
        </w:rPr>
        <w:tab/>
        <w:t xml:space="preserve">  No. .................</w:t>
      </w:r>
    </w:p>
    <w:p>
      <w:pPr>
        <w:pStyle w:val="yTable"/>
        <w:spacing w:before="0"/>
        <w:rPr>
          <w:sz w:val="18"/>
          <w:szCs w:val="18"/>
        </w:rPr>
      </w:pPr>
      <w:r>
        <w:rPr>
          <w:sz w:val="18"/>
          <w:szCs w:val="18"/>
        </w:rPr>
        <w:t>Signature of authorised person</w:t>
      </w:r>
    </w:p>
    <w:p>
      <w:pPr>
        <w:pStyle w:val="yTable"/>
        <w:spacing w:before="200"/>
        <w:rPr>
          <w:sz w:val="20"/>
        </w:rPr>
      </w:pPr>
      <w:r>
        <w:rPr>
          <w:sz w:val="20"/>
        </w:rPr>
        <w:t>Take notice that —</w:t>
      </w:r>
    </w:p>
    <w:p>
      <w:pPr>
        <w:pStyle w:val="yTable"/>
        <w:rPr>
          <w:sz w:val="20"/>
        </w:rPr>
      </w:pPr>
      <w:r>
        <w:rPr>
          <w:sz w:val="20"/>
        </w:rPr>
        <w:t>If you do not wish to have a complaint of the alleged offence heard and determined by a court, you may pay to an officer specified on the reverse side of this notice, within 28 days, the total amount specified.</w:t>
      </w:r>
    </w:p>
    <w:p>
      <w:pPr>
        <w:pStyle w:val="yTable"/>
        <w:rPr>
          <w:sz w:val="20"/>
        </w:rPr>
      </w:pPr>
      <w:r>
        <w:rPr>
          <w:sz w:val="20"/>
        </w:rPr>
        <w:t>If that amount is not paid within 28 days, additional administrative charges may be incurred and action may be taken to suspend your Motor Drivers Licence until you have paid in full the modified penalty and any additional charges OR you have elected to have this matter heard and determined by a court.</w:t>
      </w:r>
    </w:p>
    <w:p>
      <w:pPr>
        <w:pStyle w:val="yTable"/>
        <w:rPr>
          <w:sz w:val="20"/>
        </w:rPr>
      </w:pPr>
      <w:r>
        <w:rPr>
          <w:sz w:val="20"/>
        </w:rPr>
        <w:t>Payment may be made —</w:t>
      </w:r>
    </w:p>
    <w:p>
      <w:pPr>
        <w:pStyle w:val="yTable"/>
        <w:rPr>
          <w:sz w:val="20"/>
        </w:rPr>
      </w:pPr>
      <w:r>
        <w:rPr>
          <w:sz w:val="20"/>
        </w:rPr>
        <w:tab/>
        <w:t>(i)</w:t>
      </w:r>
      <w:r>
        <w:rPr>
          <w:sz w:val="20"/>
        </w:rPr>
        <w:tab/>
        <w:t>by post to —</w:t>
      </w:r>
    </w:p>
    <w:p>
      <w:pPr>
        <w:pStyle w:val="yTable"/>
        <w:rPr>
          <w:sz w:val="12"/>
          <w:szCs w:val="12"/>
        </w:rPr>
      </w:pPr>
    </w:p>
    <w:p>
      <w:pPr>
        <w:pStyle w:val="yTable"/>
        <w:spacing w:before="0"/>
        <w:rPr>
          <w:sz w:val="20"/>
        </w:rPr>
      </w:pPr>
      <w:r>
        <w:rPr>
          <w:sz w:val="20"/>
        </w:rPr>
        <w:tab/>
      </w:r>
      <w:r>
        <w:rPr>
          <w:sz w:val="20"/>
        </w:rPr>
        <w:tab/>
        <w:t>[</w:t>
      </w:r>
      <w:r>
        <w:rPr>
          <w:i/>
          <w:iCs/>
          <w:sz w:val="20"/>
        </w:rPr>
        <w:t>Insert appropriate address here</w:t>
      </w:r>
      <w:r>
        <w:rPr>
          <w:sz w:val="20"/>
        </w:rPr>
        <w:t>]</w:t>
      </w:r>
    </w:p>
    <w:p>
      <w:pPr>
        <w:pStyle w:val="yTable"/>
        <w:rPr>
          <w:sz w:val="16"/>
          <w:szCs w:val="16"/>
        </w:rPr>
      </w:pPr>
    </w:p>
    <w:p>
      <w:pPr>
        <w:pStyle w:val="yTable"/>
        <w:rPr>
          <w:sz w:val="20"/>
        </w:rPr>
      </w:pPr>
      <w:r>
        <w:rPr>
          <w:sz w:val="20"/>
        </w:rPr>
        <w:tab/>
        <w:t>(ii)</w:t>
      </w:r>
      <w:r>
        <w:rPr>
          <w:sz w:val="20"/>
        </w:rPr>
        <w:tab/>
        <w:t>by hand to —</w:t>
      </w:r>
    </w:p>
    <w:p>
      <w:pPr>
        <w:pStyle w:val="yTable"/>
        <w:rPr>
          <w:sz w:val="20"/>
        </w:rPr>
      </w:pPr>
      <w:r>
        <w:rPr>
          <w:sz w:val="20"/>
        </w:rPr>
        <w:tab/>
      </w:r>
      <w:r>
        <w:rPr>
          <w:sz w:val="20"/>
        </w:rPr>
        <w:tab/>
        <w:t>Clerk of Courts</w:t>
      </w:r>
      <w:r>
        <w:rPr>
          <w:sz w:val="20"/>
          <w:vertAlign w:val="superscript"/>
        </w:rPr>
        <w:t> 2</w:t>
      </w:r>
      <w:r>
        <w:rPr>
          <w:sz w:val="20"/>
        </w:rPr>
        <w:t> —</w:t>
      </w:r>
    </w:p>
    <w:p>
      <w:pPr>
        <w:pStyle w:val="yTable"/>
        <w:ind w:left="1440" w:hanging="1440"/>
        <w:rPr>
          <w:sz w:val="20"/>
        </w:rPr>
      </w:pPr>
      <w:r>
        <w:rPr>
          <w:sz w:val="20"/>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20"/>
          <w:vertAlign w:val="superscript"/>
        </w:rPr>
        <w:t> 3</w:t>
      </w:r>
      <w:r>
        <w:rPr>
          <w:sz w:val="20"/>
        </w:rPr>
        <w:t>, Level 2, Central Law Courts, 30 St Georges Terrace.</w:t>
      </w:r>
    </w:p>
    <w:p>
      <w:pPr>
        <w:pStyle w:val="yTable"/>
        <w:rPr>
          <w:sz w:val="20"/>
        </w:rPr>
      </w:pPr>
      <w:r>
        <w:rPr>
          <w:sz w:val="20"/>
        </w:rPr>
        <w:t>A receipt will not be mailed unless requested.</w:t>
      </w:r>
    </w:p>
    <w:p>
      <w:pPr>
        <w:pStyle w:val="yTable"/>
        <w:rPr>
          <w:rFonts w:ascii="Times" w:hAnsi="Times"/>
          <w:b/>
          <w:bCs/>
          <w:spacing w:val="-4"/>
          <w:sz w:val="20"/>
        </w:rPr>
      </w:pPr>
      <w:r>
        <w:rPr>
          <w:rFonts w:ascii="Times" w:hAnsi="Times"/>
          <w:b/>
          <w:bCs/>
          <w:spacing w:val="-4"/>
          <w:sz w:val="20"/>
        </w:rPr>
        <w:t xml:space="preserve">Payments will not be accepted at any Department </w:t>
      </w:r>
      <w:r>
        <w:rPr>
          <w:b/>
          <w:sz w:val="20"/>
        </w:rPr>
        <w:t>of Transport</w:t>
      </w:r>
      <w:r>
        <w:rPr>
          <w:rFonts w:ascii="Times" w:hAnsi="Times"/>
          <w:b/>
          <w:bCs/>
          <w:spacing w:val="-4"/>
          <w:sz w:val="20"/>
        </w:rPr>
        <w:t xml:space="preserve"> offices.</w:t>
      </w:r>
    </w:p>
    <w:p>
      <w:pPr>
        <w:pStyle w:val="yTable"/>
        <w:rPr>
          <w:sz w:val="20"/>
        </w:rPr>
      </w:pPr>
      <w:r>
        <w:rPr>
          <w:sz w:val="20"/>
        </w:rPr>
        <w:t>Inquiries should be made in writing and forwarded by post to —</w:t>
      </w:r>
    </w:p>
    <w:p>
      <w:pPr>
        <w:pStyle w:val="yTable"/>
        <w:rPr>
          <w:sz w:val="12"/>
          <w:szCs w:val="12"/>
        </w:rPr>
      </w:pPr>
    </w:p>
    <w:p>
      <w:pPr>
        <w:pStyle w:val="yTable"/>
        <w:spacing w:before="0"/>
        <w:rPr>
          <w:i/>
          <w:sz w:val="20"/>
        </w:rPr>
      </w:pPr>
      <w:r>
        <w:rPr>
          <w:i/>
          <w:sz w:val="20"/>
        </w:rPr>
        <w:t>(Insert appropriate address here)</w:t>
      </w:r>
    </w:p>
    <w:p>
      <w:pPr>
        <w:pStyle w:val="yTable"/>
        <w:rPr>
          <w:i/>
          <w:sz w:val="16"/>
          <w:szCs w:val="16"/>
        </w:rPr>
      </w:pPr>
    </w:p>
    <w:p>
      <w:pPr>
        <w:pStyle w:val="yTable"/>
        <w:jc w:val="center"/>
        <w:rPr>
          <w:sz w:val="20"/>
        </w:rPr>
      </w:pPr>
      <w:r>
        <w:rPr>
          <w:sz w:val="20"/>
        </w:rPr>
        <w:t>TAXI INFRINGEMENT NOTICE CREDIT CARD SLIP</w:t>
      </w:r>
    </w:p>
    <w:p>
      <w:pPr>
        <w:pStyle w:val="yTable"/>
        <w:rPr>
          <w:sz w:val="20"/>
        </w:rPr>
      </w:pPr>
      <w:r>
        <w:rPr>
          <w:sz w:val="20"/>
        </w:rPr>
        <w:t>Do not detach — Return complete document with payment to —</w:t>
      </w:r>
    </w:p>
    <w:p>
      <w:pPr>
        <w:pStyle w:val="yTable"/>
        <w:rPr>
          <w:sz w:val="12"/>
          <w:szCs w:val="12"/>
        </w:rPr>
      </w:pPr>
    </w:p>
    <w:p>
      <w:pPr>
        <w:pStyle w:val="yTable"/>
        <w:spacing w:before="0"/>
        <w:rPr>
          <w:sz w:val="20"/>
        </w:rPr>
      </w:pPr>
      <w:r>
        <w:rPr>
          <w:sz w:val="20"/>
        </w:rPr>
        <w:tab/>
        <w:t>[</w:t>
      </w:r>
      <w:r>
        <w:rPr>
          <w:i/>
          <w:iCs/>
          <w:sz w:val="20"/>
        </w:rPr>
        <w:t>Insert appropriate address here</w:t>
      </w:r>
      <w:r>
        <w:rPr>
          <w:sz w:val="20"/>
        </w:rPr>
        <w:t>]</w:t>
      </w:r>
    </w:p>
    <w:p>
      <w:pPr>
        <w:pStyle w:val="yTable"/>
        <w:rPr>
          <w:sz w:val="16"/>
          <w:szCs w:val="16"/>
        </w:rPr>
      </w:pPr>
    </w:p>
    <w:p>
      <w:pPr>
        <w:pStyle w:val="yTable"/>
        <w:rPr>
          <w:sz w:val="20"/>
        </w:rPr>
      </w:pPr>
      <w:r>
        <w:rPr>
          <w:sz w:val="20"/>
        </w:rPr>
        <w:t>Please debit my credit card account —</w:t>
      </w:r>
    </w:p>
    <w:p>
      <w:pPr>
        <w:pStyle w:val="yTable"/>
        <w:rPr>
          <w:sz w:val="20"/>
        </w:rPr>
      </w:pPr>
      <w:r>
        <w:rPr>
          <w:sz w:val="20"/>
        </w:rPr>
        <w:t>Bankcard [  ]</w:t>
      </w:r>
      <w:r>
        <w:rPr>
          <w:sz w:val="20"/>
        </w:rPr>
        <w:tab/>
        <w:t>Mastercard [   ]</w:t>
      </w:r>
      <w:r>
        <w:rPr>
          <w:sz w:val="20"/>
        </w:rPr>
        <w:tab/>
        <w:t>Visacard [   ]</w:t>
      </w:r>
    </w:p>
    <w:p>
      <w:pPr>
        <w:pStyle w:val="yTable"/>
        <w:rPr>
          <w:sz w:val="20"/>
        </w:rPr>
      </w:pPr>
      <w:r>
        <w:rPr>
          <w:sz w:val="20"/>
        </w:rPr>
        <w:t>Card Number [  ] [  ] [  ] [  ] [  ] [  ] [  ] [  ] [  ] [  ] [  ] [  ] [  ] [  ] [  ] [  ]</w:t>
      </w:r>
    </w:p>
    <w:p>
      <w:pPr>
        <w:pStyle w:val="yTable"/>
        <w:rPr>
          <w:sz w:val="20"/>
        </w:rPr>
      </w:pPr>
      <w:r>
        <w:rPr>
          <w:sz w:val="20"/>
        </w:rPr>
        <w:t>Amount [  ] [  ] [  ] [  ]</w:t>
      </w:r>
    </w:p>
    <w:p>
      <w:pPr>
        <w:pStyle w:val="yTable"/>
        <w:rPr>
          <w:sz w:val="20"/>
        </w:rPr>
      </w:pPr>
      <w:r>
        <w:rPr>
          <w:sz w:val="20"/>
        </w:rPr>
        <w:t>Cardholder Name: ...............................................................................................................</w:t>
      </w:r>
    </w:p>
    <w:p>
      <w:pPr>
        <w:pStyle w:val="yTable"/>
        <w:rPr>
          <w:sz w:val="20"/>
        </w:rPr>
      </w:pPr>
      <w:r>
        <w:rPr>
          <w:sz w:val="20"/>
        </w:rPr>
        <w:t>Signature: ........................................................................... Expiry Date: ......../......../........</w:t>
      </w:r>
    </w:p>
    <w:p>
      <w:pPr>
        <w:pStyle w:val="yFootnotesection"/>
      </w:pPr>
      <w:r>
        <w:tab/>
        <w:t>[Form 1 inserted: Gazette 14 Jul 2006 p. 2573</w:t>
      </w:r>
      <w:r>
        <w:noBreakHyphen/>
        <w:t>4; amended: Gazette 28 Jun 2016 p. 2673.]</w:t>
      </w:r>
    </w:p>
    <w:p>
      <w:pPr>
        <w:pStyle w:val="yTable"/>
        <w:spacing w:before="400"/>
        <w:jc w:val="center"/>
      </w:pPr>
      <w:r>
        <w:rPr>
          <w:rStyle w:val="CharSClsNo"/>
          <w:b/>
        </w:rPr>
        <w:t>FORM 2</w:t>
      </w:r>
    </w:p>
    <w:p>
      <w:pPr>
        <w:pStyle w:val="yTable"/>
        <w:jc w:val="center"/>
      </w:pPr>
      <w:r>
        <w:rPr>
          <w:i/>
        </w:rPr>
        <w:t>TRANSPORT CO</w:t>
      </w:r>
      <w:r>
        <w:rPr>
          <w:i/>
        </w:rPr>
        <w:noBreakHyphen/>
        <w:t>ORDINATION ACT 1966</w:t>
      </w:r>
      <w:r>
        <w:t> — section 58A</w:t>
      </w:r>
    </w:p>
    <w:p>
      <w:pPr>
        <w:pStyle w:val="yTable"/>
        <w:jc w:val="center"/>
      </w:pPr>
      <w:r>
        <w:rPr>
          <w:i/>
          <w:szCs w:val="22"/>
        </w:rPr>
        <w:t>TRANSPORT (COUNTRY TAXI</w:t>
      </w:r>
      <w:r>
        <w:rPr>
          <w:i/>
          <w:szCs w:val="22"/>
        </w:rPr>
        <w:noBreakHyphen/>
        <w:t xml:space="preserve">CARS FARES) </w:t>
      </w:r>
      <w:r>
        <w:rPr>
          <w:i/>
        </w:rPr>
        <w:t>REGULATIONS 1991</w:t>
      </w:r>
      <w:r>
        <w:t> </w:t>
      </w:r>
      <w:r>
        <w:noBreakHyphen/>
        <w:t> regulation 7A(3)</w:t>
      </w:r>
    </w:p>
    <w:p>
      <w:pPr>
        <w:pStyle w:val="yTable"/>
        <w:jc w:val="center"/>
      </w:pPr>
      <w:r>
        <w:t>Western Australia</w:t>
      </w:r>
    </w:p>
    <w:p>
      <w:pPr>
        <w:pStyle w:val="yTable"/>
        <w:jc w:val="center"/>
      </w:pPr>
      <w:r>
        <w:t xml:space="preserve">Department </w:t>
      </w:r>
      <w:r>
        <w:rPr>
          <w:szCs w:val="22"/>
        </w:rPr>
        <w:t>of Transport</w:t>
      </w:r>
    </w:p>
    <w:p>
      <w:pPr>
        <w:pStyle w:val="yTable"/>
        <w:jc w:val="center"/>
        <w:rPr>
          <w:b/>
          <w:bCs/>
        </w:rPr>
      </w:pPr>
      <w:r>
        <w:rPr>
          <w:b/>
          <w:bCs/>
        </w:rPr>
        <w:t>NOTICE OF WITHDRAWAL OF INFRINGEMENT NOTICE</w:t>
      </w:r>
    </w:p>
    <w:p>
      <w:pPr>
        <w:pStyle w:val="yTable"/>
        <w:jc w:val="right"/>
      </w:pPr>
      <w:r>
        <w:t xml:space="preserve">Serial No. </w:t>
      </w:r>
      <w:r>
        <w:rPr>
          <w:sz w:val="20"/>
        </w:rPr>
        <w:t>...................</w:t>
      </w:r>
    </w:p>
    <w:p>
      <w:pPr>
        <w:pStyle w:val="yTable"/>
      </w:pPr>
      <w:r>
        <w:t>Name</w:t>
      </w:r>
    </w:p>
    <w:p>
      <w:pPr>
        <w:pStyle w:val="yTable"/>
      </w:pPr>
      <w:r>
        <w:t>Address</w:t>
      </w:r>
    </w:p>
    <w:p>
      <w:pPr>
        <w:pStyle w:val="yTable"/>
      </w:pPr>
      <w:r>
        <w:t>Dear Sir/Madam</w:t>
      </w:r>
    </w:p>
    <w:p>
      <w:pPr>
        <w:pStyle w:val="yTable"/>
      </w:pPr>
      <w:r>
        <w:t>Notice of withdrawal of proceedings</w:t>
      </w:r>
    </w:p>
    <w:p>
      <w:pPr>
        <w:pStyle w:val="yTable"/>
      </w:pPr>
      <w:r>
        <w:t>Infringement Number</w:t>
      </w:r>
    </w:p>
    <w:p>
      <w:pPr>
        <w:pStyle w:val="yTable"/>
        <w:spacing w:before="40"/>
      </w:pPr>
    </w:p>
    <w:p>
      <w:pPr>
        <w:pStyle w:val="yTable"/>
        <w:spacing w:before="40"/>
      </w:pPr>
    </w:p>
    <w:p>
      <w:pPr>
        <w:pStyle w:val="yTable"/>
      </w:pPr>
      <w:r>
        <w:t>Date</w:t>
      </w:r>
    </w:p>
    <w:p>
      <w:pPr>
        <w:pStyle w:val="yTable"/>
      </w:pPr>
      <w:r>
        <w:t>Time</w:t>
      </w:r>
    </w:p>
    <w:p>
      <w:pPr>
        <w:pStyle w:val="yTable"/>
      </w:pPr>
      <w:r>
        <w:t>Code</w:t>
      </w:r>
    </w:p>
    <w:p>
      <w:pPr>
        <w:pStyle w:val="yTable"/>
      </w:pPr>
      <w:r>
        <w:t>Description</w:t>
      </w:r>
    </w:p>
    <w:p>
      <w:pPr>
        <w:pStyle w:val="yTable"/>
        <w:spacing w:before="40"/>
      </w:pPr>
    </w:p>
    <w:p>
      <w:pPr>
        <w:pStyle w:val="yTable"/>
        <w:spacing w:before="40"/>
      </w:pPr>
    </w:p>
    <w:p>
      <w:pPr>
        <w:pStyle w:val="yTable"/>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Table"/>
        <w:spacing w:before="120"/>
      </w:pPr>
      <w:r>
        <w:t>Director General</w:t>
      </w:r>
      <w:r>
        <w:tab/>
      </w:r>
      <w:r>
        <w:tab/>
      </w:r>
      <w:r>
        <w:tab/>
      </w:r>
      <w:r>
        <w:tab/>
      </w:r>
      <w:r>
        <w:tab/>
        <w:t>Date</w:t>
      </w:r>
    </w:p>
    <w:p>
      <w:pPr>
        <w:pStyle w:val="yFootnotesection"/>
      </w:pPr>
      <w:r>
        <w:tab/>
        <w:t>[Form 2 inserted: Gazette 14 Jul 2006 p. 2574</w:t>
      </w:r>
      <w:r>
        <w:noBreakHyphen/>
        <w:t>5; amended: Gazette 28 Jun 2016 p. 2673.]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5" w:name="_Toc12442312"/>
      <w:bookmarkStart w:id="56" w:name="_Toc12449504"/>
      <w:bookmarkStart w:id="57" w:name="_Toc12868492"/>
      <w:r>
        <w:t>Notes</w:t>
      </w:r>
      <w:bookmarkEnd w:id="55"/>
      <w:bookmarkEnd w:id="56"/>
      <w:bookmarkEnd w:id="57"/>
    </w:p>
    <w:p>
      <w:pPr>
        <w:pStyle w:val="nSubsection"/>
      </w:pPr>
      <w:r>
        <w:rPr>
          <w:vertAlign w:val="superscript"/>
        </w:rPr>
        <w:t>1</w:t>
      </w:r>
      <w:r>
        <w:tab/>
        <w:t xml:space="preserve">This is a compilation of the </w:t>
      </w:r>
      <w:r>
        <w:rPr>
          <w:i/>
          <w:noProof/>
        </w:rPr>
        <w:t>Transport (Country Taxi-cars Fares)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58" w:name="_Toc12868493"/>
      <w:r>
        <w:rPr>
          <w:snapToGrid w:val="0"/>
        </w:rPr>
        <w:t>Compilation table</w:t>
      </w:r>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Country Taxi</w:t>
            </w:r>
            <w:r>
              <w:rPr>
                <w:i/>
              </w:rPr>
              <w:noBreakHyphen/>
              <w:t>cars (Fares and Charges) Regulations 1991</w:t>
            </w:r>
          </w:p>
        </w:tc>
        <w:tc>
          <w:tcPr>
            <w:tcW w:w="1276" w:type="dxa"/>
            <w:gridSpan w:val="2"/>
            <w:tcBorders>
              <w:top w:val="single" w:sz="8" w:space="0" w:color="auto"/>
            </w:tcBorders>
          </w:tcPr>
          <w:p>
            <w:pPr>
              <w:pStyle w:val="nTable"/>
              <w:spacing w:after="40"/>
            </w:pPr>
            <w:r>
              <w:t>19 Apr 1991 p. 1815</w:t>
            </w:r>
            <w:r>
              <w:noBreakHyphen/>
              <w:t>20</w:t>
            </w:r>
          </w:p>
        </w:tc>
        <w:tc>
          <w:tcPr>
            <w:tcW w:w="2693" w:type="dxa"/>
            <w:gridSpan w:val="2"/>
            <w:tcBorders>
              <w:top w:val="single" w:sz="8" w:space="0" w:color="auto"/>
            </w:tcBorders>
          </w:tcPr>
          <w:p>
            <w:pPr>
              <w:pStyle w:val="nTable"/>
              <w:spacing w:after="40"/>
            </w:pPr>
            <w:r>
              <w:t>19 Apr 1991</w:t>
            </w:r>
          </w:p>
        </w:tc>
      </w:tr>
      <w:tr>
        <w:trPr>
          <w:cantSplit/>
        </w:trPr>
        <w:tc>
          <w:tcPr>
            <w:tcW w:w="3119" w:type="dxa"/>
          </w:tcPr>
          <w:p>
            <w:pPr>
              <w:pStyle w:val="nTable"/>
              <w:spacing w:after="40"/>
              <w:ind w:right="113"/>
            </w:pPr>
            <w:r>
              <w:rPr>
                <w:i/>
              </w:rPr>
              <w:t>Country Taxi</w:t>
            </w:r>
            <w:r>
              <w:rPr>
                <w:i/>
              </w:rPr>
              <w:noBreakHyphen/>
              <w:t>cars (Fares and Charges) Amendment Regulations 1991</w:t>
            </w:r>
          </w:p>
        </w:tc>
        <w:tc>
          <w:tcPr>
            <w:tcW w:w="1276" w:type="dxa"/>
            <w:gridSpan w:val="2"/>
          </w:tcPr>
          <w:p>
            <w:pPr>
              <w:pStyle w:val="nTable"/>
              <w:spacing w:after="40"/>
            </w:pPr>
            <w:r>
              <w:t>12 Jul 1991 p. 3484</w:t>
            </w:r>
            <w:r>
              <w:noBreakHyphen/>
              <w:t>6</w:t>
            </w:r>
          </w:p>
        </w:tc>
        <w:tc>
          <w:tcPr>
            <w:tcW w:w="2693" w:type="dxa"/>
            <w:gridSpan w:val="2"/>
          </w:tcPr>
          <w:p>
            <w:pPr>
              <w:pStyle w:val="nTable"/>
              <w:spacing w:after="40"/>
            </w:pPr>
            <w:r>
              <w:t>12 Jul 1991</w:t>
            </w:r>
          </w:p>
        </w:tc>
      </w:tr>
      <w:tr>
        <w:trPr>
          <w:cantSplit/>
        </w:trPr>
        <w:tc>
          <w:tcPr>
            <w:tcW w:w="3119" w:type="dxa"/>
          </w:tcPr>
          <w:p>
            <w:pPr>
              <w:pStyle w:val="nTable"/>
              <w:spacing w:after="40"/>
              <w:ind w:right="113"/>
            </w:pPr>
            <w:r>
              <w:rPr>
                <w:i/>
              </w:rPr>
              <w:t>Country Taxi</w:t>
            </w:r>
            <w:r>
              <w:rPr>
                <w:i/>
              </w:rPr>
              <w:noBreakHyphen/>
              <w:t>cars (Fares and Charges) Amendment Regulations (No. 2) 1991</w:t>
            </w:r>
          </w:p>
        </w:tc>
        <w:tc>
          <w:tcPr>
            <w:tcW w:w="1276" w:type="dxa"/>
            <w:gridSpan w:val="2"/>
          </w:tcPr>
          <w:p>
            <w:pPr>
              <w:pStyle w:val="nTable"/>
              <w:spacing w:after="40"/>
            </w:pPr>
            <w:r>
              <w:t>2 Aug 1991 p. 4080</w:t>
            </w:r>
            <w:r>
              <w:noBreakHyphen/>
              <w:t>1</w:t>
            </w:r>
          </w:p>
        </w:tc>
        <w:tc>
          <w:tcPr>
            <w:tcW w:w="2693" w:type="dxa"/>
            <w:gridSpan w:val="2"/>
          </w:tcPr>
          <w:p>
            <w:pPr>
              <w:pStyle w:val="nTable"/>
              <w:spacing w:after="40"/>
            </w:pPr>
            <w:r>
              <w:t>2 Aug 1991</w:t>
            </w:r>
          </w:p>
        </w:tc>
      </w:tr>
      <w:tr>
        <w:trPr>
          <w:cantSplit/>
        </w:trPr>
        <w:tc>
          <w:tcPr>
            <w:tcW w:w="3119" w:type="dxa"/>
          </w:tcPr>
          <w:p>
            <w:pPr>
              <w:pStyle w:val="nTable"/>
              <w:spacing w:after="40"/>
              <w:ind w:right="113"/>
            </w:pPr>
            <w:r>
              <w:rPr>
                <w:i/>
              </w:rPr>
              <w:t>Country Taxi</w:t>
            </w:r>
            <w:r>
              <w:rPr>
                <w:i/>
              </w:rPr>
              <w:noBreakHyphen/>
              <w:t>cars (Fares and Charges) Amendment Regulations (No. 3) 1991</w:t>
            </w:r>
          </w:p>
        </w:tc>
        <w:tc>
          <w:tcPr>
            <w:tcW w:w="1276" w:type="dxa"/>
            <w:gridSpan w:val="2"/>
          </w:tcPr>
          <w:p>
            <w:pPr>
              <w:pStyle w:val="nTable"/>
              <w:spacing w:after="40"/>
            </w:pPr>
            <w:r>
              <w:t>6 Sep 1991 p. 4717</w:t>
            </w:r>
            <w:r>
              <w:noBreakHyphen/>
              <w:t>18</w:t>
            </w:r>
          </w:p>
        </w:tc>
        <w:tc>
          <w:tcPr>
            <w:tcW w:w="2693" w:type="dxa"/>
            <w:gridSpan w:val="2"/>
          </w:tcPr>
          <w:p>
            <w:pPr>
              <w:pStyle w:val="nTable"/>
              <w:spacing w:after="40"/>
            </w:pPr>
            <w:r>
              <w:t>6 Sep 1991</w:t>
            </w:r>
          </w:p>
        </w:tc>
      </w:tr>
      <w:tr>
        <w:trPr>
          <w:cantSplit/>
        </w:trPr>
        <w:tc>
          <w:tcPr>
            <w:tcW w:w="3119" w:type="dxa"/>
          </w:tcPr>
          <w:p>
            <w:pPr>
              <w:pStyle w:val="nTable"/>
              <w:spacing w:after="40"/>
              <w:ind w:right="113"/>
            </w:pPr>
            <w:r>
              <w:rPr>
                <w:i/>
              </w:rPr>
              <w:t>Country Taxi</w:t>
            </w:r>
            <w:r>
              <w:rPr>
                <w:i/>
              </w:rPr>
              <w:noBreakHyphen/>
              <w:t>cars (Fares and Charges) Amendment Regulations (No. 4) 1991</w:t>
            </w:r>
          </w:p>
        </w:tc>
        <w:tc>
          <w:tcPr>
            <w:tcW w:w="1276" w:type="dxa"/>
            <w:gridSpan w:val="2"/>
          </w:tcPr>
          <w:p>
            <w:pPr>
              <w:pStyle w:val="nTable"/>
              <w:spacing w:after="40"/>
            </w:pPr>
            <w:r>
              <w:t>11 Oct 1991 p. 5236</w:t>
            </w:r>
            <w:r>
              <w:noBreakHyphen/>
              <w:t>7</w:t>
            </w:r>
          </w:p>
        </w:tc>
        <w:tc>
          <w:tcPr>
            <w:tcW w:w="2693" w:type="dxa"/>
            <w:gridSpan w:val="2"/>
          </w:tcPr>
          <w:p>
            <w:pPr>
              <w:pStyle w:val="nTable"/>
              <w:spacing w:after="40"/>
            </w:pPr>
            <w:r>
              <w:t>11 Oct 1991</w:t>
            </w:r>
          </w:p>
        </w:tc>
      </w:tr>
      <w:tr>
        <w:trPr>
          <w:cantSplit/>
        </w:trPr>
        <w:tc>
          <w:tcPr>
            <w:tcW w:w="3119" w:type="dxa"/>
          </w:tcPr>
          <w:p>
            <w:pPr>
              <w:pStyle w:val="nTable"/>
              <w:spacing w:after="40"/>
              <w:ind w:right="113"/>
            </w:pPr>
            <w:r>
              <w:rPr>
                <w:i/>
              </w:rPr>
              <w:t>Country Taxi</w:t>
            </w:r>
            <w:r>
              <w:rPr>
                <w:i/>
              </w:rPr>
              <w:noBreakHyphen/>
              <w:t>cars (Fares and Charges) Amendment Regulations (No. 5) 1991</w:t>
            </w:r>
          </w:p>
        </w:tc>
        <w:tc>
          <w:tcPr>
            <w:tcW w:w="1276" w:type="dxa"/>
            <w:gridSpan w:val="2"/>
          </w:tcPr>
          <w:p>
            <w:pPr>
              <w:pStyle w:val="nTable"/>
              <w:spacing w:after="40"/>
            </w:pPr>
            <w:r>
              <w:t>29 Nov 1991 p. 6044</w:t>
            </w:r>
            <w:r>
              <w:noBreakHyphen/>
              <w:t>5</w:t>
            </w:r>
          </w:p>
        </w:tc>
        <w:tc>
          <w:tcPr>
            <w:tcW w:w="2693" w:type="dxa"/>
            <w:gridSpan w:val="2"/>
          </w:tcPr>
          <w:p>
            <w:pPr>
              <w:pStyle w:val="nTable"/>
              <w:spacing w:after="40"/>
            </w:pPr>
            <w:r>
              <w:t>29 Nov 1991</w:t>
            </w:r>
          </w:p>
        </w:tc>
      </w:tr>
      <w:tr>
        <w:trPr>
          <w:cantSplit/>
        </w:trPr>
        <w:tc>
          <w:tcPr>
            <w:tcW w:w="3119" w:type="dxa"/>
          </w:tcPr>
          <w:p>
            <w:pPr>
              <w:pStyle w:val="nTable"/>
              <w:spacing w:after="40"/>
              <w:ind w:right="113"/>
            </w:pPr>
            <w:r>
              <w:rPr>
                <w:i/>
              </w:rPr>
              <w:t>Country Taxi</w:t>
            </w:r>
            <w:r>
              <w:rPr>
                <w:i/>
              </w:rPr>
              <w:noBreakHyphen/>
              <w:t>cars (Fares and Charges) Amendment Regulations 1992</w:t>
            </w:r>
          </w:p>
        </w:tc>
        <w:tc>
          <w:tcPr>
            <w:tcW w:w="1276" w:type="dxa"/>
            <w:gridSpan w:val="2"/>
          </w:tcPr>
          <w:p>
            <w:pPr>
              <w:pStyle w:val="nTable"/>
              <w:spacing w:after="40"/>
            </w:pPr>
            <w:r>
              <w:t>14 Aug 1992 p. 4068</w:t>
            </w:r>
            <w:r>
              <w:noBreakHyphen/>
              <w:t>9</w:t>
            </w:r>
          </w:p>
        </w:tc>
        <w:tc>
          <w:tcPr>
            <w:tcW w:w="2693" w:type="dxa"/>
            <w:gridSpan w:val="2"/>
          </w:tcPr>
          <w:p>
            <w:pPr>
              <w:pStyle w:val="nTable"/>
              <w:spacing w:after="40"/>
            </w:pPr>
            <w:r>
              <w:t>14 Aug 1992</w:t>
            </w:r>
          </w:p>
        </w:tc>
      </w:tr>
      <w:tr>
        <w:trPr>
          <w:cantSplit/>
        </w:trPr>
        <w:tc>
          <w:tcPr>
            <w:tcW w:w="3119" w:type="dxa"/>
          </w:tcPr>
          <w:p>
            <w:pPr>
              <w:pStyle w:val="nTable"/>
              <w:spacing w:after="40"/>
              <w:ind w:right="113"/>
            </w:pPr>
            <w:r>
              <w:rPr>
                <w:i/>
              </w:rPr>
              <w:t>Country Taxi</w:t>
            </w:r>
            <w:r>
              <w:rPr>
                <w:i/>
              </w:rPr>
              <w:noBreakHyphen/>
              <w:t>cars (Fares and Charges) Amendment Regulations 1993</w:t>
            </w:r>
          </w:p>
        </w:tc>
        <w:tc>
          <w:tcPr>
            <w:tcW w:w="1276" w:type="dxa"/>
            <w:gridSpan w:val="2"/>
          </w:tcPr>
          <w:p>
            <w:pPr>
              <w:pStyle w:val="nTable"/>
              <w:spacing w:after="40"/>
            </w:pPr>
            <w:r>
              <w:t>1 Oct 1993 p. 5394</w:t>
            </w:r>
            <w:r>
              <w:noBreakHyphen/>
              <w:t>5</w:t>
            </w:r>
          </w:p>
        </w:tc>
        <w:tc>
          <w:tcPr>
            <w:tcW w:w="2693" w:type="dxa"/>
            <w:gridSpan w:val="2"/>
          </w:tcPr>
          <w:p>
            <w:pPr>
              <w:pStyle w:val="nTable"/>
              <w:spacing w:after="40"/>
            </w:pPr>
            <w:r>
              <w:t>4 Oct 1993 (see r. 2)</w:t>
            </w:r>
          </w:p>
        </w:tc>
      </w:tr>
      <w:tr>
        <w:trPr>
          <w:cantSplit/>
        </w:trPr>
        <w:tc>
          <w:tcPr>
            <w:tcW w:w="3119" w:type="dxa"/>
          </w:tcPr>
          <w:p>
            <w:pPr>
              <w:pStyle w:val="nTable"/>
              <w:spacing w:after="40"/>
              <w:ind w:right="113"/>
            </w:pPr>
            <w:r>
              <w:rPr>
                <w:i/>
              </w:rPr>
              <w:t>Country Taxi</w:t>
            </w:r>
            <w:r>
              <w:rPr>
                <w:i/>
              </w:rPr>
              <w:noBreakHyphen/>
              <w:t>cars (Fares and Charges) Amendment Regulations 1994</w:t>
            </w:r>
          </w:p>
        </w:tc>
        <w:tc>
          <w:tcPr>
            <w:tcW w:w="1276" w:type="dxa"/>
            <w:gridSpan w:val="2"/>
          </w:tcPr>
          <w:p>
            <w:pPr>
              <w:pStyle w:val="nTable"/>
              <w:spacing w:after="40"/>
            </w:pPr>
            <w:r>
              <w:t>4 Mar 1994 p. 899</w:t>
            </w:r>
          </w:p>
        </w:tc>
        <w:tc>
          <w:tcPr>
            <w:tcW w:w="2693" w:type="dxa"/>
            <w:gridSpan w:val="2"/>
          </w:tcPr>
          <w:p>
            <w:pPr>
              <w:pStyle w:val="nTable"/>
              <w:spacing w:after="40"/>
            </w:pPr>
            <w:r>
              <w:t>4 Mar 1994</w:t>
            </w:r>
          </w:p>
        </w:tc>
      </w:tr>
      <w:tr>
        <w:trPr>
          <w:cantSplit/>
        </w:trPr>
        <w:tc>
          <w:tcPr>
            <w:tcW w:w="3119" w:type="dxa"/>
          </w:tcPr>
          <w:p>
            <w:pPr>
              <w:pStyle w:val="nTable"/>
              <w:spacing w:after="40"/>
              <w:ind w:right="113"/>
            </w:pPr>
            <w:r>
              <w:rPr>
                <w:i/>
              </w:rPr>
              <w:t>Country Taxi</w:t>
            </w:r>
            <w:r>
              <w:rPr>
                <w:i/>
              </w:rPr>
              <w:noBreakHyphen/>
              <w:t>cars (Fares and Charges) Amendment Regulations (No. 2) 1994</w:t>
            </w:r>
          </w:p>
        </w:tc>
        <w:tc>
          <w:tcPr>
            <w:tcW w:w="1276" w:type="dxa"/>
            <w:gridSpan w:val="2"/>
          </w:tcPr>
          <w:p>
            <w:pPr>
              <w:pStyle w:val="nTable"/>
              <w:spacing w:after="40"/>
            </w:pPr>
            <w:r>
              <w:t>10 Jun 1994 p. 2418</w:t>
            </w:r>
            <w:r>
              <w:noBreakHyphen/>
              <w:t>19</w:t>
            </w:r>
          </w:p>
        </w:tc>
        <w:tc>
          <w:tcPr>
            <w:tcW w:w="2693" w:type="dxa"/>
            <w:gridSpan w:val="2"/>
          </w:tcPr>
          <w:p>
            <w:pPr>
              <w:pStyle w:val="nTable"/>
              <w:spacing w:after="40"/>
            </w:pPr>
            <w:r>
              <w:t>13 Jun 1994 (see r. 2)</w:t>
            </w:r>
          </w:p>
        </w:tc>
      </w:tr>
      <w:tr>
        <w:trPr>
          <w:cantSplit/>
        </w:trPr>
        <w:tc>
          <w:tcPr>
            <w:tcW w:w="3119" w:type="dxa"/>
          </w:tcPr>
          <w:p>
            <w:pPr>
              <w:pStyle w:val="nTable"/>
              <w:spacing w:after="40"/>
              <w:ind w:right="113"/>
            </w:pPr>
            <w:r>
              <w:rPr>
                <w:i/>
              </w:rPr>
              <w:t>Country Taxi</w:t>
            </w:r>
            <w:r>
              <w:rPr>
                <w:i/>
              </w:rPr>
              <w:noBreakHyphen/>
              <w:t>cars (Fares and Charges) Amendment Regulations (No. 3) 1994</w:t>
            </w:r>
          </w:p>
        </w:tc>
        <w:tc>
          <w:tcPr>
            <w:tcW w:w="1276" w:type="dxa"/>
            <w:gridSpan w:val="2"/>
          </w:tcPr>
          <w:p>
            <w:pPr>
              <w:pStyle w:val="nTable"/>
              <w:keepNext/>
              <w:spacing w:after="40"/>
            </w:pPr>
            <w:r>
              <w:t>30 Sep 1994 p. 5057</w:t>
            </w:r>
            <w:r>
              <w:noBreakHyphen/>
              <w:t>8</w:t>
            </w:r>
          </w:p>
        </w:tc>
        <w:tc>
          <w:tcPr>
            <w:tcW w:w="2693" w:type="dxa"/>
            <w:gridSpan w:val="2"/>
          </w:tcPr>
          <w:p>
            <w:pPr>
              <w:pStyle w:val="nTable"/>
              <w:keepNext/>
              <w:spacing w:after="40"/>
            </w:pPr>
            <w:r>
              <w:t>3 Oct 1994 (see r. 2)</w:t>
            </w:r>
          </w:p>
        </w:tc>
      </w:tr>
      <w:tr>
        <w:trPr>
          <w:cantSplit/>
        </w:trPr>
        <w:tc>
          <w:tcPr>
            <w:tcW w:w="3119" w:type="dxa"/>
          </w:tcPr>
          <w:p>
            <w:pPr>
              <w:pStyle w:val="nTable"/>
              <w:spacing w:after="40"/>
              <w:ind w:right="113"/>
            </w:pPr>
            <w:r>
              <w:rPr>
                <w:i/>
              </w:rPr>
              <w:t>Country Taxi</w:t>
            </w:r>
            <w:r>
              <w:rPr>
                <w:i/>
              </w:rPr>
              <w:noBreakHyphen/>
              <w:t>cars (Fares and Charges) Amendment Regulations 1995</w:t>
            </w:r>
          </w:p>
        </w:tc>
        <w:tc>
          <w:tcPr>
            <w:tcW w:w="1276" w:type="dxa"/>
            <w:gridSpan w:val="2"/>
          </w:tcPr>
          <w:p>
            <w:pPr>
              <w:pStyle w:val="nTable"/>
              <w:spacing w:after="40"/>
            </w:pPr>
            <w:r>
              <w:t>30 Jun 1995 p. 2696</w:t>
            </w:r>
            <w:r>
              <w:noBreakHyphen/>
              <w:t>7</w:t>
            </w:r>
          </w:p>
        </w:tc>
        <w:tc>
          <w:tcPr>
            <w:tcW w:w="2693" w:type="dxa"/>
            <w:gridSpan w:val="2"/>
          </w:tcPr>
          <w:p>
            <w:pPr>
              <w:pStyle w:val="nTable"/>
              <w:spacing w:after="40"/>
            </w:pPr>
            <w:r>
              <w:t>3 Jul 1995 (see r. 2)</w:t>
            </w:r>
          </w:p>
        </w:tc>
      </w:tr>
      <w:tr>
        <w:trPr>
          <w:cantSplit/>
        </w:trPr>
        <w:tc>
          <w:tcPr>
            <w:tcW w:w="3119" w:type="dxa"/>
          </w:tcPr>
          <w:p>
            <w:pPr>
              <w:pStyle w:val="nTable"/>
              <w:spacing w:after="40"/>
              <w:ind w:right="113"/>
            </w:pPr>
            <w:r>
              <w:rPr>
                <w:i/>
              </w:rPr>
              <w:t>Country Taxi</w:t>
            </w:r>
            <w:r>
              <w:rPr>
                <w:i/>
              </w:rPr>
              <w:noBreakHyphen/>
              <w:t>cars (Fares and Charges) Amendment Regulations 1996</w:t>
            </w:r>
          </w:p>
        </w:tc>
        <w:tc>
          <w:tcPr>
            <w:tcW w:w="1276" w:type="dxa"/>
            <w:gridSpan w:val="2"/>
          </w:tcPr>
          <w:p>
            <w:pPr>
              <w:pStyle w:val="nTable"/>
              <w:spacing w:after="40"/>
            </w:pPr>
            <w:r>
              <w:t>23 Feb 1996 p. 683</w:t>
            </w:r>
            <w:r>
              <w:noBreakHyphen/>
              <w:t>4</w:t>
            </w:r>
          </w:p>
        </w:tc>
        <w:tc>
          <w:tcPr>
            <w:tcW w:w="2693" w:type="dxa"/>
            <w:gridSpan w:val="2"/>
          </w:tcPr>
          <w:p>
            <w:pPr>
              <w:pStyle w:val="nTable"/>
              <w:spacing w:after="40"/>
            </w:pPr>
            <w:r>
              <w:t>23 Feb 1996</w:t>
            </w:r>
          </w:p>
        </w:tc>
      </w:tr>
      <w:tr>
        <w:trPr>
          <w:cantSplit/>
        </w:trPr>
        <w:tc>
          <w:tcPr>
            <w:tcW w:w="3119" w:type="dxa"/>
          </w:tcPr>
          <w:p>
            <w:pPr>
              <w:pStyle w:val="nTable"/>
              <w:spacing w:after="40"/>
              <w:ind w:right="113"/>
            </w:pPr>
            <w:r>
              <w:rPr>
                <w:i/>
              </w:rPr>
              <w:t>Country Taxi</w:t>
            </w:r>
            <w:r>
              <w:rPr>
                <w:i/>
              </w:rPr>
              <w:noBreakHyphen/>
              <w:t>cars (Fares and Charges) Amendment Regulations (No. 2) 1996</w:t>
            </w:r>
          </w:p>
        </w:tc>
        <w:tc>
          <w:tcPr>
            <w:tcW w:w="1276" w:type="dxa"/>
            <w:gridSpan w:val="2"/>
          </w:tcPr>
          <w:p>
            <w:pPr>
              <w:pStyle w:val="nTable"/>
              <w:spacing w:after="40"/>
            </w:pPr>
            <w:r>
              <w:t>23 Feb 1996 p. 685</w:t>
            </w:r>
            <w:r>
              <w:noBreakHyphen/>
              <w:t>7</w:t>
            </w:r>
          </w:p>
        </w:tc>
        <w:tc>
          <w:tcPr>
            <w:tcW w:w="2693" w:type="dxa"/>
            <w:gridSpan w:val="2"/>
          </w:tcPr>
          <w:p>
            <w:pPr>
              <w:pStyle w:val="nTable"/>
              <w:spacing w:after="40"/>
            </w:pPr>
            <w:r>
              <w:t>23 Feb 1996</w:t>
            </w:r>
          </w:p>
        </w:tc>
      </w:tr>
      <w:tr>
        <w:trPr>
          <w:cantSplit/>
        </w:trPr>
        <w:tc>
          <w:tcPr>
            <w:tcW w:w="3119" w:type="dxa"/>
          </w:tcPr>
          <w:p>
            <w:pPr>
              <w:pStyle w:val="nTable"/>
              <w:spacing w:after="40"/>
              <w:ind w:right="113"/>
            </w:pPr>
            <w:r>
              <w:rPr>
                <w:i/>
              </w:rPr>
              <w:t>Country Taxi</w:t>
            </w:r>
            <w:r>
              <w:rPr>
                <w:i/>
              </w:rPr>
              <w:noBreakHyphen/>
              <w:t>cars (Fares and Charges) Amendment Regulations (No. 3) 1996</w:t>
            </w:r>
          </w:p>
        </w:tc>
        <w:tc>
          <w:tcPr>
            <w:tcW w:w="1276" w:type="dxa"/>
            <w:gridSpan w:val="2"/>
          </w:tcPr>
          <w:p>
            <w:pPr>
              <w:pStyle w:val="nTable"/>
              <w:spacing w:after="40"/>
            </w:pPr>
            <w:r>
              <w:t>7 Jun 1996 p. 2423</w:t>
            </w:r>
          </w:p>
        </w:tc>
        <w:tc>
          <w:tcPr>
            <w:tcW w:w="2693" w:type="dxa"/>
            <w:gridSpan w:val="2"/>
          </w:tcPr>
          <w:p>
            <w:pPr>
              <w:pStyle w:val="nTable"/>
              <w:spacing w:after="40"/>
            </w:pPr>
            <w:r>
              <w:t>7 Jun 1996</w:t>
            </w:r>
          </w:p>
        </w:tc>
      </w:tr>
      <w:tr>
        <w:trPr>
          <w:cantSplit/>
        </w:trPr>
        <w:tc>
          <w:tcPr>
            <w:tcW w:w="3119" w:type="dxa"/>
          </w:tcPr>
          <w:p>
            <w:pPr>
              <w:pStyle w:val="nTable"/>
              <w:spacing w:after="40"/>
              <w:ind w:right="113"/>
              <w:rPr>
                <w:i/>
              </w:rPr>
            </w:pPr>
            <w:r>
              <w:rPr>
                <w:i/>
              </w:rPr>
              <w:t>Country Taxi</w:t>
            </w:r>
            <w:r>
              <w:rPr>
                <w:i/>
              </w:rPr>
              <w:noBreakHyphen/>
              <w:t>cars (Fares and Charges) Amendment Regulations 2000</w:t>
            </w:r>
          </w:p>
        </w:tc>
        <w:tc>
          <w:tcPr>
            <w:tcW w:w="1276" w:type="dxa"/>
            <w:gridSpan w:val="2"/>
          </w:tcPr>
          <w:p>
            <w:pPr>
              <w:pStyle w:val="nTable"/>
              <w:spacing w:after="40"/>
            </w:pPr>
            <w:r>
              <w:t>28 Mar 2000 p. 1688</w:t>
            </w:r>
            <w:r>
              <w:noBreakHyphen/>
              <w:t>94</w:t>
            </w:r>
          </w:p>
        </w:tc>
        <w:tc>
          <w:tcPr>
            <w:tcW w:w="2693" w:type="dxa"/>
            <w:gridSpan w:val="2"/>
          </w:tcPr>
          <w:p>
            <w:pPr>
              <w:pStyle w:val="nTable"/>
              <w:spacing w:after="40"/>
            </w:pPr>
            <w:r>
              <w:t>28 Mar 2000</w:t>
            </w:r>
          </w:p>
        </w:tc>
      </w:tr>
      <w:tr>
        <w:trPr>
          <w:cantSplit/>
        </w:trPr>
        <w:tc>
          <w:tcPr>
            <w:tcW w:w="7088" w:type="dxa"/>
            <w:gridSpan w:val="5"/>
          </w:tcPr>
          <w:p>
            <w:pPr>
              <w:pStyle w:val="nTable"/>
              <w:spacing w:after="40"/>
            </w:pPr>
            <w:r>
              <w:rPr>
                <w:b/>
                <w:bCs/>
              </w:rPr>
              <w:t xml:space="preserve">Reprint of the </w:t>
            </w:r>
            <w:r>
              <w:rPr>
                <w:b/>
                <w:bCs/>
                <w:i/>
              </w:rPr>
              <w:t>Country Taxi</w:t>
            </w:r>
            <w:r>
              <w:rPr>
                <w:b/>
                <w:bCs/>
                <w:i/>
              </w:rPr>
              <w:noBreakHyphen/>
              <w:t>cars (Fares and Charges) Regulations 1991</w:t>
            </w:r>
            <w:r>
              <w:rPr>
                <w:b/>
                <w:bCs/>
              </w:rPr>
              <w:t xml:space="preserve"> as at 26 Apr 2000 </w:t>
            </w:r>
            <w:r>
              <w:t>(includes amendments listed above)</w:t>
            </w:r>
          </w:p>
        </w:tc>
      </w:tr>
      <w:tr>
        <w:trPr>
          <w:cantSplit/>
        </w:trPr>
        <w:tc>
          <w:tcPr>
            <w:tcW w:w="3119" w:type="dxa"/>
          </w:tcPr>
          <w:p>
            <w:pPr>
              <w:pStyle w:val="nTable"/>
              <w:spacing w:after="40"/>
              <w:ind w:right="113"/>
              <w:rPr>
                <w:i/>
              </w:rPr>
            </w:pPr>
            <w:r>
              <w:rPr>
                <w:i/>
              </w:rPr>
              <w:t>Country Taxi</w:t>
            </w:r>
            <w:r>
              <w:rPr>
                <w:i/>
              </w:rPr>
              <w:noBreakHyphen/>
              <w:t>cars (Fares and Charges) Amendment Regulations (No. 2) 2000</w:t>
            </w:r>
          </w:p>
        </w:tc>
        <w:tc>
          <w:tcPr>
            <w:tcW w:w="1276" w:type="dxa"/>
            <w:gridSpan w:val="2"/>
          </w:tcPr>
          <w:p>
            <w:pPr>
              <w:pStyle w:val="nTable"/>
              <w:spacing w:after="40"/>
            </w:pPr>
            <w:r>
              <w:t>20 Jun 2000 p. 3071</w:t>
            </w:r>
            <w:r>
              <w:noBreakHyphen/>
              <w:t>5</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Country Taxi</w:t>
            </w:r>
            <w:r>
              <w:rPr>
                <w:i/>
              </w:rPr>
              <w:noBreakHyphen/>
              <w:t>cars (Fares and Charges) Amendment Regulations (No. 3) 2000</w:t>
            </w:r>
          </w:p>
        </w:tc>
        <w:tc>
          <w:tcPr>
            <w:tcW w:w="1276" w:type="dxa"/>
            <w:gridSpan w:val="2"/>
          </w:tcPr>
          <w:p>
            <w:pPr>
              <w:pStyle w:val="nTable"/>
              <w:spacing w:after="40"/>
            </w:pPr>
            <w:r>
              <w:t>21 Nov 2000 p. 6326</w:t>
            </w:r>
            <w:r>
              <w:noBreakHyphen/>
              <w:t>9</w:t>
            </w:r>
          </w:p>
        </w:tc>
        <w:tc>
          <w:tcPr>
            <w:tcW w:w="2693" w:type="dxa"/>
            <w:gridSpan w:val="2"/>
          </w:tcPr>
          <w:p>
            <w:pPr>
              <w:pStyle w:val="nTable"/>
              <w:spacing w:after="40"/>
            </w:pPr>
            <w:r>
              <w:t>21 Nov 2000</w:t>
            </w:r>
          </w:p>
        </w:tc>
      </w:tr>
      <w:tr>
        <w:trPr>
          <w:cantSplit/>
        </w:trPr>
        <w:tc>
          <w:tcPr>
            <w:tcW w:w="3119" w:type="dxa"/>
          </w:tcPr>
          <w:p>
            <w:pPr>
              <w:pStyle w:val="nTable"/>
              <w:spacing w:after="40"/>
              <w:ind w:right="113"/>
              <w:rPr>
                <w:i/>
              </w:rPr>
            </w:pPr>
            <w:r>
              <w:rPr>
                <w:i/>
              </w:rPr>
              <w:t>Country Taxi</w:t>
            </w:r>
            <w:r>
              <w:rPr>
                <w:i/>
              </w:rPr>
              <w:noBreakHyphen/>
              <w:t>cars (Fares and Charges) Amendment Regulations 2002</w:t>
            </w:r>
          </w:p>
        </w:tc>
        <w:tc>
          <w:tcPr>
            <w:tcW w:w="1276" w:type="dxa"/>
            <w:gridSpan w:val="2"/>
          </w:tcPr>
          <w:p>
            <w:pPr>
              <w:pStyle w:val="nTable"/>
              <w:spacing w:after="40"/>
            </w:pPr>
            <w:r>
              <w:t>24 Dec 2002 p. 6605</w:t>
            </w:r>
            <w:r>
              <w:noBreakHyphen/>
              <w:t>6</w:t>
            </w:r>
          </w:p>
        </w:tc>
        <w:tc>
          <w:tcPr>
            <w:tcW w:w="2693" w:type="dxa"/>
            <w:gridSpan w:val="2"/>
          </w:tcPr>
          <w:p>
            <w:pPr>
              <w:pStyle w:val="nTable"/>
              <w:spacing w:after="40"/>
            </w:pPr>
            <w:r>
              <w:t>24 Dec 2002</w:t>
            </w:r>
          </w:p>
        </w:tc>
      </w:tr>
      <w:tr>
        <w:trPr>
          <w:cantSplit/>
        </w:trPr>
        <w:tc>
          <w:tcPr>
            <w:tcW w:w="3119" w:type="dxa"/>
          </w:tcPr>
          <w:p>
            <w:pPr>
              <w:pStyle w:val="nTable"/>
              <w:spacing w:after="40"/>
              <w:ind w:right="113"/>
              <w:rPr>
                <w:i/>
              </w:rPr>
            </w:pPr>
            <w:r>
              <w:rPr>
                <w:i/>
                <w:noProof/>
                <w:snapToGrid w:val="0"/>
              </w:rPr>
              <w:t>Country Taxi</w:t>
            </w:r>
            <w:r>
              <w:rPr>
                <w:i/>
                <w:noProof/>
                <w:snapToGrid w:val="0"/>
              </w:rPr>
              <w:noBreakHyphen/>
              <w:t>cars (Fares and Charges) Amendment Regulations 2003</w:t>
            </w:r>
          </w:p>
        </w:tc>
        <w:tc>
          <w:tcPr>
            <w:tcW w:w="1276" w:type="dxa"/>
            <w:gridSpan w:val="2"/>
          </w:tcPr>
          <w:p>
            <w:pPr>
              <w:pStyle w:val="nTable"/>
              <w:spacing w:after="40"/>
            </w:pPr>
            <w:r>
              <w:t>24 Dec 2003 p. 5267</w:t>
            </w:r>
            <w:r>
              <w:noBreakHyphen/>
              <w:t>71</w:t>
            </w:r>
          </w:p>
        </w:tc>
        <w:tc>
          <w:tcPr>
            <w:tcW w:w="2693" w:type="dxa"/>
            <w:gridSpan w:val="2"/>
          </w:tcPr>
          <w:p>
            <w:pPr>
              <w:pStyle w:val="nTable"/>
              <w:spacing w:after="40"/>
            </w:pPr>
            <w:r>
              <w:t>24 Dec 2003</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2004</w:t>
            </w:r>
          </w:p>
        </w:tc>
        <w:tc>
          <w:tcPr>
            <w:tcW w:w="1276" w:type="dxa"/>
            <w:gridSpan w:val="2"/>
          </w:tcPr>
          <w:p>
            <w:pPr>
              <w:pStyle w:val="nTable"/>
              <w:spacing w:after="40"/>
            </w:pPr>
            <w:r>
              <w:t>10 Dec 2004 p. 5911</w:t>
            </w:r>
            <w:r>
              <w:noBreakHyphen/>
              <w:t>15</w:t>
            </w:r>
          </w:p>
        </w:tc>
        <w:tc>
          <w:tcPr>
            <w:tcW w:w="2693" w:type="dxa"/>
            <w:gridSpan w:val="2"/>
          </w:tcPr>
          <w:p>
            <w:pPr>
              <w:pStyle w:val="nTable"/>
              <w:spacing w:after="40"/>
            </w:pPr>
            <w:r>
              <w:t>10 Dec 2004</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2005</w:t>
            </w:r>
          </w:p>
        </w:tc>
        <w:tc>
          <w:tcPr>
            <w:tcW w:w="1276" w:type="dxa"/>
            <w:gridSpan w:val="2"/>
          </w:tcPr>
          <w:p>
            <w:pPr>
              <w:pStyle w:val="nTable"/>
              <w:spacing w:after="40"/>
            </w:pPr>
            <w:r>
              <w:t>21 Jan 2005 p. 270</w:t>
            </w:r>
            <w:r>
              <w:noBreakHyphen/>
              <w:t>4</w:t>
            </w:r>
          </w:p>
        </w:tc>
        <w:tc>
          <w:tcPr>
            <w:tcW w:w="2693" w:type="dxa"/>
            <w:gridSpan w:val="2"/>
          </w:tcPr>
          <w:p>
            <w:pPr>
              <w:pStyle w:val="nTable"/>
              <w:spacing w:after="40"/>
            </w:pPr>
            <w:r>
              <w:t>21 Jan 2005</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(No. 3) 2005</w:t>
            </w:r>
          </w:p>
        </w:tc>
        <w:tc>
          <w:tcPr>
            <w:tcW w:w="1276" w:type="dxa"/>
            <w:gridSpan w:val="2"/>
          </w:tcPr>
          <w:p>
            <w:pPr>
              <w:pStyle w:val="nTable"/>
              <w:spacing w:after="40"/>
            </w:pPr>
            <w:r>
              <w:t>1 Dec 2005 p. 5791</w:t>
            </w:r>
            <w:r>
              <w:noBreakHyphen/>
              <w:t>801</w:t>
            </w:r>
          </w:p>
        </w:tc>
        <w:tc>
          <w:tcPr>
            <w:tcW w:w="2693" w:type="dxa"/>
            <w:gridSpan w:val="2"/>
          </w:tcPr>
          <w:p>
            <w:pPr>
              <w:pStyle w:val="nTable"/>
              <w:spacing w:after="40"/>
            </w:pPr>
            <w:r>
              <w:t>1 Dec 2005</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2006</w:t>
            </w:r>
          </w:p>
        </w:tc>
        <w:tc>
          <w:tcPr>
            <w:tcW w:w="1276" w:type="dxa"/>
            <w:gridSpan w:val="2"/>
          </w:tcPr>
          <w:p>
            <w:pPr>
              <w:pStyle w:val="nTable"/>
              <w:spacing w:after="40"/>
            </w:pPr>
            <w:r>
              <w:t>14 Jul 2006 p. 2570</w:t>
            </w:r>
            <w:r>
              <w:noBreakHyphen/>
              <w:t>5</w:t>
            </w:r>
          </w:p>
        </w:tc>
        <w:tc>
          <w:tcPr>
            <w:tcW w:w="2693" w:type="dxa"/>
            <w:gridSpan w:val="2"/>
          </w:tcPr>
          <w:p>
            <w:pPr>
              <w:pStyle w:val="nTable"/>
              <w:spacing w:after="40"/>
            </w:pPr>
            <w:r>
              <w:t>14 Jul 2006</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(No. 2) 2006</w:t>
            </w:r>
          </w:p>
        </w:tc>
        <w:tc>
          <w:tcPr>
            <w:tcW w:w="1276" w:type="dxa"/>
            <w:gridSpan w:val="2"/>
          </w:tcPr>
          <w:p>
            <w:pPr>
              <w:pStyle w:val="nTable"/>
              <w:spacing w:after="40"/>
            </w:pPr>
            <w:r>
              <w:t>8 Dec 2006 p. 5393</w:t>
            </w:r>
            <w:r>
              <w:noBreakHyphen/>
              <w:t>9</w:t>
            </w:r>
          </w:p>
        </w:tc>
        <w:tc>
          <w:tcPr>
            <w:tcW w:w="2693" w:type="dxa"/>
            <w:gridSpan w:val="2"/>
          </w:tcPr>
          <w:p>
            <w:pPr>
              <w:pStyle w:val="nTable"/>
              <w:spacing w:after="40"/>
            </w:pPr>
            <w:r>
              <w:t>8 Dec 2006</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2007</w:t>
            </w:r>
          </w:p>
        </w:tc>
        <w:tc>
          <w:tcPr>
            <w:tcW w:w="1276" w:type="dxa"/>
            <w:gridSpan w:val="2"/>
          </w:tcPr>
          <w:p>
            <w:pPr>
              <w:pStyle w:val="nTable"/>
              <w:spacing w:after="40"/>
            </w:pPr>
            <w:r>
              <w:t>21 Dec 2007 p. 6329</w:t>
            </w:r>
            <w:r>
              <w:noBreakHyphen/>
              <w:t>38</w:t>
            </w:r>
          </w:p>
        </w:tc>
        <w:tc>
          <w:tcPr>
            <w:tcW w:w="2693" w:type="dxa"/>
            <w:gridSpan w:val="2"/>
          </w:tcPr>
          <w:p>
            <w:pPr>
              <w:pStyle w:val="nTable"/>
              <w:spacing w:after="40"/>
            </w:pPr>
            <w:r>
              <w:t>r. 1 and 2: 21 Dec 2007 (see r. 2(a));</w:t>
            </w:r>
            <w:r>
              <w:br/>
              <w:t>Regulations other than r. 1 and 2: 22 Dec 2007 (see r. 2(b))</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2008</w:t>
            </w:r>
          </w:p>
        </w:tc>
        <w:tc>
          <w:tcPr>
            <w:tcW w:w="1276" w:type="dxa"/>
            <w:gridSpan w:val="2"/>
          </w:tcPr>
          <w:p>
            <w:pPr>
              <w:pStyle w:val="nTable"/>
              <w:spacing w:after="40"/>
            </w:pPr>
            <w:r>
              <w:t>31 Jul 2008 p. 3437</w:t>
            </w:r>
            <w:r>
              <w:noBreakHyphen/>
              <w:t>48</w:t>
            </w:r>
          </w:p>
        </w:tc>
        <w:tc>
          <w:tcPr>
            <w:tcW w:w="2693" w:type="dxa"/>
            <w:gridSpan w:val="2"/>
          </w:tcPr>
          <w:p>
            <w:pPr>
              <w:pStyle w:val="nTable"/>
              <w:spacing w:after="40"/>
            </w:pPr>
            <w:r>
              <w:t>r. 1 and 2: 31 Jul 2008 (see r. 2(a));</w:t>
            </w:r>
            <w:r>
              <w:br/>
              <w:t>Regulations other than r. 1 and 2: 1 Aug 2008 (see r. 2(b))</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(No. 2) 2008</w:t>
            </w:r>
          </w:p>
        </w:tc>
        <w:tc>
          <w:tcPr>
            <w:tcW w:w="1276" w:type="dxa"/>
            <w:gridSpan w:val="2"/>
          </w:tcPr>
          <w:p>
            <w:pPr>
              <w:pStyle w:val="nTable"/>
              <w:spacing w:after="40"/>
            </w:pPr>
            <w:r>
              <w:t>17 Dec 2008 p. 5335</w:t>
            </w:r>
            <w:r>
              <w:noBreakHyphen/>
              <w:t>46</w:t>
            </w:r>
          </w:p>
        </w:tc>
        <w:tc>
          <w:tcPr>
            <w:tcW w:w="2693" w:type="dxa"/>
            <w:gridSpan w:val="2"/>
          </w:tcPr>
          <w:p>
            <w:pPr>
              <w:pStyle w:val="nTable"/>
              <w:spacing w:after="40"/>
            </w:pPr>
            <w:r>
              <w:t>r. 1 and 2: 17 Dec 2008 (see r. 2(a));</w:t>
            </w:r>
            <w:r>
              <w:br/>
              <w:t>Regulations other than r. 1 and 2: 18 Dec 2008 (see r. 2(b))</w:t>
            </w:r>
          </w:p>
        </w:tc>
      </w:tr>
      <w:tr>
        <w:trPr>
          <w:cantSplit/>
        </w:trPr>
        <w:tc>
          <w:tcPr>
            <w:tcW w:w="7088" w:type="dxa"/>
            <w:gridSpan w:val="5"/>
          </w:tcPr>
          <w:p>
            <w:pPr>
              <w:pStyle w:val="nTable"/>
              <w:spacing w:after="40"/>
            </w:pPr>
            <w:r>
              <w:rPr>
                <w:b/>
                <w:bCs/>
              </w:rPr>
              <w:t xml:space="preserve">Reprint 2:  The </w:t>
            </w:r>
            <w:r>
              <w:rPr>
                <w:b/>
                <w:bCs/>
                <w:i/>
              </w:rPr>
              <w:t>Country Taxi</w:t>
            </w:r>
            <w:r>
              <w:rPr>
                <w:b/>
                <w:bCs/>
                <w:i/>
              </w:rPr>
              <w:noBreakHyphen/>
              <w:t>cars (Fares and Charges) Regulations 1991</w:t>
            </w:r>
            <w:r>
              <w:rPr>
                <w:b/>
                <w:bCs/>
              </w:rPr>
              <w:t xml:space="preserve"> as at 6 Feb 2009 </w:t>
            </w:r>
            <w:r>
              <w:t>(includes amendments listed above)</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2010</w:t>
            </w:r>
          </w:p>
        </w:tc>
        <w:tc>
          <w:tcPr>
            <w:tcW w:w="1276" w:type="dxa"/>
            <w:gridSpan w:val="2"/>
          </w:tcPr>
          <w:p>
            <w:pPr>
              <w:pStyle w:val="nTable"/>
              <w:spacing w:after="40"/>
            </w:pPr>
            <w:r>
              <w:t>9 Feb 2010 p. 272-81</w:t>
            </w:r>
          </w:p>
        </w:tc>
        <w:tc>
          <w:tcPr>
            <w:tcW w:w="2693" w:type="dxa"/>
            <w:gridSpan w:val="2"/>
          </w:tcPr>
          <w:p>
            <w:pPr>
              <w:pStyle w:val="nTable"/>
              <w:spacing w:after="40"/>
            </w:pPr>
            <w:r>
              <w:t>r. 1 and 2: 9 Feb 2010 (see r. 2(a));</w:t>
            </w:r>
            <w:r>
              <w:br/>
              <w:t>Regulations other than r. 1 and 2: 10 Feb 2010 (see r. 2(b))</w:t>
            </w:r>
          </w:p>
        </w:tc>
      </w:tr>
      <w:tr>
        <w:trPr>
          <w:cantSplit/>
        </w:trPr>
        <w:tc>
          <w:tcPr>
            <w:tcW w:w="3119" w:type="dxa"/>
          </w:tcPr>
          <w:p>
            <w:pPr>
              <w:pStyle w:val="nTable"/>
              <w:spacing w:after="40"/>
              <w:ind w:right="113"/>
              <w:rPr>
                <w:i/>
                <w:noProof/>
                <w:snapToGrid w:val="0"/>
              </w:rPr>
            </w:pPr>
            <w:r>
              <w:rPr>
                <w:i/>
                <w:noProof/>
                <w:snapToGrid w:val="0"/>
              </w:rPr>
              <w:t>Country Taxi</w:t>
            </w:r>
            <w:r>
              <w:rPr>
                <w:i/>
                <w:noProof/>
                <w:snapToGrid w:val="0"/>
              </w:rPr>
              <w:noBreakHyphen/>
              <w:t>cars (Fares and Charges) Amendment Regulations 2011</w:t>
            </w:r>
          </w:p>
        </w:tc>
        <w:tc>
          <w:tcPr>
            <w:tcW w:w="1276" w:type="dxa"/>
            <w:gridSpan w:val="2"/>
          </w:tcPr>
          <w:p>
            <w:pPr>
              <w:pStyle w:val="nTable"/>
              <w:spacing w:after="40"/>
            </w:pPr>
            <w:r>
              <w:t>11 Feb 2011 p. 508-15</w:t>
            </w:r>
          </w:p>
        </w:tc>
        <w:tc>
          <w:tcPr>
            <w:tcW w:w="2693" w:type="dxa"/>
            <w:gridSpan w:val="2"/>
          </w:tcPr>
          <w:p>
            <w:pPr>
              <w:pStyle w:val="nTable"/>
              <w:spacing w:after="40"/>
            </w:pPr>
            <w:r>
              <w:t>r. 1 and 2: 11 Feb 2011 (see r. 2(a));</w:t>
            </w:r>
            <w:r>
              <w:br/>
              <w:t>Regulations other than r. 1 and 2: 12 Feb 2011 (see r. 2(b))</w:t>
            </w:r>
          </w:p>
        </w:tc>
      </w:tr>
      <w:tr>
        <w:trPr>
          <w:cantSplit/>
        </w:trPr>
        <w:tc>
          <w:tcPr>
            <w:tcW w:w="3119" w:type="dxa"/>
          </w:tcPr>
          <w:p>
            <w:pPr>
              <w:pStyle w:val="nTable"/>
              <w:spacing w:after="40"/>
              <w:ind w:right="113"/>
              <w:rPr>
                <w:i/>
                <w:noProof/>
                <w:snapToGrid w:val="0"/>
              </w:rPr>
            </w:pPr>
            <w:r>
              <w:rPr>
                <w:i/>
                <w:noProof/>
                <w:snapToGrid w:val="0"/>
              </w:rPr>
              <w:t>Country Taxi-cars (Fares and Charges) Amendment Regulations (No. 2) 2011</w:t>
            </w:r>
          </w:p>
        </w:tc>
        <w:tc>
          <w:tcPr>
            <w:tcW w:w="1276" w:type="dxa"/>
            <w:gridSpan w:val="2"/>
          </w:tcPr>
          <w:p>
            <w:pPr>
              <w:pStyle w:val="nTable"/>
              <w:spacing w:after="40"/>
            </w:pPr>
            <w:r>
              <w:t>30 Nov 2011 p. 4973-7</w:t>
            </w:r>
          </w:p>
        </w:tc>
        <w:tc>
          <w:tcPr>
            <w:tcW w:w="2693" w:type="dxa"/>
            <w:gridSpan w:val="2"/>
          </w:tcPr>
          <w:p>
            <w:pPr>
              <w:pStyle w:val="nTable"/>
              <w:spacing w:after="40"/>
            </w:pPr>
            <w:r>
              <w:t>r. 1 and 2: 30 Nov 2011 (see r. 2(a));</w:t>
            </w:r>
            <w:r>
              <w:br/>
              <w:t>Regulations other than r. 1 and 2: 1 Dec 2011 (see r. 2(b))</w:t>
            </w:r>
          </w:p>
        </w:tc>
      </w:tr>
      <w:tr>
        <w:trPr>
          <w:cantSplit/>
        </w:trPr>
        <w:tc>
          <w:tcPr>
            <w:tcW w:w="3119" w:type="dxa"/>
          </w:tcPr>
          <w:p>
            <w:pPr>
              <w:pStyle w:val="nTable"/>
              <w:spacing w:after="40"/>
              <w:ind w:right="113"/>
              <w:rPr>
                <w:i/>
                <w:noProof/>
                <w:snapToGrid w:val="0"/>
              </w:rPr>
            </w:pPr>
            <w:r>
              <w:rPr>
                <w:i/>
                <w:noProof/>
                <w:snapToGrid w:val="0"/>
              </w:rPr>
              <w:t>Country Taxi-cars (Fares and Charges) Amendment Regulations 2012</w:t>
            </w:r>
          </w:p>
        </w:tc>
        <w:tc>
          <w:tcPr>
            <w:tcW w:w="1276" w:type="dxa"/>
            <w:gridSpan w:val="2"/>
          </w:tcPr>
          <w:p>
            <w:pPr>
              <w:pStyle w:val="nTable"/>
              <w:spacing w:after="40"/>
            </w:pPr>
            <w:r>
              <w:t>22 Jun 2012 p. 2798-9</w:t>
            </w:r>
          </w:p>
        </w:tc>
        <w:tc>
          <w:tcPr>
            <w:tcW w:w="2693" w:type="dxa"/>
            <w:gridSpan w:val="2"/>
          </w:tcPr>
          <w:p>
            <w:pPr>
              <w:pStyle w:val="nTable"/>
              <w:spacing w:after="40"/>
            </w:pPr>
            <w:r>
              <w:t>r. 1 and 2: 22 Jun 2012 (see r. 2(a));</w:t>
            </w:r>
            <w:r>
              <w:br/>
              <w:t>Regulations other than r. 1 and 2: 1 Jul 2012 (see r. 2(b))</w:t>
            </w:r>
          </w:p>
        </w:tc>
      </w:tr>
      <w:tr>
        <w:trPr>
          <w:cantSplit/>
        </w:trPr>
        <w:tc>
          <w:tcPr>
            <w:tcW w:w="3119" w:type="dxa"/>
            <w:shd w:val="clear" w:color="auto" w:fill="auto"/>
          </w:tcPr>
          <w:p>
            <w:pPr>
              <w:pStyle w:val="nTable"/>
              <w:spacing w:after="40"/>
              <w:ind w:right="113"/>
              <w:rPr>
                <w:i/>
                <w:noProof/>
                <w:snapToGrid w:val="0"/>
              </w:rPr>
            </w:pPr>
            <w:r>
              <w:rPr>
                <w:i/>
                <w:noProof/>
                <w:snapToGrid w:val="0"/>
              </w:rPr>
              <w:t>Country Taxi-cars (Fares and Charges) Amendment Regulations (No. 2) 2012</w:t>
            </w:r>
          </w:p>
        </w:tc>
        <w:tc>
          <w:tcPr>
            <w:tcW w:w="1276" w:type="dxa"/>
            <w:gridSpan w:val="2"/>
            <w:shd w:val="clear" w:color="auto" w:fill="auto"/>
          </w:tcPr>
          <w:p>
            <w:pPr>
              <w:pStyle w:val="nTable"/>
              <w:spacing w:after="40"/>
            </w:pPr>
            <w:r>
              <w:t>29 Jun 2012 p. 2962</w:t>
            </w:r>
            <w:r>
              <w:noBreakHyphen/>
              <w:t>3</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cantSplit/>
        </w:trPr>
        <w:tc>
          <w:tcPr>
            <w:tcW w:w="7088" w:type="dxa"/>
            <w:gridSpan w:val="5"/>
            <w:shd w:val="clear" w:color="auto" w:fill="auto"/>
          </w:tcPr>
          <w:p>
            <w:pPr>
              <w:pStyle w:val="nTable"/>
              <w:spacing w:after="40"/>
            </w:pPr>
            <w:r>
              <w:rPr>
                <w:b/>
                <w:bCs/>
              </w:rPr>
              <w:t xml:space="preserve">Reprint 3:  The </w:t>
            </w:r>
            <w:r>
              <w:rPr>
                <w:b/>
                <w:bCs/>
                <w:i/>
              </w:rPr>
              <w:t>Country Taxi</w:t>
            </w:r>
            <w:r>
              <w:rPr>
                <w:b/>
                <w:bCs/>
                <w:i/>
              </w:rPr>
              <w:noBreakHyphen/>
              <w:t>cars (Fares and Charges) Regulations 1991</w:t>
            </w:r>
            <w:r>
              <w:rPr>
                <w:b/>
                <w:bCs/>
              </w:rPr>
              <w:t xml:space="preserve"> as at 26 Oct 2012 </w:t>
            </w:r>
            <w:r>
              <w:t>(includes amendments listed above)</w:t>
            </w:r>
          </w:p>
        </w:tc>
      </w:tr>
      <w:tr>
        <w:trPr>
          <w:cantSplit/>
        </w:trPr>
        <w:tc>
          <w:tcPr>
            <w:tcW w:w="3119" w:type="dxa"/>
            <w:shd w:val="clear" w:color="auto" w:fill="auto"/>
          </w:tcPr>
          <w:p>
            <w:pPr>
              <w:pStyle w:val="nTable"/>
              <w:spacing w:after="40"/>
              <w:ind w:right="113"/>
              <w:rPr>
                <w:i/>
                <w:noProof/>
                <w:snapToGrid w:val="0"/>
              </w:rPr>
            </w:pPr>
            <w:r>
              <w:rPr>
                <w:i/>
                <w:noProof/>
                <w:snapToGrid w:val="0"/>
              </w:rPr>
              <w:t>Country Taxi-cars (Fares and Charges) Amendment Regulations (No. 3) 2012</w:t>
            </w:r>
          </w:p>
        </w:tc>
        <w:tc>
          <w:tcPr>
            <w:tcW w:w="1276" w:type="dxa"/>
            <w:gridSpan w:val="2"/>
            <w:shd w:val="clear" w:color="auto" w:fill="auto"/>
          </w:tcPr>
          <w:p>
            <w:pPr>
              <w:pStyle w:val="nTable"/>
              <w:spacing w:after="40"/>
            </w:pPr>
            <w:r>
              <w:t>30 Nov 2012 p. 5808</w:t>
            </w:r>
            <w:r>
              <w:noBreakHyphen/>
              <w:t>12</w:t>
            </w:r>
          </w:p>
        </w:tc>
        <w:tc>
          <w:tcPr>
            <w:tcW w:w="2693" w:type="dxa"/>
            <w:gridSpan w:val="2"/>
            <w:shd w:val="clear" w:color="auto" w:fill="auto"/>
          </w:tcPr>
          <w:p>
            <w:pPr>
              <w:pStyle w:val="nTable"/>
              <w:spacing w:after="40"/>
            </w:pPr>
            <w:r>
              <w:t>r. 1 and 2: 30 Nov 2012 (see r. 2(a));</w:t>
            </w:r>
            <w:r>
              <w:br/>
              <w:t>Regulations other than r. 1 and 2: 1 Dec 2012 (see r. 2(b))</w:t>
            </w:r>
          </w:p>
        </w:tc>
      </w:tr>
      <w:tr>
        <w:trPr>
          <w:cantSplit/>
        </w:trPr>
        <w:tc>
          <w:tcPr>
            <w:tcW w:w="3119" w:type="dxa"/>
            <w:shd w:val="clear" w:color="auto" w:fill="auto"/>
          </w:tcPr>
          <w:p>
            <w:pPr>
              <w:pStyle w:val="nTable"/>
              <w:spacing w:after="40"/>
              <w:ind w:right="113"/>
              <w:rPr>
                <w:i/>
                <w:noProof/>
                <w:snapToGrid w:val="0"/>
              </w:rPr>
            </w:pPr>
            <w:r>
              <w:rPr>
                <w:i/>
              </w:rPr>
              <w:t>Country Taxi</w:t>
            </w:r>
            <w:r>
              <w:rPr>
                <w:i/>
              </w:rPr>
              <w:noBreakHyphen/>
              <w:t>cars (Fares and Charges) Amendment Regulations 2013</w:t>
            </w:r>
          </w:p>
        </w:tc>
        <w:tc>
          <w:tcPr>
            <w:tcW w:w="1276" w:type="dxa"/>
            <w:gridSpan w:val="2"/>
            <w:shd w:val="clear" w:color="auto" w:fill="auto"/>
          </w:tcPr>
          <w:p>
            <w:pPr>
              <w:pStyle w:val="nTable"/>
              <w:spacing w:after="40"/>
            </w:pPr>
            <w:r>
              <w:t>13 Dec 2013 p. 6178</w:t>
            </w:r>
            <w:r>
              <w:noBreakHyphen/>
              <w:t>89</w:t>
            </w:r>
          </w:p>
        </w:tc>
        <w:tc>
          <w:tcPr>
            <w:tcW w:w="2693" w:type="dxa"/>
            <w:gridSpan w:val="2"/>
            <w:shd w:val="clear" w:color="auto" w:fill="auto"/>
          </w:tcPr>
          <w:p>
            <w:pPr>
              <w:pStyle w:val="nTable"/>
              <w:spacing w:after="40"/>
            </w:pPr>
            <w:r>
              <w:rPr>
                <w:bCs/>
                <w:snapToGrid w:val="0"/>
              </w:rPr>
              <w:t>r. 1 and 2: 13 Dec 2013 (see r. 2(a));</w:t>
            </w:r>
            <w:r>
              <w:rPr>
                <w:bCs/>
                <w:snapToGrid w:val="0"/>
              </w:rPr>
              <w:br/>
              <w:t>Regulations other than r. 1 and 2: 14 Dec 2013 (see r. 2(b))</w:t>
            </w:r>
          </w:p>
        </w:tc>
      </w:tr>
      <w:tr>
        <w:trPr>
          <w:cantSplit/>
        </w:trPr>
        <w:tc>
          <w:tcPr>
            <w:tcW w:w="3119" w:type="dxa"/>
            <w:shd w:val="clear" w:color="auto" w:fill="auto"/>
          </w:tcPr>
          <w:p>
            <w:pPr>
              <w:pStyle w:val="nTable"/>
              <w:spacing w:after="40"/>
              <w:ind w:right="113"/>
              <w:rPr>
                <w:i/>
              </w:rPr>
            </w:pPr>
            <w:r>
              <w:rPr>
                <w:i/>
              </w:rPr>
              <w:t>Country Taxi-cars (Fares and Charges) Amendment Regulations (No. 2) 2014</w:t>
            </w:r>
          </w:p>
        </w:tc>
        <w:tc>
          <w:tcPr>
            <w:tcW w:w="1276" w:type="dxa"/>
            <w:gridSpan w:val="2"/>
            <w:shd w:val="clear" w:color="auto" w:fill="auto"/>
          </w:tcPr>
          <w:p>
            <w:pPr>
              <w:pStyle w:val="nTable"/>
              <w:spacing w:after="40"/>
            </w:pPr>
            <w:r>
              <w:t>23 Dec 2014 p. 4897-911</w:t>
            </w:r>
          </w:p>
        </w:tc>
        <w:tc>
          <w:tcPr>
            <w:tcW w:w="2693" w:type="dxa"/>
            <w:gridSpan w:val="2"/>
            <w:shd w:val="clear" w:color="auto" w:fill="auto"/>
          </w:tcPr>
          <w:p>
            <w:pPr>
              <w:pStyle w:val="nTable"/>
              <w:tabs>
                <w:tab w:val="left" w:pos="1682"/>
              </w:tabs>
              <w:spacing w:after="40"/>
              <w:rPr>
                <w:bCs/>
                <w:snapToGrid w:val="0"/>
              </w:rPr>
            </w:pPr>
            <w:r>
              <w:rPr>
                <w:bCs/>
                <w:snapToGrid w:val="0"/>
                <w:spacing w:val="-2"/>
              </w:rPr>
              <w:t>r. 1 and 2: 23 Dec 2014 (see r. 2(a));</w:t>
            </w:r>
            <w:r>
              <w:rPr>
                <w:bCs/>
                <w:snapToGrid w:val="0"/>
                <w:spacing w:val="-2"/>
              </w:rPr>
              <w:br/>
              <w:t>Regulations other than r. 1 and 2: 24 Dec 2014 (see r. 2(b))</w:t>
            </w:r>
          </w:p>
        </w:tc>
      </w:tr>
      <w:tr>
        <w:trPr>
          <w:cantSplit/>
        </w:trPr>
        <w:tc>
          <w:tcPr>
            <w:tcW w:w="3119" w:type="dxa"/>
            <w:shd w:val="clear" w:color="auto" w:fill="auto"/>
          </w:tcPr>
          <w:p>
            <w:pPr>
              <w:pStyle w:val="nTable"/>
              <w:spacing w:after="40"/>
              <w:ind w:right="113"/>
              <w:rPr>
                <w:i/>
              </w:rPr>
            </w:pPr>
            <w:r>
              <w:rPr>
                <w:i/>
              </w:rPr>
              <w:t>Country Taxi-cars (Fares and Charges) Amendment Regulations 2015</w:t>
            </w:r>
          </w:p>
        </w:tc>
        <w:tc>
          <w:tcPr>
            <w:tcW w:w="1276" w:type="dxa"/>
            <w:gridSpan w:val="2"/>
            <w:shd w:val="clear" w:color="auto" w:fill="auto"/>
          </w:tcPr>
          <w:p>
            <w:pPr>
              <w:pStyle w:val="nTable"/>
              <w:spacing w:after="40"/>
            </w:pPr>
            <w:r>
              <w:t>20 Feb 2015 p. 690</w:t>
            </w:r>
            <w:r>
              <w:noBreakHyphen/>
              <w:t>2</w:t>
            </w:r>
          </w:p>
        </w:tc>
        <w:tc>
          <w:tcPr>
            <w:tcW w:w="2693" w:type="dxa"/>
            <w:gridSpan w:val="2"/>
            <w:shd w:val="clear" w:color="auto" w:fill="auto"/>
          </w:tcPr>
          <w:p>
            <w:pPr>
              <w:pStyle w:val="nTable"/>
              <w:tabs>
                <w:tab w:val="left" w:pos="1682"/>
              </w:tabs>
              <w:spacing w:after="40"/>
              <w:rPr>
                <w:bCs/>
                <w:snapToGrid w:val="0"/>
                <w:spacing w:val="-2"/>
              </w:rPr>
            </w:pPr>
            <w:r>
              <w:rPr>
                <w:bCs/>
                <w:snapToGrid w:val="0"/>
                <w:spacing w:val="-2"/>
              </w:rPr>
              <w:t>r. 1 and 2: 20 Feb 2015 (see r. 2(a));</w:t>
            </w:r>
            <w:r>
              <w:rPr>
                <w:bCs/>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w:t>
            </w:r>
            <w:r>
              <w:t xml:space="preserve"> Pt. 2</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tabs>
                <w:tab w:val="left" w:pos="1682"/>
              </w:tabs>
              <w:spacing w:after="40"/>
              <w:rPr>
                <w:bCs/>
                <w:snapToGrid w:val="0"/>
                <w:spacing w:val="-2"/>
              </w:rPr>
            </w:pPr>
            <w:r>
              <w:rPr>
                <w:bCs/>
                <w:snapToGrid w:val="0"/>
                <w:spacing w:val="-2"/>
              </w:rPr>
              <w:t>4 Jul 2016 (see r. 2(b))</w:t>
            </w:r>
          </w:p>
        </w:tc>
      </w:tr>
      <w:tr>
        <w:trPr>
          <w:cantSplit/>
        </w:trPr>
        <w:tc>
          <w:tcPr>
            <w:tcW w:w="7088" w:type="dxa"/>
            <w:gridSpan w:val="5"/>
            <w:shd w:val="clear" w:color="auto" w:fill="auto"/>
          </w:tcPr>
          <w:p>
            <w:pPr>
              <w:pStyle w:val="nTable"/>
              <w:tabs>
                <w:tab w:val="left" w:pos="1682"/>
              </w:tabs>
              <w:spacing w:after="40"/>
              <w:rPr>
                <w:bCs/>
                <w:snapToGrid w:val="0"/>
                <w:spacing w:val="-2"/>
              </w:rPr>
            </w:pPr>
            <w:r>
              <w:rPr>
                <w:b/>
                <w:bCs/>
                <w:snapToGrid w:val="0"/>
                <w:spacing w:val="-2"/>
              </w:rPr>
              <w:t xml:space="preserve">Reprint 4: The </w:t>
            </w:r>
            <w:r>
              <w:rPr>
                <w:b/>
                <w:bCs/>
                <w:i/>
                <w:noProof/>
                <w:snapToGrid w:val="0"/>
                <w:spacing w:val="-2"/>
              </w:rPr>
              <w:t>Transport (Country Taxi-cars Fares) Regulations 1991</w:t>
            </w:r>
            <w:r>
              <w:rPr>
                <w:b/>
                <w:bCs/>
                <w:snapToGrid w:val="0"/>
                <w:spacing w:val="-2"/>
              </w:rPr>
              <w:t xml:space="preserve"> as at 10 Mar 2017</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spacing w:after="40"/>
              <w:rPr>
                <w:vertAlign w:val="superscript"/>
              </w:rPr>
            </w:pPr>
            <w:r>
              <w:rPr>
                <w:i/>
              </w:rPr>
              <w:t>Transport (Country Taxi</w:t>
            </w:r>
            <w:r>
              <w:rPr>
                <w:i/>
              </w:rPr>
              <w:noBreakHyphen/>
              <w:t>cars Fares) Amendment Regulations 2017</w:t>
            </w:r>
            <w:r>
              <w:t xml:space="preserve"> </w:t>
            </w:r>
          </w:p>
        </w:tc>
        <w:tc>
          <w:tcPr>
            <w:tcW w:w="1276" w:type="dxa"/>
            <w:gridSpan w:val="2"/>
            <w:tcBorders>
              <w:top w:val="nil"/>
              <w:bottom w:val="nil"/>
            </w:tcBorders>
          </w:tcPr>
          <w:p>
            <w:pPr>
              <w:pStyle w:val="nTable"/>
              <w:spacing w:after="40"/>
            </w:pPr>
            <w:r>
              <w:t>12 May 2017 p. 2471</w:t>
            </w:r>
            <w:r>
              <w:noBreakHyphen/>
              <w:t>2</w:t>
            </w:r>
          </w:p>
        </w:tc>
        <w:tc>
          <w:tcPr>
            <w:tcW w:w="2693" w:type="dxa"/>
            <w:gridSpan w:val="2"/>
            <w:tcBorders>
              <w:top w:val="nil"/>
              <w:bottom w:val="nil"/>
            </w:tcBorders>
          </w:tcPr>
          <w:p>
            <w:pPr>
              <w:pStyle w:val="nTable"/>
              <w:spacing w:after="40"/>
            </w:pPr>
            <w:r>
              <w:rPr>
                <w:bCs/>
                <w:snapToGrid w:val="0"/>
                <w:spacing w:val="-2"/>
              </w:rPr>
              <w:t xml:space="preserve">r. 1 and 2: </w:t>
            </w:r>
            <w:r>
              <w:rPr>
                <w:snapToGrid w:val="0"/>
              </w:rPr>
              <w:t>12 May 2017</w:t>
            </w:r>
            <w:r>
              <w:rPr>
                <w:bCs/>
                <w:snapToGrid w:val="0"/>
                <w:spacing w:val="-2"/>
              </w:rPr>
              <w:t xml:space="preserve"> (see r. 2(a));</w:t>
            </w:r>
            <w:r>
              <w:rPr>
                <w:bCs/>
                <w:snapToGrid w:val="0"/>
                <w:spacing w:val="-2"/>
              </w:rPr>
              <w:br/>
              <w:t xml:space="preserve">Regulations other than r. 1 and 2: </w:t>
            </w:r>
            <w:r>
              <w:rPr>
                <w:snapToGrid w:val="0"/>
              </w:rPr>
              <w:t>22</w:t>
            </w:r>
            <w:r>
              <w:t> </w:t>
            </w:r>
            <w:r>
              <w:rPr>
                <w:snapToGrid w:val="0"/>
              </w:rPr>
              <w:t>May 2017</w:t>
            </w:r>
            <w:r>
              <w:rPr>
                <w:bCs/>
                <w:snapToGrid w:val="0"/>
                <w:spacing w:val="-2"/>
              </w:rPr>
              <w:t xml:space="preserve"> (see r. 2(b))</w:t>
            </w:r>
            <w:r>
              <w:t xml:space="preserve"> </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3</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pStyle w:val="nTable"/>
              <w:spacing w:after="40"/>
            </w:pPr>
            <w:r>
              <w:rPr>
                <w:bCs/>
                <w:snapToGrid w:val="0"/>
                <w:spacing w:val="-2"/>
              </w:rPr>
              <w:t>23 May 2018 (see r. 2(b))</w:t>
            </w:r>
          </w:p>
        </w:tc>
      </w:tr>
      <w:tr>
        <w:trPr>
          <w:cantSplit/>
        </w:trPr>
        <w:tc>
          <w:tcPr>
            <w:tcW w:w="3147" w:type="dxa"/>
            <w:gridSpan w:val="2"/>
            <w:shd w:val="clear" w:color="auto" w:fill="auto"/>
          </w:tcPr>
          <w:p>
            <w:pPr>
              <w:pStyle w:val="nTable"/>
              <w:spacing w:after="40"/>
              <w:rPr>
                <w:i/>
              </w:rPr>
            </w:pPr>
            <w:r>
              <w:rPr>
                <w:i/>
              </w:rPr>
              <w:t>Transport (Country Taxi</w:t>
            </w:r>
            <w:r>
              <w:rPr>
                <w:i/>
              </w:rPr>
              <w:noBreakHyphen/>
              <w:t>cars Fares) Amendment Regulation 2018</w:t>
            </w:r>
          </w:p>
        </w:tc>
        <w:tc>
          <w:tcPr>
            <w:tcW w:w="1276" w:type="dxa"/>
            <w:gridSpan w:val="2"/>
            <w:shd w:val="clear" w:color="auto" w:fill="auto"/>
          </w:tcPr>
          <w:p>
            <w:pPr>
              <w:pStyle w:val="nTable"/>
              <w:spacing w:after="40"/>
            </w:pPr>
            <w:r>
              <w:t>21 Aug 2018 p. 2943</w:t>
            </w:r>
          </w:p>
        </w:tc>
        <w:tc>
          <w:tcPr>
            <w:tcW w:w="2665" w:type="dxa"/>
            <w:shd w:val="clear" w:color="auto" w:fill="auto"/>
          </w:tcPr>
          <w:p>
            <w:pPr>
              <w:pStyle w:val="nTable"/>
              <w:spacing w:after="40"/>
              <w:rPr>
                <w:bCs/>
                <w:snapToGrid w:val="0"/>
                <w:spacing w:val="-2"/>
              </w:rPr>
            </w:pPr>
            <w:r>
              <w:rPr>
                <w:bCs/>
                <w:snapToGrid w:val="0"/>
                <w:spacing w:val="-2"/>
              </w:rPr>
              <w:t>r. 1 and 2: 21 Aug 2018 (see r. 2(a));</w:t>
            </w:r>
          </w:p>
          <w:p>
            <w:pPr>
              <w:pStyle w:val="nTable"/>
              <w:spacing w:after="40"/>
            </w:pPr>
            <w:r>
              <w:rPr>
                <w:bCs/>
                <w:snapToGrid w:val="0"/>
                <w:spacing w:val="-2"/>
              </w:rPr>
              <w:t>Regulations other than r. 1 and 2: 22 Aug 2018 (see r. 2(b))</w:t>
            </w:r>
          </w:p>
        </w:tc>
      </w:tr>
      <w:tr>
        <w:trPr>
          <w:cantSplit/>
        </w:trPr>
        <w:tc>
          <w:tcPr>
            <w:tcW w:w="3147" w:type="dxa"/>
            <w:gridSpan w:val="2"/>
            <w:shd w:val="clear" w:color="auto" w:fill="auto"/>
          </w:tcPr>
          <w:p>
            <w:pPr>
              <w:pStyle w:val="nTable"/>
              <w:spacing w:after="40"/>
              <w:rPr>
                <w:i/>
              </w:rPr>
            </w:pPr>
            <w:r>
              <w:rPr>
                <w:i/>
              </w:rPr>
              <w:t>Transport Regulations Amendment (Road Passenger Services) Regulations 2019</w:t>
            </w:r>
            <w:r>
              <w:t xml:space="preserve"> Pt. 3 Div. 2</w:t>
            </w:r>
          </w:p>
        </w:tc>
        <w:tc>
          <w:tcPr>
            <w:tcW w:w="1276" w:type="dxa"/>
            <w:gridSpan w:val="2"/>
            <w:shd w:val="clear" w:color="auto" w:fill="auto"/>
          </w:tcPr>
          <w:p>
            <w:pPr>
              <w:pStyle w:val="nTable"/>
              <w:spacing w:after="40"/>
            </w:pPr>
            <w:r>
              <w:t>26 Feb 2019 p. 451</w:t>
            </w:r>
            <w:r>
              <w:noBreakHyphen/>
              <w:t>8</w:t>
            </w:r>
          </w:p>
        </w:tc>
        <w:tc>
          <w:tcPr>
            <w:tcW w:w="2665" w:type="dxa"/>
            <w:shd w:val="clear" w:color="auto" w:fill="auto"/>
          </w:tcPr>
          <w:p>
            <w:pPr>
              <w:pStyle w:val="nTable"/>
              <w:spacing w:after="40"/>
            </w:pPr>
            <w:r>
              <w:rPr>
                <w:bCs/>
                <w:snapToGrid w:val="0"/>
                <w:spacing w:val="-2"/>
              </w:rPr>
              <w:t xml:space="preserve">1 Apr 2019 (see r. 2(c) and </w:t>
            </w:r>
            <w:r>
              <w:rPr>
                <w:bCs/>
                <w:i/>
                <w:snapToGrid w:val="0"/>
                <w:spacing w:val="-2"/>
              </w:rPr>
              <w:t>Gazette</w:t>
            </w:r>
            <w:r>
              <w:rPr>
                <w:bCs/>
                <w:snapToGrid w:val="0"/>
                <w:spacing w:val="-2"/>
              </w:rPr>
              <w:t xml:space="preserve"> 26 Feb 2019 p. 449-50)</w:t>
            </w:r>
          </w:p>
        </w:tc>
      </w:tr>
      <w:tr>
        <w:trPr>
          <w:cantSplit/>
        </w:trPr>
        <w:tc>
          <w:tcPr>
            <w:tcW w:w="7088" w:type="dxa"/>
            <w:gridSpan w:val="5"/>
            <w:tcBorders>
              <w:bottom w:val="single" w:sz="8" w:space="0" w:color="auto"/>
            </w:tcBorders>
            <w:shd w:val="clear" w:color="auto" w:fill="auto"/>
          </w:tcPr>
          <w:p>
            <w:pPr>
              <w:pStyle w:val="nTable"/>
              <w:spacing w:after="40"/>
              <w:rPr>
                <w:b/>
                <w:bCs/>
                <w:snapToGrid w:val="0"/>
                <w:spacing w:val="-2"/>
              </w:rPr>
            </w:pPr>
            <w:r>
              <w:rPr>
                <w:b/>
                <w:color w:val="FF0000"/>
              </w:rPr>
              <w:t xml:space="preserve">These regulations were repealed by the </w:t>
            </w:r>
            <w:r>
              <w:rPr>
                <w:b/>
                <w:i/>
                <w:color w:val="FF0000"/>
              </w:rPr>
              <w:t>Transport Regulations Amendment (Road Passenger Services) Regulations (No. 2) 2019</w:t>
            </w:r>
            <w:r>
              <w:rPr>
                <w:b/>
                <w:color w:val="FF0000"/>
              </w:rPr>
              <w:t xml:space="preserve"> r. 55(c) as at 2 July 2019 (see r. 2(d) and </w:t>
            </w:r>
            <w:r>
              <w:rPr>
                <w:b/>
                <w:i/>
                <w:color w:val="FF0000"/>
              </w:rPr>
              <w:t>Gazette</w:t>
            </w:r>
            <w:r>
              <w:rPr>
                <w:b/>
                <w:color w:val="FF0000"/>
              </w:rPr>
              <w:t xml:space="preserve"> 28 Jun 2019 p. 2473)</w:t>
            </w:r>
          </w:p>
        </w:tc>
      </w:tr>
    </w:tbl>
    <w:p>
      <w:pPr>
        <w:pStyle w:val="nSubsection"/>
        <w:spacing w:before="120"/>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Pr>
        <w:pStyle w:val="nSubsection"/>
        <w:spacing w:before="12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20"/>
        <w:rPr>
          <w:noProof/>
          <w:snapToGrid w:val="0"/>
        </w:rPr>
      </w:pPr>
      <w:r>
        <w:rPr>
          <w:vertAlign w:val="superscript"/>
        </w:rPr>
        <w:t>3</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w:t>
      </w:r>
    </w:p>
    <w:p>
      <w:pPr>
        <w:rPr>
          <w:noProof/>
          <w:snapToGrid w:val="0"/>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0" w:name="_Toc12442314"/>
      <w:bookmarkStart w:id="61" w:name="_Toc12449506"/>
      <w:bookmarkStart w:id="62" w:name="_Toc12868494"/>
      <w:r>
        <w:rPr>
          <w:sz w:val="28"/>
        </w:rPr>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noProof/>
          <w:snapToGrid w:val="0"/>
        </w:rPr>
      </w:pPr>
      <w:r>
        <w:rPr>
          <w:noProof/>
          <w:snapToGrid w:val="0"/>
        </w:rPr>
        <w:t>booking service</w:t>
      </w:r>
      <w:r>
        <w:rPr>
          <w:noProof/>
          <w:snapToGrid w:val="0"/>
        </w:rPr>
        <w:tab/>
        <w:t>2A(1)</w:t>
      </w:r>
    </w:p>
    <w:p>
      <w:pPr>
        <w:pStyle w:val="DefinedTerms"/>
        <w:rPr>
          <w:noProof/>
          <w:snapToGrid w:val="0"/>
        </w:rPr>
      </w:pPr>
      <w:r>
        <w:rPr>
          <w:noProof/>
          <w:snapToGrid w:val="0"/>
        </w:rPr>
        <w:t>business entity</w:t>
      </w:r>
      <w:r>
        <w:rPr>
          <w:noProof/>
          <w:snapToGrid w:val="0"/>
        </w:rPr>
        <w:tab/>
        <w:t>2A(1)</w:t>
      </w:r>
    </w:p>
    <w:p>
      <w:pPr>
        <w:pStyle w:val="DefinedTerms"/>
        <w:rPr>
          <w:noProof/>
          <w:snapToGrid w:val="0"/>
        </w:rPr>
      </w:pPr>
      <w:r>
        <w:rPr>
          <w:noProof/>
          <w:snapToGrid w:val="0"/>
        </w:rPr>
        <w:t>call out</w:t>
      </w:r>
      <w:r>
        <w:rPr>
          <w:noProof/>
          <w:snapToGrid w:val="0"/>
        </w:rPr>
        <w:tab/>
        <w:t>2A(1)</w:t>
      </w:r>
    </w:p>
    <w:p>
      <w:pPr>
        <w:pStyle w:val="DefinedTerms"/>
        <w:rPr>
          <w:noProof/>
          <w:snapToGrid w:val="0"/>
        </w:rPr>
      </w:pPr>
      <w:r>
        <w:rPr>
          <w:noProof/>
          <w:snapToGrid w:val="0"/>
        </w:rPr>
        <w:t>contract fare</w:t>
      </w:r>
      <w:r>
        <w:rPr>
          <w:noProof/>
          <w:snapToGrid w:val="0"/>
        </w:rPr>
        <w:tab/>
        <w:t>2A(1), 3AA(1)</w:t>
      </w:r>
    </w:p>
    <w:p>
      <w:pPr>
        <w:pStyle w:val="DefinedTerms"/>
        <w:rPr>
          <w:noProof/>
          <w:snapToGrid w:val="0"/>
        </w:rPr>
      </w:pPr>
      <w:r>
        <w:rPr>
          <w:noProof/>
          <w:snapToGrid w:val="0"/>
        </w:rPr>
        <w:t>designated radius</w:t>
      </w:r>
      <w:r>
        <w:rPr>
          <w:noProof/>
          <w:snapToGrid w:val="0"/>
        </w:rPr>
        <w:tab/>
        <w:t>3(4)</w:t>
      </w:r>
    </w:p>
    <w:p>
      <w:pPr>
        <w:pStyle w:val="DefinedTerms"/>
        <w:rPr>
          <w:noProof/>
          <w:snapToGrid w:val="0"/>
        </w:rPr>
      </w:pPr>
      <w:r>
        <w:rPr>
          <w:noProof/>
          <w:snapToGrid w:val="0"/>
        </w:rPr>
        <w:t>fare schedule</w:t>
      </w:r>
      <w:r>
        <w:rPr>
          <w:noProof/>
          <w:snapToGrid w:val="0"/>
        </w:rPr>
        <w:tab/>
        <w:t>6(1)</w:t>
      </w:r>
    </w:p>
    <w:p>
      <w:pPr>
        <w:pStyle w:val="DefinedTerms"/>
        <w:rPr>
          <w:noProof/>
          <w:snapToGrid w:val="0"/>
        </w:rPr>
      </w:pPr>
      <w:r>
        <w:rPr>
          <w:noProof/>
          <w:snapToGrid w:val="0"/>
        </w:rPr>
        <w:t>GST</w:t>
      </w:r>
      <w:r>
        <w:rPr>
          <w:noProof/>
          <w:snapToGrid w:val="0"/>
        </w:rPr>
        <w:tab/>
        <w:t>2A(1)</w:t>
      </w:r>
    </w:p>
    <w:p>
      <w:pPr>
        <w:pStyle w:val="DefinedTerms"/>
        <w:rPr>
          <w:noProof/>
          <w:snapToGrid w:val="0"/>
        </w:rPr>
      </w:pPr>
      <w:r>
        <w:rPr>
          <w:noProof/>
          <w:snapToGrid w:val="0"/>
        </w:rPr>
        <w:t>leviable passenger service transaction</w:t>
      </w:r>
      <w:r>
        <w:rPr>
          <w:noProof/>
          <w:snapToGrid w:val="0"/>
        </w:rPr>
        <w:tab/>
        <w:t>2A(1)</w:t>
      </w:r>
    </w:p>
    <w:p>
      <w:pPr>
        <w:pStyle w:val="DefinedTerms"/>
        <w:rPr>
          <w:noProof/>
          <w:snapToGrid w:val="0"/>
        </w:rPr>
      </w:pPr>
      <w:r>
        <w:rPr>
          <w:noProof/>
          <w:snapToGrid w:val="0"/>
        </w:rPr>
        <w:t>multiple hiring</w:t>
      </w:r>
      <w:r>
        <w:rPr>
          <w:noProof/>
          <w:snapToGrid w:val="0"/>
        </w:rPr>
        <w:tab/>
        <w:t>5(1)</w:t>
      </w:r>
    </w:p>
    <w:p>
      <w:pPr>
        <w:pStyle w:val="DefinedTerms"/>
        <w:rPr>
          <w:noProof/>
          <w:snapToGrid w:val="0"/>
        </w:rPr>
      </w:pPr>
      <w:r>
        <w:rPr>
          <w:noProof/>
          <w:snapToGrid w:val="0"/>
        </w:rPr>
        <w:t>non</w:t>
      </w:r>
      <w:r>
        <w:rPr>
          <w:noProof/>
          <w:snapToGrid w:val="0"/>
        </w:rPr>
        <w:noBreakHyphen/>
        <w:t xml:space="preserve">cash payment </w:t>
      </w:r>
      <w:r>
        <w:rPr>
          <w:noProof/>
          <w:snapToGrid w:val="0"/>
        </w:rPr>
        <w:tab/>
        <w:t>2A(1)</w:t>
      </w:r>
    </w:p>
    <w:p>
      <w:pPr>
        <w:pStyle w:val="DefinedTerms"/>
        <w:rPr>
          <w:noProof/>
          <w:snapToGrid w:val="0"/>
        </w:rPr>
      </w:pPr>
      <w:r>
        <w:rPr>
          <w:noProof/>
          <w:snapToGrid w:val="0"/>
        </w:rPr>
        <w:t>payment terminal</w:t>
      </w:r>
      <w:r>
        <w:rPr>
          <w:noProof/>
          <w:snapToGrid w:val="0"/>
        </w:rPr>
        <w:tab/>
        <w:t>2A(1)</w:t>
      </w:r>
    </w:p>
    <w:p>
      <w:pPr>
        <w:pStyle w:val="DefinedTerms"/>
        <w:rPr>
          <w:noProof/>
          <w:snapToGrid w:val="0"/>
        </w:rPr>
      </w:pPr>
      <w:r>
        <w:rPr>
          <w:noProof/>
          <w:snapToGrid w:val="0"/>
        </w:rPr>
        <w:t>region</w:t>
      </w:r>
      <w:r>
        <w:rPr>
          <w:noProof/>
          <w:snapToGrid w:val="0"/>
        </w:rPr>
        <w:tab/>
        <w:t>2A(1)</w:t>
      </w:r>
    </w:p>
    <w:p>
      <w:pPr>
        <w:pStyle w:val="DefinedTerms"/>
        <w:rPr>
          <w:noProof/>
          <w:snapToGrid w:val="0"/>
        </w:rPr>
      </w:pPr>
      <w:r>
        <w:rPr>
          <w:noProof/>
          <w:snapToGrid w:val="0"/>
        </w:rPr>
        <w:t>Schedule 1 fare</w:t>
      </w:r>
      <w:r>
        <w:rPr>
          <w:noProof/>
          <w:snapToGrid w:val="0"/>
        </w:rPr>
        <w:tab/>
        <w:t>2A(1)</w:t>
      </w:r>
    </w:p>
    <w:p>
      <w:pPr>
        <w:pStyle w:val="DefinedTerms"/>
        <w:rPr>
          <w:noProof/>
          <w:snapToGrid w:val="0"/>
        </w:rPr>
      </w:pPr>
      <w:r>
        <w:rPr>
          <w:noProof/>
          <w:snapToGrid w:val="0"/>
        </w:rPr>
        <w:t>surcharge</w:t>
      </w:r>
      <w:r>
        <w:rPr>
          <w:noProof/>
          <w:snapToGrid w:val="0"/>
        </w:rPr>
        <w:tab/>
        <w:t>2A(1)</w:t>
      </w:r>
    </w:p>
    <w:p>
      <w:pPr>
        <w:pStyle w:val="DefinedTerms"/>
        <w:rPr>
          <w:noProof/>
          <w:snapToGrid w:val="0"/>
        </w:rPr>
      </w:pPr>
      <w:r>
        <w:rPr>
          <w:noProof/>
          <w:snapToGrid w:val="0"/>
        </w:rPr>
        <w:t>voucher</w:t>
      </w:r>
      <w:r>
        <w:rPr>
          <w:noProof/>
          <w:snapToGrid w:val="0"/>
        </w:rPr>
        <w:tab/>
        <w:t>5A(1)</w:t>
      </w:r>
    </w:p>
    <w:p>
      <w:pPr>
        <w:rPr>
          <w:noProof/>
          <w:snapToGrid w:val="0"/>
        </w:rPr>
      </w:pPr>
    </w:p>
    <w:p>
      <w:pPr>
        <w:rPr>
          <w:noProof/>
          <w:snapToGrid w:val="0"/>
        </w:rPr>
        <w:sectPr>
          <w:headerReference w:type="even" r:id="rId32"/>
          <w:headerReference w:type="default" r:id="rId33"/>
          <w:pgSz w:w="11907" w:h="16840" w:code="9"/>
          <w:pgMar w:top="2381" w:right="2409" w:bottom="3543" w:left="2409" w:header="720" w:footer="3380" w:gutter="0"/>
          <w:cols w:space="720"/>
          <w:noEndnote/>
          <w:docGrid w:linePitch="326"/>
        </w:sectPr>
      </w:pPr>
    </w:p>
    <w:p>
      <w:pPr>
        <w:rPr>
          <w:noProof/>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1" w:name="Schedule"/>
    <w:bookmarkEnd w:id="5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Taxi-cars Fares)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6114321"/>
    <w:docVar w:name="WAFER_20131212111000" w:val="RemoveTocBookmarks,RemoveUnusedBookmarks,RemoveLanguageTags,UsedStyles,ResetPageSize"/>
    <w:docVar w:name="WAFER_20131212111000_GUID" w:val="d5189488-0baa-43d9-bf10-df396a1ddf71"/>
    <w:docVar w:name="WAFER_20131212111014" w:val="UpdateArrangement"/>
    <w:docVar w:name="WAFER_20131212111014_GUID" w:val="062ebd65-6db8-42ab-b78f-0dac27e24628"/>
    <w:docVar w:name="WAFER_20131213093901" w:val="RemoveTocBookmarks,UpdateArrangement,RunningHeaders"/>
    <w:docVar w:name="WAFER_20131213093901_GUID" w:val="af7d33ad-1ba5-4529-8ceb-d552da614526"/>
    <w:docVar w:name="WAFER_20131217143028" w:val="RemoveTocBookmarks,RemoveUnusedBookmarks,RemoveLanguageTags,UsedStyles,ResetPageSize,UpdateArrangement"/>
    <w:docVar w:name="WAFER_20131217143028_GUID" w:val="35dc6585-c4a3-435a-bdec-6a4b0ec00b49"/>
    <w:docVar w:name="WAFER_20141223143529" w:val="RemoveTocBookmarks,RemoveUnusedBookmarks,RemoveLanguageTags,UsedStyles,ResetPageSize,UpdateArrangement"/>
    <w:docVar w:name="WAFER_20141223143529_GUID" w:val="3c7ad829-6939-4fbd-a7c8-6132482ca77a"/>
    <w:docVar w:name="WAFER_20141223143542" w:val="RemoveTocBookmarks,RunningHeaders"/>
    <w:docVar w:name="WAFER_20141223143542_GUID" w:val="94e1336c-7944-473b-81ba-96e25f040321"/>
    <w:docVar w:name="WAFER_20150219142043" w:val="RemoveTocBookmarks,RemoveUnusedBookmarks,RemoveLanguageTags,UsedStyles,ResetPageSize,UpdateArrangement"/>
    <w:docVar w:name="WAFER_20150219142043_GUID" w:val="297f3bb8-8ec3-4a08-8460-59df6afe19ac"/>
    <w:docVar w:name="WAFER_20150220144200" w:val="RemoveTocBookmarks,RunningHeaders"/>
    <w:docVar w:name="WAFER_20150220144200_GUID" w:val="19b65c08-a0e8-445d-b746-80c019b5efb8"/>
    <w:docVar w:name="WAFER_20150402103523" w:val="ResetPageSize,UpdateArrangement,UpdateNTable"/>
    <w:docVar w:name="WAFER_20150402103523_GUID" w:val="bf0fd0d4-9c1d-4b37-80a6-3113fd2fbb56"/>
    <w:docVar w:name="WAFER_20150402104012" w:val="ResetPageSize,UpdateArrangement,UpdateNTable"/>
    <w:docVar w:name="WAFER_20150402104012_GUID" w:val="83eddd84-4b6c-46ac-beec-9c8ada5789d7"/>
    <w:docVar w:name="WAFER_20151103102250" w:val="UpdateStyles,UsedStyles"/>
    <w:docVar w:name="WAFER_20151103102250_GUID" w:val="f1937e85-118a-48c4-af7a-72e5f4c6c3f1"/>
    <w:docVar w:name="WAFER_20160705123258" w:val="RemoveTocBookmarks,RemoveUnusedBookmarks,RemoveLanguageTags,UsedStyles,ResetPageSize"/>
    <w:docVar w:name="WAFER_20160705123258_GUID" w:val="6f64b2d1-d8d6-429b-8f95-1079b7baf9d5"/>
    <w:docVar w:name="WAFER_20160929145027" w:val="RemoveTocBookmarks,RemoveUnusedBookmarks,RemoveLanguageTags,UsedStyles,ResetPageSize,RemoveCustomizations"/>
    <w:docVar w:name="WAFER_20160929145027_GUID" w:val="f2ec69f7-4dbd-4a82-ba40-eba319ac0e83"/>
    <w:docVar w:name="WAFER_20161220110758" w:val="RemoveTocBookmarks,RemoveUnusedBookmarks,RemoveLanguageTags,UsedStyles,ResetPageSize,RemoveCustomizations"/>
    <w:docVar w:name="WAFER_20161220110758_GUID" w:val="006afc98-a3d6-45ba-a41c-f290ba5a2918"/>
    <w:docVar w:name="WAFER_20161220110813" w:val="RemoveTocBookmarks,RemoveUnusedBookmarks,RemoveLanguageTags,UsedStyles,RemoveTrackChanges"/>
    <w:docVar w:name="WAFER_20161220110813_GUID" w:val="dc6a58d3-50f6-4f25-8c70-bf79fa2bc86e"/>
    <w:docVar w:name="WAFER_20170511111117" w:val="RemoveTocBookmarks,RemoveUnusedBookmarks,RemoveLanguageTags,UsedStyles,ResetPageSize"/>
    <w:docVar w:name="WAFER_20170511111117_GUID" w:val="ecee2d53-b7d1-4ee0-b57f-27a1c2088b97"/>
    <w:docVar w:name="WAFER_20170519100123" w:val="RemoveTocBookmarks,RemoveUnusedBookmarks,RemoveLanguageTags,UsedStyles,ResetPageSize"/>
    <w:docVar w:name="WAFER_20170519100123_GUID" w:val="86699a38-7b55-422f-939a-0b5833b65ea9"/>
    <w:docVar w:name="WAFER_20180522080348" w:val="RemoveTocBookmarks,RemoveUnusedBookmarks,RemoveLanguageTags,UsedStyles,ResetPageSize"/>
    <w:docVar w:name="WAFER_20180522080348_GUID" w:val="04dfb05d-0184-46dc-84e6-26dc5da858ec"/>
    <w:docVar w:name="WAFER_20190226114325" w:val="RemoveTocBookmarks,RemoveUnusedBookmarks,RemoveLanguageTags,UpdateStyles,UsedStyles,ResetPageSize"/>
    <w:docVar w:name="WAFER_20190226114325_GUID" w:val="12dce9c6-779c-4f82-9758-f5430fae7b3c"/>
    <w:docVar w:name="WAFER_20190326121155" w:val="RemoveTocBookmarks,RemoveUnusedBookmarks,RemoveLanguageTags,ResetPageSize,RunningHeaders,UpdateStyles,UsedStyles"/>
    <w:docVar w:name="WAFER_20190326121155_GUID" w:val="ac0bc972-7beb-475e-b3b4-1434ca1e2ece"/>
    <w:docVar w:name="WAFER_20190626114321" w:val="RemoveTocBookmarks,RemoveUnusedBookmarks,RemoveLanguageTags,ResetPageSize,RunningHeaders,UpdateStyles,UsedStyles"/>
    <w:docVar w:name="WAFER_20190626114321_GUID" w:val="9e8dc7a4-fc52-4115-8826-4bd066740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D7D40-7EE2-46DD-B1EB-AB4A07C57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6809</Words>
  <Characters>33640</Characters>
  <Application>Microsoft Office Word</Application>
  <DocSecurity>0</DocSecurity>
  <Lines>1868</Lines>
  <Paragraphs>1093</Paragraphs>
  <ScaleCrop>false</ScaleCrop>
  <HeadingPairs>
    <vt:vector size="2" baseType="variant">
      <vt:variant>
        <vt:lpstr>Title</vt:lpstr>
      </vt:variant>
      <vt:variant>
        <vt:i4>1</vt:i4>
      </vt:variant>
    </vt:vector>
  </HeadingPairs>
  <TitlesOfParts>
    <vt:vector size="1" baseType="lpstr">
      <vt:lpstr>Country Taxi-cars (Fares and Charges) Regulations 1991 - 01-l0-00</vt:lpstr>
    </vt:vector>
  </TitlesOfParts>
  <Manager/>
  <Company/>
  <LinksUpToDate>false</LinksUpToDate>
  <CharactersWithSpaces>39356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Taxi-cars Fares) Regulations 1991 - 04-h0-00</dc:title>
  <dc:subject/>
  <dc:creator/>
  <cp:keywords/>
  <dc:description/>
  <cp:lastModifiedBy>svcMRProcess</cp:lastModifiedBy>
  <cp:revision>4</cp:revision>
  <cp:lastPrinted>2018-05-22T02:43:00Z</cp:lastPrinted>
  <dcterms:created xsi:type="dcterms:W3CDTF">2019-07-01T02:46:00Z</dcterms:created>
  <dcterms:modified xsi:type="dcterms:W3CDTF">2019-07-01T02:47:00Z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April 1991 pp.1815-20</vt:lpwstr>
  </property>
  <property fmtid="{D5CDD505-2E9C-101B-9397-08002B2CF9AE}" pid="3" name="DocumentType">
    <vt:lpwstr>Reg</vt:lpwstr>
  </property>
  <property fmtid="{D5CDD505-2E9C-101B-9397-08002B2CF9AE}" pid="4" name="OwlsUID">
    <vt:i4>4376</vt:i4>
  </property>
  <property fmtid="{D5CDD505-2E9C-101B-9397-08002B2CF9AE}" pid="5" name="ReprintedAsAt">
    <vt:filetime>2017-03-09T16:00:00Z</vt:filetime>
  </property>
  <property fmtid="{D5CDD505-2E9C-101B-9397-08002B2CF9AE}" pid="6" name="ReprintNo">
    <vt:lpwstr>4</vt:lpwstr>
  </property>
  <property fmtid="{D5CDD505-2E9C-101B-9397-08002B2CF9AE}" pid="7" name="AsAtDate">
    <vt:lpwstr>02 Jul 2019</vt:lpwstr>
  </property>
  <property fmtid="{D5CDD505-2E9C-101B-9397-08002B2CF9AE}" pid="8" name="Suffix">
    <vt:lpwstr>04-h0-00</vt:lpwstr>
  </property>
  <property fmtid="{D5CDD505-2E9C-101B-9397-08002B2CF9AE}" pid="9" name="Status">
    <vt:lpwstr>NIF</vt:lpwstr>
  </property>
  <property fmtid="{D5CDD505-2E9C-101B-9397-08002B2CF9AE}" pid="10" name="CommencementDate">
    <vt:lpwstr>20190702</vt:lpwstr>
  </property>
</Properties>
</file>