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_Toc14083477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_Toc14083478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_Toc14083479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_Toc14083480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_Toc14083481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_Toc14083482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_Toc14083483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_Toc14083484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_Toc14083485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_Toc14083486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_Toc14083487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_Toc14083488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_Toc14083489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_Toc14083490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_Toc14083491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_Toc14083492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_Toc14083493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_Toc14083494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_Toc14083495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_Toc14083496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_Toc14083497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_Toc14083498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_Toc14083499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_Toc14083500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_Toc14083501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_Toc14083502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_Toc14083509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_Toc14083510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_Toc14083511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_Toc14083512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_Toc14083513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_Toc14083514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_Toc14083515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_Toc14083516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_Toc14083517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_Toc14083518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_Toc14083520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1408347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1408347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14083479"/>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6" w:name="_Toc14083480"/>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14083481"/>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14083482"/>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14083483"/>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2092"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0" w:name="_Toc14083484"/>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1408348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14083486"/>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14083487"/>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14083488"/>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14083489"/>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14083490"/>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14083491"/>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14083492"/>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14083493"/>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14083494"/>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14083495"/>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14083496"/>
      <w:r>
        <w:rPr>
          <w:rStyle w:val="CharSectno"/>
        </w:rPr>
        <w:t>8B</w:t>
      </w:r>
      <w:r>
        <w:rPr>
          <w:snapToGrid w:val="0"/>
        </w:rPr>
        <w:t>.</w:t>
      </w:r>
      <w:r>
        <w:rPr>
          <w:snapToGrid w:val="0"/>
        </w:rPr>
        <w:tab/>
        <w:t>Enforcement proceedings after an appeal (Act s. 101B)</w:t>
      </w:r>
      <w:bookmarkEnd w:id="2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14083497"/>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14083498"/>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14083499"/>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26" w:name="_Toc14083500"/>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courts electronic system; and</w:t>
      </w:r>
    </w:p>
    <w:p>
      <w:pPr>
        <w:pStyle w:val="Indenta"/>
      </w:pPr>
      <w:r>
        <w:tab/>
        <w:t>(b)</w:t>
      </w:r>
      <w:r>
        <w:tab/>
        <w:t>the record of the date and time of the Sheriff’s receipt of the electronic form is incorporated electronically in, or associated electronically with, the electronic form by means of the courts electronic system.</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w:t>
      </w:r>
    </w:p>
    <w:p>
      <w:pPr>
        <w:pStyle w:val="Heading5"/>
        <w:rPr>
          <w:snapToGrid w:val="0"/>
        </w:rPr>
      </w:pPr>
      <w:bookmarkStart w:id="27" w:name="_Toc14083501"/>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14083502"/>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776383"/>
      <w:bookmarkStart w:id="30" w:name="_Toc776448"/>
      <w:bookmarkStart w:id="31" w:name="_Toc854114"/>
      <w:bookmarkStart w:id="32" w:name="_Toc12625569"/>
      <w:bookmarkStart w:id="33" w:name="_Toc12625634"/>
      <w:bookmarkStart w:id="34" w:name="_Toc14083503"/>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bookmarkEnd w:id="33"/>
      <w:bookmarkEnd w:id="34"/>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w:t>
      </w:r>
    </w:p>
    <w:p>
      <w:pPr>
        <w:pStyle w:val="yScheduleHeading"/>
      </w:pPr>
      <w:bookmarkStart w:id="35" w:name="_Toc12625570"/>
      <w:bookmarkStart w:id="36" w:name="_Toc12625635"/>
      <w:bookmarkStart w:id="37" w:name="_Toc14083504"/>
      <w:bookmarkStart w:id="38" w:name="_Toc776384"/>
      <w:bookmarkStart w:id="39" w:name="_Toc776449"/>
      <w:bookmarkStart w:id="40" w:name="_Toc854115"/>
      <w:r>
        <w:rPr>
          <w:rStyle w:val="CharSchNo"/>
        </w:rPr>
        <w:t>Schedule 2</w:t>
      </w:r>
      <w:r>
        <w:t> — </w:t>
      </w:r>
      <w:r>
        <w:rPr>
          <w:rStyle w:val="CharSchText"/>
        </w:rPr>
        <w:t>Enforcement fees</w:t>
      </w:r>
      <w:bookmarkEnd w:id="35"/>
      <w:bookmarkEnd w:id="36"/>
      <w:bookmarkEnd w:id="37"/>
    </w:p>
    <w:p>
      <w:pPr>
        <w:pStyle w:val="yShoulderClause"/>
      </w:pPr>
      <w:r>
        <w:t>[r. 9]</w:t>
      </w:r>
    </w:p>
    <w:p>
      <w:pPr>
        <w:pStyle w:val="yFootnoteheading"/>
        <w:spacing w:after="60"/>
      </w:pPr>
      <w:r>
        <w:tab/>
        <w:t>[Heading inserted: Gazette 28 Jun 2019 p. 2592.]</w:t>
      </w:r>
    </w:p>
    <w:p>
      <w:pPr>
        <w:pStyle w:val="yHeading3"/>
      </w:pPr>
      <w:bookmarkStart w:id="41" w:name="_Toc12625571"/>
      <w:bookmarkStart w:id="42" w:name="_Toc12625636"/>
      <w:bookmarkStart w:id="43" w:name="_Toc14083505"/>
      <w:r>
        <w:rPr>
          <w:rStyle w:val="CharSDivNo"/>
        </w:rPr>
        <w:t>Division 1</w:t>
      </w:r>
      <w:r>
        <w:t> — </w:t>
      </w:r>
      <w:r>
        <w:rPr>
          <w:rStyle w:val="CharSDivText"/>
        </w:rPr>
        <w:t>Enforcement fees for Part 3 of the Act</w:t>
      </w:r>
      <w:bookmarkEnd w:id="41"/>
      <w:bookmarkEnd w:id="42"/>
      <w:bookmarkEnd w:id="43"/>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44" w:name="_Toc12625572"/>
      <w:bookmarkStart w:id="45" w:name="_Toc12625637"/>
      <w:bookmarkStart w:id="46" w:name="_Toc14083506"/>
      <w:r>
        <w:rPr>
          <w:rStyle w:val="CharSDivNo"/>
        </w:rPr>
        <w:t>Division 2</w:t>
      </w:r>
      <w:r>
        <w:t> — </w:t>
      </w:r>
      <w:r>
        <w:rPr>
          <w:rStyle w:val="CharSDivNo"/>
        </w:rPr>
        <w:t>Enforcement fees for Part 4 of the Act</w:t>
      </w:r>
      <w:bookmarkEnd w:id="44"/>
      <w:bookmarkEnd w:id="45"/>
      <w:bookmarkEnd w:id="46"/>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rPr>
          <w:rStyle w:val="CharSDivNo"/>
        </w:rPr>
      </w:pPr>
      <w:bookmarkStart w:id="47" w:name="_Toc12625573"/>
      <w:bookmarkStart w:id="48" w:name="_Toc12625638"/>
      <w:bookmarkStart w:id="49" w:name="_Toc14083507"/>
      <w:r>
        <w:rPr>
          <w:rStyle w:val="CharSDivNo"/>
        </w:rPr>
        <w:t>Division 3</w:t>
      </w:r>
      <w:r>
        <w:t> — </w:t>
      </w:r>
      <w:r>
        <w:rPr>
          <w:rStyle w:val="CharSDivNo"/>
        </w:rPr>
        <w:t>Enforcement fees for Part 7 of the Act</w:t>
      </w:r>
      <w:bookmarkEnd w:id="47"/>
      <w:bookmarkEnd w:id="48"/>
      <w:bookmarkEnd w:id="49"/>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2 inserted: Gazette 28 Jun 2019 p. 2593</w:t>
      </w:r>
      <w:r>
        <w:noBreakHyphen/>
        <w:t>4.]</w:t>
      </w:r>
    </w:p>
    <w:bookmarkEnd w:id="38"/>
    <w:bookmarkEnd w:id="39"/>
    <w:bookmarkEnd w:id="40"/>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51" w:name="_Toc776388"/>
      <w:bookmarkStart w:id="52" w:name="_Toc776453"/>
      <w:bookmarkStart w:id="53" w:name="_Toc854119"/>
      <w:bookmarkStart w:id="54" w:name="_Toc12625574"/>
      <w:bookmarkStart w:id="55" w:name="_Toc12625639"/>
      <w:bookmarkStart w:id="56" w:name="_Toc14083508"/>
      <w:r>
        <w:rPr>
          <w:rStyle w:val="CharSchNo"/>
        </w:rPr>
        <w:t>Schedule 3</w:t>
      </w:r>
      <w:r>
        <w:rPr>
          <w:rStyle w:val="CharSDivNo"/>
        </w:rPr>
        <w:t> </w:t>
      </w:r>
      <w:r>
        <w:t>—</w:t>
      </w:r>
      <w:r>
        <w:rPr>
          <w:rStyle w:val="CharSDivText"/>
        </w:rPr>
        <w:t> </w:t>
      </w:r>
      <w:r>
        <w:rPr>
          <w:rStyle w:val="CharSchText"/>
        </w:rPr>
        <w:t>Forms</w:t>
      </w:r>
      <w:bookmarkEnd w:id="51"/>
      <w:bookmarkEnd w:id="52"/>
      <w:bookmarkEnd w:id="53"/>
      <w:bookmarkEnd w:id="54"/>
      <w:bookmarkEnd w:id="55"/>
      <w:bookmarkEnd w:id="56"/>
    </w:p>
    <w:p>
      <w:pPr>
        <w:pStyle w:val="yShoulderClause"/>
      </w:pPr>
      <w:r>
        <w:t>[r. 12]</w:t>
      </w:r>
    </w:p>
    <w:p>
      <w:pPr>
        <w:pStyle w:val="yFootnoteheading"/>
        <w:spacing w:before="40"/>
      </w:pPr>
      <w:r>
        <w:tab/>
        <w:t>[Heading inserted: Gazette 13 May 2005 p. 2081.]</w:t>
      </w:r>
    </w:p>
    <w:p>
      <w:pPr>
        <w:pStyle w:val="yHeading5"/>
        <w:spacing w:before="160"/>
      </w:pPr>
      <w:bookmarkStart w:id="57" w:name="_Toc14083509"/>
      <w:r>
        <w:rPr>
          <w:rStyle w:val="CharSClsNo"/>
        </w:rPr>
        <w:t>1</w:t>
      </w:r>
      <w:r>
        <w:t>.</w:t>
      </w:r>
      <w:r>
        <w:tab/>
        <w:t>Notice of withdrawal for the purposes of Act s. 22</w:t>
      </w:r>
      <w:bookmarkEnd w:id="5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58" w:name="_Toc14083510"/>
      <w:r>
        <w:rPr>
          <w:rStyle w:val="CharSClsNo"/>
        </w:rPr>
        <w:t>2</w:t>
      </w:r>
      <w:r>
        <w:t>.</w:t>
      </w:r>
      <w:r>
        <w:tab/>
        <w:t>Enforcement warrant for the purposes of Act s. 21A and 45 and Part 5</w:t>
      </w:r>
      <w:bookmarkEnd w:id="5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59" w:name="_Toc14083511"/>
      <w:r>
        <w:rPr>
          <w:rStyle w:val="CharSClsNo"/>
        </w:rPr>
        <w:t>3</w:t>
      </w:r>
      <w:r>
        <w:rPr>
          <w:snapToGrid w:val="0"/>
        </w:rPr>
        <w:t>.</w:t>
      </w:r>
      <w:r>
        <w:rPr>
          <w:snapToGrid w:val="0"/>
        </w:rPr>
        <w:tab/>
        <w:t xml:space="preserve">Warrant of commitment for the purposes of Act s. 53 and </w:t>
      </w:r>
      <w:r>
        <w:t>Part 5</w:t>
      </w:r>
      <w:bookmarkEnd w:id="5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60" w:name="_Toc14083512"/>
      <w:r>
        <w:rPr>
          <w:rStyle w:val="CharSClsNo"/>
        </w:rPr>
        <w:t>4</w:t>
      </w:r>
      <w:r>
        <w:rPr>
          <w:snapToGrid w:val="0"/>
        </w:rPr>
        <w:t>.</w:t>
      </w:r>
      <w:r>
        <w:rPr>
          <w:snapToGrid w:val="0"/>
        </w:rPr>
        <w:tab/>
        <w:t>Enforcement warrant for the purposes of Act s. 61</w:t>
      </w:r>
      <w:bookmarkEnd w:id="6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61" w:name="_Toc14083513"/>
      <w:r>
        <w:rPr>
          <w:rStyle w:val="CharSClsNo"/>
        </w:rPr>
        <w:t>6A</w:t>
      </w:r>
      <w:r>
        <w:t>.</w:t>
      </w:r>
      <w:r>
        <w:tab/>
        <w:t>Memorial of land for the purposes of Act s. 89(2)</w:t>
      </w:r>
      <w:bookmarkEnd w:id="61"/>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62" w:name="_Toc14083514"/>
      <w:r>
        <w:rPr>
          <w:rStyle w:val="CharSClsNo"/>
        </w:rPr>
        <w:t>6B</w:t>
      </w:r>
      <w:r>
        <w:t>.</w:t>
      </w:r>
      <w:r>
        <w:tab/>
        <w:t>Withdrawal of memorial of land for the purposes of Act s. 90</w:t>
      </w:r>
      <w:bookmarkEnd w:id="6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63" w:name="_Toc14083515"/>
      <w:r>
        <w:rPr>
          <w:rStyle w:val="CharSClsNo"/>
        </w:rPr>
        <w:t>8</w:t>
      </w:r>
      <w:r>
        <w:t>.</w:t>
      </w:r>
      <w:r>
        <w:tab/>
        <w:t>Certificate under Act s. 101C(1): Part 3 proceedings</w:t>
      </w:r>
      <w:bookmarkEnd w:id="6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64" w:name="_Toc14083516"/>
      <w:r>
        <w:rPr>
          <w:rStyle w:val="CharSClsNo"/>
        </w:rPr>
        <w:t>9</w:t>
      </w:r>
      <w:r>
        <w:t>.</w:t>
      </w:r>
      <w:r>
        <w:tab/>
        <w:t>Certificate under Act s. 101C(1): Part 4 proceedings</w:t>
      </w:r>
      <w:bookmarkEnd w:id="6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65" w:name="_Toc14083517"/>
      <w:r>
        <w:rPr>
          <w:rStyle w:val="CharSClsNo"/>
        </w:rPr>
        <w:t>10</w:t>
      </w:r>
      <w:r>
        <w:t>.</w:t>
      </w:r>
      <w:r>
        <w:tab/>
        <w:t>Certificate under Act s. 101C(2A): Part 3 proceedings</w:t>
      </w:r>
      <w:bookmarkEnd w:id="6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66" w:name="_Toc14083518"/>
      <w:r>
        <w:rPr>
          <w:rStyle w:val="CharSClsNo"/>
        </w:rPr>
        <w:t>11</w:t>
      </w:r>
      <w:r>
        <w:t>.</w:t>
      </w:r>
      <w:r>
        <w:tab/>
        <w:t>Certificate under Act s. 101C(2A): Part 4 proceedings</w:t>
      </w:r>
      <w:bookmarkEnd w:id="6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67" w:name="_Toc776399"/>
      <w:bookmarkStart w:id="68" w:name="_Toc776464"/>
      <w:bookmarkStart w:id="69" w:name="_Toc854130"/>
      <w:bookmarkStart w:id="70" w:name="_Toc12625585"/>
      <w:bookmarkStart w:id="71" w:name="_Toc12625650"/>
      <w:bookmarkStart w:id="72" w:name="_Toc14083519"/>
      <w:r>
        <w:t>Notes</w:t>
      </w:r>
      <w:bookmarkEnd w:id="67"/>
      <w:bookmarkEnd w:id="68"/>
      <w:bookmarkEnd w:id="69"/>
      <w:bookmarkEnd w:id="70"/>
      <w:bookmarkEnd w:id="71"/>
      <w:bookmarkEnd w:id="72"/>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73" w:name="_Toc14083520"/>
      <w: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trPr>
        <w:tc>
          <w:tcPr>
            <w:tcW w:w="3118" w:type="dxa"/>
            <w:gridSpan w:val="2"/>
            <w:shd w:val="clear" w:color="auto" w:fill="auto"/>
          </w:tcPr>
          <w:p>
            <w:pPr>
              <w:pStyle w:val="nTable"/>
              <w:spacing w:after="40"/>
              <w:rPr>
                <w:i/>
              </w:rPr>
            </w:pPr>
            <w:r>
              <w:rPr>
                <w:i/>
              </w:rPr>
              <w:t xml:space="preserve">Justice Regulations Amendment (Road Passenger Services) Regulations 2019 </w:t>
            </w:r>
            <w:r>
              <w:t>Pt. 3</w:t>
            </w:r>
          </w:p>
        </w:tc>
        <w:tc>
          <w:tcPr>
            <w:tcW w:w="1276" w:type="dxa"/>
            <w:gridSpan w:val="2"/>
            <w:shd w:val="clear" w:color="auto" w:fill="auto"/>
          </w:tcPr>
          <w:p>
            <w:pPr>
              <w:pStyle w:val="nTable"/>
              <w:spacing w:after="40"/>
            </w:pPr>
            <w:r>
              <w:t>12 Feb 2019 p. 265</w:t>
            </w:r>
            <w:r>
              <w:noBreakHyphen/>
              <w:t>6</w:t>
            </w:r>
          </w:p>
        </w:tc>
        <w:tc>
          <w:tcPr>
            <w:tcW w:w="2693" w:type="dxa"/>
            <w:gridSpan w:val="2"/>
            <w:shd w:val="clear" w:color="auto" w:fill="auto"/>
          </w:tcPr>
          <w:p>
            <w:pPr>
              <w:pStyle w:val="nTable"/>
              <w:spacing w:after="40"/>
            </w:pPr>
            <w:r>
              <w:t>13 Feb 2019 (see r. 2(b))</w:t>
            </w:r>
          </w:p>
        </w:tc>
      </w:tr>
      <w:tr>
        <w:trPr>
          <w:gridAfter w:val="1"/>
          <w:wAfter w:w="29" w:type="dxa"/>
        </w:trPr>
        <w:tc>
          <w:tcPr>
            <w:tcW w:w="3118" w:type="dxa"/>
            <w:gridSpan w:val="2"/>
            <w:shd w:val="clear" w:color="auto" w:fill="auto"/>
          </w:tcPr>
          <w:p>
            <w:pPr>
              <w:pStyle w:val="nTable"/>
              <w:spacing w:after="40"/>
              <w:rPr>
                <w:i/>
              </w:rPr>
            </w:pPr>
            <w:r>
              <w:rPr>
                <w:i/>
              </w:rPr>
              <w:t>Fines, Penalties and Infringement Notices Enforcement Amendment Regulations 2019</w:t>
            </w:r>
          </w:p>
        </w:tc>
        <w:tc>
          <w:tcPr>
            <w:tcW w:w="1276" w:type="dxa"/>
            <w:gridSpan w:val="2"/>
            <w:shd w:val="clear" w:color="auto" w:fill="auto"/>
          </w:tcPr>
          <w:p>
            <w:pPr>
              <w:pStyle w:val="nTable"/>
              <w:spacing w:after="40"/>
            </w:pPr>
            <w:r>
              <w:t>28 Jun 2019 p. 2490</w:t>
            </w:r>
          </w:p>
        </w:tc>
        <w:tc>
          <w:tcPr>
            <w:tcW w:w="2693" w:type="dxa"/>
            <w:gridSpan w:val="2"/>
            <w:shd w:val="clear" w:color="auto" w:fill="auto"/>
          </w:tcPr>
          <w:p>
            <w:pPr>
              <w:pStyle w:val="nTable"/>
              <w:spacing w:after="40"/>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rPr>
          <w:gridAfter w:val="1"/>
          <w:wAfter w:w="29"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9</w:t>
            </w:r>
          </w:p>
        </w:tc>
        <w:tc>
          <w:tcPr>
            <w:tcW w:w="1276" w:type="dxa"/>
            <w:gridSpan w:val="2"/>
            <w:shd w:val="clear" w:color="auto" w:fill="auto"/>
          </w:tcPr>
          <w:p>
            <w:pPr>
              <w:pStyle w:val="nTable"/>
              <w:spacing w:after="40"/>
            </w:pPr>
            <w:r>
              <w:t>28 Jun 2019 p. 2553</w:t>
            </w:r>
            <w:r>
              <w:noBreakHyphen/>
              <w:t>642</w:t>
            </w:r>
          </w:p>
        </w:tc>
        <w:tc>
          <w:tcPr>
            <w:tcW w:w="2693" w:type="dxa"/>
            <w:gridSpan w:val="2"/>
            <w:shd w:val="clear" w:color="auto" w:fill="auto"/>
          </w:tcPr>
          <w:p>
            <w:pPr>
              <w:pStyle w:val="nTable"/>
              <w:spacing w:after="40"/>
            </w:pPr>
            <w:r>
              <w:t>1 Jul 2019 (see r. 2(b))</w:t>
            </w:r>
          </w:p>
        </w:tc>
      </w:tr>
      <w:tr>
        <w:trPr>
          <w:gridAfter w:val="1"/>
          <w:wAfter w:w="29" w:type="dxa"/>
        </w:trPr>
        <w:tc>
          <w:tcPr>
            <w:tcW w:w="3118" w:type="dxa"/>
            <w:gridSpan w:val="2"/>
            <w:tcBorders>
              <w:bottom w:val="single" w:sz="4" w:space="0" w:color="auto"/>
            </w:tcBorders>
            <w:shd w:val="clear" w:color="auto" w:fill="auto"/>
          </w:tcPr>
          <w:p>
            <w:pPr>
              <w:pStyle w:val="nTable"/>
              <w:spacing w:after="40"/>
              <w:rPr>
                <w:i/>
              </w:rPr>
            </w:pPr>
            <w:r>
              <w:rPr>
                <w:i/>
              </w:rPr>
              <w:t>Fines, Penalties and Infringement Notices Enforcement Amendment Regulations (No. 2) 2019</w:t>
            </w:r>
          </w:p>
        </w:tc>
        <w:tc>
          <w:tcPr>
            <w:tcW w:w="1276" w:type="dxa"/>
            <w:gridSpan w:val="2"/>
            <w:tcBorders>
              <w:bottom w:val="single" w:sz="4" w:space="0" w:color="auto"/>
            </w:tcBorders>
            <w:shd w:val="clear" w:color="auto" w:fill="auto"/>
          </w:tcPr>
          <w:p>
            <w:pPr>
              <w:pStyle w:val="nTable"/>
              <w:spacing w:after="40"/>
            </w:pPr>
            <w:r>
              <w:t>16 Jul 2019 p. 2819</w:t>
            </w:r>
            <w:r>
              <w:noBreakHyphen/>
              <w:t>20</w:t>
            </w:r>
          </w:p>
        </w:tc>
        <w:tc>
          <w:tcPr>
            <w:tcW w:w="2693" w:type="dxa"/>
            <w:gridSpan w:val="2"/>
            <w:tcBorders>
              <w:bottom w:val="single" w:sz="4" w:space="0" w:color="auto"/>
            </w:tcBorders>
            <w:shd w:val="clear" w:color="auto" w:fill="auto"/>
          </w:tcPr>
          <w:p>
            <w:pPr>
              <w:pStyle w:val="nTable"/>
              <w:spacing w:after="40"/>
            </w:pPr>
            <w:r>
              <w:rPr>
                <w:bCs/>
                <w:snapToGrid w:val="0"/>
              </w:rPr>
              <w:t>r. 1 and 2: 16</w:t>
            </w:r>
            <w:r>
              <w:t> Jul 2019</w:t>
            </w:r>
            <w:r>
              <w:rPr>
                <w:bCs/>
                <w:snapToGrid w:val="0"/>
              </w:rPr>
              <w:t xml:space="preserve"> (see r. 2(a));</w:t>
            </w:r>
            <w:r>
              <w:rPr>
                <w:bCs/>
                <w:snapToGrid w:val="0"/>
              </w:rPr>
              <w:br/>
              <w:t>Regulations other than r. 1 and 2: 17 Jul 2019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75" w:name="_Toc776466"/>
      <w:bookmarkStart w:id="76" w:name="_Toc854132"/>
      <w:bookmarkStart w:id="77" w:name="_Toc12625587"/>
      <w:bookmarkStart w:id="78" w:name="_Toc12625652"/>
      <w:bookmarkStart w:id="79" w:name="_Toc14083521"/>
      <w:r>
        <w:rPr>
          <w:sz w:val="28"/>
        </w:rPr>
        <w:t>Defined terms</w:t>
      </w:r>
      <w:bookmarkEnd w:id="75"/>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3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Enforcement fees for Part 7 of the Act</w:t>
          </w:r>
          <w:r>
            <w:rPr>
              <w:b/>
            </w:rPr>
            <w:cr/>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DC72D-01E6-49B4-B194-DA2101330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10647</Words>
  <Characters>53661</Characters>
  <Application>Microsoft Office Word</Application>
  <DocSecurity>0</DocSecurity>
  <Lines>2063</Lines>
  <Paragraphs>1236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1994 - 08-i0-00</dc:title>
  <dc:subject/>
  <dc:creator/>
  <cp:keywords/>
  <dc:description/>
  <cp:lastModifiedBy>svcMRProcess</cp:lastModifiedBy>
  <cp:revision>4</cp:revision>
  <cp:lastPrinted>2018-02-21T01:26:00Z</cp:lastPrinted>
  <dcterms:created xsi:type="dcterms:W3CDTF">2020-02-25T19:15:00Z</dcterms:created>
  <dcterms:modified xsi:type="dcterms:W3CDTF">2020-02-25T19:15:00Z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17 Jul 2019</vt:lpwstr>
  </property>
  <property fmtid="{D5CDD505-2E9C-101B-9397-08002B2CF9AE}" pid="8" name="Suffix">
    <vt:lpwstr>08-i0-00</vt:lpwstr>
  </property>
  <property fmtid="{D5CDD505-2E9C-101B-9397-08002B2CF9AE}" pid="9" name="CommencementDate">
    <vt:lpwstr>20190717</vt:lpwstr>
  </property>
</Properties>
</file>