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Biodiversity Conservation Act 2016</w:t>
      </w:r>
      <w:r>
        <w:fldChar w:fldCharType="end"/>
      </w:r>
    </w:p>
    <w:p>
      <w:pPr>
        <w:pStyle w:val="NameofActRegPage1"/>
        <w:spacing w:before="1800" w:after="4200"/>
        <w:ind w:left="284" w:right="293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Biodiversity Conservation (Exemptions) Order 2018</w:t>
      </w:r>
      <w:r>
        <w:fldChar w:fldCharType="end"/>
      </w:r>
    </w:p>
    <w:p>
      <w:pPr>
        <w:jc w:val="center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  <w:ind w:left="284" w:right="424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Biodiversity Conservation (Exemptions) Order 2018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_Toc14440280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_Toc14440281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Existing authorities to modify occurrence of threatened ecological community</w:t>
      </w:r>
      <w:r>
        <w:tab/>
      </w:r>
      <w:r>
        <w:fldChar w:fldCharType="begin"/>
      </w:r>
      <w:r>
        <w:instrText xml:space="preserve"> PAGEREF _Toc14440282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Activities involving dingoes</w:t>
      </w:r>
      <w:r>
        <w:tab/>
      </w:r>
      <w:r>
        <w:fldChar w:fldCharType="begin"/>
      </w:r>
      <w:r>
        <w:instrText xml:space="preserve"> PAGEREF _Toc14440283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Activities involving flora cultivars</w:t>
      </w:r>
      <w:r>
        <w:tab/>
      </w:r>
      <w:r>
        <w:fldChar w:fldCharType="begin"/>
      </w:r>
      <w:r>
        <w:instrText xml:space="preserve"> PAGEREF _Toc14440284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Dealing in flora</w:t>
      </w:r>
      <w:r>
        <w:tab/>
      </w:r>
      <w:r>
        <w:fldChar w:fldCharType="begin"/>
      </w:r>
      <w:r>
        <w:instrText xml:space="preserve"> PAGEREF _Toc14440285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_Toc14440287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Biodiversity Conservation Act 2016</w:t>
      </w:r>
    </w:p>
    <w:p>
      <w:pPr>
        <w:pStyle w:val="NameofActReg"/>
      </w:pPr>
      <w:r>
        <w:t>Biodiversity Conservation (Exemptions) Order 2018</w:t>
      </w:r>
    </w:p>
    <w:p>
      <w:pPr>
        <w:pStyle w:val="Heading5"/>
      </w:pPr>
      <w:bookmarkStart w:id="3" w:name="_Toc532473866"/>
      <w:bookmarkStart w:id="4" w:name="_Toc532477744"/>
      <w:bookmarkStart w:id="5" w:name="_Toc14440280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</w:p>
    <w:p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This </w:t>
      </w:r>
      <w:r>
        <w:rPr>
          <w:spacing w:val="-2"/>
        </w:rPr>
        <w:t>order</w:t>
      </w:r>
      <w:r>
        <w:t xml:space="preserve"> is the </w:t>
      </w:r>
      <w:r>
        <w:rPr>
          <w:i/>
        </w:rPr>
        <w:t>Biodiversity Conservation (Exemptions) Order 2018</w:t>
      </w:r>
      <w:r>
        <w:t>.</w:t>
      </w:r>
    </w:p>
    <w:p>
      <w:pPr>
        <w:pStyle w:val="Heading5"/>
        <w:rPr>
          <w:spacing w:val="-2"/>
        </w:rPr>
      </w:pPr>
      <w:bookmarkStart w:id="7" w:name="_Toc532473867"/>
      <w:bookmarkStart w:id="8" w:name="_Toc532477745"/>
      <w:bookmarkStart w:id="9" w:name="_Toc1444028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  <w:bookmarkEnd w:id="8"/>
      <w:bookmarkEnd w:id="9"/>
    </w:p>
    <w:p>
      <w:pPr>
        <w:pStyle w:val="Subsection"/>
      </w:pPr>
      <w:r>
        <w:tab/>
      </w:r>
      <w:r>
        <w:tab/>
        <w:t xml:space="preserve">This order comes into operation as follows — </w:t>
      </w:r>
    </w:p>
    <w:p>
      <w:pPr>
        <w:pStyle w:val="Indenta"/>
      </w:pPr>
      <w:r>
        <w:tab/>
        <w:t>(a)</w:t>
      </w:r>
      <w:r>
        <w:tab/>
        <w:t xml:space="preserve">clauses 1 and 2 — on the day on which this order is 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(b)</w:t>
      </w:r>
      <w:r>
        <w:tab/>
        <w:t>the rest of the order — on the day after that day.</w:t>
      </w:r>
    </w:p>
    <w:p>
      <w:pPr>
        <w:pStyle w:val="Heading5"/>
      </w:pPr>
      <w:bookmarkStart w:id="10" w:name="_Toc532473868"/>
      <w:bookmarkStart w:id="11" w:name="_Toc532477746"/>
      <w:bookmarkStart w:id="12" w:name="_Toc14440282"/>
      <w:r>
        <w:rPr>
          <w:rStyle w:val="CharSectno"/>
        </w:rPr>
        <w:t>3.</w:t>
      </w:r>
      <w:r>
        <w:tab/>
        <w:t>Existing authorities to modify occurrence of threatened ecological community</w:t>
      </w:r>
      <w:bookmarkEnd w:id="10"/>
      <w:bookmarkEnd w:id="11"/>
      <w:bookmarkEnd w:id="12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existing authority</w:t>
      </w:r>
      <w:r>
        <w:t xml:space="preserve"> means a licence, permit, approval, consent, registration or other authority — </w:t>
      </w:r>
    </w:p>
    <w:p>
      <w:pPr>
        <w:pStyle w:val="Defpara"/>
      </w:pPr>
      <w:r>
        <w:tab/>
        <w:t>(a)</w:t>
      </w:r>
      <w:r>
        <w:tab/>
        <w:t>issued, granted, conferred or given under a written law or a State agreement; and</w:t>
      </w:r>
    </w:p>
    <w:p>
      <w:pPr>
        <w:pStyle w:val="Defpara"/>
      </w:pPr>
      <w:r>
        <w:tab/>
        <w:t>(b)</w:t>
      </w:r>
      <w:r>
        <w:tab/>
        <w:t>in force immediately before the day on which section 48 of the Act comes into operation; and</w:t>
      </w:r>
    </w:p>
    <w:p>
      <w:pPr>
        <w:pStyle w:val="Defpara"/>
      </w:pPr>
      <w:r>
        <w:tab/>
        <w:t>(c)</w:t>
      </w:r>
      <w:r>
        <w:tab/>
        <w:t>in force on the day on which the activity mentioned in subclause (2) is carried out.</w:t>
      </w:r>
    </w:p>
    <w:p>
      <w:pPr>
        <w:pStyle w:val="Subsection"/>
      </w:pPr>
      <w:r>
        <w:tab/>
        <w:t>(2)</w:t>
      </w:r>
      <w:r>
        <w:tab/>
        <w:t xml:space="preserve">An activity that modifies an occurrence of a threatened ecological community is exempt from section 48(1) of the Act in circumstances where — </w:t>
      </w:r>
    </w:p>
    <w:p>
      <w:pPr>
        <w:pStyle w:val="Indenta"/>
      </w:pPr>
      <w:r>
        <w:tab/>
        <w:t>(a)</w:t>
      </w:r>
      <w:r>
        <w:tab/>
        <w:t>the activity is authorised by an existing authority; and</w:t>
      </w:r>
    </w:p>
    <w:p>
      <w:pPr>
        <w:pStyle w:val="Indenta"/>
      </w:pPr>
      <w:r>
        <w:tab/>
        <w:t>(b)</w:t>
      </w:r>
      <w:r>
        <w:tab/>
        <w:t>the activity is carried out in accordance with any conditions to which the existing authority is subject; and</w:t>
      </w:r>
    </w:p>
    <w:p>
      <w:pPr>
        <w:pStyle w:val="Indenta"/>
      </w:pPr>
      <w:r>
        <w:tab/>
        <w:t>(c)</w:t>
      </w:r>
      <w:r>
        <w:tab/>
        <w:t xml:space="preserve">any clearing permit required under the </w:t>
      </w:r>
      <w:r>
        <w:rPr>
          <w:i/>
        </w:rPr>
        <w:t>Environmental Protection Act 1986</w:t>
      </w:r>
      <w:r>
        <w:t xml:space="preserve"> in respect of the activity has been obtained.</w:t>
      </w:r>
    </w:p>
    <w:p>
      <w:pPr>
        <w:pStyle w:val="Heading5"/>
      </w:pPr>
      <w:bookmarkStart w:id="13" w:name="_Toc532473869"/>
      <w:bookmarkStart w:id="14" w:name="_Toc532477747"/>
      <w:bookmarkStart w:id="15" w:name="_Toc14440283"/>
      <w:r>
        <w:rPr>
          <w:rStyle w:val="CharSectno"/>
        </w:rPr>
        <w:t>4</w:t>
      </w:r>
      <w:r>
        <w:t>.</w:t>
      </w:r>
      <w:r>
        <w:tab/>
        <w:t>Activities involving dingoes</w:t>
      </w:r>
      <w:bookmarkEnd w:id="13"/>
      <w:bookmarkEnd w:id="14"/>
      <w:bookmarkEnd w:id="15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dingo</w:t>
      </w:r>
      <w:r>
        <w:t xml:space="preserve"> means an animal that belongs to the native species </w:t>
      </w:r>
      <w:r>
        <w:rPr>
          <w:i/>
        </w:rPr>
        <w:t>Canis familiaris dingo</w:t>
      </w:r>
      <w:r>
        <w:t>.</w:t>
      </w:r>
    </w:p>
    <w:p>
      <w:pPr>
        <w:pStyle w:val="Subsection"/>
      </w:pPr>
      <w:r>
        <w:tab/>
        <w:t>(2)</w:t>
      </w:r>
      <w:r>
        <w:tab/>
        <w:t>The activity of taking a dingo is exempt from section 149(1) of the Act.</w:t>
      </w:r>
    </w:p>
    <w:p>
      <w:pPr>
        <w:pStyle w:val="Subsection"/>
      </w:pPr>
      <w:r>
        <w:tab/>
        <w:t>(3)</w:t>
      </w:r>
      <w:r>
        <w:tab/>
        <w:t>The activity of possessing a dingo is exempt from section 152(1) of the Act.</w:t>
      </w:r>
    </w:p>
    <w:p>
      <w:pPr>
        <w:pStyle w:val="Subsection"/>
      </w:pPr>
      <w:r>
        <w:tab/>
        <w:t>(4)</w:t>
      </w:r>
      <w:r>
        <w:tab/>
        <w:t>The activity of disturbing a dingo is exempt from section 153(1) of the Act.</w:t>
      </w:r>
    </w:p>
    <w:p>
      <w:pPr>
        <w:pStyle w:val="Subsection"/>
      </w:pPr>
      <w:r>
        <w:tab/>
        <w:t>(5)</w:t>
      </w:r>
      <w:r>
        <w:tab/>
        <w:t>The activity of using a prohibited device or prohibited method in the taking or disturbance of a dingo is exempt from section 156(1) of the Act.</w:t>
      </w:r>
    </w:p>
    <w:p>
      <w:pPr>
        <w:pStyle w:val="Subsection"/>
      </w:pPr>
      <w:r>
        <w:tab/>
        <w:t>(6)</w:t>
      </w:r>
      <w:r>
        <w:tab/>
        <w:t>An occupier of land is exempt from section 156(2) and (3) of the Act in circumstances where the relevant taking or disturbance is the taking or disturbance of a dingo.</w:t>
      </w:r>
    </w:p>
    <w:p>
      <w:pPr>
        <w:pStyle w:val="Subsection"/>
      </w:pPr>
      <w:r>
        <w:tab/>
        <w:t>(7)</w:t>
      </w:r>
      <w:r>
        <w:tab/>
        <w:t>The activity of dealing in a dingo is exempt from section 157(1) of the Act.</w:t>
      </w:r>
    </w:p>
    <w:p>
      <w:pPr>
        <w:pStyle w:val="Subsection"/>
      </w:pPr>
      <w:r>
        <w:tab/>
        <w:t>(8)</w:t>
      </w:r>
      <w:r>
        <w:tab/>
        <w:t>The activity of processing a dingo is exempt from section 158(2) of the Act.</w:t>
      </w:r>
    </w:p>
    <w:p>
      <w:pPr>
        <w:pStyle w:val="Subsection"/>
      </w:pPr>
      <w:r>
        <w:tab/>
        <w:t>(9)</w:t>
      </w:r>
      <w:r>
        <w:tab/>
        <w:t>The activity of importing a dingo is exempt from section 159 of the Act.</w:t>
      </w:r>
    </w:p>
    <w:p>
      <w:pPr>
        <w:pStyle w:val="Subsection"/>
      </w:pPr>
      <w:r>
        <w:tab/>
        <w:t>(10)</w:t>
      </w:r>
      <w:r>
        <w:tab/>
        <w:t>The activity of exporting a dingo is exempt from section 160 of the Act.</w:t>
      </w:r>
    </w:p>
    <w:p>
      <w:pPr>
        <w:pStyle w:val="Heading5"/>
      </w:pPr>
      <w:bookmarkStart w:id="16" w:name="_Toc532473870"/>
      <w:bookmarkStart w:id="17" w:name="_Toc532477748"/>
      <w:bookmarkStart w:id="18" w:name="_Toc14440284"/>
      <w:r>
        <w:rPr>
          <w:rStyle w:val="CharSectno"/>
        </w:rPr>
        <w:t>5</w:t>
      </w:r>
      <w:r>
        <w:t>.</w:t>
      </w:r>
      <w:r>
        <w:tab/>
        <w:t>Activities involving flora cultivars</w:t>
      </w:r>
      <w:bookmarkEnd w:id="16"/>
      <w:bookmarkEnd w:id="17"/>
      <w:bookmarkEnd w:id="18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flora cultivar</w:t>
      </w:r>
      <w:r>
        <w:t xml:space="preserve"> means flora that — </w:t>
      </w:r>
    </w:p>
    <w:p>
      <w:pPr>
        <w:pStyle w:val="Defpara"/>
      </w:pPr>
      <w:r>
        <w:tab/>
        <w:t>(a)</w:t>
      </w:r>
      <w:r>
        <w:tab/>
        <w:t>has been produced by selective breeding either through hybridisation or form selection; and</w:t>
      </w:r>
    </w:p>
    <w:p>
      <w:pPr>
        <w:pStyle w:val="Defpara"/>
      </w:pPr>
      <w:r>
        <w:tab/>
        <w:t>(b)</w:t>
      </w:r>
      <w:r>
        <w:tab/>
        <w:t>is in a form that is morphologically distinguishable from its parent species growing in the wild.</w:t>
      </w:r>
    </w:p>
    <w:p>
      <w:pPr>
        <w:pStyle w:val="Subsection"/>
      </w:pPr>
      <w:r>
        <w:tab/>
        <w:t>(2)</w:t>
      </w:r>
      <w:r>
        <w:tab/>
        <w:t>The activity of supplying a flora cultivar is exempt from section 176(1) of the Act.</w:t>
      </w:r>
    </w:p>
    <w:p>
      <w:pPr>
        <w:pStyle w:val="Subsection"/>
      </w:pPr>
      <w:r>
        <w:tab/>
        <w:t>(3)</w:t>
      </w:r>
      <w:r>
        <w:tab/>
        <w:t>The activity of dealing in a flora cultivar is exempt from section 177(1) of the Act.</w:t>
      </w:r>
    </w:p>
    <w:p>
      <w:pPr>
        <w:pStyle w:val="Subsection"/>
      </w:pPr>
      <w:r>
        <w:tab/>
        <w:t>(4)</w:t>
      </w:r>
      <w:r>
        <w:tab/>
        <w:t>The activity of processing a flora cultivar is exempt from section 178(2) of the Act.</w:t>
      </w:r>
    </w:p>
    <w:p>
      <w:pPr>
        <w:pStyle w:val="Heading5"/>
      </w:pPr>
      <w:bookmarkStart w:id="19" w:name="_Toc532473871"/>
      <w:bookmarkStart w:id="20" w:name="_Toc532477749"/>
      <w:bookmarkStart w:id="21" w:name="_Toc14440285"/>
      <w:r>
        <w:rPr>
          <w:rStyle w:val="CharSectno"/>
        </w:rPr>
        <w:t>6</w:t>
      </w:r>
      <w:r>
        <w:t>.</w:t>
      </w:r>
      <w:r>
        <w:tab/>
        <w:t>Dealing in flora</w:t>
      </w:r>
      <w:bookmarkEnd w:id="19"/>
      <w:bookmarkEnd w:id="20"/>
      <w:bookmarkEnd w:id="21"/>
    </w:p>
    <w:p>
      <w:pPr>
        <w:pStyle w:val="Subsection"/>
      </w:pPr>
      <w:r>
        <w:tab/>
        <w:t>(1)</w:t>
      </w:r>
      <w:r>
        <w:tab/>
        <w:t xml:space="preserve">In this clause — </w:t>
      </w:r>
    </w:p>
    <w:p>
      <w:pPr>
        <w:pStyle w:val="Defstart"/>
      </w:pPr>
      <w:r>
        <w:tab/>
      </w:r>
      <w:r>
        <w:rPr>
          <w:rStyle w:val="CharDefText"/>
        </w:rPr>
        <w:t>flora</w:t>
      </w:r>
      <w:r>
        <w:t xml:space="preserve"> does not include specifically controlled sandalwood as defined in the </w:t>
      </w:r>
      <w:r>
        <w:rPr>
          <w:i/>
        </w:rPr>
        <w:t>Biodiversity Conservation Regulations 2018</w:t>
      </w:r>
      <w:r>
        <w:t xml:space="preserve"> regulation 3.</w:t>
      </w:r>
    </w:p>
    <w:p>
      <w:pPr>
        <w:pStyle w:val="Subsection"/>
      </w:pPr>
      <w:r>
        <w:tab/>
        <w:t>(2)</w:t>
      </w:r>
      <w:r>
        <w:tab/>
        <w:t xml:space="preserve">The activity of dealing in flora is exempt from section 177(1) of the Act in circumstances where the flora is purchased from — </w:t>
      </w:r>
    </w:p>
    <w:p>
      <w:pPr>
        <w:pStyle w:val="Indenta"/>
      </w:pPr>
      <w:r>
        <w:tab/>
        <w:t>(a)</w:t>
      </w:r>
      <w:r>
        <w:tab/>
        <w:t>the holder of a licence authorising the supply of flora; or</w:t>
      </w:r>
    </w:p>
    <w:p>
      <w:pPr>
        <w:pStyle w:val="Indenta"/>
      </w:pPr>
      <w:r>
        <w:tab/>
        <w:t>(b)</w:t>
      </w:r>
      <w:r>
        <w:tab/>
        <w:t>a person who otherwise has lawful authority to supply flora.</w:t>
      </w:r>
    </w:p>
    <w:p>
      <w:pPr>
        <w:pStyle w:val="Subsection"/>
      </w:pPr>
      <w:r>
        <w:tab/>
        <w:t>(3)</w:t>
      </w:r>
      <w:r>
        <w:tab/>
        <w:t xml:space="preserve">The exemption provided for in subclause (2) is subject to the condition that a person who deals in flora in reliance on the exemption must — </w:t>
      </w:r>
    </w:p>
    <w:p>
      <w:pPr>
        <w:pStyle w:val="Indenta"/>
      </w:pPr>
      <w:r>
        <w:tab/>
        <w:t>(a)</w:t>
      </w:r>
      <w:r>
        <w:tab/>
        <w:t xml:space="preserve">make a record of the flora purchased that contains the following information — </w:t>
      </w:r>
    </w:p>
    <w:p>
      <w:pPr>
        <w:pStyle w:val="Indenti"/>
      </w:pPr>
      <w:r>
        <w:tab/>
        <w:t>(i)</w:t>
      </w:r>
      <w:r>
        <w:tab/>
        <w:t>a description of the flora;</w:t>
      </w:r>
    </w:p>
    <w:p>
      <w:pPr>
        <w:pStyle w:val="Indenti"/>
      </w:pPr>
      <w:r>
        <w:tab/>
        <w:t>(ii)</w:t>
      </w:r>
      <w:r>
        <w:tab/>
        <w:t>the quantity of the flora;</w:t>
      </w:r>
    </w:p>
    <w:p>
      <w:pPr>
        <w:pStyle w:val="Indenti"/>
      </w:pPr>
      <w:r>
        <w:tab/>
        <w:t>(iii)</w:t>
      </w:r>
      <w:r>
        <w:tab/>
        <w:t>the day on which the flora is purchased;</w:t>
      </w:r>
    </w:p>
    <w:p>
      <w:pPr>
        <w:pStyle w:val="Indenti"/>
      </w:pPr>
      <w:r>
        <w:tab/>
        <w:t>(iv)</w:t>
      </w:r>
      <w:r>
        <w:tab/>
        <w:t>the name and address of the person from whom the flora is purchased;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(b)</w:t>
      </w:r>
      <w:r>
        <w:tab/>
        <w:t xml:space="preserve">keep the record — </w:t>
      </w:r>
    </w:p>
    <w:p>
      <w:pPr>
        <w:pStyle w:val="Indenti"/>
      </w:pPr>
      <w:r>
        <w:tab/>
        <w:t>(i)</w:t>
      </w:r>
      <w:r>
        <w:tab/>
        <w:t>for at least 2 years after the day on which the flora is purchased; and</w:t>
      </w:r>
    </w:p>
    <w:p>
      <w:pPr>
        <w:pStyle w:val="Indenti"/>
      </w:pPr>
      <w:r>
        <w:tab/>
        <w:t>(ii)</w:t>
      </w:r>
      <w:r>
        <w:tab/>
        <w:t>at the place where the person deals in flora;</w:t>
      </w:r>
    </w:p>
    <w:p>
      <w:pPr>
        <w:pStyle w:val="Indenta"/>
      </w:pPr>
      <w:r>
        <w:tab/>
      </w:r>
      <w:r>
        <w:tab/>
        <w:t>and</w:t>
      </w:r>
    </w:p>
    <w:p>
      <w:pPr>
        <w:pStyle w:val="Indenta"/>
      </w:pPr>
      <w:r>
        <w:tab/>
        <w:t>(c)</w:t>
      </w:r>
      <w:r>
        <w:tab/>
        <w:t>make the record available to a wildlife officer if asked by the wildlife officer to do so.</w:t>
      </w:r>
    </w:p>
    <w:p>
      <w:pPr>
        <w:pStyle w:val="Subsection"/>
      </w:pPr>
      <w:r>
        <w:tab/>
        <w:t>(4)</w:t>
      </w:r>
      <w:r>
        <w:tab/>
        <w:t>The activity of dealing in flora is also exempt from section 177(1) of the Act in circumstances where the flora is supplied as a living potted plant or by retail directly to the public.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nHeading2"/>
      </w:pPr>
      <w:bookmarkStart w:id="22" w:name="_Toc14429624"/>
      <w:bookmarkStart w:id="23" w:name="_Toc14429639"/>
      <w:bookmarkStart w:id="24" w:name="_Toc14440286"/>
      <w:r>
        <w:t>Notes</w:t>
      </w:r>
      <w:bookmarkEnd w:id="22"/>
      <w:bookmarkEnd w:id="23"/>
      <w:bookmarkEnd w:id="24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is a compilation of the </w:t>
      </w:r>
      <w:r>
        <w:rPr>
          <w:i/>
          <w:noProof/>
        </w:rPr>
        <w:t>Biodiversity Conservation (Exemptions) Order 2018</w:t>
      </w:r>
      <w:r>
        <w:t>.  The following table contains information about that order.</w:t>
      </w:r>
    </w:p>
    <w:p>
      <w:pPr>
        <w:pStyle w:val="nHeading3"/>
      </w:pPr>
      <w:bookmarkStart w:id="25" w:name="_Toc14440287"/>
      <w:r>
        <w:t>Compilation table</w:t>
      </w:r>
      <w:bookmarkEnd w:id="2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Biodiversity Conservation (Exemptions) Order 2018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21 Dec 2018 p. 4847</w:t>
            </w:r>
            <w:r>
              <w:noBreakHyphen/>
              <w:t>50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20"/>
              </w:rPr>
            </w:pPr>
            <w:r>
              <w:t>cl. 1 and 2: 21 Dec 2018 (see cl</w:t>
            </w:r>
            <w:r>
              <w:rPr>
                <w:sz w:val="20"/>
              </w:rPr>
              <w:t>. 2(a));</w:t>
            </w:r>
            <w:r>
              <w:rPr>
                <w:sz w:val="20"/>
              </w:rPr>
              <w:br/>
              <w:t>Order other than cl. 1 and 2: 22 Dec 2018 (see cl. 2(b))</w:t>
            </w:r>
          </w:p>
        </w:tc>
      </w:tr>
    </w:tbl>
    <w:p/>
    <w:p>
      <w:p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27" w:name="_Toc14429641"/>
      <w:bookmarkStart w:id="28" w:name="_Toc14440288"/>
      <w:r>
        <w:rPr>
          <w:sz w:val="28"/>
        </w:rPr>
        <w:t>Defined terms</w:t>
      </w:r>
      <w:bookmarkEnd w:id="27"/>
      <w:bookmarkEnd w:id="2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dingo</w:t>
      </w:r>
      <w:r>
        <w:tab/>
        <w:t>4(1)</w:t>
      </w:r>
    </w:p>
    <w:p>
      <w:pPr>
        <w:pStyle w:val="DefinedTerms"/>
      </w:pPr>
      <w:r>
        <w:t>existing authority</w:t>
      </w:r>
      <w:r>
        <w:tab/>
        <w:t>3(1)</w:t>
      </w:r>
    </w:p>
    <w:p>
      <w:pPr>
        <w:pStyle w:val="DefinedTerms"/>
      </w:pPr>
      <w:r>
        <w:t>flora</w:t>
      </w:r>
      <w:r>
        <w:tab/>
        <w:t>6(1)</w:t>
      </w:r>
    </w:p>
    <w:p>
      <w:pPr>
        <w:pStyle w:val="DefinedTerms"/>
      </w:pPr>
      <w:r>
        <w:t>flora cultivar</w:t>
      </w:r>
      <w:r>
        <w:tab/>
        <w:t>5(1)</w:t>
      </w:r>
    </w:p>
    <w:p/>
    <w:p>
      <w:pPr>
        <w:sectPr>
          <w:headerReference w:type="even" r:id="rId28"/>
          <w:headerReference w:type="default" r:id="rId29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22 Dec 2018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6" w:name="Compilation"/>
    <w:bookmarkEnd w:id="26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9" w:name="DefinedTerms"/>
    <w:bookmarkEnd w:id="29"/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Biodiversity Conservation (Exemptions) Order 2018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CharDivText </w:instrText>
          </w:r>
          <w:r>
            <w:rPr>
              <w:b/>
            </w:rP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4"/>
  </w:num>
  <w:num w:numId="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81213125059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81129091927" w:val="RemoveTocBookmarks,RemoveUnusedBookmarks,RemoveLanguageTags,UsedStyles,ResetPageSize"/>
    <w:docVar w:name="WAFER_20181129091927_GUID" w:val="ece31265-4218-4793-aae1-23263410f42d"/>
    <w:docVar w:name="WAFER_20181129100242" w:val="RemoveTocBookmarks,RunningHeaders"/>
    <w:docVar w:name="WAFER_20181129100242_GUID" w:val="d21817a8-c66a-4bf8-9189-f204e0ea3d77"/>
    <w:docVar w:name="WAFER_20181211154622" w:val="RemoveTocBookmarks,RemoveUnusedBookmarks,RemoveLanguageTags,UsedStyles,ResetPageSize"/>
    <w:docVar w:name="WAFER_20181211154622_GUID" w:val="0d9ef26d-cbca-4987-bddf-f810196ef6ec"/>
    <w:docVar w:name="WAFER_20181211161501" w:val="RemoveTocBookmarks,RunningHeaders"/>
    <w:docVar w:name="WAFER_20181211161501_GUID" w:val="9195d272-be00-4611-aeae-6a49ce56b435"/>
    <w:docVar w:name="WAFER_20181213125059" w:val="RemoveTocBookmarks,RemoveUnusedBookmarks,RemoveLanguageTags,UsedStyles,ResetPageSize"/>
    <w:docVar w:name="WAFER_20181213125059_GUID" w:val="91a0da5f-0399-46a9-9f83-6b280e043b6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  <w:sz w:val="22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link w:val="HeaderCha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2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Pr>
      <w:rFonts w:ascii="Arial" w:hAnsi="Arial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8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  <w:sz w:val="22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link w:val="HeaderCha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2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header" Target="header1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7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2.jpg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59E97-690F-4C83-A46A-2222BE918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990</Words>
  <Characters>4871</Characters>
  <Application>Microsoft Office Word</Application>
  <DocSecurity>0</DocSecurity>
  <Lines>173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Biodiversity Conservation (Exemptions) Order 2018 - 00-a0-00</dc:title>
  <dc:subject/>
  <dc:creator/>
  <cp:keywords/>
  <dc:description/>
  <cp:lastModifiedBy>svcMRProcess</cp:lastModifiedBy>
  <cp:revision>4</cp:revision>
  <cp:lastPrinted>2018-12-13T07:17:00Z</cp:lastPrinted>
  <dcterms:created xsi:type="dcterms:W3CDTF">2019-07-19T07:04:00Z</dcterms:created>
  <dcterms:modified xsi:type="dcterms:W3CDTF">2019-07-19T07:04:00Z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51432</vt:lpwstr>
  </property>
  <property fmtid="{D5CDD505-2E9C-101B-9397-08002B2CF9AE}" pid="3" name="DocumentType">
    <vt:lpwstr>Reg</vt:lpwstr>
  </property>
  <property fmtid="{D5CDD505-2E9C-101B-9397-08002B2CF9AE}" pid="4" name="AsAtDate">
    <vt:lpwstr>22 Dec 2018</vt:lpwstr>
  </property>
  <property fmtid="{D5CDD505-2E9C-101B-9397-08002B2CF9AE}" pid="5" name="Suffix">
    <vt:lpwstr>00-a0-00</vt:lpwstr>
  </property>
  <property fmtid="{D5CDD505-2E9C-101B-9397-08002B2CF9AE}" pid="6" name="CommencementDate">
    <vt:lpwstr>20181222</vt:lpwstr>
  </property>
</Properties>
</file>