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Financial Management Act 2006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Financial Management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_Toc14686284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_Toc14686285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_Toc14686286 \h </w:instrText>
      </w:r>
      <w:r>
        <w:fldChar w:fldCharType="separate"/>
      </w:r>
      <w:r>
        <w:t>2</w:t>
      </w:r>
      <w:r>
        <w:fldChar w:fldCharType="end"/>
      </w:r>
    </w:p>
    <w:p>
      <w:pPr>
        <w:pStyle w:val="TOC8"/>
        <w:rPr>
          <w:rFonts w:asciiTheme="minorHAnsi" w:eastAsiaTheme="minorEastAsia" w:hAnsiTheme="minorHAnsi" w:cstheme="minorBidi"/>
          <w:szCs w:val="22"/>
        </w:rPr>
      </w:pPr>
      <w:r>
        <w:t>4.</w:t>
      </w:r>
      <w:r>
        <w:tab/>
        <w:t>Relationship of this Act with other laws</w:t>
      </w:r>
      <w:r>
        <w:tab/>
      </w:r>
      <w:r>
        <w:fldChar w:fldCharType="begin"/>
      </w:r>
      <w:r>
        <w:instrText xml:space="preserve"> PAGEREF _Toc14686287 \h </w:instrText>
      </w:r>
      <w:r>
        <w:fldChar w:fldCharType="separate"/>
      </w:r>
      <w:r>
        <w:t>5</w:t>
      </w:r>
      <w:r>
        <w:fldChar w:fldCharType="end"/>
      </w:r>
    </w:p>
    <w:p>
      <w:pPr>
        <w:pStyle w:val="TOC8"/>
        <w:rPr>
          <w:rFonts w:asciiTheme="minorHAnsi" w:eastAsiaTheme="minorEastAsia" w:hAnsiTheme="minorHAnsi" w:cstheme="minorBidi"/>
          <w:szCs w:val="22"/>
        </w:rPr>
      </w:pPr>
      <w:r>
        <w:t>5.</w:t>
      </w:r>
      <w:r>
        <w:tab/>
        <w:t>Act modified for administration of certain bodies (Sch. 2)</w:t>
      </w:r>
      <w:r>
        <w:tab/>
      </w:r>
      <w:r>
        <w:fldChar w:fldCharType="begin"/>
      </w:r>
      <w:r>
        <w:instrText xml:space="preserve"> PAGEREF _Toc14686288 \h </w:instrText>
      </w:r>
      <w:r>
        <w:fldChar w:fldCharType="separate"/>
      </w:r>
      <w:r>
        <w:t>5</w:t>
      </w:r>
      <w:r>
        <w:fldChar w:fldCharType="end"/>
      </w:r>
    </w:p>
    <w:p>
      <w:pPr>
        <w:pStyle w:val="TOC8"/>
        <w:rPr>
          <w:rFonts w:asciiTheme="minorHAnsi" w:eastAsiaTheme="minorEastAsia" w:hAnsiTheme="minorHAnsi" w:cstheme="minorBidi"/>
          <w:szCs w:val="22"/>
        </w:rPr>
      </w:pPr>
      <w:r>
        <w:t>6.</w:t>
      </w:r>
      <w:r>
        <w:tab/>
        <w:t>Sch. 1 may be amended by regulations</w:t>
      </w:r>
      <w:r>
        <w:tab/>
      </w:r>
      <w:r>
        <w:fldChar w:fldCharType="begin"/>
      </w:r>
      <w:r>
        <w:instrText xml:space="preserve"> PAGEREF _Toc14686289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Accounts</w:t>
      </w:r>
    </w:p>
    <w:p>
      <w:pPr>
        <w:pStyle w:val="TOC4"/>
        <w:tabs>
          <w:tab w:val="right" w:leader="dot" w:pos="7077"/>
        </w:tabs>
        <w:rPr>
          <w:rFonts w:asciiTheme="minorHAnsi" w:eastAsiaTheme="minorEastAsia" w:hAnsiTheme="minorHAnsi" w:cstheme="minorBidi"/>
          <w:b w:val="0"/>
          <w:szCs w:val="22"/>
        </w:rPr>
      </w:pPr>
      <w:r>
        <w:t>Division 1 — Public Ledger</w:t>
      </w:r>
    </w:p>
    <w:p>
      <w:pPr>
        <w:pStyle w:val="TOC8"/>
        <w:rPr>
          <w:rFonts w:asciiTheme="minorHAnsi" w:eastAsiaTheme="minorEastAsia" w:hAnsiTheme="minorHAnsi" w:cstheme="minorBidi"/>
          <w:szCs w:val="22"/>
        </w:rPr>
      </w:pPr>
      <w:r>
        <w:t>7.</w:t>
      </w:r>
      <w:r>
        <w:tab/>
        <w:t>Public Ledger</w:t>
      </w:r>
      <w:r>
        <w:tab/>
      </w:r>
      <w:r>
        <w:fldChar w:fldCharType="begin"/>
      </w:r>
      <w:r>
        <w:instrText xml:space="preserve"> PAGEREF _Toc14686292 \h </w:instrText>
      </w:r>
      <w:r>
        <w:fldChar w:fldCharType="separate"/>
      </w:r>
      <w:r>
        <w:t>7</w:t>
      </w:r>
      <w:r>
        <w:fldChar w:fldCharType="end"/>
      </w:r>
    </w:p>
    <w:p>
      <w:pPr>
        <w:pStyle w:val="TOC8"/>
        <w:rPr>
          <w:rFonts w:asciiTheme="minorHAnsi" w:eastAsiaTheme="minorEastAsia" w:hAnsiTheme="minorHAnsi" w:cstheme="minorBidi"/>
          <w:szCs w:val="22"/>
        </w:rPr>
      </w:pPr>
      <w:r>
        <w:t>8.</w:t>
      </w:r>
      <w:r>
        <w:tab/>
        <w:t>Consolidated Account</w:t>
      </w:r>
      <w:r>
        <w:tab/>
      </w:r>
      <w:r>
        <w:fldChar w:fldCharType="begin"/>
      </w:r>
      <w:r>
        <w:instrText xml:space="preserve"> PAGEREF _Toc14686293 \h </w:instrText>
      </w:r>
      <w:r>
        <w:fldChar w:fldCharType="separate"/>
      </w:r>
      <w:r>
        <w:t>7</w:t>
      </w:r>
      <w:r>
        <w:fldChar w:fldCharType="end"/>
      </w:r>
    </w:p>
    <w:p>
      <w:pPr>
        <w:pStyle w:val="TOC8"/>
        <w:rPr>
          <w:rFonts w:asciiTheme="minorHAnsi" w:eastAsiaTheme="minorEastAsia" w:hAnsiTheme="minorHAnsi" w:cstheme="minorBidi"/>
          <w:szCs w:val="22"/>
        </w:rPr>
      </w:pPr>
      <w:r>
        <w:t>9.</w:t>
      </w:r>
      <w:r>
        <w:tab/>
        <w:t>Treasurer’s Advance Account</w:t>
      </w:r>
      <w:r>
        <w:tab/>
      </w:r>
      <w:r>
        <w:fldChar w:fldCharType="begin"/>
      </w:r>
      <w:r>
        <w:instrText xml:space="preserve"> PAGEREF _Toc14686294 \h </w:instrText>
      </w:r>
      <w:r>
        <w:fldChar w:fldCharType="separate"/>
      </w:r>
      <w:r>
        <w:t>7</w:t>
      </w:r>
      <w:r>
        <w:fldChar w:fldCharType="end"/>
      </w:r>
    </w:p>
    <w:p>
      <w:pPr>
        <w:pStyle w:val="TOC8"/>
        <w:rPr>
          <w:rFonts w:asciiTheme="minorHAnsi" w:eastAsiaTheme="minorEastAsia" w:hAnsiTheme="minorHAnsi" w:cstheme="minorBidi"/>
          <w:szCs w:val="22"/>
        </w:rPr>
      </w:pPr>
      <w:r>
        <w:t>10.</w:t>
      </w:r>
      <w:r>
        <w:tab/>
        <w:t>Treasurer’s special purpose accounts</w:t>
      </w:r>
      <w:r>
        <w:tab/>
      </w:r>
      <w:r>
        <w:fldChar w:fldCharType="begin"/>
      </w:r>
      <w:r>
        <w:instrText xml:space="preserve"> PAGEREF _Toc14686295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Public Bank Account and other bank accounts</w:t>
      </w:r>
    </w:p>
    <w:p>
      <w:pPr>
        <w:pStyle w:val="TOC8"/>
        <w:rPr>
          <w:rFonts w:asciiTheme="minorHAnsi" w:eastAsiaTheme="minorEastAsia" w:hAnsiTheme="minorHAnsi" w:cstheme="minorBidi"/>
          <w:szCs w:val="22"/>
        </w:rPr>
      </w:pPr>
      <w:r>
        <w:t>11.</w:t>
      </w:r>
      <w:r>
        <w:tab/>
        <w:t>Public Bank Account</w:t>
      </w:r>
      <w:r>
        <w:tab/>
      </w:r>
      <w:r>
        <w:fldChar w:fldCharType="begin"/>
      </w:r>
      <w:r>
        <w:instrText xml:space="preserve"> PAGEREF _Toc14686297 \h </w:instrText>
      </w:r>
      <w:r>
        <w:fldChar w:fldCharType="separate"/>
      </w:r>
      <w:r>
        <w:t>8</w:t>
      </w:r>
      <w:r>
        <w:fldChar w:fldCharType="end"/>
      </w:r>
    </w:p>
    <w:p>
      <w:pPr>
        <w:pStyle w:val="TOC8"/>
        <w:rPr>
          <w:rFonts w:asciiTheme="minorHAnsi" w:eastAsiaTheme="minorEastAsia" w:hAnsiTheme="minorHAnsi" w:cstheme="minorBidi"/>
          <w:szCs w:val="22"/>
        </w:rPr>
      </w:pPr>
      <w:r>
        <w:t>12.</w:t>
      </w:r>
      <w:r>
        <w:tab/>
        <w:t>Public Bank Account, application of money in</w:t>
      </w:r>
      <w:r>
        <w:tab/>
      </w:r>
      <w:r>
        <w:fldChar w:fldCharType="begin"/>
      </w:r>
      <w:r>
        <w:instrText xml:space="preserve"> PAGEREF _Toc14686298 \h </w:instrText>
      </w:r>
      <w:r>
        <w:fldChar w:fldCharType="separate"/>
      </w:r>
      <w:r>
        <w:t>9</w:t>
      </w:r>
      <w:r>
        <w:fldChar w:fldCharType="end"/>
      </w:r>
    </w:p>
    <w:p>
      <w:pPr>
        <w:pStyle w:val="TOC8"/>
        <w:rPr>
          <w:rFonts w:asciiTheme="minorHAnsi" w:eastAsiaTheme="minorEastAsia" w:hAnsiTheme="minorHAnsi" w:cstheme="minorBidi"/>
          <w:szCs w:val="22"/>
        </w:rPr>
      </w:pPr>
      <w:r>
        <w:t>13.</w:t>
      </w:r>
      <w:r>
        <w:tab/>
        <w:t>Bank accounts for agencies, restrictions on</w:t>
      </w:r>
      <w:r>
        <w:tab/>
      </w:r>
      <w:r>
        <w:fldChar w:fldCharType="begin"/>
      </w:r>
      <w:r>
        <w:instrText xml:space="preserve"> PAGEREF _Toc14686299 \h </w:instrText>
      </w:r>
      <w:r>
        <w:fldChar w:fldCharType="separate"/>
      </w:r>
      <w:r>
        <w:t>9</w:t>
      </w:r>
      <w:r>
        <w:fldChar w:fldCharType="end"/>
      </w:r>
    </w:p>
    <w:p>
      <w:pPr>
        <w:pStyle w:val="TOC8"/>
        <w:rPr>
          <w:rFonts w:asciiTheme="minorHAnsi" w:eastAsiaTheme="minorEastAsia" w:hAnsiTheme="minorHAnsi" w:cstheme="minorBidi"/>
          <w:szCs w:val="22"/>
        </w:rPr>
      </w:pPr>
      <w:r>
        <w:t>14.</w:t>
      </w:r>
      <w:r>
        <w:tab/>
        <w:t>Bank accounts not to be overdrawn except with Treasurer’s approval</w:t>
      </w:r>
      <w:r>
        <w:tab/>
      </w:r>
      <w:r>
        <w:fldChar w:fldCharType="begin"/>
      </w:r>
      <w:r>
        <w:instrText xml:space="preserve"> PAGEREF _Toc14686300 \h </w:instrText>
      </w:r>
      <w:r>
        <w:fldChar w:fldCharType="separate"/>
      </w:r>
      <w:r>
        <w:t>9</w:t>
      </w:r>
      <w:r>
        <w:fldChar w:fldCharType="end"/>
      </w:r>
    </w:p>
    <w:p>
      <w:pPr>
        <w:pStyle w:val="TOC8"/>
        <w:rPr>
          <w:rFonts w:asciiTheme="minorHAnsi" w:eastAsiaTheme="minorEastAsia" w:hAnsiTheme="minorHAnsi" w:cstheme="minorBidi"/>
          <w:szCs w:val="22"/>
        </w:rPr>
      </w:pPr>
      <w:r>
        <w:t>15.</w:t>
      </w:r>
      <w:r>
        <w:tab/>
        <w:t>Bank accounts for public money etc., restrictions on</w:t>
      </w:r>
      <w:r>
        <w:tab/>
      </w:r>
      <w:r>
        <w:fldChar w:fldCharType="begin"/>
      </w:r>
      <w:r>
        <w:instrText xml:space="preserve"> PAGEREF _Toc14686301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3 — Agency special purpose accounts</w:t>
      </w:r>
    </w:p>
    <w:p>
      <w:pPr>
        <w:pStyle w:val="TOC8"/>
        <w:rPr>
          <w:rFonts w:asciiTheme="minorHAnsi" w:eastAsiaTheme="minorEastAsia" w:hAnsiTheme="minorHAnsi" w:cstheme="minorBidi"/>
          <w:szCs w:val="22"/>
        </w:rPr>
      </w:pPr>
      <w:r>
        <w:t>16.</w:t>
      </w:r>
      <w:r>
        <w:tab/>
        <w:t>Agency special purpose accounts</w:t>
      </w:r>
      <w:r>
        <w:tab/>
      </w:r>
      <w:r>
        <w:fldChar w:fldCharType="begin"/>
      </w:r>
      <w:r>
        <w:instrText xml:space="preserve"> PAGEREF _Toc14686303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Administration of special purpose accounts</w:t>
      </w:r>
    </w:p>
    <w:p>
      <w:pPr>
        <w:pStyle w:val="TOC8"/>
        <w:rPr>
          <w:rFonts w:asciiTheme="minorHAnsi" w:eastAsiaTheme="minorEastAsia" w:hAnsiTheme="minorHAnsi" w:cstheme="minorBidi"/>
          <w:szCs w:val="22"/>
        </w:rPr>
      </w:pPr>
      <w:r>
        <w:t>17.</w:t>
      </w:r>
      <w:r>
        <w:tab/>
        <w:t>Special purpose statements and trust statements for accounts, preparation of etc.</w:t>
      </w:r>
      <w:r>
        <w:tab/>
      </w:r>
      <w:r>
        <w:fldChar w:fldCharType="begin"/>
      </w:r>
      <w:r>
        <w:instrText xml:space="preserve"> PAGEREF _Toc14686305 \h </w:instrText>
      </w:r>
      <w:r>
        <w:fldChar w:fldCharType="separate"/>
      </w:r>
      <w:r>
        <w:t>11</w:t>
      </w:r>
      <w:r>
        <w:fldChar w:fldCharType="end"/>
      </w:r>
    </w:p>
    <w:p>
      <w:pPr>
        <w:pStyle w:val="TOC8"/>
        <w:rPr>
          <w:rFonts w:asciiTheme="minorHAnsi" w:eastAsiaTheme="minorEastAsia" w:hAnsiTheme="minorHAnsi" w:cstheme="minorBidi"/>
          <w:szCs w:val="22"/>
        </w:rPr>
      </w:pPr>
      <w:r>
        <w:t>18.</w:t>
      </w:r>
      <w:r>
        <w:tab/>
        <w:t>Payments to and from accounts</w:t>
      </w:r>
      <w:r>
        <w:tab/>
      </w:r>
      <w:r>
        <w:fldChar w:fldCharType="begin"/>
      </w:r>
      <w:r>
        <w:instrText xml:space="preserve"> PAGEREF _Toc14686306 \h </w:instrText>
      </w:r>
      <w:r>
        <w:fldChar w:fldCharType="separate"/>
      </w:r>
      <w:r>
        <w:t>11</w:t>
      </w:r>
      <w:r>
        <w:fldChar w:fldCharType="end"/>
      </w:r>
    </w:p>
    <w:p>
      <w:pPr>
        <w:pStyle w:val="TOC8"/>
        <w:rPr>
          <w:rFonts w:asciiTheme="minorHAnsi" w:eastAsiaTheme="minorEastAsia" w:hAnsiTheme="minorHAnsi" w:cstheme="minorBidi"/>
          <w:szCs w:val="22"/>
        </w:rPr>
      </w:pPr>
      <w:r>
        <w:t>19.</w:t>
      </w:r>
      <w:r>
        <w:tab/>
        <w:t>Accounts not to be overdrawn except with Treasurer’s approval</w:t>
      </w:r>
      <w:r>
        <w:tab/>
      </w:r>
      <w:r>
        <w:fldChar w:fldCharType="begin"/>
      </w:r>
      <w:r>
        <w:instrText xml:space="preserve"> PAGEREF _Toc14686307 \h </w:instrText>
      </w:r>
      <w:r>
        <w:fldChar w:fldCharType="separate"/>
      </w:r>
      <w:r>
        <w:t>12</w:t>
      </w:r>
      <w:r>
        <w:fldChar w:fldCharType="end"/>
      </w:r>
    </w:p>
    <w:p>
      <w:pPr>
        <w:pStyle w:val="TOC8"/>
        <w:rPr>
          <w:rFonts w:asciiTheme="minorHAnsi" w:eastAsiaTheme="minorEastAsia" w:hAnsiTheme="minorHAnsi" w:cstheme="minorBidi"/>
          <w:szCs w:val="22"/>
        </w:rPr>
      </w:pPr>
      <w:r>
        <w:t>20.</w:t>
      </w:r>
      <w:r>
        <w:tab/>
        <w:t>Unrequired money in accounts, transfer of from</w:t>
      </w:r>
      <w:r>
        <w:tab/>
      </w:r>
      <w:r>
        <w:fldChar w:fldCharType="begin"/>
      </w:r>
      <w:r>
        <w:instrText xml:space="preserve"> PAGEREF _Toc14686308 \h </w:instrText>
      </w:r>
      <w:r>
        <w:fldChar w:fldCharType="separate"/>
      </w:r>
      <w:r>
        <w:t>12</w:t>
      </w:r>
      <w:r>
        <w:fldChar w:fldCharType="end"/>
      </w:r>
    </w:p>
    <w:p>
      <w:pPr>
        <w:pStyle w:val="TOC8"/>
        <w:rPr>
          <w:rFonts w:asciiTheme="minorHAnsi" w:eastAsiaTheme="minorEastAsia" w:hAnsiTheme="minorHAnsi" w:cstheme="minorBidi"/>
          <w:szCs w:val="22"/>
        </w:rPr>
      </w:pPr>
      <w:r>
        <w:t>21.</w:t>
      </w:r>
      <w:r>
        <w:tab/>
        <w:t>Closing accounts and consequences of</w:t>
      </w:r>
      <w:r>
        <w:tab/>
      </w:r>
      <w:r>
        <w:fldChar w:fldCharType="begin"/>
      </w:r>
      <w:r>
        <w:instrText xml:space="preserve"> PAGEREF _Toc14686309 \h </w:instrText>
      </w:r>
      <w:r>
        <w:fldChar w:fldCharType="separate"/>
      </w:r>
      <w:r>
        <w:t>12</w:t>
      </w:r>
      <w:r>
        <w:fldChar w:fldCharType="end"/>
      </w:r>
    </w:p>
    <w:p>
      <w:pPr>
        <w:pStyle w:val="TOC8"/>
        <w:rPr>
          <w:rFonts w:asciiTheme="minorHAnsi" w:eastAsiaTheme="minorEastAsia" w:hAnsiTheme="minorHAnsi" w:cstheme="minorBidi"/>
          <w:szCs w:val="22"/>
        </w:rPr>
      </w:pPr>
      <w:r>
        <w:t>22.</w:t>
      </w:r>
      <w:r>
        <w:tab/>
        <w:t>Other written laws not affected by this Division</w:t>
      </w:r>
      <w:r>
        <w:tab/>
      </w:r>
      <w:r>
        <w:fldChar w:fldCharType="begin"/>
      </w:r>
      <w:r>
        <w:instrText xml:space="preserve"> PAGEREF _Toc14686310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3 — Funds management</w:t>
      </w:r>
    </w:p>
    <w:p>
      <w:pPr>
        <w:pStyle w:val="TOC4"/>
        <w:tabs>
          <w:tab w:val="right" w:leader="dot" w:pos="7077"/>
        </w:tabs>
        <w:rPr>
          <w:rFonts w:asciiTheme="minorHAnsi" w:eastAsiaTheme="minorEastAsia" w:hAnsiTheme="minorHAnsi" w:cstheme="minorBidi"/>
          <w:b w:val="0"/>
          <w:szCs w:val="22"/>
        </w:rPr>
      </w:pPr>
      <w:r>
        <w:t>Division 1 — Supply and appropriation</w:t>
      </w:r>
    </w:p>
    <w:p>
      <w:pPr>
        <w:pStyle w:val="TOC8"/>
        <w:rPr>
          <w:rFonts w:asciiTheme="minorHAnsi" w:eastAsiaTheme="minorEastAsia" w:hAnsiTheme="minorHAnsi" w:cstheme="minorBidi"/>
          <w:szCs w:val="22"/>
        </w:rPr>
      </w:pPr>
      <w:r>
        <w:t>23.</w:t>
      </w:r>
      <w:r>
        <w:tab/>
        <w:t>Money received by agency, agency may retain in certain cases</w:t>
      </w:r>
      <w:r>
        <w:tab/>
      </w:r>
      <w:r>
        <w:fldChar w:fldCharType="begin"/>
      </w:r>
      <w:r>
        <w:instrText xml:space="preserve"> PAGEREF _Toc14686313 \h </w:instrText>
      </w:r>
      <w:r>
        <w:fldChar w:fldCharType="separate"/>
      </w:r>
      <w:r>
        <w:t>14</w:t>
      </w:r>
      <w:r>
        <w:fldChar w:fldCharType="end"/>
      </w:r>
    </w:p>
    <w:p>
      <w:pPr>
        <w:pStyle w:val="TOC8"/>
        <w:rPr>
          <w:rFonts w:asciiTheme="minorHAnsi" w:eastAsiaTheme="minorEastAsia" w:hAnsiTheme="minorHAnsi" w:cstheme="minorBidi"/>
          <w:szCs w:val="22"/>
        </w:rPr>
      </w:pPr>
      <w:r>
        <w:t>24.</w:t>
      </w:r>
      <w:r>
        <w:tab/>
        <w:t>Payments before supply granted, Treasurer’s powers to make etc.</w:t>
      </w:r>
      <w:r>
        <w:tab/>
      </w:r>
      <w:r>
        <w:fldChar w:fldCharType="begin"/>
      </w:r>
      <w:r>
        <w:instrText xml:space="preserve"> PAGEREF _Toc14686314 \h </w:instrText>
      </w:r>
      <w:r>
        <w:fldChar w:fldCharType="separate"/>
      </w:r>
      <w:r>
        <w:t>15</w:t>
      </w:r>
      <w:r>
        <w:fldChar w:fldCharType="end"/>
      </w:r>
    </w:p>
    <w:p>
      <w:pPr>
        <w:pStyle w:val="TOC8"/>
        <w:rPr>
          <w:rFonts w:asciiTheme="minorHAnsi" w:eastAsiaTheme="minorEastAsia" w:hAnsiTheme="minorHAnsi" w:cstheme="minorBidi"/>
          <w:szCs w:val="22"/>
        </w:rPr>
      </w:pPr>
      <w:r>
        <w:t>25.</w:t>
      </w:r>
      <w:r>
        <w:tab/>
        <w:t>Appropriations, saving and transfer of in certain cases</w:t>
      </w:r>
      <w:r>
        <w:tab/>
      </w:r>
      <w:r>
        <w:fldChar w:fldCharType="begin"/>
      </w:r>
      <w:r>
        <w:instrText xml:space="preserve"> PAGEREF _Toc14686315 \h </w:instrText>
      </w:r>
      <w:r>
        <w:fldChar w:fldCharType="separate"/>
      </w:r>
      <w:r>
        <w:t>16</w:t>
      </w:r>
      <w:r>
        <w:fldChar w:fldCharType="end"/>
      </w:r>
    </w:p>
    <w:p>
      <w:pPr>
        <w:pStyle w:val="TOC8"/>
        <w:rPr>
          <w:rFonts w:asciiTheme="minorHAnsi" w:eastAsiaTheme="minorEastAsia" w:hAnsiTheme="minorHAnsi" w:cstheme="minorBidi"/>
          <w:szCs w:val="22"/>
        </w:rPr>
      </w:pPr>
      <w:r>
        <w:t>26.</w:t>
      </w:r>
      <w:r>
        <w:tab/>
        <w:t>Appropriations, transfer of to suspense account in certain cases</w:t>
      </w:r>
      <w:r>
        <w:tab/>
      </w:r>
      <w:r>
        <w:fldChar w:fldCharType="begin"/>
      </w:r>
      <w:r>
        <w:instrText xml:space="preserve"> PAGEREF _Toc14686316 \h </w:instrText>
      </w:r>
      <w:r>
        <w:fldChar w:fldCharType="separate"/>
      </w:r>
      <w:r>
        <w:t>17</w:t>
      </w:r>
      <w:r>
        <w:fldChar w:fldCharType="end"/>
      </w:r>
    </w:p>
    <w:p>
      <w:pPr>
        <w:pStyle w:val="TOC8"/>
        <w:rPr>
          <w:rFonts w:asciiTheme="minorHAnsi" w:eastAsiaTheme="minorEastAsia" w:hAnsiTheme="minorHAnsi" w:cstheme="minorBidi"/>
          <w:szCs w:val="22"/>
        </w:rPr>
      </w:pPr>
      <w:r>
        <w:t>27.</w:t>
      </w:r>
      <w:r>
        <w:tab/>
        <w:t>Expenditure for extraordinary etc. matters without appropriation</w:t>
      </w:r>
      <w:r>
        <w:tab/>
      </w:r>
      <w:r>
        <w:fldChar w:fldCharType="begin"/>
      </w:r>
      <w:r>
        <w:instrText xml:space="preserve"> PAGEREF _Toc14686317 \h </w:instrText>
      </w:r>
      <w:r>
        <w:fldChar w:fldCharType="separate"/>
      </w:r>
      <w:r>
        <w:t>18</w:t>
      </w:r>
      <w:r>
        <w:fldChar w:fldCharType="end"/>
      </w:r>
    </w:p>
    <w:p>
      <w:pPr>
        <w:pStyle w:val="TOC8"/>
        <w:rPr>
          <w:rFonts w:asciiTheme="minorHAnsi" w:eastAsiaTheme="minorEastAsia" w:hAnsiTheme="minorHAnsi" w:cstheme="minorBidi"/>
          <w:szCs w:val="22"/>
        </w:rPr>
      </w:pPr>
      <w:r>
        <w:t>28.</w:t>
      </w:r>
      <w:r>
        <w:tab/>
        <w:t>Advances, Treasurer may authorise etc.</w:t>
      </w:r>
      <w:r>
        <w:tab/>
      </w:r>
      <w:r>
        <w:fldChar w:fldCharType="begin"/>
      </w:r>
      <w:r>
        <w:instrText xml:space="preserve"> PAGEREF _Toc14686318 \h </w:instrText>
      </w:r>
      <w:r>
        <w:fldChar w:fldCharType="separate"/>
      </w:r>
      <w:r>
        <w:t>18</w:t>
      </w:r>
      <w:r>
        <w:fldChar w:fldCharType="end"/>
      </w:r>
    </w:p>
    <w:p>
      <w:pPr>
        <w:pStyle w:val="TOC8"/>
        <w:rPr>
          <w:rFonts w:asciiTheme="minorHAnsi" w:eastAsiaTheme="minorEastAsia" w:hAnsiTheme="minorHAnsi" w:cstheme="minorBidi"/>
          <w:szCs w:val="22"/>
        </w:rPr>
      </w:pPr>
      <w:r>
        <w:t>29.</w:t>
      </w:r>
      <w:r>
        <w:tab/>
        <w:t>Expenditure under s. 27 and 28 limited</w:t>
      </w:r>
      <w:r>
        <w:tab/>
      </w:r>
      <w:r>
        <w:fldChar w:fldCharType="begin"/>
      </w:r>
      <w:r>
        <w:instrText xml:space="preserve"> PAGEREF _Toc14686319 \h </w:instrText>
      </w:r>
      <w:r>
        <w:fldChar w:fldCharType="separate"/>
      </w:r>
      <w:r>
        <w:t>20</w:t>
      </w:r>
      <w:r>
        <w:fldChar w:fldCharType="end"/>
      </w:r>
    </w:p>
    <w:p>
      <w:pPr>
        <w:pStyle w:val="TOC8"/>
        <w:rPr>
          <w:rFonts w:asciiTheme="minorHAnsi" w:eastAsiaTheme="minorEastAsia" w:hAnsiTheme="minorHAnsi" w:cstheme="minorBidi"/>
          <w:szCs w:val="22"/>
        </w:rPr>
      </w:pPr>
      <w:r>
        <w:t>30.</w:t>
      </w:r>
      <w:r>
        <w:tab/>
        <w:t>Unexpended appropriations lapse</w:t>
      </w:r>
      <w:r>
        <w:tab/>
      </w:r>
      <w:r>
        <w:fldChar w:fldCharType="begin"/>
      </w:r>
      <w:r>
        <w:instrText xml:space="preserve"> PAGEREF _Toc14686320 \h </w:instrText>
      </w:r>
      <w:r>
        <w:fldChar w:fldCharType="separate"/>
      </w:r>
      <w:r>
        <w:t>20</w:t>
      </w:r>
      <w:r>
        <w:fldChar w:fldCharType="end"/>
      </w:r>
    </w:p>
    <w:p>
      <w:pPr>
        <w:pStyle w:val="TOC8"/>
        <w:rPr>
          <w:rFonts w:asciiTheme="minorHAnsi" w:eastAsiaTheme="minorEastAsia" w:hAnsiTheme="minorHAnsi" w:cstheme="minorBidi"/>
          <w:szCs w:val="22"/>
        </w:rPr>
      </w:pPr>
      <w:r>
        <w:t>31.</w:t>
      </w:r>
      <w:r>
        <w:tab/>
        <w:t>Public Bank Account Interest Earned Account, application of money in</w:t>
      </w:r>
      <w:r>
        <w:tab/>
      </w:r>
      <w:r>
        <w:fldChar w:fldCharType="begin"/>
      </w:r>
      <w:r>
        <w:instrText xml:space="preserve"> PAGEREF _Toc14686321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Payments and transfers</w:t>
      </w:r>
    </w:p>
    <w:p>
      <w:pPr>
        <w:pStyle w:val="TOC8"/>
        <w:rPr>
          <w:rFonts w:asciiTheme="minorHAnsi" w:eastAsiaTheme="minorEastAsia" w:hAnsiTheme="minorHAnsi" w:cstheme="minorBidi"/>
          <w:szCs w:val="22"/>
        </w:rPr>
      </w:pPr>
      <w:r>
        <w:t>32.</w:t>
      </w:r>
      <w:r>
        <w:tab/>
        <w:t>Certain payments and transfers to be authorised</w:t>
      </w:r>
      <w:r>
        <w:tab/>
      </w:r>
      <w:r>
        <w:fldChar w:fldCharType="begin"/>
      </w:r>
      <w:r>
        <w:instrText xml:space="preserve"> PAGEREF _Toc14686323 \h </w:instrText>
      </w:r>
      <w:r>
        <w:fldChar w:fldCharType="separate"/>
      </w:r>
      <w:r>
        <w:t>21</w:t>
      </w:r>
      <w:r>
        <w:fldChar w:fldCharType="end"/>
      </w:r>
    </w:p>
    <w:p>
      <w:pPr>
        <w:pStyle w:val="TOC8"/>
        <w:rPr>
          <w:rFonts w:asciiTheme="minorHAnsi" w:eastAsiaTheme="minorEastAsia" w:hAnsiTheme="minorHAnsi" w:cstheme="minorBidi"/>
          <w:szCs w:val="22"/>
        </w:rPr>
      </w:pPr>
      <w:r>
        <w:t>33.</w:t>
      </w:r>
      <w:r>
        <w:tab/>
        <w:t>Consolidated Account, payments from to be under Governor’s warrant etc.</w:t>
      </w:r>
      <w:r>
        <w:tab/>
      </w:r>
      <w:r>
        <w:fldChar w:fldCharType="begin"/>
      </w:r>
      <w:r>
        <w:instrText xml:space="preserve"> PAGEREF _Toc14686324 \h </w:instrText>
      </w:r>
      <w:r>
        <w:fldChar w:fldCharType="separate"/>
      </w:r>
      <w:r>
        <w:t>22</w:t>
      </w:r>
      <w:r>
        <w:fldChar w:fldCharType="end"/>
      </w:r>
    </w:p>
    <w:p>
      <w:pPr>
        <w:pStyle w:val="TOC8"/>
        <w:rPr>
          <w:rFonts w:asciiTheme="minorHAnsi" w:eastAsiaTheme="minorEastAsia" w:hAnsiTheme="minorHAnsi" w:cstheme="minorBidi"/>
          <w:szCs w:val="22"/>
        </w:rPr>
      </w:pPr>
      <w:r>
        <w:t>34.</w:t>
      </w:r>
      <w:r>
        <w:tab/>
        <w:t>Public etc. money received, how to be dealt with</w:t>
      </w:r>
      <w:r>
        <w:tab/>
      </w:r>
      <w:r>
        <w:fldChar w:fldCharType="begin"/>
      </w:r>
      <w:r>
        <w:instrText xml:space="preserve"> PAGEREF _Toc14686325 \h </w:instrText>
      </w:r>
      <w:r>
        <w:fldChar w:fldCharType="separate"/>
      </w:r>
      <w:r>
        <w:t>22</w:t>
      </w:r>
      <w:r>
        <w:fldChar w:fldCharType="end"/>
      </w:r>
    </w:p>
    <w:p>
      <w:pPr>
        <w:pStyle w:val="TOC8"/>
        <w:rPr>
          <w:rFonts w:asciiTheme="minorHAnsi" w:eastAsiaTheme="minorEastAsia" w:hAnsiTheme="minorHAnsi" w:cstheme="minorBidi"/>
          <w:szCs w:val="22"/>
        </w:rPr>
      </w:pPr>
      <w:r>
        <w:t>35.</w:t>
      </w:r>
      <w:r>
        <w:tab/>
        <w:t>Public Bank Account, how payments into to be credited</w:t>
      </w:r>
      <w:r>
        <w:tab/>
      </w:r>
      <w:r>
        <w:fldChar w:fldCharType="begin"/>
      </w:r>
      <w:r>
        <w:instrText xml:space="preserve"> PAGEREF _Toc14686326 \h </w:instrText>
      </w:r>
      <w:r>
        <w:fldChar w:fldCharType="separate"/>
      </w:r>
      <w:r>
        <w:t>22</w:t>
      </w:r>
      <w:r>
        <w:fldChar w:fldCharType="end"/>
      </w:r>
    </w:p>
    <w:p>
      <w:pPr>
        <w:pStyle w:val="TOC8"/>
        <w:rPr>
          <w:rFonts w:asciiTheme="minorHAnsi" w:eastAsiaTheme="minorEastAsia" w:hAnsiTheme="minorHAnsi" w:cstheme="minorBidi"/>
          <w:szCs w:val="22"/>
        </w:rPr>
      </w:pPr>
      <w:r>
        <w:t>36.</w:t>
      </w:r>
      <w:r>
        <w:tab/>
        <w:t>Other money, how to be dealt with</w:t>
      </w:r>
      <w:r>
        <w:tab/>
      </w:r>
      <w:r>
        <w:fldChar w:fldCharType="begin"/>
      </w:r>
      <w:r>
        <w:instrText xml:space="preserve"> PAGEREF _Toc14686327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Investments</w:t>
      </w:r>
    </w:p>
    <w:p>
      <w:pPr>
        <w:pStyle w:val="TOC8"/>
        <w:rPr>
          <w:rFonts w:asciiTheme="minorHAnsi" w:eastAsiaTheme="minorEastAsia" w:hAnsiTheme="minorHAnsi" w:cstheme="minorBidi"/>
          <w:szCs w:val="22"/>
        </w:rPr>
      </w:pPr>
      <w:r>
        <w:t>37.</w:t>
      </w:r>
      <w:r>
        <w:tab/>
        <w:t>Public Bank Account, investment of</w:t>
      </w:r>
      <w:r>
        <w:tab/>
      </w:r>
      <w:r>
        <w:fldChar w:fldCharType="begin"/>
      </w:r>
      <w:r>
        <w:instrText xml:space="preserve"> PAGEREF _Toc14686329 \h </w:instrText>
      </w:r>
      <w:r>
        <w:fldChar w:fldCharType="separate"/>
      </w:r>
      <w:r>
        <w:t>24</w:t>
      </w:r>
      <w:r>
        <w:fldChar w:fldCharType="end"/>
      </w:r>
    </w:p>
    <w:p>
      <w:pPr>
        <w:pStyle w:val="TOC8"/>
        <w:rPr>
          <w:rFonts w:asciiTheme="minorHAnsi" w:eastAsiaTheme="minorEastAsia" w:hAnsiTheme="minorHAnsi" w:cstheme="minorBidi"/>
          <w:szCs w:val="22"/>
        </w:rPr>
      </w:pPr>
      <w:r>
        <w:t>38.</w:t>
      </w:r>
      <w:r>
        <w:tab/>
        <w:t>Investment under s. 37, application of proceeds of</w:t>
      </w:r>
      <w:r>
        <w:tab/>
      </w:r>
      <w:r>
        <w:fldChar w:fldCharType="begin"/>
      </w:r>
      <w:r>
        <w:instrText xml:space="preserve"> PAGEREF _Toc14686330 \h </w:instrText>
      </w:r>
      <w:r>
        <w:fldChar w:fldCharType="separate"/>
      </w:r>
      <w:r>
        <w:t>24</w:t>
      </w:r>
      <w:r>
        <w:fldChar w:fldCharType="end"/>
      </w:r>
    </w:p>
    <w:p>
      <w:pPr>
        <w:pStyle w:val="TOC8"/>
        <w:rPr>
          <w:rFonts w:asciiTheme="minorHAnsi" w:eastAsiaTheme="minorEastAsia" w:hAnsiTheme="minorHAnsi" w:cstheme="minorBidi"/>
          <w:szCs w:val="22"/>
        </w:rPr>
      </w:pPr>
      <w:r>
        <w:lastRenderedPageBreak/>
        <w:t>39.</w:t>
      </w:r>
      <w:r>
        <w:tab/>
        <w:t>Investment by agencies</w:t>
      </w:r>
      <w:r>
        <w:tab/>
      </w:r>
      <w:r>
        <w:fldChar w:fldCharType="begin"/>
      </w:r>
      <w:r>
        <w:instrText xml:space="preserve"> PAGEREF _Toc14686331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4 — Annual estimates of statutory authorities</w:t>
      </w:r>
    </w:p>
    <w:p>
      <w:pPr>
        <w:pStyle w:val="TOC8"/>
        <w:rPr>
          <w:rFonts w:asciiTheme="minorHAnsi" w:eastAsiaTheme="minorEastAsia" w:hAnsiTheme="minorHAnsi" w:cstheme="minorBidi"/>
          <w:szCs w:val="22"/>
        </w:rPr>
      </w:pPr>
      <w:r>
        <w:t>40.</w:t>
      </w:r>
      <w:r>
        <w:tab/>
        <w:t>Annual estimates, preparation of etc.</w:t>
      </w:r>
      <w:r>
        <w:tab/>
      </w:r>
      <w:r>
        <w:fldChar w:fldCharType="begin"/>
      </w:r>
      <w:r>
        <w:instrText xml:space="preserve"> PAGEREF _Toc14686333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5 — Resource agreements</w:t>
      </w:r>
    </w:p>
    <w:p>
      <w:pPr>
        <w:pStyle w:val="TOC8"/>
        <w:rPr>
          <w:rFonts w:asciiTheme="minorHAnsi" w:eastAsiaTheme="minorEastAsia" w:hAnsiTheme="minorHAnsi" w:cstheme="minorBidi"/>
          <w:szCs w:val="22"/>
        </w:rPr>
      </w:pPr>
      <w:r>
        <w:t>41.</w:t>
      </w:r>
      <w:r>
        <w:tab/>
        <w:t>Draft resource agreements, when required etc.</w:t>
      </w:r>
      <w:r>
        <w:tab/>
      </w:r>
      <w:r>
        <w:fldChar w:fldCharType="begin"/>
      </w:r>
      <w:r>
        <w:instrText xml:space="preserve"> PAGEREF _Toc14686335 \h </w:instrText>
      </w:r>
      <w:r>
        <w:fldChar w:fldCharType="separate"/>
      </w:r>
      <w:r>
        <w:t>27</w:t>
      </w:r>
      <w:r>
        <w:fldChar w:fldCharType="end"/>
      </w:r>
    </w:p>
    <w:p>
      <w:pPr>
        <w:pStyle w:val="TOC8"/>
        <w:rPr>
          <w:rFonts w:asciiTheme="minorHAnsi" w:eastAsiaTheme="minorEastAsia" w:hAnsiTheme="minorHAnsi" w:cstheme="minorBidi"/>
          <w:szCs w:val="22"/>
        </w:rPr>
      </w:pPr>
      <w:r>
        <w:t>42.</w:t>
      </w:r>
      <w:r>
        <w:tab/>
        <w:t>Period to which resource agreements relate</w:t>
      </w:r>
      <w:r>
        <w:tab/>
      </w:r>
      <w:r>
        <w:fldChar w:fldCharType="begin"/>
      </w:r>
      <w:r>
        <w:instrText xml:space="preserve"> PAGEREF _Toc14686336 \h </w:instrText>
      </w:r>
      <w:r>
        <w:fldChar w:fldCharType="separate"/>
      </w:r>
      <w:r>
        <w:t>28</w:t>
      </w:r>
      <w:r>
        <w:fldChar w:fldCharType="end"/>
      </w:r>
    </w:p>
    <w:p>
      <w:pPr>
        <w:pStyle w:val="TOC8"/>
        <w:rPr>
          <w:rFonts w:asciiTheme="minorHAnsi" w:eastAsiaTheme="minorEastAsia" w:hAnsiTheme="minorHAnsi" w:cstheme="minorBidi"/>
          <w:szCs w:val="22"/>
        </w:rPr>
      </w:pPr>
      <w:r>
        <w:t>43.</w:t>
      </w:r>
      <w:r>
        <w:tab/>
        <w:t>Content of resource agreements</w:t>
      </w:r>
      <w:r>
        <w:tab/>
      </w:r>
      <w:r>
        <w:fldChar w:fldCharType="begin"/>
      </w:r>
      <w:r>
        <w:instrText xml:space="preserve"> PAGEREF _Toc14686337 \h </w:instrText>
      </w:r>
      <w:r>
        <w:fldChar w:fldCharType="separate"/>
      </w:r>
      <w:r>
        <w:t>28</w:t>
      </w:r>
      <w:r>
        <w:fldChar w:fldCharType="end"/>
      </w:r>
    </w:p>
    <w:p>
      <w:pPr>
        <w:pStyle w:val="TOC8"/>
        <w:rPr>
          <w:rFonts w:asciiTheme="minorHAnsi" w:eastAsiaTheme="minorEastAsia" w:hAnsiTheme="minorHAnsi" w:cstheme="minorBidi"/>
          <w:szCs w:val="22"/>
        </w:rPr>
      </w:pPr>
      <w:r>
        <w:t>44.</w:t>
      </w:r>
      <w:r>
        <w:tab/>
        <w:t>When resource agreements to be agreed if possible</w:t>
      </w:r>
      <w:r>
        <w:tab/>
      </w:r>
      <w:r>
        <w:fldChar w:fldCharType="begin"/>
      </w:r>
      <w:r>
        <w:instrText xml:space="preserve"> PAGEREF _Toc14686338 \h </w:instrText>
      </w:r>
      <w:r>
        <w:fldChar w:fldCharType="separate"/>
      </w:r>
      <w:r>
        <w:t>28</w:t>
      </w:r>
      <w:r>
        <w:fldChar w:fldCharType="end"/>
      </w:r>
    </w:p>
    <w:p>
      <w:pPr>
        <w:pStyle w:val="TOC8"/>
        <w:rPr>
          <w:rFonts w:asciiTheme="minorHAnsi" w:eastAsiaTheme="minorEastAsia" w:hAnsiTheme="minorHAnsi" w:cstheme="minorBidi"/>
          <w:szCs w:val="22"/>
        </w:rPr>
      </w:pPr>
      <w:r>
        <w:t>45.</w:t>
      </w:r>
      <w:r>
        <w:tab/>
        <w:t>Draft resource agreements, Treasurer’s powers as to</w:t>
      </w:r>
      <w:r>
        <w:tab/>
      </w:r>
      <w:r>
        <w:fldChar w:fldCharType="begin"/>
      </w:r>
      <w:r>
        <w:instrText xml:space="preserve"> PAGEREF _Toc14686339 \h </w:instrText>
      </w:r>
      <w:r>
        <w:fldChar w:fldCharType="separate"/>
      </w:r>
      <w:r>
        <w:t>28</w:t>
      </w:r>
      <w:r>
        <w:fldChar w:fldCharType="end"/>
      </w:r>
    </w:p>
    <w:p>
      <w:pPr>
        <w:pStyle w:val="TOC8"/>
        <w:rPr>
          <w:rFonts w:asciiTheme="minorHAnsi" w:eastAsiaTheme="minorEastAsia" w:hAnsiTheme="minorHAnsi" w:cstheme="minorBidi"/>
          <w:szCs w:val="22"/>
        </w:rPr>
      </w:pPr>
      <w:r>
        <w:t>46.</w:t>
      </w:r>
      <w:r>
        <w:tab/>
        <w:t>Draft resource agreements, agreeing on</w:t>
      </w:r>
      <w:r>
        <w:tab/>
      </w:r>
      <w:r>
        <w:fldChar w:fldCharType="begin"/>
      </w:r>
      <w:r>
        <w:instrText xml:space="preserve"> PAGEREF _Toc14686340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6 — Write</w:t>
      </w:r>
      <w:r>
        <w:noBreakHyphen/>
        <w:t>offs and recoveries</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_Toc14686342 \h </w:instrText>
      </w:r>
      <w:r>
        <w:fldChar w:fldCharType="separate"/>
      </w:r>
      <w:r>
        <w:t>29</w:t>
      </w:r>
      <w:r>
        <w:fldChar w:fldCharType="end"/>
      </w:r>
    </w:p>
    <w:p>
      <w:pPr>
        <w:pStyle w:val="TOC8"/>
        <w:rPr>
          <w:rFonts w:asciiTheme="minorHAnsi" w:eastAsiaTheme="minorEastAsia" w:hAnsiTheme="minorHAnsi" w:cstheme="minorBidi"/>
          <w:szCs w:val="22"/>
        </w:rPr>
      </w:pPr>
      <w:r>
        <w:t>48.</w:t>
      </w:r>
      <w:r>
        <w:tab/>
        <w:t>Write</w:t>
      </w:r>
      <w:r>
        <w:noBreakHyphen/>
        <w:t>offs</w:t>
      </w:r>
      <w:r>
        <w:tab/>
      </w:r>
      <w:r>
        <w:fldChar w:fldCharType="begin"/>
      </w:r>
      <w:r>
        <w:instrText xml:space="preserve"> PAGEREF _Toc14686343 \h </w:instrText>
      </w:r>
      <w:r>
        <w:fldChar w:fldCharType="separate"/>
      </w:r>
      <w:r>
        <w:t>30</w:t>
      </w:r>
      <w:r>
        <w:fldChar w:fldCharType="end"/>
      </w:r>
    </w:p>
    <w:p>
      <w:pPr>
        <w:pStyle w:val="TOC8"/>
        <w:rPr>
          <w:rFonts w:asciiTheme="minorHAnsi" w:eastAsiaTheme="minorEastAsia" w:hAnsiTheme="minorHAnsi" w:cstheme="minorBidi"/>
          <w:szCs w:val="22"/>
        </w:rPr>
      </w:pPr>
      <w:r>
        <w:t>49.</w:t>
      </w:r>
      <w:r>
        <w:tab/>
        <w:t>Loss of official money or property, liability of officers for</w:t>
      </w:r>
      <w:r>
        <w:tab/>
      </w:r>
      <w:r>
        <w:fldChar w:fldCharType="begin"/>
      </w:r>
      <w:r>
        <w:instrText xml:space="preserve"> PAGEREF _Toc14686344 \h </w:instrText>
      </w:r>
      <w:r>
        <w:fldChar w:fldCharType="separate"/>
      </w:r>
      <w:r>
        <w:t>31</w:t>
      </w:r>
      <w:r>
        <w:fldChar w:fldCharType="end"/>
      </w:r>
    </w:p>
    <w:p>
      <w:pPr>
        <w:pStyle w:val="TOC8"/>
        <w:rPr>
          <w:rFonts w:asciiTheme="minorHAnsi" w:eastAsiaTheme="minorEastAsia" w:hAnsiTheme="minorHAnsi" w:cstheme="minorBidi"/>
          <w:szCs w:val="22"/>
        </w:rPr>
      </w:pPr>
      <w:r>
        <w:t>50.</w:t>
      </w:r>
      <w:r>
        <w:tab/>
        <w:t>Recovering amounts from officers liable under s. 49</w:t>
      </w:r>
      <w:r>
        <w:tab/>
      </w:r>
      <w:r>
        <w:fldChar w:fldCharType="begin"/>
      </w:r>
      <w:r>
        <w:instrText xml:space="preserve"> PAGEREF _Toc14686345 \h </w:instrText>
      </w:r>
      <w:r>
        <w:fldChar w:fldCharType="separate"/>
      </w:r>
      <w:r>
        <w:t>32</w:t>
      </w:r>
      <w:r>
        <w:fldChar w:fldCharType="end"/>
      </w:r>
    </w:p>
    <w:p>
      <w:pPr>
        <w:pStyle w:val="TOC8"/>
        <w:rPr>
          <w:rFonts w:asciiTheme="minorHAnsi" w:eastAsiaTheme="minorEastAsia" w:hAnsiTheme="minorHAnsi" w:cstheme="minorBidi"/>
          <w:szCs w:val="22"/>
        </w:rPr>
      </w:pPr>
      <w:r>
        <w:t>51.</w:t>
      </w:r>
      <w:r>
        <w:tab/>
        <w:t>Official losses, investigating</w:t>
      </w:r>
      <w:r>
        <w:tab/>
      </w:r>
      <w:r>
        <w:fldChar w:fldCharType="begin"/>
      </w:r>
      <w:r>
        <w:instrText xml:space="preserve"> PAGEREF _Toc14686346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4 — Accountable authorities</w:t>
      </w:r>
    </w:p>
    <w:p>
      <w:pPr>
        <w:pStyle w:val="TOC8"/>
        <w:rPr>
          <w:rFonts w:asciiTheme="minorHAnsi" w:eastAsiaTheme="minorEastAsia" w:hAnsiTheme="minorHAnsi" w:cstheme="minorBidi"/>
          <w:szCs w:val="22"/>
        </w:rPr>
      </w:pPr>
      <w:r>
        <w:t>52.</w:t>
      </w:r>
      <w:r>
        <w:tab/>
        <w:t>Each agency to have accountable authority</w:t>
      </w:r>
      <w:r>
        <w:tab/>
      </w:r>
      <w:r>
        <w:fldChar w:fldCharType="begin"/>
      </w:r>
      <w:r>
        <w:instrText xml:space="preserve"> PAGEREF _Toc14686348 \h </w:instrText>
      </w:r>
      <w:r>
        <w:fldChar w:fldCharType="separate"/>
      </w:r>
      <w:r>
        <w:t>35</w:t>
      </w:r>
      <w:r>
        <w:fldChar w:fldCharType="end"/>
      </w:r>
    </w:p>
    <w:p>
      <w:pPr>
        <w:pStyle w:val="TOC8"/>
        <w:rPr>
          <w:rFonts w:asciiTheme="minorHAnsi" w:eastAsiaTheme="minorEastAsia" w:hAnsiTheme="minorHAnsi" w:cstheme="minorBidi"/>
          <w:szCs w:val="22"/>
        </w:rPr>
      </w:pPr>
      <w:r>
        <w:t>53.</w:t>
      </w:r>
      <w:r>
        <w:tab/>
        <w:t>Functions of accountable authorities</w:t>
      </w:r>
      <w:r>
        <w:tab/>
      </w:r>
      <w:r>
        <w:fldChar w:fldCharType="begin"/>
      </w:r>
      <w:r>
        <w:instrText xml:space="preserve"> PAGEREF _Toc14686349 \h </w:instrText>
      </w:r>
      <w:r>
        <w:fldChar w:fldCharType="separate"/>
      </w:r>
      <w:r>
        <w:t>35</w:t>
      </w:r>
      <w:r>
        <w:fldChar w:fldCharType="end"/>
      </w:r>
    </w:p>
    <w:p>
      <w:pPr>
        <w:pStyle w:val="TOC8"/>
        <w:rPr>
          <w:rFonts w:asciiTheme="minorHAnsi" w:eastAsiaTheme="minorEastAsia" w:hAnsiTheme="minorHAnsi" w:cstheme="minorBidi"/>
          <w:szCs w:val="22"/>
        </w:rPr>
      </w:pPr>
      <w:r>
        <w:t>54.</w:t>
      </w:r>
      <w:r>
        <w:tab/>
        <w:t>Department, who is accountable authority of etc.</w:t>
      </w:r>
      <w:r>
        <w:tab/>
      </w:r>
      <w:r>
        <w:fldChar w:fldCharType="begin"/>
      </w:r>
      <w:r>
        <w:instrText xml:space="preserve"> PAGEREF _Toc14686350 \h </w:instrText>
      </w:r>
      <w:r>
        <w:fldChar w:fldCharType="separate"/>
      </w:r>
      <w:r>
        <w:t>35</w:t>
      </w:r>
      <w:r>
        <w:fldChar w:fldCharType="end"/>
      </w:r>
    </w:p>
    <w:p>
      <w:pPr>
        <w:pStyle w:val="TOC8"/>
        <w:rPr>
          <w:rFonts w:asciiTheme="minorHAnsi" w:eastAsiaTheme="minorEastAsia" w:hAnsiTheme="minorHAnsi" w:cstheme="minorBidi"/>
          <w:szCs w:val="22"/>
        </w:rPr>
      </w:pPr>
      <w:r>
        <w:t>55.</w:t>
      </w:r>
      <w:r>
        <w:tab/>
        <w:t>Statutory authority, who is accountable authority of etc.</w:t>
      </w:r>
      <w:r>
        <w:tab/>
      </w:r>
      <w:r>
        <w:fldChar w:fldCharType="begin"/>
      </w:r>
      <w:r>
        <w:instrText xml:space="preserve"> PAGEREF _Toc14686351 \h </w:instrText>
      </w:r>
      <w:r>
        <w:fldChar w:fldCharType="separate"/>
      </w:r>
      <w:r>
        <w:t>36</w:t>
      </w:r>
      <w:r>
        <w:fldChar w:fldCharType="end"/>
      </w:r>
    </w:p>
    <w:p>
      <w:pPr>
        <w:pStyle w:val="TOC8"/>
        <w:rPr>
          <w:rFonts w:asciiTheme="minorHAnsi" w:eastAsiaTheme="minorEastAsia" w:hAnsiTheme="minorHAnsi" w:cstheme="minorBidi"/>
          <w:szCs w:val="22"/>
        </w:rPr>
      </w:pPr>
      <w:r>
        <w:t>56.</w:t>
      </w:r>
      <w:r>
        <w:tab/>
        <w:t>Sub-departments, entities that are and accountable authorities of</w:t>
      </w:r>
      <w:r>
        <w:tab/>
      </w:r>
      <w:r>
        <w:fldChar w:fldCharType="begin"/>
      </w:r>
      <w:r>
        <w:instrText xml:space="preserve"> PAGEREF _Toc14686352 \h </w:instrText>
      </w:r>
      <w:r>
        <w:fldChar w:fldCharType="separate"/>
      </w:r>
      <w:r>
        <w:t>36</w:t>
      </w:r>
      <w:r>
        <w:fldChar w:fldCharType="end"/>
      </w:r>
    </w:p>
    <w:p>
      <w:pPr>
        <w:pStyle w:val="TOC8"/>
        <w:rPr>
          <w:rFonts w:asciiTheme="minorHAnsi" w:eastAsiaTheme="minorEastAsia" w:hAnsiTheme="minorHAnsi" w:cstheme="minorBidi"/>
          <w:szCs w:val="22"/>
        </w:rPr>
      </w:pPr>
      <w:r>
        <w:t>57.</w:t>
      </w:r>
      <w:r>
        <w:tab/>
        <w:t>Chief finance officers, designation and functions of</w:t>
      </w:r>
      <w:r>
        <w:tab/>
      </w:r>
      <w:r>
        <w:fldChar w:fldCharType="begin"/>
      </w:r>
      <w:r>
        <w:instrText xml:space="preserve"> PAGEREF _Toc14686353 \h </w:instrText>
      </w:r>
      <w:r>
        <w:fldChar w:fldCharType="separate"/>
      </w:r>
      <w:r>
        <w:t>38</w:t>
      </w:r>
      <w:r>
        <w:fldChar w:fldCharType="end"/>
      </w:r>
    </w:p>
    <w:p>
      <w:pPr>
        <w:pStyle w:val="TOC8"/>
        <w:rPr>
          <w:rFonts w:asciiTheme="minorHAnsi" w:eastAsiaTheme="minorEastAsia" w:hAnsiTheme="minorHAnsi" w:cstheme="minorBidi"/>
          <w:szCs w:val="22"/>
        </w:rPr>
      </w:pPr>
      <w:r>
        <w:t>58.</w:t>
      </w:r>
      <w:r>
        <w:tab/>
        <w:t>Financial management system, duties of accountable authorities as to</w:t>
      </w:r>
      <w:r>
        <w:tab/>
      </w:r>
      <w:r>
        <w:fldChar w:fldCharType="begin"/>
      </w:r>
      <w:r>
        <w:instrText xml:space="preserve"> PAGEREF _Toc14686354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5 — Reports</w:t>
      </w:r>
    </w:p>
    <w:p>
      <w:pPr>
        <w:pStyle w:val="TOC4"/>
        <w:tabs>
          <w:tab w:val="right" w:leader="dot" w:pos="7077"/>
        </w:tabs>
        <w:rPr>
          <w:rFonts w:asciiTheme="minorHAnsi" w:eastAsiaTheme="minorEastAsia" w:hAnsiTheme="minorHAnsi" w:cstheme="minorBidi"/>
          <w:b w:val="0"/>
          <w:szCs w:val="22"/>
        </w:rPr>
      </w:pPr>
      <w:r>
        <w:t>Division 1 — Treasurer’s reports</w:t>
      </w:r>
    </w:p>
    <w:p>
      <w:pPr>
        <w:pStyle w:val="TOC8"/>
        <w:rPr>
          <w:rFonts w:asciiTheme="minorHAnsi" w:eastAsiaTheme="minorEastAsia" w:hAnsiTheme="minorHAnsi" w:cstheme="minorBidi"/>
          <w:szCs w:val="22"/>
        </w:rPr>
      </w:pPr>
      <w:r>
        <w:t>59.</w:t>
      </w:r>
      <w:r>
        <w:tab/>
        <w:t xml:space="preserve">Financial reports and statements, application of </w:t>
      </w:r>
      <w:r>
        <w:rPr>
          <w:i/>
          <w:iCs/>
        </w:rPr>
        <w:t>Government Financial Responsibility Act 2000</w:t>
      </w:r>
      <w:r>
        <w:tab/>
      </w:r>
      <w:r>
        <w:fldChar w:fldCharType="begin"/>
      </w:r>
      <w:r>
        <w:instrText xml:space="preserve"> PAGEREF _Toc14686357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2 — Annual reports by agencies</w:t>
      </w:r>
    </w:p>
    <w:p>
      <w:pPr>
        <w:pStyle w:val="TOC8"/>
        <w:rPr>
          <w:rFonts w:asciiTheme="minorHAnsi" w:eastAsiaTheme="minorEastAsia" w:hAnsiTheme="minorHAnsi" w:cstheme="minorBidi"/>
          <w:szCs w:val="22"/>
        </w:rPr>
      </w:pPr>
      <w:r>
        <w:t>60.</w:t>
      </w:r>
      <w:r>
        <w:tab/>
        <w:t>Terms used</w:t>
      </w:r>
      <w:r>
        <w:tab/>
      </w:r>
      <w:r>
        <w:fldChar w:fldCharType="begin"/>
      </w:r>
      <w:r>
        <w:instrText xml:space="preserve"> PAGEREF _Toc14686359 \h </w:instrText>
      </w:r>
      <w:r>
        <w:fldChar w:fldCharType="separate"/>
      </w:r>
      <w:r>
        <w:t>39</w:t>
      </w:r>
      <w:r>
        <w:fldChar w:fldCharType="end"/>
      </w:r>
    </w:p>
    <w:p>
      <w:pPr>
        <w:pStyle w:val="TOC8"/>
        <w:rPr>
          <w:rFonts w:asciiTheme="minorHAnsi" w:eastAsiaTheme="minorEastAsia" w:hAnsiTheme="minorHAnsi" w:cstheme="minorBidi"/>
          <w:szCs w:val="22"/>
        </w:rPr>
      </w:pPr>
      <w:r>
        <w:lastRenderedPageBreak/>
        <w:t>61.</w:t>
      </w:r>
      <w:r>
        <w:tab/>
        <w:t>Annual reports, contents of etc.</w:t>
      </w:r>
      <w:r>
        <w:tab/>
      </w:r>
      <w:r>
        <w:fldChar w:fldCharType="begin"/>
      </w:r>
      <w:r>
        <w:instrText xml:space="preserve"> PAGEREF _Toc14686360 \h </w:instrText>
      </w:r>
      <w:r>
        <w:fldChar w:fldCharType="separate"/>
      </w:r>
      <w:r>
        <w:t>41</w:t>
      </w:r>
      <w:r>
        <w:fldChar w:fldCharType="end"/>
      </w:r>
    </w:p>
    <w:p>
      <w:pPr>
        <w:pStyle w:val="TOC8"/>
        <w:rPr>
          <w:rFonts w:asciiTheme="minorHAnsi" w:eastAsiaTheme="minorEastAsia" w:hAnsiTheme="minorHAnsi" w:cstheme="minorBidi"/>
          <w:szCs w:val="22"/>
        </w:rPr>
      </w:pPr>
      <w:r>
        <w:t>62.</w:t>
      </w:r>
      <w:r>
        <w:tab/>
        <w:t>Financial statements for s. 61(1)(a), standards for etc.</w:t>
      </w:r>
      <w:r>
        <w:tab/>
      </w:r>
      <w:r>
        <w:fldChar w:fldCharType="begin"/>
      </w:r>
      <w:r>
        <w:instrText xml:space="preserve"> PAGEREF _Toc14686361 \h </w:instrText>
      </w:r>
      <w:r>
        <w:fldChar w:fldCharType="separate"/>
      </w:r>
      <w:r>
        <w:t>42</w:t>
      </w:r>
      <w:r>
        <w:fldChar w:fldCharType="end"/>
      </w:r>
    </w:p>
    <w:p>
      <w:pPr>
        <w:pStyle w:val="TOC8"/>
        <w:rPr>
          <w:rFonts w:asciiTheme="minorHAnsi" w:eastAsiaTheme="minorEastAsia" w:hAnsiTheme="minorHAnsi" w:cstheme="minorBidi"/>
          <w:szCs w:val="22"/>
        </w:rPr>
      </w:pPr>
      <w:r>
        <w:t>63.</w:t>
      </w:r>
      <w:r>
        <w:tab/>
        <w:t>Financial reports etc. to be submitted to Auditor General and Minister</w:t>
      </w:r>
      <w:r>
        <w:tab/>
      </w:r>
      <w:r>
        <w:fldChar w:fldCharType="begin"/>
      </w:r>
      <w:r>
        <w:instrText xml:space="preserve"> PAGEREF _Toc14686362 \h </w:instrText>
      </w:r>
      <w:r>
        <w:fldChar w:fldCharType="separate"/>
      </w:r>
      <w:r>
        <w:t>43</w:t>
      </w:r>
      <w:r>
        <w:fldChar w:fldCharType="end"/>
      </w:r>
    </w:p>
    <w:p>
      <w:pPr>
        <w:pStyle w:val="TOC8"/>
        <w:rPr>
          <w:rFonts w:asciiTheme="minorHAnsi" w:eastAsiaTheme="minorEastAsia" w:hAnsiTheme="minorHAnsi" w:cstheme="minorBidi"/>
          <w:szCs w:val="22"/>
        </w:rPr>
      </w:pPr>
      <w:r>
        <w:t>64.</w:t>
      </w:r>
      <w:r>
        <w:tab/>
        <w:t>Minister to table agency’s annual report etc.</w:t>
      </w:r>
      <w:r>
        <w:tab/>
      </w:r>
      <w:r>
        <w:fldChar w:fldCharType="begin"/>
      </w:r>
      <w:r>
        <w:instrText xml:space="preserve"> PAGEREF _Toc14686363 \h </w:instrText>
      </w:r>
      <w:r>
        <w:fldChar w:fldCharType="separate"/>
      </w:r>
      <w:r>
        <w:t>43</w:t>
      </w:r>
      <w:r>
        <w:fldChar w:fldCharType="end"/>
      </w:r>
    </w:p>
    <w:p>
      <w:pPr>
        <w:pStyle w:val="TOC8"/>
        <w:rPr>
          <w:rFonts w:asciiTheme="minorHAnsi" w:eastAsiaTheme="minorEastAsia" w:hAnsiTheme="minorHAnsi" w:cstheme="minorBidi"/>
          <w:szCs w:val="22"/>
        </w:rPr>
      </w:pPr>
      <w:r>
        <w:t>65.</w:t>
      </w:r>
      <w:r>
        <w:tab/>
        <w:t>Minister to inform Parliament if annual report and Auditor General’s opinion cannot be tabled on time</w:t>
      </w:r>
      <w:r>
        <w:tab/>
      </w:r>
      <w:r>
        <w:fldChar w:fldCharType="begin"/>
      </w:r>
      <w:r>
        <w:instrText xml:space="preserve"> PAGEREF _Toc14686364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3 — Reporting on abolition of agencies</w:t>
      </w:r>
    </w:p>
    <w:p>
      <w:pPr>
        <w:pStyle w:val="TOC8"/>
        <w:rPr>
          <w:rFonts w:asciiTheme="minorHAnsi" w:eastAsiaTheme="minorEastAsia" w:hAnsiTheme="minorHAnsi" w:cstheme="minorBidi"/>
          <w:szCs w:val="22"/>
        </w:rPr>
      </w:pPr>
      <w:r>
        <w:t>66.</w:t>
      </w:r>
      <w:r>
        <w:tab/>
        <w:t>Terms used</w:t>
      </w:r>
      <w:r>
        <w:tab/>
      </w:r>
      <w:r>
        <w:fldChar w:fldCharType="begin"/>
      </w:r>
      <w:r>
        <w:instrText xml:space="preserve"> PAGEREF _Toc14686366 \h </w:instrText>
      </w:r>
      <w:r>
        <w:fldChar w:fldCharType="separate"/>
      </w:r>
      <w:r>
        <w:t>45</w:t>
      </w:r>
      <w:r>
        <w:fldChar w:fldCharType="end"/>
      </w:r>
    </w:p>
    <w:p>
      <w:pPr>
        <w:pStyle w:val="TOC8"/>
        <w:rPr>
          <w:rFonts w:asciiTheme="minorHAnsi" w:eastAsiaTheme="minorEastAsia" w:hAnsiTheme="minorHAnsi" w:cstheme="minorBidi"/>
          <w:szCs w:val="22"/>
        </w:rPr>
      </w:pPr>
      <w:r>
        <w:t>67.</w:t>
      </w:r>
      <w:r>
        <w:tab/>
        <w:t>Purpose of this Division</w:t>
      </w:r>
      <w:r>
        <w:tab/>
      </w:r>
      <w:r>
        <w:fldChar w:fldCharType="begin"/>
      </w:r>
      <w:r>
        <w:instrText xml:space="preserve"> PAGEREF _Toc14686367 \h </w:instrText>
      </w:r>
      <w:r>
        <w:fldChar w:fldCharType="separate"/>
      </w:r>
      <w:r>
        <w:t>45</w:t>
      </w:r>
      <w:r>
        <w:fldChar w:fldCharType="end"/>
      </w:r>
    </w:p>
    <w:p>
      <w:pPr>
        <w:pStyle w:val="TOC8"/>
        <w:rPr>
          <w:rFonts w:asciiTheme="minorHAnsi" w:eastAsiaTheme="minorEastAsia" w:hAnsiTheme="minorHAnsi" w:cstheme="minorBidi"/>
          <w:szCs w:val="22"/>
        </w:rPr>
      </w:pPr>
      <w:r>
        <w:t>68.</w:t>
      </w:r>
      <w:r>
        <w:tab/>
        <w:t>Abolition of agency, reporting after</w:t>
      </w:r>
      <w:r>
        <w:tab/>
      </w:r>
      <w:r>
        <w:fldChar w:fldCharType="begin"/>
      </w:r>
      <w:r>
        <w:instrText xml:space="preserve"> PAGEREF _Toc14686368 \h </w:instrText>
      </w:r>
      <w:r>
        <w:fldChar w:fldCharType="separate"/>
      </w:r>
      <w:r>
        <w:t>45</w:t>
      </w:r>
      <w:r>
        <w:fldChar w:fldCharType="end"/>
      </w:r>
    </w:p>
    <w:p>
      <w:pPr>
        <w:pStyle w:val="TOC8"/>
        <w:rPr>
          <w:rFonts w:asciiTheme="minorHAnsi" w:eastAsiaTheme="minorEastAsia" w:hAnsiTheme="minorHAnsi" w:cstheme="minorBidi"/>
          <w:szCs w:val="22"/>
        </w:rPr>
      </w:pPr>
      <w:r>
        <w:t>69.</w:t>
      </w:r>
      <w:r>
        <w:tab/>
        <w:t>Final report, contents of</w:t>
      </w:r>
      <w:r>
        <w:tab/>
      </w:r>
      <w:r>
        <w:fldChar w:fldCharType="begin"/>
      </w:r>
      <w:r>
        <w:instrText xml:space="preserve"> PAGEREF _Toc14686369 \h </w:instrText>
      </w:r>
      <w:r>
        <w:fldChar w:fldCharType="separate"/>
      </w:r>
      <w:r>
        <w:t>46</w:t>
      </w:r>
      <w:r>
        <w:fldChar w:fldCharType="end"/>
      </w:r>
    </w:p>
    <w:p>
      <w:pPr>
        <w:pStyle w:val="TOC8"/>
        <w:rPr>
          <w:rFonts w:asciiTheme="minorHAnsi" w:eastAsiaTheme="minorEastAsia" w:hAnsiTheme="minorHAnsi" w:cstheme="minorBidi"/>
          <w:szCs w:val="22"/>
        </w:rPr>
      </w:pPr>
      <w:r>
        <w:t>70.</w:t>
      </w:r>
      <w:r>
        <w:tab/>
        <w:t>Directions by Treasurer for this Division</w:t>
      </w:r>
      <w:r>
        <w:tab/>
      </w:r>
      <w:r>
        <w:fldChar w:fldCharType="begin"/>
      </w:r>
      <w:r>
        <w:instrText xml:space="preserve"> PAGEREF _Toc14686370 \h </w:instrText>
      </w:r>
      <w:r>
        <w:fldChar w:fldCharType="separate"/>
      </w:r>
      <w:r>
        <w:t>47</w:t>
      </w:r>
      <w:r>
        <w:fldChar w:fldCharType="end"/>
      </w:r>
    </w:p>
    <w:p>
      <w:pPr>
        <w:pStyle w:val="TOC8"/>
        <w:rPr>
          <w:rFonts w:asciiTheme="minorHAnsi" w:eastAsiaTheme="minorEastAsia" w:hAnsiTheme="minorHAnsi" w:cstheme="minorBidi"/>
          <w:szCs w:val="22"/>
        </w:rPr>
      </w:pPr>
      <w:r>
        <w:t>71.</w:t>
      </w:r>
      <w:r>
        <w:tab/>
        <w:t>Reporting officers entitled to access to accounts etc.</w:t>
      </w:r>
      <w:r>
        <w:tab/>
      </w:r>
      <w:r>
        <w:fldChar w:fldCharType="begin"/>
      </w:r>
      <w:r>
        <w:instrText xml:space="preserve"> PAGEREF _Toc14686371 \h </w:instrText>
      </w:r>
      <w:r>
        <w:fldChar w:fldCharType="separate"/>
      </w:r>
      <w:r>
        <w:t>47</w:t>
      </w:r>
      <w:r>
        <w:fldChar w:fldCharType="end"/>
      </w:r>
    </w:p>
    <w:p>
      <w:pPr>
        <w:pStyle w:val="TOC8"/>
        <w:rPr>
          <w:rFonts w:asciiTheme="minorHAnsi" w:eastAsiaTheme="minorEastAsia" w:hAnsiTheme="minorHAnsi" w:cstheme="minorBidi"/>
          <w:szCs w:val="22"/>
        </w:rPr>
      </w:pPr>
      <w:r>
        <w:t>72.</w:t>
      </w:r>
      <w:r>
        <w:tab/>
        <w:t>Reporting officers to submit financial statements etc. to Auditor General</w:t>
      </w:r>
      <w:r>
        <w:tab/>
      </w:r>
      <w:r>
        <w:fldChar w:fldCharType="begin"/>
      </w:r>
      <w:r>
        <w:instrText xml:space="preserve"> PAGEREF _Toc14686372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4"/>
        <w:tabs>
          <w:tab w:val="right" w:leader="dot" w:pos="7077"/>
        </w:tabs>
        <w:rPr>
          <w:rFonts w:asciiTheme="minorHAnsi" w:eastAsiaTheme="minorEastAsia" w:hAnsiTheme="minorHAnsi" w:cstheme="minorBidi"/>
          <w:b w:val="0"/>
          <w:szCs w:val="22"/>
        </w:rPr>
      </w:pPr>
      <w:r>
        <w:t>Division 1 — Delegations and authorisations</w:t>
      </w:r>
    </w:p>
    <w:p>
      <w:pPr>
        <w:pStyle w:val="TOC8"/>
        <w:rPr>
          <w:rFonts w:asciiTheme="minorHAnsi" w:eastAsiaTheme="minorEastAsia" w:hAnsiTheme="minorHAnsi" w:cstheme="minorBidi"/>
          <w:szCs w:val="22"/>
        </w:rPr>
      </w:pPr>
      <w:r>
        <w:t>73.</w:t>
      </w:r>
      <w:r>
        <w:tab/>
        <w:t>Term used: Treasury Corporation official</w:t>
      </w:r>
      <w:r>
        <w:tab/>
      </w:r>
      <w:r>
        <w:fldChar w:fldCharType="begin"/>
      </w:r>
      <w:r>
        <w:instrText xml:space="preserve"> PAGEREF _Toc14686375 \h </w:instrText>
      </w:r>
      <w:r>
        <w:fldChar w:fldCharType="separate"/>
      </w:r>
      <w:r>
        <w:t>49</w:t>
      </w:r>
      <w:r>
        <w:fldChar w:fldCharType="end"/>
      </w:r>
    </w:p>
    <w:p>
      <w:pPr>
        <w:pStyle w:val="TOC8"/>
        <w:rPr>
          <w:rFonts w:asciiTheme="minorHAnsi" w:eastAsiaTheme="minorEastAsia" w:hAnsiTheme="minorHAnsi" w:cstheme="minorBidi"/>
          <w:szCs w:val="22"/>
        </w:rPr>
      </w:pPr>
      <w:r>
        <w:t>74.</w:t>
      </w:r>
      <w:r>
        <w:tab/>
        <w:t>Delegation by Treasurer</w:t>
      </w:r>
      <w:r>
        <w:tab/>
      </w:r>
      <w:r>
        <w:fldChar w:fldCharType="begin"/>
      </w:r>
      <w:r>
        <w:instrText xml:space="preserve"> PAGEREF _Toc14686376 \h </w:instrText>
      </w:r>
      <w:r>
        <w:fldChar w:fldCharType="separate"/>
      </w:r>
      <w:r>
        <w:t>49</w:t>
      </w:r>
      <w:r>
        <w:fldChar w:fldCharType="end"/>
      </w:r>
    </w:p>
    <w:p>
      <w:pPr>
        <w:pStyle w:val="TOC8"/>
        <w:rPr>
          <w:rFonts w:asciiTheme="minorHAnsi" w:eastAsiaTheme="minorEastAsia" w:hAnsiTheme="minorHAnsi" w:cstheme="minorBidi"/>
          <w:szCs w:val="22"/>
        </w:rPr>
      </w:pPr>
      <w:r>
        <w:t>75.</w:t>
      </w:r>
      <w:r>
        <w:tab/>
        <w:t>Delegation by Ministers</w:t>
      </w:r>
      <w:r>
        <w:tab/>
      </w:r>
      <w:r>
        <w:fldChar w:fldCharType="begin"/>
      </w:r>
      <w:r>
        <w:instrText xml:space="preserve"> PAGEREF _Toc14686377 \h </w:instrText>
      </w:r>
      <w:r>
        <w:fldChar w:fldCharType="separate"/>
      </w:r>
      <w:r>
        <w:t>49</w:t>
      </w:r>
      <w:r>
        <w:fldChar w:fldCharType="end"/>
      </w:r>
    </w:p>
    <w:p>
      <w:pPr>
        <w:pStyle w:val="TOC8"/>
        <w:rPr>
          <w:rFonts w:asciiTheme="minorHAnsi" w:eastAsiaTheme="minorEastAsia" w:hAnsiTheme="minorHAnsi" w:cstheme="minorBidi"/>
          <w:szCs w:val="22"/>
        </w:rPr>
      </w:pPr>
      <w:r>
        <w:t>76.</w:t>
      </w:r>
      <w:r>
        <w:tab/>
        <w:t>Delegation and authorisation by Under Treasurer</w:t>
      </w:r>
      <w:r>
        <w:tab/>
      </w:r>
      <w:r>
        <w:fldChar w:fldCharType="begin"/>
      </w:r>
      <w:r>
        <w:instrText xml:space="preserve"> PAGEREF _Toc14686378 \h </w:instrText>
      </w:r>
      <w:r>
        <w:fldChar w:fldCharType="separate"/>
      </w:r>
      <w:r>
        <w:t>49</w:t>
      </w:r>
      <w:r>
        <w:fldChar w:fldCharType="end"/>
      </w:r>
    </w:p>
    <w:p>
      <w:pPr>
        <w:pStyle w:val="TOC8"/>
        <w:rPr>
          <w:rFonts w:asciiTheme="minorHAnsi" w:eastAsiaTheme="minorEastAsia" w:hAnsiTheme="minorHAnsi" w:cstheme="minorBidi"/>
          <w:szCs w:val="22"/>
        </w:rPr>
      </w:pPr>
      <w:r>
        <w:t>77.</w:t>
      </w:r>
      <w:r>
        <w:tab/>
        <w:t>Delegations and authorisations, general provisions about</w:t>
      </w:r>
      <w:r>
        <w:tab/>
      </w:r>
      <w:r>
        <w:fldChar w:fldCharType="begin"/>
      </w:r>
      <w:r>
        <w:instrText xml:space="preserve"> PAGEREF _Toc14686379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2 — Treasurer’s instructions</w:t>
      </w:r>
    </w:p>
    <w:p>
      <w:pPr>
        <w:pStyle w:val="TOC8"/>
        <w:rPr>
          <w:rFonts w:asciiTheme="minorHAnsi" w:eastAsiaTheme="minorEastAsia" w:hAnsiTheme="minorHAnsi" w:cstheme="minorBidi"/>
          <w:szCs w:val="22"/>
        </w:rPr>
      </w:pPr>
      <w:r>
        <w:t>78.</w:t>
      </w:r>
      <w:r>
        <w:tab/>
        <w:t>Treasurer’s instructions, issue of etc.</w:t>
      </w:r>
      <w:r>
        <w:tab/>
      </w:r>
      <w:r>
        <w:fldChar w:fldCharType="begin"/>
      </w:r>
      <w:r>
        <w:instrText xml:space="preserve"> PAGEREF _Toc14686381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3 — Miscellaneous powers and duties</w:t>
      </w:r>
    </w:p>
    <w:p>
      <w:pPr>
        <w:pStyle w:val="TOC8"/>
        <w:rPr>
          <w:rFonts w:asciiTheme="minorHAnsi" w:eastAsiaTheme="minorEastAsia" w:hAnsiTheme="minorHAnsi" w:cstheme="minorBidi"/>
          <w:szCs w:val="22"/>
        </w:rPr>
      </w:pPr>
      <w:r>
        <w:t>79.</w:t>
      </w:r>
      <w:r>
        <w:tab/>
        <w:t>Treasurer’s power to require information</w:t>
      </w:r>
      <w:r>
        <w:tab/>
      </w:r>
      <w:r>
        <w:fldChar w:fldCharType="begin"/>
      </w:r>
      <w:r>
        <w:instrText xml:space="preserve"> PAGEREF _Toc14686383 \h </w:instrText>
      </w:r>
      <w:r>
        <w:fldChar w:fldCharType="separate"/>
      </w:r>
      <w:r>
        <w:t>51</w:t>
      </w:r>
      <w:r>
        <w:fldChar w:fldCharType="end"/>
      </w:r>
    </w:p>
    <w:p>
      <w:pPr>
        <w:pStyle w:val="TOC8"/>
        <w:rPr>
          <w:rFonts w:asciiTheme="minorHAnsi" w:eastAsiaTheme="minorEastAsia" w:hAnsiTheme="minorHAnsi" w:cstheme="minorBidi"/>
          <w:szCs w:val="22"/>
        </w:rPr>
      </w:pPr>
      <w:r>
        <w:t>80.</w:t>
      </w:r>
      <w:r>
        <w:tab/>
        <w:t>Act of grace payments</w:t>
      </w:r>
      <w:r>
        <w:tab/>
      </w:r>
      <w:r>
        <w:fldChar w:fldCharType="begin"/>
      </w:r>
      <w:r>
        <w:instrText xml:space="preserve"> PAGEREF _Toc14686384 \h </w:instrText>
      </w:r>
      <w:r>
        <w:fldChar w:fldCharType="separate"/>
      </w:r>
      <w:r>
        <w:t>52</w:t>
      </w:r>
      <w:r>
        <w:fldChar w:fldCharType="end"/>
      </w:r>
    </w:p>
    <w:p>
      <w:pPr>
        <w:pStyle w:val="TOC8"/>
        <w:rPr>
          <w:rFonts w:asciiTheme="minorHAnsi" w:eastAsiaTheme="minorEastAsia" w:hAnsiTheme="minorHAnsi" w:cstheme="minorBidi"/>
          <w:szCs w:val="22"/>
        </w:rPr>
      </w:pPr>
      <w:r>
        <w:t>81.</w:t>
      </w:r>
      <w:r>
        <w:tab/>
        <w:t>Actions etc. inhibiting etc. Minister’s parliamentary functions prohibited</w:t>
      </w:r>
      <w:r>
        <w:tab/>
      </w:r>
      <w:r>
        <w:fldChar w:fldCharType="begin"/>
      </w:r>
      <w:r>
        <w:instrText xml:space="preserve"> PAGEREF _Toc14686385 \h </w:instrText>
      </w:r>
      <w:r>
        <w:fldChar w:fldCharType="separate"/>
      </w:r>
      <w:r>
        <w:t>52</w:t>
      </w:r>
      <w:r>
        <w:fldChar w:fldCharType="end"/>
      </w:r>
    </w:p>
    <w:p>
      <w:pPr>
        <w:pStyle w:val="TOC8"/>
        <w:rPr>
          <w:rFonts w:asciiTheme="minorHAnsi" w:eastAsiaTheme="minorEastAsia" w:hAnsiTheme="minorHAnsi" w:cstheme="minorBidi"/>
          <w:szCs w:val="22"/>
        </w:rPr>
      </w:pPr>
      <w:r>
        <w:t>82.</w:t>
      </w:r>
      <w:r>
        <w:tab/>
        <w:t>Ministerial decisions not to give Parliament certain information about agency to be reported to Parliament etc.</w:t>
      </w:r>
      <w:r>
        <w:tab/>
      </w:r>
      <w:r>
        <w:fldChar w:fldCharType="begin"/>
      </w:r>
      <w:r>
        <w:instrText xml:space="preserve"> PAGEREF _Toc14686386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General</w:t>
      </w:r>
    </w:p>
    <w:p>
      <w:pPr>
        <w:pStyle w:val="TOC8"/>
        <w:rPr>
          <w:rFonts w:asciiTheme="minorHAnsi" w:eastAsiaTheme="minorEastAsia" w:hAnsiTheme="minorHAnsi" w:cstheme="minorBidi"/>
          <w:szCs w:val="22"/>
        </w:rPr>
      </w:pPr>
      <w:r>
        <w:t>83.</w:t>
      </w:r>
      <w:r>
        <w:tab/>
        <w:t>Laying documents before Parliament, supplementary provision about</w:t>
      </w:r>
      <w:r>
        <w:tab/>
      </w:r>
      <w:r>
        <w:fldChar w:fldCharType="begin"/>
      </w:r>
      <w:r>
        <w:instrText xml:space="preserve"> PAGEREF _Toc14686388 \h </w:instrText>
      </w:r>
      <w:r>
        <w:fldChar w:fldCharType="separate"/>
      </w:r>
      <w:r>
        <w:t>53</w:t>
      </w:r>
      <w:r>
        <w:fldChar w:fldCharType="end"/>
      </w:r>
    </w:p>
    <w:p>
      <w:pPr>
        <w:pStyle w:val="TOC8"/>
        <w:rPr>
          <w:rFonts w:asciiTheme="minorHAnsi" w:eastAsiaTheme="minorEastAsia" w:hAnsiTheme="minorHAnsi" w:cstheme="minorBidi"/>
          <w:szCs w:val="22"/>
        </w:rPr>
      </w:pPr>
      <w:r>
        <w:t>84.</w:t>
      </w:r>
      <w:r>
        <w:tab/>
        <w:t>Regulations</w:t>
      </w:r>
      <w:r>
        <w:tab/>
      </w:r>
      <w:r>
        <w:fldChar w:fldCharType="begin"/>
      </w:r>
      <w:r>
        <w:instrText xml:space="preserve"> PAGEREF _Toc14686389 \h </w:instrText>
      </w:r>
      <w:r>
        <w:fldChar w:fldCharType="separate"/>
      </w:r>
      <w:r>
        <w:t>54</w:t>
      </w:r>
      <w:r>
        <w:fldChar w:fldCharType="end"/>
      </w:r>
    </w:p>
    <w:p>
      <w:pPr>
        <w:pStyle w:val="TOC8"/>
        <w:rPr>
          <w:rFonts w:asciiTheme="minorHAnsi" w:eastAsiaTheme="minorEastAsia" w:hAnsiTheme="minorHAnsi" w:cstheme="minorBidi"/>
          <w:szCs w:val="22"/>
        </w:rPr>
      </w:pPr>
      <w:r>
        <w:t>85.</w:t>
      </w:r>
      <w:r>
        <w:tab/>
        <w:t>Review of Act</w:t>
      </w:r>
      <w:r>
        <w:tab/>
      </w:r>
      <w:r>
        <w:fldChar w:fldCharType="begin"/>
      </w:r>
      <w:r>
        <w:instrText xml:space="preserve"> PAGEREF _Toc14686390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Schedule 1 — Statutory authorities</w:t>
      </w:r>
    </w:p>
    <w:p>
      <w:pPr>
        <w:pStyle w:val="TOC2"/>
        <w:tabs>
          <w:tab w:val="right" w:leader="dot" w:pos="7077"/>
        </w:tabs>
        <w:rPr>
          <w:rFonts w:asciiTheme="minorHAnsi" w:eastAsiaTheme="minorEastAsia" w:hAnsiTheme="minorHAnsi" w:cstheme="minorBidi"/>
          <w:b w:val="0"/>
          <w:sz w:val="22"/>
          <w:szCs w:val="22"/>
        </w:rPr>
      </w:pPr>
      <w:r>
        <w:t>Schedule 2 — Modifications to the Act as to certain administrations</w:t>
      </w:r>
    </w:p>
    <w:p>
      <w:pPr>
        <w:pStyle w:val="TOC2"/>
        <w:tabs>
          <w:tab w:val="right" w:leader="dot" w:pos="7077"/>
        </w:tabs>
        <w:rPr>
          <w:rFonts w:asciiTheme="minorHAnsi" w:eastAsiaTheme="minorEastAsia" w:hAnsiTheme="minorHAnsi" w:cstheme="minorBidi"/>
          <w:b w:val="0"/>
          <w:sz w:val="22"/>
          <w:szCs w:val="22"/>
        </w:rPr>
      </w:pPr>
      <w:r>
        <w:t>Schedule 3 — Modifications to the Act as to the Office of the Auditor General</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_Toc14686395 \h </w:instrText>
      </w:r>
      <w:r>
        <w:fldChar w:fldCharType="separate"/>
      </w:r>
      <w:r>
        <w:t>66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_Toc14686396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uppressLineNumbers/>
        <w:spacing w:after="720"/>
        <w:ind w:left="238" w:right="488"/>
      </w:pPr>
      <w:r>
        <w:t>Financial Management Act 2006</w:t>
      </w:r>
    </w:p>
    <w:p>
      <w:pPr>
        <w:pStyle w:val="LongTitle"/>
        <w:suppressLineNumbers/>
        <w:spacing w:before="360"/>
        <w:rPr>
          <w:snapToGrid w:val="0"/>
        </w:rPr>
      </w:pPr>
      <w:r>
        <w:rPr>
          <w:snapToGrid w:val="0"/>
        </w:rPr>
        <w:t>An Act to provide for the management, administration and reporting of the public finances of the State, and for related purposes.</w:t>
      </w:r>
    </w:p>
    <w:p>
      <w:pPr>
        <w:pStyle w:val="Heading2"/>
      </w:pPr>
      <w:bookmarkStart w:id="3" w:name="_Toc14427552"/>
      <w:bookmarkStart w:id="4" w:name="_Toc14686283"/>
      <w:r>
        <w:rPr>
          <w:rStyle w:val="CharPartNo"/>
        </w:rPr>
        <w:t>Part 1</w:t>
      </w:r>
      <w:r>
        <w:rPr>
          <w:rStyle w:val="CharDivNo"/>
        </w:rPr>
        <w:t> </w:t>
      </w:r>
      <w:r>
        <w:t>—</w:t>
      </w:r>
      <w:r>
        <w:rPr>
          <w:rStyle w:val="CharDivText"/>
        </w:rPr>
        <w:t> </w:t>
      </w:r>
      <w:r>
        <w:rPr>
          <w:rStyle w:val="CharPartText"/>
        </w:rPr>
        <w:t>Preliminary</w:t>
      </w:r>
      <w:bookmarkEnd w:id="3"/>
      <w:bookmarkEnd w:id="4"/>
    </w:p>
    <w:p>
      <w:pPr>
        <w:pStyle w:val="Heading5"/>
      </w:pPr>
      <w:bookmarkStart w:id="5" w:name="_Toc14686284"/>
      <w:r>
        <w:rPr>
          <w:rStyle w:val="CharSectno"/>
        </w:rPr>
        <w:t>1</w:t>
      </w:r>
      <w:r>
        <w:t>.</w:t>
      </w:r>
      <w:r>
        <w:tab/>
      </w:r>
      <w:r>
        <w:rPr>
          <w:snapToGrid w:val="0"/>
        </w:rPr>
        <w:t>Short title</w:t>
      </w:r>
      <w:bookmarkEnd w:id="5"/>
    </w:p>
    <w:p>
      <w:pPr>
        <w:pStyle w:val="Subsection"/>
      </w:pPr>
      <w:r>
        <w:tab/>
      </w:r>
      <w:r>
        <w:tab/>
        <w:t>This</w:t>
      </w:r>
      <w:r>
        <w:rPr>
          <w:snapToGrid w:val="0"/>
        </w:rPr>
        <w:t xml:space="preserve"> is the</w:t>
      </w:r>
      <w:r>
        <w:rPr>
          <w:i/>
          <w:snapToGrid w:val="0"/>
        </w:rPr>
        <w:t xml:space="preserve"> Financial Management Act 2006</w:t>
      </w:r>
      <w:r>
        <w:rPr>
          <w:iCs/>
          <w:snapToGrid w:val="0"/>
        </w:rPr>
        <w:t xml:space="preserve"> </w:t>
      </w:r>
      <w:r>
        <w:rPr>
          <w:iCs/>
          <w:snapToGrid w:val="0"/>
          <w:vertAlign w:val="superscript"/>
        </w:rPr>
        <w:t>1</w:t>
      </w:r>
      <w:r>
        <w:rPr>
          <w:snapToGrid w:val="0"/>
        </w:rPr>
        <w:t>.</w:t>
      </w:r>
    </w:p>
    <w:p>
      <w:pPr>
        <w:pStyle w:val="Heading5"/>
        <w:rPr>
          <w:snapToGrid w:val="0"/>
        </w:rPr>
      </w:pPr>
      <w:bookmarkStart w:id="6" w:name="_Toc14686285"/>
      <w:r>
        <w:rPr>
          <w:rStyle w:val="CharSectno"/>
        </w:rPr>
        <w:t>2</w:t>
      </w:r>
      <w:r>
        <w:rPr>
          <w:snapToGrid w:val="0"/>
        </w:rPr>
        <w:t>.</w:t>
      </w:r>
      <w:r>
        <w:rPr>
          <w:snapToGrid w:val="0"/>
        </w:rPr>
        <w:tab/>
      </w:r>
      <w:r>
        <w:t>Commencement</w:t>
      </w:r>
      <w:bookmarkEnd w:id="6"/>
    </w:p>
    <w:p>
      <w:pPr>
        <w:pStyle w:val="Subsection"/>
        <w:rPr>
          <w:spacing w:val="-2"/>
        </w:rPr>
      </w:pPr>
      <w:r>
        <w:tab/>
      </w:r>
      <w:r>
        <w:tab/>
        <w:t xml:space="preserve">This Act </w:t>
      </w:r>
      <w:r>
        <w:rPr>
          <w:spacing w:val="-2"/>
        </w:rPr>
        <w:t>comes into operation on a day fixed by proclamation</w:t>
      </w:r>
      <w:r>
        <w:rPr>
          <w:spacing w:val="-2"/>
          <w:vertAlign w:val="superscript"/>
        </w:rPr>
        <w:t> 1</w:t>
      </w:r>
      <w:r>
        <w:rPr>
          <w:spacing w:val="-2"/>
        </w:rPr>
        <w:t>.</w:t>
      </w:r>
    </w:p>
    <w:p>
      <w:pPr>
        <w:pStyle w:val="Heading5"/>
      </w:pPr>
      <w:bookmarkStart w:id="7" w:name="_Toc14686286"/>
      <w:r>
        <w:rPr>
          <w:rStyle w:val="CharSectno"/>
        </w:rPr>
        <w:t>3</w:t>
      </w:r>
      <w:r>
        <w:t>.</w:t>
      </w:r>
      <w:r>
        <w:tab/>
        <w:t>Terms used</w:t>
      </w:r>
      <w:bookmarkEnd w:id="7"/>
    </w:p>
    <w:p>
      <w:pPr>
        <w:pStyle w:val="Subsection"/>
      </w:pPr>
      <w:r>
        <w:tab/>
      </w:r>
      <w:r>
        <w:tab/>
        <w:t xml:space="preserve">In this Act, unless the contrary intention appears — </w:t>
      </w:r>
    </w:p>
    <w:p>
      <w:pPr>
        <w:pStyle w:val="Defstart"/>
      </w:pPr>
      <w:r>
        <w:rPr>
          <w:i/>
          <w:iCs/>
        </w:rPr>
        <w:tab/>
      </w:r>
      <w:r>
        <w:rPr>
          <w:rStyle w:val="CharDefText"/>
          <w:iCs/>
        </w:rPr>
        <w:t>accountable authority</w:t>
      </w:r>
      <w:r>
        <w:rPr>
          <w:bCs/>
        </w:rPr>
        <w:t>, of an agency,</w:t>
      </w:r>
      <w:r>
        <w:t xml:space="preserve"> means the person or body determined under section 54, 55 or 56, as the case requires;</w:t>
      </w:r>
    </w:p>
    <w:p>
      <w:pPr>
        <w:pStyle w:val="Defstart"/>
      </w:pPr>
      <w:r>
        <w:rPr>
          <w:b/>
          <w:bCs/>
          <w:i/>
          <w:iCs/>
          <w:szCs w:val="22"/>
        </w:rPr>
        <w:tab/>
      </w:r>
      <w:r>
        <w:rPr>
          <w:rStyle w:val="CharDefText"/>
          <w:iCs/>
          <w:szCs w:val="22"/>
        </w:rPr>
        <w:t>accounts</w:t>
      </w:r>
      <w:r>
        <w:rPr>
          <w:szCs w:val="22"/>
        </w:rPr>
        <w:t xml:space="preserve">, in paragraph (b)(i) of the definition of </w:t>
      </w:r>
      <w:r>
        <w:rPr>
          <w:b/>
          <w:i/>
          <w:szCs w:val="22"/>
        </w:rPr>
        <w:t>officer</w:t>
      </w:r>
      <w:r>
        <w:rPr>
          <w:szCs w:val="22"/>
        </w:rPr>
        <w:t xml:space="preserve"> and in sections 56(1)(b), 63(2)(b), 64(1)(b) and 71, has the meaning given to that term in the </w:t>
      </w:r>
      <w:r>
        <w:rPr>
          <w:i/>
          <w:iCs/>
          <w:szCs w:val="22"/>
        </w:rPr>
        <w:t>Auditor General Act 2006</w:t>
      </w:r>
      <w:r>
        <w:rPr>
          <w:szCs w:val="22"/>
        </w:rPr>
        <w:t xml:space="preserve"> section 4(1);</w:t>
      </w:r>
    </w:p>
    <w:p>
      <w:pPr>
        <w:pStyle w:val="Defstart"/>
      </w:pPr>
      <w:r>
        <w:rPr>
          <w:i/>
          <w:iCs/>
        </w:rPr>
        <w:tab/>
      </w:r>
      <w:r>
        <w:rPr>
          <w:rStyle w:val="CharDefText"/>
          <w:iCs/>
        </w:rPr>
        <w:t>agency</w:t>
      </w:r>
      <w:r>
        <w:t xml:space="preserve"> means a department, a sub</w:t>
      </w:r>
      <w:r>
        <w:noBreakHyphen/>
        <w:t>department or a statutory authority;</w:t>
      </w:r>
    </w:p>
    <w:p>
      <w:pPr>
        <w:pStyle w:val="Defstart"/>
      </w:pPr>
      <w:r>
        <w:rPr>
          <w:b/>
        </w:rPr>
        <w:tab/>
      </w:r>
      <w:r>
        <w:rPr>
          <w:rStyle w:val="CharDefText"/>
          <w:iCs/>
        </w:rPr>
        <w:t>agency special purpose account</w:t>
      </w:r>
      <w:r>
        <w:t xml:space="preserve"> means an account referred to in section 16(1);</w:t>
      </w:r>
    </w:p>
    <w:p>
      <w:pPr>
        <w:pStyle w:val="Defstart"/>
      </w:pPr>
      <w:r>
        <w:rPr>
          <w:b/>
        </w:rPr>
        <w:tab/>
      </w:r>
      <w:r>
        <w:rPr>
          <w:rStyle w:val="CharDefText"/>
          <w:iCs/>
        </w:rPr>
        <w:t>Appropriation Act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r>
      <w:r>
        <w:rPr>
          <w:rStyle w:val="CharDefText"/>
          <w:iCs/>
        </w:rPr>
        <w:t>bank</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tab/>
        <w:t>(c)</w:t>
      </w:r>
      <w:r>
        <w:tab/>
        <w:t xml:space="preserve">in relation to a bank not in </w:t>
      </w:r>
      <w:smartTag w:uri="urn:schemas-microsoft-com:office:smarttags" w:element="place">
        <w:smartTag w:uri="urn:schemas-microsoft-com:office:smarttags" w:element="country-region">
          <w:r>
            <w:t>Australia</w:t>
          </w:r>
        </w:smartTag>
      </w:smartTag>
      <w:r>
        <w:t> — a bank approved by the Treasurer;</w:t>
      </w:r>
    </w:p>
    <w:p>
      <w:pPr>
        <w:pStyle w:val="Defstart"/>
      </w:pPr>
      <w:r>
        <w:rPr>
          <w:b/>
        </w:rPr>
        <w:tab/>
      </w:r>
      <w:r>
        <w:rPr>
          <w:rStyle w:val="CharDefText"/>
          <w:iCs/>
        </w:rPr>
        <w:t>Consolidated Account</w:t>
      </w:r>
      <w:r>
        <w:t xml:space="preserve"> means the account of that name established by the </w:t>
      </w:r>
      <w:r>
        <w:rPr>
          <w:i/>
        </w:rPr>
        <w:t>Constitution Act 1889</w:t>
      </w:r>
      <w:r>
        <w:t xml:space="preserve"> section 64 and referred to in section 8;</w:t>
      </w:r>
    </w:p>
    <w:p>
      <w:pPr>
        <w:pStyle w:val="Defstart"/>
      </w:pPr>
      <w:r>
        <w:rPr>
          <w:b/>
          <w:i/>
          <w:iCs/>
        </w:rPr>
        <w:tab/>
      </w:r>
      <w:r>
        <w:rPr>
          <w:rStyle w:val="CharDefText"/>
          <w:iCs/>
        </w:rPr>
        <w:t>department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pPr>
      <w:r>
        <w:rPr>
          <w:b/>
          <w:i/>
          <w:iCs/>
        </w:rPr>
        <w:tab/>
      </w:r>
      <w:r>
        <w:rPr>
          <w:rStyle w:val="CharDefText"/>
          <w:iCs/>
        </w:rPr>
        <w:t>estimates</w:t>
      </w:r>
      <w:r>
        <w:t xml:space="preserve"> means the annual estimates of receipts and payments in respect of the Consolidated Account;</w:t>
      </w:r>
    </w:p>
    <w:p>
      <w:pPr>
        <w:pStyle w:val="Defstart"/>
        <w:rPr>
          <w:b/>
        </w:rPr>
      </w:pPr>
      <w:r>
        <w:rPr>
          <w:b/>
        </w:rPr>
        <w:tab/>
      </w:r>
      <w:r>
        <w:rPr>
          <w:rStyle w:val="CharDefText"/>
          <w:iCs/>
        </w:rPr>
        <w:t>Joint Standing Committee on Audit</w:t>
      </w:r>
      <w:r>
        <w:t xml:space="preserve"> means the joint standing committee established by the Houses of Parliament under the </w:t>
      </w:r>
      <w:r>
        <w:rPr>
          <w:i/>
        </w:rPr>
        <w:t>Auditor General Act 2006</w:t>
      </w:r>
      <w:r>
        <w:t xml:space="preserve"> section 43;</w:t>
      </w:r>
    </w:p>
    <w:p>
      <w:pPr>
        <w:pStyle w:val="Defstart"/>
      </w:pPr>
      <w:r>
        <w:rPr>
          <w:b/>
          <w:i/>
          <w:iCs/>
        </w:rPr>
        <w:tab/>
      </w:r>
      <w:r>
        <w:rPr>
          <w:rStyle w:val="CharDefText"/>
          <w:iCs/>
        </w:rPr>
        <w:t>Minister</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i/>
          <w:iCs/>
        </w:rPr>
        <w:tab/>
      </w:r>
      <w:r>
        <w:rPr>
          <w:rStyle w:val="CharDefText"/>
          <w:iCs/>
        </w:rPr>
        <w:t>officer</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pPr>
      <w:r>
        <w:tab/>
        <w:t>(b)</w:t>
      </w:r>
      <w:r>
        <w:tab/>
        <w:t xml:space="preserve">who is charged with or performs any duty consisting of or relating to — </w:t>
      </w:r>
    </w:p>
    <w:p>
      <w:pPr>
        <w:pStyle w:val="Defsubpara"/>
        <w:keepLines w:val="0"/>
      </w:pPr>
      <w:r>
        <w:tab/>
        <w:t>(i)</w:t>
      </w:r>
      <w:r>
        <w:tab/>
        <w:t>keeping the accounts of the agency; or</w:t>
      </w:r>
    </w:p>
    <w:p>
      <w:pPr>
        <w:pStyle w:val="Defsubpara"/>
        <w:keepLines w:val="0"/>
      </w:pPr>
      <w:r>
        <w:tab/>
        <w:t>(ii)</w:t>
      </w:r>
      <w:r>
        <w:tab/>
        <w:t>collecting, receiving, keeping in custody, banking or accounting for public money or other money or statutory authority money; or</w:t>
      </w:r>
    </w:p>
    <w:p>
      <w:pPr>
        <w:pStyle w:val="Defsubpara"/>
        <w:keepLines w:val="0"/>
      </w:pPr>
      <w:r>
        <w:tab/>
        <w:t>(iii)</w:t>
      </w:r>
      <w:r>
        <w:tab/>
        <w:t>disbursing public money or other money or statutory authority money; or</w:t>
      </w:r>
    </w:p>
    <w:p>
      <w:pPr>
        <w:pStyle w:val="Defsubpara"/>
        <w:keepLines w:val="0"/>
      </w:pPr>
      <w:r>
        <w:tab/>
        <w:t>(iv)</w:t>
      </w:r>
      <w:r>
        <w:tab/>
        <w:t>purchasing, receiving, issuing, selling, keeping in custody, controlling, managing or disposing of, or accounting for, public property or other property;</w:t>
      </w:r>
    </w:p>
    <w:p>
      <w:pPr>
        <w:pStyle w:val="Defstart"/>
      </w:pPr>
      <w:r>
        <w:rPr>
          <w:i/>
          <w:iCs/>
        </w:rPr>
        <w:tab/>
      </w:r>
      <w:r>
        <w:rPr>
          <w:rStyle w:val="CharDefText"/>
          <w:iCs/>
        </w:rPr>
        <w:t>other money</w:t>
      </w:r>
      <w:r>
        <w:t xml:space="preserve"> means money collected, received or held by the State or a statutory authority for or on behalf of a person other than the State or a statutory authority;</w:t>
      </w:r>
    </w:p>
    <w:p>
      <w:pPr>
        <w:pStyle w:val="Defstart"/>
      </w:pPr>
      <w:r>
        <w:rPr>
          <w:b/>
          <w:i/>
          <w:iCs/>
        </w:rPr>
        <w:tab/>
      </w:r>
      <w:r>
        <w:rPr>
          <w:rStyle w:val="CharDefText"/>
          <w:iCs/>
        </w:rPr>
        <w:t>other property</w:t>
      </w:r>
      <w:r>
        <w:t xml:space="preserve"> means property that is held by the State or a statutory authority for or on behalf of a person other than the State or a statutory authority;</w:t>
      </w:r>
    </w:p>
    <w:p>
      <w:pPr>
        <w:pStyle w:val="Defstart"/>
      </w:pPr>
      <w:r>
        <w:rPr>
          <w:b/>
        </w:rPr>
        <w:tab/>
      </w:r>
      <w:r>
        <w:rPr>
          <w:rStyle w:val="CharDefText"/>
          <w:iCs/>
        </w:rPr>
        <w:t>Public Bank Account</w:t>
      </w:r>
      <w:r>
        <w:t xml:space="preserve"> means the account of that name constituted under section 11 and includes any other account stated by this Act or another written law to form part of the Public Bank Account;</w:t>
      </w:r>
    </w:p>
    <w:p>
      <w:pPr>
        <w:pStyle w:val="Defstart"/>
      </w:pPr>
      <w:r>
        <w:tab/>
      </w:r>
      <w:r>
        <w:rPr>
          <w:rStyle w:val="CharDefText"/>
          <w:iCs/>
        </w:rPr>
        <w:t>Public Bank Account Interest Earned Account</w:t>
      </w:r>
      <w:r>
        <w:t xml:space="preserve"> means the account of that name referred to in section 10(d);</w:t>
      </w:r>
    </w:p>
    <w:p>
      <w:pPr>
        <w:pStyle w:val="Defstart"/>
      </w:pPr>
      <w:r>
        <w:rPr>
          <w:b/>
        </w:rPr>
        <w:tab/>
      </w:r>
      <w:r>
        <w:rPr>
          <w:rStyle w:val="CharDefText"/>
          <w:iCs/>
        </w:rPr>
        <w:t>Public Ledger</w:t>
      </w:r>
      <w:r>
        <w:t xml:space="preserve"> means the accounts referred to in section 7;</w:t>
      </w:r>
    </w:p>
    <w:p>
      <w:pPr>
        <w:pStyle w:val="Defstart"/>
      </w:pPr>
      <w:r>
        <w:rPr>
          <w:b/>
        </w:rPr>
        <w:tab/>
      </w:r>
      <w:r>
        <w:rPr>
          <w:rStyle w:val="CharDefText"/>
          <w:iCs/>
        </w:rPr>
        <w:t>public money</w:t>
      </w:r>
      <w:r>
        <w:t xml:space="preserve"> means money collected, received or held by any person for or on behalf of the State;</w:t>
      </w:r>
    </w:p>
    <w:p>
      <w:pPr>
        <w:pStyle w:val="Defstart"/>
      </w:pPr>
      <w:r>
        <w:rPr>
          <w:b/>
        </w:rPr>
        <w:tab/>
      </w:r>
      <w:r>
        <w:rPr>
          <w:rStyle w:val="CharDefText"/>
          <w:iCs/>
        </w:rPr>
        <w:t>public property</w:t>
      </w:r>
      <w:r>
        <w:t xml:space="preserve"> means all property, other than public money and statutory authority money, held for or on behalf of the State or a statutory authority;</w:t>
      </w:r>
    </w:p>
    <w:p>
      <w:pPr>
        <w:pStyle w:val="Defstart"/>
      </w:pPr>
      <w:r>
        <w:rPr>
          <w:b/>
        </w:rPr>
        <w:tab/>
      </w:r>
      <w:r>
        <w:rPr>
          <w:rStyle w:val="CharDefText"/>
          <w:iCs/>
        </w:rPr>
        <w:t>resource agreement</w:t>
      </w:r>
      <w:r>
        <w:t xml:space="preserve"> means a resource agreement under Part 3 Division 5;</w:t>
      </w:r>
    </w:p>
    <w:p>
      <w:pPr>
        <w:pStyle w:val="Defstart"/>
      </w:pPr>
      <w:r>
        <w:rPr>
          <w:b/>
        </w:rPr>
        <w:tab/>
      </w:r>
      <w:r>
        <w:rPr>
          <w:rStyle w:val="CharDefText"/>
          <w:iCs/>
        </w:rPr>
        <w:t>special purpose account</w:t>
      </w:r>
      <w:r>
        <w:t xml:space="preserve"> means an agency special purpose account or an account referred to in section 10;</w:t>
      </w:r>
    </w:p>
    <w:p>
      <w:pPr>
        <w:pStyle w:val="Defstart"/>
      </w:pPr>
      <w:r>
        <w:rPr>
          <w:b/>
          <w:i/>
          <w:iCs/>
        </w:rPr>
        <w:tab/>
      </w:r>
      <w:r>
        <w:rPr>
          <w:rStyle w:val="CharDefText"/>
          <w:iCs/>
        </w:rPr>
        <w:t>statutory authority</w:t>
      </w:r>
      <w:r>
        <w:t xml:space="preserve"> means a person or body listed in Schedule 1;</w:t>
      </w:r>
    </w:p>
    <w:p>
      <w:pPr>
        <w:pStyle w:val="Defstart"/>
      </w:pPr>
      <w:r>
        <w:rPr>
          <w:b/>
          <w:i/>
          <w:iCs/>
        </w:rPr>
        <w:tab/>
      </w:r>
      <w:r>
        <w:rPr>
          <w:rStyle w:val="CharDefText"/>
          <w:iCs/>
        </w:rPr>
        <w:t>statutory authority money</w:t>
      </w:r>
      <w:r>
        <w:t xml:space="preserve"> means money collected, received or held by any person for or on behalf of a statutory authority;</w:t>
      </w:r>
    </w:p>
    <w:p>
      <w:pPr>
        <w:pStyle w:val="Defstart"/>
        <w:rPr>
          <w:iCs/>
        </w:rPr>
      </w:pPr>
      <w:r>
        <w:rPr>
          <w:b/>
          <w:i/>
          <w:iCs/>
        </w:rPr>
        <w:tab/>
      </w:r>
      <w:r>
        <w:rPr>
          <w:rStyle w:val="CharDefText"/>
          <w:iCs/>
        </w:rPr>
        <w:t>sub</w:t>
      </w:r>
      <w:r>
        <w:rPr>
          <w:rStyle w:val="CharDefText"/>
          <w:iCs/>
        </w:rPr>
        <w:noBreakHyphen/>
        <w:t>department</w:t>
      </w:r>
      <w:r>
        <w:t xml:space="preserve"> means an entity in respect of which a declaration under section 56(2) has effect;</w:t>
      </w:r>
    </w:p>
    <w:p>
      <w:pPr>
        <w:pStyle w:val="Defstart"/>
      </w:pPr>
      <w:r>
        <w:rPr>
          <w:b/>
          <w:i/>
          <w:iCs/>
        </w:rPr>
        <w:tab/>
      </w:r>
      <w:r>
        <w:rPr>
          <w:rStyle w:val="CharDefText"/>
          <w:iCs/>
        </w:rPr>
        <w:t>Treasurer</w:t>
      </w:r>
      <w:r>
        <w:t xml:space="preserve"> means the Treasurer of the State;</w:t>
      </w:r>
    </w:p>
    <w:p>
      <w:pPr>
        <w:pStyle w:val="Defstart"/>
      </w:pPr>
      <w:r>
        <w:rPr>
          <w:i/>
          <w:iCs/>
        </w:rPr>
        <w:tab/>
      </w:r>
      <w:r>
        <w:rPr>
          <w:rStyle w:val="CharDefText"/>
          <w:iCs/>
        </w:rPr>
        <w:t>Treasurer’s instructions</w:t>
      </w:r>
      <w:r>
        <w:t xml:space="preserve"> means instructions issued under section 78;</w:t>
      </w:r>
    </w:p>
    <w:p>
      <w:pPr>
        <w:pStyle w:val="Defstart"/>
      </w:pPr>
      <w:r>
        <w:rPr>
          <w:b/>
          <w:i/>
          <w:iCs/>
        </w:rPr>
        <w:tab/>
      </w:r>
      <w:r>
        <w:rPr>
          <w:rStyle w:val="CharDefText"/>
          <w:iCs/>
        </w:rPr>
        <w:t>Treasury</w:t>
      </w:r>
      <w:r>
        <w:t xml:space="preserve"> means the department of the Public Service principally assisting in the administration of this Act;</w:t>
      </w:r>
    </w:p>
    <w:p>
      <w:pPr>
        <w:pStyle w:val="Defstart"/>
      </w:pPr>
      <w:r>
        <w:rPr>
          <w:b/>
          <w:i/>
          <w:iCs/>
        </w:rPr>
        <w:tab/>
      </w:r>
      <w:r>
        <w:rPr>
          <w:rStyle w:val="CharDefText"/>
          <w:iCs/>
        </w:rPr>
        <w:t>Under Treasurer</w:t>
      </w:r>
      <w:r>
        <w:rPr>
          <w:i/>
          <w:iCs/>
        </w:rPr>
        <w:t xml:space="preserve"> </w:t>
      </w:r>
      <w:r>
        <w:t>means the chief executive officer of the Treasury.</w:t>
      </w:r>
    </w:p>
    <w:p>
      <w:pPr>
        <w:pStyle w:val="Heading5"/>
      </w:pPr>
      <w:bookmarkStart w:id="8" w:name="_Toc14686287"/>
      <w:r>
        <w:rPr>
          <w:rStyle w:val="CharSectno"/>
        </w:rPr>
        <w:t>4</w:t>
      </w:r>
      <w:r>
        <w:t>.</w:t>
      </w:r>
      <w:r>
        <w:tab/>
        <w:t>Relationship of this Act with other laws</w:t>
      </w:r>
      <w:bookmarkEnd w:id="8"/>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9" w:name="_Toc14686288"/>
      <w:r>
        <w:rPr>
          <w:rStyle w:val="CharSectno"/>
        </w:rPr>
        <w:t>5</w:t>
      </w:r>
      <w:r>
        <w:t>.</w:t>
      </w:r>
      <w:r>
        <w:tab/>
        <w:t>Act modified for administration of certain bodies (Sch. 2)</w:t>
      </w:r>
      <w:bookmarkEnd w:id="9"/>
    </w:p>
    <w:p>
      <w:pPr>
        <w:pStyle w:val="Subsection"/>
        <w:rPr>
          <w:snapToGrid w:val="0"/>
        </w:rPr>
      </w:pPr>
      <w:r>
        <w:tab/>
        <w:t>(1)</w:t>
      </w:r>
      <w:r>
        <w:tab/>
        <w:t xml:space="preserve">Despite </w:t>
      </w:r>
      <w:r>
        <w:rPr>
          <w:snapToGrid w:val="0"/>
        </w:rPr>
        <w:t xml:space="preserve">the definition of </w:t>
      </w:r>
      <w:r>
        <w:rPr>
          <w:b/>
          <w:i/>
          <w:snapToGrid w:val="0"/>
        </w:rPr>
        <w:t>department</w:t>
      </w:r>
      <w:r>
        <w:rPr>
          <w:snapToGrid w:val="0"/>
        </w:rPr>
        <w:t xml:space="preserve">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keepNext/>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10" w:name="_Toc14686289"/>
      <w:r>
        <w:rPr>
          <w:rStyle w:val="CharSectno"/>
        </w:rPr>
        <w:t>6</w:t>
      </w:r>
      <w:r>
        <w:t>.</w:t>
      </w:r>
      <w:r>
        <w:tab/>
        <w:t>Sch. 1 may be amended by regulations</w:t>
      </w:r>
      <w:bookmarkEnd w:id="10"/>
    </w:p>
    <w:p>
      <w:pPr>
        <w:pStyle w:val="Subsection"/>
      </w:pPr>
      <w:r>
        <w:tab/>
      </w:r>
      <w:r>
        <w:tab/>
        <w:t>Schedule 1 may be amended by the regulations.</w:t>
      </w:r>
    </w:p>
    <w:p>
      <w:pPr>
        <w:pStyle w:val="Heading2"/>
      </w:pPr>
      <w:bookmarkStart w:id="11" w:name="_Toc14427559"/>
      <w:bookmarkStart w:id="12" w:name="_Toc14686290"/>
      <w:r>
        <w:rPr>
          <w:rStyle w:val="CharPartNo"/>
        </w:rPr>
        <w:t>Part 2</w:t>
      </w:r>
      <w:r>
        <w:t> — </w:t>
      </w:r>
      <w:r>
        <w:rPr>
          <w:rStyle w:val="CharPartText"/>
        </w:rPr>
        <w:t>Accounts</w:t>
      </w:r>
      <w:bookmarkEnd w:id="11"/>
      <w:bookmarkEnd w:id="12"/>
    </w:p>
    <w:p>
      <w:pPr>
        <w:pStyle w:val="Heading3"/>
      </w:pPr>
      <w:bookmarkStart w:id="13" w:name="_Toc14427560"/>
      <w:bookmarkStart w:id="14" w:name="_Toc14686291"/>
      <w:r>
        <w:rPr>
          <w:rStyle w:val="CharDivNo"/>
        </w:rPr>
        <w:t>Division 1</w:t>
      </w:r>
      <w:r>
        <w:t> — </w:t>
      </w:r>
      <w:r>
        <w:rPr>
          <w:rStyle w:val="CharDivText"/>
        </w:rPr>
        <w:t>Public Ledger</w:t>
      </w:r>
      <w:bookmarkEnd w:id="13"/>
      <w:bookmarkEnd w:id="14"/>
    </w:p>
    <w:p>
      <w:pPr>
        <w:pStyle w:val="Heading5"/>
      </w:pPr>
      <w:bookmarkStart w:id="15" w:name="_Toc14686292"/>
      <w:r>
        <w:rPr>
          <w:rStyle w:val="CharSectno"/>
        </w:rPr>
        <w:t>7</w:t>
      </w:r>
      <w:r>
        <w:t>.</w:t>
      </w:r>
      <w:r>
        <w:tab/>
        <w:t>Public Ledger</w:t>
      </w:r>
      <w:bookmarkEnd w:id="15"/>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16" w:name="_Toc14686293"/>
      <w:r>
        <w:rPr>
          <w:rStyle w:val="CharSectno"/>
        </w:rPr>
        <w:t>8</w:t>
      </w:r>
      <w:r>
        <w:t>.</w:t>
      </w:r>
      <w:r>
        <w:tab/>
        <w:t>Consolidated Account</w:t>
      </w:r>
      <w:bookmarkEnd w:id="16"/>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17" w:name="_Toc14686294"/>
      <w:r>
        <w:rPr>
          <w:rStyle w:val="CharSectno"/>
        </w:rPr>
        <w:t>9</w:t>
      </w:r>
      <w:r>
        <w:t>.</w:t>
      </w:r>
      <w:r>
        <w:tab/>
        <w:t>Treasurer’s Advance Account</w:t>
      </w:r>
      <w:bookmarkEnd w:id="17"/>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18" w:name="_Toc14686295"/>
      <w:r>
        <w:rPr>
          <w:rStyle w:val="CharSectno"/>
        </w:rPr>
        <w:t>10</w:t>
      </w:r>
      <w:r>
        <w:t>.</w:t>
      </w:r>
      <w:r>
        <w:tab/>
        <w:t>Treasurer’s special purpose accounts</w:t>
      </w:r>
      <w:bookmarkEnd w:id="18"/>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19" w:name="_Toc14427565"/>
      <w:bookmarkStart w:id="20" w:name="_Toc14686296"/>
      <w:r>
        <w:rPr>
          <w:rStyle w:val="CharDivNo"/>
        </w:rPr>
        <w:t>Division 2</w:t>
      </w:r>
      <w:r>
        <w:t> — </w:t>
      </w:r>
      <w:r>
        <w:rPr>
          <w:rStyle w:val="CharDivText"/>
        </w:rPr>
        <w:t>Public Bank Account and other bank accounts</w:t>
      </w:r>
      <w:bookmarkEnd w:id="19"/>
      <w:bookmarkEnd w:id="20"/>
    </w:p>
    <w:p>
      <w:pPr>
        <w:pStyle w:val="Heading5"/>
        <w:spacing w:before="180"/>
      </w:pPr>
      <w:bookmarkStart w:id="21" w:name="_Toc14686297"/>
      <w:r>
        <w:rPr>
          <w:rStyle w:val="CharSectno"/>
        </w:rPr>
        <w:t>11</w:t>
      </w:r>
      <w:r>
        <w:t>.</w:t>
      </w:r>
      <w:r>
        <w:tab/>
        <w:t>Public Bank Account</w:t>
      </w:r>
      <w:bookmarkEnd w:id="21"/>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t> </w:t>
      </w:r>
      <w:r>
        <w:rPr>
          <w:vertAlign w:val="superscript"/>
        </w:rPr>
        <w:t>2</w:t>
      </w:r>
      <w:r>
        <w:t xml:space="preserve"> in the name of the Government of Western Australia; and</w:t>
      </w:r>
    </w:p>
    <w:p>
      <w:pPr>
        <w:pStyle w:val="Indenta"/>
        <w:keepLines/>
      </w:pPr>
      <w:r>
        <w:tab/>
        <w:t>(b)</w:t>
      </w:r>
      <w:r>
        <w:tab/>
        <w:t>was in existence immediately before the commencement of this section,</w:t>
      </w:r>
    </w:p>
    <w:p>
      <w:pPr>
        <w:pStyle w:val="Subsection"/>
        <w:spacing w:before="120"/>
      </w:pPr>
      <w:r>
        <w:tab/>
      </w:r>
      <w:r>
        <w:tab/>
        <w:t>constitutes the Public Bank Account for the purposes of this Act.</w:t>
      </w:r>
    </w:p>
    <w:p>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spacing w:before="240"/>
      </w:pPr>
      <w:bookmarkStart w:id="22" w:name="_Toc14686298"/>
      <w:r>
        <w:rPr>
          <w:rStyle w:val="CharSectno"/>
        </w:rPr>
        <w:t>12</w:t>
      </w:r>
      <w:r>
        <w:t>.</w:t>
      </w:r>
      <w:r>
        <w:tab/>
        <w:t>Public Bank Account, application of money in</w:t>
      </w:r>
      <w:bookmarkEnd w:id="22"/>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spacing w:before="240"/>
      </w:pPr>
      <w:bookmarkStart w:id="23" w:name="_Toc14686299"/>
      <w:r>
        <w:rPr>
          <w:rStyle w:val="CharSectno"/>
        </w:rPr>
        <w:t>13</w:t>
      </w:r>
      <w:r>
        <w:t>.</w:t>
      </w:r>
      <w:r>
        <w:tab/>
        <w:t>Bank accounts for agencies, restrictions on</w:t>
      </w:r>
      <w:bookmarkEnd w:id="23"/>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keepNext w:val="0"/>
        <w:keepLines w:val="0"/>
        <w:spacing w:before="180"/>
      </w:pPr>
      <w:bookmarkStart w:id="24" w:name="_Toc14686300"/>
      <w:r>
        <w:rPr>
          <w:rStyle w:val="CharSectno"/>
        </w:rPr>
        <w:t>14</w:t>
      </w:r>
      <w:r>
        <w:t>.</w:t>
      </w:r>
      <w:r>
        <w:tab/>
        <w:t>Bank accounts not to be overdrawn except with Treasurer’s approval</w:t>
      </w:r>
      <w:bookmarkEnd w:id="24"/>
    </w:p>
    <w:p>
      <w:pPr>
        <w:pStyle w:val="Subsection"/>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25" w:name="_Toc14686301"/>
      <w:r>
        <w:rPr>
          <w:rStyle w:val="CharSectno"/>
        </w:rPr>
        <w:t>15</w:t>
      </w:r>
      <w:r>
        <w:t>.</w:t>
      </w:r>
      <w:r>
        <w:tab/>
        <w:t>Bank accounts for public money etc., restrictions on</w:t>
      </w:r>
      <w:bookmarkEnd w:id="25"/>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i/>
          <w:iCs/>
        </w:rPr>
        <w:tab/>
      </w:r>
      <w:r>
        <w:rPr>
          <w:rStyle w:val="CharDefText"/>
          <w:iCs/>
        </w:rPr>
        <w:t>other money</w:t>
      </w:r>
      <w:r>
        <w:t xml:space="preserve"> means other money to which section 36(2) applies.</w:t>
      </w:r>
    </w:p>
    <w:p>
      <w:pPr>
        <w:pStyle w:val="Heading3"/>
      </w:pPr>
      <w:bookmarkStart w:id="26" w:name="_Toc14427571"/>
      <w:bookmarkStart w:id="27" w:name="_Toc14686302"/>
      <w:r>
        <w:rPr>
          <w:rStyle w:val="CharDivNo"/>
        </w:rPr>
        <w:t>Division 3</w:t>
      </w:r>
      <w:r>
        <w:t> — </w:t>
      </w:r>
      <w:r>
        <w:rPr>
          <w:rStyle w:val="CharDivText"/>
        </w:rPr>
        <w:t>Agency special purpose accounts</w:t>
      </w:r>
      <w:bookmarkEnd w:id="26"/>
      <w:bookmarkEnd w:id="27"/>
    </w:p>
    <w:p>
      <w:pPr>
        <w:pStyle w:val="Heading5"/>
      </w:pPr>
      <w:bookmarkStart w:id="28" w:name="_Toc14686303"/>
      <w:r>
        <w:rPr>
          <w:rStyle w:val="CharSectno"/>
        </w:rPr>
        <w:t>16</w:t>
      </w:r>
      <w:r>
        <w:t>.</w:t>
      </w:r>
      <w:r>
        <w:tab/>
        <w:t>Agency special purpose accounts</w:t>
      </w:r>
      <w:bookmarkEnd w:id="28"/>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spacing w:before="120"/>
      </w:pPr>
      <w:r>
        <w:tab/>
        <w:t>(2)</w:t>
      </w:r>
      <w:r>
        <w:tab/>
        <w:t>The accountable authority of an agency is to maintain records that enable the accountable authority to account separately for each agency special purpose account of the agency.</w:t>
      </w:r>
    </w:p>
    <w:p>
      <w:pPr>
        <w:pStyle w:val="Heading3"/>
        <w:spacing w:before="220"/>
      </w:pPr>
      <w:bookmarkStart w:id="29" w:name="_Toc14427573"/>
      <w:bookmarkStart w:id="30" w:name="_Toc14686304"/>
      <w:r>
        <w:rPr>
          <w:rStyle w:val="CharDivNo"/>
        </w:rPr>
        <w:t>Division 4</w:t>
      </w:r>
      <w:r>
        <w:t> — </w:t>
      </w:r>
      <w:r>
        <w:rPr>
          <w:rStyle w:val="CharDivText"/>
        </w:rPr>
        <w:t>Administration of special purpose accounts</w:t>
      </w:r>
      <w:bookmarkEnd w:id="29"/>
      <w:bookmarkEnd w:id="30"/>
    </w:p>
    <w:p>
      <w:pPr>
        <w:pStyle w:val="Heading5"/>
        <w:spacing w:before="180"/>
      </w:pPr>
      <w:bookmarkStart w:id="31" w:name="_Toc14686305"/>
      <w:r>
        <w:rPr>
          <w:rStyle w:val="CharSectno"/>
        </w:rPr>
        <w:t>17</w:t>
      </w:r>
      <w:r>
        <w:t>.</w:t>
      </w:r>
      <w:r>
        <w:tab/>
        <w:t>Special purpose statements and trust statements for accounts, preparation of etc.</w:t>
      </w:r>
      <w:bookmarkEnd w:id="31"/>
    </w:p>
    <w:p>
      <w:pPr>
        <w:pStyle w:val="Subsection"/>
        <w:spacing w:before="120"/>
      </w:pPr>
      <w:r>
        <w:tab/>
        <w:t>(1)</w:t>
      </w:r>
      <w:r>
        <w:tab/>
        <w:t xml:space="preserve">The accountable authority of an agency is to prepare — </w:t>
      </w:r>
    </w:p>
    <w:p>
      <w:pPr>
        <w:pStyle w:val="Indenta"/>
        <w:spacing w:before="60"/>
      </w:pPr>
      <w:r>
        <w:tab/>
        <w:t>(a)</w:t>
      </w:r>
      <w:r>
        <w:tab/>
        <w:t>a special purpose statement for a special purpose account operated by the agency that is referred to in section 10(a) or 16(1)(d); and</w:t>
      </w:r>
    </w:p>
    <w:p>
      <w:pPr>
        <w:pStyle w:val="Indenta"/>
        <w:spacing w:before="60"/>
      </w:pPr>
      <w:r>
        <w:tab/>
        <w:t>(b)</w:t>
      </w:r>
      <w:r>
        <w:tab/>
        <w:t>a trust statement for a special purpose account operated by the agency that is referred to in section 10(f) or 16(1)(c).</w:t>
      </w:r>
    </w:p>
    <w:p>
      <w:pPr>
        <w:pStyle w:val="Subsection"/>
        <w:spacing w:before="120"/>
      </w:pPr>
      <w:r>
        <w:tab/>
        <w:t>(2)</w:t>
      </w:r>
      <w:r>
        <w:tab/>
        <w:t>A special purpose statement or a trust statement is to contain the information prescribed by the Treasurer’s instructions for the special purpose account concerned.</w:t>
      </w:r>
    </w:p>
    <w:p>
      <w:pPr>
        <w:pStyle w:val="Subsection"/>
        <w:spacing w:before="120"/>
      </w:pPr>
      <w:r>
        <w:tab/>
        <w:t>(3)</w:t>
      </w:r>
      <w:r>
        <w:tab/>
        <w:t>The accountable authority is to send the special purpose statement or trust statement to the Treasurer.</w:t>
      </w:r>
    </w:p>
    <w:p>
      <w:pPr>
        <w:pStyle w:val="Subsection"/>
        <w:spacing w:before="120"/>
      </w:pPr>
      <w:r>
        <w:tab/>
        <w:t>(4)</w:t>
      </w:r>
      <w:r>
        <w:tab/>
        <w:t>When the Treasurer approves the special purpose statement or trust statement, the accountable authority is to send a copy of it to the Auditor General.</w:t>
      </w:r>
    </w:p>
    <w:p>
      <w:pPr>
        <w:pStyle w:val="Heading5"/>
        <w:spacing w:before="180"/>
      </w:pPr>
      <w:bookmarkStart w:id="32" w:name="_Toc14686306"/>
      <w:r>
        <w:rPr>
          <w:rStyle w:val="CharSectno"/>
        </w:rPr>
        <w:t>18</w:t>
      </w:r>
      <w:r>
        <w:t>.</w:t>
      </w:r>
      <w:r>
        <w:tab/>
        <w:t>Payments to and from accounts</w:t>
      </w:r>
      <w:bookmarkEnd w:id="32"/>
    </w:p>
    <w:p>
      <w:pPr>
        <w:pStyle w:val="Subsection"/>
        <w:spacing w:before="120"/>
      </w:pPr>
      <w:r>
        <w:tab/>
        <w:t>(1)</w:t>
      </w:r>
      <w:r>
        <w:tab/>
        <w:t xml:space="preserve">There is to be credited to a special purpose account — </w:t>
      </w:r>
    </w:p>
    <w:p>
      <w:pPr>
        <w:pStyle w:val="Indenta"/>
        <w:spacing w:before="60"/>
      </w:pPr>
      <w:r>
        <w:tab/>
        <w:t>(a)</w:t>
      </w:r>
      <w:r>
        <w:tab/>
        <w:t>any money required or authorised by this Act or another written law to be credited to the account; and</w:t>
      </w:r>
    </w:p>
    <w:p>
      <w:pPr>
        <w:pStyle w:val="Indenta"/>
        <w:spacing w:before="60"/>
      </w:pPr>
      <w:r>
        <w:tab/>
        <w:t>(b)</w:t>
      </w:r>
      <w:r>
        <w:tab/>
        <w:t>any money appropriated by an Act for the purposes for which the account is established, or paid or advanced for those purposes under section 24 or 28 or a Treasurer’s Advance Authorisation Act; and</w:t>
      </w:r>
    </w:p>
    <w:p>
      <w:pPr>
        <w:pStyle w:val="Indenta"/>
        <w:spacing w:before="60"/>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33" w:name="_Toc14686307"/>
      <w:r>
        <w:rPr>
          <w:rStyle w:val="CharSectno"/>
        </w:rPr>
        <w:t>19</w:t>
      </w:r>
      <w:r>
        <w:t>.</w:t>
      </w:r>
      <w:r>
        <w:tab/>
        <w:t>Accounts not to be overdrawn except with Treasurer’s approval</w:t>
      </w:r>
      <w:bookmarkEnd w:id="33"/>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spacing w:before="180"/>
      </w:pPr>
      <w:bookmarkStart w:id="34" w:name="_Toc14686308"/>
      <w:r>
        <w:rPr>
          <w:rStyle w:val="CharSectno"/>
        </w:rPr>
        <w:t>20</w:t>
      </w:r>
      <w:r>
        <w:t>.</w:t>
      </w:r>
      <w:r>
        <w:tab/>
        <w:t>Unrequired money in accounts, transfer of from</w:t>
      </w:r>
      <w:bookmarkEnd w:id="34"/>
    </w:p>
    <w:p>
      <w:pPr>
        <w:pStyle w:val="Subsection"/>
        <w:spacing w:before="120"/>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spacing w:before="120"/>
      </w:pPr>
      <w:r>
        <w:tab/>
        <w:t>(2)</w:t>
      </w:r>
      <w:r>
        <w:tab/>
        <w:t>Subsection (1) does not apply if another written law expressly provides otherwise.</w:t>
      </w:r>
    </w:p>
    <w:p>
      <w:pPr>
        <w:pStyle w:val="Heading5"/>
        <w:keepLines w:val="0"/>
        <w:spacing w:before="180"/>
      </w:pPr>
      <w:bookmarkStart w:id="35" w:name="_Toc14686309"/>
      <w:r>
        <w:rPr>
          <w:rStyle w:val="CharSectno"/>
        </w:rPr>
        <w:t>21</w:t>
      </w:r>
      <w:r>
        <w:t>.</w:t>
      </w:r>
      <w:r>
        <w:tab/>
        <w:t>Closing accounts and consequences of</w:t>
      </w:r>
      <w:bookmarkEnd w:id="35"/>
    </w:p>
    <w:p>
      <w:pPr>
        <w:pStyle w:val="Subsection"/>
        <w:spacing w:before="120"/>
      </w:pPr>
      <w:r>
        <w:tab/>
        <w:t>(1)</w:t>
      </w:r>
      <w:r>
        <w:tab/>
        <w:t>The Treasurer may, after consulting with the Minister, direct that a special purpose account operated by an agency, other than a special purpose account established by an Act, be closed.</w:t>
      </w:r>
    </w:p>
    <w:p>
      <w:pPr>
        <w:pStyle w:val="Subsection"/>
        <w:keepNext/>
      </w:pPr>
      <w:r>
        <w:tab/>
        <w:t>(2)</w:t>
      </w:r>
      <w:r>
        <w:tab/>
        <w:t xml:space="preserve">Subject to subsection (3), when a special purpose account is closed and all the liabilities of the account have been paid, the money standing to the credit of the account is to be credited — </w:t>
      </w:r>
    </w:p>
    <w:p>
      <w:pPr>
        <w:pStyle w:val="Indenta"/>
      </w:pPr>
      <w:r>
        <w:tab/>
        <w:t>(a)</w:t>
      </w:r>
      <w:r>
        <w:tab/>
        <w:t>to any account or fund, or in any other manner, specified in the special purpose statement or trust statement relating to that account; or</w:t>
      </w:r>
    </w:p>
    <w:p>
      <w:pPr>
        <w:pStyle w:val="Indenta"/>
      </w:pPr>
      <w:r>
        <w:tab/>
        <w:t>(b)</w:t>
      </w:r>
      <w:r>
        <w:tab/>
        <w:t xml:space="preserve">to the Consolidated Account if — </w:t>
      </w:r>
    </w:p>
    <w:p>
      <w:pPr>
        <w:pStyle w:val="Indenti"/>
      </w:pPr>
      <w:r>
        <w:tab/>
        <w:t>(i)</w:t>
      </w:r>
      <w:r>
        <w:tab/>
        <w:t>there is no special purpose statement or trust statement relating to that account; or</w:t>
      </w:r>
    </w:p>
    <w:p>
      <w:pPr>
        <w:pStyle w:val="Indenti"/>
      </w:pPr>
      <w:r>
        <w:tab/>
        <w:t>(ii)</w:t>
      </w:r>
      <w:r>
        <w:tab/>
        <w:t>no account, fund or manner is specified in the special purpose statement or trust statement relating to that account.</w:t>
      </w:r>
    </w:p>
    <w:p>
      <w:pPr>
        <w:pStyle w:val="Subsection"/>
      </w:pPr>
      <w:r>
        <w:tab/>
        <w:t>(3)</w:t>
      </w:r>
      <w:r>
        <w:tab/>
        <w:t xml:space="preserve">If a special purpose account has been established in relation to the provision of a particular service or performance of a particular function (the </w:t>
      </w:r>
      <w:r>
        <w:rPr>
          <w:rStyle w:val="CharDefText"/>
          <w:iCs/>
        </w:rPr>
        <w:t>relevant service</w:t>
      </w:r>
      <w:r>
        <w:t xml:space="preserve">) and — </w:t>
      </w:r>
    </w:p>
    <w:p>
      <w:pPr>
        <w:pStyle w:val="Indenta"/>
      </w:pPr>
      <w:r>
        <w:tab/>
        <w:t>(a)</w:t>
      </w:r>
      <w:r>
        <w:tab/>
        <w:t>the account is closed; or</w:t>
      </w:r>
    </w:p>
    <w:p>
      <w:pPr>
        <w:pStyle w:val="Indenta"/>
      </w:pPr>
      <w:r>
        <w:tab/>
        <w:t>(b)</w:t>
      </w:r>
      <w:r>
        <w:tab/>
        <w:t>the responsibility for the provision of the relevant service is transferred,</w:t>
      </w:r>
    </w:p>
    <w:p>
      <w:pPr>
        <w:pStyle w:val="Subsection"/>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pPr>
      <w:bookmarkStart w:id="36" w:name="_Toc14686310"/>
      <w:r>
        <w:rPr>
          <w:rStyle w:val="CharSectno"/>
        </w:rPr>
        <w:t>22</w:t>
      </w:r>
      <w:r>
        <w:t>.</w:t>
      </w:r>
      <w:r>
        <w:tab/>
        <w:t>Other written laws not affected by this Division</w:t>
      </w:r>
      <w:bookmarkEnd w:id="36"/>
    </w:p>
    <w:p>
      <w:pPr>
        <w:pStyle w:val="Subsection"/>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37" w:name="_Toc14427580"/>
      <w:bookmarkStart w:id="38" w:name="_Toc14686311"/>
      <w:r>
        <w:rPr>
          <w:rStyle w:val="CharPartNo"/>
        </w:rPr>
        <w:t>Part 3</w:t>
      </w:r>
      <w:r>
        <w:t> — </w:t>
      </w:r>
      <w:r>
        <w:rPr>
          <w:rStyle w:val="CharPartText"/>
        </w:rPr>
        <w:t>Funds management</w:t>
      </w:r>
      <w:bookmarkEnd w:id="37"/>
      <w:bookmarkEnd w:id="38"/>
    </w:p>
    <w:p>
      <w:pPr>
        <w:pStyle w:val="Heading3"/>
      </w:pPr>
      <w:bookmarkStart w:id="39" w:name="_Toc14427581"/>
      <w:bookmarkStart w:id="40" w:name="_Toc14686312"/>
      <w:r>
        <w:rPr>
          <w:rStyle w:val="CharDivNo"/>
        </w:rPr>
        <w:t>Division 1</w:t>
      </w:r>
      <w:r>
        <w:t> — </w:t>
      </w:r>
      <w:r>
        <w:rPr>
          <w:rStyle w:val="CharDivText"/>
        </w:rPr>
        <w:t>Supply and appropriation</w:t>
      </w:r>
      <w:bookmarkEnd w:id="39"/>
      <w:bookmarkEnd w:id="40"/>
    </w:p>
    <w:p>
      <w:pPr>
        <w:pStyle w:val="Heading5"/>
        <w:spacing w:before="200"/>
      </w:pPr>
      <w:bookmarkStart w:id="41" w:name="_Toc14686313"/>
      <w:r>
        <w:rPr>
          <w:rStyle w:val="CharSectno"/>
        </w:rPr>
        <w:t>23</w:t>
      </w:r>
      <w:r>
        <w:t>.</w:t>
      </w:r>
      <w:r>
        <w:tab/>
        <w:t>Money received by agency, agency may retain in certain cases</w:t>
      </w:r>
      <w:bookmarkEnd w:id="41"/>
    </w:p>
    <w:p>
      <w:pPr>
        <w:pStyle w:val="Subsection"/>
      </w:pPr>
      <w:r>
        <w:t xml:space="preserve"> </w:t>
      </w:r>
      <w:r>
        <w:tab/>
        <w:t>(1)</w:t>
      </w:r>
      <w:r>
        <w:tab/>
        <w:t xml:space="preserve">In this section — </w:t>
      </w:r>
    </w:p>
    <w:p>
      <w:pPr>
        <w:pStyle w:val="Defstart"/>
      </w:pPr>
      <w:r>
        <w:rPr>
          <w:b/>
        </w:rPr>
        <w:tab/>
      </w:r>
      <w:r>
        <w:rPr>
          <w:rStyle w:val="CharDefText"/>
          <w:iCs/>
        </w:rPr>
        <w:t>determination</w:t>
      </w:r>
      <w:r>
        <w:t xml:space="preserve"> means a determination under subsection (2);</w:t>
      </w:r>
    </w:p>
    <w:p>
      <w:pPr>
        <w:pStyle w:val="Defstart"/>
      </w:pPr>
      <w:r>
        <w:rPr>
          <w:b/>
          <w:i/>
          <w:iCs/>
        </w:rPr>
        <w:tab/>
      </w:r>
      <w:r>
        <w:rPr>
          <w:rStyle w:val="CharDefText"/>
          <w:iCs/>
        </w:rPr>
        <w:t>prescribed receipts</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pPr>
      <w:r>
        <w:tab/>
        <w:t>(2)</w:t>
      </w:r>
      <w:r>
        <w:tab/>
        <w:t>The Treasurer may make a determination providing for prescribed receipts that are not greater than the monetary limit specified in the determination to be retained by the agency that receives them.</w:t>
      </w:r>
    </w:p>
    <w:p>
      <w:pPr>
        <w:pStyle w:val="Subsection"/>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pPr>
        <w:pStyle w:val="Subsection"/>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Footnotesection"/>
      </w:pPr>
      <w:r>
        <w:tab/>
        <w:t>[Section 23 amended: No. 24 of 2016 s. 315.]</w:t>
      </w:r>
    </w:p>
    <w:p>
      <w:pPr>
        <w:pStyle w:val="Heading5"/>
        <w:spacing w:before="240"/>
      </w:pPr>
      <w:bookmarkStart w:id="42" w:name="_Toc14686314"/>
      <w:r>
        <w:rPr>
          <w:rStyle w:val="CharSectno"/>
        </w:rPr>
        <w:t>24</w:t>
      </w:r>
      <w:r>
        <w:t>.</w:t>
      </w:r>
      <w:r>
        <w:tab/>
        <w:t>Payments before supply granted, Treasurer’s powers to make etc.</w:t>
      </w:r>
      <w:bookmarkEnd w:id="42"/>
    </w:p>
    <w:p>
      <w:pPr>
        <w:pStyle w:val="Subsection"/>
      </w:pPr>
      <w:r>
        <w:tab/>
        <w:t>(1)</w:t>
      </w:r>
      <w:r>
        <w:tab/>
        <w:t xml:space="preserve">If, before the end of a financial year (the </w:t>
      </w:r>
      <w:r>
        <w:rPr>
          <w:rStyle w:val="CharDefText"/>
          <w:iCs/>
        </w:rPr>
        <w:t>previous year</w:t>
      </w:r>
      <w:r>
        <w:rPr>
          <w:bCs/>
        </w:rPr>
        <w:t>)</w:t>
      </w:r>
      <w:r>
        <w:t xml:space="preserve">, no supply is granted to meet the requirements of the next financial year (the </w:t>
      </w:r>
      <w:r>
        <w:rPr>
          <w:rStyle w:val="CharDefText"/>
          <w:iCs/>
        </w:rPr>
        <w:t>current year</w:t>
      </w:r>
      <w:r>
        <w:t>), the Treasurer may make and charge to the Consolidated Account any payments and advances to meet those requirements at the start of the current year that do not exceed in total an amount equal to 20% of the total amount appropriated for the previous year by the Appropriation Acts.</w:t>
      </w:r>
    </w:p>
    <w:p>
      <w:pPr>
        <w:pStyle w:val="Subsection"/>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spacing w:before="60"/>
      </w:pPr>
      <w:r>
        <w:tab/>
        <w:t>(b)</w:t>
      </w:r>
      <w:r>
        <w:tab/>
        <w:t>for which expenditure was authorised under section 27(1) to meet the requirements of the previous year.</w:t>
      </w:r>
    </w:p>
    <w:p>
      <w:pPr>
        <w:pStyle w:val="Subsection"/>
        <w:keepNext/>
      </w:pPr>
      <w:r>
        <w:tab/>
        <w:t>(3)</w:t>
      </w:r>
      <w:r>
        <w:tab/>
        <w:t xml:space="preserve">The authority conferred on the Treasurer by subsection (1) ceases to have effect — </w:t>
      </w:r>
    </w:p>
    <w:p>
      <w:pPr>
        <w:pStyle w:val="Indenta"/>
      </w:pPr>
      <w:r>
        <w:tab/>
        <w:t>(a)</w:t>
      </w:r>
      <w:r>
        <w:tab/>
        <w:t>at the end of the first 2 months of the current year; or</w:t>
      </w:r>
    </w:p>
    <w:p>
      <w:pPr>
        <w:pStyle w:val="Indenta"/>
      </w:pPr>
      <w:r>
        <w:tab/>
        <w:t>(b)</w:t>
      </w:r>
      <w:r>
        <w:tab/>
        <w:t>on the commencement of an Act granting supply for the current year,</w:t>
      </w:r>
    </w:p>
    <w:p>
      <w:pPr>
        <w:pStyle w:val="Subsection"/>
      </w:pPr>
      <w:r>
        <w:tab/>
      </w:r>
      <w:r>
        <w:tab/>
        <w:t>whichever occurs first.</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Heading5"/>
      </w:pPr>
      <w:bookmarkStart w:id="43" w:name="_Toc14686315"/>
      <w:r>
        <w:rPr>
          <w:rStyle w:val="CharSectno"/>
        </w:rPr>
        <w:t>25</w:t>
      </w:r>
      <w:r>
        <w:t>.</w:t>
      </w:r>
      <w:r>
        <w:tab/>
        <w:t>Appropriations, saving and transfer of in certain cases</w:t>
      </w:r>
      <w:bookmarkEnd w:id="43"/>
    </w:p>
    <w:p>
      <w:pPr>
        <w:pStyle w:val="Subsection"/>
      </w:pPr>
      <w:r>
        <w:tab/>
        <w:t>(1)</w:t>
      </w:r>
      <w:r>
        <w:tab/>
        <w:t xml:space="preserve">In this section — </w:t>
      </w:r>
    </w:p>
    <w:p>
      <w:pPr>
        <w:pStyle w:val="Defstart"/>
      </w:pPr>
      <w:r>
        <w:rPr>
          <w:b/>
        </w:rPr>
        <w:tab/>
      </w:r>
      <w:r>
        <w:rPr>
          <w:rStyle w:val="CharDefText"/>
          <w:iCs/>
        </w:rPr>
        <w:t>general purpose</w:t>
      </w:r>
      <w:r>
        <w:t xml:space="preserve"> means a purpose — </w:t>
      </w:r>
    </w:p>
    <w:p>
      <w:pPr>
        <w:pStyle w:val="Defpara"/>
        <w:keepNext/>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spacing w:before="120"/>
      </w:pPr>
      <w:r>
        <w:tab/>
        <w:t>(3)</w:t>
      </w:r>
      <w:r>
        <w:tab/>
        <w:t>Subsection (2) has effect despite the provisions of any Appropriation Act.</w:t>
      </w:r>
    </w:p>
    <w:p>
      <w:pPr>
        <w:pStyle w:val="Subsection"/>
        <w:spacing w:before="120"/>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spacing w:before="120"/>
      </w:pPr>
      <w:r>
        <w:tab/>
        <w:t>(5)</w:t>
      </w:r>
      <w:r>
        <w:tab/>
        <w:t>The transfer may be made only to meet all or part of the actual or estimated expenditure that accords with both the general purpose and the purpose of the item to which the transfer is made.</w:t>
      </w:r>
    </w:p>
    <w:p>
      <w:pPr>
        <w:pStyle w:val="Subsection"/>
        <w:spacing w:before="120"/>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keepLines w:val="0"/>
        <w:spacing w:before="180"/>
        <w:ind w:right="-142"/>
      </w:pPr>
      <w:bookmarkStart w:id="44" w:name="_Toc14686316"/>
      <w:r>
        <w:rPr>
          <w:rStyle w:val="CharSectno"/>
        </w:rPr>
        <w:t>26</w:t>
      </w:r>
      <w:r>
        <w:t>.</w:t>
      </w:r>
      <w:r>
        <w:tab/>
        <w:t>Appropriations, transfer of to suspense account in certain cases</w:t>
      </w:r>
      <w:bookmarkEnd w:id="44"/>
    </w:p>
    <w:p>
      <w:pPr>
        <w:pStyle w:val="Subsection"/>
        <w:spacing w:before="120"/>
      </w:pPr>
      <w:r>
        <w:tab/>
        <w:t>(1)</w:t>
      </w:r>
      <w:r>
        <w:tab/>
        <w:t xml:space="preserve">In this section — </w:t>
      </w:r>
    </w:p>
    <w:p>
      <w:pPr>
        <w:pStyle w:val="Defstart"/>
      </w:pPr>
      <w:r>
        <w:rPr>
          <w:b/>
        </w:rPr>
        <w:tab/>
      </w:r>
      <w:r>
        <w:rPr>
          <w:rStyle w:val="CharDefText"/>
          <w:iCs/>
        </w:rPr>
        <w:t>operating account</w:t>
      </w:r>
      <w:r>
        <w:rPr>
          <w:i/>
          <w:iCs/>
        </w:rPr>
        <w:t xml:space="preserve"> </w:t>
      </w:r>
      <w:r>
        <w:t>means an agency special purpose account established for the purposes of the operations of the agency;</w:t>
      </w:r>
    </w:p>
    <w:p>
      <w:pPr>
        <w:pStyle w:val="Defstart"/>
      </w:pPr>
      <w:r>
        <w:rPr>
          <w:b/>
          <w:i/>
          <w:iCs/>
        </w:rPr>
        <w:tab/>
      </w:r>
      <w:r>
        <w:rPr>
          <w:rStyle w:val="CharDefText"/>
          <w:iCs/>
        </w:rPr>
        <w:t>relevant commitment</w:t>
      </w:r>
      <w:r>
        <w:t xml:space="preserve"> means a commitment — </w:t>
      </w:r>
    </w:p>
    <w:p>
      <w:pPr>
        <w:pStyle w:val="Defpara"/>
      </w:pPr>
      <w:r>
        <w:tab/>
        <w:t>(a)</w:t>
      </w:r>
      <w:r>
        <w:tab/>
        <w:t>that is relevant to the financial year referred to in subsection (2); and</w:t>
      </w:r>
    </w:p>
    <w:p>
      <w:pPr>
        <w:pStyle w:val="Defpara"/>
      </w:pPr>
      <w:r>
        <w:tab/>
        <w:t>(b)</w:t>
      </w:r>
      <w:r>
        <w:tab/>
        <w:t>that relates to salaries, wages, superannuation, leave or depreciation.</w:t>
      </w:r>
    </w:p>
    <w:p>
      <w:pPr>
        <w:pStyle w:val="Subsection"/>
        <w:spacing w:before="120"/>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spacing w:before="120"/>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Heading5"/>
        <w:spacing w:before="180"/>
      </w:pPr>
      <w:bookmarkStart w:id="45" w:name="_Toc14686317"/>
      <w:r>
        <w:rPr>
          <w:rStyle w:val="CharSectno"/>
        </w:rPr>
        <w:t>27</w:t>
      </w:r>
      <w:r>
        <w:t>.</w:t>
      </w:r>
      <w:r>
        <w:tab/>
        <w:t>Expenditure for extraordinary etc. matters without appropriation</w:t>
      </w:r>
      <w:bookmarkEnd w:id="45"/>
    </w:p>
    <w:p>
      <w:pPr>
        <w:pStyle w:val="Subsection"/>
        <w:spacing w:before="120"/>
      </w:pPr>
      <w:r>
        <w:tab/>
        <w:t>(1)</w:t>
      </w:r>
      <w:r>
        <w:tab/>
        <w:t>The Governor may, on the recommendation of the Treasurer, authorise expenditure in a financial year that is not provided for by an appropriation by an Appropriation Act for that year.</w:t>
      </w:r>
    </w:p>
    <w:p>
      <w:pPr>
        <w:pStyle w:val="Subsection"/>
        <w:spacing w:before="120"/>
      </w:pPr>
      <w:r>
        <w:tab/>
        <w:t>(2)</w:t>
      </w:r>
      <w:r>
        <w:tab/>
        <w:t>The Treasurer may authorise expenditure in a financial year that exceeds the amount appropriated by an Appropriation Act for that year for expenditure of that kind.</w:t>
      </w:r>
    </w:p>
    <w:p>
      <w:pPr>
        <w:pStyle w:val="Subsection"/>
        <w:spacing w:before="120"/>
      </w:pPr>
      <w:r>
        <w:tab/>
        <w:t>(3)</w:t>
      </w:r>
      <w:r>
        <w:tab/>
        <w:t>Expenditure may be authorised under subsection (1) or (2) only to make payments in respect of extraordinary or unforeseen matters.</w:t>
      </w:r>
    </w:p>
    <w:p>
      <w:pPr>
        <w:pStyle w:val="Subsection"/>
        <w:spacing w:before="120"/>
      </w:pPr>
      <w:r>
        <w:tab/>
        <w:t>(4)</w:t>
      </w:r>
      <w:r>
        <w:tab/>
        <w:t xml:space="preserve">Payments made under subsection (1) or (2) in a financial year in respect of extraordinary or unforeseen matters are — </w:t>
      </w:r>
    </w:p>
    <w:p>
      <w:pPr>
        <w:pStyle w:val="Indenta"/>
      </w:pPr>
      <w:r>
        <w:tab/>
        <w:t>(a)</w:t>
      </w:r>
      <w:r>
        <w:tab/>
        <w:t>to be charged in that year to the Consolidated Account; and</w:t>
      </w:r>
    </w:p>
    <w:p>
      <w:pPr>
        <w:pStyle w:val="Indenta"/>
      </w:pPr>
      <w:r>
        <w:tab/>
        <w:t>(b)</w:t>
      </w:r>
      <w:r>
        <w:tab/>
        <w:t>to be provided for in an Appropriation Act in the next or a later financial year.</w:t>
      </w:r>
    </w:p>
    <w:p>
      <w:pPr>
        <w:pStyle w:val="Heading5"/>
        <w:spacing w:before="180"/>
      </w:pPr>
      <w:bookmarkStart w:id="46" w:name="_Toc14686318"/>
      <w:r>
        <w:rPr>
          <w:rStyle w:val="CharSectno"/>
        </w:rPr>
        <w:t>28</w:t>
      </w:r>
      <w:r>
        <w:t>.</w:t>
      </w:r>
      <w:r>
        <w:tab/>
        <w:t>Advances, Treasurer may authorise etc.</w:t>
      </w:r>
      <w:bookmarkEnd w:id="46"/>
    </w:p>
    <w:p>
      <w:pPr>
        <w:pStyle w:val="Subsection"/>
        <w:spacing w:before="120"/>
      </w:pPr>
      <w:r>
        <w:tab/>
        <w:t>(1)</w:t>
      </w:r>
      <w:r>
        <w:tab/>
        <w:t xml:space="preserve">The Treasurer may authorise advances to be made — </w:t>
      </w:r>
    </w:p>
    <w:p>
      <w:pPr>
        <w:pStyle w:val="Indenta"/>
      </w:pPr>
      <w:r>
        <w:tab/>
        <w:t>(a)</w:t>
      </w:r>
      <w:r>
        <w:tab/>
        <w:t xml:space="preserve">on the terms and conditions determined by the Treasurer — </w:t>
      </w:r>
    </w:p>
    <w:p>
      <w:pPr>
        <w:pStyle w:val="Indenti"/>
        <w:spacing w:before="60"/>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pPr>
      <w:r>
        <w:tab/>
        <w:t>(2)</w:t>
      </w:r>
      <w:r>
        <w:tab/>
        <w:t xml:space="preserve">In subsection (1)(a) — </w:t>
      </w:r>
    </w:p>
    <w:p>
      <w:pPr>
        <w:pStyle w:val="Defstart"/>
      </w:pPr>
      <w:r>
        <w:rPr>
          <w:b/>
          <w:i/>
          <w:iCs/>
        </w:rPr>
        <w:tab/>
      </w:r>
      <w:r>
        <w:rPr>
          <w:rStyle w:val="CharDefText"/>
          <w:iCs/>
        </w:rPr>
        <w:t>public authority</w:t>
      </w:r>
      <w:r>
        <w:t xml:space="preserve"> means — </w:t>
      </w:r>
    </w:p>
    <w:p>
      <w:pPr>
        <w:pStyle w:val="Defpara"/>
        <w:keepNext/>
      </w:pPr>
      <w:r>
        <w:tab/>
        <w:t>(a)</w:t>
      </w:r>
      <w:r>
        <w:tab/>
        <w:t>a Minister of the State; or</w:t>
      </w:r>
    </w:p>
    <w:p>
      <w:pPr>
        <w:pStyle w:val="Defpara"/>
      </w:pPr>
      <w:r>
        <w:tab/>
        <w:t>(b)</w:t>
      </w:r>
      <w:r>
        <w:tab/>
        <w:t>an agency, authority or instrumentality of the State; or</w:t>
      </w:r>
    </w:p>
    <w:p>
      <w:pPr>
        <w:pStyle w:val="Defpara"/>
      </w:pPr>
      <w:r>
        <w:tab/>
        <w:t>(c)</w:t>
      </w:r>
      <w:r>
        <w:tab/>
        <w:t>a local government; or</w:t>
      </w:r>
    </w:p>
    <w:p>
      <w:pPr>
        <w:pStyle w:val="Defpara"/>
      </w:pPr>
      <w:r>
        <w:tab/>
        <w:t>(d)</w:t>
      </w:r>
      <w:r>
        <w:tab/>
        <w:t>a body, whether corporate or unincorporate, that is established or continued for a public purpose by or under a written law.</w:t>
      </w:r>
    </w:p>
    <w:p>
      <w:pPr>
        <w:pStyle w:val="Subsection"/>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47" w:name="_Toc14686319"/>
      <w:r>
        <w:rPr>
          <w:rStyle w:val="CharSectno"/>
        </w:rPr>
        <w:t>29</w:t>
      </w:r>
      <w:r>
        <w:t>.</w:t>
      </w:r>
      <w:r>
        <w:tab/>
        <w:t>Expenditure under s. 27 and 28 limited</w:t>
      </w:r>
      <w:bookmarkEnd w:id="47"/>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in respect of extraordinary or unforeseen matters or to make advances for the purposes referred to in section 28(1).</w:t>
      </w:r>
    </w:p>
    <w:p>
      <w:pPr>
        <w:pStyle w:val="Heading5"/>
      </w:pPr>
      <w:bookmarkStart w:id="48" w:name="_Toc14686320"/>
      <w:r>
        <w:rPr>
          <w:rStyle w:val="CharSectno"/>
        </w:rPr>
        <w:t>30</w:t>
      </w:r>
      <w:r>
        <w:t>.</w:t>
      </w:r>
      <w:r>
        <w:tab/>
        <w:t>Unexpended appropriations lapse</w:t>
      </w:r>
      <w:bookmarkEnd w:id="48"/>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49" w:name="_Toc14686321"/>
      <w:r>
        <w:rPr>
          <w:rStyle w:val="CharSectno"/>
        </w:rPr>
        <w:t>31</w:t>
      </w:r>
      <w:r>
        <w:t>.</w:t>
      </w:r>
      <w:r>
        <w:tab/>
        <w:t>Public Bank Account Interest Earned Account, application of money in</w:t>
      </w:r>
      <w:bookmarkEnd w:id="49"/>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50" w:name="_Toc14427591"/>
      <w:bookmarkStart w:id="51" w:name="_Toc14686322"/>
      <w:r>
        <w:rPr>
          <w:rStyle w:val="CharDivNo"/>
        </w:rPr>
        <w:t>Division 2</w:t>
      </w:r>
      <w:r>
        <w:t> — </w:t>
      </w:r>
      <w:r>
        <w:rPr>
          <w:rStyle w:val="CharDivText"/>
        </w:rPr>
        <w:t>Payments and transfers</w:t>
      </w:r>
      <w:bookmarkEnd w:id="50"/>
      <w:bookmarkEnd w:id="51"/>
    </w:p>
    <w:p>
      <w:pPr>
        <w:pStyle w:val="Heading5"/>
      </w:pPr>
      <w:bookmarkStart w:id="52" w:name="_Toc14686323"/>
      <w:r>
        <w:rPr>
          <w:rStyle w:val="CharSectno"/>
        </w:rPr>
        <w:t>32</w:t>
      </w:r>
      <w:r>
        <w:t>.</w:t>
      </w:r>
      <w:r>
        <w:tab/>
        <w:t>Certain payments and transfers to be authorised</w:t>
      </w:r>
      <w:bookmarkEnd w:id="52"/>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pPr>
      <w:r>
        <w:tab/>
        <w:t>(2)</w:t>
      </w:r>
      <w:r>
        <w:tab/>
        <w:t xml:space="preserve">In subsection (1) — </w:t>
      </w:r>
    </w:p>
    <w:p>
      <w:pPr>
        <w:pStyle w:val="Defstart"/>
      </w:pPr>
      <w:r>
        <w:rPr>
          <w:b/>
          <w:i/>
          <w:iCs/>
        </w:rPr>
        <w:tab/>
      </w:r>
      <w:r>
        <w:rPr>
          <w:rStyle w:val="CharDefText"/>
          <w:iCs/>
        </w:rPr>
        <w:t>regulated payment</w:t>
      </w:r>
      <w:r>
        <w:t xml:space="preserve"> means — </w:t>
      </w:r>
    </w:p>
    <w:p>
      <w:pPr>
        <w:pStyle w:val="Defpara"/>
      </w:pPr>
      <w:r>
        <w:tab/>
        <w:t>(a)</w:t>
      </w:r>
      <w:r>
        <w:tab/>
        <w:t>a payment that is to be charged to an account forming part of the Public Ledger; or</w:t>
      </w:r>
    </w:p>
    <w:p>
      <w:pPr>
        <w:pStyle w:val="Defpara"/>
        <w:widowControl w:val="0"/>
      </w:pPr>
      <w:r>
        <w:tab/>
        <w:t>(b)</w:t>
      </w:r>
      <w:r>
        <w:tab/>
        <w:t>a payment made by an agency, whether to another agency or otherwise;</w:t>
      </w:r>
    </w:p>
    <w:p>
      <w:pPr>
        <w:pStyle w:val="Defstart"/>
        <w:keepNext/>
      </w:pPr>
      <w:r>
        <w:rPr>
          <w:b/>
          <w:i/>
          <w:iCs/>
        </w:rPr>
        <w:tab/>
      </w:r>
      <w:r>
        <w:rPr>
          <w:rStyle w:val="CharDefText"/>
          <w:iCs/>
        </w:rPr>
        <w:t>regulated transfer</w:t>
      </w:r>
      <w:r>
        <w:rPr>
          <w:i/>
          <w:iCs/>
        </w:rPr>
        <w:t xml:space="preserve"> </w:t>
      </w:r>
      <w:r>
        <w:t xml:space="preserve">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53" w:name="_Toc14686324"/>
      <w:r>
        <w:rPr>
          <w:rStyle w:val="CharSectno"/>
        </w:rPr>
        <w:t>33</w:t>
      </w:r>
      <w:r>
        <w:t>.</w:t>
      </w:r>
      <w:r>
        <w:tab/>
        <w:t>Consolidated Account, payments from to be under Governor’s warrant etc.</w:t>
      </w:r>
      <w:bookmarkEnd w:id="53"/>
    </w:p>
    <w:p>
      <w:pPr>
        <w:pStyle w:val="Subsection"/>
        <w:spacing w:before="120"/>
      </w:pPr>
      <w:r>
        <w:tab/>
      </w:r>
      <w:r>
        <w:tab/>
        <w:t xml:space="preserve">A payment that is to be charged to the Consolidated Account may be made — </w:t>
      </w:r>
    </w:p>
    <w:p>
      <w:pPr>
        <w:pStyle w:val="Indenta"/>
        <w:spacing w:before="60"/>
      </w:pPr>
      <w:r>
        <w:tab/>
        <w:t>(a)</w:t>
      </w:r>
      <w:r>
        <w:tab/>
        <w:t>only in accordance with a warrant under the hand of the Governor; and</w:t>
      </w:r>
    </w:p>
    <w:p>
      <w:pPr>
        <w:pStyle w:val="Indenta"/>
        <w:spacing w:before="60"/>
      </w:pPr>
      <w:r>
        <w:tab/>
        <w:t>(b)</w:t>
      </w:r>
      <w:r>
        <w:tab/>
        <w:t xml:space="preserve">only if — </w:t>
      </w:r>
    </w:p>
    <w:p>
      <w:pPr>
        <w:pStyle w:val="Indenti"/>
        <w:spacing w:before="60"/>
      </w:pPr>
      <w:r>
        <w:tab/>
        <w:t>(i)</w:t>
      </w:r>
      <w:r>
        <w:tab/>
        <w:t>the payment may be made under an appropriation made by an Act; or</w:t>
      </w:r>
    </w:p>
    <w:p>
      <w:pPr>
        <w:pStyle w:val="Indenti"/>
        <w:spacing w:before="60"/>
      </w:pPr>
      <w:r>
        <w:tab/>
        <w:t>(ii)</w:t>
      </w:r>
      <w:r>
        <w:tab/>
        <w:t>the payment is authorised to be charged to the Consolidated Account by or under an Act.</w:t>
      </w:r>
    </w:p>
    <w:p>
      <w:pPr>
        <w:pStyle w:val="Heading5"/>
      </w:pPr>
      <w:bookmarkStart w:id="54" w:name="_Toc14686325"/>
      <w:r>
        <w:rPr>
          <w:rStyle w:val="CharSectno"/>
        </w:rPr>
        <w:t>34</w:t>
      </w:r>
      <w:r>
        <w:t>.</w:t>
      </w:r>
      <w:r>
        <w:tab/>
        <w:t>Public etc. money received, how to be dealt with</w:t>
      </w:r>
      <w:bookmarkEnd w:id="54"/>
    </w:p>
    <w:p>
      <w:pPr>
        <w:pStyle w:val="Subsection"/>
        <w:spacing w:before="120"/>
      </w:pPr>
      <w:r>
        <w:tab/>
      </w:r>
      <w:r>
        <w:tab/>
        <w:t>A person who collects or receives public money or statutory authority money is to deposit the money to the credit of a bank account in accordance with the Treasurer’s instructions.</w:t>
      </w:r>
    </w:p>
    <w:p>
      <w:pPr>
        <w:pStyle w:val="Heading5"/>
      </w:pPr>
      <w:bookmarkStart w:id="55" w:name="_Toc14686326"/>
      <w:r>
        <w:rPr>
          <w:rStyle w:val="CharSectno"/>
        </w:rPr>
        <w:t>35</w:t>
      </w:r>
      <w:r>
        <w:t>.</w:t>
      </w:r>
      <w:r>
        <w:tab/>
        <w:t>Public Bank Account, how payments into to be credited</w:t>
      </w:r>
      <w:bookmarkEnd w:id="55"/>
    </w:p>
    <w:p>
      <w:pPr>
        <w:pStyle w:val="Subsection"/>
        <w:spacing w:before="120"/>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spacing w:before="120"/>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56" w:name="_Toc14686327"/>
      <w:r>
        <w:rPr>
          <w:rStyle w:val="CharSectno"/>
        </w:rPr>
        <w:t>36</w:t>
      </w:r>
      <w:r>
        <w:t>.</w:t>
      </w:r>
      <w:r>
        <w:tab/>
        <w:t>Other money, how to be dealt with</w:t>
      </w:r>
      <w:bookmarkEnd w:id="56"/>
    </w:p>
    <w:p>
      <w:pPr>
        <w:pStyle w:val="Subsection"/>
        <w:spacing w:before="120"/>
      </w:pPr>
      <w:r>
        <w:tab/>
        <w:t>(1)</w:t>
      </w:r>
      <w:r>
        <w:tab/>
        <w:t xml:space="preserve">In this section — </w:t>
      </w:r>
    </w:p>
    <w:p>
      <w:pPr>
        <w:pStyle w:val="Defstart"/>
        <w:spacing w:before="60"/>
      </w:pPr>
      <w:r>
        <w:rPr>
          <w:b/>
          <w:i/>
          <w:iCs/>
        </w:rPr>
        <w:tab/>
      </w:r>
      <w:r>
        <w:rPr>
          <w:rStyle w:val="CharDefText"/>
          <w:iCs/>
        </w:rPr>
        <w:t>relevant accountable authority</w:t>
      </w:r>
      <w:r>
        <w:t xml:space="preserve"> means the accountable authority of the agency for the purposes of which the relevant person is employed or engaged;</w:t>
      </w:r>
    </w:p>
    <w:p>
      <w:pPr>
        <w:pStyle w:val="Defstart"/>
      </w:pPr>
      <w:r>
        <w:rPr>
          <w:b/>
          <w:i/>
          <w:iCs/>
        </w:rPr>
        <w:tab/>
      </w:r>
      <w:r>
        <w:rPr>
          <w:rStyle w:val="CharDefText"/>
          <w:iCs/>
        </w:rPr>
        <w:t>relevant person</w:t>
      </w:r>
      <w:r>
        <w:t xml:space="preserve"> means a person employed or engaged for the purposes of an agency.</w:t>
      </w:r>
    </w:p>
    <w:p>
      <w:pPr>
        <w:pStyle w:val="Subsection"/>
        <w:spacing w:before="120"/>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spacing w:before="120"/>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spacing w:before="120"/>
      </w:pPr>
      <w:r>
        <w:tab/>
        <w:t>(5)</w:t>
      </w:r>
      <w:r>
        <w:tab/>
        <w:t>The relevant accountable authority is to send the trust statement to the Treasurer.</w:t>
      </w:r>
    </w:p>
    <w:p>
      <w:pPr>
        <w:pStyle w:val="Subsection"/>
        <w:spacing w:before="120"/>
      </w:pPr>
      <w:r>
        <w:tab/>
        <w:t>(6)</w:t>
      </w:r>
      <w:r>
        <w:tab/>
        <w:t>When the Treasurer approves the trust statement, the relevant accountable authority is to send a copy of it to the Auditor General.</w:t>
      </w:r>
    </w:p>
    <w:p>
      <w:pPr>
        <w:pStyle w:val="Subsection"/>
        <w:spacing w:before="120"/>
      </w:pPr>
      <w:r>
        <w:tab/>
        <w:t>(7)</w:t>
      </w:r>
      <w:r>
        <w:tab/>
        <w:t>Another written law that applies to other money prevails to the extent of any inconsistency with this section.</w:t>
      </w:r>
    </w:p>
    <w:p>
      <w:pPr>
        <w:pStyle w:val="Heading3"/>
        <w:keepNext w:val="0"/>
        <w:pageBreakBefore/>
        <w:spacing w:before="0"/>
      </w:pPr>
      <w:bookmarkStart w:id="57" w:name="_Toc14427597"/>
      <w:bookmarkStart w:id="58" w:name="_Toc14686328"/>
      <w:r>
        <w:rPr>
          <w:rStyle w:val="CharDivNo"/>
        </w:rPr>
        <w:t>Division 3</w:t>
      </w:r>
      <w:r>
        <w:t> — </w:t>
      </w:r>
      <w:r>
        <w:rPr>
          <w:rStyle w:val="CharDivText"/>
        </w:rPr>
        <w:t>Investments</w:t>
      </w:r>
      <w:bookmarkEnd w:id="57"/>
      <w:bookmarkEnd w:id="58"/>
    </w:p>
    <w:p>
      <w:pPr>
        <w:pStyle w:val="Heading5"/>
      </w:pPr>
      <w:bookmarkStart w:id="59" w:name="_Toc14686329"/>
      <w:r>
        <w:rPr>
          <w:rStyle w:val="CharSectno"/>
        </w:rPr>
        <w:t>37</w:t>
      </w:r>
      <w:r>
        <w:t>.</w:t>
      </w:r>
      <w:r>
        <w:tab/>
        <w:t>Public Bank Account, investment of</w:t>
      </w:r>
      <w:bookmarkEnd w:id="59"/>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60" w:name="_Toc14686330"/>
      <w:r>
        <w:rPr>
          <w:rStyle w:val="CharSectno"/>
        </w:rPr>
        <w:t>38</w:t>
      </w:r>
      <w:r>
        <w:t>.</w:t>
      </w:r>
      <w:r>
        <w:tab/>
        <w:t>Investment under s. 37, application of proceeds of</w:t>
      </w:r>
      <w:bookmarkEnd w:id="60"/>
    </w:p>
    <w:p>
      <w:pPr>
        <w:pStyle w:val="Subsection"/>
      </w:pPr>
      <w:r>
        <w:tab/>
        <w:t>(1)</w:t>
      </w:r>
      <w:r>
        <w:tab/>
        <w:t xml:space="preserve">In this section — </w:t>
      </w:r>
    </w:p>
    <w:p>
      <w:pPr>
        <w:pStyle w:val="Defstart"/>
      </w:pPr>
      <w:r>
        <w:rPr>
          <w:b/>
          <w:i/>
          <w:iCs/>
        </w:rPr>
        <w:tab/>
      </w:r>
      <w:r>
        <w:rPr>
          <w:rStyle w:val="CharDefText"/>
          <w:iCs/>
        </w:rPr>
        <w:t>investment</w:t>
      </w:r>
      <w:r>
        <w:rPr>
          <w:i/>
          <w:iCs/>
        </w:rPr>
        <w:t xml:space="preserve"> </w:t>
      </w:r>
      <w:r>
        <w:t>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keepNext/>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pPr>
      <w:r>
        <w:tab/>
        <w:t>(b)</w:t>
      </w:r>
      <w:r>
        <w:tab/>
        <w:t>to be paid to one or more statutory authorities or other persons specified in the determination,</w:t>
      </w:r>
    </w:p>
    <w:p>
      <w:pPr>
        <w:pStyle w:val="Subsection"/>
        <w:spacing w:before="140"/>
      </w:pPr>
      <w:r>
        <w:tab/>
      </w:r>
      <w:r>
        <w:tab/>
        <w:t>at the rate determined by the Treasurer and specified in the determination.</w:t>
      </w:r>
    </w:p>
    <w:p>
      <w:pPr>
        <w:pStyle w:val="Subsection"/>
        <w:spacing w:before="140"/>
      </w:pPr>
      <w:r>
        <w:tab/>
        <w:t>(6)</w:t>
      </w:r>
      <w:r>
        <w:tab/>
        <w:t>The rate determined by the Treasurer under subsection (5) is not to exceed the rate of return on the investment of money in the Public Bank Account.</w:t>
      </w:r>
    </w:p>
    <w:p>
      <w:pPr>
        <w:pStyle w:val="Subsection"/>
        <w:spacing w:before="140"/>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spacing w:before="140"/>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spacing w:before="140"/>
      </w:pPr>
      <w:r>
        <w:tab/>
        <w:t>(9)</w:t>
      </w:r>
      <w:r>
        <w:tab/>
        <w:t>Money received from investment may be credited to the Public Bank Account Interest Earned Account pending being dealt with under subsection (3), (4) or (5).</w:t>
      </w:r>
    </w:p>
    <w:p>
      <w:pPr>
        <w:pStyle w:val="Subsection"/>
        <w:spacing w:before="140"/>
      </w:pPr>
      <w:r>
        <w:tab/>
        <w:t>(10)</w:t>
      </w:r>
      <w:r>
        <w:tab/>
        <w:t>Subject to subsection (4), this section has effect despite any written law concerning the distribution of income derived from the investment of particular money.</w:t>
      </w:r>
    </w:p>
    <w:p>
      <w:pPr>
        <w:pStyle w:val="Heading5"/>
        <w:spacing w:before="180"/>
      </w:pPr>
      <w:bookmarkStart w:id="61" w:name="_Toc14686331"/>
      <w:r>
        <w:rPr>
          <w:rStyle w:val="CharSectno"/>
        </w:rPr>
        <w:t>39</w:t>
      </w:r>
      <w:r>
        <w:t>.</w:t>
      </w:r>
      <w:r>
        <w:tab/>
        <w:t>Investment by agencies</w:t>
      </w:r>
      <w:bookmarkEnd w:id="61"/>
    </w:p>
    <w:p>
      <w:pPr>
        <w:pStyle w:val="Subsection"/>
        <w:spacing w:before="180"/>
      </w:pPr>
      <w:r>
        <w:tab/>
        <w:t>(1)</w:t>
      </w:r>
      <w:r>
        <w:tab/>
        <w:t xml:space="preserve">Subsection (2) applies 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spacing w:before="140"/>
      </w:pPr>
      <w:r>
        <w:tab/>
      </w:r>
      <w:r>
        <w:tab/>
        <w:t>whether in the Public Bank Account or in a bank account maintained under section 13 that does not form part of the Public Bank Account.</w:t>
      </w:r>
    </w:p>
    <w:p>
      <w:pPr>
        <w:pStyle w:val="Subsection"/>
        <w:keepNext/>
        <w:spacing w:before="180"/>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pPr>
      <w:r>
        <w:tab/>
        <w:t>(b)</w:t>
      </w:r>
      <w:r>
        <w:tab/>
        <w:t>in accordance with any written directions issued by the Treasurer, which may include directions about how income from investment under this section is to be dealt with.</w:t>
      </w:r>
    </w:p>
    <w:p>
      <w:pPr>
        <w:pStyle w:val="Subsection"/>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pPr>
      <w:r>
        <w:tab/>
        <w:t>(5)</w:t>
      </w:r>
      <w:r>
        <w:tab/>
        <w:t xml:space="preserve">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spacing w:before="120"/>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62" w:name="_Toc14427601"/>
      <w:bookmarkStart w:id="63" w:name="_Toc14686332"/>
      <w:r>
        <w:rPr>
          <w:rStyle w:val="CharDivNo"/>
        </w:rPr>
        <w:t>Division 4</w:t>
      </w:r>
      <w:r>
        <w:t> — </w:t>
      </w:r>
      <w:r>
        <w:rPr>
          <w:rStyle w:val="CharDivText"/>
        </w:rPr>
        <w:t>Annual estimates of statutory authorities</w:t>
      </w:r>
      <w:bookmarkEnd w:id="62"/>
      <w:bookmarkEnd w:id="63"/>
    </w:p>
    <w:p>
      <w:pPr>
        <w:pStyle w:val="Heading5"/>
      </w:pPr>
      <w:bookmarkStart w:id="64" w:name="_Toc14686333"/>
      <w:r>
        <w:rPr>
          <w:rStyle w:val="CharSectno"/>
        </w:rPr>
        <w:t>40</w:t>
      </w:r>
      <w:r>
        <w:t>.</w:t>
      </w:r>
      <w:r>
        <w:tab/>
        <w:t>Annual estimates, preparation of etc.</w:t>
      </w:r>
      <w:bookmarkEnd w:id="64"/>
    </w:p>
    <w:p>
      <w:pPr>
        <w:pStyle w:val="Subsection"/>
      </w:pPr>
      <w:r>
        <w:tab/>
        <w:t>(1)</w:t>
      </w:r>
      <w:r>
        <w:tab/>
        <w:t xml:space="preserve">Unless otherwise directed in writing by the Treasurer, the accountable authority of a statutory authority is to prepare annual estimates of the financial operations of the statutory authority (the </w:t>
      </w:r>
      <w:r>
        <w:rPr>
          <w:rStyle w:val="CharDefText"/>
          <w:iCs/>
        </w:rPr>
        <w:t>annual estimates</w:t>
      </w:r>
      <w:r>
        <w:t>) in the manner prescribed by the Treasurer’s instructions.</w:t>
      </w:r>
    </w:p>
    <w:p>
      <w:pPr>
        <w:pStyle w:val="Subsection"/>
      </w:pPr>
      <w:r>
        <w:tab/>
        <w:t>(2)</w:t>
      </w:r>
      <w:r>
        <w:tab/>
        <w:t>The accountable authority is to submit the annual estimates to the Minister for approval at the time determined by the Treasurer and in the manner prescribed by the Treasurer’s instructions.</w:t>
      </w:r>
    </w:p>
    <w:p>
      <w:pPr>
        <w:pStyle w:val="Subsection"/>
      </w:pPr>
      <w:r>
        <w:tab/>
        <w:t>(3)</w:t>
      </w:r>
      <w:r>
        <w:tab/>
        <w:t xml:space="preserve">The Minister may — </w:t>
      </w:r>
    </w:p>
    <w:p>
      <w:pPr>
        <w:pStyle w:val="Indenta"/>
      </w:pPr>
      <w:r>
        <w:tab/>
        <w:t>(a)</w:t>
      </w:r>
      <w:r>
        <w:tab/>
        <w:t>approve the annual estimates; or</w:t>
      </w:r>
    </w:p>
    <w:p>
      <w:pPr>
        <w:pStyle w:val="Indenta"/>
      </w:pPr>
      <w:r>
        <w:tab/>
        <w:t>(b)</w:t>
      </w:r>
      <w:r>
        <w:tab/>
        <w:t>reject them and require the accountable authority to prepare and submit for approval amended annual estimates within the period that the Minister directs.</w:t>
      </w:r>
    </w:p>
    <w:p>
      <w:pPr>
        <w:pStyle w:val="Subsection"/>
      </w:pPr>
      <w:r>
        <w:tab/>
        <w:t>(4)</w:t>
      </w:r>
      <w:r>
        <w:tab/>
        <w:t>Subsection (3) also applies to amended annual estimates submitted under that subsection.</w:t>
      </w:r>
    </w:p>
    <w:p>
      <w:pPr>
        <w:pStyle w:val="Heading3"/>
      </w:pPr>
      <w:bookmarkStart w:id="65" w:name="_Toc14427603"/>
      <w:bookmarkStart w:id="66" w:name="_Toc14686334"/>
      <w:r>
        <w:rPr>
          <w:rStyle w:val="CharDivNo"/>
        </w:rPr>
        <w:t>Division 5</w:t>
      </w:r>
      <w:r>
        <w:t> — </w:t>
      </w:r>
      <w:r>
        <w:rPr>
          <w:rStyle w:val="CharDivText"/>
        </w:rPr>
        <w:t>Resource agreements</w:t>
      </w:r>
      <w:bookmarkEnd w:id="65"/>
      <w:bookmarkEnd w:id="66"/>
    </w:p>
    <w:p>
      <w:pPr>
        <w:pStyle w:val="Heading5"/>
      </w:pPr>
      <w:bookmarkStart w:id="67" w:name="_Toc14686335"/>
      <w:r>
        <w:rPr>
          <w:rStyle w:val="CharSectno"/>
        </w:rPr>
        <w:t>41</w:t>
      </w:r>
      <w:r>
        <w:t>.</w:t>
      </w:r>
      <w:r>
        <w:tab/>
        <w:t>Draft resource agreements, when required etc.</w:t>
      </w:r>
      <w:bookmarkEnd w:id="67"/>
    </w:p>
    <w:p>
      <w:pPr>
        <w:pStyle w:val="Subsection"/>
      </w:pPr>
      <w:r>
        <w:tab/>
        <w:t>(1)</w:t>
      </w:r>
      <w:r>
        <w:tab/>
        <w:t xml:space="preserve">If directed in writing by the Treasurer to do so in respect of a financial year of the agency, the accountable authority of an agency is to submit a draft resource agreement </w:t>
      </w:r>
      <w:r>
        <w:rPr>
          <w:bCs/>
        </w:rPr>
        <w:t xml:space="preserve">for the agency to </w:t>
      </w:r>
      <w:r>
        <w:t>the Treasurer for his or her agreement.</w:t>
      </w:r>
    </w:p>
    <w:p>
      <w:pPr>
        <w:pStyle w:val="Subsection"/>
      </w:pPr>
      <w:r>
        <w:tab/>
        <w:t>(2)</w:t>
      </w:r>
      <w:r>
        <w:tab/>
        <w:t xml:space="preserve">The accountable authority of an agency is to submit the draft resource agreement — </w:t>
      </w:r>
    </w:p>
    <w:p>
      <w:pPr>
        <w:pStyle w:val="Indenta"/>
      </w:pPr>
      <w:r>
        <w:tab/>
        <w:t>(a)</w:t>
      </w:r>
      <w:r>
        <w:tab/>
        <w:t>not later than 3 months before the start of the next financial year of the agency; or</w:t>
      </w:r>
    </w:p>
    <w:p>
      <w:pPr>
        <w:pStyle w:val="Indenta"/>
        <w:keepNext/>
      </w:pPr>
      <w:r>
        <w:tab/>
        <w:t>(b)</w:t>
      </w:r>
      <w:r>
        <w:tab/>
        <w:t>as otherwise directed in writing by the Treasurer.</w:t>
      </w:r>
    </w:p>
    <w:p>
      <w:pPr>
        <w:pStyle w:val="Heading5"/>
      </w:pPr>
      <w:bookmarkStart w:id="68" w:name="_Toc14686336"/>
      <w:r>
        <w:rPr>
          <w:rStyle w:val="CharSectno"/>
        </w:rPr>
        <w:t>42</w:t>
      </w:r>
      <w:r>
        <w:t>.</w:t>
      </w:r>
      <w:r>
        <w:tab/>
        <w:t>Period to which resource agreements relate</w:t>
      </w:r>
      <w:bookmarkEnd w:id="68"/>
    </w:p>
    <w:p>
      <w:pPr>
        <w:pStyle w:val="Subsection"/>
        <w:spacing w:before="120"/>
      </w:pPr>
      <w:r>
        <w:tab/>
        <w:t>(1)</w:t>
      </w:r>
      <w:r>
        <w:tab/>
        <w:t>A resource agreement for an agency is to cover a financial year of the agency.</w:t>
      </w:r>
    </w:p>
    <w:p>
      <w:pPr>
        <w:pStyle w:val="Subsection"/>
        <w:spacing w:before="120"/>
      </w:pPr>
      <w:r>
        <w:tab/>
        <w:t>(2)</w:t>
      </w:r>
      <w:r>
        <w:tab/>
        <w:t>The first resource agreement for an agency is to be in respect of the next full financial year of the agency after the commencement of this Division.</w:t>
      </w:r>
    </w:p>
    <w:p>
      <w:pPr>
        <w:pStyle w:val="Heading5"/>
      </w:pPr>
      <w:bookmarkStart w:id="69" w:name="_Toc14686337"/>
      <w:r>
        <w:rPr>
          <w:rStyle w:val="CharSectno"/>
        </w:rPr>
        <w:t>43</w:t>
      </w:r>
      <w:r>
        <w:t>.</w:t>
      </w:r>
      <w:r>
        <w:tab/>
        <w:t>Content of resource agreements</w:t>
      </w:r>
      <w:bookmarkEnd w:id="69"/>
    </w:p>
    <w:p>
      <w:pPr>
        <w:pStyle w:val="Subsection"/>
        <w:spacing w:before="120"/>
      </w:pPr>
      <w:r>
        <w:tab/>
      </w:r>
      <w:r>
        <w:tab/>
        <w:t xml:space="preserve">A resource agreement for an agency is to specify — </w:t>
      </w:r>
    </w:p>
    <w:p>
      <w:pPr>
        <w:pStyle w:val="Indenta"/>
      </w:pPr>
      <w:r>
        <w:tab/>
        <w:t>(a)</w:t>
      </w:r>
      <w:r>
        <w:tab/>
        <w:t>the total amount of resources that are expected to be made available to the agency for the financial year; and</w:t>
      </w:r>
    </w:p>
    <w:p>
      <w:pPr>
        <w:pStyle w:val="Indenta"/>
      </w:pPr>
      <w:r>
        <w:tab/>
        <w:t>(b)</w:t>
      </w:r>
      <w:r>
        <w:tab/>
        <w:t>the services proposed to be provided by the agency during the financial year; and</w:t>
      </w:r>
    </w:p>
    <w:p>
      <w:pPr>
        <w:pStyle w:val="Indenta"/>
      </w:pPr>
      <w:r>
        <w:tab/>
        <w:t>(c)</w:t>
      </w:r>
      <w:r>
        <w:tab/>
        <w:t>any other matters required by the Treasurer to be specified in the agreement.</w:t>
      </w:r>
    </w:p>
    <w:p>
      <w:pPr>
        <w:pStyle w:val="Heading5"/>
      </w:pPr>
      <w:bookmarkStart w:id="70" w:name="_Toc14686338"/>
      <w:r>
        <w:rPr>
          <w:rStyle w:val="CharSectno"/>
        </w:rPr>
        <w:t>44</w:t>
      </w:r>
      <w:r>
        <w:t>.</w:t>
      </w:r>
      <w:r>
        <w:tab/>
        <w:t>When resource agreements to be agreed if possible</w:t>
      </w:r>
      <w:bookmarkEnd w:id="70"/>
    </w:p>
    <w:p>
      <w:pPr>
        <w:pStyle w:val="Subsection"/>
        <w:spacing w:before="120"/>
      </w:pPr>
      <w:r>
        <w:tab/>
      </w:r>
      <w:r>
        <w:tab/>
        <w:t>The accountable authority of an agency and the Treasurer are to try to reach agreement on a resource agreement for the agency before the start of the financial year to which the agreement relates.</w:t>
      </w:r>
    </w:p>
    <w:p>
      <w:pPr>
        <w:pStyle w:val="Heading5"/>
      </w:pPr>
      <w:bookmarkStart w:id="71" w:name="_Toc14686339"/>
      <w:r>
        <w:rPr>
          <w:rStyle w:val="CharSectno"/>
        </w:rPr>
        <w:t>45</w:t>
      </w:r>
      <w:r>
        <w:t>.</w:t>
      </w:r>
      <w:r>
        <w:tab/>
        <w:t>Draft resource agreements, Treasurer’s powers as to</w:t>
      </w:r>
      <w:bookmarkEnd w:id="71"/>
      <w:r>
        <w:t xml:space="preserve"> </w:t>
      </w:r>
    </w:p>
    <w:p>
      <w:pPr>
        <w:pStyle w:val="Subsection"/>
        <w:spacing w:before="120"/>
      </w:pPr>
      <w:r>
        <w:tab/>
        <w:t>(1)</w:t>
      </w:r>
      <w:r>
        <w:tab/>
        <w:t xml:space="preserve">The Treasurer may return a draft resource agreement to the accountable authority of an agency and request the accountable authority — </w:t>
      </w:r>
    </w:p>
    <w:p>
      <w:pPr>
        <w:pStyle w:val="Indenta"/>
      </w:pPr>
      <w:r>
        <w:tab/>
        <w:t>(a)</w:t>
      </w:r>
      <w:r>
        <w:tab/>
        <w:t>to consider or further consider any matter and deal with the matter in the draft resource agreement; and</w:t>
      </w:r>
    </w:p>
    <w:p>
      <w:pPr>
        <w:pStyle w:val="Indenta"/>
      </w:pPr>
      <w:r>
        <w:tab/>
        <w:t>(b)</w:t>
      </w:r>
      <w:r>
        <w:tab/>
        <w:t>to revise the draft resource agreement in light of that consideration or further consideration.</w:t>
      </w:r>
    </w:p>
    <w:p>
      <w:pPr>
        <w:pStyle w:val="Subsection"/>
        <w:spacing w:before="180"/>
      </w:pPr>
      <w:r>
        <w:tab/>
        <w:t>(2)</w:t>
      </w:r>
      <w:r>
        <w:tab/>
        <w:t xml:space="preserve">If the accountable authority and the Treasurer have not reached agreement on a draft resource agreement by one month before the start of the financial year, the Treasurer may, in writing, direct the accountable authority — </w:t>
      </w:r>
    </w:p>
    <w:p>
      <w:pPr>
        <w:pStyle w:val="Indenta"/>
      </w:pPr>
      <w:r>
        <w:tab/>
        <w:t>(a)</w:t>
      </w:r>
      <w:r>
        <w:tab/>
        <w:t>to take specified steps in relation to the draft resource agreement; or</w:t>
      </w:r>
    </w:p>
    <w:p>
      <w:pPr>
        <w:pStyle w:val="Indenta"/>
      </w:pPr>
      <w:r>
        <w:tab/>
        <w:t>(b)</w:t>
      </w:r>
      <w:r>
        <w:tab/>
        <w:t>to make specified modifications to the draft resource agreement.</w:t>
      </w:r>
    </w:p>
    <w:p>
      <w:pPr>
        <w:pStyle w:val="Subsection"/>
        <w:spacing w:before="180"/>
      </w:pPr>
      <w:r>
        <w:tab/>
        <w:t>(3)</w:t>
      </w:r>
      <w:r>
        <w:tab/>
        <w:t>The accountable authority is to comply with a direction under subsection (2) as soon as is practicable and, in any event, not later than the start of the financial year or any later date approved by the Treasurer.</w:t>
      </w:r>
    </w:p>
    <w:p>
      <w:pPr>
        <w:pStyle w:val="Heading5"/>
        <w:spacing w:before="240"/>
      </w:pPr>
      <w:bookmarkStart w:id="72" w:name="_Toc14686340"/>
      <w:r>
        <w:rPr>
          <w:rStyle w:val="CharSectno"/>
        </w:rPr>
        <w:t>46</w:t>
      </w:r>
      <w:r>
        <w:t>.</w:t>
      </w:r>
      <w:r>
        <w:tab/>
        <w:t>Draft resource agreements, agreeing on</w:t>
      </w:r>
      <w:bookmarkEnd w:id="72"/>
    </w:p>
    <w:p>
      <w:pPr>
        <w:pStyle w:val="Subsection"/>
        <w:spacing w:before="180"/>
      </w:pPr>
      <w:r>
        <w:tab/>
        <w:t>(1)</w:t>
      </w:r>
      <w:r>
        <w:tab/>
        <w:t>When the accountable authority of an agency and the Treasurer reach agreement on a draft resource agreement, it becomes the resource agreement for the agency for the relevant financial year.</w:t>
      </w:r>
    </w:p>
    <w:p>
      <w:pPr>
        <w:pStyle w:val="Subsection"/>
        <w:spacing w:before="180"/>
      </w:pPr>
      <w:r>
        <w:tab/>
        <w:t>(2)</w:t>
      </w:r>
      <w:r>
        <w:tab/>
        <w:t>The accountable authority of an agency is to obtain the Minister’s approval before reaching agreement with the Treasurer on a draft resource agreement for the agency.</w:t>
      </w:r>
    </w:p>
    <w:p>
      <w:pPr>
        <w:pStyle w:val="Heading3"/>
      </w:pPr>
      <w:bookmarkStart w:id="73" w:name="_Toc14427610"/>
      <w:bookmarkStart w:id="74" w:name="_Toc14686341"/>
      <w:r>
        <w:rPr>
          <w:rStyle w:val="CharDivNo"/>
        </w:rPr>
        <w:t>Division 6</w:t>
      </w:r>
      <w:r>
        <w:t> — </w:t>
      </w:r>
      <w:r>
        <w:rPr>
          <w:rStyle w:val="CharDivText"/>
        </w:rPr>
        <w:t>Write</w:t>
      </w:r>
      <w:r>
        <w:rPr>
          <w:rStyle w:val="CharDivText"/>
        </w:rPr>
        <w:noBreakHyphen/>
        <w:t>offs and recoveries</w:t>
      </w:r>
      <w:bookmarkEnd w:id="73"/>
      <w:bookmarkEnd w:id="74"/>
    </w:p>
    <w:p>
      <w:pPr>
        <w:pStyle w:val="Heading5"/>
        <w:spacing w:before="240"/>
      </w:pPr>
      <w:bookmarkStart w:id="75" w:name="_Toc14686342"/>
      <w:r>
        <w:rPr>
          <w:rStyle w:val="CharSectno"/>
        </w:rPr>
        <w:t>47</w:t>
      </w:r>
      <w:r>
        <w:t>.</w:t>
      </w:r>
      <w:r>
        <w:tab/>
        <w:t>Terms used</w:t>
      </w:r>
      <w:bookmarkEnd w:id="75"/>
    </w:p>
    <w:p>
      <w:pPr>
        <w:pStyle w:val="Subsection"/>
        <w:spacing w:before="180"/>
      </w:pPr>
      <w:r>
        <w:tab/>
      </w:r>
      <w:r>
        <w:tab/>
        <w:t xml:space="preserve">In this Division — </w:t>
      </w:r>
    </w:p>
    <w:p>
      <w:pPr>
        <w:pStyle w:val="Defstart"/>
      </w:pPr>
      <w:r>
        <w:rPr>
          <w:b/>
          <w:i/>
          <w:iCs/>
        </w:rPr>
        <w:tab/>
      </w:r>
      <w:r>
        <w:rPr>
          <w:rStyle w:val="CharDefText"/>
          <w:iCs/>
        </w:rPr>
        <w:t>loss</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keepNext/>
      </w:pPr>
      <w:r>
        <w:rPr>
          <w:b/>
          <w:i/>
          <w:iCs/>
        </w:rPr>
        <w:tab/>
      </w:r>
      <w:r>
        <w:rPr>
          <w:rStyle w:val="CharDefText"/>
          <w:iCs/>
        </w:rPr>
        <w:t>official money</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i/>
          <w:iCs/>
        </w:rPr>
        <w:tab/>
      </w:r>
      <w:r>
        <w:rPr>
          <w:rStyle w:val="CharDefText"/>
          <w:iCs/>
        </w:rPr>
        <w:t>official property</w:t>
      </w:r>
      <w:r>
        <w:t xml:space="preserve"> means public property and other property;</w:t>
      </w:r>
    </w:p>
    <w:p>
      <w:pPr>
        <w:pStyle w:val="Defstart"/>
      </w:pPr>
      <w:r>
        <w:rPr>
          <w:b/>
          <w:i/>
          <w:iCs/>
        </w:rPr>
        <w:tab/>
      </w:r>
      <w:r>
        <w:rPr>
          <w:rStyle w:val="CharDefText"/>
          <w:iCs/>
        </w:rPr>
        <w:t>relevant authority</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spacing w:before="240"/>
      </w:pPr>
      <w:bookmarkStart w:id="76" w:name="_Toc14686343"/>
      <w:r>
        <w:rPr>
          <w:rStyle w:val="CharSectno"/>
        </w:rPr>
        <w:t>48</w:t>
      </w:r>
      <w:r>
        <w:t>.</w:t>
      </w:r>
      <w:r>
        <w:tab/>
        <w:t>Write</w:t>
      </w:r>
      <w:r>
        <w:noBreakHyphen/>
        <w:t>offs</w:t>
      </w:r>
      <w:bookmarkEnd w:id="76"/>
    </w:p>
    <w:p>
      <w:pPr>
        <w:pStyle w:val="Subsection"/>
      </w:pPr>
      <w:r>
        <w:tab/>
        <w:t>(1)</w:t>
      </w:r>
      <w:r>
        <w:tab/>
        <w:t xml:space="preserve">In this section — </w:t>
      </w:r>
    </w:p>
    <w:p>
      <w:pPr>
        <w:pStyle w:val="Defstart"/>
      </w:pPr>
      <w:r>
        <w:rPr>
          <w:b/>
          <w:i/>
          <w:iCs/>
        </w:rPr>
        <w:tab/>
      </w:r>
      <w:r>
        <w:rPr>
          <w:rStyle w:val="CharDefText"/>
          <w:iCs/>
        </w:rPr>
        <w:t>relevant amounts</w:t>
      </w:r>
      <w:r>
        <w:t xml:space="preserve"> means — </w:t>
      </w:r>
    </w:p>
    <w:p>
      <w:pPr>
        <w:pStyle w:val="Defpara"/>
      </w:pPr>
      <w:r>
        <w:tab/>
        <w:t>(a)</w:t>
      </w:r>
      <w:r>
        <w:tab/>
        <w:t>amounts in respect of public property held for or on behalf of the State and revenue and other debts due to the State; or</w:t>
      </w:r>
    </w:p>
    <w:p>
      <w:pPr>
        <w:pStyle w:val="Defpara"/>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Governor,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Heading5"/>
      </w:pPr>
      <w:bookmarkStart w:id="77" w:name="_Toc14686344"/>
      <w:r>
        <w:rPr>
          <w:rStyle w:val="CharSectno"/>
        </w:rPr>
        <w:t>49</w:t>
      </w:r>
      <w:r>
        <w:t>.</w:t>
      </w:r>
      <w:r>
        <w:tab/>
        <w:t>Loss of official money or property, liability of officers for</w:t>
      </w:r>
      <w:bookmarkEnd w:id="77"/>
      <w:r>
        <w:t xml:space="preserve"> </w:t>
      </w:r>
    </w:p>
    <w:p>
      <w:pPr>
        <w:pStyle w:val="Subsection"/>
      </w:pPr>
      <w:r>
        <w:tab/>
        <w:t>(1)</w:t>
      </w:r>
      <w:r>
        <w:tab/>
        <w:t xml:space="preserve">For the purposes of this section — </w:t>
      </w:r>
    </w:p>
    <w:p>
      <w:pPr>
        <w:pStyle w:val="Indenta"/>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pPr>
      <w:r>
        <w:tab/>
        <w:t>(2)</w:t>
      </w:r>
      <w:r>
        <w:tab/>
        <w:t xml:space="preserve">Subject to subsection (3), if — </w:t>
      </w:r>
    </w:p>
    <w:p>
      <w:pPr>
        <w:pStyle w:val="Indenta"/>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pPr>
      <w:r>
        <w:tab/>
        <w:t>(4)</w:t>
      </w:r>
      <w:r>
        <w:tab/>
        <w:t xml:space="preserve">Subject to subsection (5), if — </w:t>
      </w:r>
    </w:p>
    <w:p>
      <w:pPr>
        <w:pStyle w:val="Indenta"/>
      </w:pPr>
      <w:r>
        <w:tab/>
        <w:t>(a)</w:t>
      </w:r>
      <w:r>
        <w:tab/>
        <w:t>a loss of official money or official property occurs; and</w:t>
      </w:r>
    </w:p>
    <w:p>
      <w:pPr>
        <w:pStyle w:val="Indenta"/>
        <w:keepNext/>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spacing w:before="240"/>
      </w:pPr>
      <w:bookmarkStart w:id="78" w:name="_Toc14686345"/>
      <w:r>
        <w:rPr>
          <w:rStyle w:val="CharSectno"/>
        </w:rPr>
        <w:t>50</w:t>
      </w:r>
      <w:r>
        <w:t>.</w:t>
      </w:r>
      <w:r>
        <w:tab/>
        <w:t>Recovering amounts from officers liable under s. 49</w:t>
      </w:r>
      <w:bookmarkEnd w:id="78"/>
    </w:p>
    <w:p>
      <w:pPr>
        <w:pStyle w:val="Subsection"/>
      </w:pPr>
      <w:r>
        <w:tab/>
        <w:t>(1)</w:t>
      </w:r>
      <w:r>
        <w:tab/>
        <w:t>The amount that an officer is liable to pay under section 49 is recoverable as a debt due to the relevant authority in a court of competent jurisdiction.</w:t>
      </w:r>
    </w:p>
    <w:p>
      <w:pPr>
        <w:pStyle w:val="Subsection"/>
      </w:pPr>
      <w:r>
        <w:tab/>
        <w:t>(2)</w:t>
      </w:r>
      <w:r>
        <w:tab/>
        <w:t>A relevant authority is not entitled to recover amounts from the same person under both section 49(2) and (4) for the same loss.</w:t>
      </w:r>
    </w:p>
    <w:p>
      <w:pPr>
        <w:pStyle w:val="Subsection"/>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spacing w:before="180"/>
      </w:pPr>
      <w:bookmarkStart w:id="79" w:name="_Toc14686346"/>
      <w:r>
        <w:rPr>
          <w:rStyle w:val="CharSectno"/>
        </w:rPr>
        <w:t>51</w:t>
      </w:r>
      <w:r>
        <w:t>.</w:t>
      </w:r>
      <w:r>
        <w:tab/>
        <w:t>Official losses, investigating</w:t>
      </w:r>
      <w:bookmarkEnd w:id="79"/>
    </w:p>
    <w:p>
      <w:pPr>
        <w:pStyle w:val="Subsection"/>
        <w:keepNext/>
      </w:pPr>
      <w:r>
        <w:tab/>
        <w:t>(1)</w:t>
      </w:r>
      <w:r>
        <w:tab/>
        <w:t xml:space="preserve">In this section — </w:t>
      </w:r>
    </w:p>
    <w:p>
      <w:pPr>
        <w:pStyle w:val="Defstart"/>
      </w:pPr>
      <w:r>
        <w:rPr>
          <w:b/>
          <w:i/>
          <w:iCs/>
        </w:rPr>
        <w:tab/>
      </w:r>
      <w:r>
        <w:rPr>
          <w:rStyle w:val="CharDefText"/>
          <w:iCs/>
        </w:rPr>
        <w:t>authorised person</w:t>
      </w:r>
      <w:r>
        <w:t xml:space="preserve"> means a person authorised by a responsible person under subsection (2);</w:t>
      </w:r>
    </w:p>
    <w:p>
      <w:pPr>
        <w:pStyle w:val="Defstart"/>
      </w:pPr>
      <w:r>
        <w:rPr>
          <w:b/>
          <w:i/>
          <w:iCs/>
        </w:rPr>
        <w:tab/>
      </w:r>
      <w:r>
        <w:rPr>
          <w:rStyle w:val="CharDefText"/>
          <w:iCs/>
        </w:rPr>
        <w:t>official loss</w:t>
      </w:r>
      <w:r>
        <w:t xml:space="preserve"> means a loss of official money or official property;</w:t>
      </w:r>
    </w:p>
    <w:p>
      <w:pPr>
        <w:pStyle w:val="Defstart"/>
      </w:pPr>
      <w:r>
        <w:rPr>
          <w:b/>
          <w:i/>
          <w:iCs/>
        </w:rPr>
        <w:tab/>
      </w:r>
      <w:r>
        <w:rPr>
          <w:rStyle w:val="CharDefText"/>
          <w:iCs/>
        </w:rPr>
        <w:t>responsible person</w:t>
      </w:r>
      <w:r>
        <w:t xml:space="preserve"> means the Under Treasurer or the relevant accountable authority.</w:t>
      </w:r>
    </w:p>
    <w:p>
      <w:pPr>
        <w:pStyle w:val="Subsection"/>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pPr>
      <w:r>
        <w:tab/>
        <w:t>(3)</w:t>
      </w:r>
      <w:r>
        <w:tab/>
        <w:t xml:space="preserve">For the purposes of the investigation, the authorised person has all the powers conferred on a special inquirer by the </w:t>
      </w:r>
      <w:r>
        <w:rPr>
          <w:i/>
        </w:rPr>
        <w:t>Public Sector Management Act 1994</w:t>
      </w:r>
      <w:r>
        <w:t xml:space="preserve"> sections 24I and 24J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Footnotesection"/>
      </w:pPr>
      <w:r>
        <w:tab/>
        <w:t>[Section 51 amended: No. 39 of 2010 s. 76.]</w:t>
      </w:r>
    </w:p>
    <w:p>
      <w:pPr>
        <w:pStyle w:val="Heading2"/>
      </w:pPr>
      <w:bookmarkStart w:id="80" w:name="_Toc14427616"/>
      <w:bookmarkStart w:id="81" w:name="_Toc14686347"/>
      <w:r>
        <w:rPr>
          <w:rStyle w:val="CharPartNo"/>
        </w:rPr>
        <w:t>Part 4</w:t>
      </w:r>
      <w:r>
        <w:rPr>
          <w:rStyle w:val="CharDivNo"/>
        </w:rPr>
        <w:t> </w:t>
      </w:r>
      <w:r>
        <w:t>—</w:t>
      </w:r>
      <w:r>
        <w:rPr>
          <w:rStyle w:val="CharDivText"/>
        </w:rPr>
        <w:t> </w:t>
      </w:r>
      <w:r>
        <w:rPr>
          <w:rStyle w:val="CharPartText"/>
        </w:rPr>
        <w:t>Accountable authorities</w:t>
      </w:r>
      <w:bookmarkEnd w:id="80"/>
      <w:bookmarkEnd w:id="81"/>
    </w:p>
    <w:p>
      <w:pPr>
        <w:pStyle w:val="Heading5"/>
        <w:spacing w:before="240"/>
      </w:pPr>
      <w:bookmarkStart w:id="82" w:name="_Toc14686348"/>
      <w:r>
        <w:rPr>
          <w:rStyle w:val="CharSectno"/>
        </w:rPr>
        <w:t>52</w:t>
      </w:r>
      <w:r>
        <w:t>.</w:t>
      </w:r>
      <w:r>
        <w:tab/>
        <w:t>Each agency to have accountable authority</w:t>
      </w:r>
      <w:bookmarkEnd w:id="82"/>
    </w:p>
    <w:p>
      <w:pPr>
        <w:pStyle w:val="Subsection"/>
        <w:spacing w:before="180"/>
      </w:pPr>
      <w:r>
        <w:tab/>
      </w:r>
      <w:r>
        <w:tab/>
        <w:t>An agency is to have an accountable authority who is responsible to the Minister for the financial management of the services under the control of the agency.</w:t>
      </w:r>
    </w:p>
    <w:p>
      <w:pPr>
        <w:pStyle w:val="Heading5"/>
        <w:spacing w:before="240"/>
      </w:pPr>
      <w:bookmarkStart w:id="83" w:name="_Toc14686349"/>
      <w:r>
        <w:rPr>
          <w:rStyle w:val="CharSectno"/>
        </w:rPr>
        <w:t>53</w:t>
      </w:r>
      <w:r>
        <w:t>.</w:t>
      </w:r>
      <w:r>
        <w:tab/>
        <w:t>Functions of accountable authorities</w:t>
      </w:r>
      <w:bookmarkEnd w:id="83"/>
    </w:p>
    <w:p>
      <w:pPr>
        <w:pStyle w:val="Subsection"/>
        <w:spacing w:before="180"/>
      </w:pPr>
      <w:r>
        <w:tab/>
        <w:t>(1)</w:t>
      </w:r>
      <w:r>
        <w:tab/>
        <w:t xml:space="preserve">Without limiting section 52, an accountable authority of an agency has the functions of — </w:t>
      </w:r>
    </w:p>
    <w:p>
      <w:pPr>
        <w:pStyle w:val="Indenta"/>
      </w:pPr>
      <w:r>
        <w:tab/>
        <w:t>(a)</w:t>
      </w:r>
      <w:r>
        <w:tab/>
        <w:t>ensuring that the agency operates in a manner that is efficient and economic and achieves the agency’s objectives; and</w:t>
      </w:r>
    </w:p>
    <w:p>
      <w:pPr>
        <w:pStyle w:val="Indenta"/>
      </w:pPr>
      <w:r>
        <w:tab/>
        <w:t>(b)</w:t>
      </w:r>
      <w:r>
        <w:tab/>
        <w:t>ensuring that the agency complies with this Act, the Treasurer’s instructions and any other written law that applies to the agency; and</w:t>
      </w:r>
    </w:p>
    <w:p>
      <w:pPr>
        <w:pStyle w:val="Indenta"/>
      </w:pPr>
      <w:r>
        <w:tab/>
        <w:t>(c)</w:t>
      </w:r>
      <w:r>
        <w:tab/>
        <w:t>having the custody, control and management of, and accounting for, all the public property or other property under the control of the agency; and</w:t>
      </w:r>
    </w:p>
    <w:p>
      <w:pPr>
        <w:pStyle w:val="Indenta"/>
      </w:pPr>
      <w:r>
        <w:tab/>
        <w:t>(d)</w:t>
      </w:r>
      <w:r>
        <w:tab/>
        <w:t>unless otherwise directed in writing by the Treasurer, developing and maintaining an effective internal audit function for the agency.</w:t>
      </w:r>
    </w:p>
    <w:p>
      <w:pPr>
        <w:pStyle w:val="Subsection"/>
        <w:spacing w:before="180"/>
      </w:pPr>
      <w:r>
        <w:tab/>
        <w:t>(2)</w:t>
      </w:r>
      <w:r>
        <w:tab/>
        <w:t>The accountable authority of an agency also has any other function given to the accountable authority under this Act or another written law.</w:t>
      </w:r>
    </w:p>
    <w:p>
      <w:pPr>
        <w:pStyle w:val="Heading5"/>
        <w:spacing w:before="240"/>
      </w:pPr>
      <w:bookmarkStart w:id="84" w:name="_Toc14686350"/>
      <w:r>
        <w:rPr>
          <w:rStyle w:val="CharSectno"/>
        </w:rPr>
        <w:t>54</w:t>
      </w:r>
      <w:r>
        <w:t>.</w:t>
      </w:r>
      <w:r>
        <w:tab/>
        <w:t>Department, who is accountable authority of etc.</w:t>
      </w:r>
      <w:bookmarkEnd w:id="84"/>
    </w:p>
    <w:p>
      <w:pPr>
        <w:pStyle w:val="Subsection"/>
        <w:spacing w:before="180"/>
      </w:pPr>
      <w:r>
        <w:tab/>
        <w:t>(1)</w:t>
      </w:r>
      <w:r>
        <w:tab/>
        <w:t>Subject to subsection (2), the chief executive officer of a department is the accountable authority of the department.</w:t>
      </w:r>
    </w:p>
    <w:p>
      <w:pPr>
        <w:pStyle w:val="Subsection"/>
        <w:keepNext/>
        <w:spacing w:before="120"/>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85" w:name="_Toc14686351"/>
      <w:r>
        <w:rPr>
          <w:rStyle w:val="CharSectno"/>
        </w:rPr>
        <w:t>55</w:t>
      </w:r>
      <w:r>
        <w:t>.</w:t>
      </w:r>
      <w:r>
        <w:tab/>
        <w:t>Statutory authority, who is accountable authority of etc.</w:t>
      </w:r>
      <w:bookmarkEnd w:id="85"/>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86" w:name="_Toc14686352"/>
      <w:r>
        <w:rPr>
          <w:rStyle w:val="CharSectno"/>
        </w:rPr>
        <w:t>56</w:t>
      </w:r>
      <w:r>
        <w:t>.</w:t>
      </w:r>
      <w:r>
        <w:tab/>
        <w:t>Sub-departments, entities that are and accountable authorities of</w:t>
      </w:r>
      <w:bookmarkEnd w:id="86"/>
    </w:p>
    <w:p>
      <w:pPr>
        <w:pStyle w:val="Subsection"/>
      </w:pPr>
      <w:r>
        <w:tab/>
        <w:t>(1)</w:t>
      </w:r>
      <w:r>
        <w:tab/>
        <w:t xml:space="preserve">For the purposes of this section, the </w:t>
      </w:r>
      <w:r>
        <w:rPr>
          <w:rStyle w:val="CharDefText"/>
          <w:iCs/>
        </w:rPr>
        <w:t>prescribed conditions</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spacing w:after="720"/>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87" w:name="_Toc14686353"/>
      <w:r>
        <w:rPr>
          <w:rStyle w:val="CharSectno"/>
        </w:rPr>
        <w:t>57</w:t>
      </w:r>
      <w:r>
        <w:t>.</w:t>
      </w:r>
      <w:r>
        <w:tab/>
        <w:t>Chief finance officers, designation and functions of</w:t>
      </w:r>
      <w:bookmarkEnd w:id="87"/>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keepNext/>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88" w:name="_Toc14686354"/>
      <w:r>
        <w:rPr>
          <w:rStyle w:val="CharSectno"/>
        </w:rPr>
        <w:t>58</w:t>
      </w:r>
      <w:r>
        <w:t>.</w:t>
      </w:r>
      <w:r>
        <w:tab/>
        <w:t>Financial management system, duties of accountable authorities as to</w:t>
      </w:r>
      <w:bookmarkEnd w:id="88"/>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89" w:name="_Toc14427624"/>
      <w:bookmarkStart w:id="90" w:name="_Toc14686355"/>
      <w:r>
        <w:rPr>
          <w:rStyle w:val="CharPartNo"/>
        </w:rPr>
        <w:t>Part 5</w:t>
      </w:r>
      <w:r>
        <w:t> — </w:t>
      </w:r>
      <w:r>
        <w:rPr>
          <w:rStyle w:val="CharPartText"/>
        </w:rPr>
        <w:t>Reports</w:t>
      </w:r>
      <w:bookmarkEnd w:id="89"/>
      <w:bookmarkEnd w:id="90"/>
    </w:p>
    <w:p>
      <w:pPr>
        <w:pStyle w:val="Heading3"/>
      </w:pPr>
      <w:bookmarkStart w:id="91" w:name="_Toc14427625"/>
      <w:bookmarkStart w:id="92" w:name="_Toc14686356"/>
      <w:r>
        <w:rPr>
          <w:rStyle w:val="CharDivNo"/>
        </w:rPr>
        <w:t>Division 1</w:t>
      </w:r>
      <w:r>
        <w:t> — </w:t>
      </w:r>
      <w:r>
        <w:rPr>
          <w:rStyle w:val="CharDivText"/>
        </w:rPr>
        <w:t>Treasurer’s reports</w:t>
      </w:r>
      <w:bookmarkEnd w:id="91"/>
      <w:bookmarkEnd w:id="92"/>
    </w:p>
    <w:p>
      <w:pPr>
        <w:pStyle w:val="Heading5"/>
      </w:pPr>
      <w:bookmarkStart w:id="93" w:name="_Toc14686357"/>
      <w:r>
        <w:rPr>
          <w:rStyle w:val="CharSectno"/>
        </w:rPr>
        <w:t>59</w:t>
      </w:r>
      <w:r>
        <w:t>.</w:t>
      </w:r>
      <w:r>
        <w:tab/>
        <w:t xml:space="preserve">Financial reports and statements, application of </w:t>
      </w:r>
      <w:r>
        <w:rPr>
          <w:i/>
          <w:iCs/>
        </w:rPr>
        <w:t>Government Financial Responsibility Act 2000</w:t>
      </w:r>
      <w:bookmarkEnd w:id="93"/>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94" w:name="_Toc14427627"/>
      <w:bookmarkStart w:id="95" w:name="_Toc14686358"/>
      <w:r>
        <w:rPr>
          <w:rStyle w:val="CharDivNo"/>
        </w:rPr>
        <w:t>Division 2</w:t>
      </w:r>
      <w:r>
        <w:t> — </w:t>
      </w:r>
      <w:r>
        <w:rPr>
          <w:rStyle w:val="CharDivText"/>
        </w:rPr>
        <w:t>Annual reports by agencies</w:t>
      </w:r>
      <w:bookmarkEnd w:id="94"/>
      <w:bookmarkEnd w:id="95"/>
    </w:p>
    <w:p>
      <w:pPr>
        <w:pStyle w:val="Heading5"/>
      </w:pPr>
      <w:bookmarkStart w:id="96" w:name="_Toc14686359"/>
      <w:r>
        <w:rPr>
          <w:rStyle w:val="CharSectno"/>
        </w:rPr>
        <w:t>60</w:t>
      </w:r>
      <w:r>
        <w:t>.</w:t>
      </w:r>
      <w:r>
        <w:tab/>
        <w:t>Terms used</w:t>
      </w:r>
      <w:bookmarkEnd w:id="96"/>
    </w:p>
    <w:p>
      <w:pPr>
        <w:pStyle w:val="Subsection"/>
      </w:pPr>
      <w:r>
        <w:tab/>
        <w:t>(1)</w:t>
      </w:r>
      <w:r>
        <w:tab/>
        <w:t xml:space="preserve">In this section and section 61 — </w:t>
      </w:r>
    </w:p>
    <w:p>
      <w:pPr>
        <w:pStyle w:val="Defstart"/>
      </w:pPr>
      <w:r>
        <w:rPr>
          <w:b/>
        </w:rPr>
        <w:tab/>
      </w:r>
      <w:r>
        <w:rPr>
          <w:rStyle w:val="CharDefText"/>
          <w:iCs/>
        </w:rPr>
        <w:t>affiliated body</w:t>
      </w:r>
      <w:r>
        <w:t xml:space="preserve">, of an agency, means — </w:t>
      </w:r>
    </w:p>
    <w:p>
      <w:pPr>
        <w:pStyle w:val="Defpara"/>
      </w:pPr>
      <w:r>
        <w:tab/>
        <w:t>(a)</w:t>
      </w:r>
      <w:r>
        <w:tab/>
        <w:t xml:space="preserve">a body — </w:t>
      </w:r>
    </w:p>
    <w:p>
      <w:pPr>
        <w:pStyle w:val="Defsubpara"/>
        <w:keepLines w:val="0"/>
      </w:pPr>
      <w:r>
        <w:tab/>
        <w:t>(i)</w:t>
      </w:r>
      <w:r>
        <w:tab/>
        <w:t>that is formed or incorporated by an instrument under a written law or by administrative action; and</w:t>
      </w:r>
    </w:p>
    <w:p>
      <w:pPr>
        <w:pStyle w:val="Defsubpara"/>
        <w:keepLines w:val="0"/>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i/>
          <w:iCs/>
        </w:rPr>
        <w:tab/>
      </w:r>
      <w:r>
        <w:rPr>
          <w:rStyle w:val="CharDefText"/>
          <w:iCs/>
        </w:rPr>
        <w:t>operational control</w:t>
      </w:r>
      <w:r>
        <w:rPr>
          <w:bCs/>
        </w:rPr>
        <w:t xml:space="preserve">, of </w:t>
      </w:r>
      <w:r>
        <w:t>an agency in relation to a body, means that the agency has the capacity to exercise direction over the operation of the body;</w:t>
      </w:r>
    </w:p>
    <w:p>
      <w:pPr>
        <w:pStyle w:val="Defstart"/>
      </w:pPr>
      <w:r>
        <w:rPr>
          <w:b/>
          <w:i/>
          <w:iCs/>
        </w:rPr>
        <w:tab/>
      </w:r>
      <w:r>
        <w:rPr>
          <w:rStyle w:val="CharDefText"/>
          <w:iCs/>
        </w:rPr>
        <w:t>related body</w:t>
      </w:r>
      <w:r>
        <w:t xml:space="preserve">, of an agency, means — </w:t>
      </w:r>
    </w:p>
    <w:p>
      <w:pPr>
        <w:pStyle w:val="Defpara"/>
        <w:keepNext/>
      </w:pPr>
      <w:r>
        <w:tab/>
        <w:t>(a)</w:t>
      </w:r>
      <w:r>
        <w:tab/>
        <w:t xml:space="preserve">a body — </w:t>
      </w:r>
    </w:p>
    <w:p>
      <w:pPr>
        <w:pStyle w:val="Defsubpara"/>
        <w:keepLines w:val="0"/>
      </w:pPr>
      <w:r>
        <w:tab/>
        <w:t>(i)</w:t>
      </w:r>
      <w:r>
        <w:tab/>
        <w:t>that is formed or incorporated under a written law or by administrative action taken independently of the agency; and</w:t>
      </w:r>
    </w:p>
    <w:p>
      <w:pPr>
        <w:pStyle w:val="Defsubpara"/>
        <w:keepLines w:val="0"/>
      </w:pPr>
      <w:r>
        <w:tab/>
        <w:t>(ii)</w:t>
      </w:r>
      <w:r>
        <w:tab/>
        <w:t>that is financially dependent on the agency; and</w:t>
      </w:r>
    </w:p>
    <w:p>
      <w:pPr>
        <w:pStyle w:val="Defsubpara"/>
        <w:keepLines w:val="0"/>
      </w:pPr>
      <w:r>
        <w:tab/>
        <w:t>(iii)</w:t>
      </w:r>
      <w:r>
        <w:tab/>
        <w:t>that is subject to the operational control of the agency; and</w:t>
      </w:r>
    </w:p>
    <w:p>
      <w:pPr>
        <w:pStyle w:val="Defsubpara"/>
      </w:pPr>
      <w:r>
        <w:tab/>
        <w:t>(iv)</w:t>
      </w:r>
      <w:r>
        <w:tab/>
        <w:t>that is not a subsidiary body of an agency nor itself an agency;</w:t>
      </w:r>
    </w:p>
    <w:p>
      <w:pPr>
        <w:pStyle w:val="Defpara"/>
        <w:keepNext/>
      </w:pPr>
      <w:r>
        <w:tab/>
      </w:r>
      <w:r>
        <w:tab/>
        <w:t>or</w:t>
      </w:r>
    </w:p>
    <w:p>
      <w:pPr>
        <w:pStyle w:val="Defpara"/>
      </w:pPr>
      <w:r>
        <w:tab/>
        <w:t>(b)</w:t>
      </w:r>
      <w:r>
        <w:tab/>
        <w:t>a body that is determined by the Treasurer, by written notice given to the agency, to be a related body of the agency;</w:t>
      </w:r>
    </w:p>
    <w:p>
      <w:pPr>
        <w:pStyle w:val="Defstart"/>
      </w:pPr>
      <w:r>
        <w:rPr>
          <w:b/>
          <w:i/>
          <w:iCs/>
        </w:rPr>
        <w:tab/>
      </w:r>
      <w:r>
        <w:rPr>
          <w:rStyle w:val="CharDefText"/>
          <w:iCs/>
        </w:rPr>
        <w:t>subsidiary body</w:t>
      </w:r>
      <w:r>
        <w:t xml:space="preserve">, of an agency, means — </w:t>
      </w:r>
    </w:p>
    <w:p>
      <w:pPr>
        <w:pStyle w:val="Defpara"/>
      </w:pPr>
      <w:r>
        <w:tab/>
        <w:t>(a)</w:t>
      </w:r>
      <w:r>
        <w:tab/>
        <w:t xml:space="preserve">a body — </w:t>
      </w:r>
    </w:p>
    <w:p>
      <w:pPr>
        <w:pStyle w:val="Defsubpara"/>
        <w:keepLines w:val="0"/>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keepLines w:val="0"/>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pPr>
      <w:r>
        <w:tab/>
        <w:t>(iii)</w:t>
      </w:r>
      <w:r>
        <w:tab/>
        <w:t>that is not itself an agency;</w:t>
      </w:r>
    </w:p>
    <w:p>
      <w:pPr>
        <w:pStyle w:val="Defpara"/>
      </w:pPr>
      <w:r>
        <w:tab/>
      </w:r>
      <w:r>
        <w:tab/>
        <w:t>or</w:t>
      </w:r>
    </w:p>
    <w:p>
      <w:pPr>
        <w:pStyle w:val="Defpara"/>
        <w:keepNext/>
      </w:pPr>
      <w:r>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 xml:space="preserve">Despite the definitions of </w:t>
      </w:r>
      <w:r>
        <w:rPr>
          <w:b/>
          <w:i/>
        </w:rPr>
        <w:t>affiliated body</w:t>
      </w:r>
      <w:r>
        <w:t xml:space="preserve"> and </w:t>
      </w:r>
      <w:r>
        <w:rPr>
          <w:b/>
          <w:i/>
        </w:rPr>
        <w:t>related body</w:t>
      </w:r>
      <w:r>
        <w:t xml:space="preserve">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r>
      <w:r>
        <w:rPr>
          <w:rStyle w:val="CharDefText"/>
          <w:iCs/>
        </w:rPr>
        <w:t>specified</w:t>
      </w:r>
      <w:r>
        <w:t xml:space="preserve"> means specified in the regulations.</w:t>
      </w:r>
    </w:p>
    <w:p>
      <w:pPr>
        <w:pStyle w:val="Heading5"/>
        <w:spacing w:before="240"/>
      </w:pPr>
      <w:bookmarkStart w:id="97" w:name="_Toc14686360"/>
      <w:r>
        <w:rPr>
          <w:rStyle w:val="CharSectno"/>
        </w:rPr>
        <w:t>61</w:t>
      </w:r>
      <w:r>
        <w:t>.</w:t>
      </w:r>
      <w:r>
        <w:tab/>
        <w:t>Annual reports, contents of etc.</w:t>
      </w:r>
      <w:bookmarkEnd w:id="97"/>
    </w:p>
    <w:p>
      <w:pPr>
        <w:pStyle w:val="Subsection"/>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pPr>
      <w:r>
        <w:tab/>
        <w:t>(2)</w:t>
      </w:r>
      <w:r>
        <w:tab/>
        <w:t>The accountable authority of an agency is to include in the annual report for a financial year covered by a resource agreement a report on the extent to which the agency achieved any objectives described in the resource agreement.</w:t>
      </w:r>
    </w:p>
    <w:p>
      <w:pPr>
        <w:pStyle w:val="Subsection"/>
      </w:pPr>
      <w:r>
        <w:tab/>
        <w:t>(3)</w:t>
      </w:r>
      <w:r>
        <w:tab/>
        <w:t xml:space="preserve">An agency that — </w:t>
      </w:r>
    </w:p>
    <w:p>
      <w:pPr>
        <w:pStyle w:val="Indenta"/>
      </w:pPr>
      <w:r>
        <w:tab/>
        <w:t>(a)</w:t>
      </w:r>
      <w:r>
        <w:tab/>
        <w:t>is a department or statutory authority; and</w:t>
      </w:r>
    </w:p>
    <w:p>
      <w:pPr>
        <w:pStyle w:val="Indenta"/>
        <w:keepNext/>
      </w:pPr>
      <w:r>
        <w:tab/>
        <w:t>(b)</w:t>
      </w:r>
      <w:r>
        <w:tab/>
        <w:t>has an affiliated body or a related body,</w:t>
      </w:r>
    </w:p>
    <w:p>
      <w:pPr>
        <w:pStyle w:val="Subsection"/>
      </w:pPr>
      <w:r>
        <w:tab/>
      </w:r>
      <w:r>
        <w:tab/>
        <w:t>is to include in the annual report for a financial year a report on the affiliated body or related body that contains in respect of the financial year the information prescribed by the Treasurer’s instructions.</w:t>
      </w:r>
    </w:p>
    <w:p>
      <w:pPr>
        <w:pStyle w:val="Subsection"/>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Heading5"/>
      </w:pPr>
      <w:bookmarkStart w:id="98" w:name="_Toc14686361"/>
      <w:r>
        <w:rPr>
          <w:rStyle w:val="CharSectno"/>
        </w:rPr>
        <w:t>62</w:t>
      </w:r>
      <w:r>
        <w:t>.</w:t>
      </w:r>
      <w:r>
        <w:tab/>
        <w:t>Financial statements for s. 61(1)(a), standards for etc.</w:t>
      </w:r>
      <w:bookmarkEnd w:id="98"/>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61(1)(a) — </w:t>
      </w:r>
    </w:p>
    <w:p>
      <w:pPr>
        <w:pStyle w:val="Indenta"/>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keepNext/>
      </w:pPr>
      <w:r>
        <w:tab/>
        <w:t>(3)</w:t>
      </w:r>
      <w:r>
        <w:tab/>
        <w:t xml:space="preserve">In subsection (1) — </w:t>
      </w:r>
    </w:p>
    <w:p>
      <w:pPr>
        <w:pStyle w:val="Defstart"/>
      </w:pPr>
      <w:r>
        <w:tab/>
      </w:r>
      <w:r>
        <w:rPr>
          <w:rStyle w:val="CharDefText"/>
          <w:iCs/>
        </w:rPr>
        <w:t>Australian Accounting Standards Board</w:t>
      </w:r>
      <w:r>
        <w:t xml:space="preserve"> means the body of that name continued in existence under the Commonwealth </w:t>
      </w:r>
      <w:r>
        <w:rPr>
          <w:i/>
          <w:iCs/>
        </w:rPr>
        <w:t>Australian Securities and Investments Commission Act 2001</w:t>
      </w:r>
      <w:r>
        <w:t>.</w:t>
      </w:r>
    </w:p>
    <w:p>
      <w:pPr>
        <w:pStyle w:val="Heading5"/>
        <w:keepLines w:val="0"/>
      </w:pPr>
      <w:bookmarkStart w:id="99" w:name="_Toc14686362"/>
      <w:r>
        <w:rPr>
          <w:rStyle w:val="CharSectno"/>
        </w:rPr>
        <w:t>63</w:t>
      </w:r>
      <w:r>
        <w:t>.</w:t>
      </w:r>
      <w:r>
        <w:tab/>
        <w:t>Financial reports etc. to be submitted to Auditor General and Minister</w:t>
      </w:r>
      <w:bookmarkEnd w:id="99"/>
    </w:p>
    <w:p>
      <w:pPr>
        <w:pStyle w:val="Subsection"/>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 </w:t>
      </w:r>
      <w:r>
        <w:rPr>
          <w:bCs/>
          <w:iCs/>
        </w:rPr>
        <w:t>—</w:t>
      </w:r>
      <w:r>
        <w:t xml:space="preserve"> a copy of the opinion of the Auditor General prepared and signed under section 15 of that Act.</w:t>
      </w:r>
    </w:p>
    <w:p>
      <w:pPr>
        <w:pStyle w:val="Heading5"/>
      </w:pPr>
      <w:bookmarkStart w:id="100" w:name="_Toc14686363"/>
      <w:r>
        <w:rPr>
          <w:rStyle w:val="CharSectno"/>
        </w:rPr>
        <w:t>64</w:t>
      </w:r>
      <w:r>
        <w:t>.</w:t>
      </w:r>
      <w:r>
        <w:tab/>
        <w:t>Minister to table agency’s annual report etc.</w:t>
      </w:r>
      <w:bookmarkEnd w:id="100"/>
    </w:p>
    <w:p>
      <w:pPr>
        <w:pStyle w:val="Subsection"/>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 — a copy of the opinion of the Auditor General prepared and signed under section 15 of that Act.</w:t>
      </w:r>
    </w:p>
    <w:p>
      <w:pPr>
        <w:pStyle w:val="Subsection"/>
        <w:keepNext/>
        <w:keepLines/>
      </w:pPr>
      <w:r>
        <w:tab/>
        <w:t>(2)</w:t>
      </w:r>
      <w:r>
        <w:tab/>
        <w:t xml:space="preserve">In subsection (1) — </w:t>
      </w:r>
    </w:p>
    <w:p>
      <w:pPr>
        <w:pStyle w:val="Defstart"/>
        <w:keepNext/>
        <w:keepLines/>
      </w:pPr>
      <w:r>
        <w:tab/>
      </w:r>
      <w:r>
        <w:rPr>
          <w:rStyle w:val="CharDefText"/>
          <w:iCs/>
        </w:rPr>
        <w:t>prescribed period</w:t>
      </w:r>
      <w:r>
        <w:rPr>
          <w:i/>
          <w:iCs/>
        </w:rPr>
        <w:t xml:space="preserve"> </w:t>
      </w:r>
      <w:r>
        <w:t xml:space="preserve">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keepNext w:val="0"/>
        <w:keepLines w:val="0"/>
      </w:pPr>
      <w:bookmarkStart w:id="101" w:name="_Toc14686364"/>
      <w:r>
        <w:rPr>
          <w:rStyle w:val="CharSectno"/>
        </w:rPr>
        <w:t>65</w:t>
      </w:r>
      <w:r>
        <w:t>.</w:t>
      </w:r>
      <w:r>
        <w:tab/>
        <w:t>Minister to inform Parliament if annual report and Auditor General’s opinion cannot be tabled on time</w:t>
      </w:r>
      <w:bookmarkEnd w:id="101"/>
    </w:p>
    <w:p>
      <w:pPr>
        <w:pStyle w:val="Subsection"/>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pPr>
      <w:r>
        <w:tab/>
        <w:t>(3)</w:t>
      </w:r>
      <w:r>
        <w:tab/>
        <w:t xml:space="preserve">In this section — </w:t>
      </w:r>
    </w:p>
    <w:p>
      <w:pPr>
        <w:pStyle w:val="Defstart"/>
      </w:pPr>
      <w:r>
        <w:rPr>
          <w:b/>
          <w:i/>
          <w:iCs/>
        </w:rPr>
        <w:tab/>
      </w:r>
      <w:r>
        <w:rPr>
          <w:rStyle w:val="CharDefText"/>
          <w:iCs/>
        </w:rPr>
        <w:t>prescribed period</w:t>
      </w:r>
      <w:r>
        <w:t xml:space="preserve"> means the prescribed period referred to in section 64.</w:t>
      </w:r>
    </w:p>
    <w:p>
      <w:pPr>
        <w:pStyle w:val="Heading3"/>
        <w:keepNext w:val="0"/>
        <w:pageBreakBefore/>
        <w:spacing w:before="120"/>
      </w:pPr>
      <w:bookmarkStart w:id="102" w:name="_Toc14427634"/>
      <w:bookmarkStart w:id="103" w:name="_Toc14686365"/>
      <w:r>
        <w:rPr>
          <w:rStyle w:val="CharDivNo"/>
        </w:rPr>
        <w:t>Division 3</w:t>
      </w:r>
      <w:r>
        <w:t> — </w:t>
      </w:r>
      <w:r>
        <w:rPr>
          <w:rStyle w:val="CharDivText"/>
        </w:rPr>
        <w:t>Reporting on abolition of agencies</w:t>
      </w:r>
      <w:bookmarkEnd w:id="102"/>
      <w:bookmarkEnd w:id="103"/>
    </w:p>
    <w:p>
      <w:pPr>
        <w:pStyle w:val="Heading5"/>
        <w:spacing w:before="180"/>
      </w:pPr>
      <w:bookmarkStart w:id="104" w:name="_Toc14686366"/>
      <w:r>
        <w:rPr>
          <w:rStyle w:val="CharSectno"/>
        </w:rPr>
        <w:t>66</w:t>
      </w:r>
      <w:r>
        <w:t>.</w:t>
      </w:r>
      <w:r>
        <w:tab/>
        <w:t>Terms used</w:t>
      </w:r>
      <w:bookmarkEnd w:id="104"/>
    </w:p>
    <w:p>
      <w:pPr>
        <w:pStyle w:val="Subsection"/>
        <w:keepNext/>
        <w:keepLines/>
      </w:pPr>
      <w:r>
        <w:tab/>
      </w:r>
      <w:r>
        <w:tab/>
        <w:t xml:space="preserve">In this Division — </w:t>
      </w:r>
    </w:p>
    <w:p>
      <w:pPr>
        <w:pStyle w:val="Defstart"/>
      </w:pPr>
      <w:r>
        <w:rPr>
          <w:i/>
          <w:iCs/>
        </w:rPr>
        <w:tab/>
      </w:r>
      <w:r>
        <w:rPr>
          <w:rStyle w:val="CharDefText"/>
          <w:iCs/>
        </w:rPr>
        <w:t>abolition</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rPr>
          <w:i/>
          <w:iCs/>
        </w:rPr>
        <w:tab/>
      </w:r>
      <w:r>
        <w:rPr>
          <w:rStyle w:val="CharDefText"/>
          <w:iCs/>
        </w:rPr>
        <w:t xml:space="preserve">final </w:t>
      </w:r>
      <w:r>
        <w:rPr>
          <w:rStyle w:val="CharDefText"/>
        </w:rPr>
        <w:t>report</w:t>
      </w:r>
      <w:r>
        <w:t xml:space="preserve"> means a report prepared and submitted under section 68(3)(b);</w:t>
      </w:r>
    </w:p>
    <w:p>
      <w:pPr>
        <w:pStyle w:val="Defstart"/>
      </w:pPr>
      <w:r>
        <w:rPr>
          <w:i/>
          <w:iCs/>
        </w:rPr>
        <w:tab/>
      </w:r>
      <w:r>
        <w:rPr>
          <w:rStyle w:val="CharDefText"/>
          <w:iCs/>
        </w:rPr>
        <w:t>reporting officer</w:t>
      </w:r>
      <w:r>
        <w:t xml:space="preserve"> means a person appointed by the Treasurer under section 68(1).</w:t>
      </w:r>
    </w:p>
    <w:p>
      <w:pPr>
        <w:pStyle w:val="Heading5"/>
      </w:pPr>
      <w:bookmarkStart w:id="105" w:name="_Toc14686367"/>
      <w:r>
        <w:rPr>
          <w:rStyle w:val="CharSectno"/>
        </w:rPr>
        <w:t>67</w:t>
      </w:r>
      <w:r>
        <w:t>.</w:t>
      </w:r>
      <w:r>
        <w:tab/>
        <w:t>Purpose of this Division</w:t>
      </w:r>
      <w:bookmarkEnd w:id="105"/>
    </w:p>
    <w:p>
      <w:pPr>
        <w:pStyle w:val="Subsection"/>
      </w:pPr>
      <w:r>
        <w:tab/>
      </w:r>
      <w:r>
        <w:tab/>
        <w:t>The purpose of this Division is to secure proper accountability on the abolition of an agency.</w:t>
      </w:r>
    </w:p>
    <w:p>
      <w:pPr>
        <w:pStyle w:val="Heading5"/>
      </w:pPr>
      <w:bookmarkStart w:id="106" w:name="_Toc14686368"/>
      <w:r>
        <w:rPr>
          <w:rStyle w:val="CharSectno"/>
        </w:rPr>
        <w:t>68</w:t>
      </w:r>
      <w:r>
        <w:t>.</w:t>
      </w:r>
      <w:r>
        <w:tab/>
        <w:t>Abolition of agency, reporting after</w:t>
      </w:r>
      <w:bookmarkEnd w:id="106"/>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pPr>
      <w:bookmarkStart w:id="107" w:name="_Toc14686369"/>
      <w:r>
        <w:rPr>
          <w:rStyle w:val="CharSectno"/>
        </w:rPr>
        <w:t>69</w:t>
      </w:r>
      <w:r>
        <w:t>.</w:t>
      </w:r>
      <w:r>
        <w:tab/>
        <w:t>Final report, contents of</w:t>
      </w:r>
      <w:bookmarkEnd w:id="107"/>
    </w:p>
    <w:p>
      <w:pPr>
        <w:pStyle w:val="Subsection"/>
        <w:keepNext/>
        <w:keepLines/>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108" w:name="_Toc14686370"/>
      <w:r>
        <w:rPr>
          <w:rStyle w:val="CharSectno"/>
        </w:rPr>
        <w:t>70</w:t>
      </w:r>
      <w:r>
        <w:t>.</w:t>
      </w:r>
      <w:r>
        <w:tab/>
        <w:t>Directions by Treasurer for this Division</w:t>
      </w:r>
      <w:bookmarkEnd w:id="108"/>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109" w:name="_Toc14686371"/>
      <w:r>
        <w:rPr>
          <w:rStyle w:val="CharSectno"/>
        </w:rPr>
        <w:t>71</w:t>
      </w:r>
      <w:r>
        <w:t>.</w:t>
      </w:r>
      <w:r>
        <w:tab/>
        <w:t>Reporting officers entitled to access to accounts etc.</w:t>
      </w:r>
      <w:bookmarkEnd w:id="109"/>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110" w:name="_Toc14686372"/>
      <w:r>
        <w:rPr>
          <w:rStyle w:val="CharSectno"/>
        </w:rPr>
        <w:t>72</w:t>
      </w:r>
      <w:r>
        <w:t>.</w:t>
      </w:r>
      <w:r>
        <w:tab/>
        <w:t>Reporting officers to submit financial statements etc. to Auditor General</w:t>
      </w:r>
      <w:bookmarkEnd w:id="110"/>
    </w:p>
    <w:p>
      <w:pPr>
        <w:pStyle w:val="Subsection"/>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111" w:name="_Toc14427642"/>
      <w:bookmarkStart w:id="112" w:name="_Toc14686373"/>
      <w:r>
        <w:rPr>
          <w:rStyle w:val="CharPartNo"/>
        </w:rPr>
        <w:t>Part 6</w:t>
      </w:r>
      <w:r>
        <w:t> — </w:t>
      </w:r>
      <w:r>
        <w:rPr>
          <w:rStyle w:val="CharPartText"/>
        </w:rPr>
        <w:t>Miscellaneous</w:t>
      </w:r>
      <w:bookmarkEnd w:id="111"/>
      <w:bookmarkEnd w:id="112"/>
    </w:p>
    <w:p>
      <w:pPr>
        <w:pStyle w:val="Heading3"/>
      </w:pPr>
      <w:bookmarkStart w:id="113" w:name="_Toc14427643"/>
      <w:bookmarkStart w:id="114" w:name="_Toc14686374"/>
      <w:r>
        <w:rPr>
          <w:rStyle w:val="CharDivNo"/>
        </w:rPr>
        <w:t>Division 1</w:t>
      </w:r>
      <w:r>
        <w:t> — </w:t>
      </w:r>
      <w:r>
        <w:rPr>
          <w:rStyle w:val="CharDivText"/>
        </w:rPr>
        <w:t>Delegations and authorisations</w:t>
      </w:r>
      <w:bookmarkEnd w:id="113"/>
      <w:bookmarkEnd w:id="114"/>
    </w:p>
    <w:p>
      <w:pPr>
        <w:pStyle w:val="Heading5"/>
      </w:pPr>
      <w:bookmarkStart w:id="115" w:name="_Toc14686375"/>
      <w:r>
        <w:rPr>
          <w:rStyle w:val="CharSectno"/>
        </w:rPr>
        <w:t>73</w:t>
      </w:r>
      <w:r>
        <w:t>.</w:t>
      </w:r>
      <w:r>
        <w:tab/>
        <w:t>Term used: Treasury Corporation official</w:t>
      </w:r>
      <w:bookmarkEnd w:id="115"/>
    </w:p>
    <w:p>
      <w:pPr>
        <w:pStyle w:val="Subsection"/>
      </w:pPr>
      <w:r>
        <w:tab/>
      </w:r>
      <w:r>
        <w:tab/>
        <w:t xml:space="preserve">In this Division — </w:t>
      </w:r>
    </w:p>
    <w:p>
      <w:pPr>
        <w:pStyle w:val="Defstart"/>
      </w:pPr>
      <w:r>
        <w:tab/>
      </w:r>
      <w:r>
        <w:rPr>
          <w:rStyle w:val="CharDefText"/>
          <w:iCs/>
        </w:rPr>
        <w:t>Treasury Corporation official</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116" w:name="_Toc14686376"/>
      <w:r>
        <w:rPr>
          <w:rStyle w:val="CharSectno"/>
        </w:rPr>
        <w:t>74</w:t>
      </w:r>
      <w:r>
        <w:t>.</w:t>
      </w:r>
      <w:r>
        <w:tab/>
        <w:t>Delegation by Treasurer</w:t>
      </w:r>
      <w:bookmarkEnd w:id="116"/>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117" w:name="_Toc14686377"/>
      <w:r>
        <w:rPr>
          <w:rStyle w:val="CharSectno"/>
        </w:rPr>
        <w:t>75</w:t>
      </w:r>
      <w:r>
        <w:t>.</w:t>
      </w:r>
      <w:r>
        <w:tab/>
        <w:t>Delegation by Ministers</w:t>
      </w:r>
      <w:bookmarkEnd w:id="117"/>
    </w:p>
    <w:p>
      <w:pPr>
        <w:pStyle w:val="Subsection"/>
      </w:pPr>
      <w:r>
        <w:tab/>
      </w:r>
      <w:r>
        <w:tab/>
        <w:t>A Minister may delegate to an officer of the Treasury any power or duty delegated to the Minister under section 74(1).</w:t>
      </w:r>
    </w:p>
    <w:p>
      <w:pPr>
        <w:pStyle w:val="Heading5"/>
      </w:pPr>
      <w:bookmarkStart w:id="118" w:name="_Toc14686378"/>
      <w:r>
        <w:rPr>
          <w:rStyle w:val="CharSectno"/>
        </w:rPr>
        <w:t>76</w:t>
      </w:r>
      <w:r>
        <w:t>.</w:t>
      </w:r>
      <w:r>
        <w:tab/>
        <w:t>Delegation and authorisation by Under Treasurer</w:t>
      </w:r>
      <w:bookmarkEnd w:id="118"/>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keepNext/>
      </w:pPr>
      <w:r>
        <w:tab/>
        <w:t>(b)</w:t>
      </w:r>
      <w:r>
        <w:tab/>
        <w:t>conferred on the Under Treasurer by the Treasurer’s instructions.</w:t>
      </w:r>
    </w:p>
    <w:p>
      <w:pPr>
        <w:pStyle w:val="Heading5"/>
      </w:pPr>
      <w:bookmarkStart w:id="119" w:name="_Toc14686379"/>
      <w:r>
        <w:rPr>
          <w:rStyle w:val="CharSectno"/>
        </w:rPr>
        <w:t>77</w:t>
      </w:r>
      <w:r>
        <w:t>.</w:t>
      </w:r>
      <w:r>
        <w:tab/>
        <w:t>Delegations and authorisations, general provisions about</w:t>
      </w:r>
      <w:bookmarkEnd w:id="119"/>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rStyle w:val="CharDefText"/>
          <w:iCs/>
        </w:rPr>
        <w:t>delegate</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120" w:name="_Toc14427649"/>
      <w:bookmarkStart w:id="121" w:name="_Toc14686380"/>
      <w:r>
        <w:rPr>
          <w:rStyle w:val="CharDivNo"/>
        </w:rPr>
        <w:t>Division 2</w:t>
      </w:r>
      <w:r>
        <w:t> — </w:t>
      </w:r>
      <w:r>
        <w:rPr>
          <w:rStyle w:val="CharDivText"/>
        </w:rPr>
        <w:t>Treasurer’s instructions</w:t>
      </w:r>
      <w:bookmarkEnd w:id="120"/>
      <w:bookmarkEnd w:id="121"/>
    </w:p>
    <w:p>
      <w:pPr>
        <w:pStyle w:val="Heading5"/>
      </w:pPr>
      <w:bookmarkStart w:id="122" w:name="_Toc14686381"/>
      <w:r>
        <w:rPr>
          <w:rStyle w:val="CharSectno"/>
        </w:rPr>
        <w:t>78</w:t>
      </w:r>
      <w:r>
        <w:t>.</w:t>
      </w:r>
      <w:r>
        <w:tab/>
        <w:t>Treasurer’s instructions, issue of etc.</w:t>
      </w:r>
      <w:bookmarkEnd w:id="122"/>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123" w:name="_Toc14427651"/>
      <w:bookmarkStart w:id="124" w:name="_Toc14686382"/>
      <w:r>
        <w:rPr>
          <w:rStyle w:val="CharDivNo"/>
        </w:rPr>
        <w:t>Division 3</w:t>
      </w:r>
      <w:r>
        <w:t> — </w:t>
      </w:r>
      <w:r>
        <w:rPr>
          <w:rStyle w:val="CharDivText"/>
        </w:rPr>
        <w:t>Miscellaneous powers and duties</w:t>
      </w:r>
      <w:bookmarkEnd w:id="123"/>
      <w:bookmarkEnd w:id="124"/>
    </w:p>
    <w:p>
      <w:pPr>
        <w:pStyle w:val="Heading5"/>
      </w:pPr>
      <w:bookmarkStart w:id="125" w:name="_Toc14686383"/>
      <w:r>
        <w:rPr>
          <w:rStyle w:val="CharSectno"/>
        </w:rPr>
        <w:t>79</w:t>
      </w:r>
      <w:r>
        <w:t>.</w:t>
      </w:r>
      <w:r>
        <w:tab/>
        <w:t>Treasurer’s power to require information</w:t>
      </w:r>
      <w:bookmarkEnd w:id="125"/>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tab/>
        <w:t>(2)</w:t>
      </w:r>
      <w:r>
        <w:tab/>
        <w:t>A person given a direction under subsection (1) is to provide the information to the Treasurer in the manner and form directed by the Treasurer.</w:t>
      </w:r>
    </w:p>
    <w:p>
      <w:pPr>
        <w:pStyle w:val="Heading5"/>
      </w:pPr>
      <w:bookmarkStart w:id="126" w:name="_Toc14686384"/>
      <w:r>
        <w:rPr>
          <w:rStyle w:val="CharSectno"/>
        </w:rPr>
        <w:t>80</w:t>
      </w:r>
      <w:r>
        <w:t>.</w:t>
      </w:r>
      <w:r>
        <w:tab/>
        <w:t>Act of grace payments</w:t>
      </w:r>
      <w:bookmarkEnd w:id="126"/>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Subsection"/>
      </w:pPr>
      <w:r>
        <w:tab/>
        <w:t>(2)</w:t>
      </w:r>
      <w:r>
        <w:tab/>
        <w:t>The Treasurer cannot authorise the payment under this section of an amount that exceeds the amount prescribed by the regulations for the purposes of this subsection unless that payment is approved by the Governor.</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Subsection"/>
      </w:pPr>
      <w:r>
        <w:tab/>
        <w:t>(4)</w:t>
      </w:r>
      <w:r>
        <w:tab/>
        <w:t>A request or recommendation to make a payment under this section may be made to the Treasurer in accordance with the Treasurer’s instructions.</w:t>
      </w:r>
    </w:p>
    <w:p>
      <w:pPr>
        <w:pStyle w:val="Heading5"/>
      </w:pPr>
      <w:bookmarkStart w:id="127" w:name="_Toc14686385"/>
      <w:r>
        <w:rPr>
          <w:rStyle w:val="CharSectno"/>
        </w:rPr>
        <w:t>81</w:t>
      </w:r>
      <w:r>
        <w:t>.</w:t>
      </w:r>
      <w:r>
        <w:tab/>
        <w:t>Actions etc. inhibiting etc. Minister’s parliamentary functions prohibited</w:t>
      </w:r>
      <w:bookmarkEnd w:id="127"/>
    </w:p>
    <w:p>
      <w:pPr>
        <w:pStyle w:val="Subsection"/>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pPr>
      <w:bookmarkStart w:id="128" w:name="_Toc14686386"/>
      <w:r>
        <w:rPr>
          <w:rStyle w:val="CharSectno"/>
        </w:rPr>
        <w:t>82</w:t>
      </w:r>
      <w:r>
        <w:t>.</w:t>
      </w:r>
      <w:r>
        <w:tab/>
        <w:t>Ministerial decisions not to give Parliament certain information about agency to be reported to Parliament etc.</w:t>
      </w:r>
      <w:bookmarkEnd w:id="128"/>
    </w:p>
    <w:p>
      <w:pPr>
        <w:pStyle w:val="Subsection"/>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129" w:name="_Toc14427656"/>
      <w:bookmarkStart w:id="130" w:name="_Toc14686387"/>
      <w:r>
        <w:rPr>
          <w:rStyle w:val="CharDivNo"/>
        </w:rPr>
        <w:t>Division 4</w:t>
      </w:r>
      <w:r>
        <w:t> — </w:t>
      </w:r>
      <w:r>
        <w:rPr>
          <w:rStyle w:val="CharDivText"/>
        </w:rPr>
        <w:t>General</w:t>
      </w:r>
      <w:bookmarkEnd w:id="129"/>
      <w:bookmarkEnd w:id="130"/>
    </w:p>
    <w:p>
      <w:pPr>
        <w:pStyle w:val="Heading5"/>
      </w:pPr>
      <w:bookmarkStart w:id="131" w:name="_Toc14686388"/>
      <w:r>
        <w:rPr>
          <w:rStyle w:val="CharSectno"/>
        </w:rPr>
        <w:t>83</w:t>
      </w:r>
      <w:r>
        <w:t>.</w:t>
      </w:r>
      <w:r>
        <w:tab/>
        <w:t>Laying documents before Parliament, supplementary provision about</w:t>
      </w:r>
      <w:bookmarkEnd w:id="131"/>
    </w:p>
    <w:p>
      <w:pPr>
        <w:pStyle w:val="Subsection"/>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132" w:name="_Toc14686389"/>
      <w:r>
        <w:rPr>
          <w:rStyle w:val="CharSectno"/>
        </w:rPr>
        <w:t>84</w:t>
      </w:r>
      <w:r>
        <w:t>.</w:t>
      </w:r>
      <w:r>
        <w:tab/>
        <w:t>Regulations</w:t>
      </w:r>
      <w:bookmarkEnd w:id="132"/>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133" w:name="_Toc14686390"/>
      <w:r>
        <w:rPr>
          <w:rStyle w:val="CharSectno"/>
        </w:rPr>
        <w:t>85</w:t>
      </w:r>
      <w:r>
        <w:t>.</w:t>
      </w:r>
      <w:r>
        <w:tab/>
        <w:t>Review of Act</w:t>
      </w:r>
      <w:bookmarkEnd w:id="133"/>
    </w:p>
    <w:p>
      <w:pPr>
        <w:pStyle w:val="Subsection"/>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r>
      <w:r>
        <w:rPr>
          <w:szCs w:val="22"/>
        </w:rPr>
        <w:t>the expiry of each 5 yearly interval after that anniversary.</w:t>
      </w:r>
    </w:p>
    <w:p>
      <w:pPr>
        <w:pStyle w:val="Subsection"/>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yEdnoteschedule"/>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34" w:name="_Toc14427660"/>
      <w:bookmarkStart w:id="135" w:name="_Toc14686391"/>
      <w:r>
        <w:rPr>
          <w:rStyle w:val="CharSchNo"/>
        </w:rPr>
        <w:t>Schedule 1</w:t>
      </w:r>
      <w:r>
        <w:rPr>
          <w:rStyle w:val="CharSDivNo"/>
        </w:rPr>
        <w:t> </w:t>
      </w:r>
      <w:r>
        <w:t>—</w:t>
      </w:r>
      <w:r>
        <w:rPr>
          <w:rStyle w:val="CharSDivText"/>
        </w:rPr>
        <w:t> </w:t>
      </w:r>
      <w:r>
        <w:rPr>
          <w:rStyle w:val="CharSchText"/>
        </w:rPr>
        <w:t>Statutory authorities</w:t>
      </w:r>
      <w:bookmarkEnd w:id="134"/>
      <w:bookmarkEnd w:id="135"/>
    </w:p>
    <w:p>
      <w:pPr>
        <w:pStyle w:val="yShoulderClause"/>
      </w:pPr>
      <w:r>
        <w:t>[s. 3 and 6]</w:t>
      </w:r>
    </w:p>
    <w:p>
      <w:pPr>
        <w:pStyle w:val="yMiscellaneousBody"/>
        <w:spacing w:before="12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line="260" w:lineRule="atLeast"/>
        <w:rPr>
          <w:snapToGrid w:val="0"/>
        </w:rPr>
      </w:pPr>
      <w:r>
        <w:t>Chemistry Centre (WA)</w:t>
      </w:r>
    </w:p>
    <w:p>
      <w:pPr>
        <w:pStyle w:val="yMiscellaneousBody"/>
        <w:spacing w:before="0" w:line="260" w:lineRule="atLeast"/>
        <w:ind w:left="567" w:hanging="567"/>
        <w:rPr>
          <w:snapToGrid w:val="0"/>
        </w:rPr>
      </w:pPr>
      <w:r>
        <w:rPr>
          <w:snapToGrid w:val="0"/>
        </w:rPr>
        <w:t xml:space="preserve">Colleges established under the </w:t>
      </w:r>
      <w:r>
        <w:rPr>
          <w:i/>
          <w:iCs/>
          <w:snapToGrid w:val="0"/>
        </w:rPr>
        <w:t xml:space="preserve">Vocational Education and Training Act 1996 </w:t>
      </w:r>
      <w:r>
        <w:rPr>
          <w:snapToGrid w:val="0"/>
        </w:rPr>
        <w:t>section 35</w:t>
      </w:r>
    </w:p>
    <w:p>
      <w:pPr>
        <w:pStyle w:val="yMiscellaneousBody"/>
        <w:spacing w:before="0" w:line="260" w:lineRule="atLeast"/>
      </w:pPr>
      <w:r>
        <w:t xml:space="preserve">Combat </w:t>
      </w:r>
      <w:r>
        <w:rPr>
          <w:snapToGrid w:val="0"/>
        </w:rPr>
        <w:t>Sports</w:t>
      </w:r>
      <w:r>
        <w:t xml:space="preserve"> Commission</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r>
        <w:rPr>
          <w:snapToGrid w:val="0"/>
        </w:rPr>
        <w:t>Country Housing Authority</w:t>
      </w:r>
    </w:p>
    <w:p>
      <w:pPr>
        <w:pStyle w:val="Subsection"/>
        <w:rPr>
          <w:sz w:val="22"/>
        </w:rPr>
      </w:pPr>
      <w:r>
        <w:rPr>
          <w:sz w:val="22"/>
        </w:rPr>
        <w:t>Curtin University</w:t>
      </w:r>
    </w:p>
    <w:p>
      <w:pPr>
        <w:pStyle w:val="yMiscellaneousBody"/>
      </w:pPr>
      <w:r>
        <w:t>Disability Services Commission</w:t>
      </w:r>
    </w:p>
    <w:p>
      <w:pPr>
        <w:pStyle w:val="yMiscellaneousBody"/>
        <w:spacing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keepNext/>
        <w:spacing w:line="260" w:lineRule="atLeast"/>
      </w:pPr>
      <w:r>
        <w:t>Fire and Emergency Services Superannuation Board</w:t>
      </w:r>
    </w:p>
    <w:p>
      <w:pPr>
        <w:pStyle w:val="yMiscellaneousBody"/>
        <w:spacing w:before="0" w:line="260" w:lineRule="atLeast"/>
        <w:rPr>
          <w:snapToGrid w:val="0"/>
        </w:rPr>
      </w:pPr>
      <w:smartTag w:uri="urn:schemas-microsoft-com:office:smarttags" w:element="place">
        <w:r>
          <w:t>Forest</w:t>
        </w:r>
      </w:smartTag>
      <w:r>
        <w:t xml:space="preserve"> Products Commission</w:t>
      </w:r>
    </w:p>
    <w:p>
      <w:pPr>
        <w:pStyle w:val="yMiscellaneousBody"/>
        <w:keepNext/>
        <w:spacing w:line="260" w:lineRule="atLeast"/>
        <w:rPr>
          <w:snapToGrid w:val="0"/>
        </w:rPr>
      </w:pPr>
      <w:r>
        <w:rPr>
          <w:snapToGrid w:val="0"/>
        </w:rPr>
        <w:t xml:space="preserve">Gaming and Wagering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line="260" w:lineRule="atLeast"/>
        <w:rPr>
          <w:snapToGrid w:val="0"/>
        </w:rPr>
      </w:pPr>
      <w:r>
        <w:rPr>
          <w:snapToGrid w:val="0"/>
        </w:rPr>
        <w:t>Health and Disability Services Complaints Office</w:t>
      </w:r>
    </w:p>
    <w:p>
      <w:pPr>
        <w:pStyle w:val="yMiscellaneousBody"/>
        <w:spacing w:before="0" w:line="260" w:lineRule="atLeast"/>
        <w:ind w:left="567" w:hanging="567"/>
      </w:pPr>
      <w:r>
        <w:t xml:space="preserve">Health </w:t>
      </w:r>
      <w:r>
        <w:rPr>
          <w:snapToGrid w:val="0"/>
        </w:rPr>
        <w:t>service</w:t>
      </w:r>
      <w:r>
        <w:t xml:space="preserve"> providers established by order under the </w:t>
      </w:r>
      <w:r>
        <w:rPr>
          <w:i/>
        </w:rPr>
        <w:t>Health Services Act 2016</w:t>
      </w:r>
      <w:r>
        <w:t xml:space="preserve"> section 32(1)</w:t>
      </w:r>
    </w:p>
    <w:p>
      <w:pPr>
        <w:pStyle w:val="yMiscellaneousBody"/>
        <w:tabs>
          <w:tab w:val="left" w:pos="851"/>
        </w:tabs>
        <w:spacing w:before="0" w:line="260" w:lineRule="atLeast"/>
        <w:ind w:left="851" w:hanging="851"/>
        <w:rPr>
          <w:snapToGrid w:val="0"/>
        </w:rPr>
      </w:pPr>
      <w:r>
        <w:rPr>
          <w:snapToGrid w:val="0"/>
        </w:rPr>
        <w:t xml:space="preserve">Heritage Council of </w:t>
      </w:r>
      <w:smartTag w:uri="urn:schemas-microsoft-com:office:smarttags" w:element="place">
        <w:smartTag w:uri="urn:schemas-microsoft-com:office:smarttags" w:element="State">
          <w:r>
            <w:rPr>
              <w:snapToGrid w:val="0"/>
            </w:rPr>
            <w:t>Western Australia</w:t>
          </w:r>
        </w:smartTag>
      </w:smartTag>
    </w:p>
    <w:p>
      <w:pPr>
        <w:pStyle w:val="yMiscellaneousBody"/>
        <w:tabs>
          <w:tab w:val="left" w:pos="851"/>
        </w:tabs>
        <w:spacing w:before="0" w:line="260" w:lineRule="atLeast"/>
        <w:ind w:left="851" w:hanging="851"/>
        <w:rPr>
          <w:snapToGrid w:val="0"/>
        </w:rPr>
      </w:pPr>
      <w:r>
        <w:rPr>
          <w:snapToGrid w:val="0"/>
        </w:rPr>
        <w:t>Housing Authority</w:t>
      </w:r>
    </w:p>
    <w:p>
      <w:pPr>
        <w:pStyle w:val="yMiscellaneousBody"/>
        <w:tabs>
          <w:tab w:val="left" w:pos="851"/>
        </w:tabs>
        <w:spacing w:before="0" w:line="260" w:lineRule="atLeast"/>
        <w:ind w:left="851" w:hanging="851"/>
        <w:rPr>
          <w:snapToGrid w:val="0"/>
        </w:rPr>
      </w:pPr>
    </w:p>
    <w:p>
      <w:pPr>
        <w:pStyle w:val="yMiscellaneousBody"/>
        <w:tabs>
          <w:tab w:val="left" w:pos="851"/>
        </w:tabs>
        <w:spacing w:before="0" w:line="260" w:lineRule="atLeast"/>
        <w:ind w:left="851" w:hanging="851"/>
        <w:rPr>
          <w:snapToGrid w:val="0"/>
        </w:rPr>
      </w:pPr>
      <w:r>
        <w:rPr>
          <w:snapToGrid w:val="0"/>
        </w:rPr>
        <w:t>Infrastructure WA</w:t>
      </w:r>
    </w:p>
    <w:p>
      <w:pPr>
        <w:pStyle w:val="yMiscellaneousBody"/>
        <w:spacing w:before="0"/>
      </w:pPr>
      <w:r>
        <w:t xml:space="preserve">Insurance Commission of </w:t>
      </w:r>
      <w:smartTag w:uri="urn:schemas-microsoft-com:office:smarttags" w:element="place">
        <w:smartTag w:uri="urn:schemas-microsoft-com:office:smarttags" w:element="State">
          <w:r>
            <w:t>Western Australia</w:t>
          </w:r>
        </w:smartTag>
      </w:smartTag>
    </w:p>
    <w:p>
      <w:pPr>
        <w:pStyle w:val="yMiscellaneousBody"/>
        <w:spacing w:line="260" w:lineRule="atLeast"/>
        <w:rPr>
          <w:snapToGrid w:val="0"/>
        </w:rPr>
      </w:pPr>
      <w:r>
        <w:rPr>
          <w:snapToGrid w:val="0"/>
        </w:rPr>
        <w:t xml:space="preserve">Keep </w:t>
      </w:r>
      <w:smartTag w:uri="urn:schemas-microsoft-com:office:smarttags" w:element="place">
        <w:smartTag w:uri="urn:schemas-microsoft-com:office:smarttags" w:element="country-region">
          <w:r>
            <w:rPr>
              <w:snapToGrid w:val="0"/>
            </w:rPr>
            <w:t>Australia</w:t>
          </w:r>
        </w:smartTag>
      </w:smartTag>
      <w:r>
        <w:rPr>
          <w:snapToGrid w:val="0"/>
        </w:rPr>
        <w:t xml:space="preserve"> Beautiful Council (W.A.)</w:t>
      </w:r>
    </w:p>
    <w:p>
      <w:pPr>
        <w:pStyle w:val="yMiscellaneousBody"/>
        <w:spacing w:before="0" w:line="260" w:lineRule="atLeast"/>
        <w:rPr>
          <w:snapToGrid w:val="0"/>
        </w:rPr>
      </w:pPr>
      <w:smartTag w:uri="urn:schemas-microsoft-com:office:smarttags" w:element="place">
        <w:smartTag w:uri="urn:schemas-microsoft-com:office:smarttags" w:element="City">
          <w:r>
            <w:rPr>
              <w:snapToGrid w:val="0"/>
            </w:rPr>
            <w:t>Kimberley</w:t>
          </w:r>
        </w:smartTag>
      </w:smartTag>
      <w:r>
        <w:rPr>
          <w:snapToGrid w:val="0"/>
        </w:rPr>
        <w:t xml:space="preserve"> Development Commission</w:t>
      </w:r>
    </w:p>
    <w:p>
      <w:pPr>
        <w:pStyle w:val="yMiscellaneousBody"/>
        <w:spacing w:line="260" w:lineRule="atLeast"/>
        <w:rPr>
          <w:snapToGrid w:val="0"/>
        </w:rPr>
      </w:pPr>
      <w:r>
        <w:rPr>
          <w:snapToGrid w:val="0"/>
        </w:rPr>
        <w:t>Landcare Trust</w:t>
      </w:r>
    </w:p>
    <w:p>
      <w:pPr>
        <w:pStyle w:val="yMiscellaneousBody"/>
        <w:spacing w:before="0" w:line="260" w:lineRule="atLeast"/>
        <w:rPr>
          <w:snapToGrid w:val="0"/>
        </w:rPr>
      </w:pPr>
      <w:r>
        <w:rPr>
          <w:snapToGrid w:val="0"/>
        </w:rPr>
        <w:t xml:space="preserve">Law Reform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Legal Aid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szCs w:val="22"/>
        </w:rPr>
      </w:pPr>
      <w:r>
        <w:rPr>
          <w:snapToGrid w:val="0"/>
          <w:szCs w:val="22"/>
        </w:rPr>
        <w:t>Metropolitan Cemeteries Board</w:t>
      </w:r>
    </w:p>
    <w:p>
      <w:pPr>
        <w:pStyle w:val="Subsection"/>
        <w:spacing w:before="0"/>
        <w:rPr>
          <w:snapToGrid w:val="0"/>
          <w:sz w:val="22"/>
          <w:szCs w:val="22"/>
        </w:rPr>
      </w:pPr>
      <w:r>
        <w:rPr>
          <w:sz w:val="22"/>
          <w:szCs w:val="22"/>
        </w:rPr>
        <w:tab/>
        <w:t>Metropolitan Redevelopment Authority</w:t>
      </w:r>
    </w:p>
    <w:p>
      <w:pPr>
        <w:pStyle w:val="yMiscellaneousBody"/>
        <w:spacing w:before="0" w:line="260" w:lineRule="atLeast"/>
        <w:rPr>
          <w:snapToGrid w:val="0"/>
          <w:szCs w:val="22"/>
        </w:rPr>
      </w:pPr>
      <w:r>
        <w:rPr>
          <w:snapToGrid w:val="0"/>
          <w:szCs w:val="22"/>
        </w:rPr>
        <w:t>Mid West Development Commission</w:t>
      </w:r>
    </w:p>
    <w:p>
      <w:pPr>
        <w:pStyle w:val="yMiscellaneousBody"/>
        <w:spacing w:before="0" w:line="260" w:lineRule="atLeast"/>
        <w:rPr>
          <w:szCs w:val="22"/>
        </w:rPr>
      </w:pPr>
      <w:r>
        <w:rPr>
          <w:szCs w:val="22"/>
        </w:rPr>
        <w:t>Minerals Research Institute of Western Australia</w:t>
      </w:r>
    </w:p>
    <w:p>
      <w:pPr>
        <w:pStyle w:val="yMiscellaneousBody"/>
        <w:spacing w:before="0" w:line="260" w:lineRule="atLeast"/>
        <w:rPr>
          <w:snapToGrid w:val="0"/>
          <w:szCs w:val="22"/>
        </w:rPr>
      </w:pPr>
      <w:r>
        <w:rPr>
          <w:snapToGrid w:val="0"/>
          <w:szCs w:val="22"/>
        </w:rPr>
        <w:t xml:space="preserve">Murdoch </w:t>
      </w:r>
      <w:smartTag w:uri="urn:schemas-microsoft-com:office:smarttags" w:element="PlaceType">
        <w:r>
          <w:rPr>
            <w:snapToGrid w:val="0"/>
            <w:szCs w:val="22"/>
          </w:rPr>
          <w:t>University</w:t>
        </w:r>
      </w:smartTag>
    </w:p>
    <w:p>
      <w:pPr>
        <w:pStyle w:val="yMiscellaneousBody"/>
        <w:spacing w:line="260" w:lineRule="atLeast"/>
        <w:rPr>
          <w:snapToGrid w:val="0"/>
        </w:rPr>
      </w:pPr>
      <w:r>
        <w:t>Parliamentary Inspector of the Corruption and Crime Commission</w:t>
      </w:r>
      <w:r>
        <w:rPr>
          <w:snapToGrid w:val="0"/>
        </w:rPr>
        <w:t xml:space="preserve"> </w:t>
      </w:r>
    </w:p>
    <w:p>
      <w:pPr>
        <w:pStyle w:val="yMiscellaneousBody"/>
        <w:spacing w:before="0" w:line="260" w:lineRule="atLeast"/>
        <w:rPr>
          <w:snapToGrid w:val="0"/>
        </w:rPr>
      </w:pPr>
      <w:r>
        <w:rPr>
          <w:snapToGrid w:val="0"/>
        </w:rPr>
        <w:t>Peel Development Commission</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line="260" w:lineRule="atLeast"/>
        <w:rPr>
          <w:snapToGrid w:val="0"/>
        </w:rPr>
      </w:pPr>
      <w:r>
        <w:rPr>
          <w:snapToGrid w:val="0"/>
        </w:rPr>
        <w:t xml:space="preserve">Potato Marketing Corporation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 xml:space="preserve">Public Transport Authority of </w:t>
      </w:r>
      <w:smartTag w:uri="urn:schemas-microsoft-com:office:smarttags" w:element="place">
        <w:smartTag w:uri="urn:schemas-microsoft-com:office:smarttags" w:element="State">
          <w:r>
            <w:t>Western Australia</w:t>
          </w:r>
        </w:smartTag>
      </w:smartTag>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t>
      </w:r>
      <w:smartTag w:uri="urn:schemas-microsoft-com:office:smarttags" w:element="place">
        <w:smartTag w:uri="urn:schemas-microsoft-com:office:smarttags" w:element="State">
          <w:r>
            <w:t>Western Australia</w:t>
          </w:r>
        </w:smartTag>
      </w:smartTag>
    </w:p>
    <w:p>
      <w:pPr>
        <w:pStyle w:val="yMiscellaneousBody"/>
        <w:spacing w:before="0" w:line="260" w:lineRule="atLeast"/>
        <w:rPr>
          <w:snapToGrid w:val="0"/>
        </w:rPr>
      </w:pPr>
      <w:r>
        <w:rPr>
          <w:snapToGrid w:val="0"/>
        </w:rPr>
        <w:t xml:space="preserve">Racing Penalties Appeal Tribunal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Rottnest </w:t>
      </w:r>
      <w:smartTag w:uri="urn:schemas-microsoft-com:office:smarttags" w:element="PlaceType">
        <w:r>
          <w:rPr>
            <w:snapToGrid w:val="0"/>
          </w:rPr>
          <w:t>Island</w:t>
        </w:r>
      </w:smartTag>
      <w:r>
        <w:rPr>
          <w:snapToGrid w:val="0"/>
        </w:rPr>
        <w:t xml:space="preserve"> Authority</w:t>
      </w:r>
    </w:p>
    <w:p>
      <w:pPr>
        <w:pStyle w:val="yMiscellaneousBody"/>
        <w:spacing w:before="0" w:line="260" w:lineRule="atLeast"/>
        <w:rPr>
          <w:snapToGrid w:val="0"/>
        </w:rPr>
      </w:pPr>
      <w:r>
        <w:t>Rural Business Development Corporation</w:t>
      </w:r>
    </w:p>
    <w:p>
      <w:pPr>
        <w:pStyle w:val="yMiscellaneousBody"/>
        <w:keepNext/>
        <w:spacing w:line="260" w:lineRule="atLeast"/>
        <w:rPr>
          <w:snapToGrid w:val="0"/>
        </w:rPr>
      </w:pPr>
      <w:r>
        <w:rPr>
          <w:snapToGrid w:val="0"/>
        </w:rPr>
        <w:t>School Curriculum and Standards Authority</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State Supply Commission</w:t>
      </w:r>
    </w:p>
    <w:p>
      <w:pPr>
        <w:pStyle w:val="yMiscellaneousBody"/>
        <w:spacing w:before="0" w:line="260" w:lineRule="atLeast"/>
        <w:rPr>
          <w:snapToGrid w:val="0"/>
        </w:rPr>
      </w:pPr>
      <w:r>
        <w:rPr>
          <w:snapToGrid w:val="0"/>
        </w:rPr>
        <w:t>Swan Bells Foundation Incorporated</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 xml:space="preserve">The Board of the </w:t>
      </w:r>
      <w:smartTag w:uri="urn:schemas-microsoft-com:office:smarttags" w:element="PlaceName">
        <w:r>
          <w:rPr>
            <w:snapToGrid w:val="0"/>
          </w:rPr>
          <w:t>Art</w:t>
        </w:r>
      </w:smartTag>
      <w:r>
        <w:rPr>
          <w:snapToGrid w:val="0"/>
        </w:rPr>
        <w:t xml:space="preserve"> </w:t>
      </w:r>
      <w:smartTag w:uri="urn:schemas-microsoft-com:office:smarttags" w:element="PlaceName">
        <w:r>
          <w:rPr>
            <w:snapToGrid w:val="0"/>
          </w:rPr>
          <w:t>Gallery</w:t>
        </w:r>
      </w:smartTag>
      <w:r>
        <w:rPr>
          <w:snapToGrid w:val="0"/>
        </w:rPr>
        <w:t xml:space="preserve">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Burswood</w:t>
          </w:r>
        </w:smartTag>
        <w:r>
          <w:rPr>
            <w:snapToGrid w:val="0"/>
          </w:rPr>
          <w:t xml:space="preserve"> </w:t>
        </w:r>
        <w:smartTag w:uri="urn:schemas-microsoft-com:office:smarttags" w:element="PlaceType">
          <w:r>
            <w:rPr>
              <w:snapToGrid w:val="0"/>
            </w:rPr>
            <w:t>Park</w:t>
          </w:r>
        </w:smartTag>
      </w:smartTag>
      <w:r>
        <w:rPr>
          <w:snapToGrid w:val="0"/>
        </w:rPr>
        <w:t xml:space="preserve"> Board</w:t>
      </w:r>
    </w:p>
    <w:p>
      <w:pPr>
        <w:pStyle w:val="yMiscellaneousBody"/>
        <w:spacing w:before="0" w:line="260" w:lineRule="atLeast"/>
        <w:rPr>
          <w:snapToGrid w:val="0"/>
        </w:rPr>
      </w:pPr>
      <w:r>
        <w:rPr>
          <w:snapToGrid w:val="0"/>
        </w:rPr>
        <w:t xml:space="preserve">The Coal Miners’ Welfare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Library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National Trust of </w:t>
      </w:r>
      <w:smartTag w:uri="urn:schemas-microsoft-com:office:smarttags" w:element="place">
        <w:smartTag w:uri="urn:schemas-microsoft-com:office:smarttags" w:element="country-region">
          <w:r>
            <w:rPr>
              <w:snapToGrid w:val="0"/>
            </w:rPr>
            <w:t>Australia</w:t>
          </w:r>
        </w:smartTag>
      </w:smartTag>
      <w:r>
        <w:rPr>
          <w:snapToGrid w:val="0"/>
        </w:rPr>
        <w:t xml:space="preserve">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Type">
          <w:r>
            <w:rPr>
              <w:snapToGrid w:val="0"/>
            </w:rPr>
            <w:t>University</w:t>
          </w:r>
        </w:smartTag>
        <w:r>
          <w:rPr>
            <w:snapToGrid w:val="0"/>
          </w:rPr>
          <w:t xml:space="preserve"> of </w:t>
        </w:r>
        <w:smartTag w:uri="urn:schemas-microsoft-com:office:smarttags" w:element="PlaceNam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Museum</w:t>
          </w:r>
        </w:smartTag>
      </w:smartTag>
    </w:p>
    <w:p>
      <w:pPr>
        <w:pStyle w:val="yMiscellaneousBody"/>
        <w:spacing w:before="0" w:line="260" w:lineRule="atLeast"/>
        <w:rPr>
          <w:snapToGrid w:val="0"/>
        </w:rPr>
      </w:pPr>
      <w:r>
        <w:rPr>
          <w:snapToGrid w:val="0"/>
        </w:rPr>
        <w:t>Trustees of the Public Education Endowment</w:t>
      </w:r>
    </w:p>
    <w:p>
      <w:pPr>
        <w:pStyle w:val="yMiscellaneousBody"/>
        <w:keepNext/>
        <w:spacing w:line="260" w:lineRule="atLeast"/>
        <w:rPr>
          <w:snapToGrid w:val="0"/>
        </w:rPr>
      </w:pPr>
      <w:r>
        <w:rPr>
          <w:snapToGrid w:val="0"/>
        </w:rPr>
        <w:t xml:space="preserve">Western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Building</w:t>
        </w:r>
      </w:smartTag>
      <w:r>
        <w:rPr>
          <w:snapToGrid w:val="0"/>
        </w:rPr>
        <w:t xml:space="preserve">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Energy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Land</w:t>
          </w:r>
        </w:smartTag>
      </w:smartTag>
      <w:r>
        <w:rPr>
          <w:snapToGrid w:val="0"/>
        </w:rPr>
        <w:t xml:space="preserve">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 xml:space="preserve">WorkCover Western </w:t>
      </w:r>
      <w:smartTag w:uri="urn:schemas-microsoft-com:office:smarttags" w:element="place">
        <w:smartTag w:uri="urn:schemas-microsoft-com:office:smarttags" w:element="country-region">
          <w:r>
            <w:t>Australia</w:t>
          </w:r>
        </w:smartTag>
      </w:smartTag>
      <w:r>
        <w:t xml:space="preserve"> Authority</w:t>
      </w:r>
    </w:p>
    <w:p>
      <w:pPr>
        <w:pStyle w:val="yMiscellaneousBody"/>
        <w:keepNext/>
        <w:spacing w:line="260" w:lineRule="atLeast"/>
        <w:rPr>
          <w:snapToGrid w:val="0"/>
        </w:rPr>
      </w:pPr>
      <w:r>
        <w:rPr>
          <w:snapToGrid w:val="0"/>
        </w:rPr>
        <w:t>Zoological Parks Authority</w:t>
      </w:r>
    </w:p>
    <w:p>
      <w:pPr>
        <w:pStyle w:val="yFootnotesection"/>
        <w:keepLines w:val="0"/>
      </w:pPr>
      <w:r>
        <w:tab/>
        <w:t xml:space="preserve">[Schedule 1 amended: No. 77 of 2006 Sch. 1 cl. 63; No. 10 of 2007 s. 43; No. 24 of 2007 s. 36; No. 38 of 2007 s. 195; No. 28 of 2008 s. 13; No. 16 of 2009 s. 69; No. 33 of 2010 s. 56; </w:t>
      </w:r>
      <w:r>
        <w:rPr>
          <w:spacing w:val="-4"/>
        </w:rPr>
        <w:t>No. 45 of 2011 s. 1</w:t>
      </w:r>
      <w:r>
        <w:t xml:space="preserve">38; No. 54 of 2011 s. 5; No. 37 of 2011 s. 56; No. 22 of 2012 s. 125; No. 25 of 2012 s. 212; No. 23 of 2013 s. 77; No. 3 of 2015 s. 16; No. 6 of 2015 s. 55; No. 40 of 2015 s. 55; No. 11 of 2016 s. 289; No. 32 of 2016 s. 181; No. 41 of 2016 s. 22; No. 13 of 2019 s. 75(2); amended in Gazette 13 Jul 2007 p. 3454; 4 Jan 2008 p. 29; 8 Feb 2008 p. 323; 20 Aug 2010 p. 4072; 7 Dec 2012 p. 5998; 9 Jul 2013 p. 3048; 11 Nov 2014 p. 4262; 12 May 2015 p. 1641; 8 Sep 2017 p. 4698.] </w:t>
      </w:r>
    </w:p>
    <w:p>
      <w:pPr>
        <w:pStyle w:val="yScheduleHeading"/>
      </w:pPr>
      <w:bookmarkStart w:id="136" w:name="_Toc14427661"/>
      <w:bookmarkStart w:id="137" w:name="_Toc14686392"/>
      <w:r>
        <w:rPr>
          <w:rStyle w:val="CharSchNo"/>
        </w:rPr>
        <w:t>Schedule 2</w:t>
      </w:r>
      <w:r>
        <w:rPr>
          <w:rStyle w:val="CharSDivNo"/>
        </w:rPr>
        <w:t> </w:t>
      </w:r>
      <w:r>
        <w:t>—</w:t>
      </w:r>
      <w:r>
        <w:rPr>
          <w:rStyle w:val="CharSDivText"/>
        </w:rPr>
        <w:t> </w:t>
      </w:r>
      <w:r>
        <w:rPr>
          <w:rStyle w:val="CharSchText"/>
        </w:rPr>
        <w:t>Modifications to the Act as to certain administrations</w:t>
      </w:r>
      <w:bookmarkEnd w:id="136"/>
      <w:bookmarkEnd w:id="137"/>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tabs>
                <w:tab w:val="clear" w:pos="567"/>
                <w:tab w:val="left" w:pos="514"/>
                <w:tab w:val="left" w:pos="1005"/>
              </w:tabs>
              <w:ind w:left="1005" w:hanging="1005"/>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tabs>
                <w:tab w:val="clear" w:pos="567"/>
                <w:tab w:val="left" w:pos="514"/>
                <w:tab w:val="left" w:pos="1005"/>
              </w:tabs>
              <w:ind w:left="1005" w:hanging="1005"/>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rStyle w:val="DraftersNotes"/>
              </w:rPr>
            </w:pPr>
            <w:r>
              <w:t>48.</w:t>
            </w:r>
            <w:r>
              <w:tab/>
              <w:t>(4)</w:t>
            </w:r>
            <w:r>
              <w:tab/>
              <w:t>The accountable authority of an agency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accountable</w:t>
            </w:r>
            <w:r>
              <w:rPr>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Legislative Council is the Clerk of the Legislative Council; or</w:t>
            </w:r>
          </w:p>
          <w:p>
            <w:pPr>
              <w:pStyle w:val="yTableNAm"/>
              <w:tabs>
                <w:tab w:val="clear" w:pos="567"/>
                <w:tab w:val="left" w:pos="514"/>
                <w:tab w:val="left" w:pos="1134"/>
                <w:tab w:val="left" w:pos="1559"/>
              </w:tabs>
              <w:ind w:left="1564" w:hanging="1462"/>
            </w:pPr>
            <w:r>
              <w:tab/>
            </w:r>
            <w:r>
              <w:tab/>
              <w:t>(b)</w:t>
            </w:r>
            <w:r>
              <w:tab/>
              <w:t>the Legislative Assembly is the Clerk of the Legislative Assembly; or</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 xml:space="preserve">the Parliamentary Commissioner for Administrative Investigations is the chief executive officer of the department of the Public Service principally assisting in the administration of the </w:t>
            </w:r>
            <w:r>
              <w:rPr>
                <w:i/>
              </w:rPr>
              <w:t>Parliamentary Commissioner Act 1971</w:t>
            </w:r>
            <w:r>
              <w:t>; or</w:t>
            </w:r>
          </w:p>
          <w:p>
            <w:pPr>
              <w:pStyle w:val="yTableNAm"/>
              <w:tabs>
                <w:tab w:val="clear" w:pos="567"/>
                <w:tab w:val="left" w:pos="514"/>
                <w:tab w:val="left" w:pos="1134"/>
                <w:tab w:val="left" w:pos="1559"/>
              </w:tabs>
              <w:ind w:left="1564" w:hanging="1462"/>
            </w:pPr>
            <w:r>
              <w:tab/>
            </w:r>
            <w:r>
              <w:tab/>
              <w:t>(e)</w:t>
            </w:r>
            <w:r>
              <w:tab/>
              <w:t xml:space="preserve">the Information Commissioner is the chief executive officer of the department of the Public Service principally assisting in the administration of the </w:t>
            </w:r>
            <w:r>
              <w:rPr>
                <w:i/>
              </w:rPr>
              <w:t>Freedom of Information Act 1992</w:t>
            </w:r>
            <w:r>
              <w:t>,</w:t>
            </w:r>
          </w:p>
        </w:tc>
      </w:tr>
      <w:tr>
        <w:tblPrEx>
          <w:tblCellMar>
            <w:left w:w="0" w:type="dxa"/>
            <w:right w:w="0" w:type="dxa"/>
          </w:tblCellMar>
        </w:tblPrEx>
        <w:tc>
          <w:tcPr>
            <w:tcW w:w="1418" w:type="dxa"/>
          </w:tcPr>
          <w:p>
            <w:pPr>
              <w:pStyle w:val="yTableNAm"/>
            </w:pPr>
          </w:p>
        </w:tc>
        <w:tc>
          <w:tcPr>
            <w:tcW w:w="5670" w:type="dxa"/>
          </w:tcPr>
          <w:p>
            <w:pPr>
              <w:pStyle w:val="yTableNAm"/>
              <w:tabs>
                <w:tab w:val="clear" w:pos="567"/>
                <w:tab w:val="left" w:pos="514"/>
                <w:tab w:val="left" w:pos="1005"/>
              </w:tabs>
              <w:ind w:left="1005" w:hanging="1005"/>
              <w:rPr>
                <w:b/>
                <w:i/>
              </w:rPr>
            </w:pPr>
            <w:r>
              <w:tab/>
            </w:r>
            <w: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t>key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agency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and</w:t>
            </w:r>
          </w:p>
          <w:p>
            <w:pPr>
              <w:pStyle w:val="yTableNAm"/>
              <w:tabs>
                <w:tab w:val="clear" w:pos="567"/>
                <w:tab w:val="left" w:pos="514"/>
                <w:tab w:val="left" w:pos="1134"/>
                <w:tab w:val="left" w:pos="1559"/>
              </w:tabs>
              <w:ind w:left="1564" w:hanging="1462"/>
              <w:rPr>
                <w:b/>
                <w:i/>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keepNext/>
            </w:pPr>
            <w:r>
              <w:t>62</w:t>
            </w:r>
          </w:p>
        </w:tc>
        <w:tc>
          <w:tcPr>
            <w:tcW w:w="5670" w:type="dxa"/>
          </w:tcPr>
          <w:p>
            <w:pPr>
              <w:pStyle w:val="yTableNAm"/>
              <w:keepNext/>
              <w:tabs>
                <w:tab w:val="clear" w:pos="567"/>
                <w:tab w:val="left" w:pos="514"/>
                <w:tab w:val="left" w:pos="1005"/>
              </w:tabs>
              <w:ind w:left="1005" w:hanging="1005"/>
            </w:pPr>
            <w:r>
              <w:t>62.</w:t>
            </w:r>
            <w:r>
              <w:tab/>
              <w:t>(2)</w:t>
            </w:r>
            <w: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t>63</w:t>
            </w:r>
          </w:p>
        </w:tc>
        <w:tc>
          <w:tcPr>
            <w:tcW w:w="5670" w:type="dxa"/>
          </w:tcPr>
          <w:p>
            <w:pPr>
              <w:pStyle w:val="yTableNAm"/>
              <w:tabs>
                <w:tab w:val="clear" w:pos="567"/>
                <w:tab w:val="left" w:pos="514"/>
                <w:tab w:val="left" w:pos="1005"/>
              </w:tabs>
              <w:ind w:left="1005" w:hanging="1005"/>
            </w:pPr>
            <w:r>
              <w:t>63.</w:t>
            </w:r>
            <w:r>
              <w:tab/>
              <w:t>(2)</w:t>
            </w:r>
            <w: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annual report prepared by the accountable authority under section 61(1); and</w:t>
            </w:r>
          </w:p>
          <w:p>
            <w:pPr>
              <w:pStyle w:val="yTableNAm"/>
              <w:tabs>
                <w:tab w:val="clear" w:pos="567"/>
                <w:tab w:val="left" w:pos="514"/>
                <w:tab w:val="left" w:pos="1134"/>
                <w:tab w:val="left" w:pos="1559"/>
              </w:tabs>
              <w:ind w:left="1564" w:hanging="1462"/>
            </w:pPr>
            <w:r>
              <w:tab/>
            </w:r>
            <w:r>
              <w:tab/>
              <w:t>(b)</w:t>
            </w:r>
            <w:r>
              <w:tab/>
              <w:t xml:space="preserve">unless the audit of the agency’s accounts in respect of the relevant financial year has been dispensed with under the </w:t>
            </w:r>
            <w:r>
              <w:rPr>
                <w:i/>
              </w:rPr>
              <w:t>Auditor General Act 2006</w:t>
            </w:r>
            <w: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NAm"/>
            </w:pPr>
            <w:r>
              <w:t>64</w:t>
            </w:r>
          </w:p>
        </w:tc>
        <w:tc>
          <w:tcPr>
            <w:tcW w:w="5670" w:type="dxa"/>
          </w:tcPr>
          <w:p>
            <w:pPr>
              <w:pStyle w:val="yTableNAm"/>
              <w:tabs>
                <w:tab w:val="clear" w:pos="567"/>
                <w:tab w:val="left" w:pos="514"/>
                <w:tab w:val="left" w:pos="1005"/>
              </w:tabs>
              <w:ind w:left="1005" w:hanging="1005"/>
            </w:pPr>
            <w:r>
              <w:t>64.</w:t>
            </w:r>
            <w:r>
              <w:tab/>
              <w:t>(1)</w:t>
            </w:r>
            <w:r>
              <w:tab/>
              <w:t xml:space="preserve">The accountable authority of an agency is to transmit to both Houses of Parliament within the prescribed period after the end of a financial year of the agency — </w:t>
            </w:r>
          </w:p>
          <w:p>
            <w:pPr>
              <w:pStyle w:val="yTableNAm"/>
              <w:tabs>
                <w:tab w:val="clear" w:pos="567"/>
                <w:tab w:val="left" w:pos="514"/>
                <w:tab w:val="left" w:pos="1134"/>
                <w:tab w:val="left" w:pos="1559"/>
              </w:tabs>
              <w:ind w:left="1564" w:hanging="1462"/>
            </w:pPr>
            <w:r>
              <w:tab/>
            </w:r>
            <w:r>
              <w:tab/>
              <w:t>(a)</w:t>
            </w:r>
            <w:r>
              <w:tab/>
              <w:t>copies of the annual report for the financial year prepared by the accountable authority under section 61(1); and</w:t>
            </w:r>
          </w:p>
          <w:p>
            <w:pPr>
              <w:pStyle w:val="yTableNAm"/>
              <w:tabs>
                <w:tab w:val="clear" w:pos="567"/>
                <w:tab w:val="left" w:pos="514"/>
                <w:tab w:val="left" w:pos="1134"/>
                <w:tab w:val="left" w:pos="1559"/>
              </w:tabs>
              <w:ind w:left="1564" w:hanging="1462"/>
            </w:pPr>
            <w:r>
              <w:tab/>
            </w:r>
            <w:r>
              <w:tab/>
              <w:t>(b)</w:t>
            </w:r>
            <w:r>
              <w:tab/>
              <w:t xml:space="preserve">unless the audit of the agency’s accounts in respect of the financial year has been dispensed with under the </w:t>
            </w:r>
            <w:r>
              <w:rPr>
                <w:i/>
              </w:rPr>
              <w:t>Auditor General Act 2006</w:t>
            </w:r>
            <w: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NAm"/>
            </w:pPr>
            <w:r>
              <w:t>65</w:t>
            </w:r>
          </w:p>
        </w:tc>
        <w:tc>
          <w:tcPr>
            <w:tcW w:w="5670" w:type="dxa"/>
          </w:tcPr>
          <w:p>
            <w:pPr>
              <w:pStyle w:val="yTableNAm"/>
              <w:tabs>
                <w:tab w:val="clear" w:pos="567"/>
                <w:tab w:val="left" w:pos="514"/>
                <w:tab w:val="left" w:pos="1005"/>
              </w:tabs>
              <w:ind w:left="1005" w:hanging="1005"/>
            </w:pPr>
            <w:r>
              <w:t>65.</w:t>
            </w:r>
            <w:r>
              <w:tab/>
              <w:t>(1)</w:t>
            </w:r>
            <w:r>
              <w:tab/>
              <w:t xml:space="preserve">If the accountable authority of an agency is not able to transmit copies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accountable authority’s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Part 3 Division 5 does not have effect.</w:t>
      </w:r>
    </w:p>
    <w:p>
      <w:pPr>
        <w:pStyle w:val="yScheduleHeading"/>
      </w:pPr>
      <w:bookmarkStart w:id="138" w:name="_Toc14427662"/>
      <w:bookmarkStart w:id="139" w:name="_Toc14686393"/>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138"/>
      <w:bookmarkEnd w:id="139"/>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b/>
                <w:i/>
              </w:rPr>
            </w:pPr>
            <w:r>
              <w:t>48.</w:t>
            </w:r>
            <w:r>
              <w:tab/>
              <w:t>(4)</w:t>
            </w:r>
            <w:r>
              <w:tab/>
              <w:t>The accountable authority of the Office of the Auditor General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t>key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unless, in the opinion of the Auditor General, this information would compromise the Auditor General’s independence; and</w:t>
            </w:r>
          </w:p>
          <w:p>
            <w:pPr>
              <w:pStyle w:val="yTableNAm"/>
              <w:tabs>
                <w:tab w:val="clear" w:pos="567"/>
                <w:tab w:val="left" w:pos="514"/>
                <w:tab w:val="left" w:pos="1134"/>
                <w:tab w:val="left" w:pos="1559"/>
              </w:tabs>
              <w:ind w:left="1564" w:hanging="1462"/>
              <w:rPr>
                <w:rStyle w:val="DraftersNotes"/>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pPr>
            <w:r>
              <w:t>62</w:t>
            </w:r>
          </w:p>
        </w:tc>
        <w:tc>
          <w:tcPr>
            <w:tcW w:w="5670" w:type="dxa"/>
          </w:tcPr>
          <w:p>
            <w:pPr>
              <w:pStyle w:val="yTableNAm"/>
              <w:tabs>
                <w:tab w:val="clear" w:pos="567"/>
                <w:tab w:val="left" w:pos="514"/>
                <w:tab w:val="left" w:pos="1005"/>
              </w:tabs>
              <w:ind w:left="1005" w:hanging="1005"/>
            </w:pPr>
            <w:r>
              <w:t>62.</w:t>
            </w:r>
            <w:r>
              <w:tab/>
              <w:t>(2)</w:t>
            </w:r>
            <w: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t>63</w:t>
            </w:r>
          </w:p>
        </w:tc>
        <w:tc>
          <w:tcPr>
            <w:tcW w:w="5670" w:type="dxa"/>
          </w:tcPr>
          <w:p>
            <w:pPr>
              <w:pStyle w:val="yTableNAm"/>
              <w:tabs>
                <w:tab w:val="clear" w:pos="567"/>
                <w:tab w:val="left" w:pos="514"/>
                <w:tab w:val="left" w:pos="1005"/>
              </w:tabs>
              <w:ind w:left="1005" w:hanging="1005"/>
            </w:pPr>
            <w:r>
              <w:t>63.</w:t>
            </w:r>
            <w:r>
              <w:tab/>
              <w:t>(2)</w:t>
            </w:r>
            <w:r>
              <w:tab/>
              <w:t>After receiving the opinion of the independent auditor appointed in accordance with the</w:t>
            </w:r>
            <w:r>
              <w:rPr>
                <w:i/>
              </w:rPr>
              <w:t xml:space="preserve"> Auditor General Act 2006</w:t>
            </w:r>
            <w:r>
              <w:t xml:space="preserve"> section 38, the Auditor General is to transmit copies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rPr>
          <w:cantSplit/>
        </w:trPr>
        <w:tc>
          <w:tcPr>
            <w:tcW w:w="1418" w:type="dxa"/>
          </w:tcPr>
          <w:p>
            <w:pPr>
              <w:pStyle w:val="yTableNAm"/>
            </w:pPr>
            <w:r>
              <w:t>65</w:t>
            </w:r>
          </w:p>
        </w:tc>
        <w:tc>
          <w:tcPr>
            <w:tcW w:w="5670" w:type="dxa"/>
          </w:tcPr>
          <w:p>
            <w:pPr>
              <w:pStyle w:val="yTableNAm"/>
              <w:tabs>
                <w:tab w:val="clear" w:pos="567"/>
                <w:tab w:val="left" w:pos="514"/>
                <w:tab w:val="left" w:pos="1005"/>
              </w:tabs>
              <w:ind w:left="1005" w:hanging="1005"/>
            </w:pPr>
            <w:r>
              <w:t>65.</w:t>
            </w:r>
            <w:r>
              <w:tab/>
              <w:t>(1)</w:t>
            </w:r>
            <w:r>
              <w:tab/>
              <w:t xml:space="preserve">If the Auditor General is not able to transmit copies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p>
            <w:pPr>
              <w:pStyle w:val="yTableNAm"/>
              <w:tabs>
                <w:tab w:val="clear" w:pos="567"/>
                <w:tab w:val="left" w:pos="514"/>
                <w:tab w:val="left" w:pos="1134"/>
                <w:tab w:val="left" w:pos="1559"/>
              </w:tabs>
              <w:ind w:left="1564" w:hanging="1462"/>
            </w:pPr>
            <w:r>
              <w:tab/>
            </w:r>
            <w:r>
              <w:tab/>
              <w:t>(a)</w:t>
            </w:r>
            <w:r>
              <w:tab/>
              <w:t>the Auditor General’s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Part 3 Division 5 and section 64</w:t>
      </w:r>
      <w:r>
        <w:rPr>
          <w:szCs w:val="22"/>
        </w:rPr>
        <w:t xml:space="preserve"> do</w:t>
      </w:r>
      <w:r>
        <w:rPr>
          <w:sz w:val="20"/>
        </w:rPr>
        <w:t xml:space="preserve"> not have effect.</w:t>
      </w:r>
    </w:p>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pPr>
      <w:bookmarkStart w:id="141" w:name="_Toc14427663"/>
      <w:bookmarkStart w:id="142" w:name="_Toc14686394"/>
      <w:r>
        <w:t>Notes</w:t>
      </w:r>
      <w:bookmarkEnd w:id="141"/>
      <w:bookmarkEnd w:id="142"/>
    </w:p>
    <w:p>
      <w:pPr>
        <w:pStyle w:val="nSubsection"/>
      </w:pPr>
      <w:r>
        <w:rPr>
          <w:vertAlign w:val="superscript"/>
        </w:rPr>
        <w:t>1</w:t>
      </w:r>
      <w:r>
        <w:tab/>
        <w:t xml:space="preserve">This is a compilation of the </w:t>
      </w:r>
      <w:r>
        <w:rPr>
          <w:i/>
          <w:noProof/>
        </w:rPr>
        <w:t>Financial Management Act 2006</w:t>
      </w:r>
      <w:r>
        <w:t xml:space="preserve"> and includes the amendments made by the other written laws referred to in the following table</w:t>
      </w:r>
      <w:r>
        <w:rPr>
          <w:vertAlign w:val="superscript"/>
        </w:rPr>
        <w:t> 1a, 3</w:t>
      </w:r>
      <w:r>
        <w:t>.  The table also contains information about any reprint.</w:t>
      </w:r>
    </w:p>
    <w:p>
      <w:pPr>
        <w:pStyle w:val="nHeading3"/>
        <w:rPr>
          <w:snapToGrid w:val="0"/>
        </w:rPr>
      </w:pPr>
      <w:bookmarkStart w:id="143" w:name="_Toc14686395"/>
      <w:r>
        <w:rPr>
          <w:snapToGrid w:val="0"/>
        </w:rPr>
        <w:t>Compilation table</w:t>
      </w:r>
      <w:bookmarkEnd w:id="14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8"/>
        <w:gridCol w:w="1126"/>
        <w:gridCol w:w="6"/>
        <w:gridCol w:w="1132"/>
        <w:gridCol w:w="2551"/>
      </w:tblGrid>
      <w:tr>
        <w:trPr>
          <w:tblHeader/>
        </w:trPr>
        <w:tc>
          <w:tcPr>
            <w:tcW w:w="2268" w:type="dxa"/>
            <w:shd w:val="clear" w:color="auto" w:fill="auto"/>
          </w:tcPr>
          <w:p>
            <w:pPr>
              <w:pStyle w:val="nTable"/>
              <w:spacing w:after="40"/>
              <w:rPr>
                <w:b/>
              </w:rPr>
            </w:pPr>
            <w:r>
              <w:rPr>
                <w:b/>
              </w:rPr>
              <w:t>Short title</w:t>
            </w:r>
          </w:p>
        </w:tc>
        <w:tc>
          <w:tcPr>
            <w:tcW w:w="1134" w:type="dxa"/>
            <w:gridSpan w:val="2"/>
            <w:shd w:val="clear" w:color="auto" w:fill="auto"/>
          </w:tcPr>
          <w:p>
            <w:pPr>
              <w:pStyle w:val="nTable"/>
              <w:spacing w:after="40"/>
              <w:rPr>
                <w:b/>
              </w:rPr>
            </w:pPr>
            <w:r>
              <w:rPr>
                <w:b/>
              </w:rPr>
              <w:t>Number and year</w:t>
            </w:r>
          </w:p>
        </w:tc>
        <w:tc>
          <w:tcPr>
            <w:tcW w:w="1138" w:type="dxa"/>
            <w:gridSpan w:val="2"/>
            <w:shd w:val="clear" w:color="auto" w:fill="auto"/>
          </w:tcPr>
          <w:p>
            <w:pPr>
              <w:pStyle w:val="nTable"/>
              <w:spacing w:after="40"/>
              <w:rPr>
                <w:b/>
              </w:rPr>
            </w:pPr>
            <w:r>
              <w:rPr>
                <w:b/>
              </w:rPr>
              <w:t>Assent</w:t>
            </w:r>
          </w:p>
        </w:tc>
        <w:tc>
          <w:tcPr>
            <w:tcW w:w="2551" w:type="dxa"/>
            <w:shd w:val="clear" w:color="auto" w:fill="auto"/>
          </w:tcPr>
          <w:p>
            <w:pPr>
              <w:pStyle w:val="nTable"/>
              <w:spacing w:after="40"/>
              <w:rPr>
                <w:b/>
              </w:rPr>
            </w:pPr>
            <w:r>
              <w:rPr>
                <w:b/>
              </w:rPr>
              <w:t>Commencement</w:t>
            </w:r>
          </w:p>
        </w:tc>
      </w:tr>
      <w:tr>
        <w:tc>
          <w:tcPr>
            <w:tcW w:w="2268" w:type="dxa"/>
            <w:tcBorders>
              <w:bottom w:val="nil"/>
            </w:tcBorders>
          </w:tcPr>
          <w:p>
            <w:pPr>
              <w:pStyle w:val="nTable"/>
              <w:spacing w:after="40"/>
            </w:pPr>
            <w:r>
              <w:rPr>
                <w:i/>
                <w:iCs/>
              </w:rPr>
              <w:t>Financial Management Act 2006</w:t>
            </w:r>
          </w:p>
        </w:tc>
        <w:tc>
          <w:tcPr>
            <w:tcW w:w="1134" w:type="dxa"/>
            <w:gridSpan w:val="2"/>
            <w:tcBorders>
              <w:bottom w:val="nil"/>
            </w:tcBorders>
          </w:tcPr>
          <w:p>
            <w:pPr>
              <w:pStyle w:val="nTable"/>
              <w:spacing w:after="40"/>
            </w:pPr>
            <w:r>
              <w:t>76 of 2006</w:t>
            </w:r>
          </w:p>
        </w:tc>
        <w:tc>
          <w:tcPr>
            <w:tcW w:w="1138" w:type="dxa"/>
            <w:gridSpan w:val="2"/>
            <w:tcBorders>
              <w:bottom w:val="nil"/>
            </w:tcBorders>
          </w:tcPr>
          <w:p>
            <w:pPr>
              <w:pStyle w:val="nTable"/>
              <w:spacing w:after="40"/>
            </w:pPr>
            <w:r>
              <w:t>21 Dec 2006</w:t>
            </w:r>
          </w:p>
        </w:tc>
        <w:tc>
          <w:tcPr>
            <w:tcW w:w="2551" w:type="dxa"/>
            <w:tcBorders>
              <w:bottom w:val="nil"/>
            </w:tcBorders>
          </w:tcPr>
          <w:p>
            <w:pPr>
              <w:pStyle w:val="nTable"/>
              <w:spacing w:after="40"/>
            </w:pPr>
            <w:r>
              <w:t>s. 1 and 2: 21 Dec 2006;</w:t>
            </w:r>
            <w:r>
              <w:br/>
              <w:t>Act other than s. 1 and 2:</w:t>
            </w:r>
            <w:r>
              <w:br/>
              <w:t xml:space="preserve">1 Feb 2007 (see s. 2 and </w:t>
            </w:r>
            <w:r>
              <w:rPr>
                <w:i/>
                <w:iCs/>
              </w:rPr>
              <w:t>Gazette</w:t>
            </w:r>
            <w:r>
              <w:t xml:space="preserve"> 19 Jan 2007 p. 137)</w:t>
            </w:r>
          </w:p>
        </w:tc>
      </w:tr>
      <w:tr>
        <w:tc>
          <w:tcPr>
            <w:tcW w:w="2268" w:type="dxa"/>
            <w:tcBorders>
              <w:top w:val="nil"/>
              <w:bottom w:val="nil"/>
            </w:tcBorders>
          </w:tcPr>
          <w:p>
            <w:pPr>
              <w:pStyle w:val="nTable"/>
              <w:spacing w:after="40"/>
              <w:rPr>
                <w:i/>
                <w:iCs/>
              </w:rPr>
            </w:pPr>
            <w:r>
              <w:rPr>
                <w:i/>
                <w:iCs/>
              </w:rPr>
              <w:t xml:space="preserve">Financial Legislation Amendment and Repeal Act 2006 </w:t>
            </w:r>
            <w:r>
              <w:t>Sch. 1 cl. 63</w:t>
            </w:r>
          </w:p>
        </w:tc>
        <w:tc>
          <w:tcPr>
            <w:tcW w:w="1134" w:type="dxa"/>
            <w:gridSpan w:val="2"/>
            <w:tcBorders>
              <w:top w:val="nil"/>
              <w:bottom w:val="nil"/>
            </w:tcBorders>
          </w:tcPr>
          <w:p>
            <w:pPr>
              <w:pStyle w:val="nTable"/>
              <w:spacing w:after="40"/>
            </w:pPr>
            <w:r>
              <w:t>77 of 2006</w:t>
            </w:r>
          </w:p>
        </w:tc>
        <w:tc>
          <w:tcPr>
            <w:tcW w:w="1138" w:type="dxa"/>
            <w:gridSpan w:val="2"/>
            <w:tcBorders>
              <w:top w:val="nil"/>
              <w:bottom w:val="nil"/>
            </w:tcBorders>
          </w:tcPr>
          <w:p>
            <w:pPr>
              <w:pStyle w:val="nTable"/>
              <w:spacing w:after="40"/>
            </w:pPr>
            <w:r>
              <w:t>21 Dec 2006</w:t>
            </w:r>
          </w:p>
        </w:tc>
        <w:tc>
          <w:tcPr>
            <w:tcW w:w="2551" w:type="dxa"/>
            <w:tcBorders>
              <w:top w:val="nil"/>
              <w:bottom w:val="nil"/>
            </w:tcBorders>
          </w:tcPr>
          <w:p>
            <w:pPr>
              <w:pStyle w:val="nTable"/>
              <w:spacing w:after="40"/>
            </w:pPr>
            <w:r>
              <w:t xml:space="preserve">1 Feb 2007 (see s. 2(1) and </w:t>
            </w:r>
            <w:r>
              <w:rPr>
                <w:i/>
                <w:iCs/>
              </w:rPr>
              <w:t>Gazette</w:t>
            </w:r>
            <w:r>
              <w:t xml:space="preserve"> 19 Jan 2007 p. 137)</w:t>
            </w:r>
          </w:p>
        </w:tc>
      </w:tr>
      <w:tr>
        <w:tc>
          <w:tcPr>
            <w:tcW w:w="2268" w:type="dxa"/>
            <w:tcBorders>
              <w:top w:val="nil"/>
              <w:bottom w:val="nil"/>
            </w:tcBorders>
          </w:tcPr>
          <w:p>
            <w:pPr>
              <w:pStyle w:val="nTable"/>
              <w:spacing w:after="40"/>
            </w:pPr>
            <w:r>
              <w:rPr>
                <w:i/>
                <w:iCs/>
              </w:rPr>
              <w:t>Chemistry Centre (WA) Act 2007</w:t>
            </w:r>
            <w:r>
              <w:t xml:space="preserve"> s. 43</w:t>
            </w:r>
          </w:p>
        </w:tc>
        <w:tc>
          <w:tcPr>
            <w:tcW w:w="1134" w:type="dxa"/>
            <w:gridSpan w:val="2"/>
            <w:tcBorders>
              <w:top w:val="nil"/>
              <w:bottom w:val="nil"/>
            </w:tcBorders>
          </w:tcPr>
          <w:p>
            <w:pPr>
              <w:pStyle w:val="nTable"/>
              <w:spacing w:after="40"/>
            </w:pPr>
            <w:r>
              <w:t>10 of 2007</w:t>
            </w:r>
          </w:p>
        </w:tc>
        <w:tc>
          <w:tcPr>
            <w:tcW w:w="1138" w:type="dxa"/>
            <w:gridSpan w:val="2"/>
            <w:tcBorders>
              <w:top w:val="nil"/>
              <w:bottom w:val="nil"/>
            </w:tcBorders>
          </w:tcPr>
          <w:p>
            <w:pPr>
              <w:pStyle w:val="nTable"/>
              <w:spacing w:after="40"/>
            </w:pPr>
            <w:r>
              <w:t>29 Jun 2007</w:t>
            </w:r>
          </w:p>
        </w:tc>
        <w:tc>
          <w:tcPr>
            <w:tcW w:w="2551" w:type="dxa"/>
            <w:tcBorders>
              <w:top w:val="nil"/>
              <w:bottom w:val="nil"/>
            </w:tcBorders>
          </w:tcPr>
          <w:p>
            <w:pPr>
              <w:pStyle w:val="nTable"/>
              <w:spacing w:after="40"/>
            </w:pPr>
            <w:r>
              <w:t xml:space="preserve">1 Aug 2007 (see s. 2(1) and </w:t>
            </w:r>
            <w:r>
              <w:rPr>
                <w:i/>
                <w:iCs/>
              </w:rPr>
              <w:t>Gazette</w:t>
            </w:r>
            <w:r>
              <w:t xml:space="preserve"> 27 Jul 2007 p. 3735)</w:t>
            </w:r>
          </w:p>
        </w:tc>
      </w:tr>
      <w:tr>
        <w:trPr>
          <w:cantSplit/>
        </w:trPr>
        <w:tc>
          <w:tcPr>
            <w:tcW w:w="4540" w:type="dxa"/>
            <w:gridSpan w:val="5"/>
            <w:tcBorders>
              <w:top w:val="nil"/>
              <w:bottom w:val="nil"/>
            </w:tcBorders>
          </w:tcPr>
          <w:p>
            <w:pPr>
              <w:pStyle w:val="nTable"/>
              <w:spacing w:after="40"/>
            </w:pPr>
            <w:r>
              <w:rPr>
                <w:i/>
                <w:iCs/>
              </w:rPr>
              <w:t>Financial Management (Statutory Authorities) Regulations 2007</w:t>
            </w:r>
            <w:r>
              <w:t xml:space="preserve"> published in </w:t>
            </w:r>
            <w:r>
              <w:rPr>
                <w:i/>
                <w:iCs/>
              </w:rPr>
              <w:t>Gazette</w:t>
            </w:r>
            <w:r>
              <w:t xml:space="preserve"> 13 Jul 2007 p. 3453</w:t>
            </w:r>
            <w:r>
              <w:noBreakHyphen/>
              <w:t>4</w:t>
            </w:r>
          </w:p>
        </w:tc>
        <w:tc>
          <w:tcPr>
            <w:tcW w:w="2551" w:type="dxa"/>
            <w:tcBorders>
              <w:top w:val="nil"/>
              <w:bottom w:val="nil"/>
            </w:tcBorders>
          </w:tcPr>
          <w:p>
            <w:pPr>
              <w:pStyle w:val="nTable"/>
              <w:spacing w:after="40"/>
            </w:pPr>
            <w:r>
              <w:t>13 Jul 2007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Biosecurity and Agriculture Management (Repeal and Consequential Provisions) Act 2007</w:t>
            </w:r>
            <w:r>
              <w:rPr>
                <w:iCs/>
                <w:snapToGrid w:val="0"/>
              </w:rPr>
              <w:t xml:space="preserve"> s. 36</w:t>
            </w:r>
          </w:p>
        </w:tc>
        <w:tc>
          <w:tcPr>
            <w:tcW w:w="1134" w:type="dxa"/>
            <w:gridSpan w:val="2"/>
          </w:tcPr>
          <w:p>
            <w:pPr>
              <w:pStyle w:val="nTable"/>
              <w:spacing w:after="40"/>
              <w:rPr>
                <w:snapToGrid w:val="0"/>
              </w:rPr>
            </w:pPr>
            <w:r>
              <w:rPr>
                <w:snapToGrid w:val="0"/>
              </w:rPr>
              <w:t>24 of 2007</w:t>
            </w:r>
          </w:p>
        </w:tc>
        <w:tc>
          <w:tcPr>
            <w:tcW w:w="1138" w:type="dxa"/>
            <w:gridSpan w:val="2"/>
          </w:tcPr>
          <w:p>
            <w:pPr>
              <w:pStyle w:val="nTable"/>
              <w:spacing w:after="40"/>
            </w:pPr>
            <w:r>
              <w:rPr>
                <w:snapToGrid w:val="0"/>
              </w:rPr>
              <w:t>12 Oct 2007</w:t>
            </w:r>
          </w:p>
        </w:tc>
        <w:tc>
          <w:tcPr>
            <w:tcW w:w="2551" w:type="dxa"/>
          </w:tcPr>
          <w:p>
            <w:pPr>
              <w:pStyle w:val="nTable"/>
              <w:spacing w:after="40"/>
            </w:pPr>
            <w:r>
              <w:t xml:space="preserve">18 Dec 2010 (see s. 2(1) and </w:t>
            </w:r>
            <w:r>
              <w:rPr>
                <w:i/>
                <w:iCs/>
              </w:rPr>
              <w:t>Gazette</w:t>
            </w:r>
            <w:r>
              <w:t xml:space="preserve"> 17 Dec 2010 p. 6349)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195</w:t>
            </w:r>
          </w:p>
        </w:tc>
        <w:tc>
          <w:tcPr>
            <w:tcW w:w="1134" w:type="dxa"/>
            <w:gridSpan w:val="2"/>
          </w:tcPr>
          <w:p>
            <w:pPr>
              <w:pStyle w:val="nTable"/>
              <w:spacing w:after="40"/>
            </w:pPr>
            <w:r>
              <w:rPr>
                <w:snapToGrid w:val="0"/>
              </w:rPr>
              <w:t>38 of 2007</w:t>
            </w:r>
          </w:p>
        </w:tc>
        <w:tc>
          <w:tcPr>
            <w:tcW w:w="1138" w:type="dxa"/>
            <w:gridSpan w:val="2"/>
          </w:tcPr>
          <w:p>
            <w:pPr>
              <w:pStyle w:val="nTable"/>
              <w:spacing w:after="40"/>
            </w:pPr>
            <w:r>
              <w:t>21 Dec 2007</w:t>
            </w:r>
          </w:p>
        </w:tc>
        <w:tc>
          <w:tcPr>
            <w:tcW w:w="2551" w:type="dxa"/>
          </w:tcPr>
          <w:p>
            <w:pPr>
              <w:pStyle w:val="nTable"/>
              <w:spacing w:after="40"/>
            </w:pPr>
            <w:r>
              <w:t xml:space="preserve">1 Feb 2008 (see s. 2(2) and </w:t>
            </w:r>
            <w:r>
              <w:rPr>
                <w:i/>
                <w:iCs/>
              </w:rPr>
              <w:t>Gazette</w:t>
            </w:r>
            <w:r>
              <w:t xml:space="preserve"> 31 Jan 2008 p. 251)</w:t>
            </w:r>
          </w:p>
        </w:tc>
      </w:tr>
      <w:tr>
        <w:trPr>
          <w:cantSplit/>
        </w:trPr>
        <w:tc>
          <w:tcPr>
            <w:tcW w:w="4540" w:type="dxa"/>
            <w:gridSpan w:val="5"/>
            <w:tcBorders>
              <w:top w:val="nil"/>
              <w:bottom w:val="nil"/>
            </w:tcBorders>
          </w:tcPr>
          <w:p>
            <w:pPr>
              <w:pStyle w:val="nTable"/>
              <w:spacing w:after="40"/>
              <w:rPr>
                <w:i/>
                <w:iCs/>
              </w:rPr>
            </w:pPr>
            <w:r>
              <w:rPr>
                <w:i/>
                <w:iCs/>
              </w:rPr>
              <w:t>Financial Management (Statutory Authorities) Regulations (No. 2) 2007</w:t>
            </w:r>
            <w:r>
              <w:t xml:space="preserve"> published in </w:t>
            </w:r>
            <w:r>
              <w:rPr>
                <w:i/>
                <w:iCs/>
              </w:rPr>
              <w:t>Gazette</w:t>
            </w:r>
            <w:r>
              <w:t xml:space="preserve"> 4 Jan 2008 p. 29</w:t>
            </w:r>
          </w:p>
        </w:tc>
        <w:tc>
          <w:tcPr>
            <w:tcW w:w="2551" w:type="dxa"/>
            <w:tcBorders>
              <w:top w:val="nil"/>
              <w:bottom w:val="nil"/>
            </w:tcBorders>
          </w:tcPr>
          <w:p>
            <w:pPr>
              <w:pStyle w:val="nTable"/>
              <w:spacing w:after="40"/>
            </w:pPr>
            <w:r>
              <w:t>4 Jan 2008</w:t>
            </w:r>
          </w:p>
        </w:tc>
      </w:tr>
      <w:tr>
        <w:trPr>
          <w:cantSplit/>
        </w:trPr>
        <w:tc>
          <w:tcPr>
            <w:tcW w:w="4540" w:type="dxa"/>
            <w:gridSpan w:val="5"/>
            <w:tcBorders>
              <w:top w:val="nil"/>
              <w:bottom w:val="nil"/>
            </w:tcBorders>
          </w:tcPr>
          <w:p>
            <w:pPr>
              <w:pStyle w:val="nTable"/>
              <w:spacing w:after="40"/>
              <w:rPr>
                <w:i/>
                <w:iCs/>
              </w:rPr>
            </w:pPr>
            <w:r>
              <w:rPr>
                <w:i/>
                <w:iCs/>
              </w:rPr>
              <w:t>Financial Management (Statutory Authorities) Regulations 2008</w:t>
            </w:r>
            <w:r>
              <w:t xml:space="preserve"> published in </w:t>
            </w:r>
            <w:r>
              <w:rPr>
                <w:i/>
                <w:iCs/>
              </w:rPr>
              <w:t>Gazette</w:t>
            </w:r>
            <w:r>
              <w:t xml:space="preserve"> 8 Feb 2008 p. 322</w:t>
            </w:r>
            <w:r>
              <w:noBreakHyphen/>
              <w:t>3</w:t>
            </w:r>
          </w:p>
        </w:tc>
        <w:tc>
          <w:tcPr>
            <w:tcW w:w="2551" w:type="dxa"/>
            <w:tcBorders>
              <w:top w:val="nil"/>
              <w:bottom w:val="nil"/>
            </w:tcBorders>
          </w:tcPr>
          <w:p>
            <w:pPr>
              <w:pStyle w:val="nTable"/>
              <w:spacing w:after="40"/>
            </w:pPr>
            <w:r>
              <w:t>r. 1 and 2: 8 Feb 2008 (see r. 2(a));</w:t>
            </w:r>
            <w:r>
              <w:br/>
              <w:t>Regulations other than r. 1 and 2: 9 Feb 2008 (see r. 2(b))</w:t>
            </w:r>
          </w:p>
        </w:tc>
      </w:tr>
      <w:tr>
        <w:trPr>
          <w:cantSplit/>
        </w:trPr>
        <w:tc>
          <w:tcPr>
            <w:tcW w:w="2268" w:type="dxa"/>
            <w:tcBorders>
              <w:top w:val="nil"/>
              <w:bottom w:val="nil"/>
              <w:right w:val="nil"/>
            </w:tcBorders>
          </w:tcPr>
          <w:p>
            <w:pPr>
              <w:pStyle w:val="nTable"/>
              <w:spacing w:after="40"/>
              <w:rPr>
                <w:i/>
                <w:snapToGrid w:val="0"/>
              </w:rPr>
            </w:pPr>
            <w:r>
              <w:rPr>
                <w:i/>
                <w:snapToGrid w:val="0"/>
              </w:rPr>
              <w:t>Eastern Goldfields Transport Board Repeal Act 2008</w:t>
            </w:r>
            <w:r>
              <w:rPr>
                <w:snapToGrid w:val="0"/>
              </w:rPr>
              <w:t xml:space="preserve"> s. 13</w:t>
            </w:r>
          </w:p>
        </w:tc>
        <w:tc>
          <w:tcPr>
            <w:tcW w:w="1134" w:type="dxa"/>
            <w:gridSpan w:val="2"/>
            <w:tcBorders>
              <w:top w:val="nil"/>
              <w:left w:val="nil"/>
              <w:bottom w:val="nil"/>
              <w:right w:val="nil"/>
            </w:tcBorders>
          </w:tcPr>
          <w:p>
            <w:pPr>
              <w:pStyle w:val="nTable"/>
              <w:spacing w:after="40"/>
              <w:rPr>
                <w:snapToGrid w:val="0"/>
              </w:rPr>
            </w:pPr>
            <w:r>
              <w:rPr>
                <w:snapToGrid w:val="0"/>
              </w:rPr>
              <w:t>28 of 2008</w:t>
            </w:r>
          </w:p>
        </w:tc>
        <w:tc>
          <w:tcPr>
            <w:tcW w:w="1138" w:type="dxa"/>
            <w:gridSpan w:val="2"/>
            <w:tcBorders>
              <w:top w:val="nil"/>
              <w:left w:val="nil"/>
              <w:bottom w:val="nil"/>
            </w:tcBorders>
          </w:tcPr>
          <w:p>
            <w:pPr>
              <w:pStyle w:val="nTable"/>
              <w:spacing w:after="40"/>
            </w:pPr>
            <w:r>
              <w:t>1 Jul 2008</w:t>
            </w:r>
          </w:p>
        </w:tc>
        <w:tc>
          <w:tcPr>
            <w:tcW w:w="2551" w:type="dxa"/>
            <w:tcBorders>
              <w:top w:val="nil"/>
              <w:bottom w:val="nil"/>
            </w:tcBorders>
          </w:tcPr>
          <w:p>
            <w:pPr>
              <w:pStyle w:val="nTable"/>
              <w:spacing w:after="40"/>
              <w:rPr>
                <w:snapToGrid w:val="0"/>
              </w:rPr>
            </w:pPr>
            <w:r>
              <w:rPr>
                <w:snapToGrid w:val="0"/>
              </w:rPr>
              <w:t>29 Jul 2008</w:t>
            </w:r>
          </w:p>
        </w:tc>
      </w:tr>
      <w:tr>
        <w:trPr>
          <w:cantSplit/>
        </w:trPr>
        <w:tc>
          <w:tcPr>
            <w:tcW w:w="7091" w:type="dxa"/>
            <w:gridSpan w:val="6"/>
            <w:tcBorders>
              <w:top w:val="nil"/>
              <w:bottom w:val="nil"/>
            </w:tcBorders>
          </w:tcPr>
          <w:p>
            <w:pPr>
              <w:pStyle w:val="nTable"/>
              <w:spacing w:after="40"/>
            </w:pPr>
            <w:r>
              <w:rPr>
                <w:b/>
                <w:bCs/>
              </w:rPr>
              <w:t xml:space="preserve">Reprint 1:  The </w:t>
            </w:r>
            <w:r>
              <w:rPr>
                <w:b/>
                <w:bCs/>
                <w:i/>
                <w:iCs/>
              </w:rPr>
              <w:t>Financial Management Act 2006</w:t>
            </w:r>
            <w:r>
              <w:rPr>
                <w:b/>
                <w:bCs/>
              </w:rPr>
              <w:t xml:space="preserve"> as at 26 Sep 2008</w:t>
            </w:r>
            <w:r>
              <w:t xml:space="preserve"> (includes amendments listed above except those in the </w:t>
            </w:r>
            <w:r>
              <w:rPr>
                <w:i/>
                <w:iCs/>
              </w:rPr>
              <w:t>Biosecurity and Agriculture Management (Repeal and Consequential Provisions) Act 2007</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National Gas Access (WA) Act 2009</w:t>
            </w:r>
            <w:r>
              <w:rPr>
                <w:iCs/>
              </w:rPr>
              <w:t xml:space="preserve"> s. 69</w:t>
            </w:r>
          </w:p>
        </w:tc>
        <w:tc>
          <w:tcPr>
            <w:tcW w:w="1134" w:type="dxa"/>
            <w:gridSpan w:val="2"/>
          </w:tcPr>
          <w:p>
            <w:pPr>
              <w:pStyle w:val="nTable"/>
              <w:spacing w:after="40"/>
            </w:pPr>
            <w:r>
              <w:t>16 of 2009</w:t>
            </w:r>
          </w:p>
        </w:tc>
        <w:tc>
          <w:tcPr>
            <w:tcW w:w="1138" w:type="dxa"/>
            <w:gridSpan w:val="2"/>
          </w:tcPr>
          <w:p>
            <w:pPr>
              <w:pStyle w:val="nTable"/>
              <w:spacing w:after="40"/>
            </w:pPr>
            <w:r>
              <w:t>1 Sep 2009</w:t>
            </w:r>
          </w:p>
        </w:tc>
        <w:tc>
          <w:tcPr>
            <w:tcW w:w="2551" w:type="dxa"/>
          </w:tcPr>
          <w:p>
            <w:pPr>
              <w:pStyle w:val="nTable"/>
              <w:spacing w:after="40"/>
            </w:pPr>
            <w:r>
              <w:t xml:space="preserve">1 Jan 2010 (see s. 2(b) and </w:t>
            </w:r>
            <w:r>
              <w:rPr>
                <w:i/>
                <w:iCs/>
              </w:rPr>
              <w:t>Gazette</w:t>
            </w:r>
            <w:r>
              <w:t xml:space="preserve"> 31 Dec 2009 p. 5327)</w:t>
            </w:r>
          </w:p>
        </w:tc>
      </w:tr>
      <w:tr>
        <w:tblPrEx>
          <w:tblBorders>
            <w:top w:val="none" w:sz="0" w:space="0" w:color="auto"/>
            <w:bottom w:val="none" w:sz="0" w:space="0" w:color="auto"/>
            <w:insideH w:val="none" w:sz="0" w:space="0" w:color="auto"/>
          </w:tblBorders>
        </w:tblPrEx>
        <w:trPr>
          <w:cantSplit/>
        </w:trPr>
        <w:tc>
          <w:tcPr>
            <w:tcW w:w="4540" w:type="dxa"/>
            <w:gridSpan w:val="5"/>
          </w:tcPr>
          <w:p>
            <w:pPr>
              <w:pStyle w:val="nTable"/>
              <w:spacing w:after="40"/>
              <w:rPr>
                <w:iCs/>
              </w:rPr>
            </w:pPr>
            <w:r>
              <w:rPr>
                <w:i/>
              </w:rPr>
              <w:t>Financial Management (Statutory Authorities) Regulations 2010</w:t>
            </w:r>
            <w:r>
              <w:rPr>
                <w:iCs/>
              </w:rPr>
              <w:t xml:space="preserve"> published in </w:t>
            </w:r>
            <w:r>
              <w:rPr>
                <w:i/>
              </w:rPr>
              <w:t xml:space="preserve">Gazette </w:t>
            </w:r>
            <w:r>
              <w:rPr>
                <w:iCs/>
              </w:rPr>
              <w:t>20 Aug 2010 p. 4071</w:t>
            </w:r>
            <w:r>
              <w:rPr>
                <w:iCs/>
              </w:rPr>
              <w:noBreakHyphen/>
              <w:t>2</w:t>
            </w:r>
          </w:p>
        </w:tc>
        <w:tc>
          <w:tcPr>
            <w:tcW w:w="2551" w:type="dxa"/>
          </w:tcPr>
          <w:p>
            <w:pPr>
              <w:pStyle w:val="nTable"/>
              <w:spacing w:after="40"/>
            </w:pPr>
            <w:r>
              <w:rPr>
                <w:snapToGrid w:val="0"/>
              </w:rPr>
              <w:t>r. 1 and 2: 20 Aug 2010 (see r. 2(a));</w:t>
            </w:r>
            <w:r>
              <w:rPr>
                <w:snapToGrid w:val="0"/>
              </w:rPr>
              <w:br/>
              <w:t>Regulations other than r. 1 and 2: 21 Aug 2010 (see r.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snapToGrid w:val="0"/>
              </w:rPr>
              <w:t>Health and Disability Services Legislation Amendment Act 2010</w:t>
            </w:r>
            <w:r>
              <w:rPr>
                <w:iCs/>
                <w:snapToGrid w:val="0"/>
              </w:rPr>
              <w:t xml:space="preserve"> s. 56</w:t>
            </w:r>
          </w:p>
        </w:tc>
        <w:tc>
          <w:tcPr>
            <w:tcW w:w="1134" w:type="dxa"/>
            <w:gridSpan w:val="2"/>
          </w:tcPr>
          <w:p>
            <w:pPr>
              <w:pStyle w:val="nTable"/>
              <w:spacing w:after="40"/>
            </w:pPr>
            <w:r>
              <w:rPr>
                <w:snapToGrid w:val="0"/>
              </w:rPr>
              <w:t>33 of 2010</w:t>
            </w:r>
          </w:p>
        </w:tc>
        <w:tc>
          <w:tcPr>
            <w:tcW w:w="1138" w:type="dxa"/>
            <w:gridSpan w:val="2"/>
          </w:tcPr>
          <w:p>
            <w:pPr>
              <w:pStyle w:val="nTable"/>
              <w:spacing w:after="40"/>
            </w:pPr>
            <w:r>
              <w:rPr>
                <w:snapToGrid w:val="0"/>
              </w:rPr>
              <w:t>30 Aug 2010</w:t>
            </w:r>
          </w:p>
        </w:tc>
        <w:tc>
          <w:tcPr>
            <w:tcW w:w="2551" w:type="dxa"/>
          </w:tcPr>
          <w:p>
            <w:pPr>
              <w:pStyle w:val="nTable"/>
              <w:spacing w:after="40"/>
            </w:pPr>
            <w:r>
              <w:rPr>
                <w:snapToGrid w:val="0"/>
              </w:rPr>
              <w:t xml:space="preserve">30 Nov 2010 (see s. 2(b) and </w:t>
            </w:r>
            <w:r>
              <w:rPr>
                <w:i/>
                <w:iCs/>
                <w:snapToGrid w:val="0"/>
              </w:rPr>
              <w:t>Gazette</w:t>
            </w:r>
            <w:r>
              <w:rPr>
                <w:snapToGrid w:val="0"/>
              </w:rPr>
              <w:t xml:space="preserve"> 17 Sep 2010 p. 4757)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Public Sector Reform Act 2010</w:t>
            </w:r>
            <w:r>
              <w:rPr>
                <w:iCs/>
                <w:snapToGrid w:val="0"/>
              </w:rPr>
              <w:t xml:space="preserve"> s. 76</w:t>
            </w:r>
          </w:p>
        </w:tc>
        <w:tc>
          <w:tcPr>
            <w:tcW w:w="1134" w:type="dxa"/>
            <w:gridSpan w:val="2"/>
          </w:tcPr>
          <w:p>
            <w:pPr>
              <w:pStyle w:val="nTable"/>
              <w:spacing w:after="40"/>
              <w:rPr>
                <w:snapToGrid w:val="0"/>
              </w:rPr>
            </w:pPr>
            <w:r>
              <w:rPr>
                <w:snapToGrid w:val="0"/>
              </w:rPr>
              <w:t>39 of 2010</w:t>
            </w:r>
          </w:p>
        </w:tc>
        <w:tc>
          <w:tcPr>
            <w:tcW w:w="1138" w:type="dxa"/>
            <w:gridSpan w:val="2"/>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Curriculum Council Amendment Act 2011</w:t>
            </w:r>
            <w:r>
              <w:rPr>
                <w:snapToGrid w:val="0"/>
              </w:rPr>
              <w:t xml:space="preserve"> Pt. 3 Div. 2</w:t>
            </w:r>
          </w:p>
        </w:tc>
        <w:tc>
          <w:tcPr>
            <w:tcW w:w="1134" w:type="dxa"/>
            <w:gridSpan w:val="2"/>
          </w:tcPr>
          <w:p>
            <w:pPr>
              <w:pStyle w:val="nTable"/>
              <w:spacing w:after="40"/>
              <w:rPr>
                <w:snapToGrid w:val="0"/>
              </w:rPr>
            </w:pPr>
            <w:r>
              <w:rPr>
                <w:snapToGrid w:val="0"/>
              </w:rPr>
              <w:t>37 of 2011</w:t>
            </w:r>
          </w:p>
        </w:tc>
        <w:tc>
          <w:tcPr>
            <w:tcW w:w="1138" w:type="dxa"/>
            <w:gridSpan w:val="2"/>
          </w:tcPr>
          <w:p>
            <w:pPr>
              <w:pStyle w:val="nTable"/>
              <w:spacing w:after="40"/>
              <w:rPr>
                <w:snapToGrid w:val="0"/>
              </w:rPr>
            </w:pPr>
            <w:r>
              <w:t>13 Sep 2011</w:t>
            </w:r>
          </w:p>
        </w:tc>
        <w:tc>
          <w:tcPr>
            <w:tcW w:w="2551" w:type="dxa"/>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Metropolitan Redevelopment Authority Act 2011 </w:t>
            </w:r>
            <w:r>
              <w:rPr>
                <w:snapToGrid w:val="0"/>
              </w:rPr>
              <w:t>s. 138</w:t>
            </w:r>
          </w:p>
        </w:tc>
        <w:tc>
          <w:tcPr>
            <w:tcW w:w="1134" w:type="dxa"/>
            <w:gridSpan w:val="2"/>
          </w:tcPr>
          <w:p>
            <w:pPr>
              <w:pStyle w:val="nTable"/>
              <w:spacing w:after="40"/>
              <w:rPr>
                <w:snapToGrid w:val="0"/>
              </w:rPr>
            </w:pPr>
            <w:r>
              <w:rPr>
                <w:snapToGrid w:val="0"/>
              </w:rPr>
              <w:t>45 of 2011</w:t>
            </w:r>
          </w:p>
        </w:tc>
        <w:tc>
          <w:tcPr>
            <w:tcW w:w="1138" w:type="dxa"/>
            <w:gridSpan w:val="2"/>
          </w:tcPr>
          <w:p>
            <w:pPr>
              <w:pStyle w:val="nTable"/>
              <w:spacing w:after="40"/>
              <w:rPr>
                <w:snapToGrid w:val="0"/>
              </w:rPr>
            </w:pPr>
            <w:r>
              <w:rPr>
                <w:snapToGrid w:val="0"/>
              </w:rPr>
              <w:t>12 Oct 2011</w:t>
            </w:r>
          </w:p>
        </w:tc>
        <w:tc>
          <w:tcPr>
            <w:tcW w:w="2551" w:type="dxa"/>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Agricultural Practices (Disputes) Repeal Act 2011</w:t>
            </w:r>
            <w:r>
              <w:rPr>
                <w:snapToGrid w:val="0"/>
              </w:rPr>
              <w:t xml:space="preserve"> s. 5</w:t>
            </w:r>
          </w:p>
        </w:tc>
        <w:tc>
          <w:tcPr>
            <w:tcW w:w="1134" w:type="dxa"/>
            <w:gridSpan w:val="2"/>
          </w:tcPr>
          <w:p>
            <w:pPr>
              <w:pStyle w:val="nTable"/>
              <w:spacing w:after="40"/>
              <w:rPr>
                <w:snapToGrid w:val="0"/>
              </w:rPr>
            </w:pPr>
            <w:r>
              <w:rPr>
                <w:snapToGrid w:val="0"/>
              </w:rPr>
              <w:t>54 of 2011</w:t>
            </w:r>
          </w:p>
        </w:tc>
        <w:tc>
          <w:tcPr>
            <w:tcW w:w="1138" w:type="dxa"/>
            <w:gridSpan w:val="2"/>
          </w:tcPr>
          <w:p>
            <w:pPr>
              <w:pStyle w:val="nTable"/>
              <w:spacing w:after="40"/>
              <w:rPr>
                <w:snapToGrid w:val="0"/>
              </w:rPr>
            </w:pPr>
            <w:r>
              <w:rPr>
                <w:snapToGrid w:val="0"/>
              </w:rPr>
              <w:t>9 Nov 2011</w:t>
            </w:r>
          </w:p>
        </w:tc>
        <w:tc>
          <w:tcPr>
            <w:tcW w:w="2551" w:type="dxa"/>
          </w:tcPr>
          <w:p>
            <w:pPr>
              <w:pStyle w:val="nTable"/>
              <w:spacing w:after="40"/>
              <w:rPr>
                <w:snapToGrid w:val="0"/>
              </w:rPr>
            </w:pPr>
            <w:r>
              <w:rPr>
                <w:snapToGrid w:val="0"/>
              </w:rPr>
              <w:t>7 Dec 2011</w:t>
            </w:r>
            <w:r>
              <w:rPr>
                <w:snapToGrid w:val="0"/>
              </w:rPr>
              <w:br/>
              <w:t>(see note under s. 1)</w:t>
            </w:r>
          </w:p>
        </w:tc>
      </w:tr>
      <w:tr>
        <w:tblPrEx>
          <w:tblBorders>
            <w:top w:val="none" w:sz="0" w:space="0" w:color="auto"/>
            <w:bottom w:val="none" w:sz="0" w:space="0" w:color="auto"/>
            <w:insideH w:val="none" w:sz="0" w:space="0" w:color="auto"/>
          </w:tblBorders>
        </w:tblPrEx>
        <w:trPr>
          <w:cantSplit/>
        </w:trPr>
        <w:tc>
          <w:tcPr>
            <w:tcW w:w="7091" w:type="dxa"/>
            <w:gridSpan w:val="6"/>
          </w:tcPr>
          <w:p>
            <w:pPr>
              <w:pStyle w:val="nTable"/>
              <w:spacing w:after="40"/>
              <w:rPr>
                <w:snapToGrid w:val="0"/>
              </w:rPr>
            </w:pPr>
            <w:r>
              <w:rPr>
                <w:b/>
                <w:bCs/>
              </w:rPr>
              <w:t xml:space="preserve">Reprint 2:  The </w:t>
            </w:r>
            <w:r>
              <w:rPr>
                <w:b/>
                <w:bCs/>
                <w:i/>
                <w:iCs/>
              </w:rPr>
              <w:t>Financial Management Act 2006</w:t>
            </w:r>
            <w:r>
              <w:rPr>
                <w:b/>
                <w:bCs/>
              </w:rPr>
              <w:t xml:space="preserve"> as at 8 Jun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Fire and Emergency Services Legislation Amendment Act 2012 </w:t>
            </w:r>
            <w:r>
              <w:rPr>
                <w:snapToGrid w:val="0"/>
              </w:rPr>
              <w:t>Pt. 7 Div. 7</w:t>
            </w:r>
          </w:p>
        </w:tc>
        <w:tc>
          <w:tcPr>
            <w:tcW w:w="1134" w:type="dxa"/>
            <w:gridSpan w:val="2"/>
          </w:tcPr>
          <w:p>
            <w:pPr>
              <w:pStyle w:val="nTable"/>
              <w:spacing w:after="40"/>
              <w:rPr>
                <w:snapToGrid w:val="0"/>
              </w:rPr>
            </w:pPr>
            <w:r>
              <w:rPr>
                <w:snapToGrid w:val="0"/>
              </w:rPr>
              <w:t>22 of 2012</w:t>
            </w:r>
          </w:p>
        </w:tc>
        <w:tc>
          <w:tcPr>
            <w:tcW w:w="1138" w:type="dxa"/>
            <w:gridSpan w:val="2"/>
          </w:tcPr>
          <w:p>
            <w:pPr>
              <w:pStyle w:val="nTable"/>
              <w:spacing w:after="40"/>
              <w:rPr>
                <w:snapToGrid w:val="0"/>
              </w:rPr>
            </w:pPr>
            <w:r>
              <w:rPr>
                <w:snapToGrid w:val="0"/>
              </w:rPr>
              <w:t>29 Aug 2012</w:t>
            </w:r>
          </w:p>
        </w:tc>
        <w:tc>
          <w:tcPr>
            <w:tcW w:w="2551"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Water Services Legislation Amendment and Repeal Act 2012</w:t>
            </w:r>
            <w:r>
              <w:rPr>
                <w:snapToGrid w:val="0"/>
              </w:rPr>
              <w:t xml:space="preserve"> s. 212</w:t>
            </w:r>
          </w:p>
        </w:tc>
        <w:tc>
          <w:tcPr>
            <w:tcW w:w="1134" w:type="dxa"/>
            <w:gridSpan w:val="2"/>
          </w:tcPr>
          <w:p>
            <w:pPr>
              <w:pStyle w:val="nTable"/>
              <w:spacing w:after="40"/>
              <w:rPr>
                <w:snapToGrid w:val="0"/>
              </w:rPr>
            </w:pPr>
            <w:r>
              <w:rPr>
                <w:snapToGrid w:val="0"/>
              </w:rPr>
              <w:t>25 of 2012</w:t>
            </w:r>
          </w:p>
        </w:tc>
        <w:tc>
          <w:tcPr>
            <w:tcW w:w="1138" w:type="dxa"/>
            <w:gridSpan w:val="2"/>
          </w:tcPr>
          <w:p>
            <w:pPr>
              <w:pStyle w:val="nTable"/>
              <w:spacing w:after="40"/>
              <w:rPr>
                <w:snapToGrid w:val="0"/>
              </w:rPr>
            </w:pPr>
            <w:r>
              <w:rPr>
                <w:snapToGrid w:val="0"/>
              </w:rPr>
              <w:t>3 Sep 2012</w:t>
            </w:r>
          </w:p>
        </w:tc>
        <w:tc>
          <w:tcPr>
            <w:tcW w:w="2551"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4540" w:type="dxa"/>
            <w:gridSpan w:val="5"/>
            <w:tcBorders>
              <w:top w:val="nil"/>
              <w:bottom w:val="nil"/>
            </w:tcBorders>
          </w:tcPr>
          <w:p>
            <w:pPr>
              <w:pStyle w:val="nTable"/>
              <w:spacing w:after="40"/>
              <w:rPr>
                <w:snapToGrid w:val="0"/>
              </w:rPr>
            </w:pPr>
            <w:r>
              <w:rPr>
                <w:i/>
                <w:snapToGrid w:val="0"/>
              </w:rPr>
              <w:t xml:space="preserve">Financial Management (Statutory Authorities) Regulations 2012 </w:t>
            </w:r>
            <w:r>
              <w:rPr>
                <w:snapToGrid w:val="0"/>
              </w:rPr>
              <w:t xml:space="preserve">published in </w:t>
            </w:r>
            <w:r>
              <w:rPr>
                <w:i/>
                <w:snapToGrid w:val="0"/>
              </w:rPr>
              <w:t>Gazette</w:t>
            </w:r>
            <w:r>
              <w:rPr>
                <w:snapToGrid w:val="0"/>
              </w:rPr>
              <w:t xml:space="preserve"> 7 Dec 2012 p. 5998</w:t>
            </w:r>
          </w:p>
        </w:tc>
        <w:tc>
          <w:tcPr>
            <w:tcW w:w="2551" w:type="dxa"/>
            <w:tcBorders>
              <w:top w:val="nil"/>
              <w:bottom w:val="nil"/>
            </w:tcBorders>
          </w:tcPr>
          <w:p>
            <w:pPr>
              <w:pStyle w:val="nTable"/>
              <w:spacing w:after="40"/>
              <w:rPr>
                <w:snapToGrid w:val="0"/>
              </w:rPr>
            </w:pPr>
            <w:r>
              <w:rPr>
                <w:snapToGrid w:val="0"/>
              </w:rPr>
              <w:t>r. 1 and 2: 7 Dec 2012 (see r. 2(a));</w:t>
            </w:r>
            <w:r>
              <w:rPr>
                <w:snapToGrid w:val="0"/>
              </w:rPr>
              <w:br/>
              <w:t>Regulations other than r. 1 and 2: 8 Dec 2012 (see r. 2(b))</w:t>
            </w:r>
          </w:p>
        </w:tc>
      </w:tr>
      <w:tr>
        <w:tblPrEx>
          <w:tblBorders>
            <w:top w:val="none" w:sz="0" w:space="0" w:color="auto"/>
            <w:bottom w:val="none" w:sz="0" w:space="0" w:color="auto"/>
            <w:insideH w:val="none" w:sz="0" w:space="0" w:color="auto"/>
          </w:tblBorders>
        </w:tblPrEx>
        <w:trPr>
          <w:cantSplit/>
        </w:trPr>
        <w:tc>
          <w:tcPr>
            <w:tcW w:w="4540" w:type="dxa"/>
            <w:gridSpan w:val="5"/>
          </w:tcPr>
          <w:p>
            <w:pPr>
              <w:pStyle w:val="nTable"/>
              <w:spacing w:after="40"/>
              <w:rPr>
                <w:i/>
                <w:snapToGrid w:val="0"/>
              </w:rPr>
            </w:pPr>
            <w:r>
              <w:rPr>
                <w:i/>
                <w:snapToGrid w:val="0"/>
              </w:rPr>
              <w:t xml:space="preserve">Financial Management (Statutory Authorities) Regulations 2013 </w:t>
            </w:r>
            <w:r>
              <w:rPr>
                <w:snapToGrid w:val="0"/>
              </w:rPr>
              <w:t xml:space="preserve">published in </w:t>
            </w:r>
            <w:r>
              <w:rPr>
                <w:i/>
                <w:snapToGrid w:val="0"/>
              </w:rPr>
              <w:t>Gazette</w:t>
            </w:r>
            <w:r>
              <w:rPr>
                <w:snapToGrid w:val="0"/>
              </w:rPr>
              <w:t xml:space="preserve"> 9 Jul 2013 p. 3048</w:t>
            </w:r>
          </w:p>
        </w:tc>
        <w:tc>
          <w:tcPr>
            <w:tcW w:w="2551" w:type="dxa"/>
          </w:tcPr>
          <w:p>
            <w:pPr>
              <w:pStyle w:val="nTable"/>
              <w:spacing w:after="40"/>
              <w:rPr>
                <w:snapToGrid w:val="0"/>
              </w:rPr>
            </w:pPr>
            <w:r>
              <w:rPr>
                <w:snapToGrid w:val="0"/>
              </w:rPr>
              <w:t>r. 1 and 2: 9 Jul 2013 (see r. 2(a));</w:t>
            </w:r>
            <w:r>
              <w:rPr>
                <w:snapToGrid w:val="0"/>
              </w:rPr>
              <w:br/>
              <w:t>Regulations other than r. 1 and 2: 10 Jul 2013 (see r. 2(b))</w:t>
            </w:r>
          </w:p>
        </w:tc>
      </w:tr>
      <w:tr>
        <w:trPr>
          <w:cantSplit/>
        </w:trPr>
        <w:tc>
          <w:tcPr>
            <w:tcW w:w="2268" w:type="dxa"/>
            <w:tcBorders>
              <w:top w:val="nil"/>
              <w:bottom w:val="nil"/>
            </w:tcBorders>
          </w:tcPr>
          <w:p>
            <w:pPr>
              <w:pStyle w:val="nTable"/>
              <w:spacing w:after="40"/>
              <w:ind w:right="113"/>
              <w:rPr>
                <w:i/>
                <w:snapToGrid w:val="0"/>
              </w:rPr>
            </w:pPr>
            <w:r>
              <w:rPr>
                <w:i/>
                <w:snapToGrid w:val="0"/>
              </w:rPr>
              <w:t>Minerals Research Institute of Western Australia Act 2013</w:t>
            </w:r>
            <w:r>
              <w:rPr>
                <w:snapToGrid w:val="0"/>
              </w:rPr>
              <w:t xml:space="preserve"> s. 77</w:t>
            </w:r>
          </w:p>
        </w:tc>
        <w:tc>
          <w:tcPr>
            <w:tcW w:w="1134" w:type="dxa"/>
            <w:gridSpan w:val="2"/>
            <w:tcBorders>
              <w:top w:val="nil"/>
              <w:bottom w:val="nil"/>
            </w:tcBorders>
          </w:tcPr>
          <w:p>
            <w:pPr>
              <w:pStyle w:val="nTable"/>
              <w:spacing w:after="40"/>
              <w:rPr>
                <w:snapToGrid w:val="0"/>
              </w:rPr>
            </w:pPr>
            <w:r>
              <w:t>23 of 2013</w:t>
            </w:r>
          </w:p>
        </w:tc>
        <w:tc>
          <w:tcPr>
            <w:tcW w:w="1138" w:type="dxa"/>
            <w:gridSpan w:val="2"/>
            <w:tcBorders>
              <w:top w:val="nil"/>
              <w:bottom w:val="nil"/>
            </w:tcBorders>
          </w:tcPr>
          <w:p>
            <w:pPr>
              <w:pStyle w:val="nTable"/>
              <w:spacing w:after="40"/>
              <w:rPr>
                <w:snapToGrid w:val="0"/>
              </w:rPr>
            </w:pPr>
            <w:r>
              <w:t>18 Dec 2013</w:t>
            </w:r>
          </w:p>
        </w:tc>
        <w:tc>
          <w:tcPr>
            <w:tcW w:w="2551" w:type="dxa"/>
            <w:tcBorders>
              <w:top w:val="nil"/>
              <w:bottom w:val="nil"/>
            </w:tcBorders>
          </w:tcPr>
          <w:p>
            <w:pPr>
              <w:pStyle w:val="nTable"/>
              <w:spacing w:after="40"/>
              <w:rPr>
                <w:snapToGrid w:val="0"/>
              </w:rPr>
            </w:pPr>
            <w:r>
              <w:t xml:space="preserve">1 Feb 2014 (see s. 2(b) and </w:t>
            </w:r>
            <w:r>
              <w:rPr>
                <w:i/>
              </w:rPr>
              <w:t xml:space="preserve">Gazette </w:t>
            </w:r>
            <w:r>
              <w:t>14 Jan 2014 p. 43)</w:t>
            </w:r>
          </w:p>
        </w:tc>
      </w:tr>
      <w:tr>
        <w:trPr>
          <w:cantSplit/>
        </w:trPr>
        <w:tc>
          <w:tcPr>
            <w:tcW w:w="7091" w:type="dxa"/>
            <w:gridSpan w:val="6"/>
            <w:tcBorders>
              <w:top w:val="nil"/>
              <w:bottom w:val="nil"/>
            </w:tcBorders>
          </w:tcPr>
          <w:p>
            <w:pPr>
              <w:pStyle w:val="nTable"/>
              <w:spacing w:after="40"/>
            </w:pPr>
            <w:r>
              <w:rPr>
                <w:b/>
              </w:rPr>
              <w:t xml:space="preserve">Reprint 3:  The </w:t>
            </w:r>
            <w:r>
              <w:rPr>
                <w:b/>
                <w:i/>
              </w:rPr>
              <w:t>Financial Management Act 2006</w:t>
            </w:r>
            <w:r>
              <w:rPr>
                <w:b/>
              </w:rPr>
              <w:t xml:space="preserve"> as at 11 Apr 2014</w:t>
            </w:r>
            <w:r>
              <w:t xml:space="preserve"> (includes amendments listed above)</w:t>
            </w:r>
          </w:p>
        </w:tc>
      </w:tr>
      <w:tr>
        <w:trPr>
          <w:cantSplit/>
        </w:trPr>
        <w:tc>
          <w:tcPr>
            <w:tcW w:w="4540" w:type="dxa"/>
            <w:gridSpan w:val="5"/>
            <w:tcBorders>
              <w:top w:val="nil"/>
              <w:bottom w:val="nil"/>
            </w:tcBorders>
          </w:tcPr>
          <w:p>
            <w:pPr>
              <w:pStyle w:val="nTable"/>
              <w:spacing w:after="40"/>
              <w:rPr>
                <w:snapToGrid w:val="0"/>
              </w:rPr>
            </w:pPr>
            <w:r>
              <w:rPr>
                <w:i/>
                <w:snapToGrid w:val="0"/>
              </w:rPr>
              <w:t>Financial Management (Statutory Authorities) Regulations 2014</w:t>
            </w:r>
            <w:r>
              <w:rPr>
                <w:snapToGrid w:val="0"/>
              </w:rPr>
              <w:t xml:space="preserve"> published in </w:t>
            </w:r>
            <w:r>
              <w:rPr>
                <w:i/>
                <w:snapToGrid w:val="0"/>
              </w:rPr>
              <w:t>Gazette</w:t>
            </w:r>
            <w:r>
              <w:rPr>
                <w:snapToGrid w:val="0"/>
              </w:rPr>
              <w:t xml:space="preserve"> 11 Nov 2014 p. 4262</w:t>
            </w:r>
          </w:p>
        </w:tc>
        <w:tc>
          <w:tcPr>
            <w:tcW w:w="2551" w:type="dxa"/>
            <w:tcBorders>
              <w:top w:val="nil"/>
              <w:bottom w:val="nil"/>
            </w:tcBorders>
          </w:tcPr>
          <w:p>
            <w:pPr>
              <w:pStyle w:val="nTable"/>
              <w:spacing w:after="40"/>
              <w:rPr>
                <w:snapToGrid w:val="0"/>
              </w:rPr>
            </w:pPr>
            <w:r>
              <w:t>r. 1 and 2: 11 Nov 2014 (see r. 2(a));</w:t>
            </w:r>
            <w:r>
              <w:br/>
              <w:t>Regulations other than r. 1 and 2: 12 Nov 2014 (see r. 2(b))</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Alcohol and Drug Authority Amendment Act 2015 </w:t>
            </w:r>
            <w:r>
              <w:rPr>
                <w:snapToGrid w:val="0"/>
              </w:rPr>
              <w:t>s. 16</w:t>
            </w:r>
          </w:p>
        </w:tc>
        <w:tc>
          <w:tcPr>
            <w:tcW w:w="1134" w:type="dxa"/>
            <w:gridSpan w:val="2"/>
            <w:tcBorders>
              <w:top w:val="nil"/>
              <w:bottom w:val="nil"/>
            </w:tcBorders>
          </w:tcPr>
          <w:p>
            <w:pPr>
              <w:pStyle w:val="nTable"/>
              <w:spacing w:after="40"/>
            </w:pPr>
            <w:r>
              <w:t>3 of 2015</w:t>
            </w:r>
          </w:p>
        </w:tc>
        <w:tc>
          <w:tcPr>
            <w:tcW w:w="1138" w:type="dxa"/>
            <w:gridSpan w:val="2"/>
            <w:tcBorders>
              <w:top w:val="nil"/>
              <w:bottom w:val="nil"/>
            </w:tcBorders>
          </w:tcPr>
          <w:p>
            <w:pPr>
              <w:pStyle w:val="nTable"/>
              <w:spacing w:after="40"/>
            </w:pPr>
            <w:r>
              <w:t>25 Feb 2015</w:t>
            </w:r>
          </w:p>
        </w:tc>
        <w:tc>
          <w:tcPr>
            <w:tcW w:w="2551" w:type="dxa"/>
            <w:tcBorders>
              <w:top w:val="nil"/>
              <w:bottom w:val="nil"/>
            </w:tcBorders>
          </w:tcPr>
          <w:p>
            <w:pPr>
              <w:pStyle w:val="nTable"/>
              <w:spacing w:after="40"/>
              <w:rPr>
                <w:snapToGrid w:val="0"/>
              </w:rPr>
            </w:pPr>
            <w:r>
              <w:t xml:space="preserve">1 Jul 2015 (see s. 2(b) and </w:t>
            </w:r>
            <w:r>
              <w:rPr>
                <w:i/>
              </w:rPr>
              <w:t>Gazette</w:t>
            </w:r>
            <w:r>
              <w:t xml:space="preserve"> 10 Apr 2015 p. 1249)</w:t>
            </w:r>
          </w:p>
        </w:tc>
      </w:tr>
      <w:tr>
        <w:trPr>
          <w:cantSplit/>
        </w:trPr>
        <w:tc>
          <w:tcPr>
            <w:tcW w:w="2268" w:type="dxa"/>
            <w:tcBorders>
              <w:top w:val="nil"/>
              <w:bottom w:val="nil"/>
            </w:tcBorders>
          </w:tcPr>
          <w:p>
            <w:pPr>
              <w:pStyle w:val="nTable"/>
              <w:spacing w:after="40"/>
              <w:ind w:right="113"/>
              <w:rPr>
                <w:i/>
                <w:snapToGrid w:val="0"/>
              </w:rPr>
            </w:pPr>
            <w:r>
              <w:rPr>
                <w:i/>
                <w:snapToGrid w:val="0"/>
              </w:rPr>
              <w:t>Swan and Canning Rivers Management Amendment Act 2015</w:t>
            </w:r>
            <w:r>
              <w:rPr>
                <w:snapToGrid w:val="0"/>
              </w:rPr>
              <w:t xml:space="preserve"> s. 55</w:t>
            </w:r>
          </w:p>
        </w:tc>
        <w:tc>
          <w:tcPr>
            <w:tcW w:w="1134" w:type="dxa"/>
            <w:gridSpan w:val="2"/>
            <w:tcBorders>
              <w:top w:val="nil"/>
              <w:bottom w:val="nil"/>
            </w:tcBorders>
          </w:tcPr>
          <w:p>
            <w:pPr>
              <w:pStyle w:val="nTable"/>
              <w:spacing w:after="40"/>
              <w:rPr>
                <w:snapToGrid w:val="0"/>
              </w:rPr>
            </w:pPr>
            <w:r>
              <w:t>6 of 2015</w:t>
            </w:r>
          </w:p>
        </w:tc>
        <w:tc>
          <w:tcPr>
            <w:tcW w:w="1138" w:type="dxa"/>
            <w:gridSpan w:val="2"/>
            <w:tcBorders>
              <w:top w:val="nil"/>
              <w:bottom w:val="nil"/>
            </w:tcBorders>
          </w:tcPr>
          <w:p>
            <w:pPr>
              <w:pStyle w:val="nTable"/>
              <w:spacing w:after="40"/>
              <w:rPr>
                <w:snapToGrid w:val="0"/>
              </w:rPr>
            </w:pPr>
            <w:r>
              <w:t>9 Mar 2015</w:t>
            </w:r>
          </w:p>
        </w:tc>
        <w:tc>
          <w:tcPr>
            <w:tcW w:w="2551" w:type="dxa"/>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19 Jun 2015 p. 2095)</w:t>
            </w:r>
          </w:p>
        </w:tc>
      </w:tr>
      <w:tr>
        <w:trPr>
          <w:cantSplit/>
        </w:trPr>
        <w:tc>
          <w:tcPr>
            <w:tcW w:w="4540" w:type="dxa"/>
            <w:gridSpan w:val="5"/>
            <w:tcBorders>
              <w:top w:val="nil"/>
              <w:bottom w:val="nil"/>
            </w:tcBorders>
          </w:tcPr>
          <w:p>
            <w:pPr>
              <w:pStyle w:val="nTable"/>
              <w:spacing w:after="40"/>
              <w:rPr>
                <w:i/>
                <w:snapToGrid w:val="0"/>
              </w:rPr>
            </w:pPr>
            <w:r>
              <w:rPr>
                <w:i/>
              </w:rPr>
              <w:t xml:space="preserve">Financial Management (Statutory Authorities) Regulations 2015 </w:t>
            </w:r>
            <w:r>
              <w:t xml:space="preserve">published in </w:t>
            </w:r>
            <w:r>
              <w:rPr>
                <w:i/>
              </w:rPr>
              <w:t>Gazette</w:t>
            </w:r>
            <w:r>
              <w:t xml:space="preserve"> 12 May 2015 p. 1641</w:t>
            </w:r>
          </w:p>
        </w:tc>
        <w:tc>
          <w:tcPr>
            <w:tcW w:w="2551" w:type="dxa"/>
            <w:tcBorders>
              <w:top w:val="nil"/>
              <w:bottom w:val="nil"/>
            </w:tcBorders>
          </w:tcPr>
          <w:p>
            <w:pPr>
              <w:pStyle w:val="nTable"/>
              <w:spacing w:after="40"/>
            </w:pPr>
            <w:r>
              <w:rPr>
                <w:bCs/>
                <w:snapToGrid w:val="0"/>
                <w:spacing w:val="-2"/>
              </w:rPr>
              <w:t>r. 1 and 2: 12 May 2015 (see r. 2(a));</w:t>
            </w:r>
            <w:r>
              <w:rPr>
                <w:bCs/>
                <w:snapToGrid w:val="0"/>
                <w:spacing w:val="-2"/>
              </w:rPr>
              <w:br/>
              <w:t>Regulations other than r. 1 and 2: 13 May 2015 (see r. 2(b))</w:t>
            </w:r>
          </w:p>
        </w:tc>
      </w:tr>
      <w:tr>
        <w:trPr>
          <w:cantSplit/>
        </w:trPr>
        <w:tc>
          <w:tcPr>
            <w:tcW w:w="2268" w:type="dxa"/>
            <w:tcBorders>
              <w:top w:val="nil"/>
              <w:bottom w:val="nil"/>
            </w:tcBorders>
          </w:tcPr>
          <w:p>
            <w:pPr>
              <w:pStyle w:val="nTable"/>
              <w:spacing w:after="40"/>
              <w:ind w:right="113"/>
              <w:rPr>
                <w:snapToGrid w:val="0"/>
              </w:rPr>
            </w:pPr>
            <w:r>
              <w:rPr>
                <w:i/>
              </w:rPr>
              <w:t xml:space="preserve">Perth Market (Disposal) Act 2015 </w:t>
            </w:r>
            <w:r>
              <w:t>s. 55</w:t>
            </w:r>
          </w:p>
        </w:tc>
        <w:tc>
          <w:tcPr>
            <w:tcW w:w="1134" w:type="dxa"/>
            <w:gridSpan w:val="2"/>
            <w:tcBorders>
              <w:top w:val="nil"/>
              <w:bottom w:val="nil"/>
            </w:tcBorders>
          </w:tcPr>
          <w:p>
            <w:pPr>
              <w:pStyle w:val="nTable"/>
              <w:spacing w:after="40"/>
              <w:rPr>
                <w:snapToGrid w:val="0"/>
              </w:rPr>
            </w:pPr>
            <w:r>
              <w:t>40 of 2015</w:t>
            </w:r>
          </w:p>
        </w:tc>
        <w:tc>
          <w:tcPr>
            <w:tcW w:w="1138" w:type="dxa"/>
            <w:gridSpan w:val="2"/>
            <w:tcBorders>
              <w:top w:val="nil"/>
              <w:bottom w:val="nil"/>
            </w:tcBorders>
          </w:tcPr>
          <w:p>
            <w:pPr>
              <w:pStyle w:val="nTable"/>
              <w:spacing w:after="40"/>
              <w:rPr>
                <w:snapToGrid w:val="0"/>
              </w:rPr>
            </w:pPr>
            <w:r>
              <w:t>8 Dec 2015</w:t>
            </w:r>
          </w:p>
        </w:tc>
        <w:tc>
          <w:tcPr>
            <w:tcW w:w="2551" w:type="dxa"/>
            <w:tcBorders>
              <w:top w:val="nil"/>
              <w:bottom w:val="nil"/>
            </w:tcBorders>
          </w:tcPr>
          <w:p>
            <w:pPr>
              <w:pStyle w:val="nTable"/>
              <w:spacing w:after="40"/>
              <w:rPr>
                <w:snapToGrid w:val="0"/>
              </w:rPr>
            </w:pPr>
            <w:r>
              <w:t xml:space="preserve">31 Mar 2016 (see s. 2(2) and </w:t>
            </w:r>
            <w:r>
              <w:rPr>
                <w:i/>
              </w:rPr>
              <w:t xml:space="preserve">Gazette </w:t>
            </w:r>
            <w:r>
              <w:t>31 Mar 2016 p. 969)</w:t>
            </w:r>
          </w:p>
        </w:tc>
      </w:tr>
      <w:tr>
        <w:trPr>
          <w:cantSplit/>
        </w:trPr>
        <w:tc>
          <w:tcPr>
            <w:tcW w:w="2268" w:type="dxa"/>
            <w:tcBorders>
              <w:top w:val="nil"/>
              <w:bottom w:val="nil"/>
            </w:tcBorders>
          </w:tcPr>
          <w:p>
            <w:pPr>
              <w:pStyle w:val="nTable"/>
              <w:spacing w:after="40"/>
              <w:ind w:right="113"/>
              <w:rPr>
                <w:i/>
              </w:rPr>
            </w:pPr>
            <w:r>
              <w:rPr>
                <w:i/>
                <w:snapToGrid w:val="0"/>
              </w:rPr>
              <w:t>Health Services Act 2016</w:t>
            </w:r>
            <w:r>
              <w:rPr>
                <w:snapToGrid w:val="0"/>
              </w:rPr>
              <w:t xml:space="preserve"> s. 289</w:t>
            </w:r>
          </w:p>
        </w:tc>
        <w:tc>
          <w:tcPr>
            <w:tcW w:w="1134" w:type="dxa"/>
            <w:gridSpan w:val="2"/>
            <w:tcBorders>
              <w:top w:val="nil"/>
              <w:bottom w:val="nil"/>
            </w:tcBorders>
          </w:tcPr>
          <w:p>
            <w:pPr>
              <w:pStyle w:val="nTable"/>
              <w:spacing w:after="40"/>
            </w:pPr>
            <w:r>
              <w:t>11 of 2016</w:t>
            </w:r>
          </w:p>
        </w:tc>
        <w:tc>
          <w:tcPr>
            <w:tcW w:w="1138" w:type="dxa"/>
            <w:gridSpan w:val="2"/>
            <w:tcBorders>
              <w:top w:val="nil"/>
              <w:bottom w:val="nil"/>
            </w:tcBorders>
          </w:tcPr>
          <w:p>
            <w:pPr>
              <w:pStyle w:val="nTable"/>
              <w:spacing w:after="40"/>
            </w:pPr>
            <w:r>
              <w:t>26 May 2016</w:t>
            </w:r>
          </w:p>
        </w:tc>
        <w:tc>
          <w:tcPr>
            <w:tcW w:w="2551" w:type="dxa"/>
            <w:tcBorders>
              <w:top w:val="nil"/>
              <w:bottom w:val="nil"/>
            </w:tcBorders>
          </w:tcPr>
          <w:p>
            <w:pPr>
              <w:pStyle w:val="nTable"/>
              <w:spacing w:after="40"/>
            </w:pPr>
            <w:r>
              <w:t xml:space="preserve">1 Jul 2016 (see s. 2(b) and </w:t>
            </w:r>
            <w:r>
              <w:rPr>
                <w:i/>
              </w:rPr>
              <w:t>Gazette</w:t>
            </w:r>
            <w:r>
              <w:t xml:space="preserve"> 24 Jun 2016 p. 2291)</w:t>
            </w:r>
          </w:p>
        </w:tc>
      </w:tr>
      <w:tr>
        <w:trPr>
          <w:cantSplit/>
        </w:trPr>
        <w:tc>
          <w:tcPr>
            <w:tcW w:w="2268" w:type="dxa"/>
            <w:tcBorders>
              <w:top w:val="nil"/>
              <w:bottom w:val="nil"/>
            </w:tcBorders>
          </w:tcPr>
          <w:p>
            <w:pPr>
              <w:pStyle w:val="nTable"/>
              <w:spacing w:after="40"/>
              <w:ind w:right="113"/>
              <w:rPr>
                <w:i/>
                <w:snapToGrid w:val="0"/>
              </w:rPr>
            </w:pPr>
            <w:r>
              <w:rPr>
                <w:i/>
                <w:snapToGrid w:val="0"/>
              </w:rPr>
              <w:t>Biodiversity Conservation Act 2016</w:t>
            </w:r>
            <w:r>
              <w:rPr>
                <w:snapToGrid w:val="0"/>
              </w:rPr>
              <w:t xml:space="preserve"> s. 315</w:t>
            </w:r>
          </w:p>
        </w:tc>
        <w:tc>
          <w:tcPr>
            <w:tcW w:w="1134" w:type="dxa"/>
            <w:gridSpan w:val="2"/>
            <w:tcBorders>
              <w:top w:val="nil"/>
              <w:bottom w:val="nil"/>
            </w:tcBorders>
          </w:tcPr>
          <w:p>
            <w:pPr>
              <w:pStyle w:val="nTable"/>
              <w:spacing w:after="40"/>
            </w:pPr>
            <w:r>
              <w:t>24 of 2016</w:t>
            </w:r>
          </w:p>
        </w:tc>
        <w:tc>
          <w:tcPr>
            <w:tcW w:w="1138" w:type="dxa"/>
            <w:gridSpan w:val="2"/>
            <w:tcBorders>
              <w:top w:val="nil"/>
              <w:bottom w:val="nil"/>
            </w:tcBorders>
          </w:tcPr>
          <w:p>
            <w:pPr>
              <w:pStyle w:val="nTable"/>
              <w:spacing w:after="40"/>
            </w:pPr>
            <w:r>
              <w:t>21 Sep 2016</w:t>
            </w:r>
          </w:p>
        </w:tc>
        <w:tc>
          <w:tcPr>
            <w:tcW w:w="2551" w:type="dxa"/>
            <w:tcBorders>
              <w:top w:val="nil"/>
              <w:bottom w:val="nil"/>
            </w:tcBorders>
          </w:tcPr>
          <w:p>
            <w:pPr>
              <w:pStyle w:val="nTable"/>
              <w:spacing w:after="40"/>
            </w:pPr>
            <w:r>
              <w:t xml:space="preserve">1 Jan 2019 (see s. 2(b) and </w:t>
            </w:r>
            <w:r>
              <w:rPr>
                <w:i/>
              </w:rPr>
              <w:t>Gazette</w:t>
            </w:r>
            <w:r>
              <w:t xml:space="preserve"> 14 Sep 2018 p. 3305)</w:t>
            </w:r>
          </w:p>
        </w:tc>
      </w:tr>
      <w:tr>
        <w:trPr>
          <w:cantSplit/>
        </w:trPr>
        <w:tc>
          <w:tcPr>
            <w:tcW w:w="2268" w:type="dxa"/>
            <w:tcBorders>
              <w:top w:val="nil"/>
              <w:bottom w:val="nil"/>
              <w:right w:val="nil"/>
            </w:tcBorders>
          </w:tcPr>
          <w:p>
            <w:pPr>
              <w:pStyle w:val="nTable"/>
              <w:spacing w:after="40"/>
              <w:ind w:right="113"/>
              <w:rPr>
                <w:snapToGrid w:val="0"/>
              </w:rPr>
            </w:pPr>
            <w:r>
              <w:rPr>
                <w:i/>
                <w:snapToGrid w:val="0"/>
              </w:rPr>
              <w:t xml:space="preserve">Universities Legislation Amendment Act 2016 </w:t>
            </w:r>
            <w:r>
              <w:rPr>
                <w:i/>
                <w:snapToGrid w:val="0"/>
              </w:rPr>
              <w:br/>
            </w:r>
            <w:r>
              <w:rPr>
                <w:snapToGrid w:val="0"/>
              </w:rPr>
              <w:t>Pt. 7 Div. 3</w:t>
            </w:r>
            <w:r>
              <w:rPr>
                <w:i/>
                <w:snapToGrid w:val="0"/>
              </w:rPr>
              <w:t> </w:t>
            </w:r>
          </w:p>
        </w:tc>
        <w:tc>
          <w:tcPr>
            <w:tcW w:w="1134" w:type="dxa"/>
            <w:gridSpan w:val="2"/>
            <w:tcBorders>
              <w:top w:val="nil"/>
              <w:left w:val="nil"/>
              <w:bottom w:val="nil"/>
              <w:right w:val="nil"/>
            </w:tcBorders>
          </w:tcPr>
          <w:p>
            <w:pPr>
              <w:pStyle w:val="nTable"/>
              <w:spacing w:after="40"/>
            </w:pPr>
            <w:r>
              <w:t>32 of 2016</w:t>
            </w:r>
          </w:p>
        </w:tc>
        <w:tc>
          <w:tcPr>
            <w:tcW w:w="1138" w:type="dxa"/>
            <w:gridSpan w:val="2"/>
            <w:tcBorders>
              <w:top w:val="nil"/>
              <w:left w:val="nil"/>
              <w:bottom w:val="nil"/>
              <w:right w:val="nil"/>
            </w:tcBorders>
          </w:tcPr>
          <w:p>
            <w:pPr>
              <w:pStyle w:val="nTable"/>
              <w:spacing w:after="40"/>
            </w:pPr>
            <w:r>
              <w:t>19 Oct 2016</w:t>
            </w:r>
          </w:p>
        </w:tc>
        <w:tc>
          <w:tcPr>
            <w:tcW w:w="2551" w:type="dxa"/>
            <w:tcBorders>
              <w:top w:val="nil"/>
              <w:left w:val="nil"/>
              <w:bottom w:val="nil"/>
            </w:tcBorders>
          </w:tcPr>
          <w:p>
            <w:pPr>
              <w:pStyle w:val="nTable"/>
              <w:spacing w:after="40"/>
            </w:pPr>
            <w:r>
              <w:t xml:space="preserve">2 Jan 2017 (see s. 2(b) and </w:t>
            </w:r>
            <w:r>
              <w:rPr>
                <w:i/>
              </w:rPr>
              <w:t xml:space="preserve">Gazette </w:t>
            </w:r>
            <w:r>
              <w:t>9 Dec 2016 p. 5557)</w:t>
            </w:r>
          </w:p>
        </w:tc>
      </w:tr>
      <w:tr>
        <w:trPr>
          <w:cantSplit/>
        </w:trPr>
        <w:tc>
          <w:tcPr>
            <w:tcW w:w="2268" w:type="dxa"/>
            <w:tcBorders>
              <w:top w:val="nil"/>
              <w:bottom w:val="nil"/>
              <w:right w:val="nil"/>
            </w:tcBorders>
          </w:tcPr>
          <w:p>
            <w:pPr>
              <w:pStyle w:val="nTable"/>
              <w:spacing w:after="40"/>
              <w:ind w:right="113"/>
              <w:rPr>
                <w:i/>
                <w:snapToGrid w:val="0"/>
              </w:rPr>
            </w:pPr>
            <w:r>
              <w:rPr>
                <w:i/>
                <w:snapToGrid w:val="0"/>
              </w:rPr>
              <w:t xml:space="preserve">School Boarding Facilities Legislation Amendment and Repeal Act 2016 </w:t>
            </w:r>
            <w:r>
              <w:rPr>
                <w:snapToGrid w:val="0"/>
              </w:rPr>
              <w:t>s. 22</w:t>
            </w:r>
          </w:p>
        </w:tc>
        <w:tc>
          <w:tcPr>
            <w:tcW w:w="1134" w:type="dxa"/>
            <w:gridSpan w:val="2"/>
            <w:tcBorders>
              <w:top w:val="nil"/>
              <w:left w:val="nil"/>
              <w:bottom w:val="nil"/>
              <w:right w:val="nil"/>
            </w:tcBorders>
          </w:tcPr>
          <w:p>
            <w:pPr>
              <w:pStyle w:val="nTable"/>
              <w:spacing w:after="40"/>
            </w:pPr>
            <w:r>
              <w:t>41 of 2016</w:t>
            </w:r>
          </w:p>
        </w:tc>
        <w:tc>
          <w:tcPr>
            <w:tcW w:w="1138" w:type="dxa"/>
            <w:gridSpan w:val="2"/>
            <w:tcBorders>
              <w:top w:val="nil"/>
              <w:left w:val="nil"/>
              <w:bottom w:val="nil"/>
              <w:right w:val="nil"/>
            </w:tcBorders>
          </w:tcPr>
          <w:p>
            <w:pPr>
              <w:pStyle w:val="nTable"/>
              <w:spacing w:after="40"/>
            </w:pPr>
            <w:r>
              <w:t>28 Nov 2016</w:t>
            </w:r>
          </w:p>
        </w:tc>
        <w:tc>
          <w:tcPr>
            <w:tcW w:w="2551" w:type="dxa"/>
            <w:tcBorders>
              <w:top w:val="nil"/>
              <w:left w:val="nil"/>
              <w:bottom w:val="nil"/>
            </w:tcBorders>
          </w:tcPr>
          <w:p>
            <w:pPr>
              <w:pStyle w:val="nTable"/>
              <w:spacing w:after="40"/>
            </w:pPr>
            <w:r>
              <w:t xml:space="preserve">1 Jul 2017 (see s. 2(b) and </w:t>
            </w:r>
            <w:r>
              <w:rPr>
                <w:i/>
              </w:rPr>
              <w:t xml:space="preserve">Gazette </w:t>
            </w:r>
            <w:r>
              <w:t>23 Jun 2017 p. 3173)</w:t>
            </w:r>
          </w:p>
        </w:tc>
      </w:tr>
      <w:tr>
        <w:trPr>
          <w:cantSplit/>
        </w:trPr>
        <w:tc>
          <w:tcPr>
            <w:tcW w:w="4540" w:type="dxa"/>
            <w:gridSpan w:val="5"/>
            <w:tcBorders>
              <w:top w:val="nil"/>
              <w:bottom w:val="nil"/>
              <w:right w:val="nil"/>
            </w:tcBorders>
          </w:tcPr>
          <w:p>
            <w:pPr>
              <w:pStyle w:val="nTable"/>
              <w:spacing w:after="40"/>
            </w:pPr>
            <w:r>
              <w:rPr>
                <w:i/>
                <w:snapToGrid w:val="0"/>
              </w:rPr>
              <w:t>Financial Management (Statutory Authorities) Regulations 2017</w:t>
            </w:r>
            <w:r>
              <w:rPr>
                <w:snapToGrid w:val="0"/>
              </w:rPr>
              <w:t xml:space="preserve"> published in </w:t>
            </w:r>
            <w:r>
              <w:rPr>
                <w:i/>
                <w:snapToGrid w:val="0"/>
              </w:rPr>
              <w:t>Gazette</w:t>
            </w:r>
            <w:r>
              <w:rPr>
                <w:snapToGrid w:val="0"/>
              </w:rPr>
              <w:t xml:space="preserve"> 8 Sep 2017 p. 4698</w:t>
            </w:r>
          </w:p>
        </w:tc>
        <w:tc>
          <w:tcPr>
            <w:tcW w:w="2551" w:type="dxa"/>
            <w:tcBorders>
              <w:top w:val="nil"/>
              <w:left w:val="nil"/>
              <w:bottom w:val="nil"/>
            </w:tcBorders>
          </w:tcPr>
          <w:p>
            <w:pPr>
              <w:pStyle w:val="nTable"/>
              <w:spacing w:after="40"/>
            </w:pPr>
            <w:r>
              <w:rPr>
                <w:bCs/>
                <w:snapToGrid w:val="0"/>
              </w:rPr>
              <w:t>r. 1 and 2: 8 Sep 2017 (see r. 2(a));</w:t>
            </w:r>
            <w:r>
              <w:rPr>
                <w:bCs/>
                <w:snapToGrid w:val="0"/>
              </w:rPr>
              <w:br/>
              <w:t>Regulations other than r. 1 and 2: 9 Sep 2017 (see r. 2(b))</w:t>
            </w:r>
          </w:p>
        </w:tc>
      </w:tr>
      <w:tr>
        <w:trPr>
          <w:cantSplit/>
        </w:trPr>
        <w:tc>
          <w:tcPr>
            <w:tcW w:w="7091" w:type="dxa"/>
            <w:gridSpan w:val="6"/>
            <w:tcBorders>
              <w:top w:val="nil"/>
              <w:bottom w:val="nil"/>
            </w:tcBorders>
            <w:shd w:val="clear" w:color="auto" w:fill="auto"/>
          </w:tcPr>
          <w:p>
            <w:pPr>
              <w:pStyle w:val="nTable"/>
              <w:spacing w:after="40"/>
            </w:pPr>
            <w:r>
              <w:rPr>
                <w:b/>
              </w:rPr>
              <w:t xml:space="preserve">Reprint 4: The </w:t>
            </w:r>
            <w:r>
              <w:rPr>
                <w:b/>
                <w:i/>
                <w:noProof/>
              </w:rPr>
              <w:t>Financial Management Act 2006</w:t>
            </w:r>
            <w:r>
              <w:rPr>
                <w:b/>
              </w:rPr>
              <w:t xml:space="preserve"> as at 6 Oct 2017</w:t>
            </w:r>
            <w:r>
              <w:t xml:space="preserve"> (includes amendments listed above except those in the </w:t>
            </w:r>
            <w:r>
              <w:rPr>
                <w:i/>
              </w:rPr>
              <w:t>Biodiversity Conservation Act 2016</w:t>
            </w:r>
            <w:r>
              <w:t xml:space="preserve"> s. 315)</w:t>
            </w:r>
          </w:p>
        </w:tc>
      </w:tr>
      <w:tr>
        <w:tblPrEx>
          <w:tblCellMar>
            <w:left w:w="57" w:type="dxa"/>
            <w:right w:w="57" w:type="dxa"/>
          </w:tblCellMar>
        </w:tblPrEx>
        <w:tc>
          <w:tcPr>
            <w:tcW w:w="2276" w:type="dxa"/>
            <w:gridSpan w:val="2"/>
            <w:tcBorders>
              <w:top w:val="nil"/>
              <w:bottom w:val="single" w:sz="4" w:space="0" w:color="auto"/>
            </w:tcBorders>
          </w:tcPr>
          <w:p>
            <w:pPr>
              <w:pStyle w:val="nTable"/>
              <w:keepNext/>
              <w:spacing w:after="40"/>
              <w:rPr>
                <w:i/>
              </w:rPr>
            </w:pPr>
            <w:r>
              <w:rPr>
                <w:i/>
              </w:rPr>
              <w:t>Infrastructure Western Australia Act 2019</w:t>
            </w:r>
            <w:r>
              <w:t xml:space="preserve"> s. 75</w:t>
            </w:r>
          </w:p>
        </w:tc>
        <w:tc>
          <w:tcPr>
            <w:tcW w:w="1132" w:type="dxa"/>
            <w:gridSpan w:val="2"/>
            <w:tcBorders>
              <w:top w:val="nil"/>
              <w:bottom w:val="single" w:sz="4" w:space="0" w:color="auto"/>
            </w:tcBorders>
          </w:tcPr>
          <w:p>
            <w:pPr>
              <w:pStyle w:val="nTable"/>
              <w:keepNext/>
              <w:spacing w:after="40"/>
            </w:pPr>
            <w:r>
              <w:t>13 of 2019</w:t>
            </w:r>
          </w:p>
        </w:tc>
        <w:tc>
          <w:tcPr>
            <w:tcW w:w="1132" w:type="dxa"/>
            <w:tcBorders>
              <w:top w:val="nil"/>
              <w:bottom w:val="single" w:sz="4" w:space="0" w:color="auto"/>
            </w:tcBorders>
          </w:tcPr>
          <w:p>
            <w:pPr>
              <w:pStyle w:val="nTable"/>
              <w:keepNext/>
              <w:spacing w:after="40"/>
            </w:pPr>
            <w:r>
              <w:t>24 Jun 2019</w:t>
            </w:r>
          </w:p>
        </w:tc>
        <w:tc>
          <w:tcPr>
            <w:tcW w:w="2551" w:type="dxa"/>
            <w:tcBorders>
              <w:top w:val="nil"/>
              <w:bottom w:val="single" w:sz="4" w:space="0" w:color="auto"/>
            </w:tcBorders>
          </w:tcPr>
          <w:p>
            <w:pPr>
              <w:pStyle w:val="nTable"/>
              <w:keepNext/>
              <w:spacing w:after="40"/>
              <w:rPr>
                <w:snapToGrid w:val="0"/>
              </w:rPr>
            </w:pPr>
            <w:r>
              <w:t>24 Jul 2019 (see s. 2(c))</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44" w:name="_Toc14686396"/>
      <w:r>
        <w:t>Provisions that have not come into operation</w:t>
      </w:r>
      <w:bookmarkEnd w:id="144"/>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6"/>
        <w:gridCol w:w="1132"/>
        <w:gridCol w:w="1132"/>
        <w:gridCol w:w="2548"/>
      </w:tblGrid>
      <w:tr>
        <w:trPr>
          <w:tblHeader/>
        </w:trPr>
        <w:tc>
          <w:tcPr>
            <w:tcW w:w="2276" w:type="dxa"/>
            <w:tcBorders>
              <w:bottom w:val="single" w:sz="8" w:space="0" w:color="auto"/>
            </w:tcBorders>
          </w:tcPr>
          <w:p>
            <w:pPr>
              <w:pStyle w:val="nTable"/>
              <w:keepNext/>
              <w:spacing w:after="40"/>
              <w:rPr>
                <w:b/>
              </w:rPr>
            </w:pPr>
            <w:r>
              <w:rPr>
                <w:b/>
              </w:rPr>
              <w:t>Short title</w:t>
            </w:r>
          </w:p>
        </w:tc>
        <w:tc>
          <w:tcPr>
            <w:tcW w:w="1132" w:type="dxa"/>
            <w:tcBorders>
              <w:bottom w:val="single" w:sz="8" w:space="0" w:color="auto"/>
            </w:tcBorders>
          </w:tcPr>
          <w:p>
            <w:pPr>
              <w:pStyle w:val="nTable"/>
              <w:keepNext/>
              <w:spacing w:after="40"/>
              <w:rPr>
                <w:b/>
              </w:rPr>
            </w:pPr>
            <w:r>
              <w:rPr>
                <w:b/>
              </w:rPr>
              <w:t>Number and year</w:t>
            </w:r>
          </w:p>
        </w:tc>
        <w:tc>
          <w:tcPr>
            <w:tcW w:w="1132" w:type="dxa"/>
            <w:tcBorders>
              <w:bottom w:val="single" w:sz="8" w:space="0" w:color="auto"/>
            </w:tcBorders>
          </w:tcPr>
          <w:p>
            <w:pPr>
              <w:pStyle w:val="nTable"/>
              <w:keepNext/>
              <w:spacing w:after="40"/>
              <w:rPr>
                <w:b/>
              </w:rPr>
            </w:pPr>
            <w:r>
              <w:rPr>
                <w:b/>
              </w:rPr>
              <w:t>Assent</w:t>
            </w:r>
          </w:p>
        </w:tc>
        <w:tc>
          <w:tcPr>
            <w:tcW w:w="2548" w:type="dxa"/>
            <w:tcBorders>
              <w:bottom w:val="single" w:sz="8" w:space="0" w:color="auto"/>
            </w:tcBorders>
          </w:tcPr>
          <w:p>
            <w:pPr>
              <w:pStyle w:val="nTable"/>
              <w:keepNext/>
              <w:spacing w:after="40"/>
              <w:rPr>
                <w:b/>
              </w:rPr>
            </w:pPr>
            <w:r>
              <w:rPr>
                <w:b/>
              </w:rPr>
              <w:t>Commencement</w:t>
            </w:r>
          </w:p>
        </w:tc>
      </w:tr>
      <w:tr>
        <w:tblPrEx>
          <w:tblCellMar>
            <w:left w:w="57" w:type="dxa"/>
            <w:right w:w="57" w:type="dxa"/>
          </w:tblCellMar>
        </w:tblPrEx>
        <w:tc>
          <w:tcPr>
            <w:tcW w:w="2276" w:type="dxa"/>
            <w:tcBorders>
              <w:top w:val="single" w:sz="8" w:space="0" w:color="auto"/>
              <w:bottom w:val="single" w:sz="4" w:space="0" w:color="auto"/>
            </w:tcBorders>
          </w:tcPr>
          <w:p>
            <w:pPr>
              <w:pStyle w:val="nTable"/>
              <w:spacing w:after="40"/>
              <w:rPr>
                <w:i/>
                <w:vertAlign w:val="superscript"/>
              </w:rPr>
            </w:pPr>
            <w:r>
              <w:rPr>
                <w:i/>
              </w:rPr>
              <w:t>Marketing of Potatoes Amendment and Repeal Act 2016</w:t>
            </w:r>
            <w:r>
              <w:t xml:space="preserve"> s. 15</w:t>
            </w:r>
            <w:r>
              <w:rPr>
                <w:vertAlign w:val="superscript"/>
              </w:rPr>
              <w:t> 4</w:t>
            </w:r>
          </w:p>
        </w:tc>
        <w:tc>
          <w:tcPr>
            <w:tcW w:w="1132" w:type="dxa"/>
            <w:tcBorders>
              <w:top w:val="single" w:sz="8" w:space="0" w:color="auto"/>
              <w:bottom w:val="single" w:sz="4" w:space="0" w:color="auto"/>
            </w:tcBorders>
          </w:tcPr>
          <w:p>
            <w:pPr>
              <w:pStyle w:val="nTable"/>
              <w:spacing w:after="40"/>
            </w:pPr>
            <w:r>
              <w:t>22 of 2016</w:t>
            </w:r>
          </w:p>
        </w:tc>
        <w:tc>
          <w:tcPr>
            <w:tcW w:w="1132" w:type="dxa"/>
            <w:tcBorders>
              <w:top w:val="single" w:sz="8" w:space="0" w:color="auto"/>
              <w:bottom w:val="single" w:sz="4" w:space="0" w:color="auto"/>
            </w:tcBorders>
          </w:tcPr>
          <w:p>
            <w:pPr>
              <w:pStyle w:val="nTable"/>
              <w:spacing w:after="40"/>
            </w:pPr>
            <w:r>
              <w:t>12 Sep 2016</w:t>
            </w:r>
          </w:p>
        </w:tc>
        <w:tc>
          <w:tcPr>
            <w:tcW w:w="2548" w:type="dxa"/>
            <w:tcBorders>
              <w:top w:val="single" w:sz="8" w:space="0" w:color="auto"/>
              <w:bottom w:val="single" w:sz="4" w:space="0" w:color="auto"/>
            </w:tcBorders>
          </w:tcPr>
          <w:p>
            <w:pPr>
              <w:pStyle w:val="nTable"/>
              <w:spacing w:after="40"/>
              <w:rPr>
                <w:snapToGrid w:val="0"/>
              </w:rPr>
            </w:pPr>
            <w:r>
              <w:rPr>
                <w:snapToGrid w:val="0"/>
              </w:rPr>
              <w:t>To be proclaimed (see s. 2(d))</w:t>
            </w:r>
          </w:p>
        </w:tc>
      </w:tr>
    </w:tbl>
    <w:p>
      <w:pPr>
        <w:pStyle w:val="nSubsection"/>
        <w:keepLines/>
        <w:spacing w:before="160"/>
        <w:rPr>
          <w:rFonts w:ascii="Times" w:hAnsi="Times"/>
          <w:snapToGrid w:val="0"/>
        </w:rPr>
      </w:pPr>
      <w:r>
        <w:rPr>
          <w:snapToGrid w:val="0"/>
          <w:vertAlign w:val="superscript"/>
        </w:rPr>
        <w:t>2</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pStyle w:val="nSubsection"/>
        <w:keepNext/>
        <w:keepLines/>
      </w:pPr>
      <w:r>
        <w:rPr>
          <w:vertAlign w:val="superscript"/>
        </w:rPr>
        <w:t>3</w:t>
      </w:r>
      <w:r>
        <w:tab/>
      </w:r>
      <w:r>
        <w:rPr>
          <w:snapToGrid w:val="0"/>
        </w:rPr>
        <w:t xml:space="preserve">The amendment in the </w:t>
      </w:r>
      <w:r>
        <w:rPr>
          <w:i/>
          <w:snapToGrid w:val="0"/>
        </w:rPr>
        <w:t xml:space="preserve">State Superannuation Amendment Act 2007 </w:t>
      </w:r>
      <w:r>
        <w:rPr>
          <w:snapToGrid w:val="0"/>
        </w:rPr>
        <w:t xml:space="preserve">s. 79 is not included because it was repealed by the </w:t>
      </w:r>
      <w:r>
        <w:rPr>
          <w:i/>
          <w:snapToGrid w:val="0"/>
        </w:rPr>
        <w:t>State Superannuation Amendment Act 2011</w:t>
      </w:r>
      <w:r>
        <w:rPr>
          <w:snapToGrid w:val="0"/>
        </w:rPr>
        <w:t xml:space="preserve"> s. 4 before the amendment purported to come into operation.</w:t>
      </w:r>
    </w:p>
    <w:p>
      <w:pPr>
        <w:pStyle w:val="nSubsection"/>
        <w:keepNext/>
        <w:keepLines/>
        <w:rPr>
          <w:snapToGrid w:val="0"/>
        </w:rPr>
      </w:pPr>
      <w:r>
        <w:rPr>
          <w:snapToGrid w:val="0"/>
          <w:vertAlign w:val="superscript"/>
        </w:rPr>
        <w:t>4</w:t>
      </w:r>
      <w:r>
        <w:rPr>
          <w:snapToGrid w:val="0"/>
        </w:rPr>
        <w:tab/>
        <w:t xml:space="preserve">On the date as at which this compilation was prepared, the </w:t>
      </w:r>
      <w:r>
        <w:rPr>
          <w:i/>
          <w:noProof/>
        </w:rPr>
        <w:t>Marketing of Potatoes Amendment and Repeal Act 2016</w:t>
      </w:r>
      <w:r>
        <w:rPr>
          <w:noProof/>
        </w:rPr>
        <w:t xml:space="preserve"> s. 15</w:t>
      </w:r>
      <w:r>
        <w:rPr>
          <w:snapToGrid w:val="0"/>
        </w:rPr>
        <w:t xml:space="preserve"> had not come into operation. It reads as follows:</w:t>
      </w:r>
    </w:p>
    <w:p>
      <w:pPr>
        <w:pStyle w:val="BlankOpen"/>
      </w:pPr>
    </w:p>
    <w:p>
      <w:pPr>
        <w:pStyle w:val="nzHeading5"/>
      </w:pPr>
      <w:r>
        <w:rPr>
          <w:rStyle w:val="CharSectno"/>
        </w:rPr>
        <w:t>15</w:t>
      </w:r>
      <w:r>
        <w:t>.</w:t>
      </w:r>
      <w:r>
        <w:tab/>
      </w:r>
      <w:r>
        <w:rPr>
          <w:i/>
        </w:rPr>
        <w:t>Financial Management Act 2006</w:t>
      </w:r>
      <w:r>
        <w:t xml:space="preserve"> amended</w:t>
      </w:r>
    </w:p>
    <w:p>
      <w:pPr>
        <w:pStyle w:val="nzSubsection"/>
      </w:pPr>
      <w:r>
        <w:tab/>
        <w:t>(1)</w:t>
      </w:r>
      <w:r>
        <w:tab/>
        <w:t xml:space="preserve">This section amends the </w:t>
      </w:r>
      <w:r>
        <w:rPr>
          <w:i/>
        </w:rPr>
        <w:t>Financial Management Act 2006</w:t>
      </w:r>
      <w:r>
        <w:t>.</w:t>
      </w:r>
    </w:p>
    <w:p>
      <w:pPr>
        <w:pStyle w:val="nzSubsection"/>
      </w:pPr>
      <w:r>
        <w:tab/>
        <w:t>(2)</w:t>
      </w:r>
      <w:r>
        <w:tab/>
        <w:t>In Schedule 1 delete the item relating to the Potato Marketing Corporation of Western Australia.</w:t>
      </w:r>
    </w:p>
    <w:p>
      <w:pPr>
        <w:pStyle w:val="BlankClose"/>
      </w:pPr>
    </w:p>
    <w:p>
      <w:pPr>
        <w:pStyle w:val="BlankClose"/>
      </w:pPr>
    </w:p>
    <w:p>
      <w:pPr>
        <w:sectPr>
          <w:headerReference w:type="even" r:id="rId29"/>
          <w:headerReference w:type="default" r:id="rId30"/>
          <w:headerReference w:type="first" r:id="rId31"/>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146" w:name="_Toc14427666"/>
      <w:bookmarkStart w:id="147" w:name="_Toc14686397"/>
      <w:r>
        <w:rPr>
          <w:sz w:val="28"/>
        </w:rPr>
        <w:t>Defined terms</w:t>
      </w:r>
      <w:bookmarkEnd w:id="146"/>
      <w:bookmarkEnd w:id="14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abolition</w:t>
      </w:r>
      <w:r>
        <w:tab/>
        <w:t>66</w:t>
      </w:r>
    </w:p>
    <w:p>
      <w:pPr>
        <w:pStyle w:val="DefinedTerms"/>
      </w:pPr>
      <w:r>
        <w:t>accountable authority</w:t>
      </w:r>
      <w:r>
        <w:tab/>
        <w:t>3</w:t>
      </w:r>
    </w:p>
    <w:p>
      <w:pPr>
        <w:pStyle w:val="DefinedTerms"/>
      </w:pPr>
      <w:r>
        <w:t>accounts</w:t>
      </w:r>
      <w:r>
        <w:tab/>
        <w:t>3</w:t>
      </w:r>
    </w:p>
    <w:p>
      <w:pPr>
        <w:pStyle w:val="DefinedTerms"/>
      </w:pPr>
      <w:r>
        <w:t>affiliated body</w:t>
      </w:r>
      <w:r>
        <w:tab/>
        <w:t>60(1)</w:t>
      </w:r>
    </w:p>
    <w:p>
      <w:pPr>
        <w:pStyle w:val="DefinedTerms"/>
      </w:pPr>
      <w:r>
        <w:t>agency</w:t>
      </w:r>
      <w:r>
        <w:tab/>
        <w:t>3</w:t>
      </w:r>
    </w:p>
    <w:p>
      <w:pPr>
        <w:pStyle w:val="DefinedTerms"/>
      </w:pPr>
      <w:r>
        <w:t>agency special purpose account</w:t>
      </w:r>
      <w:r>
        <w:tab/>
        <w:t>3</w:t>
      </w:r>
    </w:p>
    <w:p>
      <w:pPr>
        <w:pStyle w:val="DefinedTerms"/>
      </w:pPr>
      <w:r>
        <w:t>annual estimates</w:t>
      </w:r>
      <w:r>
        <w:tab/>
        <w:t>40(1)</w:t>
      </w:r>
    </w:p>
    <w:p>
      <w:pPr>
        <w:pStyle w:val="DefinedTerms"/>
      </w:pPr>
      <w:r>
        <w:t>Appropriation Act</w:t>
      </w:r>
      <w:r>
        <w:tab/>
        <w:t>3</w:t>
      </w:r>
    </w:p>
    <w:p>
      <w:pPr>
        <w:pStyle w:val="DefinedTerms"/>
      </w:pPr>
      <w:r>
        <w:t>Australian Accounting Standards Board</w:t>
      </w:r>
      <w:r>
        <w:tab/>
        <w:t>62(3)</w:t>
      </w:r>
    </w:p>
    <w:p>
      <w:pPr>
        <w:pStyle w:val="DefinedTerms"/>
      </w:pPr>
      <w:r>
        <w:t>authorised person</w:t>
      </w:r>
      <w:r>
        <w:tab/>
        <w:t>51(1)</w:t>
      </w:r>
    </w:p>
    <w:p>
      <w:pPr>
        <w:pStyle w:val="DefinedTerms"/>
      </w:pPr>
      <w:r>
        <w:t>bank</w:t>
      </w:r>
      <w:r>
        <w:tab/>
        <w:t>3</w:t>
      </w:r>
    </w:p>
    <w:p>
      <w:pPr>
        <w:pStyle w:val="DefinedTerms"/>
      </w:pPr>
      <w:r>
        <w:t>Consolidated Account</w:t>
      </w:r>
      <w:r>
        <w:tab/>
        <w:t>3</w:t>
      </w:r>
    </w:p>
    <w:p>
      <w:pPr>
        <w:pStyle w:val="DefinedTerms"/>
      </w:pPr>
      <w:r>
        <w:t>current year</w:t>
      </w:r>
      <w:r>
        <w:tab/>
        <w:t>24(1)</w:t>
      </w:r>
    </w:p>
    <w:p>
      <w:pPr>
        <w:pStyle w:val="DefinedTerms"/>
      </w:pPr>
      <w:r>
        <w:t>delegate</w:t>
      </w:r>
      <w:r>
        <w:tab/>
        <w:t>77(3)</w:t>
      </w:r>
    </w:p>
    <w:p>
      <w:pPr>
        <w:pStyle w:val="DefinedTerms"/>
      </w:pPr>
      <w:r>
        <w:t>department</w:t>
      </w:r>
      <w:r>
        <w:tab/>
        <w:t>3</w:t>
      </w:r>
    </w:p>
    <w:p>
      <w:pPr>
        <w:pStyle w:val="DefinedTerms"/>
      </w:pPr>
      <w:r>
        <w:t>determination</w:t>
      </w:r>
      <w:r>
        <w:tab/>
        <w:t>23(1)</w:t>
      </w:r>
      <w:r>
        <w:tab/>
      </w:r>
    </w:p>
    <w:p>
      <w:pPr>
        <w:pStyle w:val="DefinedTerms"/>
      </w:pPr>
      <w:r>
        <w:t>estimates</w:t>
      </w:r>
      <w:r>
        <w:tab/>
        <w:t>3</w:t>
      </w:r>
    </w:p>
    <w:p>
      <w:pPr>
        <w:pStyle w:val="DefinedTerms"/>
      </w:pPr>
      <w:r>
        <w:t>final report</w:t>
      </w:r>
      <w:r>
        <w:tab/>
        <w:t>66</w:t>
      </w:r>
    </w:p>
    <w:p>
      <w:pPr>
        <w:pStyle w:val="DefinedTerms"/>
      </w:pPr>
      <w:r>
        <w:t>general purpose</w:t>
      </w:r>
      <w:r>
        <w:tab/>
        <w:t>25(1)</w:t>
      </w:r>
    </w:p>
    <w:p>
      <w:pPr>
        <w:pStyle w:val="DefinedTerms"/>
      </w:pPr>
      <w:r>
        <w:t>investment</w:t>
      </w:r>
      <w:r>
        <w:tab/>
        <w:t>38(1)</w:t>
      </w:r>
    </w:p>
    <w:p>
      <w:pPr>
        <w:pStyle w:val="DefinedTerms"/>
      </w:pPr>
      <w:r>
        <w:t>Joint Standing Committee on Audit</w:t>
      </w:r>
      <w:r>
        <w:tab/>
        <w:t>3</w:t>
      </w:r>
    </w:p>
    <w:p>
      <w:pPr>
        <w:pStyle w:val="DefinedTerms"/>
      </w:pPr>
      <w:r>
        <w:t>loss</w:t>
      </w:r>
      <w:r>
        <w:tab/>
        <w:t>47</w:t>
      </w:r>
    </w:p>
    <w:p>
      <w:pPr>
        <w:pStyle w:val="DefinedTerms"/>
      </w:pPr>
      <w:r>
        <w:t>Minister</w:t>
      </w:r>
      <w:r>
        <w:tab/>
        <w:t>3</w:t>
      </w:r>
    </w:p>
    <w:p>
      <w:pPr>
        <w:pStyle w:val="DefinedTerms"/>
      </w:pPr>
      <w:r>
        <w:t>officer</w:t>
      </w:r>
      <w:r>
        <w:tab/>
        <w:t>3</w:t>
      </w:r>
    </w:p>
    <w:p>
      <w:pPr>
        <w:pStyle w:val="DefinedTerms"/>
      </w:pPr>
      <w:r>
        <w:t>official loss</w:t>
      </w:r>
      <w:r>
        <w:tab/>
        <w:t>51(1)</w:t>
      </w:r>
    </w:p>
    <w:p>
      <w:pPr>
        <w:pStyle w:val="DefinedTerms"/>
      </w:pPr>
      <w:r>
        <w:t>official money</w:t>
      </w:r>
      <w:r>
        <w:tab/>
        <w:t>47</w:t>
      </w:r>
    </w:p>
    <w:p>
      <w:pPr>
        <w:pStyle w:val="DefinedTerms"/>
      </w:pPr>
      <w:r>
        <w:t>official property</w:t>
      </w:r>
      <w:r>
        <w:tab/>
        <w:t>47</w:t>
      </w:r>
    </w:p>
    <w:p>
      <w:pPr>
        <w:pStyle w:val="DefinedTerms"/>
      </w:pPr>
      <w:r>
        <w:t>operating account</w:t>
      </w:r>
      <w:r>
        <w:tab/>
        <w:t>26(1)</w:t>
      </w:r>
    </w:p>
    <w:p>
      <w:pPr>
        <w:pStyle w:val="DefinedTerms"/>
      </w:pPr>
      <w:r>
        <w:t>operational control</w:t>
      </w:r>
      <w:r>
        <w:tab/>
        <w:t>60(1)</w:t>
      </w:r>
    </w:p>
    <w:p>
      <w:pPr>
        <w:pStyle w:val="DefinedTerms"/>
      </w:pPr>
      <w:r>
        <w:t>other money</w:t>
      </w:r>
      <w:r>
        <w:tab/>
        <w:t>3, 15(2)</w:t>
      </w:r>
    </w:p>
    <w:p>
      <w:pPr>
        <w:pStyle w:val="DefinedTerms"/>
      </w:pPr>
      <w:r>
        <w:t>other property</w:t>
      </w:r>
      <w:r>
        <w:tab/>
        <w:t>3</w:t>
      </w:r>
    </w:p>
    <w:p>
      <w:pPr>
        <w:pStyle w:val="DefinedTerms"/>
      </w:pPr>
      <w:r>
        <w:t>prescribed conditions</w:t>
      </w:r>
      <w:r>
        <w:tab/>
        <w:t>56(1)</w:t>
      </w:r>
    </w:p>
    <w:p>
      <w:pPr>
        <w:pStyle w:val="DefinedTerms"/>
      </w:pPr>
      <w:r>
        <w:t>prescribed period</w:t>
      </w:r>
      <w:r>
        <w:tab/>
        <w:t>64(2), 65(3)</w:t>
      </w:r>
    </w:p>
    <w:p>
      <w:pPr>
        <w:pStyle w:val="DefinedTerms"/>
      </w:pPr>
      <w:r>
        <w:t>prescribed receipts</w:t>
      </w:r>
      <w:r>
        <w:tab/>
        <w:t>23(1)</w:t>
      </w:r>
      <w:r>
        <w:tab/>
      </w:r>
    </w:p>
    <w:p>
      <w:pPr>
        <w:pStyle w:val="DefinedTerms"/>
      </w:pPr>
      <w:r>
        <w:t>previous year</w:t>
      </w:r>
      <w:r>
        <w:tab/>
        <w:t>24(1)</w:t>
      </w:r>
    </w:p>
    <w:p>
      <w:pPr>
        <w:pStyle w:val="DefinedTerms"/>
      </w:pPr>
      <w:r>
        <w:t>public authority</w:t>
      </w:r>
      <w:r>
        <w:tab/>
        <w:t>28(2)</w:t>
      </w:r>
    </w:p>
    <w:p>
      <w:pPr>
        <w:pStyle w:val="DefinedTerms"/>
      </w:pPr>
      <w:r>
        <w:t>Public Bank Account</w:t>
      </w:r>
      <w:r>
        <w:tab/>
        <w:t>3</w:t>
      </w:r>
    </w:p>
    <w:p>
      <w:pPr>
        <w:pStyle w:val="DefinedTerms"/>
      </w:pPr>
      <w:r>
        <w:t>Public Bank Account Interest Earned Account</w:t>
      </w:r>
      <w:r>
        <w:tab/>
        <w:t>3</w:t>
      </w:r>
    </w:p>
    <w:p>
      <w:pPr>
        <w:pStyle w:val="DefinedTerms"/>
      </w:pPr>
      <w:r>
        <w:t>Public Ledger</w:t>
      </w:r>
      <w:r>
        <w:tab/>
        <w:t>3</w:t>
      </w:r>
    </w:p>
    <w:p>
      <w:pPr>
        <w:pStyle w:val="DefinedTerms"/>
      </w:pPr>
      <w:r>
        <w:t>public money</w:t>
      </w:r>
      <w:r>
        <w:tab/>
        <w:t>3</w:t>
      </w:r>
    </w:p>
    <w:p>
      <w:pPr>
        <w:pStyle w:val="DefinedTerms"/>
      </w:pPr>
      <w:r>
        <w:t>public property</w:t>
      </w:r>
      <w:r>
        <w:tab/>
        <w:t>3</w:t>
      </w:r>
    </w:p>
    <w:p>
      <w:pPr>
        <w:pStyle w:val="DefinedTerms"/>
      </w:pPr>
      <w:r>
        <w:t>regulated payment</w:t>
      </w:r>
      <w:r>
        <w:tab/>
        <w:t>32(2)</w:t>
      </w:r>
    </w:p>
    <w:p>
      <w:pPr>
        <w:pStyle w:val="DefinedTerms"/>
      </w:pPr>
      <w:r>
        <w:t>regulated transfer</w:t>
      </w:r>
      <w:r>
        <w:tab/>
        <w:t>32(2)</w:t>
      </w:r>
    </w:p>
    <w:p>
      <w:pPr>
        <w:pStyle w:val="DefinedTerms"/>
      </w:pPr>
      <w:r>
        <w:t>related body</w:t>
      </w:r>
      <w:r>
        <w:tab/>
        <w:t>60(1)</w:t>
      </w:r>
    </w:p>
    <w:p>
      <w:pPr>
        <w:pStyle w:val="DefinedTerms"/>
      </w:pPr>
      <w:r>
        <w:t>relevant accountable authority</w:t>
      </w:r>
      <w:r>
        <w:tab/>
        <w:t>36(1)</w:t>
      </w:r>
    </w:p>
    <w:p>
      <w:pPr>
        <w:pStyle w:val="DefinedTerms"/>
      </w:pPr>
      <w:r>
        <w:t>relevant amounts</w:t>
      </w:r>
      <w:r>
        <w:tab/>
        <w:t>48(1)</w:t>
      </w:r>
    </w:p>
    <w:p>
      <w:pPr>
        <w:pStyle w:val="DefinedTerms"/>
      </w:pPr>
      <w:r>
        <w:t>relevant authority</w:t>
      </w:r>
      <w:r>
        <w:tab/>
        <w:t>47</w:t>
      </w:r>
    </w:p>
    <w:p>
      <w:pPr>
        <w:pStyle w:val="DefinedTerms"/>
      </w:pPr>
      <w:r>
        <w:t>relevant commitment</w:t>
      </w:r>
      <w:r>
        <w:tab/>
        <w:t>26(1)</w:t>
      </w:r>
    </w:p>
    <w:p>
      <w:pPr>
        <w:pStyle w:val="DefinedTerms"/>
      </w:pPr>
      <w:r>
        <w:t>relevant person</w:t>
      </w:r>
      <w:r>
        <w:tab/>
        <w:t>36(1)</w:t>
      </w:r>
    </w:p>
    <w:p>
      <w:pPr>
        <w:pStyle w:val="DefinedTerms"/>
      </w:pPr>
      <w:r>
        <w:t>relevant service</w:t>
      </w:r>
      <w:r>
        <w:tab/>
        <w:t>21(3)</w:t>
      </w:r>
    </w:p>
    <w:p>
      <w:pPr>
        <w:pStyle w:val="DefinedTerms"/>
      </w:pPr>
      <w:r>
        <w:t>reporting officer</w:t>
      </w:r>
      <w:r>
        <w:tab/>
        <w:t>66</w:t>
      </w:r>
    </w:p>
    <w:p>
      <w:pPr>
        <w:pStyle w:val="DefinedTerms"/>
      </w:pPr>
      <w:r>
        <w:t>resource agreement</w:t>
      </w:r>
      <w:r>
        <w:tab/>
        <w:t>3</w:t>
      </w:r>
    </w:p>
    <w:p>
      <w:pPr>
        <w:pStyle w:val="DefinedTerms"/>
      </w:pPr>
      <w:r>
        <w:t>responsible person</w:t>
      </w:r>
      <w:r>
        <w:tab/>
        <w:t>51(1)</w:t>
      </w:r>
    </w:p>
    <w:p>
      <w:pPr>
        <w:pStyle w:val="DefinedTerms"/>
      </w:pPr>
      <w:r>
        <w:t>special purpose account</w:t>
      </w:r>
      <w:r>
        <w:tab/>
        <w:t>3</w:t>
      </w:r>
    </w:p>
    <w:p>
      <w:pPr>
        <w:pStyle w:val="DefinedTerms"/>
      </w:pPr>
      <w:r>
        <w:t>specified</w:t>
      </w:r>
      <w:r>
        <w:tab/>
        <w:t>60(3)</w:t>
      </w:r>
    </w:p>
    <w:p>
      <w:pPr>
        <w:pStyle w:val="DefinedTerms"/>
      </w:pPr>
      <w:r>
        <w:t>statutory authority</w:t>
      </w:r>
      <w:r>
        <w:tab/>
        <w:t>3</w:t>
      </w:r>
    </w:p>
    <w:p>
      <w:pPr>
        <w:pStyle w:val="DefinedTerms"/>
      </w:pPr>
      <w:r>
        <w:t>statutory authority money</w:t>
      </w:r>
      <w:r>
        <w:tab/>
        <w:t>3</w:t>
      </w:r>
    </w:p>
    <w:p>
      <w:pPr>
        <w:pStyle w:val="DefinedTerms"/>
      </w:pPr>
      <w:r>
        <w:t>sub</w:t>
      </w:r>
      <w:r>
        <w:noBreakHyphen/>
        <w:t>department</w:t>
      </w:r>
      <w:r>
        <w:tab/>
        <w:t>3</w:t>
      </w:r>
    </w:p>
    <w:p>
      <w:pPr>
        <w:pStyle w:val="DefinedTerms"/>
      </w:pPr>
      <w:r>
        <w:t>subsidiary body</w:t>
      </w:r>
      <w:r>
        <w:tab/>
        <w:t>60(1)</w:t>
      </w:r>
    </w:p>
    <w:p>
      <w:pPr>
        <w:pStyle w:val="DefinedTerms"/>
      </w:pPr>
      <w:r>
        <w:t>Treasurer</w:t>
      </w:r>
      <w:r>
        <w:tab/>
        <w:t>3</w:t>
      </w:r>
    </w:p>
    <w:p>
      <w:pPr>
        <w:pStyle w:val="DefinedTerms"/>
      </w:pPr>
      <w:r>
        <w:t>Treasurer’s instructions</w:t>
      </w:r>
      <w:r>
        <w:tab/>
        <w:t>3</w:t>
      </w:r>
    </w:p>
    <w:p>
      <w:pPr>
        <w:pStyle w:val="DefinedTerms"/>
      </w:pPr>
      <w:r>
        <w:t>Treasury</w:t>
      </w:r>
      <w:r>
        <w:tab/>
        <w:t>3</w:t>
      </w:r>
    </w:p>
    <w:p>
      <w:pPr>
        <w:pStyle w:val="DefinedTerms"/>
      </w:pPr>
      <w:r>
        <w:t>Treasury Corporation official</w:t>
      </w:r>
      <w:r>
        <w:tab/>
        <w:t>73</w:t>
      </w:r>
    </w:p>
    <w:p>
      <w:pPr>
        <w:pStyle w:val="DefinedTerms"/>
      </w:pPr>
      <w:r>
        <w:t>Under Treasurer</w:t>
      </w:r>
      <w:r>
        <w:tab/>
        <w:t>3</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Jul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Jul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zyIndenta"/>
        <w:rPr>
          <w:rFonts w:ascii="Arial" w:hAnsi="Arial"/>
          <w:sz w:val="16"/>
        </w:rPr>
      </w:pPr>
      <w:r>
        <w:separator/>
      </w:r>
    </w:p>
  </w:footnote>
  <w:footnote w:type="continuationSeparator" w:id="0">
    <w:p>
      <w:pPr>
        <w:pStyle w:val="zyIndenta"/>
        <w:rPr>
          <w:rFonts w:ascii="Arial" w:hAnsi="Arial"/>
          <w:sz w:val="16"/>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40" w:name="Schedule"/>
    <w:bookmarkEnd w:id="14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45" w:name="Compilation"/>
    <w:bookmarkEnd w:id="14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8" w:name="DefinedTerms"/>
    <w:bookmarkEnd w:id="14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9" w:name="Coversheet"/>
    <w:bookmarkEnd w:id="14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88DE3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F208EC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52CD7F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43EEE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EC62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5660C7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9F8072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28E50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4C4955E"/>
    <w:lvl w:ilvl="0">
      <w:start w:val="1"/>
      <w:numFmt w:val="decimal"/>
      <w:pStyle w:val="ListNumber"/>
      <w:lvlText w:val="%1."/>
      <w:lvlJc w:val="left"/>
      <w:pPr>
        <w:tabs>
          <w:tab w:val="num" w:pos="360"/>
        </w:tabs>
        <w:ind w:left="360" w:hanging="360"/>
      </w:pPr>
    </w:lvl>
  </w:abstractNum>
  <w:abstractNum w:abstractNumId="9">
    <w:nsid w:val="FFFFFF89"/>
    <w:multiLevelType w:val="singleLevel"/>
    <w:tmpl w:val="B1C217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7EE984C"/>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9"/>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505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719105022"/>
    <w:docVar w:name="WAFER_20131219141713" w:val="RemoveTocBookmarks,RunningHeaders"/>
    <w:docVar w:name="WAFER_20131219141713_GUID" w:val="f1bc2a39-7862-4e9d-83ff-1fd9559f5fd4"/>
    <w:docVar w:name="WAFER_20140113115216" w:val="RemoveTocBookmarks,RemoveUnusedBookmarks,RemoveLanguageTags,UsedStyles,ResetPageSize,UpdateArrangement"/>
    <w:docVar w:name="WAFER_20140113115216_GUID" w:val="5b0930f8-0e04-4af9-a862-a142a7183cf6"/>
    <w:docVar w:name="WAFER_20140113133909" w:val="RemoveTocBookmarks,RunningHeaders"/>
    <w:docVar w:name="WAFER_20140113133909_GUID" w:val="9d083ffb-f723-4880-8668-b8e55163816b"/>
    <w:docVar w:name="WAFER_20140129152801" w:val="RemoveTocBookmarks,RemoveUnusedBookmarks,RemoveLanguageTags,UsedStyles,ResetPageSize,UpdateArrangement"/>
    <w:docVar w:name="WAFER_20140129152801_GUID" w:val="7e898f37-e3a5-476b-a1ae-3f3675960994"/>
    <w:docVar w:name="WAFER_20140130104507" w:val="RemoveTocBookmarks,RunningHeaders"/>
    <w:docVar w:name="WAFER_20140130104507_GUID" w:val="302b1250-3a97-44e9-8f8d-dacff5a0586f"/>
    <w:docVar w:name="WAFER_20140325121558" w:val="RemoveTocBookmarks,RemoveUnusedBookmarks,RemoveLanguageTags,UsedStyles,ResetPageSize,RemoveCustomizations"/>
    <w:docVar w:name="WAFER_20140325121558_GUID" w:val="2615783a-16f8-4d22-ae02-5b934f344e79"/>
    <w:docVar w:name="WAFER_20140325121613" w:val="RemoveTocBookmarks,RemoveUnusedBookmarks,RemoveLanguageTags,UsedStyles,RemoveTrackChanges"/>
    <w:docVar w:name="WAFER_20140325121613_GUID" w:val="f422d7bf-ccdf-4d8c-aadc-537189d7ca54"/>
    <w:docVar w:name="WAFER_20140325121628" w:val="RemoveTocBookmarks,RemoveLanguageTags,RemoveTrackChanges,RunningHeaders"/>
    <w:docVar w:name="WAFER_20140325121628_GUID" w:val="ba9ac51d-4d91-4c51-b2ae-54375e1127ad"/>
    <w:docVar w:name="WAFER_20140325121643" w:val="RemoveTocBookmarks,RemoveLanguageTags,RemoveTrackChanges,RunningHeaders"/>
    <w:docVar w:name="WAFER_20140325121643_GUID" w:val="bdb5f55e-2d7e-417d-bef2-a15894f083c0"/>
    <w:docVar w:name="WAFER_20141110170903" w:val="RemoveTocBookmarks,RunningHeaders"/>
    <w:docVar w:name="WAFER_20141110170903_GUID" w:val="8f56286b-5808-45f2-bddd-21eaa48be72c"/>
    <w:docVar w:name="WAFER_20150303103405" w:val="ResetPageSize,UpdateArrangement,UpdateNTable"/>
    <w:docVar w:name="WAFER_20150303103405_GUID" w:val="c81bdc60-5fae-496e-845b-0a5fd1c4399d"/>
    <w:docVar w:name="WAFER_20150303103416" w:val="ResetPageSize,UpdateArrangement,UpdateNTable"/>
    <w:docVar w:name="WAFER_20150303103416_GUID" w:val="d315392b-9900-40f6-b189-a7ca67a8bf5b"/>
    <w:docVar w:name="WAFER_20150311100017" w:val="ResetPageSize,UpdateArrangement,UpdateNTable"/>
    <w:docVar w:name="WAFER_20150311100017_GUID" w:val="8238ddf7-a6f8-416a-a10d-5a3d4de5343f"/>
    <w:docVar w:name="WAFER_20151105095029" w:val="UsedStyles"/>
    <w:docVar w:name="WAFER_20151105095029_GUID" w:val="08fa2000-498e-4a22-a7af-508a0a326c54"/>
    <w:docVar w:name="WAFER_20170704152855" w:val="RemoveTocBookmarks,RemoveUnusedBookmarks,RemoveLanguageTags,UsedStyles,ResetPageSize,RemoveCustomizations"/>
    <w:docVar w:name="WAFER_20170704152855_GUID" w:val="08e5ec30-7048-42b4-809b-fca7badd9f9c"/>
    <w:docVar w:name="WAFER_20190625155718" w:val="RemoveTocBookmarks,RemoveUnusedBookmarks,RemoveLanguageTags,ResetPageSize,RunningHeaders,UpdateStyles,UsedStyles"/>
    <w:docVar w:name="WAFER_20190625155718_GUID" w:val="7a2df9f8-7ded-465f-a796-01a5e1bb887e"/>
    <w:docVar w:name="WAFER_20190719105022" w:val="RemoveTocBookmarks,RemoveUnusedBookmarks,RemoveLanguageTags,ResetPageSize,RunningHeaders,UpdateStyles,UsedStyles"/>
    <w:docVar w:name="WAFER_20190719105022_GUID" w:val="c6d0731b-36c4-407f-bf62-a8c5d3c908a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450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8D9DAA-15B5-4DF3-9FF3-B8B577DA44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79</Pages>
  <Words>17370</Words>
  <Characters>86333</Characters>
  <Application>Microsoft Office Word</Application>
  <DocSecurity>0</DocSecurity>
  <Lines>2539</Lines>
  <Paragraphs>1481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102222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2006 - 04-d0-00</dc:title>
  <dc:subject/>
  <dc:creator/>
  <cp:keywords/>
  <dc:description/>
  <cp:lastModifiedBy>svcMRProcess</cp:lastModifiedBy>
  <cp:revision>4</cp:revision>
  <cp:lastPrinted>2018-12-05T04:02:00Z</cp:lastPrinted>
  <dcterms:created xsi:type="dcterms:W3CDTF">2020-02-15T11:13:00Z</dcterms:created>
  <dcterms:modified xsi:type="dcterms:W3CDTF">2020-02-15T11:13:00Z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OwlsUID">
    <vt:i4>146606</vt:i4>
  </property>
  <property fmtid="{D5CDD505-2E9C-101B-9397-08002B2CF9AE}" pid="4" name="ThisVersion">
    <vt:lpwstr>01-j0-00</vt:lpwstr>
  </property>
  <property fmtid="{D5CDD505-2E9C-101B-9397-08002B2CF9AE}" pid="5" name="DocumentType">
    <vt:lpwstr>Act</vt:lpwstr>
  </property>
  <property fmtid="{D5CDD505-2E9C-101B-9397-08002B2CF9AE}" pid="6" name="ReprintedAsAt">
    <vt:filetime>2017-10-05T16:00:00Z</vt:filetime>
  </property>
  <property fmtid="{D5CDD505-2E9C-101B-9397-08002B2CF9AE}" pid="7" name="ReprintNo">
    <vt:lpwstr>4</vt:lpwstr>
  </property>
  <property fmtid="{D5CDD505-2E9C-101B-9397-08002B2CF9AE}" pid="8" name="AsAtDate">
    <vt:lpwstr>24 Jul 2019</vt:lpwstr>
  </property>
  <property fmtid="{D5CDD505-2E9C-101B-9397-08002B2CF9AE}" pid="9" name="Suffix">
    <vt:lpwstr>04-d0-00</vt:lpwstr>
  </property>
  <property fmtid="{D5CDD505-2E9C-101B-9397-08002B2CF9AE}" pid="10" name="CommencementDate">
    <vt:lpwstr>20190724</vt:lpwstr>
  </property>
</Properties>
</file>