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_Toc10711768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_Toc10711769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_Toc10711770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_Toc10711771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_Toc10711772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_Toc10711773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_Toc10711774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_Toc10711775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_Toc10711777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_Toc10711778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_Toc10711779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_Toc10711780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_Toc10711781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_Toc10711782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_Toc10711785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_Toc10711786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_Toc10711787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_Toc10711789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_Toc10711790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_Toc10711791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_Toc10711792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_Toc10711793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_Toc10711795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_Toc10711796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_Toc10711797 \h </w:instrText>
      </w:r>
      <w:r>
        <w:fldChar w:fldCharType="separate"/>
      </w:r>
      <w:r>
        <w:t>24</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_Toc10711798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_Toc10711800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_Toc10711801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_Toc10711802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_Toc10711803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_Toc10711804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_Toc10711805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_Toc10711806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_Toc10711807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_Toc10711809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_Toc10711810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_Toc10711811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_Toc10711813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_Toc10711814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_Toc10711815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_Toc10711816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_Toc10711817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_Toc10711818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_Toc10711819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_Toc10711820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_Toc10711821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_Toc10711824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_Toc10711826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_Toc10711827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_Toc10711829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_Toc10711830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_Toc10711831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_Toc10711833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_Toc10711834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_Toc10711836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_Toc10711838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_Toc10711839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_Toc10711841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_Toc10711843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_Toc10711844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_Toc10711845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_Toc10711846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_Toc10711847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_Toc10711848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_Toc10711849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_Toc10711850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_Toc10711851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_Toc10711852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_Toc10711853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_Toc10711854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_Toc10711855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_Toc10711857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_Toc10711858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_Toc10711859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_Toc10711860 \h </w:instrText>
      </w:r>
      <w:r>
        <w:fldChar w:fldCharType="separate"/>
      </w:r>
      <w:r>
        <w:t>67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_Toc10711861 \h </w:instrText>
      </w:r>
      <w:r>
        <w:fldChar w:fldCharType="separate"/>
      </w:r>
      <w:r>
        <w:t>69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_Toc10711862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_Toc10711863 \h </w:instrText>
      </w:r>
      <w:r>
        <w:fldChar w:fldCharType="separate"/>
      </w:r>
      <w:r>
        <w:t>73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_Toc10711864 \h </w:instrText>
      </w:r>
      <w:r>
        <w:fldChar w:fldCharType="separate"/>
      </w:r>
      <w:r>
        <w:t>73</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_Toc10711865 \h </w:instrText>
      </w:r>
      <w:r>
        <w:fldChar w:fldCharType="separate"/>
      </w:r>
      <w:r>
        <w:t>74</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_Toc10711866 \h </w:instrText>
      </w:r>
      <w:r>
        <w:fldChar w:fldCharType="separate"/>
      </w:r>
      <w:r>
        <w:t>74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_Toc10711867 \h </w:instrText>
      </w:r>
      <w:r>
        <w:fldChar w:fldCharType="separate"/>
      </w:r>
      <w:r>
        <w:t>75</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_Toc10711868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_Toc10711869 \h </w:instrText>
      </w:r>
      <w:r>
        <w:fldChar w:fldCharType="separate"/>
      </w:r>
      <w:r>
        <w:t>76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_Toc10711870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_Toc10711871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_Toc10711872 \h </w:instrText>
      </w:r>
      <w:r>
        <w:fldChar w:fldCharType="separate"/>
      </w:r>
      <w:r>
        <w:t>78</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_Toc10711873 \h </w:instrText>
      </w:r>
      <w:r>
        <w:fldChar w:fldCharType="separate"/>
      </w:r>
      <w:r>
        <w:t>79</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_Toc10711874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_Toc10711877 \h </w:instrText>
      </w:r>
      <w:r>
        <w:fldChar w:fldCharType="separate"/>
      </w:r>
      <w:r>
        <w:t>81</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_Toc10711878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_Toc10711880 \h </w:instrText>
      </w:r>
      <w:r>
        <w:fldChar w:fldCharType="separate"/>
      </w:r>
      <w:r>
        <w:t>82</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_Toc10711881 \h </w:instrText>
      </w:r>
      <w:r>
        <w:fldChar w:fldCharType="separate"/>
      </w:r>
      <w:r>
        <w:t>82</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_Toc10711882 \h </w:instrText>
      </w:r>
      <w:r>
        <w:fldChar w:fldCharType="separate"/>
      </w:r>
      <w:r>
        <w:t>82</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_Toc10711883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_Toc10711899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_Toc10711901 \h </w:instrText>
      </w:r>
      <w:r>
        <w:fldChar w:fldCharType="separate"/>
      </w:r>
      <w:r>
        <w:t>143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_Toc10711902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10711767"/>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1071176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 w:name="_Toc1071176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 w:name="_Toc10711770"/>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7" w:name="_Toc10711771"/>
      <w:r>
        <w:rPr>
          <w:rStyle w:val="CharSectno"/>
        </w:rPr>
        <w:t>3A</w:t>
      </w:r>
      <w:r>
        <w:rPr>
          <w:snapToGrid w:val="0"/>
        </w:rPr>
        <w:t xml:space="preserve">. </w:t>
      </w:r>
      <w:r>
        <w:rPr>
          <w:snapToGrid w:val="0"/>
        </w:rPr>
        <w:tab/>
        <w:t>Approved analysts and botanists</w:t>
      </w:r>
      <w:bookmarkEnd w:id="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8" w:name="_Toc10711772"/>
      <w:r>
        <w:rPr>
          <w:rStyle w:val="CharSectno"/>
        </w:rPr>
        <w:t>3B</w:t>
      </w:r>
      <w:r>
        <w:t>.</w:t>
      </w:r>
      <w:r>
        <w:tab/>
        <w:t>Specified drugs</w:t>
      </w:r>
      <w:bookmarkEnd w:id="8"/>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9" w:name="_Toc10711773"/>
      <w:r>
        <w:rPr>
          <w:rStyle w:val="CharSectno"/>
        </w:rPr>
        <w:t>4</w:t>
      </w:r>
      <w:r>
        <w:rPr>
          <w:snapToGrid w:val="0"/>
        </w:rPr>
        <w:t>.</w:t>
      </w:r>
      <w:r>
        <w:rPr>
          <w:snapToGrid w:val="0"/>
        </w:rPr>
        <w:tab/>
        <w:t>Drugs and plants to which Act applies</w:t>
      </w:r>
      <w:bookmarkEnd w:id="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10" w:name="_Toc10711774"/>
      <w:r>
        <w:rPr>
          <w:rStyle w:val="CharSectno"/>
        </w:rPr>
        <w:t>5A</w:t>
      </w:r>
      <w:r>
        <w:t>.</w:t>
      </w:r>
      <w:r>
        <w:tab/>
        <w:t>Authority required for some investigations</w:t>
      </w:r>
      <w:bookmarkEnd w:id="10"/>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1" w:name="_Toc10711775"/>
      <w:r>
        <w:rPr>
          <w:rStyle w:val="CharSectno"/>
        </w:rPr>
        <w:t>5B</w:t>
      </w:r>
      <w:r>
        <w:t>.</w:t>
      </w:r>
      <w:r>
        <w:tab/>
        <w:t xml:space="preserve">Authorisation under </w:t>
      </w:r>
      <w:r>
        <w:rPr>
          <w:i/>
        </w:rPr>
        <w:t>Medicines and Poisons Act 2014</w:t>
      </w:r>
      <w:bookmarkEnd w:id="11"/>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2"/>
      </w:pPr>
      <w:bookmarkStart w:id="12" w:name="_Toc10711776"/>
      <w:r>
        <w:rPr>
          <w:rStyle w:val="CharPartNo"/>
        </w:rPr>
        <w:t>Part II</w:t>
      </w:r>
      <w:r>
        <w:rPr>
          <w:rStyle w:val="CharDivNo"/>
        </w:rPr>
        <w:t> </w:t>
      </w:r>
      <w:r>
        <w:t>—</w:t>
      </w:r>
      <w:r>
        <w:rPr>
          <w:rStyle w:val="CharDivText"/>
        </w:rPr>
        <w:t> </w:t>
      </w:r>
      <w:r>
        <w:rPr>
          <w:rStyle w:val="CharPartText"/>
        </w:rPr>
        <w:t>Offences relating to prohibited drugs and prohibited plants</w:t>
      </w:r>
      <w:bookmarkEnd w:id="12"/>
    </w:p>
    <w:p>
      <w:pPr>
        <w:pStyle w:val="Heading5"/>
        <w:rPr>
          <w:snapToGrid w:val="0"/>
        </w:rPr>
      </w:pPr>
      <w:bookmarkStart w:id="13" w:name="_Toc10711777"/>
      <w:r>
        <w:rPr>
          <w:rStyle w:val="CharSectno"/>
        </w:rPr>
        <w:t>5</w:t>
      </w:r>
      <w:r>
        <w:rPr>
          <w:snapToGrid w:val="0"/>
        </w:rPr>
        <w:t>.</w:t>
      </w:r>
      <w:r>
        <w:rPr>
          <w:snapToGrid w:val="0"/>
        </w:rPr>
        <w:tab/>
        <w:t>Offences concerned with prohibited drugs and prohibited plants in relation to premises and utensils</w:t>
      </w:r>
      <w:bookmarkEnd w:id="1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No. 52 of 2003 s. 28; No. 44 of 2010 s. 4; No. 56 of 2011 s. 5; No. 13 of 2014 s. 170.]</w:t>
      </w:r>
    </w:p>
    <w:p>
      <w:pPr>
        <w:pStyle w:val="Heading5"/>
      </w:pPr>
      <w:bookmarkStart w:id="14" w:name="_Toc10711778"/>
      <w:r>
        <w:rPr>
          <w:rStyle w:val="CharSectno"/>
        </w:rPr>
        <w:t>6</w:t>
      </w:r>
      <w:r>
        <w:t>.</w:t>
      </w:r>
      <w:r>
        <w:tab/>
        <w:t>Offences concerned with prohibited drugs generally</w:t>
      </w:r>
      <w:bookmarkEnd w:id="14"/>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r>
        <w:tab/>
        <w:t>[Section 6 inserted: No. 13 of 2014 s. 171.]</w:t>
      </w:r>
    </w:p>
    <w:p>
      <w:pPr>
        <w:pStyle w:val="Heading5"/>
        <w:rPr>
          <w:snapToGrid w:val="0"/>
        </w:rPr>
      </w:pPr>
      <w:bookmarkStart w:id="15" w:name="_Toc10711779"/>
      <w:r>
        <w:rPr>
          <w:rStyle w:val="CharSectno"/>
        </w:rPr>
        <w:t>7</w:t>
      </w:r>
      <w:r>
        <w:rPr>
          <w:snapToGrid w:val="0"/>
        </w:rPr>
        <w:t>.</w:t>
      </w:r>
      <w:r>
        <w:rPr>
          <w:snapToGrid w:val="0"/>
        </w:rPr>
        <w:tab/>
        <w:t>Offences concerned with prohibited plants generally</w:t>
      </w:r>
      <w:bookmarkEnd w:id="15"/>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w:t>
      </w:r>
    </w:p>
    <w:p>
      <w:pPr>
        <w:pStyle w:val="Heading5"/>
        <w:rPr>
          <w:snapToGrid w:val="0"/>
        </w:rPr>
      </w:pPr>
      <w:bookmarkStart w:id="16" w:name="_Toc10711780"/>
      <w:r>
        <w:rPr>
          <w:rStyle w:val="CharSectno"/>
        </w:rPr>
        <w:t>7A</w:t>
      </w:r>
      <w:r>
        <w:rPr>
          <w:snapToGrid w:val="0"/>
        </w:rPr>
        <w:t>.</w:t>
      </w:r>
      <w:r>
        <w:rPr>
          <w:snapToGrid w:val="0"/>
        </w:rPr>
        <w:tab/>
        <w:t>Selling or supplying a thing knowing it will be used in hydroponic cultivation of prohibited plants</w:t>
      </w:r>
      <w:bookmarkEnd w:id="1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17" w:name="_Toc10711781"/>
      <w:r>
        <w:rPr>
          <w:rStyle w:val="CharSectno"/>
        </w:rPr>
        <w:t>7B</w:t>
      </w:r>
      <w:r>
        <w:t>.</w:t>
      </w:r>
      <w:r>
        <w:tab/>
        <w:t>Drug paraphernalia, offences as to</w:t>
      </w:r>
      <w:bookmarkEnd w:id="17"/>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w:t>
      </w:r>
    </w:p>
    <w:p>
      <w:pPr>
        <w:pStyle w:val="Ednotesection"/>
      </w:pPr>
      <w:r>
        <w:t>[</w:t>
      </w:r>
      <w:r>
        <w:rPr>
          <w:b/>
        </w:rPr>
        <w:t>8.</w:t>
      </w:r>
      <w:r>
        <w:tab/>
        <w:t xml:space="preserve">Deleted: No. 13 of 2014 s. 173.] </w:t>
      </w:r>
    </w:p>
    <w:p>
      <w:pPr>
        <w:pStyle w:val="Heading5"/>
        <w:pageBreakBefore/>
        <w:spacing w:before="0"/>
      </w:pPr>
      <w:bookmarkStart w:id="18" w:name="_Toc10711782"/>
      <w:r>
        <w:rPr>
          <w:rStyle w:val="CharSectno"/>
        </w:rPr>
        <w:t>8A</w:t>
      </w:r>
      <w:r>
        <w:t>.</w:t>
      </w:r>
      <w:r>
        <w:tab/>
        <w:t>Defences relating to industrial hemp or industrial hemp seed</w:t>
      </w:r>
      <w:bookmarkEnd w:id="1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19" w:name="_Toc10711783"/>
      <w:r>
        <w:rPr>
          <w:rStyle w:val="CharPartNo"/>
        </w:rPr>
        <w:t>Part IIIA</w:t>
      </w:r>
      <w:r>
        <w:rPr>
          <w:b w:val="0"/>
        </w:rPr>
        <w:t> </w:t>
      </w:r>
      <w:r>
        <w:t>—</w:t>
      </w:r>
      <w:r>
        <w:rPr>
          <w:b w:val="0"/>
        </w:rPr>
        <w:t> </w:t>
      </w:r>
      <w:r>
        <w:rPr>
          <w:rStyle w:val="CharPartText"/>
        </w:rPr>
        <w:t>Cannabis intervention</w:t>
      </w:r>
      <w:bookmarkEnd w:id="19"/>
    </w:p>
    <w:p>
      <w:pPr>
        <w:pStyle w:val="Footnoteheading"/>
      </w:pPr>
      <w:r>
        <w:tab/>
        <w:t>[Heading inserted: No. 45 of 2010 s. 6.]</w:t>
      </w:r>
    </w:p>
    <w:p>
      <w:pPr>
        <w:pStyle w:val="Heading3"/>
      </w:pPr>
      <w:bookmarkStart w:id="20" w:name="_Toc10711784"/>
      <w:r>
        <w:rPr>
          <w:rStyle w:val="CharDivNo"/>
        </w:rPr>
        <w:t>Division 1</w:t>
      </w:r>
      <w:r>
        <w:t> — </w:t>
      </w:r>
      <w:r>
        <w:rPr>
          <w:rStyle w:val="CharDivText"/>
        </w:rPr>
        <w:t>Preliminary</w:t>
      </w:r>
      <w:bookmarkEnd w:id="20"/>
    </w:p>
    <w:p>
      <w:pPr>
        <w:pStyle w:val="Footnoteheading"/>
      </w:pPr>
      <w:r>
        <w:tab/>
        <w:t>[Heading inserted: No. 45 of 2010 s. 6.]</w:t>
      </w:r>
    </w:p>
    <w:p>
      <w:pPr>
        <w:pStyle w:val="Heading5"/>
      </w:pPr>
      <w:bookmarkStart w:id="21" w:name="_Toc10711785"/>
      <w:r>
        <w:rPr>
          <w:rStyle w:val="CharSectno"/>
        </w:rPr>
        <w:t>8B</w:t>
      </w:r>
      <w:r>
        <w:t>.</w:t>
      </w:r>
      <w:r>
        <w:tab/>
        <w:t>Terms used</w:t>
      </w:r>
      <w:bookmarkEnd w:id="21"/>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22" w:name="_Toc10711786"/>
      <w:r>
        <w:rPr>
          <w:rStyle w:val="CharSectno"/>
        </w:rPr>
        <w:t>8C</w:t>
      </w:r>
      <w:r>
        <w:t>.</w:t>
      </w:r>
      <w:r>
        <w:tab/>
        <w:t xml:space="preserve">Operation of </w:t>
      </w:r>
      <w:r>
        <w:rPr>
          <w:i/>
          <w:iCs/>
        </w:rPr>
        <w:t>Young Offenders Act 1994</w:t>
      </w:r>
      <w:r>
        <w:t xml:space="preserve"> unaffected</w:t>
      </w:r>
      <w:bookmarkEnd w:id="22"/>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23" w:name="_Toc10711787"/>
      <w:r>
        <w:rPr>
          <w:rStyle w:val="CharSectno"/>
        </w:rPr>
        <w:t>8D</w:t>
      </w:r>
      <w:r>
        <w:t>.</w:t>
      </w:r>
      <w:r>
        <w:tab/>
        <w:t>Appointment of authorised persons</w:t>
      </w:r>
      <w:bookmarkEnd w:id="2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24" w:name="_Toc10711788"/>
      <w:r>
        <w:rPr>
          <w:rStyle w:val="CharDivNo"/>
        </w:rPr>
        <w:t>Division 2</w:t>
      </w:r>
      <w:r>
        <w:t> — </w:t>
      </w:r>
      <w:r>
        <w:rPr>
          <w:rStyle w:val="CharDivText"/>
        </w:rPr>
        <w:t>Cannabis intervention requirements</w:t>
      </w:r>
      <w:bookmarkEnd w:id="24"/>
    </w:p>
    <w:p>
      <w:pPr>
        <w:pStyle w:val="Footnoteheading"/>
      </w:pPr>
      <w:r>
        <w:tab/>
        <w:t>[Heading inserted: No. 45 of 2010 s. 6.]</w:t>
      </w:r>
    </w:p>
    <w:p>
      <w:pPr>
        <w:pStyle w:val="Heading5"/>
      </w:pPr>
      <w:bookmarkStart w:id="25" w:name="_Toc10711789"/>
      <w:r>
        <w:rPr>
          <w:rStyle w:val="CharSectno"/>
        </w:rPr>
        <w:t>8E</w:t>
      </w:r>
      <w:r>
        <w:t>.</w:t>
      </w:r>
      <w:r>
        <w:tab/>
        <w:t>CIR may be given for minor cannabis related offence</w:t>
      </w:r>
      <w:bookmarkEnd w:id="2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26" w:name="_Toc10711790"/>
      <w:r>
        <w:rPr>
          <w:rStyle w:val="CharSectno"/>
        </w:rPr>
        <w:t>8F</w:t>
      </w:r>
      <w:r>
        <w:t>.</w:t>
      </w:r>
      <w:r>
        <w:tab/>
        <w:t>Cannabis intervention requirement</w:t>
      </w:r>
      <w:bookmarkEnd w:id="26"/>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27" w:name="_Toc10711791"/>
      <w:r>
        <w:rPr>
          <w:rStyle w:val="CharSectno"/>
        </w:rPr>
        <w:t>8G</w:t>
      </w:r>
      <w:r>
        <w:t>.</w:t>
      </w:r>
      <w:r>
        <w:tab/>
        <w:t>Young persons — special requirements about CIRs</w:t>
      </w:r>
      <w:bookmarkEnd w:id="27"/>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28" w:name="_Toc10711792"/>
      <w:r>
        <w:rPr>
          <w:rStyle w:val="CharSectno"/>
        </w:rPr>
        <w:t>8H</w:t>
      </w:r>
      <w:r>
        <w:t>.</w:t>
      </w:r>
      <w:r>
        <w:tab/>
        <w:t>Referral of young persons at risk to juvenile justice teams</w:t>
      </w:r>
      <w:bookmarkEnd w:id="2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29" w:name="_Toc10711793"/>
      <w:r>
        <w:rPr>
          <w:rStyle w:val="CharSectno"/>
        </w:rPr>
        <w:t>8I</w:t>
      </w:r>
      <w:r>
        <w:t>.</w:t>
      </w:r>
      <w:r>
        <w:tab/>
        <w:t>Withdrawal of CIR</w:t>
      </w:r>
      <w:bookmarkEnd w:id="29"/>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30" w:name="_Toc10711794"/>
      <w:r>
        <w:rPr>
          <w:rStyle w:val="CharDivNo"/>
        </w:rPr>
        <w:t>Division 3</w:t>
      </w:r>
      <w:r>
        <w:t> — </w:t>
      </w:r>
      <w:r>
        <w:rPr>
          <w:rStyle w:val="CharDivText"/>
        </w:rPr>
        <w:t>Cannabis intervention sessions</w:t>
      </w:r>
      <w:bookmarkEnd w:id="30"/>
    </w:p>
    <w:p>
      <w:pPr>
        <w:pStyle w:val="Footnoteheading"/>
        <w:keepNext/>
        <w:keepLines/>
      </w:pPr>
      <w:r>
        <w:tab/>
        <w:t>[Heading inserted: No. 45 of 2010 s. 6.]</w:t>
      </w:r>
    </w:p>
    <w:p>
      <w:pPr>
        <w:pStyle w:val="Heading5"/>
        <w:spacing w:before="180"/>
      </w:pPr>
      <w:bookmarkStart w:id="31" w:name="_Toc10711795"/>
      <w:r>
        <w:rPr>
          <w:rStyle w:val="CharSectno"/>
        </w:rPr>
        <w:t>8J</w:t>
      </w:r>
      <w:r>
        <w:t>.</w:t>
      </w:r>
      <w:r>
        <w:tab/>
        <w:t>Cannabis intervention session</w:t>
      </w:r>
      <w:bookmarkEnd w:id="31"/>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32" w:name="_Toc10711796"/>
      <w:r>
        <w:rPr>
          <w:rStyle w:val="CharSectno"/>
        </w:rPr>
        <w:t>8K</w:t>
      </w:r>
      <w:r>
        <w:t>.</w:t>
      </w:r>
      <w:r>
        <w:tab/>
        <w:t>Benefit of completing CIS</w:t>
      </w:r>
      <w:bookmarkEnd w:id="3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33" w:name="_Toc10711797"/>
      <w:r>
        <w:rPr>
          <w:rStyle w:val="CharSectno"/>
        </w:rPr>
        <w:t>8L</w:t>
      </w:r>
      <w:r>
        <w:t>.</w:t>
      </w:r>
      <w:r>
        <w:tab/>
        <w:t>Extension of time to complete CIS</w:t>
      </w:r>
      <w:bookmarkEnd w:id="3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34" w:name="_Toc10711798"/>
      <w:r>
        <w:rPr>
          <w:rStyle w:val="CharSectno"/>
        </w:rPr>
        <w:t>8M</w:t>
      </w:r>
      <w:r>
        <w:t>.</w:t>
      </w:r>
      <w:r>
        <w:tab/>
        <w:t>Certificate of completion of CIS</w:t>
      </w:r>
      <w:bookmarkEnd w:id="3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35" w:name="_Toc10711799"/>
      <w:r>
        <w:rPr>
          <w:rStyle w:val="CharPartNo"/>
        </w:rPr>
        <w:t>Part IIIB</w:t>
      </w:r>
      <w:r>
        <w:rPr>
          <w:rStyle w:val="CharDivNo"/>
        </w:rPr>
        <w:t> </w:t>
      </w:r>
      <w:r>
        <w:t>—</w:t>
      </w:r>
      <w:r>
        <w:rPr>
          <w:rStyle w:val="CharDivText"/>
        </w:rPr>
        <w:t> </w:t>
      </w:r>
      <w:r>
        <w:rPr>
          <w:rStyle w:val="CharPartText"/>
        </w:rPr>
        <w:t>Psychoactive substances</w:t>
      </w:r>
      <w:bookmarkEnd w:id="35"/>
    </w:p>
    <w:p>
      <w:pPr>
        <w:pStyle w:val="Footnoteheading"/>
      </w:pPr>
      <w:r>
        <w:tab/>
        <w:t>[Heading inserted: No. 29 of 2015 s. 4.]</w:t>
      </w:r>
    </w:p>
    <w:p>
      <w:pPr>
        <w:pStyle w:val="Heading5"/>
      </w:pPr>
      <w:bookmarkStart w:id="36" w:name="_Toc10711800"/>
      <w:r>
        <w:rPr>
          <w:rStyle w:val="CharSectno"/>
        </w:rPr>
        <w:t>8N</w:t>
      </w:r>
      <w:r>
        <w:t>.</w:t>
      </w:r>
      <w:r>
        <w:tab/>
        <w:t>Terms used</w:t>
      </w:r>
      <w:bookmarkEnd w:id="36"/>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37" w:name="_Toc10711801"/>
      <w:r>
        <w:rPr>
          <w:rStyle w:val="CharSectno"/>
        </w:rPr>
        <w:t>8O</w:t>
      </w:r>
      <w:r>
        <w:t>.</w:t>
      </w:r>
      <w:r>
        <w:tab/>
        <w:t>Application of this Part to particular substances</w:t>
      </w:r>
      <w:bookmarkEnd w:id="37"/>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2</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38" w:name="_Toc10711802"/>
      <w:r>
        <w:rPr>
          <w:rStyle w:val="CharSectno"/>
        </w:rPr>
        <w:t>8P</w:t>
      </w:r>
      <w:r>
        <w:t>.</w:t>
      </w:r>
      <w:r>
        <w:tab/>
        <w:t>Effect of representing substance as psychoactive substance</w:t>
      </w:r>
      <w:bookmarkEnd w:id="38"/>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39" w:name="_Toc10711803"/>
      <w:r>
        <w:rPr>
          <w:rStyle w:val="CharSectno"/>
        </w:rPr>
        <w:t>8Q</w:t>
      </w:r>
      <w:r>
        <w:t>.</w:t>
      </w:r>
      <w:r>
        <w:tab/>
        <w:t>Manufacture, sale or supply of psychoactive substances</w:t>
      </w:r>
      <w:bookmarkEnd w:id="39"/>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40" w:name="_Toc10711804"/>
      <w:r>
        <w:rPr>
          <w:rStyle w:val="CharSectno"/>
        </w:rPr>
        <w:t>8R</w:t>
      </w:r>
      <w:r>
        <w:t>.</w:t>
      </w:r>
      <w:r>
        <w:tab/>
        <w:t>Promoting psychoactive substances</w:t>
      </w:r>
      <w:bookmarkEnd w:id="40"/>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41" w:name="_Toc10711805"/>
      <w:r>
        <w:rPr>
          <w:rStyle w:val="CharSectno"/>
        </w:rPr>
        <w:t>8S</w:t>
      </w:r>
      <w:r>
        <w:t>.</w:t>
      </w:r>
      <w:r>
        <w:tab/>
        <w:t>Powers of police officers for purposes of this Part</w:t>
      </w:r>
      <w:bookmarkEnd w:id="41"/>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42" w:name="_Toc10711806"/>
      <w:r>
        <w:rPr>
          <w:rStyle w:val="CharSectno"/>
        </w:rPr>
        <w:t>8T</w:t>
      </w:r>
      <w:r>
        <w:t>.</w:t>
      </w:r>
      <w:r>
        <w:tab/>
        <w:t>Powers to seize and dispose of thing suspected of being psychoactive substance</w:t>
      </w:r>
      <w:bookmarkEnd w:id="42"/>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43" w:name="_Toc10711807"/>
      <w:r>
        <w:rPr>
          <w:rStyle w:val="CharSectno"/>
        </w:rPr>
        <w:t>8U</w:t>
      </w:r>
      <w:r>
        <w:t>.</w:t>
      </w:r>
      <w:r>
        <w:tab/>
        <w:t>Analysis of seized thing may be requested</w:t>
      </w:r>
      <w:bookmarkEnd w:id="43"/>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44" w:name="_Toc10711808"/>
      <w:r>
        <w:rPr>
          <w:rStyle w:val="CharPartNo"/>
        </w:rPr>
        <w:t>Part III</w:t>
      </w:r>
      <w:r>
        <w:rPr>
          <w:rStyle w:val="CharDivNo"/>
        </w:rPr>
        <w:t> </w:t>
      </w:r>
      <w:r>
        <w:t>—</w:t>
      </w:r>
      <w:r>
        <w:rPr>
          <w:rStyle w:val="CharDivText"/>
        </w:rPr>
        <w:t> </w:t>
      </w:r>
      <w:r>
        <w:rPr>
          <w:rStyle w:val="CharPartText"/>
        </w:rPr>
        <w:t>Procedure</w:t>
      </w:r>
      <w:bookmarkEnd w:id="44"/>
    </w:p>
    <w:p>
      <w:pPr>
        <w:pStyle w:val="Heading5"/>
        <w:spacing w:before="180"/>
      </w:pPr>
      <w:bookmarkStart w:id="45" w:name="_Toc10711809"/>
      <w:r>
        <w:rPr>
          <w:rStyle w:val="CharSectno"/>
        </w:rPr>
        <w:t>9</w:t>
      </w:r>
      <w:r>
        <w:t>.</w:t>
      </w:r>
      <w:r>
        <w:tab/>
        <w:t>Summary trial of some indictable offences</w:t>
      </w:r>
      <w:bookmarkEnd w:id="4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46" w:name="_Toc10711810"/>
      <w:r>
        <w:rPr>
          <w:rStyle w:val="CharSectno"/>
        </w:rPr>
        <w:t>10</w:t>
      </w:r>
      <w:r>
        <w:t>.</w:t>
      </w:r>
      <w:r>
        <w:tab/>
        <w:t>Alternative verdicts</w:t>
      </w:r>
      <w:bookmarkEnd w:id="4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47" w:name="_Toc10711811"/>
      <w:r>
        <w:rPr>
          <w:rStyle w:val="CharSectno"/>
        </w:rPr>
        <w:t>11</w:t>
      </w:r>
      <w:r>
        <w:rPr>
          <w:snapToGrid w:val="0"/>
        </w:rPr>
        <w:t>.</w:t>
      </w:r>
      <w:r>
        <w:rPr>
          <w:snapToGrid w:val="0"/>
        </w:rPr>
        <w:tab/>
        <w:t>Presumption of intent to sell or supply</w:t>
      </w:r>
      <w:bookmarkEnd w:id="4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8" w:name="_Toc10711812"/>
      <w:r>
        <w:rPr>
          <w:rStyle w:val="CharPartNo"/>
        </w:rPr>
        <w:t>Part IV</w:t>
      </w:r>
      <w:r>
        <w:rPr>
          <w:b w:val="0"/>
        </w:rPr>
        <w:t> </w:t>
      </w:r>
      <w:r>
        <w:t>—</w:t>
      </w:r>
      <w:r>
        <w:rPr>
          <w:b w:val="0"/>
        </w:rPr>
        <w:t> </w:t>
      </w:r>
      <w:r>
        <w:rPr>
          <w:rStyle w:val="CharPartText"/>
        </w:rPr>
        <w:t>Controls relating to possession, sale, supply and storage of certain substances and things</w:t>
      </w:r>
      <w:bookmarkEnd w:id="48"/>
    </w:p>
    <w:p>
      <w:pPr>
        <w:pStyle w:val="Footnoteheading"/>
      </w:pPr>
      <w:r>
        <w:tab/>
        <w:t>[Heading inserted: No. 62 of 2004 s. 5.]</w:t>
      </w:r>
    </w:p>
    <w:p>
      <w:pPr>
        <w:pStyle w:val="Heading5"/>
      </w:pPr>
      <w:bookmarkStart w:id="49" w:name="_Toc10711813"/>
      <w:r>
        <w:rPr>
          <w:rStyle w:val="CharSectno"/>
        </w:rPr>
        <w:t>12</w:t>
      </w:r>
      <w:r>
        <w:t>.</w:t>
      </w:r>
      <w:r>
        <w:tab/>
        <w:t>Terms used</w:t>
      </w:r>
      <w:bookmarkEnd w:id="4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50" w:name="_Toc10711814"/>
      <w:r>
        <w:rPr>
          <w:rStyle w:val="CharSectno"/>
        </w:rPr>
        <w:t>13</w:t>
      </w:r>
      <w:r>
        <w:t>.</w:t>
      </w:r>
      <w:r>
        <w:tab/>
        <w:t>Part not applicable to possession, sale or supply of certain substances or things</w:t>
      </w:r>
      <w:bookmarkEnd w:id="50"/>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51" w:name="_Toc10711815"/>
      <w:r>
        <w:rPr>
          <w:rStyle w:val="CharSectno"/>
        </w:rPr>
        <w:t>14</w:t>
      </w:r>
      <w:r>
        <w:t>.</w:t>
      </w:r>
      <w:r>
        <w:tab/>
        <w:t>Possession of certain substances or things</w:t>
      </w:r>
      <w:bookmarkEnd w:id="5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52" w:name="_Toc1071181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53" w:name="_Toc10711817"/>
      <w:r>
        <w:rPr>
          <w:rStyle w:val="CharSectno"/>
        </w:rPr>
        <w:t>16</w:t>
      </w:r>
      <w:r>
        <w:t>.</w:t>
      </w:r>
      <w:r>
        <w:tab/>
        <w:t>Storage of category 1 items</w:t>
      </w:r>
      <w:bookmarkEnd w:id="53"/>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54" w:name="_Toc1071181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55" w:name="_Toc10711819"/>
      <w:r>
        <w:rPr>
          <w:rStyle w:val="CharSectno"/>
        </w:rPr>
        <w:t>18</w:t>
      </w:r>
      <w:r>
        <w:t>.</w:t>
      </w:r>
      <w:r>
        <w:tab/>
        <w:t>Offences relating to declarations under s. 15(1)(c) or 17(1)(b)</w:t>
      </w:r>
      <w:bookmarkEnd w:id="5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56" w:name="_Toc10711820"/>
      <w:r>
        <w:rPr>
          <w:rStyle w:val="CharSectno"/>
        </w:rPr>
        <w:t>19</w:t>
      </w:r>
      <w:r>
        <w:t>.</w:t>
      </w:r>
      <w:r>
        <w:tab/>
        <w:t>Powers of police officers for purposes of this Part</w:t>
      </w:r>
      <w:bookmarkEnd w:id="56"/>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57" w:name="_Toc10711821"/>
      <w:r>
        <w:rPr>
          <w:rStyle w:val="CharSectno"/>
        </w:rPr>
        <w:t>20</w:t>
      </w:r>
      <w:r>
        <w:t>.</w:t>
      </w:r>
      <w:r>
        <w:tab/>
        <w:t>Regulations as to category 1 items and category 2 items</w:t>
      </w:r>
      <w:bookmarkEnd w:id="5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58" w:name="_Toc10711822"/>
      <w:r>
        <w:rPr>
          <w:rStyle w:val="CharPartNo"/>
        </w:rPr>
        <w:t>Part 4A</w:t>
      </w:r>
      <w:r>
        <w:t> — </w:t>
      </w:r>
      <w:r>
        <w:rPr>
          <w:rStyle w:val="CharPartText"/>
        </w:rPr>
        <w:t>Targeted searches</w:t>
      </w:r>
      <w:bookmarkEnd w:id="58"/>
    </w:p>
    <w:p>
      <w:pPr>
        <w:pStyle w:val="Footnoteheading"/>
      </w:pPr>
      <w:r>
        <w:tab/>
        <w:t>[Heading inserted: No. 47 of 2016 s. 5.]</w:t>
      </w:r>
    </w:p>
    <w:p>
      <w:pPr>
        <w:pStyle w:val="Heading3"/>
      </w:pPr>
      <w:bookmarkStart w:id="59" w:name="_Toc10711823"/>
      <w:r>
        <w:rPr>
          <w:rStyle w:val="CharDivNo"/>
        </w:rPr>
        <w:t>Division 1</w:t>
      </w:r>
      <w:r>
        <w:t> — </w:t>
      </w:r>
      <w:r>
        <w:rPr>
          <w:rStyle w:val="CharDivText"/>
        </w:rPr>
        <w:t>Preliminary</w:t>
      </w:r>
      <w:bookmarkEnd w:id="59"/>
    </w:p>
    <w:p>
      <w:pPr>
        <w:pStyle w:val="Footnoteheading"/>
      </w:pPr>
      <w:r>
        <w:tab/>
        <w:t>[Heading inserted: No. 47 of 2016 s. 5.]</w:t>
      </w:r>
    </w:p>
    <w:p>
      <w:pPr>
        <w:pStyle w:val="Heading5"/>
      </w:pPr>
      <w:bookmarkStart w:id="60" w:name="_Toc10711824"/>
      <w:r>
        <w:rPr>
          <w:rStyle w:val="CharSectno"/>
        </w:rPr>
        <w:t>20A</w:t>
      </w:r>
      <w:r>
        <w:t>.</w:t>
      </w:r>
      <w:r>
        <w:tab/>
        <w:t>Terms used</w:t>
      </w:r>
      <w:bookmarkEnd w:id="60"/>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61" w:name="_Toc10711825"/>
      <w:r>
        <w:rPr>
          <w:rStyle w:val="CharDivNo"/>
        </w:rPr>
        <w:t>Division 2</w:t>
      </w:r>
      <w:r>
        <w:t> — </w:t>
      </w:r>
      <w:r>
        <w:rPr>
          <w:rStyle w:val="CharDivText"/>
        </w:rPr>
        <w:t>Authorisations</w:t>
      </w:r>
      <w:bookmarkEnd w:id="61"/>
    </w:p>
    <w:p>
      <w:pPr>
        <w:pStyle w:val="Footnoteheading"/>
      </w:pPr>
      <w:r>
        <w:tab/>
        <w:t>[Heading inserted: No. 47 of 2016 s. 5.]</w:t>
      </w:r>
    </w:p>
    <w:p>
      <w:pPr>
        <w:pStyle w:val="Heading5"/>
      </w:pPr>
      <w:bookmarkStart w:id="62" w:name="_Toc10711826"/>
      <w:r>
        <w:rPr>
          <w:rStyle w:val="CharSectno"/>
        </w:rPr>
        <w:t>20B</w:t>
      </w:r>
      <w:r>
        <w:t>.</w:t>
      </w:r>
      <w:r>
        <w:tab/>
        <w:t>Authorisation to exercise powers to search a vehicle or a person</w:t>
      </w:r>
      <w:bookmarkEnd w:id="62"/>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63" w:name="_Toc10711827"/>
      <w:r>
        <w:rPr>
          <w:rStyle w:val="CharSectno"/>
        </w:rPr>
        <w:t>20C</w:t>
      </w:r>
      <w:r>
        <w:t>.</w:t>
      </w:r>
      <w:r>
        <w:tab/>
        <w:t>Authorisation to exercise powers to search premises</w:t>
      </w:r>
      <w:bookmarkEnd w:id="63"/>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64" w:name="_Toc10711828"/>
      <w:r>
        <w:rPr>
          <w:rStyle w:val="CharDivNo"/>
        </w:rPr>
        <w:t>Division 3</w:t>
      </w:r>
      <w:r>
        <w:t> — </w:t>
      </w:r>
      <w:r>
        <w:rPr>
          <w:rStyle w:val="CharDivText"/>
        </w:rPr>
        <w:t>Ancillary provisions in relation to exercising powers</w:t>
      </w:r>
      <w:bookmarkEnd w:id="64"/>
    </w:p>
    <w:p>
      <w:pPr>
        <w:pStyle w:val="Footnoteheading"/>
        <w:keepNext/>
      </w:pPr>
      <w:r>
        <w:tab/>
        <w:t>[Heading inserted: No. 47 of 2016 s. 5.]</w:t>
      </w:r>
    </w:p>
    <w:p>
      <w:pPr>
        <w:pStyle w:val="Heading5"/>
      </w:pPr>
      <w:bookmarkStart w:id="65" w:name="_Toc10711829"/>
      <w:r>
        <w:rPr>
          <w:rStyle w:val="CharSectno"/>
        </w:rPr>
        <w:t>20D</w:t>
      </w:r>
      <w:r>
        <w:t>.</w:t>
      </w:r>
      <w:r>
        <w:tab/>
        <w:t>Other written laws</w:t>
      </w:r>
      <w:bookmarkEnd w:id="65"/>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66" w:name="_Toc10711830"/>
      <w:r>
        <w:rPr>
          <w:rStyle w:val="CharSectno"/>
        </w:rPr>
        <w:t>20E</w:t>
      </w:r>
      <w:r>
        <w:t>.</w:t>
      </w:r>
      <w:r>
        <w:tab/>
        <w:t>Assistance when exercising powers under this Part</w:t>
      </w:r>
      <w:bookmarkEnd w:id="66"/>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67" w:name="_Toc10711831"/>
      <w:r>
        <w:rPr>
          <w:rStyle w:val="CharSectno"/>
        </w:rPr>
        <w:t>20F</w:t>
      </w:r>
      <w:r>
        <w:t>.</w:t>
      </w:r>
      <w:r>
        <w:tab/>
        <w:t>Use of force</w:t>
      </w:r>
      <w:bookmarkEnd w:id="67"/>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68" w:name="_Toc10711832"/>
      <w:r>
        <w:rPr>
          <w:rStyle w:val="CharDivNo"/>
        </w:rPr>
        <w:t>Division 4</w:t>
      </w:r>
      <w:r>
        <w:t> — </w:t>
      </w:r>
      <w:r>
        <w:rPr>
          <w:rStyle w:val="CharDivText"/>
        </w:rPr>
        <w:t>Vehicle searches</w:t>
      </w:r>
      <w:bookmarkEnd w:id="68"/>
    </w:p>
    <w:p>
      <w:pPr>
        <w:pStyle w:val="Footnoteheading"/>
      </w:pPr>
      <w:r>
        <w:tab/>
        <w:t>[Heading inserted: No. 47 of 2016 s. 5.]</w:t>
      </w:r>
    </w:p>
    <w:p>
      <w:pPr>
        <w:pStyle w:val="Heading5"/>
      </w:pPr>
      <w:bookmarkStart w:id="69" w:name="_Toc10711833"/>
      <w:r>
        <w:rPr>
          <w:rStyle w:val="CharSectno"/>
        </w:rPr>
        <w:t>20G</w:t>
      </w:r>
      <w:r>
        <w:t>.</w:t>
      </w:r>
      <w:r>
        <w:tab/>
        <w:t>Powers of police officers in relation to searching vehicle in drug detection area</w:t>
      </w:r>
      <w:bookmarkEnd w:id="69"/>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70" w:name="_Toc10711834"/>
      <w:r>
        <w:rPr>
          <w:rStyle w:val="CharSectno"/>
        </w:rPr>
        <w:t>20H</w:t>
      </w:r>
      <w:r>
        <w:t>.</w:t>
      </w:r>
      <w:r>
        <w:tab/>
        <w:t>Powers of police officers in relation to searching persons in a drug detection area</w:t>
      </w:r>
      <w:bookmarkEnd w:id="70"/>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71" w:name="_Toc10711835"/>
      <w:r>
        <w:rPr>
          <w:rStyle w:val="CharDivNo"/>
        </w:rPr>
        <w:t>Division 5</w:t>
      </w:r>
      <w:r>
        <w:t> — </w:t>
      </w:r>
      <w:r>
        <w:rPr>
          <w:rStyle w:val="CharDivText"/>
        </w:rPr>
        <w:t>Searches of delivery business premises</w:t>
      </w:r>
      <w:bookmarkEnd w:id="71"/>
    </w:p>
    <w:p>
      <w:pPr>
        <w:pStyle w:val="Footnoteheading"/>
      </w:pPr>
      <w:r>
        <w:tab/>
        <w:t>[Heading inserted: No. 47 of 2016 s. 5.]</w:t>
      </w:r>
    </w:p>
    <w:p>
      <w:pPr>
        <w:pStyle w:val="Heading5"/>
      </w:pPr>
      <w:bookmarkStart w:id="72" w:name="_Toc10711836"/>
      <w:r>
        <w:rPr>
          <w:rStyle w:val="CharSectno"/>
        </w:rPr>
        <w:t>20I</w:t>
      </w:r>
      <w:r>
        <w:t>.</w:t>
      </w:r>
      <w:r>
        <w:tab/>
        <w:t>Powers of police officers in relation to premises</w:t>
      </w:r>
      <w:bookmarkEnd w:id="72"/>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73" w:name="_Toc10711837"/>
      <w:r>
        <w:rPr>
          <w:rStyle w:val="CharDivNo"/>
        </w:rPr>
        <w:t>Division 6</w:t>
      </w:r>
      <w:r>
        <w:t> — </w:t>
      </w:r>
      <w:r>
        <w:rPr>
          <w:rStyle w:val="CharDivText"/>
        </w:rPr>
        <w:t>Offences</w:t>
      </w:r>
      <w:bookmarkEnd w:id="73"/>
    </w:p>
    <w:p>
      <w:pPr>
        <w:pStyle w:val="Footnoteheading"/>
      </w:pPr>
      <w:r>
        <w:tab/>
        <w:t>[Heading inserted: No. 47 of 2016 s. 5.]</w:t>
      </w:r>
    </w:p>
    <w:p>
      <w:pPr>
        <w:pStyle w:val="Heading5"/>
      </w:pPr>
      <w:bookmarkStart w:id="74" w:name="_Toc10711838"/>
      <w:r>
        <w:rPr>
          <w:rStyle w:val="CharSectno"/>
        </w:rPr>
        <w:t>20J</w:t>
      </w:r>
      <w:r>
        <w:t>.</w:t>
      </w:r>
      <w:r>
        <w:tab/>
        <w:t>Failure to comply with requirement of police officer</w:t>
      </w:r>
      <w:bookmarkEnd w:id="7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75" w:name="_Toc10711839"/>
      <w:r>
        <w:rPr>
          <w:rStyle w:val="CharSectno"/>
        </w:rPr>
        <w:t>20K</w:t>
      </w:r>
      <w:r>
        <w:t>.</w:t>
      </w:r>
      <w:r>
        <w:tab/>
        <w:t>Application of section 29 to exercise of powers conferred by or under this Part</w:t>
      </w:r>
      <w:bookmarkEnd w:id="75"/>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76" w:name="_Toc10711840"/>
      <w:r>
        <w:rPr>
          <w:rStyle w:val="CharDivNo"/>
        </w:rPr>
        <w:t>Division 7</w:t>
      </w:r>
      <w:r>
        <w:t> — </w:t>
      </w:r>
      <w:r>
        <w:rPr>
          <w:rStyle w:val="CharDivText"/>
        </w:rPr>
        <w:t>Prescribed procedures</w:t>
      </w:r>
      <w:bookmarkEnd w:id="76"/>
    </w:p>
    <w:p>
      <w:pPr>
        <w:pStyle w:val="Footnoteheading"/>
        <w:keepNext/>
      </w:pPr>
      <w:r>
        <w:tab/>
        <w:t>[Heading inserted: No. 47 of 2016 s. 5.]</w:t>
      </w:r>
    </w:p>
    <w:p>
      <w:pPr>
        <w:pStyle w:val="Heading5"/>
      </w:pPr>
      <w:bookmarkStart w:id="77" w:name="_Toc10711841"/>
      <w:r>
        <w:rPr>
          <w:rStyle w:val="CharSectno"/>
        </w:rPr>
        <w:t>20L</w:t>
      </w:r>
      <w:r>
        <w:t>.</w:t>
      </w:r>
      <w:r>
        <w:tab/>
        <w:t>Regulations as to the exercise of powers under this Part</w:t>
      </w:r>
      <w:bookmarkEnd w:id="77"/>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78" w:name="_Toc1071184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78"/>
    </w:p>
    <w:p>
      <w:pPr>
        <w:pStyle w:val="Heading5"/>
        <w:rPr>
          <w:snapToGrid w:val="0"/>
        </w:rPr>
      </w:pPr>
      <w:bookmarkStart w:id="79" w:name="_Toc10711843"/>
      <w:r>
        <w:rPr>
          <w:rStyle w:val="CharSectno"/>
        </w:rPr>
        <w:t>21</w:t>
      </w:r>
      <w:r>
        <w:rPr>
          <w:snapToGrid w:val="0"/>
        </w:rPr>
        <w:t>.</w:t>
      </w:r>
      <w:r>
        <w:rPr>
          <w:snapToGrid w:val="0"/>
        </w:rPr>
        <w:tab/>
        <w:t>Terms used</w:t>
      </w:r>
      <w:bookmarkEnd w:id="7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80" w:name="_Toc1071184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8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81" w:name="_Toc10711845"/>
      <w:r>
        <w:rPr>
          <w:rStyle w:val="CharSectno"/>
        </w:rPr>
        <w:t>23</w:t>
      </w:r>
      <w:r>
        <w:rPr>
          <w:snapToGrid w:val="0"/>
        </w:rPr>
        <w:t>.</w:t>
      </w:r>
      <w:r>
        <w:rPr>
          <w:snapToGrid w:val="0"/>
        </w:rPr>
        <w:tab/>
        <w:t>Powers of police officers when things suspected of being used in commission of offences</w:t>
      </w:r>
      <w:bookmarkEnd w:id="8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82" w:name="_Toc10711846"/>
      <w:r>
        <w:rPr>
          <w:rStyle w:val="CharSectno"/>
        </w:rPr>
        <w:t>24</w:t>
      </w:r>
      <w:r>
        <w:rPr>
          <w:snapToGrid w:val="0"/>
        </w:rPr>
        <w:t>.</w:t>
      </w:r>
      <w:r>
        <w:rPr>
          <w:snapToGrid w:val="0"/>
        </w:rPr>
        <w:tab/>
        <w:t>Granting of search warrants in connection with prevention or detection of offences</w:t>
      </w:r>
      <w:bookmarkEnd w:id="8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83" w:name="_Toc10711847"/>
      <w:r>
        <w:rPr>
          <w:rStyle w:val="CharSectno"/>
        </w:rPr>
        <w:t>25</w:t>
      </w:r>
      <w:r>
        <w:rPr>
          <w:snapToGrid w:val="0"/>
        </w:rPr>
        <w:t>.</w:t>
      </w:r>
      <w:r>
        <w:rPr>
          <w:snapToGrid w:val="0"/>
        </w:rPr>
        <w:tab/>
        <w:t>Powers ancillary to power of search</w:t>
      </w:r>
      <w:bookmarkEnd w:id="83"/>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84" w:name="_Toc10711848"/>
      <w:r>
        <w:rPr>
          <w:rStyle w:val="CharSectno"/>
        </w:rPr>
        <w:t>26</w:t>
      </w:r>
      <w:r>
        <w:rPr>
          <w:snapToGrid w:val="0"/>
        </w:rPr>
        <w:t>.</w:t>
      </w:r>
      <w:r>
        <w:rPr>
          <w:snapToGrid w:val="0"/>
        </w:rPr>
        <w:tab/>
        <w:t>Powers of police officers and others when things suspected of being used in commission of offences found, received or acquired</w:t>
      </w:r>
      <w:bookmarkEnd w:id="84"/>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pageBreakBefore/>
        <w:spacing w:before="0"/>
        <w:rPr>
          <w:snapToGrid w:val="0"/>
        </w:rPr>
      </w:pPr>
      <w:bookmarkStart w:id="85" w:name="_Toc10711849"/>
      <w:r>
        <w:rPr>
          <w:rStyle w:val="CharSectno"/>
        </w:rPr>
        <w:t>26A</w:t>
      </w:r>
      <w:r>
        <w:rPr>
          <w:snapToGrid w:val="0"/>
        </w:rPr>
        <w:t>.</w:t>
      </w:r>
      <w:r>
        <w:rPr>
          <w:snapToGrid w:val="0"/>
        </w:rPr>
        <w:tab/>
        <w:t>Powers of approved analyst or approved botanist</w:t>
      </w:r>
      <w:bookmarkEnd w:id="8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86" w:name="_Toc10711850"/>
      <w:r>
        <w:rPr>
          <w:rStyle w:val="CharSectno"/>
        </w:rPr>
        <w:t>27</w:t>
      </w:r>
      <w:r>
        <w:rPr>
          <w:snapToGrid w:val="0"/>
        </w:rPr>
        <w:t>.</w:t>
      </w:r>
      <w:r>
        <w:rPr>
          <w:snapToGrid w:val="0"/>
        </w:rPr>
        <w:tab/>
        <w:t>Disposal of prohibited drugs and prohibited plants</w:t>
      </w:r>
      <w:bookmarkEnd w:id="86"/>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w:t>
      </w:r>
    </w:p>
    <w:p>
      <w:pPr>
        <w:pStyle w:val="Heading5"/>
        <w:rPr>
          <w:snapToGrid w:val="0"/>
        </w:rPr>
      </w:pPr>
      <w:bookmarkStart w:id="87" w:name="_Toc10711851"/>
      <w:r>
        <w:rPr>
          <w:rStyle w:val="CharSectno"/>
        </w:rPr>
        <w:t>27A</w:t>
      </w:r>
      <w:r>
        <w:rPr>
          <w:snapToGrid w:val="0"/>
        </w:rPr>
        <w:t xml:space="preserve">. </w:t>
      </w:r>
      <w:r>
        <w:rPr>
          <w:snapToGrid w:val="0"/>
        </w:rPr>
        <w:tab/>
        <w:t>Analysis at request of accused</w:t>
      </w:r>
      <w:bookmarkEnd w:id="8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88" w:name="_Toc10711852"/>
      <w:r>
        <w:rPr>
          <w:rStyle w:val="CharSectno"/>
        </w:rPr>
        <w:t>27B</w:t>
      </w:r>
      <w:r>
        <w:rPr>
          <w:snapToGrid w:val="0"/>
        </w:rPr>
        <w:t xml:space="preserve">. </w:t>
      </w:r>
      <w:r>
        <w:rPr>
          <w:snapToGrid w:val="0"/>
        </w:rPr>
        <w:tab/>
        <w:t>Confidentiality</w:t>
      </w:r>
      <w:bookmarkEnd w:id="8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pageBreakBefore/>
        <w:spacing w:before="0"/>
      </w:pPr>
      <w:bookmarkStart w:id="89" w:name="_Toc10711853"/>
      <w:r>
        <w:rPr>
          <w:rStyle w:val="CharSectno"/>
        </w:rPr>
        <w:t>28</w:t>
      </w:r>
      <w:r>
        <w:t>.</w:t>
      </w:r>
      <w:r>
        <w:tab/>
        <w:t>Compensation for destroyed seized property</w:t>
      </w:r>
      <w:bookmarkEnd w:id="89"/>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90" w:name="_Toc10711854"/>
      <w:r>
        <w:rPr>
          <w:rStyle w:val="CharSectno"/>
        </w:rPr>
        <w:t>29</w:t>
      </w:r>
      <w:r>
        <w:rPr>
          <w:snapToGrid w:val="0"/>
        </w:rPr>
        <w:t>.</w:t>
      </w:r>
      <w:r>
        <w:rPr>
          <w:snapToGrid w:val="0"/>
        </w:rPr>
        <w:tab/>
        <w:t>Hindering police officers and approved persons in exercise of powers conferred by or under this Part</w:t>
      </w:r>
      <w:bookmarkEnd w:id="9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91" w:name="_Toc10711855"/>
      <w:r>
        <w:rPr>
          <w:rStyle w:val="CharSectno"/>
        </w:rPr>
        <w:t>30</w:t>
      </w:r>
      <w:r>
        <w:rPr>
          <w:snapToGrid w:val="0"/>
        </w:rPr>
        <w:t>.</w:t>
      </w:r>
      <w:r>
        <w:rPr>
          <w:snapToGrid w:val="0"/>
        </w:rPr>
        <w:tab/>
        <w:t>Approved persons</w:t>
      </w:r>
      <w:bookmarkEnd w:id="91"/>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92" w:name="_Toc10711856"/>
      <w:r>
        <w:rPr>
          <w:rStyle w:val="CharPartNo"/>
        </w:rPr>
        <w:t>Part VI</w:t>
      </w:r>
      <w:r>
        <w:rPr>
          <w:rStyle w:val="CharDivNo"/>
        </w:rPr>
        <w:t> </w:t>
      </w:r>
      <w:r>
        <w:t>—</w:t>
      </w:r>
      <w:r>
        <w:rPr>
          <w:rStyle w:val="CharDivText"/>
        </w:rPr>
        <w:t> </w:t>
      </w:r>
      <w:r>
        <w:rPr>
          <w:rStyle w:val="CharPartText"/>
        </w:rPr>
        <w:t>General</w:t>
      </w:r>
      <w:bookmarkEnd w:id="92"/>
    </w:p>
    <w:p>
      <w:pPr>
        <w:pStyle w:val="Heading5"/>
      </w:pPr>
      <w:bookmarkStart w:id="93" w:name="_Toc10711857"/>
      <w:r>
        <w:rPr>
          <w:rStyle w:val="CharSectno"/>
        </w:rPr>
        <w:t>31</w:t>
      </w:r>
      <w:r>
        <w:t>.</w:t>
      </w:r>
      <w:r>
        <w:tab/>
        <w:t>Undercover officers</w:t>
      </w:r>
      <w:bookmarkEnd w:id="9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94" w:name="_Toc10711858"/>
      <w:r>
        <w:rPr>
          <w:rStyle w:val="CharSectno"/>
        </w:rPr>
        <w:t>32</w:t>
      </w:r>
      <w:r>
        <w:rPr>
          <w:snapToGrid w:val="0"/>
        </w:rPr>
        <w:t>.</w:t>
      </w:r>
      <w:r>
        <w:rPr>
          <w:snapToGrid w:val="0"/>
        </w:rPr>
        <w:tab/>
        <w:t>No limitation</w:t>
      </w:r>
      <w:bookmarkEnd w:id="9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95" w:name="_Toc10711859"/>
      <w:r>
        <w:rPr>
          <w:rStyle w:val="CharSectno"/>
        </w:rPr>
        <w:t>32A</w:t>
      </w:r>
      <w:r>
        <w:rPr>
          <w:snapToGrid w:val="0"/>
        </w:rPr>
        <w:t xml:space="preserve">. </w:t>
      </w:r>
      <w:r>
        <w:rPr>
          <w:snapToGrid w:val="0"/>
        </w:rPr>
        <w:tab/>
        <w:t>Drug trafficking</w:t>
      </w:r>
      <w:bookmarkEnd w:id="95"/>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96" w:name="_Toc10711860"/>
      <w:r>
        <w:rPr>
          <w:rStyle w:val="CharSectno"/>
        </w:rPr>
        <w:t>33</w:t>
      </w:r>
      <w:r>
        <w:rPr>
          <w:snapToGrid w:val="0"/>
        </w:rPr>
        <w:t>.</w:t>
      </w:r>
      <w:r>
        <w:rPr>
          <w:snapToGrid w:val="0"/>
        </w:rPr>
        <w:tab/>
        <w:t>Attempts, conspiracies, incitements and accessories after the fact</w:t>
      </w:r>
      <w:bookmarkEnd w:id="96"/>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97" w:name="_Toc10711861"/>
      <w:r>
        <w:rPr>
          <w:rStyle w:val="CharSectno"/>
        </w:rPr>
        <w:t>34</w:t>
      </w:r>
      <w:r>
        <w:rPr>
          <w:snapToGrid w:val="0"/>
        </w:rPr>
        <w:t>.</w:t>
      </w:r>
      <w:r>
        <w:rPr>
          <w:snapToGrid w:val="0"/>
        </w:rPr>
        <w:tab/>
        <w:t>Penalties</w:t>
      </w:r>
      <w:bookmarkEnd w:id="97"/>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pageBreakBefore/>
        <w:spacing w:before="0"/>
        <w:rPr>
          <w:snapToGrid w:val="0"/>
        </w:rPr>
      </w:pPr>
      <w:bookmarkStart w:id="98" w:name="_Toc10711862"/>
      <w:r>
        <w:rPr>
          <w:rStyle w:val="CharSectno"/>
        </w:rPr>
        <w:t>35</w:t>
      </w:r>
      <w:r>
        <w:rPr>
          <w:snapToGrid w:val="0"/>
        </w:rPr>
        <w:t>.</w:t>
      </w:r>
      <w:r>
        <w:rPr>
          <w:snapToGrid w:val="0"/>
        </w:rPr>
        <w:tab/>
        <w:t>Criminal liability of company officers</w:t>
      </w:r>
      <w:bookmarkEnd w:id="9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No. 92 of 1994 s. 26.] </w:t>
      </w:r>
    </w:p>
    <w:p>
      <w:pPr>
        <w:pStyle w:val="Heading5"/>
        <w:rPr>
          <w:snapToGrid w:val="0"/>
        </w:rPr>
      </w:pPr>
      <w:bookmarkStart w:id="99" w:name="_Toc10711863"/>
      <w:r>
        <w:rPr>
          <w:rStyle w:val="CharSectno"/>
        </w:rPr>
        <w:t>37</w:t>
      </w:r>
      <w:r>
        <w:rPr>
          <w:snapToGrid w:val="0"/>
        </w:rPr>
        <w:t>.</w:t>
      </w:r>
      <w:r>
        <w:rPr>
          <w:snapToGrid w:val="0"/>
        </w:rPr>
        <w:tab/>
        <w:t>Proof of exceptions</w:t>
      </w:r>
      <w:bookmarkEnd w:id="99"/>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00" w:name="_Toc10711864"/>
      <w:r>
        <w:rPr>
          <w:rStyle w:val="CharSectno"/>
        </w:rPr>
        <w:t>38</w:t>
      </w:r>
      <w:r>
        <w:rPr>
          <w:snapToGrid w:val="0"/>
        </w:rPr>
        <w:t>.</w:t>
      </w:r>
      <w:r>
        <w:rPr>
          <w:snapToGrid w:val="0"/>
        </w:rPr>
        <w:tab/>
        <w:t>Certificate of approved analyst or approved botanist</w:t>
      </w:r>
      <w:bookmarkEnd w:id="100"/>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101" w:name="_Toc10711865"/>
      <w:r>
        <w:rPr>
          <w:rStyle w:val="CharSectno"/>
        </w:rPr>
        <w:t>38A</w:t>
      </w:r>
      <w:r>
        <w:rPr>
          <w:snapToGrid w:val="0"/>
        </w:rPr>
        <w:t xml:space="preserve">. </w:t>
      </w:r>
      <w:r>
        <w:rPr>
          <w:snapToGrid w:val="0"/>
        </w:rPr>
        <w:tab/>
        <w:t>Accused may obtain copy of certificate</w:t>
      </w:r>
      <w:bookmarkEnd w:id="10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102" w:name="_Toc10711866"/>
      <w:r>
        <w:rPr>
          <w:rStyle w:val="CharSectno"/>
        </w:rPr>
        <w:t>38B</w:t>
      </w:r>
      <w:r>
        <w:rPr>
          <w:snapToGrid w:val="0"/>
        </w:rPr>
        <w:t xml:space="preserve">. </w:t>
      </w:r>
      <w:r>
        <w:rPr>
          <w:snapToGrid w:val="0"/>
        </w:rPr>
        <w:tab/>
        <w:t>Accused may object to use of certificate</w:t>
      </w:r>
      <w:bookmarkEnd w:id="10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103" w:name="_Toc10711867"/>
      <w:r>
        <w:rPr>
          <w:rStyle w:val="CharSectno"/>
        </w:rPr>
        <w:t>38C</w:t>
      </w:r>
      <w:r>
        <w:rPr>
          <w:snapToGrid w:val="0"/>
        </w:rPr>
        <w:t xml:space="preserve">. </w:t>
      </w:r>
      <w:r>
        <w:rPr>
          <w:snapToGrid w:val="0"/>
        </w:rPr>
        <w:tab/>
        <w:t>Order for costs of approved analyst or approved botanist</w:t>
      </w:r>
      <w:bookmarkEnd w:id="10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104" w:name="_Toc10711868"/>
      <w:r>
        <w:rPr>
          <w:rStyle w:val="CharSectno"/>
        </w:rPr>
        <w:t>38D</w:t>
      </w:r>
      <w:r>
        <w:rPr>
          <w:snapToGrid w:val="0"/>
        </w:rPr>
        <w:t xml:space="preserve">. </w:t>
      </w:r>
      <w:r>
        <w:rPr>
          <w:snapToGrid w:val="0"/>
        </w:rPr>
        <w:tab/>
        <w:t>Evidence of contents of standard</w:t>
      </w:r>
      <w:bookmarkEnd w:id="10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pageBreakBefore/>
        <w:spacing w:before="0"/>
        <w:rPr>
          <w:snapToGrid w:val="0"/>
        </w:rPr>
      </w:pPr>
      <w:bookmarkStart w:id="105" w:name="_Toc10711869"/>
      <w:r>
        <w:rPr>
          <w:rStyle w:val="CharSectno"/>
        </w:rPr>
        <w:t>39</w:t>
      </w:r>
      <w:r>
        <w:rPr>
          <w:snapToGrid w:val="0"/>
        </w:rPr>
        <w:t>.</w:t>
      </w:r>
      <w:r>
        <w:rPr>
          <w:snapToGrid w:val="0"/>
        </w:rPr>
        <w:tab/>
        <w:t>Delegation by Commissioner</w:t>
      </w:r>
      <w:bookmarkEnd w:id="10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106" w:name="_Toc10711870"/>
      <w:r>
        <w:rPr>
          <w:rStyle w:val="CharSectno"/>
        </w:rPr>
        <w:t>40</w:t>
      </w:r>
      <w:r>
        <w:rPr>
          <w:snapToGrid w:val="0"/>
        </w:rPr>
        <w:t>.</w:t>
      </w:r>
      <w:r>
        <w:rPr>
          <w:snapToGrid w:val="0"/>
        </w:rPr>
        <w:tab/>
        <w:t>Civil liability of persons acting under this Act</w:t>
      </w:r>
      <w:bookmarkEnd w:id="10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07" w:name="_Toc10711871"/>
      <w:r>
        <w:rPr>
          <w:rStyle w:val="CharSectno"/>
        </w:rPr>
        <w:t>41</w:t>
      </w:r>
      <w:r>
        <w:rPr>
          <w:snapToGrid w:val="0"/>
        </w:rPr>
        <w:t>.</w:t>
      </w:r>
      <w:r>
        <w:rPr>
          <w:snapToGrid w:val="0"/>
        </w:rPr>
        <w:tab/>
        <w:t>Regulations</w:t>
      </w:r>
      <w:bookmarkEnd w:id="1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pageBreakBefore/>
        <w:spacing w:before="0"/>
        <w:rPr>
          <w:snapToGrid w:val="0"/>
        </w:rPr>
      </w:pPr>
      <w:bookmarkStart w:id="108" w:name="_Toc10711872"/>
      <w:r>
        <w:rPr>
          <w:rStyle w:val="CharSectno"/>
        </w:rPr>
        <w:t>42</w:t>
      </w:r>
      <w:r>
        <w:rPr>
          <w:snapToGrid w:val="0"/>
        </w:rPr>
        <w:t>.</w:t>
      </w:r>
      <w:r>
        <w:rPr>
          <w:snapToGrid w:val="0"/>
        </w:rPr>
        <w:tab/>
        <w:t>Amendment of certain schedules</w:t>
      </w:r>
      <w:bookmarkEnd w:id="10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109" w:name="_Toc10711873"/>
      <w:r>
        <w:rPr>
          <w:rStyle w:val="CharSectno"/>
        </w:rPr>
        <w:t>42A</w:t>
      </w:r>
      <w:r>
        <w:t>.</w:t>
      </w:r>
      <w:r>
        <w:tab/>
        <w:t>Annual report to Minister on Part 4A</w:t>
      </w:r>
      <w:bookmarkEnd w:id="109"/>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110" w:name="_Toc10711874"/>
      <w:r>
        <w:rPr>
          <w:rStyle w:val="CharSectno"/>
        </w:rPr>
        <w:t>42B</w:t>
      </w:r>
      <w:r>
        <w:t>.</w:t>
      </w:r>
      <w:r>
        <w:tab/>
        <w:t>Review of Part 4A</w:t>
      </w:r>
      <w:bookmarkEnd w:id="11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No. 47 of 2016 s. 8.]</w:t>
      </w:r>
    </w:p>
    <w:p>
      <w:pPr>
        <w:pStyle w:val="Heading2"/>
      </w:pPr>
      <w:bookmarkStart w:id="111" w:name="_Toc10711875"/>
      <w:r>
        <w:rPr>
          <w:rStyle w:val="CharPartNo"/>
        </w:rPr>
        <w:t>Part VII</w:t>
      </w:r>
      <w:r>
        <w:rPr>
          <w:b w:val="0"/>
        </w:rPr>
        <w:t> </w:t>
      </w:r>
      <w:r>
        <w:t>—</w:t>
      </w:r>
      <w:r>
        <w:rPr>
          <w:b w:val="0"/>
        </w:rPr>
        <w:t> </w:t>
      </w:r>
      <w:r>
        <w:rPr>
          <w:rStyle w:val="CharPartText"/>
        </w:rPr>
        <w:t>Transitional provisions</w:t>
      </w:r>
      <w:bookmarkEnd w:id="111"/>
    </w:p>
    <w:p>
      <w:pPr>
        <w:pStyle w:val="Footnoteheading"/>
      </w:pPr>
      <w:r>
        <w:tab/>
        <w:t>[Heading inserted: No. 45 of 2010 s. 8.]</w:t>
      </w:r>
    </w:p>
    <w:p>
      <w:pPr>
        <w:pStyle w:val="Heading3"/>
      </w:pPr>
      <w:bookmarkStart w:id="112" w:name="_Toc10711876"/>
      <w:r>
        <w:rPr>
          <w:rStyle w:val="CharDivNo"/>
        </w:rPr>
        <w:t>Division 1</w:t>
      </w:r>
      <w:r>
        <w:t> — </w:t>
      </w:r>
      <w:r>
        <w:rPr>
          <w:rStyle w:val="CharDivText"/>
        </w:rPr>
        <w:t>Preliminary</w:t>
      </w:r>
      <w:bookmarkEnd w:id="112"/>
    </w:p>
    <w:p>
      <w:pPr>
        <w:pStyle w:val="Footnoteheading"/>
      </w:pPr>
      <w:r>
        <w:tab/>
        <w:t>[Heading inserted: No. 45 of 2010 s. 8.]</w:t>
      </w:r>
    </w:p>
    <w:p>
      <w:pPr>
        <w:pStyle w:val="Heading5"/>
      </w:pPr>
      <w:bookmarkStart w:id="113" w:name="_Toc10711877"/>
      <w:r>
        <w:rPr>
          <w:rStyle w:val="CharSectno"/>
        </w:rPr>
        <w:t>43</w:t>
      </w:r>
      <w:r>
        <w:t>.</w:t>
      </w:r>
      <w:r>
        <w:tab/>
      </w:r>
      <w:r>
        <w:rPr>
          <w:i/>
          <w:iCs/>
        </w:rPr>
        <w:t>Interpretation Act 1984</w:t>
      </w:r>
      <w:r>
        <w:t xml:space="preserve"> not limited</w:t>
      </w:r>
      <w:bookmarkEnd w:id="113"/>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114" w:name="_Toc10711878"/>
      <w:r>
        <w:rPr>
          <w:rStyle w:val="CharSectno"/>
        </w:rPr>
        <w:t>44</w:t>
      </w:r>
      <w:r>
        <w:t>.</w:t>
      </w:r>
      <w:r>
        <w:tab/>
        <w:t>Transitional regulations</w:t>
      </w:r>
      <w:bookmarkEnd w:id="114"/>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115" w:name="_Toc1071187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15"/>
    </w:p>
    <w:p>
      <w:pPr>
        <w:pStyle w:val="Footnoteheading"/>
      </w:pPr>
      <w:r>
        <w:tab/>
        <w:t>[Heading inserted: No. 45 of 2010 s. 8.]</w:t>
      </w:r>
    </w:p>
    <w:p>
      <w:pPr>
        <w:pStyle w:val="Heading5"/>
      </w:pPr>
      <w:bookmarkStart w:id="116" w:name="_Toc10711880"/>
      <w:r>
        <w:rPr>
          <w:rStyle w:val="CharSectno"/>
        </w:rPr>
        <w:t>45</w:t>
      </w:r>
      <w:r>
        <w:t>.</w:t>
      </w:r>
      <w:r>
        <w:tab/>
        <w:t>Terms used</w:t>
      </w:r>
      <w:bookmarkEnd w:id="116"/>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117" w:name="_Toc10711881"/>
      <w:r>
        <w:rPr>
          <w:rStyle w:val="CharSectno"/>
        </w:rPr>
        <w:t>46</w:t>
      </w:r>
      <w:r>
        <w:t>.</w:t>
      </w:r>
      <w:r>
        <w:tab/>
        <w:t>CINs continue in force</w:t>
      </w:r>
      <w:bookmarkEnd w:id="11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118" w:name="_Toc10711882"/>
      <w:r>
        <w:rPr>
          <w:rStyle w:val="CharSectno"/>
        </w:rPr>
        <w:t>47</w:t>
      </w:r>
      <w:r>
        <w:t>.</w:t>
      </w:r>
      <w:r>
        <w:tab/>
        <w:t>Amounts outstanding in 12 months time under a CIN are to be taken to be paid</w:t>
      </w:r>
      <w:bookmarkEnd w:id="11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119" w:name="_Toc10711883"/>
      <w:r>
        <w:rPr>
          <w:rStyle w:val="CharSectno"/>
        </w:rPr>
        <w:t>48</w:t>
      </w:r>
      <w:r>
        <w:t>.</w:t>
      </w:r>
      <w:r>
        <w:tab/>
        <w:t>Transitional provisions (Sch. IX)</w:t>
      </w:r>
      <w:bookmarkEnd w:id="11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3</w:t>
      </w:r>
      <w:r>
        <w:t xml:space="preserve"> inserted as section 43: No. 44 of 2010 s. 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0" w:name="_Toc10711884"/>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20"/>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122" w:name="_Toc10711885"/>
      <w:r>
        <w:rPr>
          <w:rStyle w:val="CharSchNo"/>
        </w:rPr>
        <w:t>Schedule II</w:t>
      </w:r>
      <w:r>
        <w:t> — </w:t>
      </w:r>
      <w:r>
        <w:rPr>
          <w:rStyle w:val="CharSchText"/>
        </w:rPr>
        <w:t>Plants to which this Act applies</w:t>
      </w:r>
      <w:bookmarkEnd w:id="122"/>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23" w:name="_Toc10711886"/>
      <w:r>
        <w:rPr>
          <w:rStyle w:val="CharSchNo"/>
        </w:rPr>
        <w:t>Schedule III</w:t>
      </w:r>
      <w:r>
        <w:t> — </w:t>
      </w:r>
      <w:r>
        <w:rPr>
          <w:rStyle w:val="CharSchText"/>
        </w:rPr>
        <w:t>Amounts of prohibited drugs determining court of trial</w:t>
      </w:r>
      <w:bookmarkEnd w:id="123"/>
    </w:p>
    <w:p>
      <w:pPr>
        <w:pStyle w:val="yShoulderClause"/>
        <w:rPr>
          <w:snapToGrid w:val="0"/>
        </w:rPr>
      </w:pPr>
      <w:r>
        <w:rPr>
          <w:snapToGrid w:val="0"/>
        </w:rPr>
        <w:t>[s. 9]</w:t>
      </w:r>
    </w:p>
    <w:p>
      <w:pPr>
        <w:pStyle w:val="yFootnoteheading"/>
      </w:pPr>
      <w:r>
        <w:tab/>
        <w:t>[Heading amended: No. 19 of 2010 s. 4.]</w:t>
      </w:r>
    </w:p>
    <w:p>
      <w:pPr>
        <w:pStyle w:val="yHeading3"/>
      </w:pPr>
      <w:bookmarkStart w:id="124" w:name="_Toc10711887"/>
      <w:r>
        <w:rPr>
          <w:rStyle w:val="CharSDivNo"/>
        </w:rPr>
        <w:t>Division 1</w:t>
      </w:r>
      <w:r>
        <w:rPr>
          <w:b w:val="0"/>
        </w:rPr>
        <w:t> — </w:t>
      </w:r>
      <w:r>
        <w:rPr>
          <w:rStyle w:val="CharSDivText"/>
        </w:rPr>
        <w:t>General</w:t>
      </w:r>
      <w:bookmarkEnd w:id="124"/>
    </w:p>
    <w:p>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0"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0"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0"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0"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0"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0"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0"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0"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pPr>
              <w:pStyle w:val="yTableNAm"/>
              <w:tabs>
                <w:tab w:val="clear" w:pos="567"/>
                <w:tab w:val="decimal" w:pos="463"/>
              </w:tabs>
            </w:pPr>
            <w:r>
              <w:br/>
              <w:t>4.0</w:t>
            </w:r>
          </w:p>
        </w:tc>
      </w:tr>
      <w:tr>
        <w:trPr>
          <w:cantSplit/>
        </w:trPr>
        <w:tc>
          <w:tcPr>
            <w:tcW w:w="1276" w:type="dxa"/>
          </w:tcPr>
          <w:p>
            <w:pPr>
              <w:pStyle w:val="yTableNAm"/>
            </w:pPr>
            <w:r>
              <w:t>25.</w:t>
            </w:r>
          </w:p>
        </w:tc>
        <w:tc>
          <w:tcPr>
            <w:tcW w:w="4537" w:type="dxa"/>
          </w:tcPr>
          <w:p>
            <w:pPr>
              <w:pStyle w:val="yTableNAm"/>
            </w:pPr>
            <w:r>
              <w:t>CANNABIS</w:t>
            </w:r>
          </w:p>
        </w:tc>
        <w:tc>
          <w:tcPr>
            <w:tcW w:w="1530"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0"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0"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6"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6"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6"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6"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6"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w:t>
            </w:r>
          </w:p>
        </w:tc>
        <w:tc>
          <w:tcPr>
            <w:tcW w:w="4536"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34A.</w:t>
            </w:r>
          </w:p>
        </w:tc>
        <w:tc>
          <w:tcPr>
            <w:tcW w:w="4536"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6"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6"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6"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6"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6"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6"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6"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6"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6"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6"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6"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6"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41.</w:t>
            </w:r>
          </w:p>
        </w:tc>
        <w:tc>
          <w:tcPr>
            <w:tcW w:w="4536"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6"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6"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6"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6"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6"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6"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6"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6"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6"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6"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6"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6"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6"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6"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6"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6"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6"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6"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6"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6"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6"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6"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6"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6"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w:t>
            </w:r>
          </w:p>
        </w:tc>
        <w:tc>
          <w:tcPr>
            <w:tcW w:w="4536"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6"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6"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6"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6"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6"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6"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6"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6"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6"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6"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6"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6"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6"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6"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6"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6"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6"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6"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6"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6"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6"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6"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6"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6"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6"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6"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6"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6"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6"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6"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6"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81A.</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6"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6"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w:t>
            </w:r>
          </w:p>
        </w:tc>
        <w:tc>
          <w:tcPr>
            <w:tcW w:w="4536"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6"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6"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6"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6"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6"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6"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6"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6"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6"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6"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6"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6"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6"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6"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6"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6"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6"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6"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6"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6"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6"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6"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95A.</w:t>
            </w:r>
          </w:p>
        </w:tc>
        <w:tc>
          <w:tcPr>
            <w:tcW w:w="4536"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6"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6"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6"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6"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6"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6"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6"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6"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6"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6"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6"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99.</w:t>
            </w:r>
          </w:p>
        </w:tc>
        <w:tc>
          <w:tcPr>
            <w:tcW w:w="4536"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6"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6"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6"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6"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6"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6"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6"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6"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6"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6"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6"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6"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6"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6"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6"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6"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6"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6"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6"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6"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6"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6"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6"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6"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6"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6"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6"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6"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6"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6"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6"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6"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6"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6"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6"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6"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6"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6"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6"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6"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6"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6"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6"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6"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6"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6"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6"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6"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6"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6"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6"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pPr>
        <w:pStyle w:val="yHeading3"/>
        <w:keepLines/>
        <w:rPr>
          <w:b w:val="0"/>
        </w:rPr>
      </w:pPr>
      <w:bookmarkStart w:id="125" w:name="_Toc10711888"/>
      <w:r>
        <w:rPr>
          <w:rStyle w:val="CharSDivNo"/>
        </w:rPr>
        <w:t>Division 2</w:t>
      </w:r>
      <w:r>
        <w:rPr>
          <w:b w:val="0"/>
        </w:rPr>
        <w:t> — </w:t>
      </w:r>
      <w:r>
        <w:rPr>
          <w:rStyle w:val="CharSDivText"/>
        </w:rPr>
        <w:t>Steroids</w:t>
      </w:r>
      <w:bookmarkEnd w:id="125"/>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single" w:sz="4" w:space="0" w:color="auto"/>
              <w:left w:val="nil"/>
              <w:bottom w:val="nil"/>
              <w:right w:val="nil"/>
            </w:tcBorders>
          </w:tcPr>
          <w:p>
            <w:pPr>
              <w:pStyle w:val="yTableNAm"/>
            </w:pPr>
            <w:r>
              <w:t>1.</w:t>
            </w:r>
          </w:p>
        </w:tc>
        <w:tc>
          <w:tcPr>
            <w:tcW w:w="5103" w:type="dxa"/>
            <w:tcBorders>
              <w:top w:val="single" w:sz="4" w:space="0" w:color="auto"/>
              <w:left w:val="nil"/>
              <w:bottom w:val="nil"/>
              <w:right w:val="nil"/>
            </w:tcBorders>
          </w:tcPr>
          <w:p>
            <w:pPr>
              <w:pStyle w:val="yTableNAm"/>
            </w:pPr>
            <w:r>
              <w:t>ATAMESTANE</w:t>
            </w:r>
          </w:p>
        </w:tc>
        <w:tc>
          <w:tcPr>
            <w:tcW w:w="1134" w:type="dxa"/>
            <w:tcBorders>
              <w:top w:val="single" w:sz="4" w:space="0" w:color="auto"/>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w:t>
      </w:r>
    </w:p>
    <w:p>
      <w:pPr>
        <w:pStyle w:val="yScheduleHeading"/>
      </w:pPr>
      <w:bookmarkStart w:id="126" w:name="_Toc10711889"/>
      <w:r>
        <w:rPr>
          <w:rStyle w:val="CharSchNo"/>
        </w:rPr>
        <w:t>Schedule IV</w:t>
      </w:r>
      <w:r>
        <w:rPr>
          <w:rStyle w:val="CharSDivNo"/>
        </w:rPr>
        <w:t> </w:t>
      </w:r>
      <w:r>
        <w:t>—</w:t>
      </w:r>
      <w:r>
        <w:rPr>
          <w:rStyle w:val="CharSDivText"/>
        </w:rPr>
        <w:t> </w:t>
      </w:r>
      <w:r>
        <w:rPr>
          <w:rStyle w:val="CharSchText"/>
        </w:rPr>
        <w:t>Numbers of prohibited plants determining court of trial</w:t>
      </w:r>
      <w:bookmarkEnd w:id="126"/>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127" w:name="_Toc10711890"/>
      <w:r>
        <w:rPr>
          <w:rStyle w:val="CharSchNo"/>
        </w:rPr>
        <w:t>Schedule V</w:t>
      </w:r>
      <w:r>
        <w:t> — </w:t>
      </w:r>
      <w:r>
        <w:rPr>
          <w:rStyle w:val="CharSchText"/>
        </w:rPr>
        <w:t>Amounts of prohibited drugs giving rise to presumption of intention to sell or supply same</w:t>
      </w:r>
      <w:bookmarkEnd w:id="127"/>
    </w:p>
    <w:p>
      <w:pPr>
        <w:pStyle w:val="yShoulderClause"/>
        <w:rPr>
          <w:snapToGrid w:val="0"/>
        </w:rPr>
      </w:pPr>
      <w:r>
        <w:rPr>
          <w:snapToGrid w:val="0"/>
        </w:rPr>
        <w:t>[s. 11(a)]</w:t>
      </w:r>
    </w:p>
    <w:p>
      <w:pPr>
        <w:pStyle w:val="yFootnoteheading"/>
      </w:pPr>
      <w:r>
        <w:tab/>
        <w:t>[Heading amended: No. 19 of 2010 s. 4.]</w:t>
      </w:r>
    </w:p>
    <w:p>
      <w:pPr>
        <w:pStyle w:val="yHeading3"/>
      </w:pPr>
      <w:bookmarkStart w:id="128" w:name="_Toc10711891"/>
      <w:r>
        <w:rPr>
          <w:rStyle w:val="CharSDivNo"/>
        </w:rPr>
        <w:t>Division 1</w:t>
      </w:r>
      <w:r>
        <w:rPr>
          <w:b w:val="0"/>
        </w:rPr>
        <w:t> — </w:t>
      </w:r>
      <w:r>
        <w:rPr>
          <w:rStyle w:val="CharSDivText"/>
        </w:rPr>
        <w:t>General</w:t>
      </w:r>
      <w:bookmarkEnd w:id="128"/>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82AAA.</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82AAB.</w:t>
            </w:r>
          </w:p>
        </w:tc>
        <w:tc>
          <w:tcPr>
            <w:tcW w:w="4678"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82AAC.</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82AAD.</w:t>
            </w:r>
          </w:p>
        </w:tc>
        <w:tc>
          <w:tcPr>
            <w:tcW w:w="4678"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Next/>
              <w:keepLines/>
            </w:pPr>
            <w:r>
              <w:t>84C.</w:t>
            </w:r>
          </w:p>
        </w:tc>
        <w:tc>
          <w:tcPr>
            <w:tcW w:w="4678" w:type="dxa"/>
          </w:tcPr>
          <w:p>
            <w:pPr>
              <w:pStyle w:val="yTableNAm"/>
              <w:keepNext/>
              <w:keepLines/>
            </w:pPr>
            <w:r>
              <w:t>3, 4</w:t>
            </w:r>
            <w:r>
              <w:noBreakHyphen/>
              <w:t>METHYLENEDIOXYPYROVALERONE (MDPV)</w:t>
            </w:r>
          </w:p>
        </w:tc>
        <w:tc>
          <w:tcPr>
            <w:tcW w:w="1418" w:type="dxa"/>
          </w:tcPr>
          <w:p>
            <w:pPr>
              <w:pStyle w:val="yTableNAm"/>
              <w:keepNext/>
              <w:keepLines/>
              <w:tabs>
                <w:tab w:val="clear" w:pos="567"/>
                <w:tab w:val="decimal" w:pos="463"/>
              </w:tabs>
            </w:pPr>
            <w:r>
              <w:b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144.</w:t>
            </w:r>
          </w:p>
        </w:tc>
        <w:tc>
          <w:tcPr>
            <w:tcW w:w="4678" w:type="dxa"/>
          </w:tcPr>
          <w:p>
            <w:pPr>
              <w:pStyle w:val="yTableNAm"/>
            </w:pPr>
            <w:r>
              <w:t>VINBARBITONE</w:t>
            </w:r>
          </w:p>
        </w:tc>
        <w:tc>
          <w:tcPr>
            <w:tcW w:w="1418" w:type="dxa"/>
          </w:tcPr>
          <w:p>
            <w:pPr>
              <w:pStyle w:val="yTableNAm"/>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pPr>
        <w:pStyle w:val="yHeading3"/>
      </w:pPr>
      <w:bookmarkStart w:id="129" w:name="_Toc10711892"/>
      <w:r>
        <w:rPr>
          <w:rStyle w:val="CharSDivNo"/>
        </w:rPr>
        <w:t>Division 2</w:t>
      </w:r>
      <w:r>
        <w:rPr>
          <w:b w:val="0"/>
        </w:rPr>
        <w:t> — </w:t>
      </w:r>
      <w:r>
        <w:rPr>
          <w:rStyle w:val="CharSDivText"/>
        </w:rPr>
        <w:t>Steroids</w:t>
      </w:r>
      <w:bookmarkEnd w:id="129"/>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trPr>
          <w:tblHeader/>
        </w:trPr>
        <w:tc>
          <w:tcPr>
            <w:tcW w:w="809" w:type="dxa"/>
            <w:gridSpan w:val="2"/>
            <w:tcBorders>
              <w:top w:val="single" w:sz="4" w:space="0" w:color="auto"/>
              <w:left w:val="nil"/>
              <w:bottom w:val="single" w:sz="4" w:space="0" w:color="auto"/>
              <w:right w:val="nil"/>
            </w:tcBorders>
          </w:tcPr>
          <w:p>
            <w:pPr>
              <w:pStyle w:val="yTableNAm"/>
            </w:pPr>
            <w:r>
              <w:rPr>
                <w:i/>
                <w:szCs w:val="22"/>
              </w:rPr>
              <w:t>Item</w:t>
            </w:r>
          </w:p>
        </w:tc>
        <w:tc>
          <w:tcPr>
            <w:tcW w:w="4961" w:type="dxa"/>
            <w:gridSpan w:val="2"/>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w:t>
            </w:r>
          </w:p>
        </w:tc>
        <w:tc>
          <w:tcPr>
            <w:tcW w:w="4986" w:type="dxa"/>
            <w:gridSpan w:val="3"/>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w:t>
            </w:r>
          </w:p>
        </w:tc>
        <w:tc>
          <w:tcPr>
            <w:tcW w:w="4986" w:type="dxa"/>
            <w:gridSpan w:val="3"/>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w:t>
            </w:r>
          </w:p>
        </w:tc>
        <w:tc>
          <w:tcPr>
            <w:tcW w:w="4986" w:type="dxa"/>
            <w:gridSpan w:val="3"/>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w:t>
            </w:r>
          </w:p>
        </w:tc>
        <w:tc>
          <w:tcPr>
            <w:tcW w:w="4986" w:type="dxa"/>
            <w:gridSpan w:val="3"/>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w:t>
            </w:r>
          </w:p>
        </w:tc>
        <w:tc>
          <w:tcPr>
            <w:tcW w:w="4986" w:type="dxa"/>
            <w:gridSpan w:val="3"/>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w:t>
            </w:r>
          </w:p>
        </w:tc>
        <w:tc>
          <w:tcPr>
            <w:tcW w:w="4986" w:type="dxa"/>
            <w:gridSpan w:val="3"/>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7.</w:t>
            </w:r>
          </w:p>
        </w:tc>
        <w:tc>
          <w:tcPr>
            <w:tcW w:w="4986" w:type="dxa"/>
            <w:gridSpan w:val="3"/>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8.</w:t>
            </w:r>
          </w:p>
        </w:tc>
        <w:tc>
          <w:tcPr>
            <w:tcW w:w="4986" w:type="dxa"/>
            <w:gridSpan w:val="3"/>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9.</w:t>
            </w:r>
          </w:p>
        </w:tc>
        <w:tc>
          <w:tcPr>
            <w:tcW w:w="4986" w:type="dxa"/>
            <w:gridSpan w:val="3"/>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10.</w:t>
            </w:r>
          </w:p>
        </w:tc>
        <w:tc>
          <w:tcPr>
            <w:tcW w:w="4986" w:type="dxa"/>
            <w:gridSpan w:val="3"/>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11.</w:t>
            </w:r>
          </w:p>
        </w:tc>
        <w:tc>
          <w:tcPr>
            <w:tcW w:w="4986" w:type="dxa"/>
            <w:gridSpan w:val="3"/>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12.</w:t>
            </w:r>
          </w:p>
        </w:tc>
        <w:tc>
          <w:tcPr>
            <w:tcW w:w="4986" w:type="dxa"/>
            <w:gridSpan w:val="3"/>
          </w:tcPr>
          <w:p>
            <w:pPr>
              <w:pStyle w:val="yTableNAm"/>
            </w:pPr>
            <w:r>
              <w:rPr>
                <w:szCs w:val="22"/>
              </w:rPr>
              <w:t>CHLOROXYMESTERONE (DEHYDROCHLOROMETHYLTESTOSTERONE)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13.</w:t>
            </w:r>
          </w:p>
        </w:tc>
        <w:tc>
          <w:tcPr>
            <w:tcW w:w="4986" w:type="dxa"/>
            <w:gridSpan w:val="3"/>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14.</w:t>
            </w:r>
          </w:p>
        </w:tc>
        <w:tc>
          <w:tcPr>
            <w:tcW w:w="4986" w:type="dxa"/>
            <w:gridSpan w:val="3"/>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15.</w:t>
            </w:r>
          </w:p>
        </w:tc>
        <w:tc>
          <w:tcPr>
            <w:tcW w:w="4986" w:type="dxa"/>
            <w:gridSpan w:val="3"/>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16.</w:t>
            </w:r>
          </w:p>
        </w:tc>
        <w:tc>
          <w:tcPr>
            <w:tcW w:w="4986" w:type="dxa"/>
            <w:gridSpan w:val="3"/>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17.</w:t>
            </w:r>
          </w:p>
        </w:tc>
        <w:tc>
          <w:tcPr>
            <w:tcW w:w="4986" w:type="dxa"/>
            <w:gridSpan w:val="3"/>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18.</w:t>
            </w:r>
          </w:p>
        </w:tc>
        <w:tc>
          <w:tcPr>
            <w:tcW w:w="4986" w:type="dxa"/>
            <w:gridSpan w:val="3"/>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19.</w:t>
            </w:r>
          </w:p>
        </w:tc>
        <w:tc>
          <w:tcPr>
            <w:tcW w:w="4986" w:type="dxa"/>
            <w:gridSpan w:val="3"/>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20.</w:t>
            </w:r>
          </w:p>
        </w:tc>
        <w:tc>
          <w:tcPr>
            <w:tcW w:w="4986" w:type="dxa"/>
            <w:gridSpan w:val="3"/>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21.</w:t>
            </w:r>
          </w:p>
        </w:tc>
        <w:tc>
          <w:tcPr>
            <w:tcW w:w="4986" w:type="dxa"/>
            <w:gridSpan w:val="3"/>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22.</w:t>
            </w:r>
          </w:p>
        </w:tc>
        <w:tc>
          <w:tcPr>
            <w:tcW w:w="4986" w:type="dxa"/>
            <w:gridSpan w:val="3"/>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23.</w:t>
            </w:r>
          </w:p>
        </w:tc>
        <w:tc>
          <w:tcPr>
            <w:tcW w:w="4986" w:type="dxa"/>
            <w:gridSpan w:val="3"/>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24.</w:t>
            </w:r>
          </w:p>
        </w:tc>
        <w:tc>
          <w:tcPr>
            <w:tcW w:w="4986" w:type="dxa"/>
            <w:gridSpan w:val="3"/>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25.</w:t>
            </w:r>
          </w:p>
        </w:tc>
        <w:tc>
          <w:tcPr>
            <w:tcW w:w="4986" w:type="dxa"/>
            <w:gridSpan w:val="3"/>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26.</w:t>
            </w:r>
          </w:p>
        </w:tc>
        <w:tc>
          <w:tcPr>
            <w:tcW w:w="4986" w:type="dxa"/>
            <w:gridSpan w:val="3"/>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27.</w:t>
            </w:r>
          </w:p>
        </w:tc>
        <w:tc>
          <w:tcPr>
            <w:tcW w:w="4986" w:type="dxa"/>
            <w:gridSpan w:val="3"/>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28.</w:t>
            </w:r>
          </w:p>
        </w:tc>
        <w:tc>
          <w:tcPr>
            <w:tcW w:w="4986" w:type="dxa"/>
            <w:gridSpan w:val="3"/>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29.</w:t>
            </w:r>
          </w:p>
        </w:tc>
        <w:tc>
          <w:tcPr>
            <w:tcW w:w="4986" w:type="dxa"/>
            <w:gridSpan w:val="3"/>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30.</w:t>
            </w:r>
          </w:p>
        </w:tc>
        <w:tc>
          <w:tcPr>
            <w:tcW w:w="4986" w:type="dxa"/>
            <w:gridSpan w:val="3"/>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31.</w:t>
            </w:r>
          </w:p>
        </w:tc>
        <w:tc>
          <w:tcPr>
            <w:tcW w:w="4986" w:type="dxa"/>
            <w:gridSpan w:val="3"/>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32.</w:t>
            </w:r>
          </w:p>
        </w:tc>
        <w:tc>
          <w:tcPr>
            <w:tcW w:w="4986" w:type="dxa"/>
            <w:gridSpan w:val="3"/>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33.</w:t>
            </w:r>
          </w:p>
        </w:tc>
        <w:tc>
          <w:tcPr>
            <w:tcW w:w="4986" w:type="dxa"/>
            <w:gridSpan w:val="3"/>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34.</w:t>
            </w:r>
          </w:p>
        </w:tc>
        <w:tc>
          <w:tcPr>
            <w:tcW w:w="4986" w:type="dxa"/>
            <w:gridSpan w:val="3"/>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35.</w:t>
            </w:r>
          </w:p>
        </w:tc>
        <w:tc>
          <w:tcPr>
            <w:tcW w:w="4930"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pPr>
              <w:pStyle w:val="yTableNAm"/>
            </w:pPr>
            <w:r>
              <w:rPr>
                <w:szCs w:val="22"/>
              </w:rPr>
              <w:t>36.</w:t>
            </w:r>
          </w:p>
        </w:tc>
        <w:tc>
          <w:tcPr>
            <w:tcW w:w="4930"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37.</w:t>
            </w:r>
          </w:p>
        </w:tc>
        <w:tc>
          <w:tcPr>
            <w:tcW w:w="4986" w:type="dxa"/>
            <w:gridSpan w:val="3"/>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38.</w:t>
            </w:r>
          </w:p>
        </w:tc>
        <w:tc>
          <w:tcPr>
            <w:tcW w:w="4986" w:type="dxa"/>
            <w:gridSpan w:val="3"/>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39.</w:t>
            </w:r>
          </w:p>
        </w:tc>
        <w:tc>
          <w:tcPr>
            <w:tcW w:w="4986" w:type="dxa"/>
            <w:gridSpan w:val="3"/>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40.</w:t>
            </w:r>
          </w:p>
        </w:tc>
        <w:tc>
          <w:tcPr>
            <w:tcW w:w="4986" w:type="dxa"/>
            <w:gridSpan w:val="3"/>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41.</w:t>
            </w:r>
          </w:p>
        </w:tc>
        <w:tc>
          <w:tcPr>
            <w:tcW w:w="4986" w:type="dxa"/>
            <w:gridSpan w:val="3"/>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42.</w:t>
            </w:r>
          </w:p>
        </w:tc>
        <w:tc>
          <w:tcPr>
            <w:tcW w:w="4986" w:type="dxa"/>
            <w:gridSpan w:val="3"/>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43.</w:t>
            </w:r>
          </w:p>
        </w:tc>
        <w:tc>
          <w:tcPr>
            <w:tcW w:w="4986" w:type="dxa"/>
            <w:gridSpan w:val="3"/>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44.</w:t>
            </w:r>
          </w:p>
        </w:tc>
        <w:tc>
          <w:tcPr>
            <w:tcW w:w="4986" w:type="dxa"/>
            <w:gridSpan w:val="3"/>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45.</w:t>
            </w:r>
          </w:p>
        </w:tc>
        <w:tc>
          <w:tcPr>
            <w:tcW w:w="4986" w:type="dxa"/>
            <w:gridSpan w:val="3"/>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46.</w:t>
            </w:r>
          </w:p>
        </w:tc>
        <w:tc>
          <w:tcPr>
            <w:tcW w:w="4986" w:type="dxa"/>
            <w:gridSpan w:val="3"/>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47.</w:t>
            </w:r>
          </w:p>
        </w:tc>
        <w:tc>
          <w:tcPr>
            <w:tcW w:w="4986" w:type="dxa"/>
            <w:gridSpan w:val="3"/>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48.</w:t>
            </w:r>
          </w:p>
        </w:tc>
        <w:tc>
          <w:tcPr>
            <w:tcW w:w="4986" w:type="dxa"/>
            <w:gridSpan w:val="3"/>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49.</w:t>
            </w:r>
          </w:p>
        </w:tc>
        <w:tc>
          <w:tcPr>
            <w:tcW w:w="4986" w:type="dxa"/>
            <w:gridSpan w:val="3"/>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50.</w:t>
            </w:r>
          </w:p>
        </w:tc>
        <w:tc>
          <w:tcPr>
            <w:tcW w:w="4986" w:type="dxa"/>
            <w:gridSpan w:val="3"/>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51.</w:t>
            </w:r>
          </w:p>
        </w:tc>
        <w:tc>
          <w:tcPr>
            <w:tcW w:w="4986" w:type="dxa"/>
            <w:gridSpan w:val="3"/>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52.</w:t>
            </w:r>
          </w:p>
        </w:tc>
        <w:tc>
          <w:tcPr>
            <w:tcW w:w="4986" w:type="dxa"/>
            <w:gridSpan w:val="3"/>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53.</w:t>
            </w:r>
          </w:p>
        </w:tc>
        <w:tc>
          <w:tcPr>
            <w:tcW w:w="4986" w:type="dxa"/>
            <w:gridSpan w:val="3"/>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54.</w:t>
            </w:r>
          </w:p>
        </w:tc>
        <w:tc>
          <w:tcPr>
            <w:tcW w:w="4986" w:type="dxa"/>
            <w:gridSpan w:val="3"/>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55.</w:t>
            </w:r>
          </w:p>
        </w:tc>
        <w:tc>
          <w:tcPr>
            <w:tcW w:w="4986" w:type="dxa"/>
            <w:gridSpan w:val="3"/>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56.</w:t>
            </w:r>
          </w:p>
        </w:tc>
        <w:tc>
          <w:tcPr>
            <w:tcW w:w="4986" w:type="dxa"/>
            <w:gridSpan w:val="3"/>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57.</w:t>
            </w:r>
          </w:p>
        </w:tc>
        <w:tc>
          <w:tcPr>
            <w:tcW w:w="4986" w:type="dxa"/>
            <w:gridSpan w:val="3"/>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58.</w:t>
            </w:r>
          </w:p>
        </w:tc>
        <w:tc>
          <w:tcPr>
            <w:tcW w:w="4986" w:type="dxa"/>
            <w:gridSpan w:val="3"/>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59.</w:t>
            </w:r>
          </w:p>
        </w:tc>
        <w:tc>
          <w:tcPr>
            <w:tcW w:w="4986" w:type="dxa"/>
            <w:gridSpan w:val="3"/>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60.</w:t>
            </w:r>
          </w:p>
        </w:tc>
        <w:tc>
          <w:tcPr>
            <w:tcW w:w="4986" w:type="dxa"/>
            <w:gridSpan w:val="3"/>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61.</w:t>
            </w:r>
          </w:p>
        </w:tc>
        <w:tc>
          <w:tcPr>
            <w:tcW w:w="4986" w:type="dxa"/>
            <w:gridSpan w:val="3"/>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62.</w:t>
            </w:r>
          </w:p>
        </w:tc>
        <w:tc>
          <w:tcPr>
            <w:tcW w:w="4986" w:type="dxa"/>
            <w:gridSpan w:val="3"/>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pPr>
              <w:pStyle w:val="yTableNAm"/>
            </w:pPr>
            <w:r>
              <w:rPr>
                <w:szCs w:val="22"/>
              </w:rPr>
              <w:t>63.</w:t>
            </w:r>
          </w:p>
        </w:tc>
        <w:tc>
          <w:tcPr>
            <w:tcW w:w="4986" w:type="dxa"/>
            <w:gridSpan w:val="3"/>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pPr>
              <w:pStyle w:val="yTableNAm"/>
            </w:pPr>
            <w:r>
              <w:rPr>
                <w:szCs w:val="22"/>
              </w:rPr>
              <w:t>64.</w:t>
            </w:r>
          </w:p>
        </w:tc>
        <w:tc>
          <w:tcPr>
            <w:tcW w:w="4986" w:type="dxa"/>
            <w:gridSpan w:val="3"/>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w:t>
      </w:r>
    </w:p>
    <w:p>
      <w:pPr>
        <w:pStyle w:val="yScheduleHeading"/>
      </w:pPr>
      <w:bookmarkStart w:id="130" w:name="_Toc1071189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30"/>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131" w:name="_Toc10711894"/>
      <w:r>
        <w:rPr>
          <w:rStyle w:val="CharSchNo"/>
        </w:rPr>
        <w:t>Schedule VII</w:t>
      </w:r>
      <w:r>
        <w:t> — </w:t>
      </w:r>
      <w:r>
        <w:rPr>
          <w:rStyle w:val="CharSchText"/>
          <w:bCs/>
        </w:rPr>
        <w:t>Amounts of prohibited drugs for purposes of drug trafficking</w:t>
      </w:r>
      <w:bookmarkEnd w:id="131"/>
    </w:p>
    <w:p>
      <w:pPr>
        <w:pStyle w:val="yShoulderClause"/>
        <w:rPr>
          <w:snapToGrid w:val="0"/>
        </w:rPr>
      </w:pPr>
      <w:r>
        <w:rPr>
          <w:snapToGrid w:val="0"/>
        </w:rPr>
        <w:t>[s. 32A(1)(b)(i)]</w:t>
      </w:r>
    </w:p>
    <w:p>
      <w:pPr>
        <w:pStyle w:val="yFootnoteheading"/>
      </w:pPr>
      <w:r>
        <w:tab/>
        <w:t>[Heading amended: No. 19 of 2010 s. 4.]</w:t>
      </w:r>
    </w:p>
    <w:p>
      <w:pPr>
        <w:pStyle w:val="yHeading3"/>
      </w:pPr>
      <w:bookmarkStart w:id="132" w:name="_Toc10711895"/>
      <w:r>
        <w:rPr>
          <w:rStyle w:val="CharSDivNo"/>
        </w:rPr>
        <w:t>Division 1</w:t>
      </w:r>
      <w:r>
        <w:rPr>
          <w:b w:val="0"/>
        </w:rPr>
        <w:t> — </w:t>
      </w:r>
      <w:r>
        <w:rPr>
          <w:rStyle w:val="CharSDivText"/>
        </w:rPr>
        <w:t>General</w:t>
      </w:r>
      <w:bookmarkEnd w:id="132"/>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trPr>
          <w:cantSplit/>
          <w:tblHeader/>
        </w:trPr>
        <w:tc>
          <w:tcPr>
            <w:tcW w:w="993" w:type="dxa"/>
          </w:tcPr>
          <w:p>
            <w:pPr>
              <w:pStyle w:val="yTableNAm"/>
              <w:rPr>
                <w:i/>
              </w:rPr>
            </w:pPr>
            <w:r>
              <w:rPr>
                <w:i/>
              </w:rPr>
              <w:t>Item</w:t>
            </w:r>
          </w:p>
        </w:tc>
        <w:tc>
          <w:tcPr>
            <w:tcW w:w="5245" w:type="dxa"/>
          </w:tcPr>
          <w:p>
            <w:pPr>
              <w:pStyle w:val="yTableNAm"/>
              <w:jc w:val="center"/>
              <w:rPr>
                <w:i/>
              </w:rPr>
            </w:pPr>
            <w:r>
              <w:rPr>
                <w:i/>
              </w:rPr>
              <w:t>Prohibited drug</w:t>
            </w:r>
          </w:p>
        </w:tc>
        <w:tc>
          <w:tcPr>
            <w:tcW w:w="1183" w:type="dxa"/>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tcPr>
          <w:p>
            <w:pPr>
              <w:pStyle w:val="yTableNAm"/>
            </w:pPr>
            <w:r>
              <w:rPr>
                <w:szCs w:val="22"/>
              </w:rPr>
              <w:t>ACETYL</w:t>
            </w:r>
            <w:r>
              <w:rPr>
                <w:szCs w:val="22"/>
              </w:rPr>
              <w:noBreakHyphen/>
              <w:t>ALPHA</w:t>
            </w:r>
            <w:r>
              <w:rPr>
                <w:szCs w:val="22"/>
              </w:rPr>
              <w:noBreakHyphen/>
              <w:t>METHYLFENTANYL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tcPr>
          <w:p>
            <w:pPr>
              <w:pStyle w:val="yTableNAm"/>
            </w:pPr>
            <w:r>
              <w:t>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tcPr>
          <w:p>
            <w:pPr>
              <w:pStyle w:val="yTableNAm"/>
            </w:pPr>
            <w:r>
              <w:rPr>
                <w:szCs w:val="22"/>
              </w:rPr>
              <w:t>BENZOYLINDOLES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tcPr>
          <w:p>
            <w:pPr>
              <w:pStyle w:val="yTableNAm"/>
            </w:pPr>
            <w:r>
              <w:rPr>
                <w:szCs w:val="22"/>
              </w:rPr>
              <w:t>BENZOYLINDOLES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tcPr>
          <w:p>
            <w:pPr>
              <w:pStyle w:val="yTableNAm"/>
            </w:pPr>
            <w:r>
              <w:t>BENZYLPIPERAZINE (BZP)</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2.</w:t>
            </w:r>
          </w:p>
        </w:tc>
        <w:tc>
          <w:tcPr>
            <w:tcW w:w="5245" w:type="dxa"/>
          </w:tcPr>
          <w:p>
            <w:pPr>
              <w:pStyle w:val="yTableNAm"/>
            </w:pPr>
            <w:r>
              <w:t>CANNABIS</w:t>
            </w:r>
          </w:p>
        </w:tc>
        <w:tc>
          <w:tcPr>
            <w:tcW w:w="1183" w:type="dxa"/>
          </w:tcPr>
          <w:p>
            <w:pPr>
              <w:pStyle w:val="yTableNAm"/>
              <w:tabs>
                <w:tab w:val="clear" w:pos="567"/>
                <w:tab w:val="decimal" w:pos="463"/>
              </w:tabs>
            </w:pPr>
            <w:r>
              <w:t>3.0 kg</w:t>
            </w:r>
          </w:p>
        </w:tc>
      </w:tr>
      <w:tr>
        <w:trPr>
          <w:cantSplit/>
        </w:trPr>
        <w:tc>
          <w:tcPr>
            <w:tcW w:w="993" w:type="dxa"/>
          </w:tcPr>
          <w:p>
            <w:pPr>
              <w:pStyle w:val="yTableNAm"/>
            </w:pPr>
            <w:r>
              <w:t>3.</w:t>
            </w:r>
          </w:p>
        </w:tc>
        <w:tc>
          <w:tcPr>
            <w:tcW w:w="5245" w:type="dxa"/>
          </w:tcPr>
          <w:p>
            <w:pPr>
              <w:pStyle w:val="yTableNAm"/>
            </w:pPr>
            <w:r>
              <w:t>CANNABIS RESIN</w:t>
            </w:r>
          </w:p>
        </w:tc>
        <w:tc>
          <w:tcPr>
            <w:tcW w:w="1183" w:type="dxa"/>
          </w:tcPr>
          <w:p>
            <w:pPr>
              <w:pStyle w:val="yTableNAm"/>
              <w:tabs>
                <w:tab w:val="clear" w:pos="567"/>
                <w:tab w:val="decimal" w:pos="463"/>
              </w:tabs>
            </w:pPr>
            <w:r>
              <w:t>100.0</w:t>
            </w:r>
          </w:p>
        </w:tc>
      </w:tr>
      <w:tr>
        <w:trPr>
          <w:cantSplit/>
        </w:trPr>
        <w:tc>
          <w:tcPr>
            <w:tcW w:w="993" w:type="dxa"/>
          </w:tcPr>
          <w:p>
            <w:pPr>
              <w:pStyle w:val="yTableNAm"/>
            </w:pPr>
            <w:r>
              <w:t>4.</w:t>
            </w:r>
          </w:p>
        </w:tc>
        <w:tc>
          <w:tcPr>
            <w:tcW w:w="5245" w:type="dxa"/>
          </w:tcPr>
          <w:p>
            <w:pPr>
              <w:pStyle w:val="yTableNAm"/>
            </w:pPr>
            <w:r>
              <w:t>COCAINE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tcPr>
          <w:p>
            <w:pPr>
              <w:pStyle w:val="yTableNAm"/>
            </w:pPr>
            <w:r>
              <w:rPr>
                <w:rFonts w:cs="Arial"/>
                <w:szCs w:val="22"/>
              </w:rPr>
              <w:t>CYCLOHEXYLPHENOLS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tcPr>
          <w:p>
            <w:pPr>
              <w:pStyle w:val="yTableNAm"/>
            </w:pPr>
            <w:r>
              <w:rPr>
                <w:rFonts w:cs="Arial"/>
                <w:szCs w:val="22"/>
              </w:rPr>
              <w:t xml:space="preserve">CYCLOHEXYLPHENOLS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tcPr>
          <w:p>
            <w:pPr>
              <w:pStyle w:val="yTableNAm"/>
            </w:pPr>
            <w:r>
              <w:t>DIACETYLMORPHINE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tcPr>
          <w:p>
            <w:pPr>
              <w:pStyle w:val="yTableNAm"/>
            </w:pPr>
            <w:r>
              <w:rPr>
                <w:rFonts w:cs="Arial"/>
                <w:szCs w:val="22"/>
              </w:rPr>
              <w:t>DIBENZOPYRANS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tcPr>
          <w:p>
            <w:pPr>
              <w:pStyle w:val="yTableNAm"/>
            </w:pPr>
            <w:r>
              <w:rPr>
                <w:rFonts w:cs="Arial"/>
                <w:szCs w:val="22"/>
              </w:rPr>
              <w:t xml:space="preserve">DIBENZOPYRANS </w:t>
            </w:r>
            <w:r>
              <w:rPr>
                <w:szCs w:val="22"/>
              </w:rPr>
              <w:t>(in any form except plant material)</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t>5AA.</w:t>
            </w:r>
          </w:p>
        </w:tc>
        <w:tc>
          <w:tcPr>
            <w:tcW w:w="5245" w:type="dxa"/>
          </w:tcPr>
          <w:p>
            <w:pPr>
              <w:pStyle w:val="yTableNAm"/>
            </w:pPr>
            <w:r>
              <w:t>DIMETHYLAMPHETAMINE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tcPr>
          <w:p>
            <w:pPr>
              <w:pStyle w:val="yTableNAm"/>
            </w:pPr>
            <w:r>
              <w:rPr>
                <w:rFonts w:cs="Arial"/>
                <w:szCs w:val="22"/>
              </w:rPr>
              <w:t>DIPHENIDINE</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tcPr>
          <w:p>
            <w:pPr>
              <w:pStyle w:val="yTableNAm"/>
            </w:pPr>
            <w:r>
              <w:t>EPHEDRINE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tcPr>
          <w:p>
            <w:pPr>
              <w:pStyle w:val="yTableNAm"/>
            </w:pPr>
            <w:r>
              <w:rPr>
                <w:szCs w:val="22"/>
              </w:rPr>
              <w:t>FENTANYL</w:t>
            </w:r>
          </w:p>
        </w:tc>
        <w:tc>
          <w:tcPr>
            <w:tcW w:w="1183" w:type="dxa"/>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6BB.</w:t>
            </w:r>
          </w:p>
        </w:tc>
        <w:tc>
          <w:tcPr>
            <w:tcW w:w="5245" w:type="dxa"/>
          </w:tcPr>
          <w:p>
            <w:pPr>
              <w:pStyle w:val="yTableNAm"/>
            </w:pPr>
            <w:r>
              <w:rPr>
                <w:rFonts w:cs="Arial"/>
                <w:szCs w:val="22"/>
              </w:rPr>
              <w:t>GAMMA HYDROXY BUTRATE (4</w:t>
            </w:r>
            <w:r>
              <w:rPr>
                <w:rFonts w:cs="Arial"/>
                <w:szCs w:val="22"/>
              </w:rPr>
              <w:noBreakHyphen/>
              <w:t>HYDROXYBUTANOIC ACID)</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tcPr>
          <w:p>
            <w:pPr>
              <w:pStyle w:val="yTableNAm"/>
            </w:pPr>
            <w:r>
              <w:rPr>
                <w:rFonts w:cs="Arial"/>
                <w:szCs w:val="22"/>
              </w:rPr>
              <w:t>HEROIN</w:t>
            </w:r>
          </w:p>
        </w:tc>
        <w:tc>
          <w:tcPr>
            <w:tcW w:w="1183" w:type="dxa"/>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tcPr>
          <w:p>
            <w:pPr>
              <w:pStyle w:val="yTableNAm"/>
            </w:pPr>
            <w:r>
              <w:t>LYSERGIC ACID DIETHYLAMIDE (LSD)</w:t>
            </w:r>
          </w:p>
        </w:tc>
        <w:tc>
          <w:tcPr>
            <w:tcW w:w="1183" w:type="dxa"/>
          </w:tcPr>
          <w:p>
            <w:pPr>
              <w:pStyle w:val="yTableNAm"/>
              <w:tabs>
                <w:tab w:val="clear" w:pos="567"/>
                <w:tab w:val="decimal" w:pos="463"/>
              </w:tabs>
            </w:pPr>
            <w:r>
              <w:t>0.01</w:t>
            </w:r>
          </w:p>
        </w:tc>
      </w:tr>
      <w:tr>
        <w:trPr>
          <w:cantSplit/>
        </w:trPr>
        <w:tc>
          <w:tcPr>
            <w:tcW w:w="993" w:type="dxa"/>
          </w:tcPr>
          <w:p>
            <w:pPr>
              <w:pStyle w:val="yTableNAm"/>
            </w:pPr>
            <w:r>
              <w:t>7.</w:t>
            </w:r>
          </w:p>
        </w:tc>
        <w:tc>
          <w:tcPr>
            <w:tcW w:w="5245" w:type="dxa"/>
          </w:tcPr>
          <w:p>
            <w:pPr>
              <w:pStyle w:val="yTableNAm"/>
            </w:pPr>
            <w:r>
              <w:t>METHADONE</w:t>
            </w:r>
          </w:p>
        </w:tc>
        <w:tc>
          <w:tcPr>
            <w:tcW w:w="1183" w:type="dxa"/>
          </w:tcPr>
          <w:p>
            <w:pPr>
              <w:pStyle w:val="yTableNAm"/>
              <w:tabs>
                <w:tab w:val="clear" w:pos="567"/>
                <w:tab w:val="decimal" w:pos="463"/>
              </w:tabs>
            </w:pPr>
            <w:r>
              <w:t>5.0</w:t>
            </w:r>
          </w:p>
        </w:tc>
      </w:tr>
      <w:tr>
        <w:trPr>
          <w:cantSplit/>
        </w:trPr>
        <w:tc>
          <w:tcPr>
            <w:tcW w:w="993" w:type="dxa"/>
          </w:tcPr>
          <w:p>
            <w:pPr>
              <w:pStyle w:val="yTableNAm"/>
            </w:pPr>
            <w:r>
              <w:t>8A.</w:t>
            </w:r>
          </w:p>
        </w:tc>
        <w:tc>
          <w:tcPr>
            <w:tcW w:w="5245" w:type="dxa"/>
          </w:tcPr>
          <w:p>
            <w:pPr>
              <w:pStyle w:val="yTableNAm"/>
            </w:pPr>
            <w:r>
              <w:t>METHCATHINONE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tcPr>
          <w:p>
            <w:pPr>
              <w:pStyle w:val="yTableNAm"/>
            </w:pPr>
            <w:r>
              <w:t>METHYLAMPHETAMINE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8AAA.</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8AAB.</w:t>
            </w:r>
          </w:p>
        </w:tc>
        <w:tc>
          <w:tcPr>
            <w:tcW w:w="5245" w:type="dxa"/>
          </w:tcPr>
          <w:p>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8AAC.</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8AAD.</w:t>
            </w:r>
          </w:p>
        </w:tc>
        <w:tc>
          <w:tcPr>
            <w:tcW w:w="5245" w:type="dxa"/>
          </w:tcPr>
          <w:p>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9.</w:t>
            </w:r>
          </w:p>
        </w:tc>
        <w:tc>
          <w:tcPr>
            <w:tcW w:w="5245" w:type="dxa"/>
          </w:tcPr>
          <w:p>
            <w:pPr>
              <w:pStyle w:val="yTableNAm"/>
              <w:ind w:right="-175"/>
            </w:pPr>
            <w:r>
              <w:t>3, 4</w:t>
            </w:r>
            <w:r>
              <w:noBreakHyphen/>
              <w:t>METHYLENEDIOXYAMPHETAMINE (MDA)</w:t>
            </w:r>
          </w:p>
        </w:tc>
        <w:tc>
          <w:tcPr>
            <w:tcW w:w="1183" w:type="dxa"/>
          </w:tcPr>
          <w:p>
            <w:pPr>
              <w:pStyle w:val="yTableNAm"/>
              <w:tabs>
                <w:tab w:val="clear" w:pos="567"/>
                <w:tab w:val="decimal" w:pos="463"/>
              </w:tabs>
            </w:pPr>
            <w:r>
              <w:t>28.0</w:t>
            </w:r>
          </w:p>
        </w:tc>
      </w:tr>
      <w:tr>
        <w:trPr>
          <w:cantSplit/>
        </w:trPr>
        <w:tc>
          <w:tcPr>
            <w:tcW w:w="993" w:type="dxa"/>
          </w:tcPr>
          <w:p>
            <w:pPr>
              <w:pStyle w:val="yTableNAm"/>
            </w:pPr>
            <w:r>
              <w:t>10.</w:t>
            </w:r>
          </w:p>
        </w:tc>
        <w:tc>
          <w:tcPr>
            <w:tcW w:w="5245"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tcPr>
          <w:p>
            <w:pPr>
              <w:pStyle w:val="yTableNAm"/>
            </w:pPr>
            <w:r>
              <w:t>3, 4</w:t>
            </w:r>
            <w:r>
              <w:noBreakHyphen/>
              <w:t>METHYLENEDIOXYPYROVALERONE (MDPV)</w:t>
            </w:r>
          </w:p>
        </w:tc>
        <w:tc>
          <w:tcPr>
            <w:tcW w:w="1183" w:type="dxa"/>
          </w:tcPr>
          <w:p>
            <w:pPr>
              <w:pStyle w:val="yTableNAm"/>
              <w:tabs>
                <w:tab w:val="clear" w:pos="567"/>
                <w:tab w:val="decimal" w:pos="463"/>
              </w:tabs>
            </w:pPr>
            <w:r>
              <w:br/>
              <w:t>28.0</w:t>
            </w:r>
          </w:p>
        </w:tc>
      </w:tr>
      <w:tr>
        <w:trPr>
          <w:cantSplit/>
        </w:trPr>
        <w:tc>
          <w:tcPr>
            <w:tcW w:w="993" w:type="dxa"/>
          </w:tcPr>
          <w:p>
            <w:pPr>
              <w:pStyle w:val="yTableNAm"/>
            </w:pPr>
            <w:r>
              <w:t>11.</w:t>
            </w:r>
          </w:p>
        </w:tc>
        <w:tc>
          <w:tcPr>
            <w:tcW w:w="5245" w:type="dxa"/>
          </w:tcPr>
          <w:p>
            <w:pPr>
              <w:pStyle w:val="yTableNAm"/>
            </w:pPr>
            <w:r>
              <w:t>MORPHINE</w:t>
            </w:r>
          </w:p>
        </w:tc>
        <w:tc>
          <w:tcPr>
            <w:tcW w:w="1183" w:type="dxa"/>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12B.</w:t>
            </w:r>
          </w:p>
        </w:tc>
        <w:tc>
          <w:tcPr>
            <w:tcW w:w="5245" w:type="dxa"/>
          </w:tcPr>
          <w:p>
            <w:pPr>
              <w:pStyle w:val="yTableNAm"/>
              <w:rPr>
                <w:szCs w:val="24"/>
              </w:rPr>
            </w:pPr>
            <w:r>
              <w:rPr>
                <w:rFonts w:cs="Arial"/>
                <w:szCs w:val="22"/>
              </w:rPr>
              <w:t>NAPHTHOYLINDOLES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tcPr>
          <w:p>
            <w:pPr>
              <w:pStyle w:val="yTableNAm"/>
              <w:rPr>
                <w:szCs w:val="24"/>
              </w:rPr>
            </w:pPr>
            <w:r>
              <w:rPr>
                <w:rFonts w:cs="Arial"/>
                <w:szCs w:val="22"/>
              </w:rPr>
              <w:t>NAPHTHOYLINDOLES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tcPr>
          <w:p>
            <w:pPr>
              <w:pStyle w:val="yTableNAm"/>
            </w:pPr>
            <w:r>
              <w:rPr>
                <w:rFonts w:cs="Arial"/>
                <w:szCs w:val="22"/>
              </w:rPr>
              <w:t>NAPHTHYLMETHYLINDOLES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tcPr>
          <w:p>
            <w:pPr>
              <w:pStyle w:val="yTableNAm"/>
            </w:pPr>
            <w:r>
              <w:rPr>
                <w:rFonts w:cs="Arial"/>
                <w:szCs w:val="22"/>
              </w:rPr>
              <w:t>NAPHTHYLMETHYLINDOLES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tcPr>
          <w:p>
            <w:pPr>
              <w:pStyle w:val="yTableNAm"/>
            </w:pPr>
            <w:r>
              <w:rPr>
                <w:rFonts w:cs="Arial"/>
                <w:szCs w:val="22"/>
              </w:rPr>
              <w:t>NAPHTHOYLPYRROLES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tcPr>
          <w:p>
            <w:pPr>
              <w:pStyle w:val="yTableNAm"/>
            </w:pPr>
            <w:r>
              <w:rPr>
                <w:rFonts w:cs="Arial"/>
                <w:szCs w:val="22"/>
              </w:rPr>
              <w:t xml:space="preserve">NAPHTHOYLPYRROLES </w:t>
            </w:r>
            <w:r>
              <w:rPr>
                <w:szCs w:val="22"/>
              </w:rPr>
              <w:t>(in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tcPr>
          <w:p>
            <w:pPr>
              <w:pStyle w:val="yTableNAm"/>
            </w:pPr>
            <w:r>
              <w:rPr>
                <w:rFonts w:cs="Arial"/>
                <w:szCs w:val="22"/>
              </w:rPr>
              <w:t>NAPHTHYLMETHYLINDENES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tcPr>
          <w:p>
            <w:pPr>
              <w:pStyle w:val="yTableNAm"/>
            </w:pPr>
            <w:r>
              <w:rPr>
                <w:rFonts w:cs="Arial"/>
                <w:szCs w:val="22"/>
              </w:rPr>
              <w:t>NAPHTHYLMETHYLINDENES</w:t>
            </w:r>
            <w:r>
              <w:rPr>
                <w:szCs w:val="22"/>
              </w:rPr>
              <w:t xml:space="preserve">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t>12.</w:t>
            </w:r>
          </w:p>
        </w:tc>
        <w:tc>
          <w:tcPr>
            <w:tcW w:w="5245" w:type="dxa"/>
          </w:tcPr>
          <w:p>
            <w:pPr>
              <w:pStyle w:val="yTableNAm"/>
            </w:pPr>
            <w:r>
              <w:t>OPIUM</w:t>
            </w:r>
          </w:p>
        </w:tc>
        <w:tc>
          <w:tcPr>
            <w:tcW w:w="1183" w:type="dxa"/>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tcPr>
          <w:p>
            <w:pPr>
              <w:pStyle w:val="yTableNAm"/>
            </w:pPr>
            <w:r>
              <w:rPr>
                <w:szCs w:val="22"/>
              </w:rPr>
              <w:t>PHENYLACETYLINDOLES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tcPr>
          <w:p>
            <w:pPr>
              <w:pStyle w:val="yTableNAm"/>
            </w:pPr>
            <w:r>
              <w:rPr>
                <w:szCs w:val="22"/>
              </w:rPr>
              <w:t>PHENYLACETYLINDOLES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tcPr>
          <w:p>
            <w:pPr>
              <w:pStyle w:val="yTableNAm"/>
            </w:pPr>
            <w:r>
              <w:rPr>
                <w:szCs w:val="22"/>
              </w:rPr>
              <w:t>PRAVADOLINE (WIN 48098) (plant material)</w:t>
            </w:r>
          </w:p>
        </w:tc>
        <w:tc>
          <w:tcPr>
            <w:tcW w:w="1183" w:type="dxa"/>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tcPr>
          <w:p>
            <w:pPr>
              <w:pStyle w:val="yTableNAm"/>
            </w:pPr>
            <w:r>
              <w:rPr>
                <w:szCs w:val="22"/>
              </w:rPr>
              <w:t>PRAVADOLINE (WIN 48098) (in any form except plant material)</w:t>
            </w:r>
          </w:p>
        </w:tc>
        <w:tc>
          <w:tcPr>
            <w:tcW w:w="1183" w:type="dxa"/>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pPr>
        <w:pStyle w:val="yHeading3"/>
        <w:keepLines/>
      </w:pPr>
      <w:bookmarkStart w:id="133" w:name="_Toc10711896"/>
      <w:r>
        <w:rPr>
          <w:rStyle w:val="CharSDivNo"/>
        </w:rPr>
        <w:t>Division 2</w:t>
      </w:r>
      <w:r>
        <w:rPr>
          <w:b w:val="0"/>
        </w:rPr>
        <w:t> — </w:t>
      </w:r>
      <w:r>
        <w:rPr>
          <w:rStyle w:val="CharSDivText"/>
        </w:rPr>
        <w:t>Steroids</w:t>
      </w:r>
      <w:bookmarkEnd w:id="133"/>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Borders>
              <w:top w:val="single" w:sz="4" w:space="0" w:color="auto"/>
            </w:tcBorders>
          </w:tcPr>
          <w:p>
            <w:pPr>
              <w:pStyle w:val="yTableNAm"/>
            </w:pPr>
            <w:r>
              <w:rPr>
                <w:szCs w:val="22"/>
              </w:rPr>
              <w:t>1.</w:t>
            </w:r>
          </w:p>
        </w:tc>
        <w:tc>
          <w:tcPr>
            <w:tcW w:w="4961" w:type="dxa"/>
            <w:tcBorders>
              <w:top w:val="single" w:sz="4" w:space="0" w:color="auto"/>
            </w:tcBorders>
          </w:tcPr>
          <w:p>
            <w:pPr>
              <w:pStyle w:val="yTableNAm"/>
            </w:pPr>
            <w:r>
              <w:rPr>
                <w:szCs w:val="22"/>
              </w:rPr>
              <w:t>ATAMESTANE</w:t>
            </w:r>
          </w:p>
        </w:tc>
        <w:tc>
          <w:tcPr>
            <w:tcW w:w="1276" w:type="dxa"/>
            <w:tcBorders>
              <w:top w:val="single" w:sz="4" w:space="0" w:color="auto"/>
            </w:tcBorders>
          </w:tcPr>
          <w:p>
            <w:pPr>
              <w:pStyle w:val="yTableNAm"/>
              <w:jc w:val="cente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w:t>
      </w:r>
    </w:p>
    <w:p>
      <w:pPr>
        <w:pStyle w:val="yScheduleHeading"/>
      </w:pPr>
      <w:bookmarkStart w:id="134" w:name="_Toc10711897"/>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134"/>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35" w:name="_Toc10711898"/>
      <w:r>
        <w:rPr>
          <w:rStyle w:val="CharSchNo"/>
        </w:rPr>
        <w:t>Schedule IX</w:t>
      </w:r>
      <w:r>
        <w:t> — </w:t>
      </w:r>
      <w:r>
        <w:rPr>
          <w:rStyle w:val="CharSchText"/>
          <w:bCs/>
        </w:rPr>
        <w:t>Transitional provisions</w:t>
      </w:r>
      <w:bookmarkEnd w:id="135"/>
    </w:p>
    <w:p>
      <w:pPr>
        <w:pStyle w:val="yShoulderClause"/>
      </w:pPr>
      <w:r>
        <w:t>[s. 48]</w:t>
      </w:r>
    </w:p>
    <w:p>
      <w:pPr>
        <w:pStyle w:val="yFootnoteheading"/>
        <w:spacing w:after="60"/>
      </w:pPr>
      <w:r>
        <w:tab/>
        <w:t>[Heading inserted: No. 44 of 2010 s. 10.]</w:t>
      </w:r>
    </w:p>
    <w:p>
      <w:pPr>
        <w:pStyle w:val="yHeading5"/>
      </w:pPr>
      <w:bookmarkStart w:id="136" w:name="_Toc10711899"/>
      <w:r>
        <w:rPr>
          <w:rStyle w:val="CharSClsNo"/>
        </w:rPr>
        <w:t>1</w:t>
      </w:r>
      <w:r>
        <w:t>.</w:t>
      </w:r>
      <w:r>
        <w:rPr>
          <w:b w:val="0"/>
        </w:rPr>
        <w:tab/>
      </w:r>
      <w:r>
        <w:t>Property subject to holding orders under repealed s. 28</w:t>
      </w:r>
      <w:bookmarkEnd w:id="13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1"/>
          <w:pgSz w:w="11907" w:h="16840" w:code="9"/>
          <w:pgMar w:top="2381" w:right="2409" w:bottom="3543" w:left="2409" w:header="720" w:footer="3380" w:gutter="0"/>
          <w:cols w:space="720"/>
          <w:noEndnote/>
          <w:docGrid w:linePitch="326"/>
        </w:sectPr>
      </w:pPr>
    </w:p>
    <w:p>
      <w:pPr>
        <w:pStyle w:val="nHeading2"/>
      </w:pPr>
      <w:bookmarkStart w:id="137" w:name="_Toc10711900"/>
      <w:r>
        <w:t>Notes</w:t>
      </w:r>
      <w:bookmarkEnd w:id="137"/>
    </w:p>
    <w:p>
      <w:pPr>
        <w:pStyle w:val="nSubsection"/>
      </w:pPr>
      <w:r>
        <w:rPr>
          <w:vertAlign w:val="superscript"/>
        </w:rPr>
        <w:t>1</w:t>
      </w:r>
      <w:r>
        <w:tab/>
        <w:t xml:space="preserve">This is a compilation of the </w:t>
      </w:r>
      <w:r>
        <w:rPr>
          <w:i/>
          <w:noProof/>
        </w:rPr>
        <w:t>Misuse of Drugs Act 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38" w:name="_Toc10711901"/>
      <w:r>
        <w:t>Compilation table</w:t>
      </w:r>
      <w:bookmarkEnd w:id="1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4</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5</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6</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Subsection"/>
              <w:tabs>
                <w:tab w:val="clear" w:pos="454"/>
              </w:tabs>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5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ind w:right="113"/>
              <w:rPr>
                <w:i/>
                <w:noProof/>
                <w:snapToGrid w:val="0"/>
              </w:rPr>
            </w:pPr>
            <w:r>
              <w:rPr>
                <w:i/>
              </w:rPr>
              <w:t>Misuse of Drugs Amendment (Search Powers) Act 2016</w:t>
            </w:r>
          </w:p>
        </w:tc>
        <w:tc>
          <w:tcPr>
            <w:tcW w:w="1134" w:type="dxa"/>
            <w:shd w:val="clear" w:color="auto" w:fill="auto"/>
          </w:tcPr>
          <w:p>
            <w:pPr>
              <w:pStyle w:val="nTable"/>
              <w:spacing w:after="40"/>
            </w:pPr>
            <w:r>
              <w:t>47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shd w:val="clear" w:color="auto" w:fill="auto"/>
          </w:tcPr>
          <w:p>
            <w:pPr>
              <w:pStyle w:val="nTable"/>
              <w:spacing w:after="40"/>
              <w:ind w:right="113"/>
              <w:rPr>
                <w:i/>
              </w:rPr>
            </w:pPr>
            <w:r>
              <w:rPr>
                <w:i/>
              </w:rPr>
              <w:t>Misuse of Drugs Amendment (Methylamphetamine Offences) Act 2017</w:t>
            </w:r>
            <w:r>
              <w:t xml:space="preserve"> Pt. 2</w:t>
            </w:r>
          </w:p>
        </w:tc>
        <w:tc>
          <w:tcPr>
            <w:tcW w:w="1134" w:type="dxa"/>
            <w:shd w:val="clear" w:color="auto" w:fill="auto"/>
          </w:tcPr>
          <w:p>
            <w:pPr>
              <w:pStyle w:val="nTable"/>
              <w:spacing w:after="40"/>
            </w:pPr>
            <w:r>
              <w:t>3 of 2017</w:t>
            </w:r>
          </w:p>
        </w:tc>
        <w:tc>
          <w:tcPr>
            <w:tcW w:w="1136" w:type="dxa"/>
            <w:shd w:val="clear" w:color="auto" w:fill="auto"/>
          </w:tcPr>
          <w:p>
            <w:pPr>
              <w:pStyle w:val="nTable"/>
              <w:spacing w:after="40"/>
            </w:pPr>
            <w:r>
              <w:t>21 Aug 2017</w:t>
            </w:r>
          </w:p>
        </w:tc>
        <w:tc>
          <w:tcPr>
            <w:tcW w:w="2551" w:type="dxa"/>
            <w:shd w:val="clear" w:color="auto" w:fill="auto"/>
          </w:tcPr>
          <w:p>
            <w:pPr>
              <w:pStyle w:val="nTable"/>
              <w:spacing w:after="40"/>
            </w:pPr>
            <w:r>
              <w:t>18 Sep 2017 (see s. 2(b))</w:t>
            </w:r>
          </w:p>
        </w:tc>
      </w:tr>
      <w:tr>
        <w:trPr>
          <w:cantSplit/>
        </w:trPr>
        <w:tc>
          <w:tcPr>
            <w:tcW w:w="7089" w:type="dxa"/>
            <w:gridSpan w:val="4"/>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shd w:val="clear" w:color="auto" w:fill="auto"/>
          </w:tcPr>
          <w:p>
            <w:pPr>
              <w:pStyle w:val="nTable"/>
              <w:spacing w:after="40"/>
              <w:ind w:right="113"/>
              <w:rPr>
                <w:i/>
              </w:rPr>
            </w:pPr>
            <w:r>
              <w:rPr>
                <w:i/>
              </w:rPr>
              <w:t>Industrial Hemp Amendment Act 2018</w:t>
            </w:r>
            <w:r>
              <w:t xml:space="preserve"> Pt. 3</w:t>
            </w:r>
          </w:p>
        </w:tc>
        <w:tc>
          <w:tcPr>
            <w:tcW w:w="1134" w:type="dxa"/>
            <w:shd w:val="clear" w:color="auto" w:fill="auto"/>
          </w:tcPr>
          <w:p>
            <w:pPr>
              <w:pStyle w:val="nTable"/>
              <w:spacing w:after="40"/>
            </w:pPr>
            <w:r>
              <w:t>15 of 2018</w:t>
            </w:r>
          </w:p>
        </w:tc>
        <w:tc>
          <w:tcPr>
            <w:tcW w:w="1136" w:type="dxa"/>
            <w:shd w:val="clear" w:color="auto" w:fill="auto"/>
          </w:tcPr>
          <w:p>
            <w:pPr>
              <w:pStyle w:val="nTable"/>
              <w:spacing w:after="40"/>
            </w:pPr>
            <w:r>
              <w:t>28 Aug 2018</w:t>
            </w:r>
          </w:p>
        </w:tc>
        <w:tc>
          <w:tcPr>
            <w:tcW w:w="255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38" w:type="dxa"/>
            <w:gridSpan w:val="3"/>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pPr>
              <w:pStyle w:val="nTable"/>
              <w:spacing w:after="40"/>
            </w:pPr>
            <w:r>
              <w:t>cl. 1 and 2: 29 Aug 2018 (see cl. 2);</w:t>
            </w:r>
            <w:r>
              <w:br/>
              <w:t>Order other than cl. 1 and 2: 30 Aug 2018 (see cl. 2)</w:t>
            </w:r>
          </w:p>
        </w:tc>
      </w:tr>
      <w:tr>
        <w:trPr>
          <w:cantSplit/>
        </w:trPr>
        <w:tc>
          <w:tcPr>
            <w:tcW w:w="7089" w:type="dxa"/>
            <w:gridSpan w:val="4"/>
            <w:tcBorders>
              <w:bottom w:val="single" w:sz="8" w:space="0" w:color="auto"/>
            </w:tcBorders>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bl>
    <w:p>
      <w:pPr>
        <w:pStyle w:val="nSubsection"/>
        <w:keepNext/>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pPr>
      <w:bookmarkStart w:id="139" w:name="_Toc10711902"/>
      <w:r>
        <w:t>Provisions that have not come into operation</w:t>
      </w:r>
      <w:bookmarkEnd w:id="13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Subsection"/>
              <w:keepNext/>
              <w:keepLines/>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The </w:t>
      </w:r>
      <w:r>
        <w:rPr>
          <w:i/>
        </w:rPr>
        <w:t>Poisons Act 1964</w:t>
      </w:r>
      <w:r>
        <w:t xml:space="preserve"> was repealed by the </w:t>
      </w:r>
      <w:r>
        <w:rPr>
          <w:i/>
        </w:rPr>
        <w:t>Medicines and Poisons Act 2014</w:t>
      </w:r>
      <w:r>
        <w:t xml:space="preserve"> s. 137.</w:t>
      </w:r>
    </w:p>
    <w:p>
      <w:pPr>
        <w:pStyle w:val="nSubsection"/>
        <w:spacing w:before="140"/>
      </w:pPr>
      <w:r>
        <w:rPr>
          <w:vertAlign w:val="superscript"/>
        </w:rPr>
        <w:t>3</w:t>
      </w:r>
      <w:r>
        <w:tab/>
        <w:t xml:space="preserve">This provision was renumbered under the </w:t>
      </w:r>
      <w:r>
        <w:rPr>
          <w:i/>
        </w:rPr>
        <w:t xml:space="preserve">Reprints Act 1984 </w:t>
      </w:r>
      <w:r>
        <w:t>s. 7(5)(c)(ii).</w:t>
      </w:r>
    </w:p>
    <w:p>
      <w:pPr>
        <w:pStyle w:val="nSubsection"/>
        <w:spacing w:before="140"/>
      </w:pPr>
      <w:r>
        <w:rPr>
          <w:snapToGrid w:val="0"/>
          <w:vertAlign w:val="superscript"/>
        </w:rPr>
        <w:t>4</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5</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6</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rPr>
          <w:snapToGrid w:val="0"/>
        </w:rPr>
      </w:pPr>
      <w:r>
        <w:rPr>
          <w:snapToGrid w:val="0"/>
          <w:vertAlign w:val="superscript"/>
        </w:rPr>
        <w:t>7</w:t>
      </w:r>
      <w:r>
        <w:rPr>
          <w:snapToGrid w:val="0"/>
        </w:rPr>
        <w:tab/>
        <w:t xml:space="preserve">On the date as at which this reprint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keepNext/>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41" w:name="_Toc10711903"/>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44(1)(a)</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20B(2)(a)</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1" w:name="Schedule"/>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0611074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D0EE8-09CF-4DA0-ADFE-6E2F03A60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29658</Words>
  <Characters>153037</Characters>
  <Application>Microsoft Office Word</Application>
  <DocSecurity>0</DocSecurity>
  <Lines>6956</Lines>
  <Paragraphs>4807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1981 - 08-a0-00</dc:title>
  <dc:subject/>
  <dc:creator/>
  <cp:keywords/>
  <dc:description/>
  <cp:lastModifiedBy>svcMRProcess</cp:lastModifiedBy>
  <cp:revision>4</cp:revision>
  <cp:lastPrinted>2019-07-10T03:33:00Z</cp:lastPrinted>
  <dcterms:created xsi:type="dcterms:W3CDTF">2019-08-05T06:10:00Z</dcterms:created>
  <dcterms:modified xsi:type="dcterms:W3CDTF">2019-08-05T06:10:00Z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19 Jul 2019</vt:lpwstr>
  </property>
  <property fmtid="{D5CDD505-2E9C-101B-9397-08002B2CF9AE}" pid="8" name="Suffix">
    <vt:lpwstr>08-a0-00</vt:lpwstr>
  </property>
  <property fmtid="{D5CDD505-2E9C-101B-9397-08002B2CF9AE}" pid="9" name="CommencementDate">
    <vt:lpwstr>20190719</vt:lpwstr>
  </property>
</Properties>
</file>