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_Toc16239030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_Toc16239031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_Toc16239032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_Toc16239034 \h </w:instrText>
      </w:r>
      <w:r>
        <w:fldChar w:fldCharType="separate"/>
      </w:r>
      <w:r>
        <w:t>3</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_Toc16239035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_Toc16239036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_Toc16239037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_Toc16239038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_Toc16239039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_Toc16239040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_Toc16239041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_Toc16239042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Meetings, public notice of </w:t>
      </w:r>
      <w:r>
        <w:t>(Act </w:t>
      </w:r>
      <w:r>
        <w:rPr>
          <w:snapToGrid w:val="0"/>
        </w:rPr>
        <w:t>s. 5.25(1)(g))</w:t>
      </w:r>
      <w:r>
        <w:tab/>
      </w:r>
      <w:r>
        <w:fldChar w:fldCharType="begin"/>
      </w:r>
      <w:r>
        <w:instrText xml:space="preserve"> PAGEREF _Toc16239043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Unconfirmed minutes, public inspection of </w:t>
      </w:r>
      <w:r>
        <w:t>(Act </w:t>
      </w:r>
      <w:r>
        <w:rPr>
          <w:snapToGrid w:val="0"/>
        </w:rPr>
        <w:t>s. </w:t>
      </w:r>
      <w:r>
        <w:t>5</w:t>
      </w:r>
      <w:r>
        <w:rPr>
          <w:snapToGrid w:val="0"/>
        </w:rPr>
        <w:t>.25(1)(i))</w:t>
      </w:r>
      <w:r>
        <w:tab/>
      </w:r>
      <w:r>
        <w:fldChar w:fldCharType="begin"/>
      </w:r>
      <w:r>
        <w:instrText xml:space="preserve"> PAGEREF _Toc16239044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_Toc16239045 \h </w:instrText>
      </w:r>
      <w:r>
        <w:fldChar w:fldCharType="separate"/>
      </w:r>
      <w:r>
        <w:t>8</w:t>
      </w:r>
      <w:r>
        <w:fldChar w:fldCharType="end"/>
      </w:r>
    </w:p>
    <w:p>
      <w:pPr>
        <w:pStyle w:val="TOC8"/>
        <w:rPr>
          <w:rFonts w:asciiTheme="minorHAnsi" w:eastAsiaTheme="minorEastAsia" w:hAnsiTheme="minorHAnsi" w:cstheme="minorBidi"/>
          <w:szCs w:val="22"/>
        </w:rPr>
      </w:pPr>
      <w:r>
        <w:t>14A.</w:t>
      </w:r>
      <w:r>
        <w:tab/>
        <w:t>Attendance by telephone etc. (Act s. 5.25(1)(ba))</w:t>
      </w:r>
      <w:r>
        <w:tab/>
      </w:r>
      <w:r>
        <w:fldChar w:fldCharType="begin"/>
      </w:r>
      <w:r>
        <w:instrText xml:space="preserve"> PAGEREF _Toc16239046 \h </w:instrText>
      </w:r>
      <w:r>
        <w:fldChar w:fldCharType="separate"/>
      </w:r>
      <w:r>
        <w:t>9</w:t>
      </w:r>
      <w:r>
        <w:fldChar w:fldCharType="end"/>
      </w:r>
    </w:p>
    <w:p>
      <w:pPr>
        <w:pStyle w:val="TOC8"/>
        <w:rPr>
          <w:rFonts w:asciiTheme="minorHAnsi" w:eastAsiaTheme="minorEastAsia" w:hAnsiTheme="minorHAnsi" w:cstheme="minorBidi"/>
          <w:szCs w:val="22"/>
        </w:rPr>
      </w:pPr>
      <w:r>
        <w:t>14B.</w:t>
      </w:r>
      <w:r>
        <w:tab/>
        <w:t>Attendance by telephone etc. after natural disaster (Act s. 5.25(1)(ba))</w:t>
      </w:r>
      <w:r>
        <w:tab/>
      </w:r>
      <w:r>
        <w:fldChar w:fldCharType="begin"/>
      </w:r>
      <w:r>
        <w:instrText xml:space="preserve"> PAGEREF _Toc16239047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_Toc16239049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_Toc16239050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_Toc16239051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_Toc16239052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_Toc16239054 \h </w:instrText>
      </w:r>
      <w:r>
        <w:fldChar w:fldCharType="separate"/>
      </w:r>
      <w:r>
        <w:t>13</w:t>
      </w:r>
      <w:r>
        <w:fldChar w:fldCharType="end"/>
      </w:r>
    </w:p>
    <w:p>
      <w:pPr>
        <w:pStyle w:val="TOC8"/>
        <w:rPr>
          <w:rFonts w:asciiTheme="minorHAnsi" w:eastAsiaTheme="minorEastAsia" w:hAnsiTheme="minorHAnsi" w:cstheme="minorBidi"/>
          <w:szCs w:val="22"/>
        </w:rPr>
      </w:pPr>
      <w:r>
        <w:t>18B.</w:t>
      </w:r>
      <w:r>
        <w:tab/>
        <w:t>Contracts of CEOs and senior employees, content of (Act s. 5.39(3)(c))</w:t>
      </w:r>
      <w:r>
        <w:tab/>
      </w:r>
      <w:r>
        <w:fldChar w:fldCharType="begin"/>
      </w:r>
      <w:r>
        <w:instrText xml:space="preserve"> PAGEREF _Toc16239055 \h </w:instrText>
      </w:r>
      <w:r>
        <w:fldChar w:fldCharType="separate"/>
      </w:r>
      <w:r>
        <w:t>14</w:t>
      </w:r>
      <w:r>
        <w:fldChar w:fldCharType="end"/>
      </w:r>
    </w:p>
    <w:p>
      <w:pPr>
        <w:pStyle w:val="TOC8"/>
        <w:rPr>
          <w:rFonts w:asciiTheme="minorHAnsi" w:eastAsiaTheme="minorEastAsia" w:hAnsiTheme="minorHAnsi" w:cstheme="minorBidi"/>
          <w:szCs w:val="22"/>
        </w:rPr>
      </w:pPr>
      <w:r>
        <w:t>18C.</w:t>
      </w:r>
      <w:r>
        <w:tab/>
        <w:t>Selection and appointment process for CEOs</w:t>
      </w:r>
      <w:r>
        <w:tab/>
      </w:r>
      <w:r>
        <w:fldChar w:fldCharType="begin"/>
      </w:r>
      <w:r>
        <w:instrText xml:space="preserve"> PAGEREF _Toc16239056 \h </w:instrText>
      </w:r>
      <w:r>
        <w:fldChar w:fldCharType="separate"/>
      </w:r>
      <w:r>
        <w:t>14</w:t>
      </w:r>
      <w:r>
        <w:fldChar w:fldCharType="end"/>
      </w:r>
    </w:p>
    <w:p>
      <w:pPr>
        <w:pStyle w:val="TOC8"/>
        <w:rPr>
          <w:rFonts w:asciiTheme="minorHAnsi" w:eastAsiaTheme="minorEastAsia" w:hAnsiTheme="minorHAnsi" w:cstheme="minorBidi"/>
          <w:szCs w:val="22"/>
        </w:rPr>
      </w:pPr>
      <w:r>
        <w:t>18D.</w:t>
      </w:r>
      <w:r>
        <w:tab/>
        <w:t>Performance review of CEO, local government’s duties as to</w:t>
      </w:r>
      <w:r>
        <w:tab/>
      </w:r>
      <w:r>
        <w:fldChar w:fldCharType="begin"/>
      </w:r>
      <w:r>
        <w:instrText xml:space="preserve"> PAGEREF _Toc16239057 \h </w:instrText>
      </w:r>
      <w:r>
        <w:fldChar w:fldCharType="separate"/>
      </w:r>
      <w:r>
        <w:t>14</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_Toc16239058 \h </w:instrText>
      </w:r>
      <w:r>
        <w:fldChar w:fldCharType="separate"/>
      </w:r>
      <w:r>
        <w:t>14</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_Toc16239059 \h </w:instrText>
      </w:r>
      <w:r>
        <w:fldChar w:fldCharType="separate"/>
      </w:r>
      <w:r>
        <w:t>15</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_Toc16239060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_Toc16239061 \h </w:instrText>
      </w:r>
      <w:r>
        <w:fldChar w:fldCharType="separate"/>
      </w:r>
      <w:r>
        <w:t>15</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_Toc16239062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_Toc16239065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Annual reports</w:t>
      </w:r>
    </w:p>
    <w:p>
      <w:pPr>
        <w:pStyle w:val="TOC8"/>
        <w:rPr>
          <w:rFonts w:asciiTheme="minorHAnsi" w:eastAsiaTheme="minorEastAsia" w:hAnsiTheme="minorHAnsi" w:cstheme="minorBidi"/>
          <w:szCs w:val="22"/>
        </w:rPr>
      </w:pPr>
      <w:r>
        <w:t>19B.</w:t>
      </w:r>
      <w:r>
        <w:tab/>
        <w:t>Information about numbers of certain employees to be included (Act s. 5.53(2)(g))</w:t>
      </w:r>
      <w:r>
        <w:tab/>
      </w:r>
      <w:r>
        <w:fldChar w:fldCharType="begin"/>
      </w:r>
      <w:r>
        <w:instrText xml:space="preserve"> PAGEREF _Toc16239067 \h </w:instrText>
      </w:r>
      <w:r>
        <w:fldChar w:fldCharType="separate"/>
      </w:r>
      <w:r>
        <w:t>17</w:t>
      </w:r>
      <w:r>
        <w:fldChar w:fldCharType="end"/>
      </w:r>
    </w:p>
    <w:p>
      <w:pPr>
        <w:pStyle w:val="TOC8"/>
        <w:rPr>
          <w:rFonts w:asciiTheme="minorHAnsi" w:eastAsiaTheme="minorEastAsia" w:hAnsiTheme="minorHAnsi" w:cstheme="minorBidi"/>
          <w:szCs w:val="22"/>
        </w:rPr>
      </w:pPr>
      <w:r>
        <w:t>19CA.</w:t>
      </w:r>
      <w:r>
        <w:tab/>
        <w:t>Information about modifications to certain plans to be included (Act s. 5.53(2)(i))</w:t>
      </w:r>
      <w:r>
        <w:tab/>
      </w:r>
      <w:r>
        <w:fldChar w:fldCharType="begin"/>
      </w:r>
      <w:r>
        <w:instrText xml:space="preserve"> PAGEREF _Toc16239068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_Toc16239070 \h </w:instrText>
      </w:r>
      <w:r>
        <w:fldChar w:fldCharType="separate"/>
      </w:r>
      <w:r>
        <w:t>18</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_Toc16239071 \h </w:instrText>
      </w:r>
      <w:r>
        <w:fldChar w:fldCharType="separate"/>
      </w:r>
      <w:r>
        <w:t>19</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_Toc16239072 \h </w:instrText>
      </w:r>
      <w:r>
        <w:fldChar w:fldCharType="separate"/>
      </w:r>
      <w:r>
        <w:t>21</w:t>
      </w:r>
      <w:r>
        <w:fldChar w:fldCharType="end"/>
      </w:r>
    </w:p>
    <w:p>
      <w:pPr>
        <w:pStyle w:val="TOC8"/>
        <w:rPr>
          <w:rFonts w:asciiTheme="minorHAnsi" w:eastAsiaTheme="minorEastAsia" w:hAnsiTheme="minorHAnsi" w:cstheme="minorBidi"/>
          <w:szCs w:val="22"/>
        </w:rPr>
      </w:pPr>
      <w:r>
        <w:t>19D.</w:t>
      </w:r>
      <w:r>
        <w:tab/>
        <w:t>Adoption of plan, public notice of to be given</w:t>
      </w:r>
      <w:r>
        <w:tab/>
      </w:r>
      <w:r>
        <w:fldChar w:fldCharType="begin"/>
      </w:r>
      <w:r>
        <w:instrText xml:space="preserve"> PAGEREF _Toc16239073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_Toc16239075 \h </w:instrText>
      </w:r>
      <w:r>
        <w:fldChar w:fldCharType="separate"/>
      </w:r>
      <w:r>
        <w:t>23</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_Toc16239076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_Toc16239077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_Toc16239078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_Toc16239079 \h </w:instrText>
      </w:r>
      <w:r>
        <w:fldChar w:fldCharType="separate"/>
      </w:r>
      <w:r>
        <w:t>25</w:t>
      </w:r>
      <w:r>
        <w:fldChar w:fldCharType="end"/>
      </w:r>
    </w:p>
    <w:p>
      <w:pPr>
        <w:pStyle w:val="TOC8"/>
        <w:rPr>
          <w:rFonts w:asciiTheme="minorHAnsi" w:eastAsiaTheme="minorEastAsia" w:hAnsiTheme="minorHAnsi" w:cstheme="minorBidi"/>
          <w:szCs w:val="22"/>
        </w:rPr>
      </w:pPr>
      <w:r>
        <w:t>25.</w:t>
      </w:r>
      <w:r>
        <w:tab/>
        <w:t>Amount of gift prescribed (Act s. 5.82(2)(a))</w:t>
      </w:r>
      <w:r>
        <w:tab/>
      </w:r>
      <w:r>
        <w:fldChar w:fldCharType="begin"/>
      </w:r>
      <w:r>
        <w:instrText xml:space="preserve"> PAGEREF _Toc16239080 \h </w:instrText>
      </w:r>
      <w:r>
        <w:fldChar w:fldCharType="separate"/>
      </w:r>
      <w:r>
        <w:t>25</w:t>
      </w:r>
      <w:r>
        <w:fldChar w:fldCharType="end"/>
      </w:r>
    </w:p>
    <w:p>
      <w:pPr>
        <w:pStyle w:val="TOC8"/>
        <w:rPr>
          <w:rFonts w:asciiTheme="minorHAnsi" w:eastAsiaTheme="minorEastAsia" w:hAnsiTheme="minorHAnsi" w:cstheme="minorBidi"/>
          <w:szCs w:val="22"/>
        </w:rPr>
      </w:pPr>
      <w:r>
        <w:t>26.</w:t>
      </w:r>
      <w:r>
        <w:tab/>
        <w:t>Amount of contribution to travel prescribed (Act s. 5.83(2)(d))</w:t>
      </w:r>
      <w:r>
        <w:tab/>
      </w:r>
      <w:r>
        <w:fldChar w:fldCharType="begin"/>
      </w:r>
      <w:r>
        <w:instrText xml:space="preserve"> PAGEREF _Toc16239081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_Toc16239082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_Toc16239083 \h </w:instrText>
      </w:r>
      <w:r>
        <w:fldChar w:fldCharType="separate"/>
      </w:r>
      <w:r>
        <w:t>26</w:t>
      </w:r>
      <w:r>
        <w:fldChar w:fldCharType="end"/>
      </w:r>
    </w:p>
    <w:p>
      <w:pPr>
        <w:pStyle w:val="TOC8"/>
        <w:rPr>
          <w:rFonts w:asciiTheme="minorHAnsi" w:eastAsiaTheme="minorEastAsia" w:hAnsiTheme="minorHAnsi" w:cstheme="minorBidi"/>
          <w:szCs w:val="22"/>
        </w:rPr>
      </w:pPr>
      <w:r>
        <w:t>28A.</w:t>
      </w:r>
      <w:r>
        <w:tab/>
        <w:t>Register of gifts and contributions to travel, form of (Act s. 5.89A(3))</w:t>
      </w:r>
      <w:r>
        <w:tab/>
      </w:r>
      <w:r>
        <w:fldChar w:fldCharType="begin"/>
      </w:r>
      <w:r>
        <w:instrText xml:space="preserve"> PAGEREF _Toc16239084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_Toc16239086 \h </w:instrText>
      </w:r>
      <w:r>
        <w:fldChar w:fldCharType="separate"/>
      </w:r>
      <w:r>
        <w:t>28</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_Toc16239087 \h </w:instrText>
      </w:r>
      <w:r>
        <w:fldChar w:fldCharType="separate"/>
      </w:r>
      <w:r>
        <w:t>29</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_Toc16239088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_Toc16239090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 xml:space="preserve">Expenses to be reimbursed </w:t>
      </w:r>
      <w:r>
        <w:t>(Act </w:t>
      </w:r>
      <w:r>
        <w:rPr>
          <w:snapToGrid w:val="0"/>
        </w:rPr>
        <w:t>s. 5.98(2)(a) and (3))</w:t>
      </w:r>
      <w:r>
        <w:tab/>
      </w:r>
      <w:r>
        <w:fldChar w:fldCharType="begin"/>
      </w:r>
      <w:r>
        <w:instrText xml:space="preserve"> PAGEREF _Toc16239091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 and (3))</w:t>
      </w:r>
      <w:r>
        <w:tab/>
      </w:r>
      <w:r>
        <w:fldChar w:fldCharType="begin"/>
      </w:r>
      <w:r>
        <w:instrText xml:space="preserve"> PAGEREF _Toc16239092 \h </w:instrText>
      </w:r>
      <w:r>
        <w:fldChar w:fldCharType="separate"/>
      </w:r>
      <w:r>
        <w:t>32</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_Toc16239093 \h </w:instrText>
      </w:r>
      <w:r>
        <w:fldChar w:fldCharType="separate"/>
      </w:r>
      <w:r>
        <w:t>33</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_Toc16239094 \h </w:instrText>
      </w:r>
      <w:r>
        <w:fldChar w:fldCharType="separate"/>
      </w:r>
      <w:r>
        <w:t>33</w:t>
      </w:r>
      <w:r>
        <w:fldChar w:fldCharType="end"/>
      </w:r>
    </w:p>
    <w:p>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_Toc16239095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9 — Codes of conduct</w:t>
      </w:r>
    </w:p>
    <w:p>
      <w:pPr>
        <w:pStyle w:val="TOC4"/>
        <w:tabs>
          <w:tab w:val="right" w:leader="dot" w:pos="7077"/>
        </w:tabs>
        <w:rPr>
          <w:rFonts w:asciiTheme="minorHAnsi" w:eastAsiaTheme="minorEastAsia" w:hAnsiTheme="minorHAnsi" w:cstheme="minorBidi"/>
          <w:b w:val="0"/>
          <w:szCs w:val="22"/>
        </w:rPr>
      </w:pPr>
      <w:r>
        <w:t>Division 1 — Codes of conduct: general</w:t>
      </w:r>
    </w:p>
    <w:p>
      <w:pPr>
        <w:pStyle w:val="TOC8"/>
        <w:rPr>
          <w:rFonts w:asciiTheme="minorHAnsi" w:eastAsiaTheme="minorEastAsia" w:hAnsiTheme="minorHAnsi" w:cstheme="minorBidi"/>
          <w:szCs w:val="22"/>
        </w:rPr>
      </w:pPr>
      <w:r>
        <w:t>34B.</w:t>
      </w:r>
      <w:r>
        <w:tab/>
        <w:t>Codes of conduct about gifts, content of (Act s. 5.103(3))</w:t>
      </w:r>
      <w:r>
        <w:tab/>
      </w:r>
      <w:r>
        <w:fldChar w:fldCharType="begin"/>
      </w:r>
      <w:r>
        <w:instrText xml:space="preserve"> PAGEREF _Toc16239098 \h </w:instrText>
      </w:r>
      <w:r>
        <w:fldChar w:fldCharType="separate"/>
      </w:r>
      <w:r>
        <w:t>36</w:t>
      </w:r>
      <w:r>
        <w:fldChar w:fldCharType="end"/>
      </w:r>
    </w:p>
    <w:p>
      <w:pPr>
        <w:pStyle w:val="TOC8"/>
        <w:rPr>
          <w:rFonts w:asciiTheme="minorHAnsi" w:eastAsiaTheme="minorEastAsia" w:hAnsiTheme="minorHAnsi" w:cstheme="minorBidi"/>
          <w:szCs w:val="22"/>
        </w:rPr>
      </w:pPr>
      <w:r>
        <w:t>34C.</w:t>
      </w:r>
      <w:r>
        <w:tab/>
        <w:t>Codes of conduct about disclosing interests affecting impartiality, content of (Act s. 5.103(3))</w:t>
      </w:r>
      <w:r>
        <w:tab/>
      </w:r>
      <w:r>
        <w:fldChar w:fldCharType="begin"/>
      </w:r>
      <w:r>
        <w:instrText xml:space="preserve"> PAGEREF _Toc16239099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Prescribed code of conduct: transitional period</w:t>
      </w:r>
    </w:p>
    <w:p>
      <w:pPr>
        <w:pStyle w:val="TOC8"/>
        <w:rPr>
          <w:rFonts w:asciiTheme="minorHAnsi" w:eastAsiaTheme="minorEastAsia" w:hAnsiTheme="minorHAnsi" w:cstheme="minorBidi"/>
          <w:szCs w:val="22"/>
        </w:rPr>
      </w:pPr>
      <w:r>
        <w:t>34D.</w:t>
      </w:r>
      <w:r>
        <w:tab/>
        <w:t>Terms used</w:t>
      </w:r>
      <w:r>
        <w:tab/>
      </w:r>
      <w:r>
        <w:fldChar w:fldCharType="begin"/>
      </w:r>
      <w:r>
        <w:instrText xml:space="preserve"> PAGEREF _Toc16239101 \h </w:instrText>
      </w:r>
      <w:r>
        <w:fldChar w:fldCharType="separate"/>
      </w:r>
      <w:r>
        <w:t>40</w:t>
      </w:r>
      <w:r>
        <w:fldChar w:fldCharType="end"/>
      </w:r>
    </w:p>
    <w:p>
      <w:pPr>
        <w:pStyle w:val="TOC8"/>
        <w:rPr>
          <w:rFonts w:asciiTheme="minorHAnsi" w:eastAsiaTheme="minorEastAsia" w:hAnsiTheme="minorHAnsi" w:cstheme="minorBidi"/>
          <w:szCs w:val="22"/>
        </w:rPr>
      </w:pPr>
      <w:r>
        <w:t>34E.</w:t>
      </w:r>
      <w:r>
        <w:tab/>
        <w:t>Code of conduct prescribed</w:t>
      </w:r>
      <w:r>
        <w:tab/>
      </w:r>
      <w:r>
        <w:fldChar w:fldCharType="begin"/>
      </w:r>
      <w:r>
        <w:instrText xml:space="preserve"> PAGEREF _Toc16239102 \h </w:instrText>
      </w:r>
      <w:r>
        <w:fldChar w:fldCharType="separate"/>
      </w:r>
      <w:r>
        <w:t>40</w:t>
      </w:r>
      <w:r>
        <w:fldChar w:fldCharType="end"/>
      </w:r>
    </w:p>
    <w:p>
      <w:pPr>
        <w:pStyle w:val="TOC8"/>
        <w:rPr>
          <w:rFonts w:asciiTheme="minorHAnsi" w:eastAsiaTheme="minorEastAsia" w:hAnsiTheme="minorHAnsi" w:cstheme="minorBidi"/>
          <w:szCs w:val="22"/>
        </w:rPr>
      </w:pPr>
      <w:r>
        <w:t>34F.</w:t>
      </w:r>
      <w:r>
        <w:tab/>
        <w:t>Disclosure of gifts</w:t>
      </w:r>
      <w:r>
        <w:tab/>
      </w:r>
      <w:r>
        <w:fldChar w:fldCharType="begin"/>
      </w:r>
      <w:r>
        <w:instrText xml:space="preserve"> PAGEREF _Toc16239103 \h </w:instrText>
      </w:r>
      <w:r>
        <w:fldChar w:fldCharType="separate"/>
      </w:r>
      <w:r>
        <w:t>41</w:t>
      </w:r>
      <w:r>
        <w:fldChar w:fldCharType="end"/>
      </w:r>
    </w:p>
    <w:p>
      <w:pPr>
        <w:pStyle w:val="TOC8"/>
        <w:rPr>
          <w:rFonts w:asciiTheme="minorHAnsi" w:eastAsiaTheme="minorEastAsia" w:hAnsiTheme="minorHAnsi" w:cstheme="minorBidi"/>
          <w:szCs w:val="22"/>
        </w:rPr>
      </w:pPr>
      <w:r>
        <w:t>34G.</w:t>
      </w:r>
      <w:r>
        <w:tab/>
        <w:t>Disclosure of travel contributions</w:t>
      </w:r>
      <w:r>
        <w:tab/>
      </w:r>
      <w:r>
        <w:fldChar w:fldCharType="begin"/>
      </w:r>
      <w:r>
        <w:instrText xml:space="preserve"> PAGEREF _Toc16239104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_Toc16239107 \h </w:instrText>
      </w:r>
      <w:r>
        <w:fldChar w:fldCharType="separate"/>
      </w:r>
      <w:r>
        <w:t>56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_Toc16239108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3" w:name="_Toc16238904"/>
      <w:bookmarkStart w:id="4" w:name="_Toc16239029"/>
      <w:r>
        <w:rPr>
          <w:rStyle w:val="CharPartNo"/>
        </w:rPr>
        <w:t>Part 1</w:t>
      </w:r>
      <w:r>
        <w:rPr>
          <w:rStyle w:val="CharDivNo"/>
        </w:rPr>
        <w:t> </w:t>
      </w:r>
      <w:r>
        <w:t>—</w:t>
      </w:r>
      <w:r>
        <w:rPr>
          <w:rStyle w:val="CharDivText"/>
        </w:rPr>
        <w:t> </w:t>
      </w:r>
      <w:r>
        <w:rPr>
          <w:rStyle w:val="CharPartText"/>
        </w:rPr>
        <w:t>Preliminary</w:t>
      </w:r>
      <w:bookmarkEnd w:id="3"/>
      <w:bookmarkEnd w:id="4"/>
    </w:p>
    <w:p>
      <w:pPr>
        <w:pStyle w:val="Footnoteheading"/>
      </w:pPr>
      <w:r>
        <w:tab/>
        <w:t>[Heading inserted: Gazette 26 Aug 2011 p. 3482.]</w:t>
      </w:r>
    </w:p>
    <w:p>
      <w:pPr>
        <w:pStyle w:val="Heading5"/>
        <w:rPr>
          <w:snapToGrid w:val="0"/>
        </w:rPr>
      </w:pPr>
      <w:bookmarkStart w:id="5" w:name="_Toc16239030"/>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6" w:name="_Toc1623903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7" w:name="_Toc16239032"/>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keepNext/>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w:t>
      </w:r>
    </w:p>
    <w:p>
      <w:pPr>
        <w:pStyle w:val="Heading2"/>
      </w:pPr>
      <w:bookmarkStart w:id="8" w:name="_Toc16238908"/>
      <w:bookmarkStart w:id="9" w:name="_Toc16239033"/>
      <w:r>
        <w:rPr>
          <w:rStyle w:val="CharPartNo"/>
        </w:rPr>
        <w:t>Part 2</w:t>
      </w:r>
      <w:r>
        <w:rPr>
          <w:rStyle w:val="CharDivNo"/>
        </w:rPr>
        <w:t> </w:t>
      </w:r>
      <w:r>
        <w:t>—</w:t>
      </w:r>
      <w:r>
        <w:rPr>
          <w:rStyle w:val="CharDivText"/>
        </w:rPr>
        <w:t> </w:t>
      </w:r>
      <w:r>
        <w:rPr>
          <w:rStyle w:val="CharPartText"/>
        </w:rPr>
        <w:t>Council and committee meetings</w:t>
      </w:r>
      <w:bookmarkEnd w:id="8"/>
      <w:bookmarkEnd w:id="9"/>
    </w:p>
    <w:p>
      <w:pPr>
        <w:pStyle w:val="Footnoteheading"/>
      </w:pPr>
      <w:r>
        <w:tab/>
        <w:t>[Heading inserted: Gazette 26 Aug 2011 p. 3482.]</w:t>
      </w:r>
    </w:p>
    <w:p>
      <w:pPr>
        <w:pStyle w:val="Heading5"/>
        <w:spacing w:before="180"/>
        <w:rPr>
          <w:snapToGrid w:val="0"/>
        </w:rPr>
      </w:pPr>
      <w:bookmarkStart w:id="10" w:name="_Toc16239034"/>
      <w:r>
        <w:rPr>
          <w:rStyle w:val="CharSectno"/>
        </w:rPr>
        <w:t>4</w:t>
      </w:r>
      <w:r>
        <w:rPr>
          <w:snapToGrid w:val="0"/>
        </w:rPr>
        <w:t>.</w:t>
      </w:r>
      <w:r>
        <w:rPr>
          <w:snapToGrid w:val="0"/>
        </w:rPr>
        <w:tab/>
        <w:t>Committee members, resignation of</w:t>
      </w:r>
      <w:bookmarkEnd w:id="10"/>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1" w:name="_Toc16239035"/>
      <w:r>
        <w:rPr>
          <w:rStyle w:val="CharSectno"/>
        </w:rPr>
        <w:t>4A</w:t>
      </w:r>
      <w:r>
        <w:t>.</w:t>
      </w:r>
      <w:r>
        <w:tab/>
        <w:t>Matter prescribed for when meeting may be closed to public (Act s. 5.23(2)(h))</w:t>
      </w:r>
      <w:bookmarkEnd w:id="11"/>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12" w:name="_Toc16239036"/>
      <w:r>
        <w:rPr>
          <w:rStyle w:val="CharSectno"/>
        </w:rPr>
        <w:t>5</w:t>
      </w:r>
      <w:r>
        <w:rPr>
          <w:snapToGrid w:val="0"/>
        </w:rPr>
        <w:t>.</w:t>
      </w:r>
      <w:r>
        <w:rPr>
          <w:snapToGrid w:val="0"/>
        </w:rPr>
        <w:tab/>
        <w:t xml:space="preserve">Question time for public, meetings that require prescribed </w:t>
      </w:r>
      <w:r>
        <w:t>(Act </w:t>
      </w:r>
      <w:r>
        <w:rPr>
          <w:snapToGrid w:val="0"/>
        </w:rPr>
        <w:t>s. 5.24)</w:t>
      </w:r>
      <w:bookmarkEnd w:id="12"/>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13" w:name="_Toc16239037"/>
      <w:r>
        <w:rPr>
          <w:rStyle w:val="CharSectno"/>
        </w:rPr>
        <w:t>6</w:t>
      </w:r>
      <w:r>
        <w:rPr>
          <w:snapToGrid w:val="0"/>
        </w:rPr>
        <w:t>.</w:t>
      </w:r>
      <w:r>
        <w:rPr>
          <w:snapToGrid w:val="0"/>
        </w:rPr>
        <w:tab/>
        <w:t xml:space="preserve">Question time for public, minimum time for </w:t>
      </w:r>
      <w:r>
        <w:t>(Act </w:t>
      </w:r>
      <w:r>
        <w:rPr>
          <w:snapToGrid w:val="0"/>
        </w:rPr>
        <w:t>s. 5.24(2))</w:t>
      </w:r>
      <w:bookmarkEnd w:id="13"/>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14" w:name="_Toc16239038"/>
      <w:r>
        <w:rPr>
          <w:rStyle w:val="CharSectno"/>
        </w:rPr>
        <w:t>7</w:t>
      </w:r>
      <w:r>
        <w:rPr>
          <w:snapToGrid w:val="0"/>
        </w:rPr>
        <w:t>.</w:t>
      </w:r>
      <w:r>
        <w:rPr>
          <w:snapToGrid w:val="0"/>
        </w:rPr>
        <w:tab/>
        <w:t xml:space="preserve">Question time for public, procedure for </w:t>
      </w:r>
      <w:r>
        <w:t>(Act </w:t>
      </w:r>
      <w:r>
        <w:rPr>
          <w:snapToGrid w:val="0"/>
        </w:rPr>
        <w:t>s. 5.24(2))</w:t>
      </w:r>
      <w:bookmarkEnd w:id="14"/>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Gazette 28 Jun 2002 p. 3079.]</w:t>
      </w:r>
    </w:p>
    <w:p>
      <w:pPr>
        <w:pStyle w:val="Heading5"/>
        <w:rPr>
          <w:snapToGrid w:val="0"/>
        </w:rPr>
      </w:pPr>
      <w:bookmarkStart w:id="15" w:name="_Toc16239039"/>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15"/>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16" w:name="_Toc16239040"/>
      <w:r>
        <w:rPr>
          <w:rStyle w:val="CharSectno"/>
        </w:rPr>
        <w:t>9</w:t>
      </w:r>
      <w:r>
        <w:rPr>
          <w:snapToGrid w:val="0"/>
        </w:rPr>
        <w:t>.</w:t>
      </w:r>
      <w:r>
        <w:rPr>
          <w:snapToGrid w:val="0"/>
        </w:rPr>
        <w:tab/>
        <w:t xml:space="preserve">Voting to be open </w:t>
      </w:r>
      <w:r>
        <w:t>(Act </w:t>
      </w:r>
      <w:r>
        <w:rPr>
          <w:snapToGrid w:val="0"/>
        </w:rPr>
        <w:t>s. 5.25(1)(d))</w:t>
      </w:r>
      <w:bookmarkEnd w:id="16"/>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17" w:name="_Toc16239041"/>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17"/>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w:t>
      </w:r>
    </w:p>
    <w:p>
      <w:pPr>
        <w:pStyle w:val="Heading5"/>
        <w:rPr>
          <w:snapToGrid w:val="0"/>
        </w:rPr>
      </w:pPr>
      <w:bookmarkStart w:id="18" w:name="_Toc16239042"/>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18"/>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Gazette 23 Apr 1999 p. 1717.]</w:t>
      </w:r>
    </w:p>
    <w:p>
      <w:pPr>
        <w:pStyle w:val="Heading5"/>
        <w:rPr>
          <w:snapToGrid w:val="0"/>
        </w:rPr>
      </w:pPr>
      <w:bookmarkStart w:id="19" w:name="_Toc16239043"/>
      <w:r>
        <w:rPr>
          <w:rStyle w:val="CharSectno"/>
        </w:rPr>
        <w:t>12</w:t>
      </w:r>
      <w:r>
        <w:rPr>
          <w:snapToGrid w:val="0"/>
        </w:rPr>
        <w:t>.</w:t>
      </w:r>
      <w:r>
        <w:rPr>
          <w:snapToGrid w:val="0"/>
        </w:rPr>
        <w:tab/>
        <w:t xml:space="preserve">Meetings, public notice of </w:t>
      </w:r>
      <w:r>
        <w:t>(Act </w:t>
      </w:r>
      <w:r>
        <w:rPr>
          <w:snapToGrid w:val="0"/>
        </w:rPr>
        <w:t>s. 5.25(1)(g))</w:t>
      </w:r>
      <w:bookmarkEnd w:id="19"/>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20" w:name="_Toc16239044"/>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20"/>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21" w:name="_Toc16239045"/>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21"/>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w:t>
      </w:r>
    </w:p>
    <w:p>
      <w:pPr>
        <w:pStyle w:val="Heading5"/>
      </w:pPr>
      <w:bookmarkStart w:id="22" w:name="_Toc16239046"/>
      <w:r>
        <w:rPr>
          <w:rStyle w:val="CharSectno"/>
        </w:rPr>
        <w:t>14A</w:t>
      </w:r>
      <w:r>
        <w:t>.</w:t>
      </w:r>
      <w:r>
        <w:tab/>
        <w:t>Attendance by telephone etc. (Act s. 5.25(1)(ba))</w:t>
      </w:r>
      <w:bookmarkEnd w:id="22"/>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Gazette 31 Mar 2005 p. 1031; amended: Gazette 4 Mar 2016 p. 649</w:t>
      </w:r>
      <w:r>
        <w:noBreakHyphen/>
        <w:t>50.]</w:t>
      </w:r>
    </w:p>
    <w:p>
      <w:pPr>
        <w:pStyle w:val="Heading5"/>
      </w:pPr>
      <w:bookmarkStart w:id="23" w:name="_Toc16239047"/>
      <w:r>
        <w:rPr>
          <w:rStyle w:val="CharSectno"/>
        </w:rPr>
        <w:t>14B</w:t>
      </w:r>
      <w:r>
        <w:t>.</w:t>
      </w:r>
      <w:r>
        <w:tab/>
        <w:t>Attendance by telephone etc. after natural disaster (Act s. 5.25(1)(ba))</w:t>
      </w:r>
      <w:bookmarkEnd w:id="23"/>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In this regulation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Gazette 31 Mar 2005 p. 1031</w:t>
      </w:r>
      <w:r>
        <w:noBreakHyphen/>
        <w:t>2; amended: Gazette 19 Aug 2005 p. 3872.]</w:t>
      </w:r>
    </w:p>
    <w:p>
      <w:pPr>
        <w:pStyle w:val="Heading2"/>
      </w:pPr>
      <w:bookmarkStart w:id="24" w:name="_Toc16238923"/>
      <w:bookmarkStart w:id="25" w:name="_Toc16239048"/>
      <w:r>
        <w:rPr>
          <w:rStyle w:val="CharPartNo"/>
        </w:rPr>
        <w:t>Part 3</w:t>
      </w:r>
      <w:r>
        <w:rPr>
          <w:rStyle w:val="CharDivNo"/>
        </w:rPr>
        <w:t> </w:t>
      </w:r>
      <w:r>
        <w:t>—</w:t>
      </w:r>
      <w:r>
        <w:rPr>
          <w:rStyle w:val="CharDivText"/>
        </w:rPr>
        <w:t> </w:t>
      </w:r>
      <w:r>
        <w:rPr>
          <w:rStyle w:val="CharPartText"/>
        </w:rPr>
        <w:t>Electors’ meetings</w:t>
      </w:r>
      <w:bookmarkEnd w:id="24"/>
      <w:bookmarkEnd w:id="25"/>
    </w:p>
    <w:p>
      <w:pPr>
        <w:pStyle w:val="Footnoteheading"/>
      </w:pPr>
      <w:r>
        <w:tab/>
        <w:t>[Heading inserted: Gazette 26 Aug 2011 p. 3482.]</w:t>
      </w:r>
    </w:p>
    <w:p>
      <w:pPr>
        <w:pStyle w:val="Heading5"/>
        <w:rPr>
          <w:snapToGrid w:val="0"/>
        </w:rPr>
      </w:pPr>
      <w:bookmarkStart w:id="26" w:name="_Toc16239049"/>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26"/>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27" w:name="_Toc16239050"/>
      <w:r>
        <w:rPr>
          <w:rStyle w:val="CharSectno"/>
        </w:rPr>
        <w:t>16</w:t>
      </w:r>
      <w:r>
        <w:rPr>
          <w:snapToGrid w:val="0"/>
        </w:rPr>
        <w:t>.</w:t>
      </w:r>
      <w:r>
        <w:rPr>
          <w:snapToGrid w:val="0"/>
        </w:rPr>
        <w:tab/>
        <w:t>Request for special meeting, form of (Act s. 5.28(2))</w:t>
      </w:r>
      <w:bookmarkEnd w:id="27"/>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28" w:name="_Toc16239051"/>
      <w:r>
        <w:rPr>
          <w:rStyle w:val="CharSectno"/>
        </w:rPr>
        <w:t>17</w:t>
      </w:r>
      <w:r>
        <w:rPr>
          <w:snapToGrid w:val="0"/>
        </w:rPr>
        <w:t>.</w:t>
      </w:r>
      <w:r>
        <w:rPr>
          <w:snapToGrid w:val="0"/>
        </w:rPr>
        <w:tab/>
        <w:t>Voting at meeting </w:t>
      </w:r>
      <w:r>
        <w:t>(Act </w:t>
      </w:r>
      <w:r>
        <w:rPr>
          <w:snapToGrid w:val="0"/>
        </w:rPr>
        <w:t>s. 5.31)</w:t>
      </w:r>
      <w:bookmarkEnd w:id="28"/>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29" w:name="_Toc16239052"/>
      <w:r>
        <w:rPr>
          <w:rStyle w:val="CharSectno"/>
        </w:rPr>
        <w:t>18</w:t>
      </w:r>
      <w:r>
        <w:rPr>
          <w:snapToGrid w:val="0"/>
        </w:rPr>
        <w:t>.</w:t>
      </w:r>
      <w:r>
        <w:rPr>
          <w:snapToGrid w:val="0"/>
        </w:rPr>
        <w:tab/>
        <w:t>Procedure at meeting </w:t>
      </w:r>
      <w:r>
        <w:t>(Act </w:t>
      </w:r>
      <w:r>
        <w:rPr>
          <w:snapToGrid w:val="0"/>
        </w:rPr>
        <w:t>s. 5.31)</w:t>
      </w:r>
      <w:bookmarkEnd w:id="29"/>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30" w:name="_Toc16238928"/>
      <w:bookmarkStart w:id="31" w:name="_Toc16239053"/>
      <w:r>
        <w:rPr>
          <w:rStyle w:val="CharPartNo"/>
        </w:rPr>
        <w:t>Part 4</w:t>
      </w:r>
      <w:r>
        <w:rPr>
          <w:rStyle w:val="CharDivNo"/>
        </w:rPr>
        <w:t> </w:t>
      </w:r>
      <w:r>
        <w:t>—</w:t>
      </w:r>
      <w:r>
        <w:rPr>
          <w:rStyle w:val="CharDivText"/>
        </w:rPr>
        <w:t> </w:t>
      </w:r>
      <w:r>
        <w:rPr>
          <w:rStyle w:val="CharPartText"/>
        </w:rPr>
        <w:t>Local government employees</w:t>
      </w:r>
      <w:bookmarkEnd w:id="30"/>
      <w:bookmarkEnd w:id="31"/>
    </w:p>
    <w:p>
      <w:pPr>
        <w:pStyle w:val="Footnoteheading"/>
      </w:pPr>
      <w:r>
        <w:tab/>
        <w:t>[Heading inserted: Gazette 26 Aug 2011 p. 3482.]</w:t>
      </w:r>
    </w:p>
    <w:p>
      <w:pPr>
        <w:pStyle w:val="Heading5"/>
      </w:pPr>
      <w:bookmarkStart w:id="32" w:name="_Toc16239054"/>
      <w:r>
        <w:rPr>
          <w:rStyle w:val="CharSectno"/>
        </w:rPr>
        <w:t>18A</w:t>
      </w:r>
      <w:r>
        <w:t>.</w:t>
      </w:r>
      <w:r>
        <w:tab/>
        <w:t>Vacancy in position of CEO or senior employee to be advertised (Act s. 5.36(4) and 5.37(3))</w:t>
      </w:r>
      <w:bookmarkEnd w:id="32"/>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w:t>
      </w:r>
    </w:p>
    <w:p>
      <w:pPr>
        <w:pStyle w:val="Heading5"/>
      </w:pPr>
      <w:bookmarkStart w:id="33" w:name="_Toc16239055"/>
      <w:r>
        <w:rPr>
          <w:rStyle w:val="CharSectno"/>
        </w:rPr>
        <w:t>18B</w:t>
      </w:r>
      <w:r>
        <w:t>.</w:t>
      </w:r>
      <w:r>
        <w:tab/>
        <w:t>Contracts of CEOs and senior employees, content of (Act s. 5.39(3)(c))</w:t>
      </w:r>
      <w:bookmarkEnd w:id="33"/>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Heading5"/>
      </w:pPr>
      <w:bookmarkStart w:id="34" w:name="_Toc16239056"/>
      <w:r>
        <w:rPr>
          <w:rStyle w:val="CharSectno"/>
        </w:rPr>
        <w:t>18C</w:t>
      </w:r>
      <w:r>
        <w:t>.</w:t>
      </w:r>
      <w:r>
        <w:tab/>
        <w:t>Selection and appointment process for CEOs</w:t>
      </w:r>
      <w:bookmarkEnd w:id="34"/>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Gazette 31 Mar 2005 p. 1038.]</w:t>
      </w:r>
    </w:p>
    <w:p>
      <w:pPr>
        <w:pStyle w:val="Heading5"/>
      </w:pPr>
      <w:bookmarkStart w:id="35" w:name="_Toc16239057"/>
      <w:r>
        <w:rPr>
          <w:rStyle w:val="CharSectno"/>
        </w:rPr>
        <w:t>18D</w:t>
      </w:r>
      <w:r>
        <w:t>.</w:t>
      </w:r>
      <w:r>
        <w:tab/>
        <w:t>Performance review of CEO, local government’s duties as to</w:t>
      </w:r>
      <w:bookmarkEnd w:id="35"/>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Gazette 31 Mar 2005 p. 1038.]</w:t>
      </w:r>
    </w:p>
    <w:p>
      <w:pPr>
        <w:pStyle w:val="Heading5"/>
      </w:pPr>
      <w:bookmarkStart w:id="36" w:name="_Toc16239058"/>
      <w:r>
        <w:rPr>
          <w:rStyle w:val="CharSectno"/>
        </w:rPr>
        <w:t>18E</w:t>
      </w:r>
      <w:r>
        <w:t>.</w:t>
      </w:r>
      <w:r>
        <w:tab/>
        <w:t>False information in application for CEO position, offence</w:t>
      </w:r>
      <w:bookmarkEnd w:id="36"/>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37" w:name="_Toc16239059"/>
      <w:r>
        <w:rPr>
          <w:rStyle w:val="CharSectno"/>
        </w:rPr>
        <w:t>18F</w:t>
      </w:r>
      <w:r>
        <w:t>.</w:t>
      </w:r>
      <w:r>
        <w:tab/>
        <w:t>Remuneration and benefits of CEO to be as advertised</w:t>
      </w:r>
      <w:bookmarkEnd w:id="37"/>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38" w:name="_Toc16239060"/>
      <w:r>
        <w:rPr>
          <w:rStyle w:val="CharSectno"/>
        </w:rPr>
        <w:t>18G</w:t>
      </w:r>
      <w:r>
        <w:t>.</w:t>
      </w:r>
      <w:r>
        <w:tab/>
        <w:t>Delegations to CEOs, limits on (Act s. 5.43)</w:t>
      </w:r>
      <w:bookmarkEnd w:id="38"/>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39" w:name="_Toc16239061"/>
      <w:r>
        <w:rPr>
          <w:rStyle w:val="CharSectno"/>
        </w:rPr>
        <w:t>19</w:t>
      </w:r>
      <w:r>
        <w:rPr>
          <w:snapToGrid w:val="0"/>
        </w:rPr>
        <w:t>.</w:t>
      </w:r>
      <w:r>
        <w:rPr>
          <w:snapToGrid w:val="0"/>
        </w:rPr>
        <w:tab/>
        <w:t xml:space="preserve">Delegates to keep certain records </w:t>
      </w:r>
      <w:r>
        <w:t>(Act </w:t>
      </w:r>
      <w:r>
        <w:rPr>
          <w:snapToGrid w:val="0"/>
        </w:rPr>
        <w:t>s. 5.46(3))</w:t>
      </w:r>
      <w:bookmarkEnd w:id="39"/>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40" w:name="_Toc16239062"/>
      <w:r>
        <w:rPr>
          <w:rStyle w:val="CharSectno"/>
        </w:rPr>
        <w:t>19A</w:t>
      </w:r>
      <w:r>
        <w:t>.</w:t>
      </w:r>
      <w:r>
        <w:tab/>
        <w:t>Payments in addition to contract or award, limits of (Act s. 5.50(3))</w:t>
      </w:r>
      <w:bookmarkEnd w:id="40"/>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41" w:name="_Toc16238938"/>
      <w:bookmarkStart w:id="42" w:name="_Toc16239063"/>
      <w:r>
        <w:rPr>
          <w:rStyle w:val="CharPartNo"/>
        </w:rPr>
        <w:t>Part 5</w:t>
      </w:r>
      <w:r>
        <w:t> — </w:t>
      </w:r>
      <w:r>
        <w:rPr>
          <w:rStyle w:val="CharPartText"/>
        </w:rPr>
        <w:t>Annual reports and planning</w:t>
      </w:r>
      <w:bookmarkEnd w:id="41"/>
      <w:bookmarkEnd w:id="42"/>
    </w:p>
    <w:p>
      <w:pPr>
        <w:pStyle w:val="Footnoteheading"/>
      </w:pPr>
      <w:r>
        <w:tab/>
        <w:t>[Heading inserted: Gazette 26 Aug 2011 p. 3482.]</w:t>
      </w:r>
    </w:p>
    <w:p>
      <w:pPr>
        <w:pStyle w:val="Heading3"/>
      </w:pPr>
      <w:bookmarkStart w:id="43" w:name="_Toc16238939"/>
      <w:bookmarkStart w:id="44" w:name="_Toc16239064"/>
      <w:r>
        <w:rPr>
          <w:rStyle w:val="CharDivNo"/>
        </w:rPr>
        <w:t>Division 1</w:t>
      </w:r>
      <w:r>
        <w:t> — </w:t>
      </w:r>
      <w:r>
        <w:rPr>
          <w:rStyle w:val="CharDivText"/>
        </w:rPr>
        <w:t>Preliminary</w:t>
      </w:r>
      <w:bookmarkEnd w:id="43"/>
      <w:bookmarkEnd w:id="44"/>
    </w:p>
    <w:p>
      <w:pPr>
        <w:pStyle w:val="Footnoteheading"/>
      </w:pPr>
      <w:r>
        <w:tab/>
        <w:t>[Heading inserted: Gazette 26 Aug 2011 p. 3482.]</w:t>
      </w:r>
    </w:p>
    <w:p>
      <w:pPr>
        <w:pStyle w:val="Heading5"/>
      </w:pPr>
      <w:bookmarkStart w:id="45" w:name="_Toc16239065"/>
      <w:r>
        <w:rPr>
          <w:rStyle w:val="CharSectno"/>
        </w:rPr>
        <w:t>19BA</w:t>
      </w:r>
      <w:r>
        <w:t>.</w:t>
      </w:r>
      <w:r>
        <w:tab/>
        <w:t>Terms used</w:t>
      </w:r>
      <w:bookmarkEnd w:id="45"/>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46" w:name="_Toc16238941"/>
      <w:bookmarkStart w:id="47" w:name="_Toc16239066"/>
      <w:r>
        <w:rPr>
          <w:rStyle w:val="CharDivNo"/>
        </w:rPr>
        <w:t>Division 2</w:t>
      </w:r>
      <w:r>
        <w:t> — </w:t>
      </w:r>
      <w:r>
        <w:rPr>
          <w:rStyle w:val="CharDivText"/>
        </w:rPr>
        <w:t>Annual reports</w:t>
      </w:r>
      <w:bookmarkEnd w:id="46"/>
      <w:bookmarkEnd w:id="47"/>
    </w:p>
    <w:p>
      <w:pPr>
        <w:pStyle w:val="Footnoteheading"/>
      </w:pPr>
      <w:r>
        <w:tab/>
        <w:t>[Heading inserted: Gazette 26 Aug 2011 p. 3483.]</w:t>
      </w:r>
    </w:p>
    <w:p>
      <w:pPr>
        <w:pStyle w:val="Heading5"/>
      </w:pPr>
      <w:bookmarkStart w:id="48" w:name="_Toc16239067"/>
      <w:r>
        <w:rPr>
          <w:rStyle w:val="CharSectno"/>
        </w:rPr>
        <w:t>19B</w:t>
      </w:r>
      <w:r>
        <w:t>.</w:t>
      </w:r>
      <w:r>
        <w:tab/>
        <w:t>Information about numbers of certain employees to be included (Act s. 5.53(2)(g))</w:t>
      </w:r>
      <w:bookmarkEnd w:id="48"/>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Gazette 31 Mar 2005 p. 1032.]</w:t>
      </w:r>
    </w:p>
    <w:p>
      <w:pPr>
        <w:pStyle w:val="Heading5"/>
      </w:pPr>
      <w:bookmarkStart w:id="49" w:name="_Toc16239068"/>
      <w:r>
        <w:rPr>
          <w:rStyle w:val="CharSectno"/>
        </w:rPr>
        <w:t>19CA</w:t>
      </w:r>
      <w:r>
        <w:t>.</w:t>
      </w:r>
      <w:r>
        <w:tab/>
        <w:t>Information about modifications to certain plans to be included (Act s. 5.53(2)(i))</w:t>
      </w:r>
      <w:bookmarkEnd w:id="49"/>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Gazette 26 Aug 2011 p. 3483.]</w:t>
      </w:r>
    </w:p>
    <w:p>
      <w:pPr>
        <w:pStyle w:val="Heading3"/>
      </w:pPr>
      <w:bookmarkStart w:id="50" w:name="_Toc16238944"/>
      <w:bookmarkStart w:id="51" w:name="_Toc16239069"/>
      <w:r>
        <w:rPr>
          <w:rStyle w:val="CharDivNo"/>
        </w:rPr>
        <w:t>Division 3</w:t>
      </w:r>
      <w:r>
        <w:t> — </w:t>
      </w:r>
      <w:r>
        <w:rPr>
          <w:rStyle w:val="CharDivText"/>
        </w:rPr>
        <w:t>Planning for the future</w:t>
      </w:r>
      <w:bookmarkEnd w:id="50"/>
      <w:bookmarkEnd w:id="51"/>
    </w:p>
    <w:p>
      <w:pPr>
        <w:pStyle w:val="Footnoteheading"/>
        <w:spacing w:before="100"/>
      </w:pPr>
      <w:r>
        <w:tab/>
        <w:t>[Heading inserted: Gazette 26 Aug 2011 p. 3483.]</w:t>
      </w:r>
    </w:p>
    <w:p>
      <w:pPr>
        <w:pStyle w:val="Heading5"/>
      </w:pPr>
      <w:bookmarkStart w:id="52" w:name="_Toc16239070"/>
      <w:r>
        <w:rPr>
          <w:rStyle w:val="CharSectno"/>
        </w:rPr>
        <w:t>19C</w:t>
      </w:r>
      <w:r>
        <w:t>.</w:t>
      </w:r>
      <w:r>
        <w:tab/>
        <w:t>Strategic community plans, requirements for (Act s. 5.56)</w:t>
      </w:r>
      <w:bookmarkEnd w:id="52"/>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53" w:name="_Toc16239071"/>
      <w:r>
        <w:rPr>
          <w:rStyle w:val="CharSectno"/>
        </w:rPr>
        <w:t>19DA</w:t>
      </w:r>
      <w:r>
        <w:t>.</w:t>
      </w:r>
      <w:r>
        <w:tab/>
        <w:t>Corporate business plans, requirements for (Act s. 5.56)</w:t>
      </w:r>
      <w:bookmarkEnd w:id="53"/>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54" w:name="_Toc16239072"/>
      <w:r>
        <w:rPr>
          <w:rStyle w:val="CharSectno"/>
        </w:rPr>
        <w:t>19DB</w:t>
      </w:r>
      <w:r>
        <w:t>.</w:t>
      </w:r>
      <w:r>
        <w:tab/>
        <w:t>Transitional provisions for plans for the future until 30 June 2013</w:t>
      </w:r>
      <w:bookmarkEnd w:id="54"/>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Gazette 26 Aug 2011 p. 3485-6.]</w:t>
      </w:r>
    </w:p>
    <w:p>
      <w:pPr>
        <w:pStyle w:val="Heading5"/>
      </w:pPr>
      <w:bookmarkStart w:id="55" w:name="_Toc16239073"/>
      <w:r>
        <w:rPr>
          <w:rStyle w:val="CharSectno"/>
        </w:rPr>
        <w:t>19D</w:t>
      </w:r>
      <w:r>
        <w:t>.</w:t>
      </w:r>
      <w:r>
        <w:tab/>
        <w:t>Adoption of plan, public notice of to be given</w:t>
      </w:r>
      <w:bookmarkEnd w:id="55"/>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Gazette 31 Mar 2005 p. 1033</w:t>
      </w:r>
      <w:r>
        <w:noBreakHyphen/>
        <w:t>4; amended: Gazette 26 Aug 2011 p. 3486.]</w:t>
      </w:r>
    </w:p>
    <w:p>
      <w:pPr>
        <w:pStyle w:val="Heading2"/>
      </w:pPr>
      <w:bookmarkStart w:id="56" w:name="_Toc16238949"/>
      <w:bookmarkStart w:id="57" w:name="_Toc16239074"/>
      <w:r>
        <w:rPr>
          <w:rStyle w:val="CharPartNo"/>
        </w:rPr>
        <w:t>Part 6</w:t>
      </w:r>
      <w:r>
        <w:rPr>
          <w:rStyle w:val="CharDivNo"/>
        </w:rPr>
        <w:t> </w:t>
      </w:r>
      <w:r>
        <w:t>—</w:t>
      </w:r>
      <w:r>
        <w:rPr>
          <w:rStyle w:val="CharDivText"/>
        </w:rPr>
        <w:t> </w:t>
      </w:r>
      <w:r>
        <w:rPr>
          <w:rStyle w:val="CharPartText"/>
        </w:rPr>
        <w:t>Disclosure of financial interests</w:t>
      </w:r>
      <w:bookmarkEnd w:id="56"/>
      <w:bookmarkEnd w:id="57"/>
    </w:p>
    <w:p>
      <w:pPr>
        <w:pStyle w:val="Footnoteheading"/>
      </w:pPr>
      <w:r>
        <w:tab/>
        <w:t>[Heading inserted: Gazette 26 Aug 2011 p. 3487.]</w:t>
      </w:r>
    </w:p>
    <w:p>
      <w:pPr>
        <w:pStyle w:val="Heading5"/>
      </w:pPr>
      <w:bookmarkStart w:id="58" w:name="_Toc16239075"/>
      <w:r>
        <w:rPr>
          <w:rStyle w:val="CharSectno"/>
        </w:rPr>
        <w:t>20</w:t>
      </w:r>
      <w:r>
        <w:t>.</w:t>
      </w:r>
      <w:r>
        <w:tab/>
        <w:t>Closely associated persons, matters prescribed for (Act s. 5.62)</w:t>
      </w:r>
      <w:bookmarkEnd w:id="58"/>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59" w:name="_Toc16239076"/>
      <w:r>
        <w:rPr>
          <w:rStyle w:val="CharSectno"/>
        </w:rPr>
        <w:t>21</w:t>
      </w:r>
      <w:r>
        <w:t>.</w:t>
      </w:r>
      <w:r>
        <w:tab/>
        <w:t>Interests that need not be disclosed (Act s. 5.63(1)(h))</w:t>
      </w:r>
      <w:bookmarkEnd w:id="59"/>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an interest relating to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Gazette 28 Jun 2002 p. 3080</w:t>
      </w:r>
      <w:r>
        <w:noBreakHyphen/>
        <w:t>1; amended: Gazette 21 Aug 2007 p. 4189.]</w:t>
      </w:r>
    </w:p>
    <w:p>
      <w:pPr>
        <w:pStyle w:val="Heading5"/>
        <w:rPr>
          <w:snapToGrid w:val="0"/>
        </w:rPr>
      </w:pPr>
      <w:bookmarkStart w:id="60" w:name="_Toc16239077"/>
      <w:r>
        <w:rPr>
          <w:rStyle w:val="CharSectno"/>
        </w:rPr>
        <w:t>22</w:t>
      </w:r>
      <w:r>
        <w:rPr>
          <w:snapToGrid w:val="0"/>
        </w:rPr>
        <w:t>.</w:t>
      </w:r>
      <w:r>
        <w:rPr>
          <w:snapToGrid w:val="0"/>
        </w:rPr>
        <w:tab/>
        <w:t xml:space="preserve">Primary returns, form of </w:t>
      </w:r>
      <w:r>
        <w:t>(Act </w:t>
      </w:r>
      <w:r>
        <w:rPr>
          <w:snapToGrid w:val="0"/>
        </w:rPr>
        <w:t>s. 5.75(1) and (2))</w:t>
      </w:r>
      <w:bookmarkEnd w:id="60"/>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61" w:name="_Toc16239078"/>
      <w:r>
        <w:rPr>
          <w:rStyle w:val="CharSectno"/>
        </w:rPr>
        <w:t>23</w:t>
      </w:r>
      <w:r>
        <w:rPr>
          <w:snapToGrid w:val="0"/>
        </w:rPr>
        <w:t>.</w:t>
      </w:r>
      <w:r>
        <w:rPr>
          <w:snapToGrid w:val="0"/>
        </w:rPr>
        <w:tab/>
        <w:t xml:space="preserve">Annual returns, form of </w:t>
      </w:r>
      <w:r>
        <w:t>(Act </w:t>
      </w:r>
      <w:r>
        <w:rPr>
          <w:snapToGrid w:val="0"/>
        </w:rPr>
        <w:t>s. 5.76(1) and (2))</w:t>
      </w:r>
      <w:bookmarkEnd w:id="61"/>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62" w:name="_Toc16239079"/>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62"/>
    </w:p>
    <w:p>
      <w:pPr>
        <w:pStyle w:val="Subsection"/>
        <w:rPr>
          <w:snapToGrid w:val="0"/>
        </w:rPr>
      </w:pPr>
      <w:r>
        <w:rPr>
          <w:snapToGrid w:val="0"/>
        </w:rPr>
        <w:tab/>
      </w:r>
      <w:r>
        <w:rPr>
          <w:snapToGrid w:val="0"/>
        </w:rPr>
        <w:tab/>
        <w:t>The amount of income prescribed for the purposes of section 5.80(3) is $500.</w:t>
      </w:r>
    </w:p>
    <w:p>
      <w:pPr>
        <w:pStyle w:val="Heading5"/>
      </w:pPr>
      <w:bookmarkStart w:id="63" w:name="_Toc16239080"/>
      <w:r>
        <w:rPr>
          <w:rStyle w:val="CharSectno"/>
        </w:rPr>
        <w:t>25</w:t>
      </w:r>
      <w:r>
        <w:t>.</w:t>
      </w:r>
      <w:r>
        <w:tab/>
        <w:t>Amount of gift prescribed (Act s. 5.82(2)(a))</w:t>
      </w:r>
      <w:bookmarkEnd w:id="63"/>
    </w:p>
    <w:p>
      <w:pPr>
        <w:pStyle w:val="Subsection"/>
      </w:pPr>
      <w:r>
        <w:tab/>
        <w:t>(1)</w:t>
      </w:r>
      <w:r>
        <w:tab/>
        <w:t xml:space="preserve">The amount of a gift prescribed for the purposes of section 5.82(2)(a)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5.82 on or after commencement day.</w:t>
      </w:r>
    </w:p>
    <w:p>
      <w:pPr>
        <w:pStyle w:val="Subsection"/>
      </w:pPr>
      <w:r>
        <w:tab/>
        <w:t>(2)</w:t>
      </w:r>
      <w:r>
        <w:tab/>
        <w:t xml:space="preserve">In subregulation (1) — </w:t>
      </w:r>
    </w:p>
    <w:p>
      <w:pPr>
        <w:pStyle w:val="Defstar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25 inserted: Gazette 4 Mar 2016 p. 651.]</w:t>
      </w:r>
    </w:p>
    <w:p>
      <w:pPr>
        <w:pStyle w:val="Heading5"/>
      </w:pPr>
      <w:bookmarkStart w:id="64" w:name="_Toc16239081"/>
      <w:r>
        <w:rPr>
          <w:rStyle w:val="CharSectno"/>
        </w:rPr>
        <w:t>26</w:t>
      </w:r>
      <w:r>
        <w:t>.</w:t>
      </w:r>
      <w:r>
        <w:tab/>
        <w:t>Amount of contribution to travel prescribed (Act s. 5.83(2)(d))</w:t>
      </w:r>
      <w:bookmarkEnd w:id="64"/>
    </w:p>
    <w:p>
      <w:pPr>
        <w:pStyle w:val="Subsection"/>
      </w:pPr>
      <w:r>
        <w:tab/>
        <w:t>(1)</w:t>
      </w:r>
      <w:r>
        <w:tab/>
        <w:t xml:space="preserve">The amount of a contribution to travel prescribed for the purposes of section 5.83(2)(d)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5.83 on or after commencement day.</w:t>
      </w:r>
    </w:p>
    <w:p>
      <w:pPr>
        <w:pStyle w:val="Subsection"/>
      </w:pPr>
      <w:r>
        <w:tab/>
        <w:t>(2)</w:t>
      </w:r>
      <w:r>
        <w:tab/>
        <w:t xml:space="preserve">In subregulation (1) — </w:t>
      </w:r>
    </w:p>
    <w:p>
      <w:pPr>
        <w:pStyle w:val="Defstar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26 inserted: Gazette 4 Mar 2016 p. 651</w:t>
      </w:r>
      <w:r>
        <w:noBreakHyphen/>
        <w:t>2.]</w:t>
      </w:r>
    </w:p>
    <w:p>
      <w:pPr>
        <w:pStyle w:val="Heading5"/>
        <w:rPr>
          <w:snapToGrid w:val="0"/>
        </w:rPr>
      </w:pPr>
      <w:bookmarkStart w:id="65" w:name="_Toc16239082"/>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65"/>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66" w:name="_Toc16239083"/>
      <w:r>
        <w:rPr>
          <w:rStyle w:val="CharSectno"/>
        </w:rPr>
        <w:t>28</w:t>
      </w:r>
      <w:r>
        <w:rPr>
          <w:snapToGrid w:val="0"/>
        </w:rPr>
        <w:t>.</w:t>
      </w:r>
      <w:r>
        <w:rPr>
          <w:snapToGrid w:val="0"/>
        </w:rPr>
        <w:tab/>
        <w:t xml:space="preserve">Register of financial interests, form of </w:t>
      </w:r>
      <w:r>
        <w:t>(Act </w:t>
      </w:r>
      <w:r>
        <w:rPr>
          <w:snapToGrid w:val="0"/>
        </w:rPr>
        <w:t>s. 5.88(2))</w:t>
      </w:r>
      <w:bookmarkEnd w:id="66"/>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pPr>
      <w:bookmarkStart w:id="67" w:name="_Toc16239084"/>
      <w:r>
        <w:rPr>
          <w:rStyle w:val="CharSectno"/>
        </w:rPr>
        <w:t>28A</w:t>
      </w:r>
      <w:r>
        <w:t>.</w:t>
      </w:r>
      <w:r>
        <w:tab/>
        <w:t>Register of gifts and contributions to travel, form of (Act s. 5.89A(3))</w:t>
      </w:r>
      <w:bookmarkEnd w:id="67"/>
    </w:p>
    <w:p>
      <w:pPr>
        <w:pStyle w:val="Subsection"/>
      </w:pPr>
      <w:r>
        <w:tab/>
      </w:r>
      <w:r>
        <w:tab/>
        <w:t>The register of gifts and contributions to travel is to be in the form of Form 4.</w:t>
      </w:r>
    </w:p>
    <w:p>
      <w:pPr>
        <w:pStyle w:val="Footnotesection"/>
      </w:pPr>
      <w:r>
        <w:tab/>
        <w:t>[Regulation 28A inserted: Gazette 4 Mar 2016 p. 652.]</w:t>
      </w:r>
    </w:p>
    <w:p>
      <w:pPr>
        <w:pStyle w:val="Heading2"/>
      </w:pPr>
      <w:bookmarkStart w:id="68" w:name="_Toc16238960"/>
      <w:bookmarkStart w:id="69" w:name="_Toc16239085"/>
      <w:r>
        <w:rPr>
          <w:rStyle w:val="CharPartNo"/>
        </w:rPr>
        <w:t>Part 7</w:t>
      </w:r>
      <w:r>
        <w:rPr>
          <w:rStyle w:val="CharDivNo"/>
        </w:rPr>
        <w:t> </w:t>
      </w:r>
      <w:r>
        <w:t>—</w:t>
      </w:r>
      <w:r>
        <w:rPr>
          <w:rStyle w:val="CharDivText"/>
        </w:rPr>
        <w:t> </w:t>
      </w:r>
      <w:r>
        <w:rPr>
          <w:rStyle w:val="CharPartText"/>
        </w:rPr>
        <w:t>Access to information</w:t>
      </w:r>
      <w:bookmarkEnd w:id="68"/>
      <w:bookmarkEnd w:id="69"/>
    </w:p>
    <w:p>
      <w:pPr>
        <w:pStyle w:val="Footnoteheading"/>
        <w:spacing w:before="100"/>
      </w:pPr>
      <w:r>
        <w:tab/>
        <w:t>[Heading inserted: Gazette 26 Aug 2011 p. 3487.]</w:t>
      </w:r>
    </w:p>
    <w:p>
      <w:pPr>
        <w:pStyle w:val="Heading5"/>
        <w:rPr>
          <w:snapToGrid w:val="0"/>
        </w:rPr>
      </w:pPr>
      <w:bookmarkStart w:id="70" w:name="_Toc16239086"/>
      <w:r>
        <w:rPr>
          <w:rStyle w:val="CharSectno"/>
        </w:rPr>
        <w:t>29</w:t>
      </w:r>
      <w:r>
        <w:rPr>
          <w:snapToGrid w:val="0"/>
        </w:rPr>
        <w:t>.</w:t>
      </w:r>
      <w:r>
        <w:rPr>
          <w:snapToGrid w:val="0"/>
        </w:rPr>
        <w:tab/>
        <w:t xml:space="preserve">Information to be available for public inspection </w:t>
      </w:r>
      <w:r>
        <w:t>(Act </w:t>
      </w:r>
      <w:r>
        <w:rPr>
          <w:snapToGrid w:val="0"/>
        </w:rPr>
        <w:t>s. 5.94)</w:t>
      </w:r>
      <w:bookmarkEnd w:id="70"/>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Gazette 23 Apr 1999 p. 1718; 25 Feb 2000 p. 969; 21 Aug 2007 p. 4189</w:t>
      </w:r>
      <w:r>
        <w:noBreakHyphen/>
        <w:t>90.]</w:t>
      </w:r>
    </w:p>
    <w:p>
      <w:pPr>
        <w:pStyle w:val="Heading5"/>
      </w:pPr>
      <w:bookmarkStart w:id="71" w:name="_Toc16239087"/>
      <w:r>
        <w:rPr>
          <w:rStyle w:val="CharSectno"/>
        </w:rPr>
        <w:t>29A</w:t>
      </w:r>
      <w:r>
        <w:t>.</w:t>
      </w:r>
      <w:r>
        <w:tab/>
        <w:t>Limits on right to inspect local government information (Act s. 5.95)</w:t>
      </w:r>
      <w:bookmarkEnd w:id="71"/>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w:t>
      </w:r>
    </w:p>
    <w:p>
      <w:pPr>
        <w:pStyle w:val="Heading5"/>
      </w:pPr>
      <w:bookmarkStart w:id="72" w:name="_Toc16239088"/>
      <w:r>
        <w:rPr>
          <w:rStyle w:val="CharSectno"/>
        </w:rPr>
        <w:t>29B</w:t>
      </w:r>
      <w:r>
        <w:t>.</w:t>
      </w:r>
      <w:r>
        <w:tab/>
        <w:t>Copies of certain information not to be provided (Act s. 5.96)</w:t>
      </w:r>
      <w:bookmarkEnd w:id="72"/>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2"/>
      </w:pPr>
      <w:bookmarkStart w:id="73" w:name="_Toc16238964"/>
      <w:bookmarkStart w:id="74" w:name="_Toc16239089"/>
      <w:r>
        <w:rPr>
          <w:rStyle w:val="CharPartNo"/>
        </w:rPr>
        <w:t>Part 8</w:t>
      </w:r>
      <w:r>
        <w:rPr>
          <w:rStyle w:val="CharDivNo"/>
        </w:rPr>
        <w:t> </w:t>
      </w:r>
      <w:r>
        <w:t>—</w:t>
      </w:r>
      <w:r>
        <w:rPr>
          <w:rStyle w:val="CharDivText"/>
        </w:rPr>
        <w:t> </w:t>
      </w:r>
      <w:r>
        <w:rPr>
          <w:rStyle w:val="CharPartText"/>
        </w:rPr>
        <w:t>Local government payments and gifts to members</w:t>
      </w:r>
      <w:bookmarkEnd w:id="73"/>
      <w:bookmarkEnd w:id="74"/>
    </w:p>
    <w:p>
      <w:pPr>
        <w:pStyle w:val="Footnoteheading"/>
      </w:pPr>
      <w:r>
        <w:tab/>
        <w:t>[Heading inserted: Gazette 26 Aug 2011 p. 3487.]</w:t>
      </w:r>
    </w:p>
    <w:p>
      <w:pPr>
        <w:pStyle w:val="Heading5"/>
        <w:rPr>
          <w:snapToGrid w:val="0"/>
        </w:rPr>
      </w:pPr>
      <w:bookmarkStart w:id="75" w:name="_Toc16239090"/>
      <w:r>
        <w:rPr>
          <w:rStyle w:val="CharSectno"/>
        </w:rPr>
        <w:t>30</w:t>
      </w:r>
      <w:r>
        <w:rPr>
          <w:snapToGrid w:val="0"/>
        </w:rPr>
        <w:t>.</w:t>
      </w:r>
      <w:r>
        <w:rPr>
          <w:snapToGrid w:val="0"/>
        </w:rPr>
        <w:tab/>
        <w:t xml:space="preserve">Meeting attendance fees </w:t>
      </w:r>
      <w:r>
        <w:t>(Act </w:t>
      </w:r>
      <w:r>
        <w:rPr>
          <w:snapToGrid w:val="0"/>
        </w:rPr>
        <w:t>s. 5.98(1) and (2A))</w:t>
      </w:r>
      <w:bookmarkEnd w:id="75"/>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76" w:name="_Toc16239091"/>
      <w:r>
        <w:rPr>
          <w:rStyle w:val="CharSectno"/>
        </w:rPr>
        <w:t>31</w:t>
      </w:r>
      <w:r>
        <w:rPr>
          <w:snapToGrid w:val="0"/>
        </w:rPr>
        <w:t>.</w:t>
      </w:r>
      <w:r>
        <w:rPr>
          <w:snapToGrid w:val="0"/>
        </w:rPr>
        <w:tab/>
        <w:t xml:space="preserve">Expenses to be reimbursed </w:t>
      </w:r>
      <w:r>
        <w:t>(Act </w:t>
      </w:r>
      <w:r>
        <w:rPr>
          <w:snapToGrid w:val="0"/>
        </w:rPr>
        <w:t>s. 5.98(2)(a) and (3))</w:t>
      </w:r>
      <w:bookmarkEnd w:id="76"/>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Gazette 31 Mar 2005 p. 1034; 13 Jul 2012 p. 3219.]</w:t>
      </w:r>
    </w:p>
    <w:p>
      <w:pPr>
        <w:pStyle w:val="Heading5"/>
        <w:rPr>
          <w:snapToGrid w:val="0"/>
        </w:rPr>
      </w:pPr>
      <w:bookmarkStart w:id="77" w:name="_Toc16239092"/>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77"/>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78" w:name="_Toc16239093"/>
      <w:r>
        <w:rPr>
          <w:rStyle w:val="CharSectno"/>
        </w:rPr>
        <w:t>34AC</w:t>
      </w:r>
      <w:r>
        <w:t>.</w:t>
      </w:r>
      <w:r>
        <w:tab/>
        <w:t>Gifts to council members, when permitted etc. (Act s. 5.100A)</w:t>
      </w:r>
      <w:bookmarkEnd w:id="78"/>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79" w:name="_Toc16239094"/>
      <w:r>
        <w:rPr>
          <w:rStyle w:val="CharSectno"/>
        </w:rPr>
        <w:t>34AD</w:t>
      </w:r>
      <w:r>
        <w:t>.</w:t>
      </w:r>
      <w:r>
        <w:tab/>
        <w:t>Method of payment of expenses for which person can be reimbursed (Act s. 5.101A)</w:t>
      </w:r>
      <w:bookmarkEnd w:id="79"/>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80" w:name="_Toc16239095"/>
      <w:r>
        <w:rPr>
          <w:rStyle w:val="CharSectno"/>
        </w:rPr>
        <w:t>34AE</w:t>
      </w:r>
      <w:r>
        <w:t>.</w:t>
      </w:r>
      <w:r>
        <w:tab/>
        <w:t>Repayment and recovery of advance payments of fees and allowances (Act s. 5.102AB)</w:t>
      </w:r>
      <w:bookmarkEnd w:id="80"/>
    </w:p>
    <w:p>
      <w:pPr>
        <w:pStyle w:val="Subsection"/>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Heading2"/>
      </w:pPr>
      <w:bookmarkStart w:id="81" w:name="_Toc16238971"/>
      <w:bookmarkStart w:id="82" w:name="_Toc16239096"/>
      <w:r>
        <w:rPr>
          <w:rStyle w:val="CharPartNo"/>
        </w:rPr>
        <w:t>Part 9</w:t>
      </w:r>
      <w:r>
        <w:t> — </w:t>
      </w:r>
      <w:r>
        <w:rPr>
          <w:rStyle w:val="CharPartText"/>
        </w:rPr>
        <w:t>Codes of conduct</w:t>
      </w:r>
      <w:bookmarkEnd w:id="81"/>
      <w:bookmarkEnd w:id="82"/>
    </w:p>
    <w:p>
      <w:pPr>
        <w:pStyle w:val="Footnoteheading"/>
      </w:pPr>
      <w:r>
        <w:tab/>
        <w:t>[Heading inserted: Gazette 26 Aug 2011 p. 3487.]</w:t>
      </w:r>
    </w:p>
    <w:p>
      <w:pPr>
        <w:pStyle w:val="Heading3"/>
      </w:pPr>
      <w:bookmarkStart w:id="83" w:name="_Toc16238972"/>
      <w:bookmarkStart w:id="84" w:name="_Toc16239097"/>
      <w:r>
        <w:rPr>
          <w:rStyle w:val="CharDivNo"/>
        </w:rPr>
        <w:t>Division 1</w:t>
      </w:r>
      <w:r>
        <w:t> — </w:t>
      </w:r>
      <w:r>
        <w:rPr>
          <w:rStyle w:val="CharDivText"/>
        </w:rPr>
        <w:t>Codes of conduct: general</w:t>
      </w:r>
      <w:bookmarkEnd w:id="83"/>
      <w:bookmarkEnd w:id="84"/>
    </w:p>
    <w:p>
      <w:pPr>
        <w:pStyle w:val="Footnoteheading"/>
      </w:pPr>
      <w:r>
        <w:tab/>
        <w:t>[Heading inserted: Gazette 4 Mar 2016 p. 652.]</w:t>
      </w:r>
    </w:p>
    <w:p>
      <w:pPr>
        <w:pStyle w:val="Heading5"/>
      </w:pPr>
      <w:bookmarkStart w:id="85" w:name="_Toc16239098"/>
      <w:r>
        <w:rPr>
          <w:rStyle w:val="CharSectno"/>
        </w:rPr>
        <w:t>34B</w:t>
      </w:r>
      <w:r>
        <w:t>.</w:t>
      </w:r>
      <w:r>
        <w:tab/>
        <w:t>Codes of conduct about gifts, content of (Act s. 5.103(3))</w:t>
      </w:r>
      <w:bookmarkEnd w:id="85"/>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 xml:space="preserve">profit association for professional training; or </w:t>
      </w:r>
    </w:p>
    <w:p>
      <w:pPr>
        <w:pStyle w:val="Indenta"/>
      </w:pPr>
      <w:r>
        <w:tab/>
        <w:t>(d)</w:t>
      </w:r>
      <w:r>
        <w:tab/>
        <w:t>a gift from WALGA, the Australian Local Government Association Limited (ABN 31 008 613 876) or the Local Government Managers Australia WA Division Incorporated (ABN 91 208 607 072);</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Gazette 21 Aug 2007 p. 4190</w:t>
      </w:r>
      <w:r>
        <w:noBreakHyphen/>
        <w:t>1; amended: Gazette 20 Jan 2017 p. 649.]</w:t>
      </w:r>
    </w:p>
    <w:p>
      <w:pPr>
        <w:pStyle w:val="Heading5"/>
      </w:pPr>
      <w:bookmarkStart w:id="86" w:name="_Toc16239099"/>
      <w:r>
        <w:rPr>
          <w:rStyle w:val="CharSectno"/>
        </w:rPr>
        <w:t>34C</w:t>
      </w:r>
      <w:r>
        <w:t>.</w:t>
      </w:r>
      <w:r>
        <w:tab/>
        <w:t>Codes of conduct about disclosing interests affecting impartiality, content of (Act s. 5.103(3))</w:t>
      </w:r>
      <w:bookmarkEnd w:id="86"/>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Gazette 21 Aug 2007 p. 4192</w:t>
      </w:r>
      <w:r>
        <w:noBreakHyphen/>
        <w:t>3.]</w:t>
      </w:r>
    </w:p>
    <w:p>
      <w:pPr>
        <w:pStyle w:val="Heading3"/>
      </w:pPr>
      <w:bookmarkStart w:id="87" w:name="_Toc16238975"/>
      <w:bookmarkStart w:id="88" w:name="_Toc16239100"/>
      <w:r>
        <w:rPr>
          <w:rStyle w:val="CharDivNo"/>
        </w:rPr>
        <w:t>Division 2</w:t>
      </w:r>
      <w:r>
        <w:t> — </w:t>
      </w:r>
      <w:r>
        <w:rPr>
          <w:rStyle w:val="CharDivText"/>
        </w:rPr>
        <w:t>Prescribed code of conduct: transitional period</w:t>
      </w:r>
      <w:bookmarkEnd w:id="87"/>
      <w:bookmarkEnd w:id="88"/>
    </w:p>
    <w:p>
      <w:pPr>
        <w:pStyle w:val="Footnoteheading"/>
      </w:pPr>
      <w:r>
        <w:tab/>
        <w:t>[Heading inserted: Gazette 4 Mar 2016 p. 652.]</w:t>
      </w:r>
    </w:p>
    <w:p>
      <w:pPr>
        <w:pStyle w:val="Heading5"/>
      </w:pPr>
      <w:bookmarkStart w:id="89" w:name="_Toc16239101"/>
      <w:r>
        <w:rPr>
          <w:rStyle w:val="CharSectno"/>
        </w:rPr>
        <w:t>34D</w:t>
      </w:r>
      <w:r>
        <w:t>.</w:t>
      </w:r>
      <w:r>
        <w:tab/>
        <w:t>Terms used</w:t>
      </w:r>
      <w:bookmarkEnd w:id="89"/>
    </w:p>
    <w:p>
      <w:pPr>
        <w:pStyle w:val="Subsection"/>
      </w:pPr>
      <w:r>
        <w:tab/>
      </w:r>
      <w:r>
        <w:tab/>
        <w:t xml:space="preserve">In this Division — </w:t>
      </w:r>
    </w:p>
    <w:p>
      <w:pPr>
        <w:pStyle w:val="Defstart"/>
      </w:pPr>
      <w:r>
        <w:rPr>
          <w:b/>
          <w:i/>
        </w:rPr>
        <w:tab/>
      </w:r>
      <w:r>
        <w:rPr>
          <w:rStyle w:val="CharDefText"/>
        </w:rPr>
        <w:t>address</w:t>
      </w:r>
      <w:r>
        <w:t xml:space="preserve"> has the meaning given in section 5.74(1);</w:t>
      </w:r>
    </w:p>
    <w:p>
      <w:pPr>
        <w:pStyle w:val="Defstart"/>
      </w:pPr>
      <w:r>
        <w:tab/>
      </w:r>
      <w:r>
        <w:rPr>
          <w:rStyle w:val="CharDefText"/>
        </w:rPr>
        <w:t>assent day</w:t>
      </w:r>
      <w:r>
        <w:t xml:space="preserve"> means the day on which the </w:t>
      </w:r>
      <w:r>
        <w:rPr>
          <w:i/>
        </w:rPr>
        <w:t>City of Perth Act 2016</w:t>
      </w:r>
      <w:r>
        <w:t xml:space="preserve"> receives the Royal Assent;</w:t>
      </w:r>
    </w:p>
    <w:p>
      <w:pPr>
        <w:pStyle w:val="Defstart"/>
      </w:pPr>
      <w:r>
        <w:tab/>
      </w:r>
      <w:r>
        <w:rPr>
          <w:rStyle w:val="CharDefText"/>
        </w:rPr>
        <w:t>designated employee</w:t>
      </w:r>
      <w:r>
        <w:t xml:space="preserve"> has the meaning given in section 5.74(1);</w:t>
      </w:r>
    </w:p>
    <w:p>
      <w:pPr>
        <w:pStyle w:val="Defstart"/>
      </w:pPr>
      <w:r>
        <w:tab/>
      </w:r>
      <w:r>
        <w:rPr>
          <w:rStyle w:val="CharDefText"/>
        </w:rPr>
        <w:t>gift</w:t>
      </w:r>
      <w:r>
        <w:t xml:space="preserve"> has the meaning given in section 5.82(4);</w:t>
      </w:r>
    </w:p>
    <w:p>
      <w:pPr>
        <w:pStyle w:val="Defstart"/>
      </w:pPr>
      <w:r>
        <w:tab/>
      </w:r>
      <w:r>
        <w:rPr>
          <w:rStyle w:val="CharDefText"/>
        </w:rPr>
        <w:t>political party</w:t>
      </w:r>
      <w:r>
        <w:t xml:space="preserve"> has the meaning given in section 5.83(4);</w:t>
      </w:r>
    </w:p>
    <w:p>
      <w:pPr>
        <w:pStyle w:val="Defstart"/>
      </w:pPr>
      <w:r>
        <w:tab/>
      </w:r>
      <w:r>
        <w:rPr>
          <w:rStyle w:val="CharDefText"/>
        </w:rPr>
        <w:t>relative</w:t>
      </w:r>
      <w:r>
        <w:t xml:space="preserve"> has the meaning given in section 5.74(1);</w:t>
      </w:r>
    </w:p>
    <w:p>
      <w:pPr>
        <w:pStyle w:val="Defstart"/>
      </w:pPr>
      <w:r>
        <w:tab/>
      </w:r>
      <w:r>
        <w:rPr>
          <w:rStyle w:val="CharDefText"/>
        </w:rPr>
        <w:t>transitional period</w:t>
      </w:r>
      <w:r>
        <w:t xml:space="preserve"> means the period beginning on 1 July 2015 and ending at the close of assent day;</w:t>
      </w:r>
    </w:p>
    <w:p>
      <w:pPr>
        <w:pStyle w:val="Defstart"/>
      </w:pPr>
      <w:r>
        <w:tab/>
      </w:r>
      <w:r>
        <w:rPr>
          <w:rStyle w:val="CharDefText"/>
        </w:rPr>
        <w:t>travel</w:t>
      </w:r>
      <w:r>
        <w:t xml:space="preserve"> has the meaning given in section 5.83(4);</w:t>
      </w:r>
    </w:p>
    <w:p>
      <w:pPr>
        <w:pStyle w:val="Defstart"/>
      </w:pPr>
      <w:r>
        <w:tab/>
      </w:r>
      <w:r>
        <w:rPr>
          <w:rStyle w:val="CharDefText"/>
        </w:rPr>
        <w:t>travel contribution</w:t>
      </w:r>
      <w:r>
        <w:t>, in relation to a person, means a financial or other contribution that has been made to any travel undertaken by the person.</w:t>
      </w:r>
    </w:p>
    <w:p>
      <w:pPr>
        <w:pStyle w:val="Footnotesection"/>
      </w:pPr>
      <w:r>
        <w:tab/>
        <w:t>[Regulation 34D inserted: Gazette 4 Mar 2016 p. 652</w:t>
      </w:r>
      <w:r>
        <w:noBreakHyphen/>
        <w:t>3.]</w:t>
      </w:r>
    </w:p>
    <w:p>
      <w:pPr>
        <w:pStyle w:val="Heading5"/>
      </w:pPr>
      <w:bookmarkStart w:id="90" w:name="_Toc16239102"/>
      <w:r>
        <w:rPr>
          <w:rStyle w:val="CharSectno"/>
        </w:rPr>
        <w:t>34E</w:t>
      </w:r>
      <w:r>
        <w:t>.</w:t>
      </w:r>
      <w:r>
        <w:tab/>
        <w:t>Code of conduct prescribed</w:t>
      </w:r>
      <w:bookmarkEnd w:id="90"/>
    </w:p>
    <w:p>
      <w:pPr>
        <w:pStyle w:val="Subsection"/>
      </w:pPr>
      <w:r>
        <w:tab/>
      </w:r>
      <w:r>
        <w:tab/>
        <w:t>Regulations 34F and 34G are prescribed as a code of conduct for the purposes of section 5.103(3).</w:t>
      </w:r>
    </w:p>
    <w:p>
      <w:pPr>
        <w:pStyle w:val="Footnotesection"/>
      </w:pPr>
      <w:r>
        <w:tab/>
        <w:t>[Regulation 34E inserted: Gazette 4 Mar 2016 p. 653.]</w:t>
      </w:r>
    </w:p>
    <w:p>
      <w:pPr>
        <w:pStyle w:val="Heading5"/>
      </w:pPr>
      <w:bookmarkStart w:id="91" w:name="_Toc16239103"/>
      <w:r>
        <w:rPr>
          <w:rStyle w:val="CharSectno"/>
        </w:rPr>
        <w:t>34F</w:t>
      </w:r>
      <w:r>
        <w:t>.</w:t>
      </w:r>
      <w:r>
        <w:tab/>
        <w:t>Disclosure of gifts</w:t>
      </w:r>
      <w:bookmarkEnd w:id="91"/>
    </w:p>
    <w:p>
      <w:pPr>
        <w:pStyle w:val="Subsection"/>
      </w:pPr>
      <w:r>
        <w:tab/>
        <w:t>(1)</w:t>
      </w:r>
      <w:r>
        <w:tab/>
        <w:t>A person who is a designated employee must disclose each gift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is a designated employee and the person who made the gift.</w:t>
      </w:r>
    </w:p>
    <w:p>
      <w:pPr>
        <w:pStyle w:val="Subsection"/>
      </w:pPr>
      <w:r>
        <w:tab/>
        <w:t>(5)</w:t>
      </w:r>
      <w:r>
        <w:tab/>
        <w:t xml:space="preserve">Nothing in this regulation requires a person to disclose a gift received by the person if — </w:t>
      </w:r>
    </w:p>
    <w:p>
      <w:pPr>
        <w:pStyle w:val="Indenta"/>
      </w:pPr>
      <w:r>
        <w:tab/>
        <w:t>(a)</w:t>
      </w:r>
      <w:r>
        <w:tab/>
        <w:t xml:space="preserve">the amount of the gift did not exceed $200 unless — </w:t>
      </w:r>
    </w:p>
    <w:p>
      <w:pPr>
        <w:pStyle w:val="Indenti"/>
      </w:pPr>
      <w:r>
        <w:tab/>
        <w:t>(i)</w:t>
      </w:r>
      <w:r>
        <w:tab/>
        <w:t>the gift was one of 2 or more gifts made by one person at any time during the year; and</w:t>
      </w:r>
    </w:p>
    <w:p>
      <w:pPr>
        <w:pStyle w:val="Indenti"/>
      </w:pPr>
      <w:r>
        <w:tab/>
        <w:t>(ii)</w:t>
      </w:r>
      <w:r>
        <w:tab/>
        <w:t>the sum of those 2 or more gifts exceeded $200;</w:t>
      </w:r>
    </w:p>
    <w:p>
      <w:pPr>
        <w:pStyle w:val="Indenta"/>
      </w:pPr>
      <w:r>
        <w:tab/>
      </w:r>
      <w:r>
        <w:tab/>
        <w:t>or</w:t>
      </w:r>
    </w:p>
    <w:p>
      <w:pPr>
        <w:pStyle w:val="Indenta"/>
      </w:pPr>
      <w:r>
        <w:tab/>
        <w:t>(b)</w:t>
      </w:r>
      <w:r>
        <w:tab/>
        <w:t>the donor was a relative of the person.</w:t>
      </w:r>
    </w:p>
    <w:p>
      <w:pPr>
        <w:pStyle w:val="Subsection"/>
      </w:pPr>
      <w:r>
        <w:tab/>
        <w:t>(6)</w:t>
      </w:r>
      <w:r>
        <w:tab/>
        <w:t>For the purposes of subregulation (5)(a), the amount of a gift comprising property, other than money, or the conferral of a financial benefit is to be treated as being an amount equal to the value of the property or the financial benefit at the time the gift was made.</w:t>
      </w:r>
    </w:p>
    <w:p>
      <w:pPr>
        <w:pStyle w:val="Subsection"/>
        <w:rPr>
          <w:szCs w:val="24"/>
        </w:rPr>
      </w:pPr>
      <w:r>
        <w:tab/>
        <w:t>(7)</w:t>
      </w:r>
      <w:r>
        <w:tab/>
        <w:t>The CEO must maintain a register of gifts received during the transitional period in which details of disclosures made under this regulation are recorded.</w:t>
      </w:r>
    </w:p>
    <w:p>
      <w:pPr>
        <w:pStyle w:val="Footnotesection"/>
      </w:pPr>
      <w:r>
        <w:tab/>
        <w:t>[Regulation 34F inserted: Gazette 4 Mar 2016 p. 653</w:t>
      </w:r>
      <w:r>
        <w:noBreakHyphen/>
        <w:t>4.]</w:t>
      </w:r>
    </w:p>
    <w:p>
      <w:pPr>
        <w:pStyle w:val="Heading5"/>
      </w:pPr>
      <w:bookmarkStart w:id="92" w:name="_Toc16239104"/>
      <w:r>
        <w:rPr>
          <w:rStyle w:val="CharSectno"/>
        </w:rPr>
        <w:t>34G</w:t>
      </w:r>
      <w:r>
        <w:t>.</w:t>
      </w:r>
      <w:r>
        <w:tab/>
        <w:t>Disclosure of travel contributions</w:t>
      </w:r>
      <w:bookmarkEnd w:id="92"/>
    </w:p>
    <w:p>
      <w:pPr>
        <w:pStyle w:val="Subsection"/>
      </w:pPr>
      <w:r>
        <w:tab/>
        <w:t>(1)</w:t>
      </w:r>
      <w:r>
        <w:tab/>
        <w:t>A person who is a designated employee must disclose each travel contribution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person who is a designated employee and the person who made the contribution;</w:t>
      </w:r>
    </w:p>
    <w:p>
      <w:pPr>
        <w:pStyle w:val="Indenta"/>
      </w:pPr>
      <w:r>
        <w:tab/>
        <w:t>(f)</w:t>
      </w:r>
      <w:r>
        <w:tab/>
        <w:t>a description of the travel;</w:t>
      </w:r>
    </w:p>
    <w:p>
      <w:pPr>
        <w:pStyle w:val="Indenta"/>
      </w:pPr>
      <w:r>
        <w:tab/>
        <w:t>(g)</w:t>
      </w:r>
      <w:r>
        <w:tab/>
        <w:t>the date of travel.</w:t>
      </w:r>
    </w:p>
    <w:p>
      <w:pPr>
        <w:pStyle w:val="Subsection"/>
      </w:pPr>
      <w:r>
        <w:tab/>
        <w:t>(5)</w:t>
      </w:r>
      <w:r>
        <w:tab/>
        <w:t xml:space="preserve">Nothing in this regulation requires a person to disclose a travel contribution if — </w:t>
      </w:r>
    </w:p>
    <w:p>
      <w:pPr>
        <w:pStyle w:val="Indenta"/>
      </w:pPr>
      <w:r>
        <w:tab/>
        <w:t>(a)</w:t>
      </w:r>
      <w:r>
        <w:tab/>
        <w:t>the contribution was made from Commonwealth, State or local government funds; or</w:t>
      </w:r>
    </w:p>
    <w:p>
      <w:pPr>
        <w:pStyle w:val="Indenta"/>
      </w:pPr>
      <w:r>
        <w:tab/>
        <w:t>(b)</w:t>
      </w:r>
      <w:r>
        <w:tab/>
        <w:t>the contribution was made by a relative of the person; or</w:t>
      </w:r>
    </w:p>
    <w:p>
      <w:pPr>
        <w:pStyle w:val="Indenta"/>
      </w:pPr>
      <w:r>
        <w:tab/>
        <w:t>(c)</w:t>
      </w:r>
      <w:r>
        <w:tab/>
        <w:t>the contribution was made in the ordinary course of an occupation of the person which is not related to the person’s duties as a council member; or</w:t>
      </w:r>
    </w:p>
    <w:p>
      <w:pPr>
        <w:pStyle w:val="Indenta"/>
      </w:pPr>
      <w:r>
        <w:tab/>
        <w:t>(d)</w:t>
      </w:r>
      <w:r>
        <w:tab/>
        <w:t xml:space="preserve">the amount of the contribution did not exceed $200 unless — </w:t>
      </w:r>
    </w:p>
    <w:p>
      <w:pPr>
        <w:pStyle w:val="Indenti"/>
      </w:pPr>
      <w:r>
        <w:tab/>
        <w:t>(i)</w:t>
      </w:r>
      <w:r>
        <w:tab/>
        <w:t>the contribution was one of 2 or more contributions made by one person at any time during the year; and</w:t>
      </w:r>
    </w:p>
    <w:p>
      <w:pPr>
        <w:pStyle w:val="Indenti"/>
      </w:pPr>
      <w:r>
        <w:tab/>
        <w:t>(ii)</w:t>
      </w:r>
      <w:r>
        <w:tab/>
        <w:t>the sum of those 2 or more contributions exceeded $200;</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(6)</w:t>
      </w:r>
      <w:r>
        <w:tab/>
        <w:t>For the purposes of subregulation (5)(d), the amount of a contribution (other than a financial contribution) is to be treated as being an amount equal to the value of the contribution at the time the contribution was made.</w:t>
      </w:r>
    </w:p>
    <w:p>
      <w:pPr>
        <w:pStyle w:val="Subsection"/>
        <w:rPr>
          <w:szCs w:val="24"/>
        </w:rPr>
      </w:pPr>
      <w:r>
        <w:tab/>
        <w:t>(7)</w:t>
      </w:r>
      <w:r>
        <w:tab/>
        <w:t>The CEO must maintain a register of travel contributions received during the transitional period in which details of disclosures made under this regulation are recorded.</w:t>
      </w:r>
    </w:p>
    <w:p>
      <w:pPr>
        <w:pStyle w:val="Footnotesection"/>
      </w:pPr>
      <w:r>
        <w:tab/>
        <w:t>[Regulation 34G inserted: Gazette 4 Mar 2016 p. 654</w:t>
      </w:r>
      <w:r>
        <w:noBreakHyphen/>
        <w:t>6.]</w:t>
      </w:r>
    </w:p>
    <w:p>
      <w:pPr>
        <w:pStyle w:val="Ednotesection"/>
      </w:pPr>
      <w:r>
        <w:t>[</w:t>
      </w:r>
      <w:r>
        <w:rPr>
          <w:b/>
        </w:rPr>
        <w:t>35-39.</w:t>
      </w:r>
      <w:r>
        <w:tab/>
        <w:t>Omitted under the Reprints Act 1984 s. 7(4)(e).]</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93" w:name="_Toc16238980"/>
      <w:bookmarkStart w:id="94" w:name="_Toc16239105"/>
      <w:r>
        <w:rPr>
          <w:rStyle w:val="CharSchNo"/>
        </w:rPr>
        <w:t>Schedule 1</w:t>
      </w:r>
      <w:r>
        <w:t> — </w:t>
      </w:r>
      <w:r>
        <w:rPr>
          <w:rStyle w:val="CharSchText"/>
        </w:rPr>
        <w:t>Forms</w:t>
      </w:r>
      <w:bookmarkEnd w:id="93"/>
      <w:bookmarkEnd w:id="94"/>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656-7.]</w:t>
      </w:r>
    </w:p>
    <w:p>
      <w:pPr>
        <w:rPr>
          <w:i/>
          <w:snapToGrid w:val="0"/>
          <w:sz w:val="22"/>
        </w:rPr>
      </w:pPr>
    </w:p>
    <w:tbl>
      <w:tblPr>
        <w:tblStyle w:val="TableGrid"/>
        <w:tblW w:w="6753" w:type="dxa"/>
        <w:tblInd w:w="250" w:type="dxa"/>
        <w:tblLayout w:type="fixed"/>
        <w:tblLook w:val="04A0" w:firstRow="1" w:lastRow="0" w:firstColumn="1" w:lastColumn="0" w:noHBand="0" w:noVBand="1"/>
      </w:tblPr>
      <w:tblGrid>
        <w:gridCol w:w="2552"/>
        <w:gridCol w:w="1134"/>
        <w:gridCol w:w="425"/>
        <w:gridCol w:w="941"/>
        <w:gridCol w:w="1276"/>
        <w:gridCol w:w="425"/>
      </w:tblGrid>
      <w:tr>
        <w:trPr>
          <w:cantSplit/>
          <w:trHeight w:val="708"/>
        </w:trPr>
        <w:tc>
          <w:tcPr>
            <w:tcW w:w="2552" w:type="dxa"/>
            <w:vMerge w:val="restart"/>
            <w:tcBorders>
              <w:top w:val="nil"/>
              <w:left w:val="nil"/>
              <w:bottom w:val="nil"/>
              <w:right w:val="nil"/>
            </w:tcBorders>
            <w:textDirection w:val="btLr"/>
          </w:tcPr>
          <w:p>
            <w:pPr>
              <w:pStyle w:val="yTableNAm"/>
              <w:jc w:val="center"/>
              <w:rPr>
                <w:snapToGrid w:val="0"/>
                <w:sz w:val="20"/>
              </w:rPr>
            </w:pPr>
            <w:r>
              <w:rPr>
                <w:b/>
                <w:snapToGrid w:val="0"/>
                <w:sz w:val="20"/>
              </w:rPr>
              <w:t>Form 4</w:t>
            </w:r>
          </w:p>
          <w:p>
            <w:pPr>
              <w:pStyle w:val="yTableNAm"/>
              <w:jc w:val="right"/>
              <w:rPr>
                <w:snapToGrid w:val="0"/>
                <w:sz w:val="20"/>
              </w:rPr>
            </w:pPr>
            <w:r>
              <w:rPr>
                <w:snapToGrid w:val="0"/>
                <w:sz w:val="20"/>
              </w:rPr>
              <w:t>[r. 28A]</w:t>
            </w:r>
          </w:p>
          <w:p>
            <w:pPr>
              <w:pStyle w:val="yTableNAm"/>
              <w:spacing w:before="0"/>
              <w:jc w:val="center"/>
              <w:rPr>
                <w:i/>
                <w:snapToGrid w:val="0"/>
                <w:sz w:val="20"/>
              </w:rPr>
            </w:pPr>
            <w:r>
              <w:rPr>
                <w:i/>
                <w:snapToGrid w:val="0"/>
                <w:sz w:val="20"/>
              </w:rPr>
              <w:t>Local Government Act 1995</w:t>
            </w:r>
          </w:p>
          <w:p>
            <w:pPr>
              <w:pStyle w:val="yTableNAm"/>
              <w:jc w:val="center"/>
              <w:rPr>
                <w:i/>
                <w:snapToGrid w:val="0"/>
                <w:sz w:val="20"/>
              </w:rPr>
            </w:pPr>
            <w:r>
              <w:rPr>
                <w:i/>
                <w:snapToGrid w:val="0"/>
                <w:sz w:val="20"/>
              </w:rPr>
              <w:t>Local Government (Administration) Regulation 1996</w:t>
            </w:r>
          </w:p>
          <w:p>
            <w:pPr>
              <w:pStyle w:val="yTableNAm"/>
              <w:jc w:val="center"/>
              <w:rPr>
                <w:b/>
                <w:snapToGrid w:val="0"/>
                <w:sz w:val="20"/>
              </w:rPr>
            </w:pPr>
            <w:r>
              <w:rPr>
                <w:b/>
                <w:snapToGrid w:val="0"/>
                <w:sz w:val="20"/>
              </w:rPr>
              <w:t>REGISTER OF GIFTS AND CONTRIBUTIONS TO TRAVEL</w:t>
            </w:r>
          </w:p>
          <w:p>
            <w:pPr>
              <w:pStyle w:val="yTableNAm"/>
              <w:rPr>
                <w:b/>
                <w:snapToGrid w:val="0"/>
                <w:sz w:val="20"/>
              </w:rPr>
            </w:pPr>
            <w:r>
              <w:rPr>
                <w:b/>
                <w:snapToGrid w:val="0"/>
                <w:sz w:val="20"/>
              </w:rPr>
              <w:t>1.</w:t>
            </w:r>
            <w:r>
              <w:rPr>
                <w:b/>
                <w:snapToGrid w:val="0"/>
                <w:sz w:val="20"/>
              </w:rPr>
              <w:tab/>
              <w:t>Gifts</w:t>
            </w:r>
          </w:p>
          <w:p>
            <w:pPr>
              <w:pStyle w:val="yTableNAm"/>
              <w:rPr>
                <w:b/>
                <w:snapToGrid w:val="0"/>
                <w:sz w:val="20"/>
              </w:rPr>
            </w:pPr>
            <w:r>
              <w:rPr>
                <w:snapToGrid w:val="0"/>
                <w:sz w:val="20"/>
              </w:rPr>
              <w:tab/>
              <w:t>Section 5.82 of the Act</w:t>
            </w:r>
          </w:p>
        </w:tc>
        <w:tc>
          <w:tcPr>
            <w:tcW w:w="1134" w:type="dxa"/>
            <w:tcBorders>
              <w:top w:val="nil"/>
              <w:left w:val="nil"/>
              <w:bottom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bottom w:val="nil"/>
              <w:right w:val="nil"/>
            </w:tcBorders>
            <w:textDirection w:val="btLr"/>
          </w:tcPr>
          <w:p>
            <w:pPr>
              <w:pStyle w:val="zyTableNAm"/>
              <w:pageBreakBefore/>
              <w:widowControl w:val="0"/>
              <w:spacing w:before="60" w:after="60"/>
              <w:ind w:left="113" w:right="113"/>
              <w:rPr>
                <w:b/>
                <w:snapToGrid w:val="0"/>
                <w:szCs w:val="22"/>
              </w:rPr>
            </w:pPr>
          </w:p>
        </w:tc>
        <w:tc>
          <w:tcPr>
            <w:tcW w:w="941" w:type="dxa"/>
            <w:vMerge w:val="restart"/>
            <w:tcBorders>
              <w:top w:val="nil"/>
              <w:left w:val="nil"/>
              <w:bottom w:val="nil"/>
            </w:tcBorders>
            <w:textDirection w:val="btLr"/>
          </w:tcPr>
          <w:p>
            <w:pPr>
              <w:pStyle w:val="yTableNAm"/>
              <w:rPr>
                <w:b/>
                <w:snapToGrid w:val="0"/>
                <w:sz w:val="20"/>
              </w:rPr>
            </w:pPr>
            <w:r>
              <w:rPr>
                <w:b/>
                <w:snapToGrid w:val="0"/>
                <w:sz w:val="20"/>
              </w:rPr>
              <w:t>2.</w:t>
            </w:r>
            <w:r>
              <w:rPr>
                <w:b/>
                <w:snapToGrid w:val="0"/>
                <w:sz w:val="20"/>
              </w:rPr>
              <w:tab/>
              <w:t>Contributions to travel</w:t>
            </w:r>
          </w:p>
          <w:p>
            <w:pPr>
              <w:pStyle w:val="yTableNAm"/>
              <w:rPr>
                <w:snapToGrid w:val="0"/>
              </w:rPr>
            </w:pPr>
            <w:r>
              <w:rPr>
                <w:snapToGrid w:val="0"/>
                <w:sz w:val="20"/>
              </w:rPr>
              <w:tab/>
              <w:t>Section 5.83 of the Act</w:t>
            </w: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of travel</w:t>
            </w:r>
          </w:p>
        </w:tc>
        <w:tc>
          <w:tcPr>
            <w:tcW w:w="425" w:type="dxa"/>
          </w:tcPr>
          <w:p>
            <w:pPr>
              <w:pStyle w:val="yTableNAm"/>
              <w:rPr>
                <w:snapToGrid w:val="0"/>
              </w:rPr>
            </w:pPr>
          </w:p>
        </w:tc>
      </w:tr>
      <w:tr>
        <w:trPr>
          <w:cantSplit/>
          <w:trHeight w:val="1034"/>
        </w:trPr>
        <w:tc>
          <w:tcPr>
            <w:tcW w:w="2552" w:type="dxa"/>
            <w:vMerge/>
            <w:tcBorders>
              <w:left w:val="nil"/>
              <w:bottom w:val="nil"/>
              <w:right w:val="nil"/>
            </w:tcBorders>
          </w:tcPr>
          <w:p>
            <w:pPr>
              <w:pStyle w:val="zyTableNAm"/>
              <w:widowControl w:val="0"/>
              <w:jc w:val="center"/>
              <w:rPr>
                <w:b/>
                <w:snapToGrid w:val="0"/>
              </w:rPr>
            </w:pPr>
          </w:p>
        </w:tc>
        <w:tc>
          <w:tcPr>
            <w:tcW w:w="1134" w:type="dxa"/>
            <w:tcBorders>
              <w:top w:val="nil"/>
              <w:left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right w:val="nil"/>
            </w:tcBorders>
          </w:tcPr>
          <w:p>
            <w:pPr>
              <w:pStyle w:val="zyTableNAm"/>
              <w:pageBreakBefore/>
              <w:widowControl w:val="0"/>
              <w:jc w:val="center"/>
              <w:rPr>
                <w:b/>
                <w:snapToGrid w:val="0"/>
              </w:rPr>
            </w:pPr>
          </w:p>
        </w:tc>
        <w:tc>
          <w:tcPr>
            <w:tcW w:w="941" w:type="dxa"/>
            <w:vMerge/>
            <w:tcBorders>
              <w:left w:val="nil"/>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travel</w:t>
            </w:r>
          </w:p>
        </w:tc>
        <w:tc>
          <w:tcPr>
            <w:tcW w:w="425" w:type="dxa"/>
          </w:tcPr>
          <w:p>
            <w:pPr>
              <w:pStyle w:val="yTableNAm"/>
              <w:rPr>
                <w:snapToGrid w:val="0"/>
              </w:rPr>
            </w:pPr>
          </w:p>
        </w:tc>
      </w:tr>
      <w:tr>
        <w:trPr>
          <w:cantSplit/>
          <w:trHeight w:val="162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contribution</w:t>
            </w:r>
          </w:p>
        </w:tc>
        <w:tc>
          <w:tcPr>
            <w:tcW w:w="425" w:type="dxa"/>
          </w:tcPr>
          <w:p>
            <w:pPr>
              <w:pStyle w:val="yTableNAm"/>
              <w:rPr>
                <w:snapToGrid w:val="0"/>
              </w:rPr>
            </w:pPr>
          </w:p>
        </w:tc>
      </w:tr>
      <w:tr>
        <w:trPr>
          <w:cantSplit/>
          <w:trHeight w:val="1124"/>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Estimated value of gift at time it was made</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Estimated value of contribution at time it was made</w:t>
            </w:r>
          </w:p>
        </w:tc>
        <w:tc>
          <w:tcPr>
            <w:tcW w:w="425" w:type="dxa"/>
          </w:tcPr>
          <w:p>
            <w:pPr>
              <w:pStyle w:val="yTableNAm"/>
              <w:rPr>
                <w:snapToGrid w:val="0"/>
              </w:rPr>
            </w:pPr>
          </w:p>
        </w:tc>
      </w:tr>
      <w:tr>
        <w:trPr>
          <w:cantSplit/>
          <w:trHeight w:val="104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Date gift was received</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contribution was received</w:t>
            </w:r>
          </w:p>
        </w:tc>
        <w:tc>
          <w:tcPr>
            <w:tcW w:w="425" w:type="dxa"/>
          </w:tcPr>
          <w:p>
            <w:pPr>
              <w:pStyle w:val="yTableNAm"/>
              <w:rPr>
                <w:snapToGrid w:val="0"/>
              </w:rPr>
            </w:pPr>
          </w:p>
        </w:tc>
      </w:tr>
      <w:tr>
        <w:trPr>
          <w:cantSplit/>
          <w:trHeight w:val="106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Description of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contribution</w:t>
            </w:r>
          </w:p>
        </w:tc>
        <w:tc>
          <w:tcPr>
            <w:tcW w:w="425" w:type="dxa"/>
          </w:tcPr>
          <w:p>
            <w:pPr>
              <w:pStyle w:val="yTableNAm"/>
              <w:rPr>
                <w:snapToGrid w:val="0"/>
              </w:rPr>
            </w:pPr>
          </w:p>
        </w:tc>
      </w:tr>
      <w:tr>
        <w:trPr>
          <w:cantSplit/>
          <w:trHeight w:val="123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cPr>
          <w:p>
            <w:pPr>
              <w:pStyle w:val="zyTableNAm"/>
              <w:pageBreakBefore/>
              <w:widowControl w:val="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extDirection w:val="btLr"/>
          </w:tcPr>
          <w:p>
            <w:pPr>
              <w:pStyle w:val="yTableNAm"/>
              <w:rPr>
                <w:snapToGrid w:val="0"/>
              </w:rPr>
            </w:pPr>
          </w:p>
        </w:tc>
      </w:tr>
    </w:tbl>
    <w:p>
      <w:pPr>
        <w:pStyle w:val="yFootnotesection"/>
      </w:pPr>
      <w:r>
        <w:tab/>
        <w:t>[Form 4 inserted: Gazette 4 Mar 2016 p. 657-8.]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96" w:name="_Toc16238981"/>
      <w:bookmarkStart w:id="97" w:name="_Toc16239106"/>
      <w:r>
        <w:t>Notes</w:t>
      </w:r>
      <w:bookmarkEnd w:id="96"/>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8" w:name="_Toc16239107"/>
      <w:r>
        <w:rPr>
          <w:snapToGrid w:val="0"/>
        </w:rPr>
        <w:t>Compilation table</w:t>
      </w:r>
      <w:bookmarkEnd w:id="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Local Government (Administration) Regulations 1996</w:t>
            </w:r>
          </w:p>
        </w:tc>
        <w:tc>
          <w:tcPr>
            <w:tcW w:w="1276" w:type="dxa"/>
          </w:tcPr>
          <w:p>
            <w:pPr>
              <w:pStyle w:val="nTable"/>
              <w:spacing w:after="40"/>
            </w:pPr>
            <w:r>
              <w:t>24 Jun 1996 p. 2799</w:t>
            </w:r>
            <w:r>
              <w:noBreakHyphen/>
              <w:t>826</w:t>
            </w:r>
          </w:p>
        </w:tc>
        <w:tc>
          <w:tcPr>
            <w:tcW w:w="2693" w:type="dxa"/>
          </w:tcPr>
          <w:p>
            <w:pPr>
              <w:pStyle w:val="nTable"/>
              <w:spacing w:after="40"/>
            </w:pPr>
            <w:r>
              <w:t>1 Jul 1996 (see r. 2)</w:t>
            </w:r>
          </w:p>
        </w:tc>
      </w:tr>
      <w:tr>
        <w:tc>
          <w:tcPr>
            <w:tcW w:w="3118" w:type="dxa"/>
          </w:tcPr>
          <w:p>
            <w:pPr>
              <w:pStyle w:val="nTable"/>
              <w:spacing w:after="40"/>
            </w:pPr>
            <w:r>
              <w:rPr>
                <w:i/>
              </w:rPr>
              <w:t>Local Government (Administration) Amendment Regulations 1996</w:t>
            </w:r>
          </w:p>
        </w:tc>
        <w:tc>
          <w:tcPr>
            <w:tcW w:w="1276" w:type="dxa"/>
          </w:tcPr>
          <w:p>
            <w:pPr>
              <w:pStyle w:val="nTable"/>
              <w:spacing w:after="40"/>
            </w:pPr>
            <w:r>
              <w:t>28 Jun 1996 p. 3171</w:t>
            </w:r>
          </w:p>
        </w:tc>
        <w:tc>
          <w:tcPr>
            <w:tcW w:w="2693" w:type="dxa"/>
          </w:tcPr>
          <w:p>
            <w:pPr>
              <w:pStyle w:val="nTable"/>
              <w:spacing w:after="40"/>
            </w:pPr>
            <w:r>
              <w:t>1 Jul 1996</w:t>
            </w:r>
            <w:r>
              <w:rPr>
                <w:iCs/>
                <w:vertAlign w:val="superscript"/>
              </w:rPr>
              <w:t> 2</w:t>
            </w:r>
          </w:p>
        </w:tc>
      </w:tr>
      <w:tr>
        <w:tc>
          <w:tcPr>
            <w:tcW w:w="3118" w:type="dxa"/>
          </w:tcPr>
          <w:p>
            <w:pPr>
              <w:pStyle w:val="nTable"/>
              <w:spacing w:after="40"/>
              <w:rPr>
                <w:i/>
              </w:rPr>
            </w:pPr>
            <w:r>
              <w:rPr>
                <w:i/>
              </w:rPr>
              <w:t>Local Government (Administration) Amendment Regulations 1999</w:t>
            </w:r>
          </w:p>
        </w:tc>
        <w:tc>
          <w:tcPr>
            <w:tcW w:w="1276" w:type="dxa"/>
          </w:tcPr>
          <w:p>
            <w:pPr>
              <w:pStyle w:val="nTable"/>
              <w:spacing w:after="40"/>
            </w:pPr>
            <w:r>
              <w:t>23 Apr 1999 p. 1717</w:t>
            </w:r>
            <w:r>
              <w:noBreakHyphen/>
              <w:t>21</w:t>
            </w:r>
          </w:p>
        </w:tc>
        <w:tc>
          <w:tcPr>
            <w:tcW w:w="2693" w:type="dxa"/>
          </w:tcPr>
          <w:p>
            <w:pPr>
              <w:pStyle w:val="nTable"/>
              <w:spacing w:after="40"/>
            </w:pPr>
            <w:r>
              <w:t>23 Apr 1999</w:t>
            </w:r>
          </w:p>
        </w:tc>
      </w:tr>
      <w:tr>
        <w:tc>
          <w:tcPr>
            <w:tcW w:w="3118" w:type="dxa"/>
          </w:tcPr>
          <w:p>
            <w:pPr>
              <w:pStyle w:val="nTable"/>
              <w:spacing w:after="40"/>
              <w:rPr>
                <w:i/>
              </w:rPr>
            </w:pPr>
            <w:r>
              <w:rPr>
                <w:i/>
              </w:rPr>
              <w:t>Local Government (Administration) Amendment Regulations 2000</w:t>
            </w:r>
          </w:p>
        </w:tc>
        <w:tc>
          <w:tcPr>
            <w:tcW w:w="1276" w:type="dxa"/>
          </w:tcPr>
          <w:p>
            <w:pPr>
              <w:pStyle w:val="nTable"/>
              <w:spacing w:after="40"/>
            </w:pPr>
            <w:r>
              <w:t>25 Feb 2000 p. 969</w:t>
            </w:r>
          </w:p>
        </w:tc>
        <w:tc>
          <w:tcPr>
            <w:tcW w:w="2693" w:type="dxa"/>
          </w:tcPr>
          <w:p>
            <w:pPr>
              <w:pStyle w:val="nTable"/>
              <w:spacing w:after="40"/>
            </w:pPr>
            <w:r>
              <w:t xml:space="preserve">25 Feb 2000 (see r. 2 and </w:t>
            </w:r>
            <w:r>
              <w:rPr>
                <w:i/>
              </w:rPr>
              <w:t>Gazette</w:t>
            </w:r>
            <w:r>
              <w:t xml:space="preserve"> 25 Feb 2000 p. 970)</w:t>
            </w:r>
          </w:p>
        </w:tc>
      </w:tr>
      <w:tr>
        <w:tc>
          <w:tcPr>
            <w:tcW w:w="3118" w:type="dxa"/>
          </w:tcPr>
          <w:p>
            <w:pPr>
              <w:pStyle w:val="nTable"/>
              <w:spacing w:after="40"/>
              <w:rPr>
                <w:i/>
              </w:rPr>
            </w:pPr>
            <w:r>
              <w:rPr>
                <w:i/>
              </w:rPr>
              <w:t>Local Government (Administration) Amendment Regulations 2002</w:t>
            </w:r>
          </w:p>
        </w:tc>
        <w:tc>
          <w:tcPr>
            <w:tcW w:w="1276" w:type="dxa"/>
          </w:tcPr>
          <w:p>
            <w:pPr>
              <w:pStyle w:val="nTable"/>
              <w:spacing w:after="40"/>
            </w:pPr>
            <w:r>
              <w:t>28 Jun 2002 p. 3079</w:t>
            </w:r>
            <w:r>
              <w:noBreakHyphen/>
              <w:t>81</w:t>
            </w:r>
          </w:p>
        </w:tc>
        <w:tc>
          <w:tcPr>
            <w:tcW w:w="2693" w:type="dxa"/>
          </w:tcPr>
          <w:p>
            <w:pPr>
              <w:pStyle w:val="nTable"/>
              <w:spacing w:after="40"/>
            </w:pPr>
            <w:r>
              <w:t>28 Jun 2002</w:t>
            </w:r>
          </w:p>
        </w:tc>
      </w:tr>
      <w:tr>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c>
          <w:tcPr>
            <w:tcW w:w="3118" w:type="dxa"/>
          </w:tcPr>
          <w:p>
            <w:pPr>
              <w:pStyle w:val="nTable"/>
              <w:spacing w:after="40"/>
              <w:rPr>
                <w:iCs/>
              </w:rPr>
            </w:pPr>
            <w:r>
              <w:rPr>
                <w:i/>
              </w:rPr>
              <w:t>Local Government (Administration) Amendment Regulations 2005</w:t>
            </w:r>
            <w:r>
              <w:rPr>
                <w:iCs/>
                <w:vertAlign w:val="superscript"/>
              </w:rPr>
              <w:t> 3</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c>
          <w:tcPr>
            <w:tcW w:w="3118" w:type="dxa"/>
            <w:tcBorders>
              <w:bottom w:val="single" w:sz="8" w:space="0" w:color="auto"/>
            </w:tcBorders>
            <w:shd w:val="clear" w:color="auto" w:fill="auto"/>
          </w:tcPr>
          <w:p>
            <w:pPr>
              <w:pStyle w:val="nTable"/>
              <w:spacing w:after="40"/>
            </w:pPr>
            <w:r>
              <w:rPr>
                <w:i/>
              </w:rPr>
              <w:t>Local Government Regulations Amendment (Recovery of Advance Payments) Regulations 2018</w:t>
            </w:r>
            <w:r>
              <w:t xml:space="preserve"> Pt. 2</w:t>
            </w:r>
          </w:p>
        </w:tc>
        <w:tc>
          <w:tcPr>
            <w:tcW w:w="1276" w:type="dxa"/>
            <w:tcBorders>
              <w:bottom w:val="single" w:sz="8" w:space="0" w:color="auto"/>
            </w:tcBorders>
            <w:shd w:val="clear" w:color="auto" w:fill="auto"/>
          </w:tcPr>
          <w:p>
            <w:pPr>
              <w:pStyle w:val="nTable"/>
              <w:keepNext/>
              <w:keepLines/>
              <w:spacing w:after="40"/>
            </w:pPr>
            <w:r>
              <w:t>14 Dec 2018 p. 4805</w:t>
            </w:r>
            <w:r>
              <w:noBreakHyphen/>
              <w:t>6</w:t>
            </w:r>
          </w:p>
        </w:tc>
        <w:tc>
          <w:tcPr>
            <w:tcW w:w="2693" w:type="dxa"/>
            <w:tcBorders>
              <w:bottom w:val="single" w:sz="8" w:space="0" w:color="auto"/>
            </w:tcBorders>
            <w:shd w:val="clear" w:color="auto" w:fill="auto"/>
          </w:tcPr>
          <w:p>
            <w:pPr>
              <w:pStyle w:val="nTable"/>
              <w:keepNext/>
              <w:keepLines/>
              <w:spacing w:after="40"/>
              <w:rPr>
                <w:snapToGrid w:val="0"/>
              </w:rPr>
            </w:pPr>
            <w:r>
              <w:rPr>
                <w:snapToGrid w:val="0"/>
              </w:rPr>
              <w:t>15 Dec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 w:name="_Toc16239108"/>
      <w:r>
        <w:t>Provisions that have not come into operation</w:t>
      </w:r>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blPrEx>
          <w:tblBorders>
            <w:top w:val="single" w:sz="4" w:space="0" w:color="auto"/>
            <w:insideH w:val="single" w:sz="4" w:space="0" w:color="auto"/>
          </w:tblBorders>
        </w:tblPrEx>
        <w:trPr>
          <w:cantSplit/>
        </w:trPr>
        <w:tc>
          <w:tcPr>
            <w:tcW w:w="3119" w:type="dxa"/>
            <w:tcBorders>
              <w:top w:val="nil"/>
              <w:bottom w:val="single" w:sz="4" w:space="0" w:color="auto"/>
            </w:tcBorders>
          </w:tcPr>
          <w:p>
            <w:pPr>
              <w:pStyle w:val="nTable"/>
              <w:spacing w:after="40"/>
              <w:ind w:right="113"/>
            </w:pPr>
            <w:r>
              <w:rPr>
                <w:i/>
              </w:rPr>
              <w:t>Local Government Regulations Amendment (Induction and Training) Regulations 2019</w:t>
            </w:r>
            <w:r>
              <w:t xml:space="preserve"> Pt. 3 </w:t>
            </w:r>
            <w:r>
              <w:rPr>
                <w:vertAlign w:val="superscript"/>
              </w:rPr>
              <w:t>4</w:t>
            </w:r>
          </w:p>
        </w:tc>
        <w:tc>
          <w:tcPr>
            <w:tcW w:w="1276" w:type="dxa"/>
            <w:tcBorders>
              <w:top w:val="nil"/>
              <w:bottom w:val="single" w:sz="4" w:space="0" w:color="auto"/>
            </w:tcBorders>
          </w:tcPr>
          <w:p>
            <w:pPr>
              <w:pStyle w:val="nTable"/>
              <w:spacing w:after="40"/>
            </w:pPr>
            <w:r>
              <w:t>9 Aug 2019 p. 3020-3</w:t>
            </w:r>
          </w:p>
        </w:tc>
        <w:tc>
          <w:tcPr>
            <w:tcW w:w="2693" w:type="dxa"/>
            <w:tcBorders>
              <w:top w:val="nil"/>
              <w:bottom w:val="single" w:sz="4" w:space="0" w:color="auto"/>
            </w:tcBorders>
          </w:tcPr>
          <w:p>
            <w:pPr>
              <w:pStyle w:val="nTable"/>
              <w:spacing w:after="40"/>
              <w:rPr>
                <w:snapToGrid w:val="0"/>
                <w:spacing w:val="-2"/>
              </w:rPr>
            </w:pPr>
            <w:r>
              <w:rPr>
                <w:snapToGrid w:val="0"/>
                <w:spacing w:val="-2"/>
              </w:rPr>
              <w:t xml:space="preserve">16 Sep 2019 (see r. 2(c) and </w:t>
            </w:r>
            <w:r>
              <w:rPr>
                <w:i/>
                <w:snapToGrid w:val="0"/>
                <w:spacing w:val="-2"/>
              </w:rPr>
              <w:t>Gazette</w:t>
            </w:r>
            <w:r>
              <w:rPr>
                <w:snapToGrid w:val="0"/>
                <w:spacing w:val="-2"/>
              </w:rPr>
              <w:t xml:space="preserve"> 9 Aug 2019 p. 3019)</w:t>
            </w:r>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Pr>
        <w:pStyle w:val="nSubsection"/>
        <w:rPr>
          <w:snapToGrid w:val="0"/>
        </w:rPr>
      </w:pPr>
      <w:r>
        <w:rPr>
          <w:vertAlign w:val="superscript"/>
        </w:rPr>
        <w:t>4</w:t>
      </w:r>
      <w:r>
        <w:tab/>
        <w:t>On the date as at which this compilation was prepared</w:t>
      </w:r>
      <w:r>
        <w:rPr>
          <w:i/>
        </w:rPr>
        <w:t xml:space="preserve"> </w:t>
      </w:r>
      <w:r>
        <w:t xml:space="preserve">the </w:t>
      </w:r>
      <w:r>
        <w:rPr>
          <w:i/>
        </w:rPr>
        <w:t>Local Government Regulations Amendment (Induction and Training) Regulations 2019</w:t>
      </w:r>
      <w:r>
        <w:t xml:space="preserve"> Pt.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Local Government (Administration) Regulations 1996</w:t>
      </w:r>
      <w:r>
        <w:rPr>
          <w:rStyle w:val="CharPartText"/>
        </w:rPr>
        <w:t xml:space="preserve"> amended</w:t>
      </w:r>
    </w:p>
    <w:p>
      <w:pPr>
        <w:pStyle w:val="nzHeading5"/>
        <w:rPr>
          <w:snapToGrid w:val="0"/>
        </w:rPr>
      </w:pPr>
      <w:r>
        <w:rPr>
          <w:rStyle w:val="CharSectno"/>
        </w:rPr>
        <w:t>6</w:t>
      </w:r>
      <w:r>
        <w:rPr>
          <w:snapToGrid w:val="0"/>
        </w:rPr>
        <w:t>.</w:t>
      </w:r>
      <w:r>
        <w:rPr>
          <w:snapToGrid w:val="0"/>
        </w:rPr>
        <w:tab/>
        <w:t>Regulations amended</w:t>
      </w:r>
    </w:p>
    <w:p>
      <w:pPr>
        <w:pStyle w:val="nzSubsection"/>
      </w:pPr>
      <w:r>
        <w:tab/>
      </w:r>
      <w:r>
        <w:tab/>
        <w:t xml:space="preserve">This Part amends the </w:t>
      </w:r>
      <w:r>
        <w:rPr>
          <w:i/>
        </w:rPr>
        <w:t>Local Government (Administration) Regulations 1996</w:t>
      </w:r>
      <w:r>
        <w:t>.</w:t>
      </w:r>
    </w:p>
    <w:p>
      <w:pPr>
        <w:pStyle w:val="nzHeading5"/>
      </w:pPr>
      <w:r>
        <w:rPr>
          <w:rStyle w:val="CharSectno"/>
        </w:rPr>
        <w:t>7</w:t>
      </w:r>
      <w:r>
        <w:t>.</w:t>
      </w:r>
      <w:r>
        <w:tab/>
        <w:t>Part 10 heading inserted</w:t>
      </w:r>
    </w:p>
    <w:p>
      <w:pPr>
        <w:pStyle w:val="nzSubsection"/>
      </w:pPr>
      <w:r>
        <w:tab/>
      </w:r>
      <w:r>
        <w:tab/>
        <w:t>After regulation 34G insert:</w:t>
      </w:r>
    </w:p>
    <w:p>
      <w:pPr>
        <w:pStyle w:val="BlankOpen"/>
      </w:pPr>
    </w:p>
    <w:p>
      <w:pPr>
        <w:pStyle w:val="nzHeading2"/>
      </w:pPr>
      <w:r>
        <w:t>Part 10</w:t>
      </w:r>
      <w:r>
        <w:rPr>
          <w:b w:val="0"/>
        </w:rPr>
        <w:t> </w:t>
      </w:r>
      <w:r>
        <w:t>—</w:t>
      </w:r>
      <w:r>
        <w:rPr>
          <w:b w:val="0"/>
        </w:rPr>
        <w:t> </w:t>
      </w:r>
      <w:r>
        <w:t>Training</w:t>
      </w:r>
    </w:p>
    <w:p>
      <w:pPr>
        <w:pStyle w:val="BlankClose"/>
      </w:pPr>
    </w:p>
    <w:p>
      <w:pPr>
        <w:pStyle w:val="nzHeading5"/>
      </w:pPr>
      <w:r>
        <w:rPr>
          <w:rStyle w:val="CharSectno"/>
        </w:rPr>
        <w:t>8</w:t>
      </w:r>
      <w:r>
        <w:t>.</w:t>
      </w:r>
      <w:r>
        <w:tab/>
        <w:t>Regulations 35 to 39 replaced</w:t>
      </w:r>
    </w:p>
    <w:p>
      <w:pPr>
        <w:pStyle w:val="nzSubsection"/>
      </w:pPr>
      <w:r>
        <w:tab/>
      </w:r>
      <w:r>
        <w:tab/>
        <w:t>Delete regulations 35 to 39 and insert:</w:t>
      </w:r>
    </w:p>
    <w:p>
      <w:pPr>
        <w:pStyle w:val="BlankOpen"/>
      </w:pPr>
    </w:p>
    <w:p>
      <w:pPr>
        <w:pStyle w:val="nzHeading5"/>
      </w:pPr>
      <w:r>
        <w:t>35.</w:t>
      </w:r>
      <w:r>
        <w:tab/>
        <w:t>Training for council members (Act s. 5.126(1))</w:t>
      </w:r>
    </w:p>
    <w:p>
      <w:pPr>
        <w:pStyle w:val="nzSubsection"/>
      </w:pPr>
      <w:r>
        <w:tab/>
        <w:t>(1)</w:t>
      </w:r>
      <w:r>
        <w:tab/>
        <w:t>A council member completes training for the purposes of section 5.126(1) if the council member passes the course of training specified in subregulation (2) within the period specified in subregulation (3).</w:t>
      </w:r>
    </w:p>
    <w:p>
      <w:pPr>
        <w:pStyle w:val="nzSubsection"/>
      </w:pPr>
      <w:r>
        <w:tab/>
        <w:t>(2)</w:t>
      </w:r>
      <w:r>
        <w:tab/>
        <w:t xml:space="preserve">The course of training is the course titled </w:t>
      </w:r>
      <w:r>
        <w:rPr>
          <w:i/>
        </w:rPr>
        <w:t>Council Member Essentials</w:t>
      </w:r>
      <w:r>
        <w:t xml:space="preserve"> that — </w:t>
      </w:r>
    </w:p>
    <w:p>
      <w:pPr>
        <w:pStyle w:val="nzIndenta"/>
      </w:pPr>
      <w:r>
        <w:tab/>
        <w:t>(a)</w:t>
      </w:r>
      <w:r>
        <w:tab/>
        <w:t xml:space="preserve">consists of the following modules — </w:t>
      </w:r>
    </w:p>
    <w:p>
      <w:pPr>
        <w:pStyle w:val="nzIndenti"/>
      </w:pPr>
      <w:r>
        <w:tab/>
        <w:t>(i)</w:t>
      </w:r>
      <w:r>
        <w:tab/>
        <w:t>Understanding Local Government;</w:t>
      </w:r>
    </w:p>
    <w:p>
      <w:pPr>
        <w:pStyle w:val="nzIndenti"/>
      </w:pPr>
      <w:r>
        <w:tab/>
        <w:t>(ii)</w:t>
      </w:r>
      <w:r>
        <w:tab/>
        <w:t>Serving on Council;</w:t>
      </w:r>
    </w:p>
    <w:p>
      <w:pPr>
        <w:pStyle w:val="nzIndenti"/>
      </w:pPr>
      <w:r>
        <w:tab/>
        <w:t>(iii)</w:t>
      </w:r>
      <w:r>
        <w:tab/>
        <w:t>Meeting Procedures;</w:t>
      </w:r>
    </w:p>
    <w:p>
      <w:pPr>
        <w:pStyle w:val="nzIndenti"/>
      </w:pPr>
      <w:r>
        <w:tab/>
        <w:t>(iv)</w:t>
      </w:r>
      <w:r>
        <w:tab/>
        <w:t>Conflicts of Interest;</w:t>
      </w:r>
    </w:p>
    <w:p>
      <w:pPr>
        <w:pStyle w:val="nzIndenti"/>
      </w:pPr>
      <w:r>
        <w:tab/>
        <w:t>(v)</w:t>
      </w:r>
      <w:r>
        <w:tab/>
        <w:t>Understanding Financial Reports and Budgets;</w:t>
      </w:r>
    </w:p>
    <w:p>
      <w:pPr>
        <w:pStyle w:val="nzIndenta"/>
      </w:pPr>
      <w:r>
        <w:tab/>
      </w:r>
      <w:r>
        <w:tab/>
        <w:t>and</w:t>
      </w:r>
    </w:p>
    <w:p>
      <w:pPr>
        <w:pStyle w:val="nzIndenta"/>
      </w:pPr>
      <w:r>
        <w:tab/>
        <w:t>(b)</w:t>
      </w:r>
      <w:r>
        <w:tab/>
        <w:t xml:space="preserve">is provided by any of the following bodies — </w:t>
      </w:r>
    </w:p>
    <w:p>
      <w:pPr>
        <w:pStyle w:val="nzIndenti"/>
      </w:pPr>
      <w:r>
        <w:tab/>
        <w:t>(i)</w:t>
      </w:r>
      <w:r>
        <w:tab/>
        <w:t>North Metropolitan TAFE;</w:t>
      </w:r>
    </w:p>
    <w:p>
      <w:pPr>
        <w:pStyle w:val="nzIndenti"/>
      </w:pPr>
      <w:r>
        <w:tab/>
        <w:t>(ii)</w:t>
      </w:r>
      <w:r>
        <w:tab/>
        <w:t>South Metropolitan TAFE;</w:t>
      </w:r>
    </w:p>
    <w:p>
      <w:pPr>
        <w:pStyle w:val="nzIndenti"/>
      </w:pPr>
      <w:r>
        <w:tab/>
        <w:t>(iii)</w:t>
      </w:r>
      <w:r>
        <w:tab/>
        <w:t>WALGA.</w:t>
      </w:r>
    </w:p>
    <w:p>
      <w:pPr>
        <w:pStyle w:val="nzSubsection"/>
      </w:pPr>
      <w:r>
        <w:tab/>
        <w:t>(3)</w:t>
      </w:r>
      <w:r>
        <w:tab/>
        <w:t>The period within which the course of training must be passed is the period of 12 months beginning on the day on which the council member is elected.</w:t>
      </w:r>
    </w:p>
    <w:p>
      <w:pPr>
        <w:pStyle w:val="nzHeading5"/>
      </w:pPr>
      <w:r>
        <w:t>36.</w:t>
      </w:r>
      <w:r>
        <w:tab/>
        <w:t>Exemption from Act s. 5.126(1) requirement</w:t>
      </w:r>
    </w:p>
    <w:p>
      <w:pPr>
        <w:pStyle w:val="nzSubsection"/>
      </w:pPr>
      <w:r>
        <w:tab/>
        <w:t>(1)</w:t>
      </w:r>
      <w:r>
        <w:tab/>
        <w:t xml:space="preserve">A council member is exempt from the requirement in section 5.126(1) if — </w:t>
      </w:r>
    </w:p>
    <w:p>
      <w:pPr>
        <w:pStyle w:val="nzIndenta"/>
      </w:pPr>
      <w:r>
        <w:tab/>
        <w:t>(a)</w:t>
      </w:r>
      <w:r>
        <w:tab/>
        <w:t xml:space="preserve">the council member passed either of the following courses within the period of 5 years ending immediately before the day on which the council member is elected — </w:t>
      </w:r>
    </w:p>
    <w:p>
      <w:pPr>
        <w:pStyle w:val="nzIndenti"/>
      </w:pPr>
      <w:r>
        <w:tab/>
        <w:t>(i)</w:t>
      </w:r>
      <w:r>
        <w:tab/>
        <w:t>the course of training specified in regulation 35(2);</w:t>
      </w:r>
    </w:p>
    <w:p>
      <w:pPr>
        <w:pStyle w:val="nzIndenti"/>
      </w:pPr>
      <w:r>
        <w:tab/>
        <w:t>(ii)</w:t>
      </w:r>
      <w:r>
        <w:tab/>
        <w:t xml:space="preserve">the course titled </w:t>
      </w:r>
      <w:r>
        <w:rPr>
          <w:i/>
        </w:rPr>
        <w:t>52756WA — Diploma of Local Government (Elected Member)</w:t>
      </w:r>
      <w:r>
        <w:t>;</w:t>
      </w:r>
    </w:p>
    <w:p>
      <w:pPr>
        <w:pStyle w:val="nzIndenta"/>
      </w:pPr>
      <w:r>
        <w:tab/>
      </w:r>
      <w:r>
        <w:tab/>
        <w:t>or</w:t>
      </w:r>
    </w:p>
    <w:p>
      <w:pPr>
        <w:pStyle w:val="nz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nzSubsection"/>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BlankClose"/>
      </w:pPr>
    </w:p>
    <w:p>
      <w:pPr>
        <w:pStyle w:val="BlankClose"/>
      </w:pPr>
    </w:p>
    <w:p>
      <w:pPr>
        <w:pStyle w:val="nSubsection"/>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01" w:name="_Toc16238984"/>
      <w:bookmarkStart w:id="102" w:name="_Toc16239109"/>
      <w:r>
        <w:rPr>
          <w:sz w:val="28"/>
        </w:rPr>
        <w:t>Defined terms</w:t>
      </w:r>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involving a local government discretion</w:t>
      </w:r>
      <w:r>
        <w:tab/>
        <w:t>34B(1)</w:t>
      </w:r>
    </w:p>
    <w:p>
      <w:pPr>
        <w:pStyle w:val="DefinedTerms"/>
      </w:pPr>
      <w:r>
        <w:t>address</w:t>
      </w:r>
      <w:r>
        <w:tab/>
        <w:t>34D</w:t>
      </w:r>
    </w:p>
    <w:p>
      <w:pPr>
        <w:pStyle w:val="DefinedTerms"/>
      </w:pPr>
      <w:r>
        <w:t>assent day</w:t>
      </w:r>
      <w:r>
        <w:tab/>
        <w:t>34D</w:t>
      </w:r>
    </w:p>
    <w:p>
      <w:pPr>
        <w:pStyle w:val="DefinedTerms"/>
      </w:pPr>
      <w:r>
        <w:t>client or adviser</w:t>
      </w:r>
      <w:r>
        <w:tab/>
        <w:t>20(1)</w:t>
      </w:r>
    </w:p>
    <w:p>
      <w:pPr>
        <w:pStyle w:val="DefinedTerms"/>
      </w:pPr>
      <w:r>
        <w:t>code of conduct</w:t>
      </w:r>
      <w:r>
        <w:tab/>
        <w:t>3(1)</w:t>
      </w:r>
    </w:p>
    <w:p>
      <w:pPr>
        <w:pStyle w:val="DefinedTerms"/>
      </w:pPr>
      <w:r>
        <w:t>commencement day</w:t>
      </w:r>
      <w:r>
        <w:tab/>
        <w:t>25(2), 26(2)</w:t>
      </w:r>
    </w:p>
    <w:p>
      <w:pPr>
        <w:pStyle w:val="DefinedTerms"/>
      </w:pPr>
      <w:r>
        <w:t>committee</w:t>
      </w:r>
      <w:r>
        <w:tab/>
        <w:t>3(1)</w:t>
      </w:r>
    </w:p>
    <w:p>
      <w:pPr>
        <w:pStyle w:val="DefinedTerms"/>
      </w:pPr>
      <w:r>
        <w:t>corporate business plan</w:t>
      </w:r>
      <w:r>
        <w:tab/>
        <w:t>19BA</w:t>
      </w:r>
    </w:p>
    <w:p>
      <w:pPr>
        <w:pStyle w:val="DefinedTerms"/>
      </w:pPr>
      <w:r>
        <w:t>designated employee</w:t>
      </w:r>
      <w:r>
        <w:tab/>
        <w:t>34D</w:t>
      </w:r>
    </w:p>
    <w:p>
      <w:pPr>
        <w:pStyle w:val="DefinedTerms"/>
      </w:pPr>
      <w:r>
        <w:t>disability</w:t>
      </w:r>
      <w:r>
        <w:tab/>
        <w:t>14A(4)</w:t>
      </w:r>
    </w:p>
    <w:p>
      <w:pPr>
        <w:pStyle w:val="DefinedTerms"/>
      </w:pPr>
      <w:r>
        <w:t>final annual remuneration</w:t>
      </w:r>
      <w:r>
        <w:tab/>
        <w:t>19A(2)</w:t>
      </w:r>
    </w:p>
    <w:p>
      <w:pPr>
        <w:pStyle w:val="DefinedTerms"/>
      </w:pPr>
      <w:r>
        <w:t>former regulation 19C</w:t>
      </w:r>
      <w:r>
        <w:tab/>
        <w:t>19DB(1)</w:t>
      </w:r>
    </w:p>
    <w:p>
      <w:pPr>
        <w:pStyle w:val="DefinedTerms"/>
      </w:pPr>
      <w:r>
        <w:t>former regulation 19D</w:t>
      </w:r>
      <w:r>
        <w:tab/>
        <w:t>19DB(1)</w:t>
      </w:r>
    </w:p>
    <w:p>
      <w:pPr>
        <w:pStyle w:val="DefinedTerms"/>
      </w:pPr>
      <w:r>
        <w:t>gift</w:t>
      </w:r>
      <w:r>
        <w:tab/>
        <w:t>34B(1), 34D</w:t>
      </w:r>
    </w:p>
    <w:p>
      <w:pPr>
        <w:pStyle w:val="DefinedTerms"/>
      </w:pPr>
      <w:r>
        <w:t>interest</w:t>
      </w:r>
      <w:r>
        <w:tab/>
        <w:t>34C(1)</w:t>
      </w:r>
    </w:p>
    <w:p>
      <w:pPr>
        <w:pStyle w:val="DefinedTerms"/>
      </w:pPr>
      <w:r>
        <w:t>notifiable gift</w:t>
      </w:r>
      <w:r>
        <w:tab/>
        <w:t>34B(1)</w:t>
      </w:r>
    </w:p>
    <w:p>
      <w:pPr>
        <w:pStyle w:val="DefinedTerms"/>
      </w:pPr>
      <w:r>
        <w:t>person referred to in this regulation</w:t>
      </w:r>
      <w:r>
        <w:tab/>
        <w:t>14B(4)</w:t>
      </w:r>
    </w:p>
    <w:p>
      <w:pPr>
        <w:pStyle w:val="DefinedTerms"/>
      </w:pPr>
      <w:r>
        <w:t>plan for the future</w:t>
      </w:r>
      <w:r>
        <w:tab/>
        <w:t>19DB(1)</w:t>
      </w:r>
    </w:p>
    <w:p>
      <w:pPr>
        <w:pStyle w:val="DefinedTerms"/>
      </w:pPr>
      <w:r>
        <w:t>political party</w:t>
      </w:r>
      <w:r>
        <w:tab/>
        <w:t>34D</w:t>
      </w:r>
    </w:p>
    <w:p>
      <w:pPr>
        <w:pStyle w:val="DefinedTerms"/>
      </w:pPr>
      <w:r>
        <w:t>prohibited gift</w:t>
      </w:r>
      <w:r>
        <w:tab/>
        <w:t>34B(1)</w:t>
      </w:r>
    </w:p>
    <w:p>
      <w:pPr>
        <w:pStyle w:val="DefinedTerms"/>
      </w:pPr>
      <w:r>
        <w:t>relative</w:t>
      </w:r>
      <w:r>
        <w:tab/>
        <w:t>34D</w:t>
      </w:r>
    </w:p>
    <w:p>
      <w:pPr>
        <w:pStyle w:val="DefinedTerms"/>
      </w:pPr>
      <w:r>
        <w:t>relevant period</w:t>
      </w:r>
      <w:r>
        <w:tab/>
        <w:t>34AE(1)</w:t>
      </w:r>
    </w:p>
    <w:p>
      <w:pPr>
        <w:pStyle w:val="DefinedTerms"/>
      </w:pPr>
      <w:r>
        <w:t>relevant person</w:t>
      </w:r>
      <w:r>
        <w:tab/>
        <w:t>3(1)</w:t>
      </w:r>
    </w:p>
    <w:p>
      <w:pPr>
        <w:pStyle w:val="DefinedTerms"/>
      </w:pPr>
      <w:r>
        <w:t>Schedule</w:t>
      </w:r>
      <w:r>
        <w:tab/>
        <w:t>3(1)</w:t>
      </w:r>
    </w:p>
    <w:p>
      <w:pPr>
        <w:pStyle w:val="DefinedTerms"/>
      </w:pPr>
      <w:r>
        <w:t>section</w:t>
      </w:r>
      <w:r>
        <w:tab/>
        <w:t>3(1)</w:t>
      </w:r>
    </w:p>
    <w:p>
      <w:pPr>
        <w:pStyle w:val="DefinedTerms"/>
      </w:pPr>
      <w:r>
        <w:t>strategic community plan</w:t>
      </w:r>
      <w:r>
        <w:tab/>
        <w:t>19BA</w:t>
      </w:r>
    </w:p>
    <w:p>
      <w:pPr>
        <w:pStyle w:val="DefinedTerms"/>
      </w:pPr>
      <w:r>
        <w:t>suitable place</w:t>
      </w:r>
      <w:r>
        <w:tab/>
        <w:t>14A(4)</w:t>
      </w:r>
    </w:p>
    <w:p>
      <w:pPr>
        <w:pStyle w:val="DefinedTerms"/>
      </w:pPr>
      <w:r>
        <w:t>townsite</w:t>
      </w:r>
      <w:r>
        <w:tab/>
        <w:t>14A(4)</w:t>
      </w:r>
    </w:p>
    <w:p>
      <w:pPr>
        <w:pStyle w:val="DefinedTerms"/>
      </w:pPr>
      <w:r>
        <w:t>transitional period</w:t>
      </w:r>
      <w:r>
        <w:tab/>
        <w:t>34D</w:t>
      </w:r>
    </w:p>
    <w:p>
      <w:pPr>
        <w:pStyle w:val="DefinedTerms"/>
      </w:pPr>
      <w:r>
        <w:t>travel</w:t>
      </w:r>
      <w:r>
        <w:tab/>
        <w:t>34D</w:t>
      </w:r>
    </w:p>
    <w:p>
      <w:pPr>
        <w:pStyle w:val="DefinedTerms"/>
      </w:pPr>
      <w:r>
        <w:t>travel contribution</w:t>
      </w:r>
      <w:r>
        <w:tab/>
        <w:t>34D</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808144556"/>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13013</Words>
  <Characters>66239</Characters>
  <Application>Microsoft Office Word</Application>
  <DocSecurity>0</DocSecurity>
  <Lines>2284</Lines>
  <Paragraphs>1200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1996 - 03-h0-00</dc:title>
  <dc:subject/>
  <dc:creator/>
  <cp:keywords/>
  <dc:description/>
  <cp:lastModifiedBy>svcMRProcess</cp:lastModifiedBy>
  <cp:revision>4</cp:revision>
  <cp:lastPrinted>2012-02-08T03:09:00Z</cp:lastPrinted>
  <dcterms:created xsi:type="dcterms:W3CDTF">2019-08-09T06:39:00Z</dcterms:created>
  <dcterms:modified xsi:type="dcterms:W3CDTF">2019-08-09T06:39:00Z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AsAtDate">
    <vt:lpwstr>09 Aug 2019</vt:lpwstr>
  </property>
  <property fmtid="{D5CDD505-2E9C-101B-9397-08002B2CF9AE}" pid="8" name="Suffix">
    <vt:lpwstr>03-h0-00</vt:lpwstr>
  </property>
  <property fmtid="{D5CDD505-2E9C-101B-9397-08002B2CF9AE}" pid="9" name="CommencementDate">
    <vt:lpwstr>20190809</vt:lpwstr>
  </property>
</Properties>
</file>