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Amendment (Medical Retirement) Act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Amendment (Medical Retirement)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_Toc16863761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_Toc16863762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Police Act 1892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_Toc16863764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8 amended</w:t>
      </w:r>
      <w:r>
        <w:tab/>
      </w:r>
      <w:r>
        <w:fldChar w:fldCharType="begin"/>
      </w:r>
      <w:r>
        <w:instrText xml:space="preserve"> PAGEREF _Toc16863765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33K amended</w:t>
      </w:r>
      <w:r>
        <w:tab/>
      </w:r>
      <w:r>
        <w:fldChar w:fldCharType="begin"/>
      </w:r>
      <w:r>
        <w:instrText xml:space="preserve"> PAGEREF _Toc16863766 \h </w:instrText>
      </w:r>
      <w:r>
        <w:fldChar w:fldCharType="separate"/>
      </w:r>
      <w:r>
        <w:t>3</w:t>
      </w:r>
      <w:r>
        <w:fldChar w:fldCharType="end"/>
      </w:r>
    </w:p>
    <w:p>
      <w:pPr>
        <w:pStyle w:val="TOC8"/>
        <w:rPr>
          <w:rFonts w:asciiTheme="minorHAnsi" w:eastAsiaTheme="minorEastAsia" w:hAnsiTheme="minorHAnsi" w:cstheme="minorBidi"/>
          <w:szCs w:val="22"/>
        </w:rPr>
      </w:pPr>
      <w:r>
        <w:t>6.</w:t>
      </w:r>
      <w:r>
        <w:tab/>
        <w:t>Part IIC inserted</w:t>
      </w:r>
      <w:r>
        <w:tab/>
      </w:r>
      <w:r>
        <w:fldChar w:fldCharType="begin"/>
      </w:r>
      <w:r>
        <w:instrText xml:space="preserve"> PAGEREF _Toc16863767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33ZA.</w:t>
      </w:r>
      <w:r>
        <w:rPr>
          <w:noProof/>
        </w:rPr>
        <w:tab/>
        <w:t>Summary of Part</w:t>
      </w:r>
      <w:r>
        <w:rPr>
          <w:noProof/>
        </w:rPr>
        <w:tab/>
      </w:r>
      <w:r>
        <w:rPr>
          <w:noProof/>
        </w:rPr>
        <w:fldChar w:fldCharType="begin"/>
      </w:r>
      <w:r>
        <w:rPr>
          <w:noProof/>
        </w:rPr>
        <w:instrText xml:space="preserve"> PAGEREF _Toc16863770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33ZB.</w:t>
      </w:r>
      <w:r>
        <w:rPr>
          <w:noProof/>
        </w:rPr>
        <w:tab/>
        <w:t>Terms used</w:t>
      </w:r>
      <w:r>
        <w:rPr>
          <w:noProof/>
        </w:rPr>
        <w:tab/>
      </w:r>
      <w:r>
        <w:rPr>
          <w:noProof/>
        </w:rPr>
        <w:fldChar w:fldCharType="begin"/>
      </w:r>
      <w:r>
        <w:rPr>
          <w:noProof/>
        </w:rPr>
        <w:instrText xml:space="preserve"> PAGEREF _Toc16863771 \h </w:instrText>
      </w:r>
      <w:r>
        <w:rPr>
          <w:noProof/>
        </w:rPr>
      </w:r>
      <w:r>
        <w:rPr>
          <w:noProof/>
        </w:rPr>
        <w:fldChar w:fldCharType="separate"/>
      </w:r>
      <w:r>
        <w:rPr>
          <w:noProof/>
        </w:rPr>
        <w:t>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How members can be retired on medical grounds</w:t>
      </w:r>
    </w:p>
    <w:p>
      <w:pPr>
        <w:pStyle w:val="TOC9"/>
        <w:rPr>
          <w:rFonts w:asciiTheme="minorHAnsi" w:eastAsiaTheme="minorEastAsia" w:hAnsiTheme="minorHAnsi" w:cstheme="minorBidi"/>
          <w:noProof/>
          <w:sz w:val="22"/>
          <w:szCs w:val="22"/>
        </w:rPr>
      </w:pPr>
      <w:r>
        <w:rPr>
          <w:noProof/>
        </w:rPr>
        <w:t>33ZC.</w:t>
      </w:r>
      <w:r>
        <w:rPr>
          <w:noProof/>
        </w:rPr>
        <w:tab/>
        <w:t>Examination of member by medical board</w:t>
      </w:r>
      <w:r>
        <w:rPr>
          <w:noProof/>
        </w:rPr>
        <w:tab/>
      </w:r>
      <w:r>
        <w:rPr>
          <w:noProof/>
        </w:rPr>
        <w:fldChar w:fldCharType="begin"/>
      </w:r>
      <w:r>
        <w:rPr>
          <w:noProof/>
        </w:rPr>
        <w:instrText xml:space="preserve"> PAGEREF _Toc16863773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33ZD.</w:t>
      </w:r>
      <w:r>
        <w:rPr>
          <w:noProof/>
        </w:rPr>
        <w:tab/>
        <w:t>Notice that Police Commissioner is of opinion that member is medically unfit</w:t>
      </w:r>
      <w:r>
        <w:rPr>
          <w:noProof/>
        </w:rPr>
        <w:tab/>
      </w:r>
      <w:r>
        <w:rPr>
          <w:noProof/>
        </w:rPr>
        <w:fldChar w:fldCharType="begin"/>
      </w:r>
      <w:r>
        <w:rPr>
          <w:noProof/>
        </w:rPr>
        <w:instrText xml:space="preserve"> PAGEREF _Toc16863774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33ZE.</w:t>
      </w:r>
      <w:r>
        <w:rPr>
          <w:noProof/>
        </w:rPr>
        <w:tab/>
        <w:t>Power to retire member on medical grounds</w:t>
      </w:r>
      <w:r>
        <w:rPr>
          <w:noProof/>
        </w:rPr>
        <w:tab/>
      </w:r>
      <w:r>
        <w:rPr>
          <w:noProof/>
        </w:rPr>
        <w:fldChar w:fldCharType="begin"/>
      </w:r>
      <w:r>
        <w:rPr>
          <w:noProof/>
        </w:rPr>
        <w:instrText xml:space="preserve"> PAGEREF _Toc16863775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33ZF.</w:t>
      </w:r>
      <w:r>
        <w:rPr>
          <w:noProof/>
        </w:rPr>
        <w:tab/>
        <w:t>Maintenance payment</w:t>
      </w:r>
      <w:r>
        <w:rPr>
          <w:noProof/>
        </w:rPr>
        <w:tab/>
      </w:r>
      <w:r>
        <w:rPr>
          <w:noProof/>
        </w:rPr>
        <w:fldChar w:fldCharType="begin"/>
      </w:r>
      <w:r>
        <w:rPr>
          <w:noProof/>
        </w:rPr>
        <w:instrText xml:space="preserve"> PAGEREF _Toc16863776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33ZG.</w:t>
      </w:r>
      <w:r>
        <w:rPr>
          <w:noProof/>
        </w:rPr>
        <w:tab/>
        <w:t>Revocation of decision that member should be retired</w:t>
      </w:r>
      <w:r>
        <w:rPr>
          <w:noProof/>
        </w:rPr>
        <w:tab/>
      </w:r>
      <w:r>
        <w:rPr>
          <w:noProof/>
        </w:rPr>
        <w:fldChar w:fldCharType="begin"/>
      </w:r>
      <w:r>
        <w:rPr>
          <w:noProof/>
        </w:rPr>
        <w:instrText xml:space="preserve"> PAGEREF _Toc16863777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33ZH.</w:t>
      </w:r>
      <w:r>
        <w:rPr>
          <w:noProof/>
        </w:rPr>
        <w:tab/>
        <w:t>Resignation of member who has been retired on medical grounds</w:t>
      </w:r>
      <w:r>
        <w:rPr>
          <w:noProof/>
        </w:rPr>
        <w:tab/>
      </w:r>
      <w:r>
        <w:rPr>
          <w:noProof/>
        </w:rPr>
        <w:fldChar w:fldCharType="begin"/>
      </w:r>
      <w:r>
        <w:rPr>
          <w:noProof/>
        </w:rPr>
        <w:instrText xml:space="preserve"> PAGEREF _Toc16863778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Appeal against decision that member should be retired on medical grounds</w:t>
      </w:r>
    </w:p>
    <w:p>
      <w:pPr>
        <w:pStyle w:val="TOC9"/>
        <w:rPr>
          <w:rFonts w:asciiTheme="minorHAnsi" w:eastAsiaTheme="minorEastAsia" w:hAnsiTheme="minorHAnsi" w:cstheme="minorBidi"/>
          <w:noProof/>
          <w:sz w:val="22"/>
          <w:szCs w:val="22"/>
        </w:rPr>
      </w:pPr>
      <w:r>
        <w:rPr>
          <w:noProof/>
        </w:rPr>
        <w:t>33ZI.</w:t>
      </w:r>
      <w:r>
        <w:rPr>
          <w:noProof/>
        </w:rPr>
        <w:tab/>
        <w:t>Appeal right</w:t>
      </w:r>
      <w:r>
        <w:rPr>
          <w:noProof/>
        </w:rPr>
        <w:tab/>
      </w:r>
      <w:r>
        <w:rPr>
          <w:noProof/>
        </w:rPr>
        <w:fldChar w:fldCharType="begin"/>
      </w:r>
      <w:r>
        <w:rPr>
          <w:noProof/>
        </w:rPr>
        <w:instrText xml:space="preserve"> PAGEREF _Toc16863780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33ZJ.</w:t>
      </w:r>
      <w:r>
        <w:rPr>
          <w:noProof/>
        </w:rPr>
        <w:tab/>
        <w:t>Proceedings on appeal</w:t>
      </w:r>
      <w:r>
        <w:rPr>
          <w:noProof/>
        </w:rPr>
        <w:tab/>
      </w:r>
      <w:r>
        <w:rPr>
          <w:noProof/>
        </w:rPr>
        <w:fldChar w:fldCharType="begin"/>
      </w:r>
      <w:r>
        <w:rPr>
          <w:noProof/>
        </w:rPr>
        <w:instrText xml:space="preserve"> PAGEREF _Toc16863781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lastRenderedPageBreak/>
        <w:t>33ZK.</w:t>
      </w:r>
      <w:r>
        <w:rPr>
          <w:noProof/>
        </w:rPr>
        <w:tab/>
        <w:t>New evidence on appeal</w:t>
      </w:r>
      <w:r>
        <w:rPr>
          <w:noProof/>
        </w:rPr>
        <w:tab/>
      </w:r>
      <w:r>
        <w:rPr>
          <w:noProof/>
        </w:rPr>
        <w:fldChar w:fldCharType="begin"/>
      </w:r>
      <w:r>
        <w:rPr>
          <w:noProof/>
        </w:rPr>
        <w:instrText xml:space="preserve"> PAGEREF _Toc16863782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33ZL.</w:t>
      </w:r>
      <w:r>
        <w:rPr>
          <w:noProof/>
        </w:rPr>
        <w:tab/>
        <w:t xml:space="preserve">Application of </w:t>
      </w:r>
      <w:r>
        <w:rPr>
          <w:i/>
          <w:noProof/>
        </w:rPr>
        <w:t>Industrial Relations Act 1979</w:t>
      </w:r>
      <w:r>
        <w:rPr>
          <w:noProof/>
        </w:rPr>
        <w:t xml:space="preserve"> to the appeal</w:t>
      </w:r>
      <w:r>
        <w:rPr>
          <w:noProof/>
        </w:rPr>
        <w:tab/>
      </w:r>
      <w:r>
        <w:rPr>
          <w:noProof/>
        </w:rPr>
        <w:fldChar w:fldCharType="begin"/>
      </w:r>
      <w:r>
        <w:rPr>
          <w:noProof/>
        </w:rPr>
        <w:instrText xml:space="preserve"> PAGEREF _Toc16863783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33ZM.</w:t>
      </w:r>
      <w:r>
        <w:rPr>
          <w:noProof/>
        </w:rPr>
        <w:tab/>
        <w:t>Decision by the WAIRC</w:t>
      </w:r>
      <w:r>
        <w:rPr>
          <w:noProof/>
        </w:rPr>
        <w:tab/>
      </w:r>
      <w:r>
        <w:rPr>
          <w:noProof/>
        </w:rPr>
        <w:fldChar w:fldCharType="begin"/>
      </w:r>
      <w:r>
        <w:rPr>
          <w:noProof/>
        </w:rPr>
        <w:instrText xml:space="preserve"> PAGEREF _Toc16863784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33ZN.</w:t>
      </w:r>
      <w:r>
        <w:rPr>
          <w:noProof/>
        </w:rPr>
        <w:tab/>
        <w:t>Restriction on publication</w:t>
      </w:r>
      <w:r>
        <w:rPr>
          <w:noProof/>
        </w:rPr>
        <w:tab/>
      </w:r>
      <w:r>
        <w:rPr>
          <w:noProof/>
        </w:rPr>
        <w:fldChar w:fldCharType="begin"/>
      </w:r>
      <w:r>
        <w:rPr>
          <w:noProof/>
        </w:rPr>
        <w:instrText xml:space="preserve"> PAGEREF _Toc16863785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w:t>
      </w:r>
    </w:p>
    <w:p>
      <w:pPr>
        <w:pStyle w:val="TOC9"/>
        <w:rPr>
          <w:rFonts w:asciiTheme="minorHAnsi" w:eastAsiaTheme="minorEastAsia" w:hAnsiTheme="minorHAnsi" w:cstheme="minorBidi"/>
          <w:noProof/>
          <w:sz w:val="22"/>
          <w:szCs w:val="22"/>
        </w:rPr>
      </w:pPr>
      <w:r>
        <w:rPr>
          <w:noProof/>
        </w:rPr>
        <w:t>33ZO.</w:t>
      </w:r>
      <w:r>
        <w:rPr>
          <w:noProof/>
        </w:rPr>
        <w:tab/>
        <w:t>Failure to comply with procedure</w:t>
      </w:r>
      <w:r>
        <w:rPr>
          <w:noProof/>
        </w:rPr>
        <w:tab/>
      </w:r>
      <w:r>
        <w:rPr>
          <w:noProof/>
        </w:rPr>
        <w:fldChar w:fldCharType="begin"/>
      </w:r>
      <w:r>
        <w:rPr>
          <w:noProof/>
        </w:rPr>
        <w:instrText xml:space="preserve"> PAGEREF _Toc16863787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33ZP.</w:t>
      </w:r>
      <w:r>
        <w:rPr>
          <w:noProof/>
        </w:rPr>
        <w:tab/>
        <w:t>Transfer, standing down and leave of member</w:t>
      </w:r>
      <w:r>
        <w:rPr>
          <w:noProof/>
        </w:rPr>
        <w:tab/>
      </w:r>
      <w:r>
        <w:rPr>
          <w:noProof/>
        </w:rPr>
        <w:fldChar w:fldCharType="begin"/>
      </w:r>
      <w:r>
        <w:rPr>
          <w:noProof/>
        </w:rPr>
        <w:instrText xml:space="preserve"> PAGEREF _Toc16863788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33ZQ.</w:t>
      </w:r>
      <w:r>
        <w:rPr>
          <w:noProof/>
        </w:rPr>
        <w:tab/>
        <w:t>Transitional provision</w:t>
      </w:r>
      <w:r>
        <w:rPr>
          <w:noProof/>
        </w:rPr>
        <w:tab/>
      </w:r>
      <w:r>
        <w:rPr>
          <w:noProof/>
        </w:rPr>
        <w:fldChar w:fldCharType="begin"/>
      </w:r>
      <w:r>
        <w:rPr>
          <w:noProof/>
        </w:rPr>
        <w:instrText xml:space="preserve"> PAGEREF _Toc16863789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7.</w:t>
      </w:r>
      <w:r>
        <w:tab/>
        <w:t>Section 138A amended</w:t>
      </w:r>
      <w:r>
        <w:tab/>
      </w:r>
      <w:r>
        <w:fldChar w:fldCharType="begin"/>
      </w:r>
      <w:r>
        <w:instrText xml:space="preserve"> PAGEREF _Toc16863790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Industrial Relations Act 1979</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_Toc16863792 \h </w:instrText>
      </w:r>
      <w:r>
        <w:fldChar w:fldCharType="separate"/>
      </w:r>
      <w:r>
        <w:t>24</w:t>
      </w:r>
      <w:r>
        <w:fldChar w:fldCharType="end"/>
      </w:r>
    </w:p>
    <w:p>
      <w:pPr>
        <w:pStyle w:val="TOC8"/>
        <w:rPr>
          <w:rFonts w:asciiTheme="minorHAnsi" w:eastAsiaTheme="minorEastAsia" w:hAnsiTheme="minorHAnsi" w:cstheme="minorBidi"/>
          <w:szCs w:val="22"/>
        </w:rPr>
      </w:pPr>
      <w:r>
        <w:t>9.</w:t>
      </w:r>
      <w:r>
        <w:tab/>
        <w:t>Section 113 amended</w:t>
      </w:r>
      <w:r>
        <w:tab/>
      </w:r>
      <w:r>
        <w:fldChar w:fldCharType="begin"/>
      </w:r>
      <w:r>
        <w:instrText xml:space="preserve"> PAGEREF _Toc16863793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Police Amendment (Medical Retirement) Act 2019</w:t>
      </w:r>
    </w:p>
    <w:p>
      <w:pPr>
        <w:pStyle w:val="ABillFor"/>
        <w:pBdr>
          <w:top w:val="single" w:sz="4" w:space="6" w:color="auto"/>
          <w:bottom w:val="single" w:sz="4" w:space="6" w:color="auto"/>
        </w:pBdr>
        <w:spacing w:before="0" w:after="240"/>
        <w:ind w:left="2551" w:right="2551"/>
      </w:pPr>
      <w:bookmarkStart w:id="2" w:name="BillCited"/>
      <w:bookmarkEnd w:id="2"/>
      <w:r>
        <w:t>No. 19 of 2019</w:t>
      </w:r>
    </w:p>
    <w:p>
      <w:pPr>
        <w:pStyle w:val="LongTitle"/>
        <w:suppressLineNumbers/>
      </w:pPr>
      <w:r>
        <w:t xml:space="preserve">An Act to amend the </w:t>
      </w:r>
      <w:r>
        <w:rPr>
          <w:i/>
        </w:rPr>
        <w:t>Police Act 1892</w:t>
      </w:r>
      <w:r>
        <w:t xml:space="preserve"> and to amend the </w:t>
      </w:r>
      <w:r>
        <w:rPr>
          <w:i/>
        </w:rPr>
        <w:t>Industrial Relations Act 1979</w:t>
      </w:r>
      <w:r>
        <w:t xml:space="preserve"> consequentially.</w:t>
      </w:r>
    </w:p>
    <w:p>
      <w:pPr>
        <w:pStyle w:val="AssentNote"/>
      </w:pPr>
      <w:r>
        <w:t>[Assented to 15 August 2019]</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863622"/>
      <w:bookmarkStart w:id="4" w:name="_Toc16863760"/>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6863761"/>
      <w:r>
        <w:rPr>
          <w:rStyle w:val="CharSectno"/>
        </w:rPr>
        <w:t>1</w:t>
      </w:r>
      <w:r>
        <w:t>.</w:t>
      </w:r>
      <w:r>
        <w:tab/>
        <w:t>Short title</w:t>
      </w:r>
      <w:bookmarkEnd w:id="5"/>
    </w:p>
    <w:p>
      <w:pPr>
        <w:pStyle w:val="Subsection"/>
      </w:pPr>
      <w:r>
        <w:tab/>
      </w:r>
      <w:r>
        <w:tab/>
        <w:t>This is the</w:t>
      </w:r>
      <w:r>
        <w:rPr>
          <w:i/>
        </w:rPr>
        <w:t xml:space="preserve"> Police Amendment (Medical Retirement) Act 2019</w:t>
      </w:r>
      <w:r>
        <w:t>.</w:t>
      </w:r>
    </w:p>
    <w:p>
      <w:pPr>
        <w:pStyle w:val="Heading5"/>
      </w:pPr>
      <w:bookmarkStart w:id="6" w:name="_Toc16863762"/>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7" w:name="_Toc16863625"/>
      <w:bookmarkStart w:id="8" w:name="_Toc16863763"/>
      <w:r>
        <w:rPr>
          <w:rStyle w:val="CharPartNo"/>
        </w:rPr>
        <w:lastRenderedPageBreak/>
        <w:t>Part 2</w:t>
      </w:r>
      <w:r>
        <w:rPr>
          <w:rStyle w:val="CharDivNo"/>
        </w:rPr>
        <w:t> </w:t>
      </w:r>
      <w:r>
        <w:t>—</w:t>
      </w:r>
      <w:r>
        <w:rPr>
          <w:rStyle w:val="CharDivText"/>
        </w:rPr>
        <w:t> </w:t>
      </w:r>
      <w:r>
        <w:rPr>
          <w:rStyle w:val="CharPartText"/>
          <w:i/>
        </w:rPr>
        <w:t>Police Act 1892</w:t>
      </w:r>
      <w:r>
        <w:rPr>
          <w:rStyle w:val="CharPartText"/>
        </w:rPr>
        <w:t xml:space="preserve"> amended</w:t>
      </w:r>
      <w:bookmarkEnd w:id="7"/>
      <w:bookmarkEnd w:id="8"/>
    </w:p>
    <w:p>
      <w:pPr>
        <w:pStyle w:val="Heading5"/>
        <w:rPr>
          <w:snapToGrid w:val="0"/>
        </w:rPr>
      </w:pPr>
      <w:bookmarkStart w:id="9" w:name="_Toc16863764"/>
      <w:r>
        <w:rPr>
          <w:rStyle w:val="CharSectno"/>
        </w:rPr>
        <w:t>3</w:t>
      </w:r>
      <w:r>
        <w:rPr>
          <w:snapToGrid w:val="0"/>
        </w:rPr>
        <w:t>.</w:t>
      </w:r>
      <w:r>
        <w:rPr>
          <w:snapToGrid w:val="0"/>
        </w:rPr>
        <w:tab/>
        <w:t>Act amended</w:t>
      </w:r>
      <w:bookmarkEnd w:id="9"/>
    </w:p>
    <w:p>
      <w:pPr>
        <w:pStyle w:val="Subsection"/>
      </w:pPr>
      <w:r>
        <w:tab/>
      </w:r>
      <w:r>
        <w:tab/>
        <w:t xml:space="preserve">This Part amends the </w:t>
      </w:r>
      <w:r>
        <w:rPr>
          <w:i/>
        </w:rPr>
        <w:t>Police Act 1892</w:t>
      </w:r>
      <w:r>
        <w:t>.</w:t>
      </w:r>
    </w:p>
    <w:p>
      <w:pPr>
        <w:pStyle w:val="Heading5"/>
      </w:pPr>
      <w:bookmarkStart w:id="10" w:name="_Toc16863765"/>
      <w:r>
        <w:rPr>
          <w:rStyle w:val="CharSectno"/>
        </w:rPr>
        <w:t>4</w:t>
      </w:r>
      <w:r>
        <w:t>.</w:t>
      </w:r>
      <w:r>
        <w:tab/>
        <w:t>Section 8 amended</w:t>
      </w:r>
      <w:bookmarkEnd w:id="10"/>
    </w:p>
    <w:p>
      <w:pPr>
        <w:pStyle w:val="Subsection"/>
      </w:pPr>
      <w:r>
        <w:tab/>
      </w:r>
      <w:r>
        <w:tab/>
        <w:t>In section 8(1):</w:t>
      </w:r>
    </w:p>
    <w:p>
      <w:pPr>
        <w:pStyle w:val="Indenta"/>
      </w:pPr>
      <w:r>
        <w:tab/>
        <w:t>(a)</w:t>
      </w:r>
      <w:r>
        <w:tab/>
        <w:t>delete “disability,”;</w:t>
      </w:r>
    </w:p>
    <w:p>
      <w:pPr>
        <w:pStyle w:val="Indenta"/>
      </w:pPr>
      <w:r>
        <w:tab/>
        <w:t>(b)</w:t>
      </w:r>
      <w:r>
        <w:tab/>
        <w:t>delete “removal, disability or” and insert:</w:t>
      </w:r>
    </w:p>
    <w:p>
      <w:pPr>
        <w:pStyle w:val="BlankOpen"/>
      </w:pPr>
    </w:p>
    <w:p>
      <w:pPr>
        <w:pStyle w:val="Indenta"/>
      </w:pPr>
      <w:r>
        <w:tab/>
      </w:r>
      <w:r>
        <w:tab/>
        <w:t>removal or</w:t>
      </w:r>
    </w:p>
    <w:p>
      <w:pPr>
        <w:pStyle w:val="BlankClose"/>
      </w:pPr>
    </w:p>
    <w:p>
      <w:pPr>
        <w:pStyle w:val="Heading5"/>
      </w:pPr>
      <w:bookmarkStart w:id="11" w:name="_Toc16863766"/>
      <w:r>
        <w:rPr>
          <w:rStyle w:val="CharSectno"/>
        </w:rPr>
        <w:t>5</w:t>
      </w:r>
      <w:r>
        <w:t>.</w:t>
      </w:r>
      <w:r>
        <w:tab/>
        <w:t>Section 33K amended</w:t>
      </w:r>
      <w:bookmarkEnd w:id="11"/>
    </w:p>
    <w:p>
      <w:pPr>
        <w:pStyle w:val="Subsection"/>
      </w:pPr>
      <w:r>
        <w:tab/>
      </w:r>
      <w:r>
        <w:tab/>
        <w:t xml:space="preserve">In section 33K in the definition of </w:t>
      </w:r>
      <w:r>
        <w:rPr>
          <w:b/>
          <w:i/>
        </w:rPr>
        <w:t>removal action</w:t>
      </w:r>
      <w:r>
        <w:t xml:space="preserve"> after paragraph (c) insert:</w:t>
      </w:r>
    </w:p>
    <w:p>
      <w:pPr>
        <w:pStyle w:val="BlankOpen"/>
      </w:pPr>
    </w:p>
    <w:p>
      <w:pPr>
        <w:pStyle w:val="zDefpara"/>
      </w:pPr>
      <w:r>
        <w:tab/>
        <w:t>(d)</w:t>
      </w:r>
      <w:r>
        <w:tab/>
        <w:t>the cancellation of the appointment of a police auxiliary officer under section 38G(4);</w:t>
      </w:r>
    </w:p>
    <w:p>
      <w:pPr>
        <w:pStyle w:val="BlankClose"/>
      </w:pPr>
    </w:p>
    <w:p>
      <w:pPr>
        <w:pStyle w:val="Heading5"/>
      </w:pPr>
      <w:bookmarkStart w:id="12" w:name="_Toc16863767"/>
      <w:r>
        <w:rPr>
          <w:rStyle w:val="CharSectno"/>
        </w:rPr>
        <w:t>6</w:t>
      </w:r>
      <w:r>
        <w:t>.</w:t>
      </w:r>
      <w:r>
        <w:tab/>
        <w:t>Part IIC inserted</w:t>
      </w:r>
      <w:bookmarkEnd w:id="12"/>
    </w:p>
    <w:p>
      <w:pPr>
        <w:pStyle w:val="Subsection"/>
      </w:pPr>
      <w:r>
        <w:tab/>
      </w:r>
      <w:r>
        <w:tab/>
        <w:t>After section 33Z insert:</w:t>
      </w:r>
    </w:p>
    <w:p>
      <w:pPr>
        <w:pStyle w:val="BlankOpen"/>
      </w:pPr>
    </w:p>
    <w:p>
      <w:pPr>
        <w:pStyle w:val="zHeading2"/>
      </w:pPr>
      <w:bookmarkStart w:id="13" w:name="_Toc16863630"/>
      <w:bookmarkStart w:id="14" w:name="_Toc16863768"/>
      <w:r>
        <w:t>Part IIC</w:t>
      </w:r>
      <w:r>
        <w:rPr>
          <w:b w:val="0"/>
        </w:rPr>
        <w:t> </w:t>
      </w:r>
      <w:r>
        <w:t>—</w:t>
      </w:r>
      <w:r>
        <w:rPr>
          <w:b w:val="0"/>
        </w:rPr>
        <w:t> </w:t>
      </w:r>
      <w:r>
        <w:t>Medical retirement</w:t>
      </w:r>
      <w:bookmarkEnd w:id="13"/>
      <w:bookmarkEnd w:id="14"/>
    </w:p>
    <w:p>
      <w:pPr>
        <w:pStyle w:val="zHeading3"/>
      </w:pPr>
      <w:bookmarkStart w:id="15" w:name="_Toc16863631"/>
      <w:bookmarkStart w:id="16" w:name="_Toc16863769"/>
      <w:r>
        <w:t>Division 1 — Preliminary</w:t>
      </w:r>
      <w:bookmarkEnd w:id="15"/>
      <w:bookmarkEnd w:id="16"/>
    </w:p>
    <w:p>
      <w:pPr>
        <w:pStyle w:val="zHeading5"/>
      </w:pPr>
      <w:bookmarkStart w:id="17" w:name="_Toc16863770"/>
      <w:r>
        <w:t>33ZA.</w:t>
      </w:r>
      <w:r>
        <w:tab/>
        <w:t>Summary of Part</w:t>
      </w:r>
      <w:bookmarkEnd w:id="17"/>
    </w:p>
    <w:p>
      <w:pPr>
        <w:pStyle w:val="zSubsection"/>
      </w:pPr>
      <w:r>
        <w:tab/>
      </w:r>
      <w:r>
        <w:tab/>
        <w:t xml:space="preserve">This Part sets out a scheme under which members who are medically unfit can be retired specifically on </w:t>
      </w:r>
      <w:r>
        <w:lastRenderedPageBreak/>
        <w:t>medical grounds (rather than being removed under Part IIB).</w:t>
      </w:r>
    </w:p>
    <w:p>
      <w:pPr>
        <w:pStyle w:val="zHeading5"/>
      </w:pPr>
      <w:bookmarkStart w:id="18" w:name="_Toc16863771"/>
      <w:r>
        <w:t>33ZB.</w:t>
      </w:r>
      <w:r>
        <w:tab/>
        <w:t>Terms used</w:t>
      </w:r>
      <w:bookmarkEnd w:id="18"/>
    </w:p>
    <w:p>
      <w:pPr>
        <w:pStyle w:val="zSubsection"/>
      </w:pPr>
      <w:r>
        <w:tab/>
      </w:r>
      <w:r>
        <w:tab/>
        <w:t xml:space="preserve">In this Part — </w:t>
      </w:r>
    </w:p>
    <w:p>
      <w:pPr>
        <w:pStyle w:val="zDefstart"/>
      </w:pPr>
      <w:r>
        <w:tab/>
      </w:r>
      <w:r>
        <w:rPr>
          <w:rStyle w:val="CharDefText"/>
        </w:rPr>
        <w:t>appellant</w:t>
      </w:r>
      <w:r>
        <w:t>, in relation to an appeal instituted under section 33ZI, means the person who institutes the appeal;</w:t>
      </w:r>
    </w:p>
    <w:p>
      <w:pPr>
        <w:pStyle w:val="zDefstart"/>
      </w:pPr>
      <w:r>
        <w:rPr>
          <w:b/>
        </w:rPr>
        <w:tab/>
      </w:r>
      <w:r>
        <w:rPr>
          <w:rStyle w:val="CharDefText"/>
        </w:rPr>
        <w:t>Chief Commissioner</w:t>
      </w:r>
      <w:r>
        <w:t xml:space="preserve"> has the same meaning as it has in the </w:t>
      </w:r>
      <w:r>
        <w:rPr>
          <w:i/>
        </w:rPr>
        <w:t>Industrial Relations Act 1979</w:t>
      </w:r>
      <w:r>
        <w:t>;</w:t>
      </w:r>
    </w:p>
    <w:p>
      <w:pPr>
        <w:pStyle w:val="zDefstart"/>
      </w:pPr>
      <w:r>
        <w:tab/>
      </w:r>
      <w:r>
        <w:rPr>
          <w:rStyle w:val="CharDefText"/>
        </w:rPr>
        <w:t>disputed decision</w:t>
      </w:r>
      <w:r>
        <w:t xml:space="preserve"> has the meaning given in section 33ZI(2);</w:t>
      </w:r>
    </w:p>
    <w:p>
      <w:pPr>
        <w:pStyle w:val="zDefstart"/>
      </w:pPr>
      <w:r>
        <w:rPr>
          <w:b/>
        </w:rP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z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zDefstart"/>
      </w:pPr>
      <w:r>
        <w:tab/>
      </w:r>
      <w:r>
        <w:rPr>
          <w:rStyle w:val="CharDefText"/>
        </w:rPr>
        <w:t>member</w:t>
      </w:r>
      <w:r>
        <w:t xml:space="preserve"> means — </w:t>
      </w:r>
    </w:p>
    <w:p>
      <w:pPr>
        <w:pStyle w:val="zDefpara"/>
      </w:pPr>
      <w:r>
        <w:tab/>
        <w:t>(a)</w:t>
      </w:r>
      <w:r>
        <w:tab/>
        <w:t>a commissioned officer;</w:t>
      </w:r>
    </w:p>
    <w:p>
      <w:pPr>
        <w:pStyle w:val="zDefpara"/>
      </w:pPr>
      <w:r>
        <w:tab/>
        <w:t>(b)</w:t>
      </w:r>
      <w:r>
        <w:tab/>
        <w:t>a non</w:t>
      </w:r>
      <w:r>
        <w:noBreakHyphen/>
        <w:t>commissioned officer;</w:t>
      </w:r>
    </w:p>
    <w:p>
      <w:pPr>
        <w:pStyle w:val="zDefpara"/>
      </w:pPr>
      <w:r>
        <w:tab/>
        <w:t>(c)</w:t>
      </w:r>
      <w:r>
        <w:tab/>
        <w:t>a constable;</w:t>
      </w:r>
    </w:p>
    <w:p>
      <w:pPr>
        <w:pStyle w:val="zDefpara"/>
      </w:pPr>
      <w:r>
        <w:tab/>
        <w:t>(d)</w:t>
      </w:r>
      <w:r>
        <w:tab/>
        <w:t>an Aboriginal police liaison officer;</w:t>
      </w:r>
    </w:p>
    <w:p>
      <w:pPr>
        <w:pStyle w:val="zDefpara"/>
      </w:pPr>
      <w:r>
        <w:tab/>
        <w:t>(e)</w:t>
      </w:r>
      <w:r>
        <w:tab/>
        <w:t>a police auxiliary officer;</w:t>
      </w:r>
    </w:p>
    <w:p>
      <w:pPr>
        <w:pStyle w:val="zDefstart"/>
      </w:pPr>
      <w:r>
        <w:tab/>
      </w:r>
      <w:r>
        <w:rPr>
          <w:rStyle w:val="CharDefText"/>
        </w:rPr>
        <w:t>Police Commissioner</w:t>
      </w:r>
      <w:r>
        <w:t xml:space="preserve"> means the Commissioner of Police;</w:t>
      </w:r>
    </w:p>
    <w:p>
      <w:pPr>
        <w:pStyle w:val="zDefstart"/>
      </w:pPr>
      <w:r>
        <w:lastRenderedPageBreak/>
        <w:tab/>
      </w:r>
      <w:r>
        <w:rPr>
          <w:rStyle w:val="CharDefText"/>
        </w:rPr>
        <w:t>retire</w:t>
      </w:r>
      <w:r>
        <w:t>, in relation to a member, means retire from the office to which the member is appointed under this Act;</w:t>
      </w:r>
    </w:p>
    <w:p>
      <w:pPr>
        <w:pStyle w:val="zDefstart"/>
        <w:keepNext/>
        <w:keepLines/>
      </w:pPr>
      <w:r>
        <w:tab/>
      </w:r>
      <w:r>
        <w:rPr>
          <w:rStyle w:val="CharDefText"/>
        </w:rPr>
        <w:t>retirement day</w:t>
      </w:r>
      <w:r>
        <w:t>, in relation to a member, means the day at the end of which the member’s retirement on medical grounds takes effect under section 33ZE(10)(b);</w:t>
      </w:r>
    </w:p>
    <w:p>
      <w:pPr>
        <w:pStyle w:val="zDefstart"/>
      </w:pPr>
      <w:r>
        <w:tab/>
      </w:r>
      <w:r>
        <w:rPr>
          <w:rStyle w:val="CharDefText"/>
        </w:rPr>
        <w:t>Senior Commissioner</w:t>
      </w:r>
      <w:r>
        <w:t xml:space="preserve"> has the same meaning as it has in the </w:t>
      </w:r>
      <w:r>
        <w:rPr>
          <w:i/>
        </w:rPr>
        <w:t>Industrial Relations Act 1979</w:t>
      </w:r>
      <w:r>
        <w:t>;</w:t>
      </w:r>
    </w:p>
    <w:p>
      <w:pPr>
        <w:pStyle w:val="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zHeading3"/>
      </w:pPr>
      <w:bookmarkStart w:id="19" w:name="_Toc16863634"/>
      <w:bookmarkStart w:id="20" w:name="_Toc16863772"/>
      <w:r>
        <w:t>Division 2 — How members can be retired on medical grounds</w:t>
      </w:r>
      <w:bookmarkEnd w:id="19"/>
      <w:bookmarkEnd w:id="20"/>
    </w:p>
    <w:p>
      <w:pPr>
        <w:pStyle w:val="zHeading5"/>
      </w:pPr>
      <w:bookmarkStart w:id="21" w:name="_Toc16863773"/>
      <w:r>
        <w:t>33ZC.</w:t>
      </w:r>
      <w:r>
        <w:tab/>
        <w:t>Examination of member by medical board</w:t>
      </w:r>
      <w:bookmarkEnd w:id="21"/>
    </w:p>
    <w:p>
      <w:pPr>
        <w:pStyle w:val="zSubsection"/>
      </w:pPr>
      <w:r>
        <w:tab/>
        <w:t>(1)</w:t>
      </w:r>
      <w:r>
        <w:tab/>
        <w:t>Subsection (2) applies if the Police Commissioner reasonably suspects that a member is medically unfit.</w:t>
      </w:r>
    </w:p>
    <w:p>
      <w:pPr>
        <w:pStyle w:val="zSubsection"/>
      </w:pPr>
      <w:r>
        <w:tab/>
        <w:t>(2)</w:t>
      </w:r>
      <w:r>
        <w:tab/>
        <w:t>The Police Commissioner may direct the member to submit to an examination by a medical board consisting of at least 3 medical practitioners.</w:t>
      </w:r>
    </w:p>
    <w:p>
      <w:pPr>
        <w:pStyle w:val="zSubsection"/>
      </w:pPr>
      <w:r>
        <w:tab/>
        <w:t>(3)</w:t>
      </w:r>
      <w:r>
        <w:tab/>
        <w:t xml:space="preserve">The direction may also impose requirements on the member — </w:t>
      </w:r>
    </w:p>
    <w:p>
      <w:pPr>
        <w:pStyle w:val="zIndenta"/>
      </w:pPr>
      <w:r>
        <w:tab/>
        <w:t>(a)</w:t>
      </w:r>
      <w:r>
        <w:tab/>
        <w:t>in relation to the conduct of the examination; or</w:t>
      </w:r>
    </w:p>
    <w:p>
      <w:pPr>
        <w:pStyle w:val="zIndenta"/>
      </w:pPr>
      <w:r>
        <w:tab/>
        <w:t>(b)</w:t>
      </w:r>
      <w:r>
        <w:tab/>
        <w:t>otherwise for the purpose of facilitating the examination.</w:t>
      </w:r>
    </w:p>
    <w:p>
      <w:pPr>
        <w:pStyle w:val="zSubsection"/>
      </w:pPr>
      <w:r>
        <w:tab/>
        <w:t>(4)</w:t>
      </w:r>
      <w:r>
        <w:tab/>
        <w:t>The direction must be given in writing.</w:t>
      </w:r>
    </w:p>
    <w:p>
      <w:pPr>
        <w:pStyle w:val="zSubsection"/>
      </w:pPr>
      <w:r>
        <w:tab/>
        <w:t>(5)</w:t>
      </w:r>
      <w:r>
        <w:tab/>
        <w:t>The member commits an offence against the discipline of the Police Force if the member, without good and sufficient cause, fails to comply with the direction.</w:t>
      </w:r>
    </w:p>
    <w:p>
      <w:pPr>
        <w:pStyle w:val="zSubsection"/>
      </w:pPr>
      <w:r>
        <w:lastRenderedPageBreak/>
        <w:tab/>
        <w:t>(6)</w:t>
      </w:r>
      <w:r>
        <w:tab/>
        <w:t>The medical board must give a report on the examination to the Police Commissioner.</w:t>
      </w:r>
    </w:p>
    <w:p>
      <w:pPr>
        <w:pStyle w:val="zSubsection"/>
      </w:pPr>
      <w:r>
        <w:tab/>
        <w:t>(7)</w:t>
      </w:r>
      <w:r>
        <w:tab/>
        <w:t xml:space="preserve">Regulations under section 138A may (without limitation) make provision about medical boards, including (without limitation) provision about 1 or more of the following matters — </w:t>
      </w:r>
    </w:p>
    <w:p>
      <w:pPr>
        <w:pStyle w:val="zIndenta"/>
      </w:pPr>
      <w:r>
        <w:tab/>
        <w:t>(a)</w:t>
      </w:r>
      <w:r>
        <w:tab/>
        <w:t>the appointment of medical practitioners, or of other persons in addition to medical practitioners, to them (including how, when or by whom appointments are to be made);</w:t>
      </w:r>
    </w:p>
    <w:p>
      <w:pPr>
        <w:pStyle w:val="zIndenta"/>
      </w:pPr>
      <w:r>
        <w:tab/>
        <w:t>(b)</w:t>
      </w:r>
      <w:r>
        <w:tab/>
        <w:t>their governance and procedures;</w:t>
      </w:r>
    </w:p>
    <w:p>
      <w:pPr>
        <w:pStyle w:val="zIndenta"/>
      </w:pPr>
      <w:r>
        <w:tab/>
        <w:t>(c)</w:t>
      </w:r>
      <w:r>
        <w:tab/>
        <w:t>their examinations of members;</w:t>
      </w:r>
    </w:p>
    <w:p>
      <w:pPr>
        <w:pStyle w:val="zIndenta"/>
      </w:pPr>
      <w:r>
        <w:tab/>
        <w:t>(d)</w:t>
      </w:r>
      <w:r>
        <w:tab/>
        <w:t>their reports to the Police Commissioner;</w:t>
      </w:r>
    </w:p>
    <w:p>
      <w:pPr>
        <w:pStyle w:val="zIndenta"/>
      </w:pPr>
      <w:r>
        <w:tab/>
        <w:t>(e)</w:t>
      </w:r>
      <w:r>
        <w:tab/>
        <w:t>the payment of their costs or costs otherwise associated with them (including remuneration and expenses of persons appointed to them).</w:t>
      </w:r>
    </w:p>
    <w:p>
      <w:pPr>
        <w:pStyle w:val="zHeading5"/>
      </w:pPr>
      <w:bookmarkStart w:id="22" w:name="_Toc16863774"/>
      <w:r>
        <w:t>33ZD.</w:t>
      </w:r>
      <w:r>
        <w:tab/>
        <w:t>Notice that Police Commissioner is of opinion that member is medically unfit</w:t>
      </w:r>
      <w:bookmarkEnd w:id="22"/>
    </w:p>
    <w:p>
      <w:pPr>
        <w:pStyle w:val="zSubsection"/>
      </w:pPr>
      <w:r>
        <w:tab/>
        <w:t>(1)</w:t>
      </w:r>
      <w:r>
        <w:tab/>
        <w:t xml:space="preserve">This section applies if — </w:t>
      </w:r>
    </w:p>
    <w:p>
      <w:pPr>
        <w:pStyle w:val="zIndenta"/>
      </w:pPr>
      <w:r>
        <w:tab/>
        <w:t>(a)</w:t>
      </w:r>
      <w:r>
        <w:tab/>
        <w:t>the Police Commissioner receives a report from a medical board under section 33ZC(6); and</w:t>
      </w:r>
    </w:p>
    <w:p>
      <w:pPr>
        <w:pStyle w:val="zIndenta"/>
      </w:pPr>
      <w:r>
        <w:tab/>
        <w:t>(b)</w:t>
      </w:r>
      <w:r>
        <w:tab/>
        <w:t>having taken into account the report, the Police Commissioner is of the opinion that the member is medically unfit.</w:t>
      </w:r>
    </w:p>
    <w:p>
      <w:pPr>
        <w:pStyle w:val="zSubsection"/>
      </w:pPr>
      <w:r>
        <w:tab/>
        <w:t>(2)</w:t>
      </w:r>
      <w:r>
        <w:tab/>
        <w:t xml:space="preserve">The Police Commissioner may give written notice to the member stating that the Police Commissioner — </w:t>
      </w:r>
    </w:p>
    <w:p>
      <w:pPr>
        <w:pStyle w:val="zIndenta"/>
      </w:pPr>
      <w:r>
        <w:tab/>
        <w:t>(a)</w:t>
      </w:r>
      <w:r>
        <w:tab/>
        <w:t>is of the opinion that the member is medically unfit; and</w:t>
      </w:r>
    </w:p>
    <w:p>
      <w:pPr>
        <w:pStyle w:val="zIndenta"/>
      </w:pPr>
      <w:r>
        <w:tab/>
        <w:t>(b)</w:t>
      </w:r>
      <w:r>
        <w:tab/>
        <w:t>is in the process of deciding whether the member should be retired on medical grounds.</w:t>
      </w:r>
    </w:p>
    <w:p>
      <w:pPr>
        <w:pStyle w:val="zSubsection"/>
      </w:pPr>
      <w:r>
        <w:lastRenderedPageBreak/>
        <w:tab/>
        <w:t>(3)</w:t>
      </w:r>
      <w:r>
        <w:tab/>
        <w:t xml:space="preserve">If notice is given, the member may, during the period referred to in subsection (4) — </w:t>
      </w:r>
    </w:p>
    <w:p>
      <w:pPr>
        <w:pStyle w:val="zIndenta"/>
      </w:pPr>
      <w:r>
        <w:tab/>
        <w:t>(a)</w:t>
      </w:r>
      <w:r>
        <w:tab/>
        <w:t>make written submissions to the Police Commissioner; and</w:t>
      </w:r>
    </w:p>
    <w:p>
      <w:pPr>
        <w:pStyle w:val="zIndenta"/>
      </w:pPr>
      <w:r>
        <w:tab/>
        <w:t>(b)</w:t>
      </w:r>
      <w:r>
        <w:tab/>
        <w:t>give the Police Commissioner any written report or other document.</w:t>
      </w:r>
    </w:p>
    <w:p>
      <w:pPr>
        <w:pStyle w:val="zSubsection"/>
      </w:pPr>
      <w:r>
        <w:tab/>
        <w:t>(4)</w:t>
      </w:r>
      <w:r>
        <w:tab/>
        <w:t xml:space="preserve">The period is — </w:t>
      </w:r>
    </w:p>
    <w:p>
      <w:pPr>
        <w:pStyle w:val="zIndenta"/>
      </w:pPr>
      <w:r>
        <w:tab/>
        <w:t>(a)</w:t>
      </w:r>
      <w:r>
        <w:tab/>
        <w:t>the period of 28 days after the day on which the notice is given; or</w:t>
      </w:r>
    </w:p>
    <w:p>
      <w:pPr>
        <w:pStyle w:val="zIndenta"/>
      </w:pPr>
      <w:r>
        <w:tab/>
        <w:t>(b)</w:t>
      </w:r>
      <w:r>
        <w:tab/>
        <w:t>a longer period allowed by the Police Commissioner.</w:t>
      </w:r>
    </w:p>
    <w:p>
      <w:pPr>
        <w:pStyle w:val="zHeading5"/>
      </w:pPr>
      <w:bookmarkStart w:id="23" w:name="_Toc16863775"/>
      <w:r>
        <w:t>33ZE.</w:t>
      </w:r>
      <w:r>
        <w:tab/>
        <w:t>Power to retire member on medical grounds</w:t>
      </w:r>
      <w:bookmarkEnd w:id="23"/>
    </w:p>
    <w:p>
      <w:pPr>
        <w:pStyle w:val="zSubsection"/>
      </w:pPr>
      <w:r>
        <w:tab/>
        <w:t>(1)</w:t>
      </w:r>
      <w:r>
        <w:tab/>
        <w:t xml:space="preserve">After the period referred to in section 33ZD(4) has ended, the Police Commissioner must — </w:t>
      </w:r>
    </w:p>
    <w:p>
      <w:pPr>
        <w:pStyle w:val="zIndenta"/>
      </w:pPr>
      <w:r>
        <w:tab/>
        <w:t>(a)</w:t>
      </w:r>
      <w:r>
        <w:tab/>
        <w:t>decide whether the member should be retired on medical grounds; and</w:t>
      </w:r>
    </w:p>
    <w:p>
      <w:pPr>
        <w:pStyle w:val="zIndenta"/>
      </w:pPr>
      <w:r>
        <w:tab/>
        <w:t>(b)</w:t>
      </w:r>
      <w:r>
        <w:tab/>
        <w:t>give the member written notice of the decision.</w:t>
      </w:r>
    </w:p>
    <w:p>
      <w:pPr>
        <w:pStyle w:val="zSubsection"/>
      </w:pPr>
      <w:r>
        <w:tab/>
        <w:t>(2)</w:t>
      </w:r>
      <w:r>
        <w:tab/>
        <w:t xml:space="preserve">The Police Commissioner must not decide that the member should be retired on medical grounds unless the Police Commissioner — </w:t>
      </w:r>
    </w:p>
    <w:p>
      <w:pPr>
        <w:pStyle w:val="zIndenta"/>
      </w:pPr>
      <w:r>
        <w:tab/>
        <w:t>(a)</w:t>
      </w:r>
      <w:r>
        <w:tab/>
        <w:t>has taken into account everything received from the member under section 33ZD(3) during the period referred to in section 33ZD(4); and</w:t>
      </w:r>
    </w:p>
    <w:p>
      <w:pPr>
        <w:pStyle w:val="zIndenta"/>
      </w:pPr>
      <w:r>
        <w:tab/>
        <w:t>(b)</w:t>
      </w:r>
      <w:r>
        <w:tab/>
        <w:t>is still of the opinion that the member is medically unfit.</w:t>
      </w:r>
    </w:p>
    <w:p>
      <w:pPr>
        <w:pStyle w:val="zSubsection"/>
      </w:pPr>
      <w:r>
        <w:tab/>
        <w:t>(3)</w:t>
      </w:r>
      <w:r>
        <w:tab/>
        <w:t>Subsections (4) to (10) apply if the Police Commissioner decides that the member should be retired on medical grounds.</w:t>
      </w:r>
    </w:p>
    <w:p>
      <w:pPr>
        <w:pStyle w:val="zSubsection"/>
      </w:pPr>
      <w:r>
        <w:tab/>
        <w:t>(4)</w:t>
      </w:r>
      <w:r>
        <w:tab/>
        <w:t>The notice under subsection (1)(b) must give the Police Commissioner’s reasons for the decision.</w:t>
      </w:r>
    </w:p>
    <w:p>
      <w:pPr>
        <w:pStyle w:val="zSubsection"/>
      </w:pPr>
      <w:r>
        <w:lastRenderedPageBreak/>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zSubsection"/>
      </w:pPr>
      <w:r>
        <w:tab/>
        <w:t>(6)</w:t>
      </w:r>
      <w:r>
        <w:tab/>
        <w:t xml:space="preserve">If the member is a commissioned officer — </w:t>
      </w:r>
    </w:p>
    <w:p>
      <w:pPr>
        <w:pStyle w:val="zIndenta"/>
      </w:pPr>
      <w:r>
        <w:tab/>
        <w:t>(a)</w:t>
      </w:r>
      <w:r>
        <w:tab/>
        <w:t>the Police Commissioner may recommend to the Minister that the Minister advise the Governor to retire the member on medical grounds; and</w:t>
      </w:r>
    </w:p>
    <w:p>
      <w:pPr>
        <w:pStyle w:val="zIndenta"/>
      </w:pPr>
      <w:r>
        <w:tab/>
        <w:t>(b)</w:t>
      </w:r>
      <w:r>
        <w:tab/>
        <w:t>the Governor may, on the Minister’s advice given in accordance with the Police Commissioner’s recommendation, retire the member on medical grounds.</w:t>
      </w:r>
    </w:p>
    <w:p>
      <w:pPr>
        <w:pStyle w:val="zSubsection"/>
      </w:pPr>
      <w:r>
        <w:tab/>
        <w:t>(7)</w:t>
      </w:r>
      <w:r>
        <w:tab/>
        <w:t>If the member is a non</w:t>
      </w:r>
      <w:r>
        <w:noBreakHyphen/>
        <w:t>commissioned officer or a constable, the Police Commissioner may, with the Minister’s approval, retire the member on medical grounds.</w:t>
      </w:r>
    </w:p>
    <w:p>
      <w:pPr>
        <w:pStyle w:val="zSubsection"/>
      </w:pPr>
      <w:r>
        <w:tab/>
        <w:t>(8)</w:t>
      </w:r>
      <w:r>
        <w:tab/>
        <w:t>If the member is an Aboriginal police liaison officer or a police auxiliary officer, the Police Commissioner may retire the member on medical grounds.</w:t>
      </w:r>
    </w:p>
    <w:p>
      <w:pPr>
        <w:pStyle w:val="zSubsection"/>
      </w:pPr>
      <w:r>
        <w:tab/>
        <w:t>(9)</w:t>
      </w:r>
      <w:r>
        <w:tab/>
        <w:t>A power of the Police Commissioner under subsection (6), (7) or (8) may be exercised when, or at any time after, the notice under subsection (1)(b) is given.</w:t>
      </w:r>
    </w:p>
    <w:p>
      <w:pPr>
        <w:pStyle w:val="zSubsection"/>
      </w:pPr>
      <w:r>
        <w:tab/>
        <w:t>(10)</w:t>
      </w:r>
      <w:r>
        <w:tab/>
        <w:t xml:space="preserve">If the member is retired on medical grounds — </w:t>
      </w:r>
    </w:p>
    <w:p>
      <w:pPr>
        <w:pStyle w:val="zIndenta"/>
      </w:pPr>
      <w:r>
        <w:tab/>
        <w:t>(a)</w:t>
      </w:r>
      <w:r>
        <w:tab/>
        <w:t>the Police Commissioner must give the member written notice that the member has been retired on medical grounds; and</w:t>
      </w:r>
    </w:p>
    <w:p>
      <w:pPr>
        <w:pStyle w:val="zIndenta"/>
      </w:pPr>
      <w:r>
        <w:tab/>
        <w:t>(b)</w:t>
      </w:r>
      <w:r>
        <w:tab/>
        <w:t xml:space="preserve">the retirement takes effect, and the member ceases to hold the office to which the member </w:t>
      </w:r>
      <w:r>
        <w:lastRenderedPageBreak/>
        <w:t>is appointed under this Act accordingly, at the end of the day on which the member receives the Police Commissioner’s notice.</w:t>
      </w:r>
    </w:p>
    <w:p>
      <w:pPr>
        <w:pStyle w:val="zSubsection"/>
      </w:pPr>
      <w:r>
        <w:tab/>
        <w:t>(11)</w:t>
      </w:r>
      <w:r>
        <w:tab/>
        <w:t>Subsections (4) to (10) cease to apply if the Police Commissioner’s decision that the member should be retired on medical grounds is revoked under section 33ZG(2).</w:t>
      </w:r>
    </w:p>
    <w:p>
      <w:pPr>
        <w:pStyle w:val="zSubsection"/>
      </w:pPr>
      <w:r>
        <w:tab/>
        <w:t>(12)</w:t>
      </w:r>
      <w:r>
        <w:tab/>
        <w:t>Regulations under section 138A may (without limitation) make provision for determining when a member is taken to receive a notice for the purposes of subsection (10)(b).</w:t>
      </w:r>
    </w:p>
    <w:p>
      <w:pPr>
        <w:pStyle w:val="zHeading5"/>
      </w:pPr>
      <w:bookmarkStart w:id="24" w:name="_Toc16863776"/>
      <w:r>
        <w:t>33ZF.</w:t>
      </w:r>
      <w:r>
        <w:tab/>
        <w:t>Maintenance payment</w:t>
      </w:r>
      <w:bookmarkEnd w:id="24"/>
    </w:p>
    <w:p>
      <w:pPr>
        <w:pStyle w:val="zSubsection"/>
      </w:pPr>
      <w:r>
        <w:tab/>
        <w:t>(1)</w:t>
      </w:r>
      <w:r>
        <w:tab/>
        <w:t>This section applies if a member’s retirement on medical grounds has taken effect.</w:t>
      </w:r>
    </w:p>
    <w:p>
      <w:pPr>
        <w:pStyle w:val="zSubsection"/>
      </w:pPr>
      <w:r>
        <w:tab/>
        <w:t>(2)</w:t>
      </w:r>
      <w:r>
        <w:tab/>
        <w:t>The member is entitled to receive a maintenance payment for the period of 28 days after the retirement day.</w:t>
      </w:r>
    </w:p>
    <w:p>
      <w:pPr>
        <w:pStyle w:val="z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zSubsection"/>
      </w:pPr>
      <w:r>
        <w:tab/>
        <w:t>(4)</w:t>
      </w:r>
      <w:r>
        <w:tab/>
        <w:t>However, the further period ends (if it has not already ended) on the day on which any appeal instituted under section 33ZI is determined by the WAIRC.</w:t>
      </w:r>
    </w:p>
    <w:p>
      <w:pPr>
        <w:pStyle w:val="zSubsection"/>
      </w:pPr>
      <w:r>
        <w:tab/>
        <w:t>(5)</w:t>
      </w:r>
      <w:r>
        <w:tab/>
        <w:t>A maintenance payment must be calculated on the basis of the member’s salary on the retirement day.</w:t>
      </w:r>
    </w:p>
    <w:p>
      <w:pPr>
        <w:pStyle w:val="zHeading5"/>
      </w:pPr>
      <w:bookmarkStart w:id="25" w:name="_Toc16863777"/>
      <w:r>
        <w:lastRenderedPageBreak/>
        <w:t>33ZG.</w:t>
      </w:r>
      <w:r>
        <w:tab/>
        <w:t>Revocation of decision that member should be retired</w:t>
      </w:r>
      <w:bookmarkEnd w:id="25"/>
    </w:p>
    <w:p>
      <w:pPr>
        <w:pStyle w:val="zSubsection"/>
      </w:pPr>
      <w:r>
        <w:tab/>
        <w:t>(1)</w:t>
      </w:r>
      <w:r>
        <w:tab/>
        <w:t>This section applies if the Police Commissioner decides under section 33ZE(1)(a) that a member should be retired on medical grounds.</w:t>
      </w:r>
    </w:p>
    <w:p>
      <w:pPr>
        <w:pStyle w:val="zSubsection"/>
      </w:pPr>
      <w:r>
        <w:tab/>
        <w:t>(2)</w:t>
      </w:r>
      <w:r>
        <w:tab/>
        <w:t>At any time on or before the retirement day, the Police Commissioner may, by written notice to the Minister, revoke the Police Commissioner’s decision.</w:t>
      </w:r>
    </w:p>
    <w:p>
      <w:pPr>
        <w:pStyle w:val="zSubsection"/>
      </w:pPr>
      <w:r>
        <w:tab/>
        <w:t>(3)</w:t>
      </w:r>
      <w:r>
        <w:tab/>
        <w:t xml:space="preserve">At any time after the retirement day, the Police Commissioner may, by notice in the </w:t>
      </w:r>
      <w:r>
        <w:rPr>
          <w:i/>
        </w:rPr>
        <w:t>Gazette</w:t>
      </w:r>
      <w:r>
        <w:t>, revoke the Police Commissioner’s decision.</w:t>
      </w:r>
    </w:p>
    <w:p>
      <w:pPr>
        <w:pStyle w:val="zSubsection"/>
      </w:pPr>
      <w:r>
        <w:tab/>
        <w:t>(4)</w:t>
      </w:r>
      <w:r>
        <w:tab/>
        <w:t>A notice under subsection (3) requires the Minister’s approval if the member was a commissioned officer.</w:t>
      </w:r>
    </w:p>
    <w:p>
      <w:pPr>
        <w:pStyle w:val="zSubsection"/>
      </w:pPr>
      <w:r>
        <w:tab/>
        <w:t>(5)</w:t>
      </w:r>
      <w:r>
        <w:tab/>
        <w:t>Subsection (3) applies even if an appeal has been instituted under section 33ZI.</w:t>
      </w:r>
    </w:p>
    <w:p>
      <w:pPr>
        <w:pStyle w:val="zSubsection"/>
      </w:pPr>
      <w:r>
        <w:tab/>
        <w:t>(6)</w:t>
      </w:r>
      <w:r>
        <w:tab/>
        <w:t>Despite any other enactment, if the Police Commissioner’s decision is revoked under subsection (3), the member’s retirement is taken to be of no effect and to have never had any effect.</w:t>
      </w:r>
    </w:p>
    <w:p>
      <w:pPr>
        <w:pStyle w:val="z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zHeading5"/>
      </w:pPr>
      <w:bookmarkStart w:id="26" w:name="_Toc16863778"/>
      <w:r>
        <w:t>33ZH.</w:t>
      </w:r>
      <w:r>
        <w:tab/>
        <w:t>Resignation of member who has been retired on medical grounds</w:t>
      </w:r>
      <w:bookmarkEnd w:id="26"/>
    </w:p>
    <w:p>
      <w:pPr>
        <w:pStyle w:val="zSubsection"/>
      </w:pPr>
      <w:r>
        <w:tab/>
        <w:t>(1)</w:t>
      </w:r>
      <w:r>
        <w:tab/>
        <w:t>A member may resign at any time during the period of 28 days after the retirement day, despite the member’s retirement on medical grounds having taken effect.</w:t>
      </w:r>
    </w:p>
    <w:p>
      <w:pPr>
        <w:pStyle w:val="zSubsection"/>
      </w:pPr>
      <w:r>
        <w:tab/>
        <w:t>(2)</w:t>
      </w:r>
      <w:r>
        <w:tab/>
        <w:t>The resignation takes effect at the end of that period of 28 days.</w:t>
      </w:r>
    </w:p>
    <w:p>
      <w:pPr>
        <w:pStyle w:val="zSubsection"/>
      </w:pPr>
      <w:r>
        <w:lastRenderedPageBreak/>
        <w:tab/>
        <w:t>(3)</w:t>
      </w:r>
      <w:r>
        <w:tab/>
        <w:t>However, the member cannot resign if an appeal has been instituted under section 33ZI.</w:t>
      </w:r>
    </w:p>
    <w:p>
      <w:pPr>
        <w:pStyle w:val="zSubsection"/>
      </w:pPr>
      <w:r>
        <w:tab/>
        <w:t>(4)</w:t>
      </w:r>
      <w:r>
        <w:tab/>
        <w:t>Despite any other enactment, if the member resigns, the member’s retirement is taken to be of no effect and to have never had any effect.</w:t>
      </w:r>
    </w:p>
    <w:p>
      <w:pPr>
        <w:pStyle w:val="zHeading3"/>
      </w:pPr>
      <w:bookmarkStart w:id="27" w:name="_Toc16863641"/>
      <w:bookmarkStart w:id="28" w:name="_Toc16863779"/>
      <w:r>
        <w:t>Division 3 — Appeal against decision that member should be retired on medical grounds</w:t>
      </w:r>
      <w:bookmarkEnd w:id="27"/>
      <w:bookmarkEnd w:id="28"/>
    </w:p>
    <w:p>
      <w:pPr>
        <w:pStyle w:val="zHeading5"/>
      </w:pPr>
      <w:bookmarkStart w:id="29" w:name="_Toc16863780"/>
      <w:r>
        <w:t>33ZI.</w:t>
      </w:r>
      <w:r>
        <w:tab/>
        <w:t>Appeal right</w:t>
      </w:r>
      <w:bookmarkEnd w:id="29"/>
    </w:p>
    <w:p>
      <w:pPr>
        <w:pStyle w:val="zSubsection"/>
      </w:pPr>
      <w:r>
        <w:tab/>
        <w:t>(1)</w:t>
      </w:r>
      <w:r>
        <w:tab/>
        <w:t>This section applies if a member’s retirement on medical grounds has taken effect.</w:t>
      </w:r>
    </w:p>
    <w:p>
      <w:pPr>
        <w:pStyle w:val="z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zSubsection"/>
      </w:pPr>
      <w:r>
        <w:tab/>
        <w:t>(3)</w:t>
      </w:r>
      <w:r>
        <w:tab/>
        <w:t xml:space="preserve">The member must institute the appeal by a notice to the Police Commissioner stating — </w:t>
      </w:r>
    </w:p>
    <w:p>
      <w:pPr>
        <w:pStyle w:val="zIndenta"/>
      </w:pPr>
      <w:r>
        <w:tab/>
        <w:t>(a)</w:t>
      </w:r>
      <w:r>
        <w:tab/>
        <w:t>why the disputed decision was harsh, oppressive or unfair; and</w:t>
      </w:r>
    </w:p>
    <w:p>
      <w:pPr>
        <w:pStyle w:val="zIndenta"/>
      </w:pPr>
      <w:r>
        <w:tab/>
        <w:t>(b)</w:t>
      </w:r>
      <w:r>
        <w:tab/>
        <w:t>the nature of the relief sought.</w:t>
      </w:r>
    </w:p>
    <w:p>
      <w:pPr>
        <w:pStyle w:val="zSubsection"/>
      </w:pPr>
      <w:r>
        <w:tab/>
        <w:t>(4)</w:t>
      </w:r>
      <w:r>
        <w:tab/>
        <w:t xml:space="preserve">The appeal cannot be instituted — </w:t>
      </w:r>
    </w:p>
    <w:p>
      <w:pPr>
        <w:pStyle w:val="zIndenta"/>
      </w:pPr>
      <w:r>
        <w:tab/>
        <w:t>(a)</w:t>
      </w:r>
      <w:r>
        <w:tab/>
        <w:t>later than 28 days after the retirement day; or</w:t>
      </w:r>
    </w:p>
    <w:p>
      <w:pPr>
        <w:pStyle w:val="zIndenta"/>
      </w:pPr>
      <w:r>
        <w:tab/>
        <w:t>(b)</w:t>
      </w:r>
      <w:r>
        <w:tab/>
        <w:t>if the member has resigned under section 33ZH.</w:t>
      </w:r>
    </w:p>
    <w:p>
      <w:pPr>
        <w:pStyle w:val="zSubsection"/>
      </w:pPr>
      <w:r>
        <w:tab/>
        <w:t>(5)</w:t>
      </w:r>
      <w:r>
        <w:tab/>
        <w:t>For the purposes of proceedings relating to the appeal, the WAIRC is to be constituted by not less than 3 industrial Commissioners, at least 1 of whom is the Chief Commissioner or the Senior Commissioner.</w:t>
      </w:r>
    </w:p>
    <w:p>
      <w:pPr>
        <w:pStyle w:val="zSubsection"/>
      </w:pPr>
      <w:r>
        <w:tab/>
        <w:t>(6)</w:t>
      </w:r>
      <w:r>
        <w:tab/>
        <w:t>The parties to the appeal are the appellant and the Police Commissioner.</w:t>
      </w:r>
    </w:p>
    <w:p>
      <w:pPr>
        <w:pStyle w:val="zSubsection"/>
      </w:pPr>
      <w:r>
        <w:lastRenderedPageBreak/>
        <w:tab/>
        <w:t>(7)</w:t>
      </w:r>
      <w:r>
        <w:tab/>
        <w:t>No other person may be a party to the appeal.</w:t>
      </w:r>
    </w:p>
    <w:p>
      <w:pPr>
        <w:pStyle w:val="zHeading5"/>
      </w:pPr>
      <w:bookmarkStart w:id="30" w:name="_Toc16863781"/>
      <w:r>
        <w:t>33ZJ.</w:t>
      </w:r>
      <w:r>
        <w:tab/>
        <w:t>Proceedings on appeal</w:t>
      </w:r>
      <w:bookmarkEnd w:id="30"/>
    </w:p>
    <w:p>
      <w:pPr>
        <w:pStyle w:val="zSubsection"/>
        <w:keepNext/>
      </w:pPr>
      <w:r>
        <w:tab/>
        <w:t>(1)</w:t>
      </w:r>
      <w:r>
        <w:tab/>
        <w:t>On the hearing of the appeal, the WAIRC must proceed as follows —</w:t>
      </w:r>
    </w:p>
    <w:p>
      <w:pPr>
        <w:pStyle w:val="zIndenta"/>
      </w:pPr>
      <w:r>
        <w:tab/>
        <w:t>(a)</w:t>
      </w:r>
      <w:r>
        <w:tab/>
        <w:t>first, it must consider the Police Commissioner’s reasons for making the disputed decision;</w:t>
      </w:r>
    </w:p>
    <w:p>
      <w:pPr>
        <w:pStyle w:val="zIndenta"/>
      </w:pPr>
      <w:r>
        <w:tab/>
        <w:t>(b)</w:t>
      </w:r>
      <w:r>
        <w:tab/>
        <w:t>secondly, it must consider the case presented by the appellant as to why the disputed decision was harsh, oppressive or unfair;</w:t>
      </w:r>
    </w:p>
    <w:p>
      <w:pPr>
        <w:pStyle w:val="zIndenta"/>
      </w:pPr>
      <w:r>
        <w:tab/>
        <w:t>(c)</w:t>
      </w:r>
      <w:r>
        <w:tab/>
        <w:t>thirdly, it must consider the case presented by the Police Commissioner in answer to the appellant’s case.</w:t>
      </w:r>
    </w:p>
    <w:p>
      <w:pPr>
        <w:pStyle w:val="zSubsection"/>
      </w:pPr>
      <w:r>
        <w:tab/>
        <w:t>(2)</w:t>
      </w:r>
      <w:r>
        <w:tab/>
        <w:t>The appellant has at all times the burden of establishing that the disputed decision was harsh, oppressive or unfair.</w:t>
      </w:r>
    </w:p>
    <w:p>
      <w:pPr>
        <w:pStyle w:val="zSubsection"/>
      </w:pPr>
      <w:r>
        <w:tab/>
        <w:t>(3)</w:t>
      </w:r>
      <w:r>
        <w:tab/>
        <w:t>Subsection (2) has effect despite any law or practice to the contrary.</w:t>
      </w:r>
    </w:p>
    <w:p>
      <w:pPr>
        <w:pStyle w:val="zSubsection"/>
      </w:pPr>
      <w:r>
        <w:tab/>
        <w:t>(4)</w:t>
      </w:r>
      <w:r>
        <w:tab/>
        <w:t xml:space="preserve">Without limiting the matters to which the WAIRC is otherwise required or permitted to have regard in determining the appeal, it must have regard to — </w:t>
      </w:r>
    </w:p>
    <w:p>
      <w:pPr>
        <w:pStyle w:val="zIndenta"/>
      </w:pPr>
      <w:r>
        <w:tab/>
        <w:t>(a)</w:t>
      </w:r>
      <w:r>
        <w:tab/>
        <w:t>the interests of the appellant; and</w:t>
      </w:r>
    </w:p>
    <w:p>
      <w:pPr>
        <w:pStyle w:val="zIndenta"/>
      </w:pPr>
      <w:r>
        <w:tab/>
        <w:t>(b)</w:t>
      </w:r>
      <w:r>
        <w:tab/>
        <w:t xml:space="preserve">the public interest which is taken to include — </w:t>
      </w:r>
    </w:p>
    <w:p>
      <w:pPr>
        <w:pStyle w:val="zIndenti"/>
      </w:pPr>
      <w:r>
        <w:tab/>
        <w:t>(i)</w:t>
      </w:r>
      <w:r>
        <w:tab/>
        <w:t>the importance of maintaining public confidence in members of the Police Force; and</w:t>
      </w:r>
    </w:p>
    <w:p>
      <w:pPr>
        <w:pStyle w:val="zIndenti"/>
      </w:pPr>
      <w:r>
        <w:tab/>
        <w:t>(ii)</w:t>
      </w:r>
      <w:r>
        <w:tab/>
        <w:t>the special nature of the relationship between the Police Commissioner and members of the Police Force.</w:t>
      </w:r>
    </w:p>
    <w:p>
      <w:pPr>
        <w:pStyle w:val="zHeading5"/>
      </w:pPr>
      <w:bookmarkStart w:id="31" w:name="_Toc16863782"/>
      <w:r>
        <w:lastRenderedPageBreak/>
        <w:t>33ZK.</w:t>
      </w:r>
      <w:r>
        <w:tab/>
        <w:t>New evidence on appeal</w:t>
      </w:r>
      <w:bookmarkEnd w:id="31"/>
    </w:p>
    <w:p>
      <w:pPr>
        <w:pStyle w:val="zSubsection"/>
        <w:keepNext/>
      </w:pPr>
      <w:r>
        <w:tab/>
        <w:t>(1)</w:t>
      </w:r>
      <w:r>
        <w:tab/>
        <w:t>In this section —</w:t>
      </w:r>
    </w:p>
    <w:p>
      <w:pPr>
        <w:pStyle w:val="zDefstart"/>
      </w:pPr>
      <w:r>
        <w:rPr>
          <w:b/>
        </w:rPr>
        <w:tab/>
      </w:r>
      <w:r>
        <w:rPr>
          <w:rStyle w:val="CharDefText"/>
        </w:rPr>
        <w:t>new evidence</w:t>
      </w:r>
      <w:r>
        <w:rPr>
          <w:b/>
        </w:rPr>
        <w:t xml:space="preserve"> </w:t>
      </w:r>
      <w:r>
        <w:t xml:space="preserve">means evidence other than evidence of — </w:t>
      </w:r>
    </w:p>
    <w:p>
      <w:pPr>
        <w:pStyle w:val="zDefpara"/>
      </w:pPr>
      <w:r>
        <w:tab/>
        <w:t>(a)</w:t>
      </w:r>
      <w:r>
        <w:tab/>
        <w:t>any document or other material that was examined and taken into account by the Police Commissioner in making the disputed decision; or</w:t>
      </w:r>
    </w:p>
    <w:p>
      <w:pPr>
        <w:pStyle w:val="zDefpara"/>
      </w:pPr>
      <w:r>
        <w:tab/>
        <w:t>(b)</w:t>
      </w:r>
      <w:r>
        <w:tab/>
        <w:t>the notice given under section 33ZD(2); or</w:t>
      </w:r>
    </w:p>
    <w:p>
      <w:pPr>
        <w:pStyle w:val="zDefpara"/>
      </w:pPr>
      <w:r>
        <w:tab/>
        <w:t>(c)</w:t>
      </w:r>
      <w:r>
        <w:tab/>
        <w:t>a written submission, report or other document given to the Police Commissioner by the appellant under section 33ZD(3); or</w:t>
      </w:r>
    </w:p>
    <w:p>
      <w:pPr>
        <w:pStyle w:val="zDefpara"/>
      </w:pPr>
      <w:r>
        <w:tab/>
        <w:t>(d)</w:t>
      </w:r>
      <w:r>
        <w:tab/>
        <w:t>the notice given under section 33ZE(1)(b) or (10)(a).</w:t>
      </w:r>
    </w:p>
    <w:p>
      <w:pPr>
        <w:pStyle w:val="zSubsection"/>
      </w:pPr>
      <w:r>
        <w:tab/>
        <w:t>(2)</w:t>
      </w:r>
      <w:r>
        <w:tab/>
        <w:t>New evidence must not be tendered to the WAIRC during the hearing of the appeal unless the WAIRC grants leave under subsection (3) or (4).</w:t>
      </w:r>
    </w:p>
    <w:p>
      <w:pPr>
        <w:pStyle w:val="zSubsection"/>
      </w:pPr>
      <w:r>
        <w:tab/>
        <w:t>(3)</w:t>
      </w:r>
      <w:r>
        <w:tab/>
        <w:t>The WAIRC may grant the Police Commissioner leave to tender new evidence if —</w:t>
      </w:r>
    </w:p>
    <w:p>
      <w:pPr>
        <w:pStyle w:val="zIndenta"/>
      </w:pPr>
      <w:r>
        <w:tab/>
        <w:t>(a)</w:t>
      </w:r>
      <w:r>
        <w:tab/>
        <w:t>the appellant consents; or</w:t>
      </w:r>
    </w:p>
    <w:p>
      <w:pPr>
        <w:pStyle w:val="zIndenta"/>
      </w:pPr>
      <w:r>
        <w:tab/>
        <w:t>(b)</w:t>
      </w:r>
      <w:r>
        <w:tab/>
        <w:t>the WAIRC is satisfied that it is in the interests of justice to grant leave.</w:t>
      </w:r>
    </w:p>
    <w:p>
      <w:pPr>
        <w:pStyle w:val="zSubsection"/>
      </w:pPr>
      <w:r>
        <w:tab/>
        <w:t>(4)</w:t>
      </w:r>
      <w:r>
        <w:tab/>
        <w:t>The WAIRC may grant the appellant leave to tender new evidence if —</w:t>
      </w:r>
    </w:p>
    <w:p>
      <w:pPr>
        <w:pStyle w:val="zIndenta"/>
      </w:pPr>
      <w:r>
        <w:tab/>
        <w:t>(a)</w:t>
      </w:r>
      <w:r>
        <w:tab/>
        <w:t>the Police Commissioner consents; or</w:t>
      </w:r>
    </w:p>
    <w:p>
      <w:pPr>
        <w:pStyle w:val="zIndenta"/>
      </w:pPr>
      <w:r>
        <w:tab/>
        <w:t>(b)</w:t>
      </w:r>
      <w:r>
        <w:tab/>
        <w:t>the WAIRC is satisfied that —</w:t>
      </w:r>
    </w:p>
    <w:p>
      <w:pPr>
        <w:pStyle w:val="zIndenti"/>
      </w:pPr>
      <w:r>
        <w:tab/>
        <w:t>(i)</w:t>
      </w:r>
      <w:r>
        <w:tab/>
        <w:t>the appellant is likely to be able to show that the Police Commissioner has acted upon wrong or mistaken information; or</w:t>
      </w:r>
    </w:p>
    <w:p>
      <w:pPr>
        <w:pStyle w:val="zIndenti"/>
      </w:pPr>
      <w:r>
        <w:tab/>
        <w:t>(ii)</w:t>
      </w:r>
      <w:r>
        <w:tab/>
        <w:t xml:space="preserve">the new evidence might materially have affected the Police Commissioner’s </w:t>
      </w:r>
      <w:r>
        <w:lastRenderedPageBreak/>
        <w:t>decision that the member should be retired on medical grounds; or</w:t>
      </w:r>
    </w:p>
    <w:p>
      <w:pPr>
        <w:pStyle w:val="zIndenti"/>
      </w:pPr>
      <w:r>
        <w:tab/>
        <w:t>(iii)</w:t>
      </w:r>
      <w:r>
        <w:tab/>
        <w:t>it is in the interests of justice to grant leave.</w:t>
      </w:r>
    </w:p>
    <w:p>
      <w:pPr>
        <w:pStyle w:val="zSubsection"/>
      </w:pPr>
      <w:r>
        <w:tab/>
        <w:t>(5)</w:t>
      </w:r>
      <w:r>
        <w:tab/>
        <w:t xml:space="preserve">In the exercise of its discretion under subsection (4), the WAIRC must have regard to the following — </w:t>
      </w:r>
    </w:p>
    <w:p>
      <w:pPr>
        <w:pStyle w:val="zIndenta"/>
      </w:pPr>
      <w:r>
        <w:tab/>
        <w:t>(a)</w:t>
      </w:r>
      <w:r>
        <w:tab/>
        <w:t>whether the appellant was aware of the substance of the new evidence before the end of the retirement day;</w:t>
      </w:r>
    </w:p>
    <w:p>
      <w:pPr>
        <w:pStyle w:val="zIndenta"/>
      </w:pPr>
      <w:r>
        <w:tab/>
        <w:t>(b)</w:t>
      </w:r>
      <w:r>
        <w:tab/>
        <w:t>whether the new evidence was contained in a document to which the appellant had reasonable access before the end of the retirement day.</w:t>
      </w:r>
    </w:p>
    <w:p>
      <w:pPr>
        <w:pStyle w:val="zSubsection"/>
        <w:keepNext/>
      </w:pPr>
      <w:r>
        <w:tab/>
        <w:t>(6)</w:t>
      </w:r>
      <w:r>
        <w:tab/>
        <w:t>If the Police Commissioner is given leave to tender new evidence —</w:t>
      </w:r>
    </w:p>
    <w:p>
      <w:pPr>
        <w:pStyle w:val="zIndenta"/>
      </w:pPr>
      <w:r>
        <w:tab/>
        <w:t>(a)</w:t>
      </w:r>
      <w:r>
        <w:tab/>
        <w:t>the WAIRC must give the appellant a reasonable opportunity to consider the new evidence; and</w:t>
      </w:r>
    </w:p>
    <w:p>
      <w:pPr>
        <w:pStyle w:val="zIndenta"/>
      </w:pPr>
      <w:r>
        <w:tab/>
        <w:t>(b)</w:t>
      </w:r>
      <w:r>
        <w:tab/>
        <w:t>the appellant may tender new evidence without the leave of the WAIRC in response to the new evidence tendered by the Police Commissioner.</w:t>
      </w:r>
    </w:p>
    <w:p>
      <w:pPr>
        <w:pStyle w:val="zSubsection"/>
      </w:pPr>
      <w:r>
        <w:tab/>
        <w:t>(7)</w:t>
      </w:r>
      <w:r>
        <w:tab/>
        <w:t>If the appellant is given leave to tender new evidence, the WAIRC must give the Police Commissioner a reasonable opportunity to consider the new evidence.</w:t>
      </w:r>
    </w:p>
    <w:p>
      <w:pPr>
        <w:pStyle w:val="zSubsection"/>
      </w:pPr>
      <w:r>
        <w:tab/>
        <w:t>(8)</w:t>
      </w:r>
      <w:r>
        <w:tab/>
        <w:t>If, having considered any new evidence, the Police Commissioner revokes the disputed decision under section 33ZG(3) —</w:t>
      </w:r>
    </w:p>
    <w:p>
      <w:pPr>
        <w:pStyle w:val="zIndenta"/>
      </w:pPr>
      <w:r>
        <w:tab/>
        <w:t>(a)</w:t>
      </w:r>
      <w:r>
        <w:tab/>
        <w:t>the Police Commissioner must give the WAIRC notice of the revocation; and</w:t>
      </w:r>
    </w:p>
    <w:p>
      <w:pPr>
        <w:pStyle w:val="zIndenta"/>
      </w:pPr>
      <w:r>
        <w:tab/>
        <w:t>(b)</w:t>
      </w:r>
      <w:r>
        <w:tab/>
        <w:t>the hearing of the appeal is discontinued when the WAIRC receives the notice.</w:t>
      </w:r>
    </w:p>
    <w:p>
      <w:pPr>
        <w:pStyle w:val="zSubsection"/>
      </w:pPr>
      <w:r>
        <w:lastRenderedPageBreak/>
        <w:tab/>
        <w:t>(9)</w:t>
      </w:r>
      <w:r>
        <w:tab/>
        <w:t>If the Police Commissioner does not give notice under subsection (8), the hearing of the appeal must continue but the Police Commissioner may —</w:t>
      </w:r>
    </w:p>
    <w:p>
      <w:pPr>
        <w:pStyle w:val="zIndenta"/>
      </w:pPr>
      <w:r>
        <w:tab/>
        <w:t>(a)</w:t>
      </w:r>
      <w:r>
        <w:tab/>
        <w:t>reformulate the Police Commissioner’s reasons for making the disputed decision; and</w:t>
      </w:r>
    </w:p>
    <w:p>
      <w:pPr>
        <w:pStyle w:val="zIndenta"/>
      </w:pPr>
      <w:r>
        <w:tab/>
        <w:t>(b)</w:t>
      </w:r>
      <w:r>
        <w:tab/>
        <w:t>tender new evidence without the leave of the WAIRC in response to the new evidence tendered by the appellant.</w:t>
      </w:r>
    </w:p>
    <w:p>
      <w:pPr>
        <w:pStyle w:val="zSubsection"/>
      </w:pPr>
      <w:r>
        <w:tab/>
        <w:t>(10)</w:t>
      </w:r>
      <w:r>
        <w:tab/>
        <w:t>Reasons reformulated under subsection (9)(a) may differ from, or be additional to, the reasons given to the appellant under section 33ZE(4).</w:t>
      </w:r>
    </w:p>
    <w:p>
      <w:pPr>
        <w:pStyle w:val="zSubsection"/>
        <w:keepNext/>
      </w:pPr>
      <w:r>
        <w:tab/>
        <w:t>(11)</w:t>
      </w:r>
      <w:r>
        <w:tab/>
        <w:t>If the Police Commissioner reformulates reasons under subsection (9)(a) —</w:t>
      </w:r>
    </w:p>
    <w:p>
      <w:pPr>
        <w:pStyle w:val="zIndenta"/>
      </w:pPr>
      <w:r>
        <w:tab/>
        <w:t>(a)</w:t>
      </w:r>
      <w:r>
        <w:tab/>
        <w:t>the Police Commissioner must give the WAIRC and the appellant written notice of the reasons before the resumption of the hearing of the appeal; and</w:t>
      </w:r>
    </w:p>
    <w:p>
      <w:pPr>
        <w:pStyle w:val="zIndenta"/>
      </w:pPr>
      <w:r>
        <w:tab/>
        <w:t>(b)</w:t>
      </w:r>
      <w:r>
        <w:tab/>
        <w:t>the WAIRC must consider the reasons as if they had been reasons given to the appellant under section 33ZE(4).</w:t>
      </w:r>
    </w:p>
    <w:p>
      <w:pPr>
        <w:pStyle w:val="zHeading5"/>
      </w:pPr>
      <w:bookmarkStart w:id="32" w:name="_Toc16863783"/>
      <w:r>
        <w:t>33ZL.</w:t>
      </w:r>
      <w:r>
        <w:tab/>
        <w:t xml:space="preserve">Application of </w:t>
      </w:r>
      <w:r>
        <w:rPr>
          <w:i/>
        </w:rPr>
        <w:t>Industrial Relations Act 1979</w:t>
      </w:r>
      <w:r>
        <w:t xml:space="preserve"> to the appeal</w:t>
      </w:r>
      <w:bookmarkEnd w:id="32"/>
    </w:p>
    <w:p>
      <w:pPr>
        <w:pStyle w:val="z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z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zTableNAm"/>
            </w:pPr>
            <w:r>
              <w:t>s. 26(1)(a) and (b)</w:t>
            </w:r>
          </w:p>
        </w:tc>
        <w:tc>
          <w:tcPr>
            <w:tcW w:w="3827" w:type="dxa"/>
          </w:tcPr>
          <w:p>
            <w:pPr>
              <w:pStyle w:val="zTableNAm"/>
            </w:pPr>
          </w:p>
        </w:tc>
      </w:tr>
      <w:tr>
        <w:trPr>
          <w:cantSplit/>
        </w:trPr>
        <w:tc>
          <w:tcPr>
            <w:tcW w:w="1701" w:type="dxa"/>
          </w:tcPr>
          <w:p>
            <w:pPr>
              <w:pStyle w:val="zTableNAm"/>
            </w:pPr>
            <w:r>
              <w:t>s. 26(3)</w:t>
            </w:r>
          </w:p>
        </w:tc>
        <w:tc>
          <w:tcPr>
            <w:tcW w:w="3827" w:type="dxa"/>
          </w:tcPr>
          <w:p>
            <w:pPr>
              <w:pStyle w:val="zTableNAm"/>
            </w:pPr>
          </w:p>
        </w:tc>
      </w:tr>
      <w:tr>
        <w:trPr>
          <w:cantSplit/>
        </w:trPr>
        <w:tc>
          <w:tcPr>
            <w:tcW w:w="1701" w:type="dxa"/>
          </w:tcPr>
          <w:p>
            <w:pPr>
              <w:pStyle w:val="zTableNAm"/>
            </w:pPr>
            <w:r>
              <w:lastRenderedPageBreak/>
              <w:t>s. 27(1)(b), (c), (d), (e), (f), (h), (ha), (hb), (l), (m), (n), (o) and (v)</w:t>
            </w:r>
          </w:p>
        </w:tc>
        <w:tc>
          <w:tcPr>
            <w:tcW w:w="3827" w:type="dxa"/>
          </w:tcPr>
          <w:p>
            <w:pPr>
              <w:pStyle w:val="zTableNAm"/>
            </w:pPr>
            <w:r>
              <w:t>An order under section 27(1)(o) may be made by any one of the industrial Commissioners constituting the WAIRC to hear the appeal.</w:t>
            </w:r>
          </w:p>
        </w:tc>
      </w:tr>
      <w:tr>
        <w:trPr>
          <w:cantSplit/>
        </w:trPr>
        <w:tc>
          <w:tcPr>
            <w:tcW w:w="1701" w:type="dxa"/>
          </w:tcPr>
          <w:p>
            <w:pPr>
              <w:pStyle w:val="zTableNAm"/>
            </w:pPr>
            <w:r>
              <w:t>s. 27(1a)</w:t>
            </w:r>
          </w:p>
        </w:tc>
        <w:tc>
          <w:tcPr>
            <w:tcW w:w="3827" w:type="dxa"/>
          </w:tcPr>
          <w:p>
            <w:pPr>
              <w:pStyle w:val="zTableNAm"/>
            </w:pPr>
          </w:p>
        </w:tc>
      </w:tr>
      <w:tr>
        <w:trPr>
          <w:cantSplit/>
        </w:trPr>
        <w:tc>
          <w:tcPr>
            <w:tcW w:w="1701" w:type="dxa"/>
          </w:tcPr>
          <w:p>
            <w:pPr>
              <w:pStyle w:val="zTableNAm"/>
            </w:pPr>
            <w:r>
              <w:t>s. 28</w:t>
            </w:r>
          </w:p>
        </w:tc>
        <w:tc>
          <w:tcPr>
            <w:tcW w:w="3827" w:type="dxa"/>
          </w:tcPr>
          <w:p>
            <w:pPr>
              <w:pStyle w:val="zTableNAm"/>
            </w:pPr>
            <w:r>
              <w:t>But only in relation to powers conferred by section 27 listed in this Table.</w:t>
            </w:r>
          </w:p>
        </w:tc>
      </w:tr>
      <w:tr>
        <w:trPr>
          <w:cantSplit/>
        </w:trPr>
        <w:tc>
          <w:tcPr>
            <w:tcW w:w="1701" w:type="dxa"/>
          </w:tcPr>
          <w:p>
            <w:pPr>
              <w:pStyle w:val="zTableNAm"/>
            </w:pPr>
            <w:r>
              <w:t>s. 31(1)</w:t>
            </w:r>
          </w:p>
        </w:tc>
        <w:tc>
          <w:tcPr>
            <w:tcW w:w="3827" w:type="dxa"/>
          </w:tcPr>
          <w:p>
            <w:pPr>
              <w:pStyle w:val="zTableNAm"/>
            </w:pPr>
            <w:r>
              <w:t xml:space="preserve">Paragraphs (b) and (c) do not apply but the subsection is to be read as if it contained the following paragraphs — </w:t>
            </w:r>
          </w:p>
          <w:p>
            <w:pPr>
              <w:pStyle w:val="zTableNAm"/>
              <w:tabs>
                <w:tab w:val="clear" w:pos="567"/>
                <w:tab w:val="left" w:pos="317"/>
                <w:tab w:val="left" w:pos="742"/>
              </w:tabs>
              <w:ind w:left="742" w:hanging="742"/>
            </w:pPr>
            <w:r>
              <w:t>“</w:t>
            </w:r>
            <w:r>
              <w:tab/>
              <w:t>(b)</w:t>
            </w:r>
            <w:r>
              <w:tab/>
              <w:t>with the leave of the Commission, by an agent; or</w:t>
            </w:r>
          </w:p>
          <w:p>
            <w:pPr>
              <w:pStyle w:val="z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zTableNAm"/>
            </w:pPr>
            <w:r>
              <w:t>s. 31(3)</w:t>
            </w:r>
          </w:p>
        </w:tc>
        <w:tc>
          <w:tcPr>
            <w:tcW w:w="3827" w:type="dxa"/>
          </w:tcPr>
          <w:p>
            <w:pPr>
              <w:pStyle w:val="zTableNAm"/>
            </w:pPr>
          </w:p>
        </w:tc>
      </w:tr>
      <w:tr>
        <w:trPr>
          <w:cantSplit/>
        </w:trPr>
        <w:tc>
          <w:tcPr>
            <w:tcW w:w="1701" w:type="dxa"/>
          </w:tcPr>
          <w:p>
            <w:pPr>
              <w:pStyle w:val="zTableNAm"/>
            </w:pPr>
            <w:r>
              <w:t>s. 31(5)</w:t>
            </w:r>
          </w:p>
        </w:tc>
        <w:tc>
          <w:tcPr>
            <w:tcW w:w="3827" w:type="dxa"/>
          </w:tcPr>
          <w:p>
            <w:pPr>
              <w:pStyle w:val="zTableNAm"/>
            </w:pPr>
          </w:p>
        </w:tc>
      </w:tr>
      <w:tr>
        <w:trPr>
          <w:cantSplit/>
        </w:trPr>
        <w:tc>
          <w:tcPr>
            <w:tcW w:w="1701" w:type="dxa"/>
          </w:tcPr>
          <w:p>
            <w:pPr>
              <w:pStyle w:val="zTableNAm"/>
            </w:pPr>
            <w:r>
              <w:t>s. 32</w:t>
            </w:r>
          </w:p>
        </w:tc>
        <w:tc>
          <w:tcPr>
            <w:tcW w:w="3827" w:type="dxa"/>
          </w:tcPr>
          <w:p>
            <w:pPr>
              <w:pStyle w:val="z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zTableNAm"/>
            </w:pPr>
          </w:p>
        </w:tc>
        <w:tc>
          <w:tcPr>
            <w:tcW w:w="3827" w:type="dxa"/>
          </w:tcPr>
          <w:p>
            <w:pPr>
              <w:pStyle w:val="zTableNAm"/>
            </w:pPr>
            <w:r>
              <w:t>References to “the matter” and “an industrial matter” are to be read as if they were references to “the appeal”.</w:t>
            </w:r>
          </w:p>
          <w:p>
            <w:pPr>
              <w:pStyle w:val="zTableNAm"/>
            </w:pPr>
            <w:r>
              <w:t xml:space="preserve">For the purposes of subsections (2) and (3), </w:t>
            </w:r>
            <w:r>
              <w:rPr>
                <w:rStyle w:val="CharDefText"/>
              </w:rPr>
              <w:t>Commission</w:t>
            </w:r>
            <w:r>
              <w:t xml:space="preserve"> does not include an industrial Commissioner constituting the WAIRC to hear the appeal.</w:t>
            </w:r>
          </w:p>
          <w:p>
            <w:pPr>
              <w:pStyle w:val="zTableNAm"/>
            </w:pPr>
            <w:r>
              <w:t>Subsections (4), (6), (7) and (8) do not apply.</w:t>
            </w:r>
          </w:p>
        </w:tc>
      </w:tr>
      <w:tr>
        <w:trPr>
          <w:cantSplit/>
        </w:trPr>
        <w:tc>
          <w:tcPr>
            <w:tcW w:w="1701" w:type="dxa"/>
          </w:tcPr>
          <w:p>
            <w:pPr>
              <w:pStyle w:val="zTableNAm"/>
            </w:pPr>
            <w:r>
              <w:t>s. 33</w:t>
            </w:r>
          </w:p>
        </w:tc>
        <w:tc>
          <w:tcPr>
            <w:tcW w:w="3827" w:type="dxa"/>
          </w:tcPr>
          <w:p>
            <w:pPr>
              <w:pStyle w:val="zTableNAm"/>
            </w:pPr>
            <w:r>
              <w:t>A summons may not be issued under section 33(1)(a) to the Governor.</w:t>
            </w:r>
          </w:p>
          <w:p>
            <w:pPr>
              <w:pStyle w:val="z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zTableNAm"/>
            </w:pPr>
          </w:p>
        </w:tc>
        <w:tc>
          <w:tcPr>
            <w:tcW w:w="3827" w:type="dxa"/>
          </w:tcPr>
          <w:p>
            <w:pPr>
              <w:pStyle w:val="zTableNAm"/>
            </w:pPr>
            <w:r>
              <w:t>A summons may not be issued to any other person except at the direction of an industrial Commissioner.</w:t>
            </w:r>
          </w:p>
        </w:tc>
      </w:tr>
      <w:tr>
        <w:trPr>
          <w:cantSplit/>
        </w:trPr>
        <w:tc>
          <w:tcPr>
            <w:tcW w:w="1701" w:type="dxa"/>
          </w:tcPr>
          <w:p>
            <w:pPr>
              <w:pStyle w:val="zTableNAm"/>
            </w:pPr>
            <w:r>
              <w:t>s. 34</w:t>
            </w:r>
          </w:p>
        </w:tc>
        <w:tc>
          <w:tcPr>
            <w:tcW w:w="3827" w:type="dxa"/>
          </w:tcPr>
          <w:p>
            <w:pPr>
              <w:pStyle w:val="zTableNAm"/>
            </w:pPr>
            <w:r>
              <w:t>A reference in subsection (1) to “an award, order or declaration” is to be read as if it were a reference to “an order”.</w:t>
            </w:r>
          </w:p>
        </w:tc>
      </w:tr>
      <w:tr>
        <w:trPr>
          <w:cantSplit/>
        </w:trPr>
        <w:tc>
          <w:tcPr>
            <w:tcW w:w="1701" w:type="dxa"/>
          </w:tcPr>
          <w:p>
            <w:pPr>
              <w:pStyle w:val="zTableNAm"/>
            </w:pPr>
          </w:p>
        </w:tc>
        <w:tc>
          <w:tcPr>
            <w:tcW w:w="3827" w:type="dxa"/>
          </w:tcPr>
          <w:p>
            <w:pPr>
              <w:pStyle w:val="z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zTableNAm"/>
            </w:pPr>
            <w:r>
              <w:t>s. 35</w:t>
            </w:r>
          </w:p>
        </w:tc>
        <w:tc>
          <w:tcPr>
            <w:tcW w:w="3827" w:type="dxa"/>
          </w:tcPr>
          <w:p>
            <w:pPr>
              <w:pStyle w:val="zTableNAm"/>
            </w:pPr>
          </w:p>
        </w:tc>
      </w:tr>
      <w:tr>
        <w:trPr>
          <w:cantSplit/>
        </w:trPr>
        <w:tc>
          <w:tcPr>
            <w:tcW w:w="1701" w:type="dxa"/>
          </w:tcPr>
          <w:p>
            <w:pPr>
              <w:pStyle w:val="zTableNAm"/>
            </w:pPr>
            <w:r>
              <w:lastRenderedPageBreak/>
              <w:t>s. 36</w:t>
            </w:r>
          </w:p>
        </w:tc>
        <w:tc>
          <w:tcPr>
            <w:tcW w:w="3827" w:type="dxa"/>
          </w:tcPr>
          <w:p>
            <w:pPr>
              <w:pStyle w:val="zTableNAm"/>
            </w:pPr>
          </w:p>
        </w:tc>
      </w:tr>
      <w:tr>
        <w:trPr>
          <w:cantSplit/>
        </w:trPr>
        <w:tc>
          <w:tcPr>
            <w:tcW w:w="1701" w:type="dxa"/>
          </w:tcPr>
          <w:p>
            <w:pPr>
              <w:pStyle w:val="zTableNAm"/>
            </w:pPr>
            <w:r>
              <w:t>s. 86</w:t>
            </w:r>
          </w:p>
        </w:tc>
        <w:tc>
          <w:tcPr>
            <w:tcW w:w="3827" w:type="dxa"/>
          </w:tcPr>
          <w:p>
            <w:pPr>
              <w:pStyle w:val="zTableNAm"/>
            </w:pPr>
            <w:r>
              <w:t>But not in relation to costs and expenses other than expenses of witnesses.</w:t>
            </w:r>
          </w:p>
        </w:tc>
      </w:tr>
      <w:tr>
        <w:trPr>
          <w:cantSplit/>
        </w:trPr>
        <w:tc>
          <w:tcPr>
            <w:tcW w:w="1701" w:type="dxa"/>
          </w:tcPr>
          <w:p>
            <w:pPr>
              <w:pStyle w:val="zTableNAm"/>
            </w:pPr>
            <w:r>
              <w:t>s. 90</w:t>
            </w:r>
          </w:p>
        </w:tc>
        <w:tc>
          <w:tcPr>
            <w:tcW w:w="3827" w:type="dxa"/>
          </w:tcPr>
          <w:p>
            <w:pPr>
              <w:pStyle w:val="z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zHeading5"/>
      </w:pPr>
      <w:bookmarkStart w:id="33" w:name="_Toc16863784"/>
      <w:r>
        <w:t>33ZM.</w:t>
      </w:r>
      <w:r>
        <w:tab/>
        <w:t>Decision by the WAIRC</w:t>
      </w:r>
      <w:bookmarkEnd w:id="33"/>
    </w:p>
    <w:p>
      <w:pPr>
        <w:pStyle w:val="zSubsection"/>
      </w:pPr>
      <w:r>
        <w:tab/>
        <w:t>(1)</w:t>
      </w:r>
      <w:r>
        <w:tab/>
        <w:t>This section applies if the WAIRC decides on the appeal that the disputed decision was harsh, oppressive or unfair.</w:t>
      </w:r>
    </w:p>
    <w:p>
      <w:pPr>
        <w:pStyle w:val="zSubsection"/>
      </w:pPr>
      <w:r>
        <w:tab/>
        <w:t>(2)</w:t>
      </w:r>
      <w:r>
        <w:tab/>
        <w:t>Unless an order is made under subsection (3), the WAIRC may order that the appellant’s retirement on medical grounds is, and is to be taken to have always been, of no effect.</w:t>
      </w:r>
    </w:p>
    <w:p>
      <w:pPr>
        <w:pStyle w:val="z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zSubsection"/>
      </w:pPr>
      <w:r>
        <w:tab/>
        <w:t>(4)</w:t>
      </w:r>
      <w:r>
        <w:tab/>
        <w:t>In considering whether it is impracticable for it to be taken that the appellant’s retirement is, and has always been, of no effect it is relevant to consider —</w:t>
      </w:r>
    </w:p>
    <w:p>
      <w:pPr>
        <w:pStyle w:val="zIndenta"/>
      </w:pPr>
      <w:r>
        <w:lastRenderedPageBreak/>
        <w:tab/>
        <w:t>(a)</w:t>
      </w:r>
      <w:r>
        <w:tab/>
        <w:t>whether the position occupied by the appellant on the retirement day is vacant; and</w:t>
      </w:r>
    </w:p>
    <w:p>
      <w:pPr>
        <w:pStyle w:val="zIndenta"/>
      </w:pPr>
      <w:r>
        <w:tab/>
        <w:t>(b)</w:t>
      </w:r>
      <w:r>
        <w:tab/>
        <w:t>whether there is another suitable vacant position.</w:t>
      </w:r>
    </w:p>
    <w:p>
      <w:pPr>
        <w:pStyle w:val="zSubsection"/>
      </w:pPr>
      <w:r>
        <w:tab/>
        <w:t>(5)</w:t>
      </w:r>
      <w:r>
        <w:tab/>
        <w:t>In deciding the amount of compensation for the purpose of making an order under subsection (3), the WAIRC must have regard to —</w:t>
      </w:r>
    </w:p>
    <w:p>
      <w:pPr>
        <w:pStyle w:val="zIndenta"/>
      </w:pPr>
      <w:r>
        <w:tab/>
        <w:t>(a)</w:t>
      </w:r>
      <w:r>
        <w:tab/>
        <w:t>the efforts, if any, of the Police Commissioner and the appellant to mitigate the loss suffered by the appellant as a result of the retirement; and</w:t>
      </w:r>
    </w:p>
    <w:p>
      <w:pPr>
        <w:pStyle w:val="zIndenta"/>
      </w:pPr>
      <w:r>
        <w:tab/>
        <w:t>(b)</w:t>
      </w:r>
      <w:r>
        <w:tab/>
        <w:t>any maintenance payment received by the appellant under section 33ZF; and</w:t>
      </w:r>
    </w:p>
    <w:p>
      <w:pPr>
        <w:pStyle w:val="z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zIndenta"/>
      </w:pPr>
      <w:r>
        <w:tab/>
        <w:t>(d)</w:t>
      </w:r>
      <w:r>
        <w:tab/>
        <w:t>any other matter that the WAIRC considers relevant.</w:t>
      </w:r>
    </w:p>
    <w:p>
      <w:pPr>
        <w:pStyle w:val="zSubsection"/>
      </w:pPr>
      <w:r>
        <w:tab/>
        <w:t>(6)</w:t>
      </w:r>
      <w:r>
        <w:tab/>
        <w:t>The amount ordered to be paid under subsection (3) must not exceed 12 months’ remuneration as a member.</w:t>
      </w:r>
    </w:p>
    <w:p>
      <w:pPr>
        <w:pStyle w:val="zSubsection"/>
      </w:pPr>
      <w:r>
        <w:tab/>
        <w:t>(7)</w:t>
      </w:r>
      <w:r>
        <w:tab/>
        <w:t>For the purpose of subsection (5), the WAIRC may calculate the amount on the basis of the average rate of remuneration as a member received by the appellant during any relevant period of service.</w:t>
      </w:r>
    </w:p>
    <w:p>
      <w:pPr>
        <w:pStyle w:val="zSubsection"/>
      </w:pPr>
      <w:r>
        <w:tab/>
        <w:t>(8)</w:t>
      </w:r>
      <w:r>
        <w:tab/>
        <w:t>If the WAIRC makes an order under subsection (2), the appellant is not entitled to be paid the appellant’s remuneration as a member for any period the appellant received a maintenance payment under section 33ZF.</w:t>
      </w:r>
    </w:p>
    <w:p>
      <w:pPr>
        <w:pStyle w:val="zSubsection"/>
      </w:pPr>
      <w:r>
        <w:lastRenderedPageBreak/>
        <w:tab/>
        <w:t>(9)</w:t>
      </w:r>
      <w:r>
        <w:tab/>
        <w:t>An order under this section may require that it be complied with within a specified time.</w:t>
      </w:r>
    </w:p>
    <w:p>
      <w:pPr>
        <w:pStyle w:val="zHeading5"/>
      </w:pPr>
      <w:bookmarkStart w:id="34" w:name="_Toc16863785"/>
      <w:r>
        <w:t>33ZN.</w:t>
      </w:r>
      <w:r>
        <w:tab/>
        <w:t>Restriction on publication</w:t>
      </w:r>
      <w:bookmarkEnd w:id="34"/>
    </w:p>
    <w:p>
      <w:pPr>
        <w:pStyle w:val="zSubsection"/>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zIndenta"/>
      </w:pPr>
      <w:r>
        <w:tab/>
        <w:t>(a)</w:t>
      </w:r>
      <w:r>
        <w:tab/>
        <w:t>any evidence given before the WAIRC on the appeal;</w:t>
      </w:r>
    </w:p>
    <w:p>
      <w:pPr>
        <w:pStyle w:val="zIndenta"/>
      </w:pPr>
      <w:r>
        <w:tab/>
        <w:t>(b)</w:t>
      </w:r>
      <w:r>
        <w:tab/>
        <w:t>the contents of any document produced to the WAIRC on the appeal.</w:t>
      </w:r>
    </w:p>
    <w:p>
      <w:pPr>
        <w:pStyle w:val="zSubsection"/>
      </w:pPr>
      <w:r>
        <w:tab/>
        <w:t>(2)</w:t>
      </w:r>
      <w:r>
        <w:tab/>
        <w:t>A person must not make a publication in contravention of a direction given under this section.</w:t>
      </w:r>
    </w:p>
    <w:p>
      <w:pPr>
        <w:pStyle w:val="zPenstart"/>
      </w:pPr>
      <w:r>
        <w:tab/>
        <w:t>Penalty for this subsection: imprisonment for 12 months and a fine of $4 000.</w:t>
      </w:r>
    </w:p>
    <w:p>
      <w:pPr>
        <w:pStyle w:val="zHeading3"/>
      </w:pPr>
      <w:bookmarkStart w:id="35" w:name="_Toc16863648"/>
      <w:bookmarkStart w:id="36" w:name="_Toc16863786"/>
      <w:r>
        <w:t>Division 4 — General</w:t>
      </w:r>
      <w:bookmarkEnd w:id="35"/>
      <w:bookmarkEnd w:id="36"/>
    </w:p>
    <w:p>
      <w:pPr>
        <w:pStyle w:val="zHeading5"/>
      </w:pPr>
      <w:bookmarkStart w:id="37" w:name="_Toc16863787"/>
      <w:r>
        <w:t>33ZO.</w:t>
      </w:r>
      <w:r>
        <w:tab/>
        <w:t>Failure to comply with procedure</w:t>
      </w:r>
      <w:bookmarkEnd w:id="37"/>
    </w:p>
    <w:p>
      <w:pPr>
        <w:pStyle w:val="z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zHeading5"/>
      </w:pPr>
      <w:bookmarkStart w:id="38" w:name="_Toc16863788"/>
      <w:r>
        <w:t>33ZP.</w:t>
      </w:r>
      <w:r>
        <w:tab/>
        <w:t>Transfer, standing down and leave of member</w:t>
      </w:r>
      <w:bookmarkEnd w:id="38"/>
    </w:p>
    <w:p>
      <w:pPr>
        <w:pStyle w:val="zSubsection"/>
      </w:pPr>
      <w:r>
        <w:tab/>
        <w:t>(1)</w:t>
      </w:r>
      <w:r>
        <w:tab/>
        <w:t xml:space="preserve">Nothing in this Part derogates from the Police Commissioner’s power to — </w:t>
      </w:r>
    </w:p>
    <w:p>
      <w:pPr>
        <w:pStyle w:val="zIndenta"/>
      </w:pPr>
      <w:r>
        <w:tab/>
        <w:t>(a)</w:t>
      </w:r>
      <w:r>
        <w:tab/>
        <w:t>transfer a member; or</w:t>
      </w:r>
    </w:p>
    <w:p>
      <w:pPr>
        <w:pStyle w:val="zIndenta"/>
      </w:pPr>
      <w:r>
        <w:lastRenderedPageBreak/>
        <w:tab/>
        <w:t>(b)</w:t>
      </w:r>
      <w:r>
        <w:tab/>
        <w:t>stand a member down from performing that member’s usual duties on full pay until the member is directed by the Police Commissioner to return to those duties; or</w:t>
      </w:r>
    </w:p>
    <w:p>
      <w:pPr>
        <w:pStyle w:val="zIndenta"/>
      </w:pPr>
      <w:r>
        <w:tab/>
        <w:t>(c)</w:t>
      </w:r>
      <w:r>
        <w:tab/>
        <w:t>allocate duties to a member other than the member’s usual duties.</w:t>
      </w:r>
    </w:p>
    <w:p>
      <w:pPr>
        <w:pStyle w:val="z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z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zHeading5"/>
      </w:pPr>
      <w:bookmarkStart w:id="39" w:name="_Toc16863789"/>
      <w:r>
        <w:t>33ZQ.</w:t>
      </w:r>
      <w:r>
        <w:tab/>
        <w:t>Transitional provision</w:t>
      </w:r>
      <w:bookmarkEnd w:id="39"/>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zSubsection"/>
      </w:pPr>
      <w:r>
        <w:tab/>
        <w:t>(2)</w:t>
      </w:r>
      <w:r>
        <w:tab/>
        <w:t xml:space="preserve">This section applies if the Police Commissioner — </w:t>
      </w:r>
    </w:p>
    <w:p>
      <w:pPr>
        <w:pStyle w:val="zIndenta"/>
      </w:pPr>
      <w:r>
        <w:tab/>
        <w:t>(a)</w:t>
      </w:r>
      <w:r>
        <w:tab/>
        <w:t xml:space="preserve">gives a direction to a member under the </w:t>
      </w:r>
      <w:r>
        <w:rPr>
          <w:i/>
        </w:rPr>
        <w:t>Police Force Regulations 1979</w:t>
      </w:r>
      <w:r>
        <w:t xml:space="preserve"> regulation 1402 before the commencement day; but</w:t>
      </w:r>
    </w:p>
    <w:p>
      <w:pPr>
        <w:pStyle w:val="zIndenta"/>
      </w:pPr>
      <w:r>
        <w:tab/>
        <w:t>(b)</w:t>
      </w:r>
      <w:r>
        <w:tab/>
        <w:t>as at the time immediately before the commencement day, has not yet decided whether to take removal action (as defined in section 33K) in relation to the member.</w:t>
      </w:r>
    </w:p>
    <w:p>
      <w:pPr>
        <w:pStyle w:val="zSubsection"/>
      </w:pPr>
      <w:r>
        <w:lastRenderedPageBreak/>
        <w:tab/>
        <w:t>(3)</w:t>
      </w:r>
      <w:r>
        <w:tab/>
        <w:t>The matter is to be continued and completed under this Part instead of regulation 1402, Part IIB and, as the case may be, section 8, 38B(4) or 38G(4).</w:t>
      </w:r>
    </w:p>
    <w:p>
      <w:pPr>
        <w:pStyle w:val="zSubsection"/>
        <w:keepNext/>
      </w:pPr>
      <w:r>
        <w:tab/>
        <w:t>(4)</w:t>
      </w:r>
      <w:r>
        <w:tab/>
        <w:t>Without limiting subsection (3) —</w:t>
      </w:r>
    </w:p>
    <w:p>
      <w:pPr>
        <w:pStyle w:val="zIndenta"/>
      </w:pPr>
      <w:r>
        <w:tab/>
        <w:t>(a)</w:t>
      </w:r>
      <w:r>
        <w:tab/>
        <w:t>the Police Commissioner’s direction under regulation 1402 is taken to be a direction under section 33ZC; and</w:t>
      </w:r>
    </w:p>
    <w:p>
      <w:pPr>
        <w:pStyle w:val="z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z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zIndenta"/>
      </w:pPr>
      <w:r>
        <w:tab/>
        <w:t>(d)</w:t>
      </w:r>
      <w:r>
        <w:tab/>
        <w:t>this Part, and any regulations relating to this Part, apply with any necessary modifications.</w:t>
      </w:r>
    </w:p>
    <w:p>
      <w:pPr>
        <w:pStyle w:val="BlankClose"/>
      </w:pPr>
    </w:p>
    <w:p>
      <w:pPr>
        <w:pStyle w:val="Heading5"/>
      </w:pPr>
      <w:bookmarkStart w:id="40" w:name="_Toc16863790"/>
      <w:r>
        <w:rPr>
          <w:rStyle w:val="CharSectno"/>
        </w:rPr>
        <w:t>7</w:t>
      </w:r>
      <w:r>
        <w:t>.</w:t>
      </w:r>
      <w:r>
        <w:tab/>
        <w:t>Section 138A amended</w:t>
      </w:r>
      <w:bookmarkEnd w:id="40"/>
    </w:p>
    <w:p>
      <w:pPr>
        <w:pStyle w:val="Subsection"/>
      </w:pPr>
      <w:r>
        <w:tab/>
      </w:r>
      <w:r>
        <w:tab/>
        <w:t>After section 138A(4) insert:</w:t>
      </w:r>
    </w:p>
    <w:p>
      <w:pPr>
        <w:pStyle w:val="BlankOpen"/>
      </w:pPr>
    </w:p>
    <w:p>
      <w:pPr>
        <w:pStyle w:val="zSubsection"/>
      </w:pPr>
      <w:r>
        <w:tab/>
        <w:t>(5)</w:t>
      </w:r>
      <w:r>
        <w:tab/>
        <w:t xml:space="preserve">Without limiting subsection (1), regulations may be made — </w:t>
      </w:r>
    </w:p>
    <w:p>
      <w:pPr>
        <w:pStyle w:val="zIndenta"/>
      </w:pPr>
      <w:r>
        <w:tab/>
        <w:t>(a)</w:t>
      </w:r>
      <w:r>
        <w:tab/>
        <w:t>requiring and regulating the provision of documents or other material by the Commissioner of Police to a member who has been given a direction under section 33ZC;</w:t>
      </w:r>
    </w:p>
    <w:p>
      <w:pPr>
        <w:pStyle w:val="zIndenta"/>
      </w:pPr>
      <w:r>
        <w:lastRenderedPageBreak/>
        <w:tab/>
        <w:t>(b)</w:t>
      </w:r>
      <w:r>
        <w:tab/>
        <w:t>prescribing the procedure to be followed in relation to a retirement on medical grounds under Part IIC;</w:t>
      </w:r>
    </w:p>
    <w:p>
      <w:pPr>
        <w:pStyle w:val="z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zIndenta"/>
      </w:pPr>
      <w:r>
        <w:tab/>
        <w:t>(d)</w:t>
      </w:r>
      <w:r>
        <w:tab/>
        <w:t>prescribing the means of service of documents that are required to be served under Part IIC or regulations relating to that Part.</w:t>
      </w:r>
    </w:p>
    <w:p>
      <w:pPr>
        <w:pStyle w:val="BlankClose"/>
      </w:pPr>
    </w:p>
    <w:p>
      <w:pPr>
        <w:pStyle w:val="Heading2"/>
        <w:rPr>
          <w:rStyle w:val="CharPartText"/>
        </w:rPr>
      </w:pPr>
      <w:bookmarkStart w:id="41" w:name="_Toc16863653"/>
      <w:bookmarkStart w:id="42" w:name="_Toc16863791"/>
      <w:r>
        <w:rPr>
          <w:rStyle w:val="CharPartNo"/>
        </w:rPr>
        <w:lastRenderedPageBreak/>
        <w:t>Part 3</w:t>
      </w:r>
      <w:r>
        <w:rPr>
          <w:rStyle w:val="CharDivNo"/>
        </w:rPr>
        <w:t> </w:t>
      </w:r>
      <w:r>
        <w:t>—</w:t>
      </w:r>
      <w:r>
        <w:rPr>
          <w:rStyle w:val="CharDivText"/>
        </w:rPr>
        <w:t> </w:t>
      </w:r>
      <w:r>
        <w:rPr>
          <w:rStyle w:val="CharPartText"/>
          <w:i/>
        </w:rPr>
        <w:t>Industrial Relations Act 1979</w:t>
      </w:r>
      <w:r>
        <w:rPr>
          <w:rStyle w:val="CharPartText"/>
        </w:rPr>
        <w:t xml:space="preserve"> amended</w:t>
      </w:r>
      <w:bookmarkEnd w:id="41"/>
      <w:bookmarkEnd w:id="42"/>
    </w:p>
    <w:p>
      <w:pPr>
        <w:pStyle w:val="Heading5"/>
      </w:pPr>
      <w:bookmarkStart w:id="43" w:name="_Toc16863792"/>
      <w:r>
        <w:rPr>
          <w:rStyle w:val="CharSectno"/>
        </w:rPr>
        <w:t>8</w:t>
      </w:r>
      <w:r>
        <w:t>.</w:t>
      </w:r>
      <w:r>
        <w:tab/>
        <w:t>Act amended</w:t>
      </w:r>
      <w:bookmarkEnd w:id="43"/>
    </w:p>
    <w:p>
      <w:pPr>
        <w:pStyle w:val="Subsection"/>
      </w:pPr>
      <w:r>
        <w:tab/>
      </w:r>
      <w:r>
        <w:tab/>
        <w:t xml:space="preserve">This Part amends the </w:t>
      </w:r>
      <w:r>
        <w:rPr>
          <w:i/>
        </w:rPr>
        <w:t>Industrial Relations Act 1979</w:t>
      </w:r>
      <w:r>
        <w:t>.</w:t>
      </w:r>
    </w:p>
    <w:p>
      <w:pPr>
        <w:pStyle w:val="Heading5"/>
      </w:pPr>
      <w:bookmarkStart w:id="44" w:name="_Toc16863793"/>
      <w:r>
        <w:rPr>
          <w:rStyle w:val="CharSectno"/>
        </w:rPr>
        <w:t>9</w:t>
      </w:r>
      <w:r>
        <w:t>.</w:t>
      </w:r>
      <w:r>
        <w:tab/>
        <w:t>Section 113 amended</w:t>
      </w:r>
      <w:bookmarkEnd w:id="44"/>
    </w:p>
    <w:p>
      <w:pPr>
        <w:pStyle w:val="Subsection"/>
      </w:pPr>
      <w:r>
        <w:tab/>
      </w:r>
      <w:r>
        <w:tab/>
        <w:t>In section 113(1)(d)(i) after “33P” insert:</w:t>
      </w:r>
    </w:p>
    <w:p>
      <w:pPr>
        <w:pStyle w:val="BlankOpen"/>
      </w:pPr>
    </w:p>
    <w:p>
      <w:pPr>
        <w:pStyle w:val="Subsection"/>
      </w:pPr>
      <w:r>
        <w:tab/>
      </w:r>
      <w:r>
        <w:tab/>
        <w:t>or 33ZI</w:t>
      </w:r>
    </w:p>
    <w:p>
      <w:pPr>
        <w:pStyle w:val="BlankClose"/>
      </w:pPr>
    </w:p>
    <w:p>
      <w:pPr>
        <w:pStyle w:val="CentredBaseLine"/>
        <w:jc w:val="center"/>
      </w:pPr>
      <w:r>
        <w:rPr>
          <w:noProof/>
        </w:rPr>
        <w:drawing>
          <wp:inline distT="0" distB="0" distL="0" distR="0">
            <wp:extent cx="1246632" cy="231648"/>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246632" cy="231648"/>
                    </a:xfrm>
                    <a:prstGeom prst="rect">
                      <a:avLst/>
                    </a:prstGeom>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31115</wp:posOffset>
                </wp:positionH>
                <wp:positionV relativeFrom="page">
                  <wp:posOffset>8108351</wp:posOffset>
                </wp:positionV>
                <wp:extent cx="12700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2.45pt;margin-top:638.45pt;width:10pt;height:193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2T8QIAAIEGAAAOAAAAZHJzL2Uyb0RvYy54bWysVUtvGjEQvlfqf7B8J/voAgFliUgiqkoo&#10;iZpUORuvDVa89tY2sLTqf+/Y+wgkPTRVOXjHnvfMN8PFZV1KtGPGCq1ynJzFGDFFdSHUOsffHheD&#10;c4ysI6ogUiuW4wOz+HL28cPFvpqyVG+0LJhBYETZ6b7K8ca5ahpFlm5YSeyZrpgCJtemJA6uZh0V&#10;huzBeimjNI5H0V6bojKaMmvh9aZh4lmwzzmj7o5zyxySOYbYXDhNOFf+jGYXZLo2pNoI2oZB/iGK&#10;kggFTntTN8QRtDXijalSUKOt5u6M6jLSnAvKQg6QTRK/yuZhQyoWcoHi2Kovk/1/Zunt7t4gUeQ4&#10;xUiRElo037qNNsIdfHH2lZ2CzEMFUq6+0jU0uXu38Ohzrrkp/ReyQcCHMh/60rLaIeqV0nEcA4cC&#10;K82GSQIXMB+9aFfGus9Ml8gTOTbQulBRslta14h2It6Z1VIUCyFluJj16loatCPQ5kX4tdZPxKRC&#10;+xyPPg3jYFlpr9+YlsrbYQExjT+41Q7I8A5ZhG7+nCRpFl+lk8FidD4eZItsOJiM4/NBnEyuJqM4&#10;m2Q3i1/eepJNN6IomFoKxTpkJdnfda7FeIOJgK2TwE+S8kXpc19JQp/fph6dhhPqDtl135Bl5Fvd&#10;tDRQ7iCZz12qr4wDQkJn/UOYTda7JJQy5QIooJtB2ktxKO17FFt5r9p04T3KvUbwrJXrlUuhtAnd&#10;fhV28dyFzBt5KMZR3p509aoOo9EjfqWLAwyC0QBQALOt6EJA+ZfEuntiYHHAIyxDdwcHlxrAplsK&#10;I5ipH3969/KACuBitIdFlGP7fUsMw0h+UTDpkyTLwKwLl2w4TuFijjmrY47altcahiAJ0QXSyzvZ&#10;kdzo8gl25tx7BRZRFHzn2HXktWvWI+xcyubzIAS7qiJuqR4q6k37KnvYPdZPxFTtwDoA1K3uVhaZ&#10;vprbRtZrKg0bRnMRhtrXualqW3/YcwGW7U72i/T4HqRe/jlmvwEAAP//AwBQSwMEFAAGAAgAAAAh&#10;AIi2KM7fAAAACgEAAA8AAABkcnMvZG93bnJldi54bWxMj0FPwzAMhe9I/IfISNxYSoGylabThMRp&#10;2oECg2PWmLZa45Qk3cq/xzuxm/3e0/PnYjnZXhzQh86RgttZAgKpdqajRsH728vNHESImozuHaGC&#10;XwywLC8vCp0bd6RXPFSxEVxCIdcK2hiHXMpQt2h1mLkBib1v562OvPpGGq+PXG57mSZJJq3uiC+0&#10;esDnFut9NVoFX5vuYbNdrz7nVTJWHz/Ten+39UpdX02rJxARp/gfhhM+o0PJTDs3kgmiV3C/4CDL&#10;6WPGEwfSk7JjJcvSBciykOcvlH8AAAD//wMAUEsBAi0AFAAGAAgAAAAhALaDOJL+AAAA4QEAABMA&#10;AAAAAAAAAAAAAAAAAAAAAFtDb250ZW50X1R5cGVzXS54bWxQSwECLQAUAAYACAAAACEAOP0h/9YA&#10;AACUAQAACwAAAAAAAAAAAAAAAAAvAQAAX3JlbHMvLnJlbHNQSwECLQAUAAYACAAAACEAMQxtk/EC&#10;AACBBgAADgAAAAAAAAAAAAAAAAAuAgAAZHJzL2Uyb0RvYy54bWxQSwECLQAUAAYACAAAACEAiLYo&#10;zt8AAAAKAQAADwAAAAAAAAAAAAAAAABL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posOffset>1455089</wp:posOffset>
                </wp:positionH>
                <wp:positionV relativeFrom="page">
                  <wp:posOffset>8213697</wp:posOffset>
                </wp:positionV>
                <wp:extent cx="4651513" cy="715617"/>
                <wp:effectExtent l="0" t="0" r="0" b="889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1513" cy="715617"/>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14.55pt;margin-top:646.75pt;width:366.25pt;height:5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ceVSgMAAMQHAAAOAAAAZHJzL2Uyb0RvYy54bWzEVVtv0zAYfUfiP1h+75KUtFurZWgXipAq&#10;QGyIZ9dxmmiObWx3TUH8d46dtLvAA0NI9CH9bB9/l/NdfPq6ayW5E9Y1WhU0O0opEYrrslHrgn6+&#10;WYxOKHGeqZJJrURBd8LR12cvX5xuzVyMda1lKSyBEuXmW1PQ2nszTxLHa9Eyd6SNUDistG2Zx9Ku&#10;k9KyLbS3Mhmn6TTZalsaq7lwDrtX/SE9i/qrSnD/oaqc8EQWFL75+LXxuwrf5OyUzdeWmbrhgxvs&#10;L7xoWaNg9KDqinlGNrb5RVXbcKudrvwR122iq6rhIsaAaLL0STTXNTMixgJynDnQ5P6dWv7+7qMl&#10;TVnQnBLFWqToRnSeXOiO5IGdrXFzgK4NYL7DNrIcI3VmqfmtAyR5gOkvOKADG11l2/CPOAkuIgG7&#10;A+nBCsdmPp1kk+wVJRxnx9lkmh0Hu8n9bWOdfyt0S4JQUIukRg/Y3dL5HrqHBGNOy6ZcNFLGhV2v&#10;LqUldwwFsIi/QfsjmFRkW9DZZDyBHwx1WEnmIbYGzDi1poTJNQqcextNKx0MwDabB9NXzNW9iai1&#10;ryqrN6qMkFqw8o0qid8Z8KvQCDSYa0VJiRRQG6SI9KyRf4IEO1IF6yLWeM8DVp2HGPfBbqy/77Ns&#10;nKcX49loMT05HuWLfDKaHacnozSbXcymaT7LrxY/QlBZPq+bshRq2Six74Us/7NaG7qyr+LYDc8j&#10;9FE2AqWHpK0k47e/y9l/Iv4RTbFOwfr+P7If+6FvgdAZzu+kCDmR6pOo0GuxE8JGnHLiECnjXCif&#10;DbFGdEBVqLTnXBzw4WpfHc+5fLgRLWvlD5fbRum++J+4Xd7uXa56/DARhrgDBb5bdajvIK50ucMo&#10;sRqdjHngDF80SPeSOf+RWcxebOI98R/wqaRGm+hBoqTW9tvv9gMeZYpT9BVmOVr264ZZdJl8pzAs&#10;Z2maY8D4uMinJ1Ms7MOT1cMTtWkvNaZFFr2LInyyXu7Fyur2C56d82AVR0xx2C4oBkYvXvr+hcGz&#10;xcX5eQRh3Bvml+ra8P0EDQV8031h1gyTzaOS3uv91GfzJwOux4bEKH2+8bpq4vS7Z3UgHk9FrMfh&#10;WQtv0cN1RN0/vmc/AQAA//8DAFBLAwQUAAYACAAAACEAGrmCEuMAAAANAQAADwAAAGRycy9kb3du&#10;cmV2LnhtbEyPwU7DMAyG70i8Q2QkLmhLGqDQ0nRCQxPaCbEhtGPWZG2hcaom3QpPjznB0f4//f5c&#10;LCbXsaMdQutRQTIXwCxW3rRYK3jbrmb3wELUaHTn0Sr4sgEW5flZoXPjT/hqj5tYMyrBkGsFTYx9&#10;znmoGut0mPveImUHPzgdaRxqbgZ9onLXcSlEyp1ukS40urfLxlafm9EpeL5yH66+e3lah3fcfa92&#10;YjwshVKXF9PjA7Bop/gHw68+qUNJTns/ogmsUyBllhBKgcyub4ERkqVJCmxPqxuRSuBlwf9/Uf4A&#10;AAD//wMAUEsBAi0AFAAGAAgAAAAhALaDOJL+AAAA4QEAABMAAAAAAAAAAAAAAAAAAAAAAFtDb250&#10;ZW50X1R5cGVzXS54bWxQSwECLQAUAAYACAAAACEAOP0h/9YAAACUAQAACwAAAAAAAAAAAAAAAAAv&#10;AQAAX3JlbHMvLnJlbHNQSwECLQAUAAYACAAAACEAddHHlUoDAADEBwAADgAAAAAAAAAAAAAAAAAu&#10;AgAAZHJzL2Uyb0RvYy54bWxQSwECLQAUAAYACAAAACEAGrmCEuMAAAANAQAADwAAAAAAAAAAAAAA&#10;AACkBQAAZHJzL2Rvd25yZXYueG1sUEsFBgAAAAAEAAQA8wAAALQGAAAAAA==&#10;" stroked="f">
                <v:stroke joinstyle="round"/>
                <v:path arrowok="t"/>
                <v:textbox inset="7.09pt,3.69pt,7.09pt,3.69pt">
                  <w:txbxContent>
                    <w:p>
                      <w:pPr>
                        <w:pBdr>
                          <w:top w:val="double" w:sz="4" w:space="0"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v:textbox>
                <w10:wrap type="square"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39HrP24DmT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Amendment (Medical Retirement)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161529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19125427" w:val="RemoveTocBookmarks,RemoveUnusedBookmarks,RemoveLanguageTags,UsedStyles,ResetPageSize"/>
    <w:docVar w:name="WAFER_20190219125427_GUID" w:val="2c669b82-3241-4f2a-bf62-63b4c2c3368d"/>
    <w:docVar w:name="WAFER_20190219151258" w:val="RemoveTocBookmarks,RunningHeaders"/>
    <w:docVar w:name="WAFER_20190219151258_GUID" w:val="b3f78f73-598b-4e30-b318-8388d2d35394"/>
    <w:docVar w:name="WAFER_20190306132951" w:val="RemoveTocBookmarks,RemoveUnusedBookmarks,RemoveLanguageTags,UsedStyles,ResetPageSize"/>
    <w:docVar w:name="WAFER_20190306132951_GUID" w:val="603a9108-0843-4efc-8742-5f9308efa82e"/>
    <w:docVar w:name="WAFER_20190306135628" w:val="RemoveTocBookmarks,RunningHeaders"/>
    <w:docVar w:name="WAFER_20190306135628_GUID" w:val="c2701cfe-33c3-4164-ac88-b276e3ab6330"/>
    <w:docVar w:name="WAFER_20190418103530" w:val="RemoveTocBookmarks,RemoveUnusedBookmarks,RemoveLanguageTags,ResetPageSize,RunningHeaders,UpdateStyles,UsedStyles"/>
    <w:docVar w:name="WAFER_20190418103530_GUID" w:val="e0baff0c-36d0-493e-a155-92040c08ffda"/>
    <w:docVar w:name="WAFER_20190816152918" w:val="RemoveTocBookmarks,RemoveUnusedBookmarks,RemoveLanguageTags,ResetPageSize,RunningHeaders,UpdateStyles,UsedStyles"/>
    <w:docVar w:name="WAFER_20190816152918_GUID" w:val="1f85599f-ba07-45f4-9260-931b6b8e6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C6B5076-D7E5-47D8-9078-220EE415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8253F-FD5F-4E51-A96E-EEA94770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4637</Words>
  <Characters>23046</Characters>
  <Application>Microsoft Office Word</Application>
  <DocSecurity>0</DocSecurity>
  <Lines>768</Lines>
  <Paragraphs>384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27299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Amendment (Medical Retirement) Act 2019 - 00-00-00</dc:title>
  <dc:subject/>
  <dc:creator/>
  <cp:keywords/>
  <dc:description/>
  <cp:lastModifiedBy>Master Repository Process</cp:lastModifiedBy>
  <cp:revision>4</cp:revision>
  <cp:lastPrinted>2019-08-16T04:26:00Z</cp:lastPrinted>
  <dcterms:created xsi:type="dcterms:W3CDTF">2025-05-26T07:24:00Z</dcterms:created>
  <dcterms:modified xsi:type="dcterms:W3CDTF">2025-05-26T07:24:00Z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2705</vt:lpwstr>
  </property>
  <property fmtid="{D5CDD505-2E9C-101B-9397-08002B2CF9AE}" pid="3" name="ActNo">
    <vt:lpwstr>19 of 2019</vt:lpwstr>
  </property>
  <property fmtid="{D5CDD505-2E9C-101B-9397-08002B2CF9AE}" pid="4" name="DocumentType">
    <vt:lpwstr>Act</vt:lpwstr>
  </property>
  <property fmtid="{D5CDD505-2E9C-101B-9397-08002B2CF9AE}" pid="5" name="AsAtDate">
    <vt:lpwstr>15 Aug 2019</vt:lpwstr>
  </property>
  <property fmtid="{D5CDD505-2E9C-101B-9397-08002B2CF9AE}" pid="6" name="Suffix">
    <vt:lpwstr>00-00-00</vt:lpwstr>
  </property>
  <property fmtid="{D5CDD505-2E9C-101B-9397-08002B2CF9AE}" pid="7" name="ActNoFooter">
    <vt:lpwstr>No. 19 of 2019</vt:lpwstr>
  </property>
  <property fmtid="{D5CDD505-2E9C-101B-9397-08002B2CF9AE}" pid="8" name="CommencementDate">
    <vt:lpwstr>20190815</vt:lpwstr>
  </property>
</Properties>
</file>