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Parks (Long-stay Tenants) Act 2006</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Parks (Long-stay Tenants) Regulations 2007</w:t>
      </w:r>
      <w:r>
        <w:rPr>
          <w:sz w:val="48"/>
        </w:rPr>
        <w:fldChar w:fldCharType="end"/>
      </w:r>
    </w:p>
    <w:p>
      <w:pPr>
        <w:pStyle w:val="ReprintNo"/>
      </w:pPr>
      <w:r>
        <w:t>Reprint 1:  The regulations as at 16 August 2019</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num" w:pos="1197"/>
        </w:tabs>
        <w:ind w:left="1208" w:hanging="357"/>
        <w:rPr>
          <w:sz w:val="20"/>
        </w:rPr>
      </w:pPr>
      <w:r>
        <w:rPr>
          <w:sz w:val="20"/>
        </w:rPr>
        <w:t>removed (because it was repealed or deleted from the law); or</w:t>
      </w:r>
    </w:p>
    <w:p>
      <w:pPr>
        <w:numPr>
          <w:ilvl w:val="0"/>
          <w:numId w:val="13"/>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August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Residential Parks (Long-stay Tenants)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_Toc17279251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_Toc17279252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_Toc17279253 \h </w:instrText>
      </w:r>
      <w:r>
        <w:fldChar w:fldCharType="separate"/>
      </w:r>
      <w:r>
        <w:t>1</w:t>
      </w:r>
      <w:r>
        <w:fldChar w:fldCharType="end"/>
      </w:r>
    </w:p>
    <w:p>
      <w:pPr>
        <w:pStyle w:val="TOC8"/>
        <w:rPr>
          <w:rFonts w:asciiTheme="minorHAnsi" w:eastAsiaTheme="minorEastAsia" w:hAnsiTheme="minorHAnsi" w:cstheme="minorBidi"/>
          <w:szCs w:val="22"/>
        </w:rPr>
      </w:pPr>
      <w:r>
        <w:t>4.</w:t>
      </w:r>
      <w:r>
        <w:tab/>
        <w:t>Periodic on</w:t>
      </w:r>
      <w:r>
        <w:noBreakHyphen/>
        <w:t>site home agreement (s. 10(b) and (c) of the Act)</w:t>
      </w:r>
      <w:r>
        <w:tab/>
      </w:r>
      <w:r>
        <w:fldChar w:fldCharType="begin"/>
      </w:r>
      <w:r>
        <w:instrText xml:space="preserve"> PAGEREF _Toc17279254 \h </w:instrText>
      </w:r>
      <w:r>
        <w:fldChar w:fldCharType="separate"/>
      </w:r>
      <w:r>
        <w:t>2</w:t>
      </w:r>
      <w:r>
        <w:fldChar w:fldCharType="end"/>
      </w:r>
    </w:p>
    <w:p>
      <w:pPr>
        <w:pStyle w:val="TOC8"/>
        <w:rPr>
          <w:rFonts w:asciiTheme="minorHAnsi" w:eastAsiaTheme="minorEastAsia" w:hAnsiTheme="minorHAnsi" w:cstheme="minorBidi"/>
          <w:szCs w:val="22"/>
        </w:rPr>
      </w:pPr>
      <w:r>
        <w:t>5.</w:t>
      </w:r>
      <w:r>
        <w:tab/>
        <w:t>Fixed term on</w:t>
      </w:r>
      <w:r>
        <w:noBreakHyphen/>
        <w:t>site home agreement (s. 10(b) and (c) of the Act)</w:t>
      </w:r>
      <w:r>
        <w:tab/>
      </w:r>
      <w:r>
        <w:fldChar w:fldCharType="begin"/>
      </w:r>
      <w:r>
        <w:instrText xml:space="preserve"> PAGEREF _Toc17279255 \h </w:instrText>
      </w:r>
      <w:r>
        <w:fldChar w:fldCharType="separate"/>
      </w:r>
      <w:r>
        <w:t>2</w:t>
      </w:r>
      <w:r>
        <w:fldChar w:fldCharType="end"/>
      </w:r>
    </w:p>
    <w:p>
      <w:pPr>
        <w:pStyle w:val="TOC8"/>
        <w:rPr>
          <w:rFonts w:asciiTheme="minorHAnsi" w:eastAsiaTheme="minorEastAsia" w:hAnsiTheme="minorHAnsi" w:cstheme="minorBidi"/>
          <w:szCs w:val="22"/>
        </w:rPr>
      </w:pPr>
      <w:r>
        <w:t>6.</w:t>
      </w:r>
      <w:r>
        <w:tab/>
        <w:t>Periodic site</w:t>
      </w:r>
      <w:r>
        <w:noBreakHyphen/>
        <w:t>only agreement (s. 10(b) and (c) of the Act)</w:t>
      </w:r>
      <w:r>
        <w:tab/>
      </w:r>
      <w:r>
        <w:fldChar w:fldCharType="begin"/>
      </w:r>
      <w:r>
        <w:instrText xml:space="preserve"> PAGEREF _Toc17279256 \h </w:instrText>
      </w:r>
      <w:r>
        <w:fldChar w:fldCharType="separate"/>
      </w:r>
      <w:r>
        <w:t>2</w:t>
      </w:r>
      <w:r>
        <w:fldChar w:fldCharType="end"/>
      </w:r>
    </w:p>
    <w:p>
      <w:pPr>
        <w:pStyle w:val="TOC8"/>
        <w:rPr>
          <w:rFonts w:asciiTheme="minorHAnsi" w:eastAsiaTheme="minorEastAsia" w:hAnsiTheme="minorHAnsi" w:cstheme="minorBidi"/>
          <w:szCs w:val="22"/>
        </w:rPr>
      </w:pPr>
      <w:r>
        <w:t>7.</w:t>
      </w:r>
      <w:r>
        <w:tab/>
        <w:t>Fixed term site</w:t>
      </w:r>
      <w:r>
        <w:noBreakHyphen/>
        <w:t>only agreement (s. 10(b) and (c) of the Act)</w:t>
      </w:r>
      <w:r>
        <w:tab/>
      </w:r>
      <w:r>
        <w:fldChar w:fldCharType="begin"/>
      </w:r>
      <w:r>
        <w:instrText xml:space="preserve"> PAGEREF _Toc17279257 \h </w:instrText>
      </w:r>
      <w:r>
        <w:fldChar w:fldCharType="separate"/>
      </w:r>
      <w:r>
        <w:t>3</w:t>
      </w:r>
      <w:r>
        <w:fldChar w:fldCharType="end"/>
      </w:r>
    </w:p>
    <w:p>
      <w:pPr>
        <w:pStyle w:val="TOC8"/>
        <w:rPr>
          <w:rFonts w:asciiTheme="minorHAnsi" w:eastAsiaTheme="minorEastAsia" w:hAnsiTheme="minorHAnsi" w:cstheme="minorBidi"/>
          <w:szCs w:val="22"/>
        </w:rPr>
      </w:pPr>
      <w:r>
        <w:t>8.</w:t>
      </w:r>
      <w:r>
        <w:tab/>
        <w:t>Condition report (s. 11(1)(d) and 95(2)(a) of the Act)</w:t>
      </w:r>
      <w:r>
        <w:tab/>
      </w:r>
      <w:r>
        <w:fldChar w:fldCharType="begin"/>
      </w:r>
      <w:r>
        <w:instrText xml:space="preserve"> PAGEREF _Toc17279258 \h </w:instrText>
      </w:r>
      <w:r>
        <w:fldChar w:fldCharType="separate"/>
      </w:r>
      <w:r>
        <w:t>3</w:t>
      </w:r>
      <w:r>
        <w:fldChar w:fldCharType="end"/>
      </w:r>
    </w:p>
    <w:p>
      <w:pPr>
        <w:pStyle w:val="TOC8"/>
        <w:rPr>
          <w:rFonts w:asciiTheme="minorHAnsi" w:eastAsiaTheme="minorEastAsia" w:hAnsiTheme="minorHAnsi" w:cstheme="minorBidi"/>
          <w:szCs w:val="22"/>
        </w:rPr>
      </w:pPr>
      <w:r>
        <w:t>9.</w:t>
      </w:r>
      <w:r>
        <w:tab/>
        <w:t>Information sheet (s. 11(1)(g) of the Act)</w:t>
      </w:r>
      <w:r>
        <w:tab/>
      </w:r>
      <w:r>
        <w:fldChar w:fldCharType="begin"/>
      </w:r>
      <w:r>
        <w:instrText xml:space="preserve"> PAGEREF _Toc17279259 \h </w:instrText>
      </w:r>
      <w:r>
        <w:fldChar w:fldCharType="separate"/>
      </w:r>
      <w:r>
        <w:t>4</w:t>
      </w:r>
      <w:r>
        <w:fldChar w:fldCharType="end"/>
      </w:r>
    </w:p>
    <w:p>
      <w:pPr>
        <w:pStyle w:val="TOC8"/>
        <w:rPr>
          <w:rFonts w:asciiTheme="minorHAnsi" w:eastAsiaTheme="minorEastAsia" w:hAnsiTheme="minorHAnsi" w:cstheme="minorBidi"/>
          <w:szCs w:val="22"/>
        </w:rPr>
      </w:pPr>
      <w:r>
        <w:t>10.</w:t>
      </w:r>
      <w:r>
        <w:tab/>
        <w:t>Prescribed payments (s. 12(2)(c) of the Act)</w:t>
      </w:r>
      <w:r>
        <w:tab/>
      </w:r>
      <w:r>
        <w:fldChar w:fldCharType="begin"/>
      </w:r>
      <w:r>
        <w:instrText xml:space="preserve"> PAGEREF _Toc17279260 \h </w:instrText>
      </w:r>
      <w:r>
        <w:fldChar w:fldCharType="separate"/>
      </w:r>
      <w:r>
        <w:t>4</w:t>
      </w:r>
      <w:r>
        <w:fldChar w:fldCharType="end"/>
      </w:r>
    </w:p>
    <w:p>
      <w:pPr>
        <w:pStyle w:val="TOC8"/>
        <w:rPr>
          <w:rFonts w:asciiTheme="minorHAnsi" w:eastAsiaTheme="minorEastAsia" w:hAnsiTheme="minorHAnsi" w:cstheme="minorBidi"/>
          <w:szCs w:val="22"/>
        </w:rPr>
      </w:pPr>
      <w:r>
        <w:t>11.</w:t>
      </w:r>
      <w:r>
        <w:tab/>
        <w:t>Maximum amount payable for screening suitability of prospective purchasers of relocatable homes</w:t>
      </w:r>
      <w:r>
        <w:tab/>
      </w:r>
      <w:r>
        <w:fldChar w:fldCharType="begin"/>
      </w:r>
      <w:r>
        <w:instrText xml:space="preserve"> PAGEREF _Toc17279261 \h </w:instrText>
      </w:r>
      <w:r>
        <w:fldChar w:fldCharType="separate"/>
      </w:r>
      <w:r>
        <w:t>5</w:t>
      </w:r>
      <w:r>
        <w:fldChar w:fldCharType="end"/>
      </w:r>
    </w:p>
    <w:p>
      <w:pPr>
        <w:pStyle w:val="TOC8"/>
        <w:rPr>
          <w:rFonts w:asciiTheme="minorHAnsi" w:eastAsiaTheme="minorEastAsia" w:hAnsiTheme="minorHAnsi" w:cstheme="minorBidi"/>
          <w:szCs w:val="22"/>
        </w:rPr>
      </w:pPr>
      <w:r>
        <w:t>12.</w:t>
      </w:r>
      <w:r>
        <w:tab/>
        <w:t>Default notice (s. 37(c) of the Act)</w:t>
      </w:r>
      <w:r>
        <w:tab/>
      </w:r>
      <w:r>
        <w:fldChar w:fldCharType="begin"/>
      </w:r>
      <w:r>
        <w:instrText xml:space="preserve"> PAGEREF _Toc17279262 \h </w:instrText>
      </w:r>
      <w:r>
        <w:fldChar w:fldCharType="separate"/>
      </w:r>
      <w:r>
        <w:t>5</w:t>
      </w:r>
      <w:r>
        <w:fldChar w:fldCharType="end"/>
      </w:r>
    </w:p>
    <w:p>
      <w:pPr>
        <w:pStyle w:val="TOC8"/>
        <w:rPr>
          <w:rFonts w:asciiTheme="minorHAnsi" w:eastAsiaTheme="minorEastAsia" w:hAnsiTheme="minorHAnsi" w:cstheme="minorBidi"/>
          <w:szCs w:val="22"/>
        </w:rPr>
      </w:pPr>
      <w:r>
        <w:t>13.</w:t>
      </w:r>
      <w:r>
        <w:tab/>
        <w:t>Notice of termination (s. 38(1)(d) and (2) of Act)</w:t>
      </w:r>
      <w:r>
        <w:tab/>
      </w:r>
      <w:r>
        <w:fldChar w:fldCharType="begin"/>
      </w:r>
      <w:r>
        <w:instrText xml:space="preserve"> PAGEREF _Toc17279263 \h </w:instrText>
      </w:r>
      <w:r>
        <w:fldChar w:fldCharType="separate"/>
      </w:r>
      <w:r>
        <w:t>5</w:t>
      </w:r>
      <w:r>
        <w:fldChar w:fldCharType="end"/>
      </w:r>
    </w:p>
    <w:p>
      <w:pPr>
        <w:pStyle w:val="TOC8"/>
        <w:rPr>
          <w:rFonts w:asciiTheme="minorHAnsi" w:eastAsiaTheme="minorEastAsia" w:hAnsiTheme="minorHAnsi" w:cstheme="minorBidi"/>
          <w:szCs w:val="22"/>
        </w:rPr>
      </w:pPr>
      <w:r>
        <w:t>13A.</w:t>
      </w:r>
      <w:r>
        <w:tab/>
        <w:t>Prescribed person for s. 45A(2)(d)(vi) of Act</w:t>
      </w:r>
      <w:r>
        <w:tab/>
      </w:r>
      <w:r>
        <w:fldChar w:fldCharType="begin"/>
      </w:r>
      <w:r>
        <w:instrText xml:space="preserve"> PAGEREF _Toc17279264 \h </w:instrText>
      </w:r>
      <w:r>
        <w:fldChar w:fldCharType="separate"/>
      </w:r>
      <w:r>
        <w:t>6</w:t>
      </w:r>
      <w:r>
        <w:fldChar w:fldCharType="end"/>
      </w:r>
    </w:p>
    <w:p>
      <w:pPr>
        <w:pStyle w:val="TOC8"/>
        <w:rPr>
          <w:rFonts w:asciiTheme="minorHAnsi" w:eastAsiaTheme="minorEastAsia" w:hAnsiTheme="minorHAnsi" w:cstheme="minorBidi"/>
          <w:szCs w:val="22"/>
        </w:rPr>
      </w:pPr>
      <w:r>
        <w:t>14.</w:t>
      </w:r>
      <w:r>
        <w:tab/>
        <w:t>Notice to former tenant about abandoned goods (s. 48(4)(a) of the Act)</w:t>
      </w:r>
      <w:r>
        <w:tab/>
      </w:r>
      <w:r>
        <w:fldChar w:fldCharType="begin"/>
      </w:r>
      <w:r>
        <w:instrText xml:space="preserve"> PAGEREF _Toc17279265 \h </w:instrText>
      </w:r>
      <w:r>
        <w:fldChar w:fldCharType="separate"/>
      </w:r>
      <w:r>
        <w:t>7</w:t>
      </w:r>
      <w:r>
        <w:fldChar w:fldCharType="end"/>
      </w:r>
    </w:p>
    <w:p>
      <w:pPr>
        <w:pStyle w:val="TOC8"/>
        <w:rPr>
          <w:rFonts w:asciiTheme="minorHAnsi" w:eastAsiaTheme="minorEastAsia" w:hAnsiTheme="minorHAnsi" w:cstheme="minorBidi"/>
          <w:szCs w:val="22"/>
        </w:rPr>
      </w:pPr>
      <w:r>
        <w:t>15.</w:t>
      </w:r>
      <w:r>
        <w:tab/>
        <w:t>Park liaison committee’s prescribed functions (s. 61(2)(a)(iv) of the Act)</w:t>
      </w:r>
      <w:r>
        <w:tab/>
      </w:r>
      <w:r>
        <w:fldChar w:fldCharType="begin"/>
      </w:r>
      <w:r>
        <w:instrText xml:space="preserve"> PAGEREF _Toc17279266 \h </w:instrText>
      </w:r>
      <w:r>
        <w:fldChar w:fldCharType="separate"/>
      </w:r>
      <w:r>
        <w:t>7</w:t>
      </w:r>
      <w:r>
        <w:fldChar w:fldCharType="end"/>
      </w:r>
    </w:p>
    <w:p>
      <w:pPr>
        <w:pStyle w:val="TOC8"/>
        <w:rPr>
          <w:rFonts w:asciiTheme="minorHAnsi" w:eastAsiaTheme="minorEastAsia" w:hAnsiTheme="minorHAnsi" w:cstheme="minorBidi"/>
          <w:szCs w:val="22"/>
        </w:rPr>
      </w:pPr>
      <w:r>
        <w:t>16.</w:t>
      </w:r>
      <w:r>
        <w:tab/>
        <w:t>Prescribed matters relating to compensation determination (s. 65(2)(e) of the Act)</w:t>
      </w:r>
      <w:r>
        <w:tab/>
      </w:r>
      <w:r>
        <w:fldChar w:fldCharType="begin"/>
      </w:r>
      <w:r>
        <w:instrText xml:space="preserve"> PAGEREF _Toc17279267 \h </w:instrText>
      </w:r>
      <w:r>
        <w:fldChar w:fldCharType="separate"/>
      </w:r>
      <w:r>
        <w:t>7</w:t>
      </w:r>
      <w:r>
        <w:fldChar w:fldCharType="end"/>
      </w:r>
    </w:p>
    <w:p>
      <w:pPr>
        <w:pStyle w:val="TOC8"/>
        <w:rPr>
          <w:rFonts w:asciiTheme="minorHAnsi" w:eastAsiaTheme="minorEastAsia" w:hAnsiTheme="minorHAnsi" w:cstheme="minorBidi"/>
          <w:szCs w:val="22"/>
        </w:rPr>
      </w:pPr>
      <w:r>
        <w:t>17.</w:t>
      </w:r>
      <w:r>
        <w:tab/>
        <w:t>Interest on security bond amount paid into ADI account (s. 92 of the Act)</w:t>
      </w:r>
      <w:r>
        <w:tab/>
      </w:r>
      <w:r>
        <w:fldChar w:fldCharType="begin"/>
      </w:r>
      <w:r>
        <w:instrText xml:space="preserve"> PAGEREF _Toc17279268 \h </w:instrText>
      </w:r>
      <w:r>
        <w:fldChar w:fldCharType="separate"/>
      </w:r>
      <w:r>
        <w:t>8</w:t>
      </w:r>
      <w:r>
        <w:fldChar w:fldCharType="end"/>
      </w:r>
    </w:p>
    <w:p>
      <w:pPr>
        <w:pStyle w:val="TOC8"/>
        <w:rPr>
          <w:rFonts w:asciiTheme="minorHAnsi" w:eastAsiaTheme="minorEastAsia" w:hAnsiTheme="minorHAnsi" w:cstheme="minorBidi"/>
          <w:szCs w:val="22"/>
        </w:rPr>
      </w:pPr>
      <w:r>
        <w:t>18.</w:t>
      </w:r>
      <w:r>
        <w:tab/>
        <w:t>Disposal of security bond amounts — general (s. 92(e) and 94(c) of the Act)</w:t>
      </w:r>
      <w:r>
        <w:tab/>
      </w:r>
      <w:r>
        <w:fldChar w:fldCharType="begin"/>
      </w:r>
      <w:r>
        <w:instrText xml:space="preserve"> PAGEREF _Toc17279269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Disposal of unclaimed security bond amounts </w:t>
      </w:r>
      <w:r>
        <w:t>(s. 92(e) and 94(c) of the Act)</w:t>
      </w:r>
      <w:r>
        <w:tab/>
      </w:r>
      <w:r>
        <w:fldChar w:fldCharType="begin"/>
      </w:r>
      <w:r>
        <w:instrText xml:space="preserve"> PAGEREF _Toc17279270 \h </w:instrText>
      </w:r>
      <w:r>
        <w:fldChar w:fldCharType="separate"/>
      </w:r>
      <w:r>
        <w:t>9</w:t>
      </w:r>
      <w:r>
        <w:fldChar w:fldCharType="end"/>
      </w:r>
    </w:p>
    <w:p>
      <w:pPr>
        <w:pStyle w:val="TOC8"/>
        <w:rPr>
          <w:rFonts w:asciiTheme="minorHAnsi" w:eastAsiaTheme="minorEastAsia" w:hAnsiTheme="minorHAnsi" w:cstheme="minorBidi"/>
          <w:szCs w:val="22"/>
        </w:rPr>
      </w:pPr>
      <w:r>
        <w:t>20.</w:t>
      </w:r>
      <w:r>
        <w:tab/>
        <w:t>Park rules (s. 95(2)(f) of the Act)</w:t>
      </w:r>
      <w:r>
        <w:tab/>
      </w:r>
      <w:r>
        <w:fldChar w:fldCharType="begin"/>
      </w:r>
      <w:r>
        <w:instrText xml:space="preserve"> PAGEREF _Toc17279271 \h </w:instrText>
      </w:r>
      <w:r>
        <w:fldChar w:fldCharType="separate"/>
      </w:r>
      <w:r>
        <w:t>10</w:t>
      </w:r>
      <w:r>
        <w:fldChar w:fldCharType="end"/>
      </w:r>
    </w:p>
    <w:p>
      <w:pPr>
        <w:pStyle w:val="TOC8"/>
        <w:rPr>
          <w:rFonts w:asciiTheme="minorHAnsi" w:eastAsiaTheme="minorEastAsia" w:hAnsiTheme="minorHAnsi" w:cstheme="minorBidi"/>
          <w:szCs w:val="22"/>
        </w:rPr>
      </w:pPr>
      <w:r>
        <w:t>21.</w:t>
      </w:r>
      <w:r>
        <w:tab/>
        <w:t>Amendments to park rules (s. 95(2)(f) of the Act)</w:t>
      </w:r>
      <w:r>
        <w:tab/>
      </w:r>
      <w:r>
        <w:fldChar w:fldCharType="begin"/>
      </w:r>
      <w:r>
        <w:instrText xml:space="preserve"> PAGEREF _Toc17279272 \h </w:instrText>
      </w:r>
      <w:r>
        <w:fldChar w:fldCharType="separate"/>
      </w:r>
      <w:r>
        <w:t>11</w:t>
      </w:r>
      <w:r>
        <w:fldChar w:fldCharType="end"/>
      </w:r>
    </w:p>
    <w:p>
      <w:pPr>
        <w:pStyle w:val="TOC8"/>
        <w:rPr>
          <w:rFonts w:asciiTheme="minorHAnsi" w:eastAsiaTheme="minorEastAsia" w:hAnsiTheme="minorHAnsi" w:cstheme="minorBidi"/>
          <w:szCs w:val="22"/>
        </w:rPr>
      </w:pPr>
      <w:r>
        <w:t>22.</w:t>
      </w:r>
      <w:r>
        <w:tab/>
        <w:t>Prescribed alterations for Sch. 1 cl. 14(4) of Act</w:t>
      </w:r>
      <w:r>
        <w:tab/>
      </w:r>
      <w:r>
        <w:fldChar w:fldCharType="begin"/>
      </w:r>
      <w:r>
        <w:instrText xml:space="preserve"> PAGEREF _Toc17279273 \h </w:instrText>
      </w:r>
      <w:r>
        <w:fldChar w:fldCharType="separate"/>
      </w:r>
      <w:r>
        <w:t>11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Periodic on</w:t>
      </w:r>
      <w:r>
        <w:noBreakHyphen/>
        <w:t>site home agreement</w:t>
      </w:r>
    </w:p>
    <w:p>
      <w:pPr>
        <w:pStyle w:val="TOC4"/>
        <w:keepNext w:val="0"/>
        <w:tabs>
          <w:tab w:val="right" w:leader="dot" w:pos="7077"/>
        </w:tabs>
        <w:rPr>
          <w:rFonts w:asciiTheme="minorHAnsi" w:eastAsiaTheme="minorEastAsia" w:hAnsiTheme="minorHAnsi" w:cstheme="minorBidi"/>
          <w:b w:val="0"/>
          <w:szCs w:val="22"/>
        </w:rPr>
      </w:pPr>
      <w:r>
        <w:t>Division 1 — Preliminary</w:t>
      </w:r>
    </w:p>
    <w:p>
      <w:pPr>
        <w:pStyle w:val="TOC4"/>
        <w:keepNext w:val="0"/>
        <w:tabs>
          <w:tab w:val="right" w:leader="dot" w:pos="7077"/>
        </w:tabs>
        <w:rPr>
          <w:rFonts w:asciiTheme="minorHAnsi" w:eastAsiaTheme="minorEastAsia" w:hAnsiTheme="minorHAnsi" w:cstheme="minorBidi"/>
          <w:b w:val="0"/>
          <w:szCs w:val="22"/>
        </w:rPr>
      </w:pPr>
      <w:r>
        <w:t>Division 2 — Rent, fees and charges</w:t>
      </w:r>
    </w:p>
    <w:p>
      <w:pPr>
        <w:pStyle w:val="TOC4"/>
        <w:keepNext w:val="0"/>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keepNext w:val="0"/>
        <w:tabs>
          <w:tab w:val="right" w:leader="dot" w:pos="7077"/>
        </w:tabs>
        <w:rPr>
          <w:rFonts w:asciiTheme="minorHAnsi" w:eastAsiaTheme="minorEastAsia" w:hAnsiTheme="minorHAnsi" w:cstheme="minorBidi"/>
          <w:b w:val="0"/>
          <w:szCs w:val="22"/>
        </w:rPr>
      </w:pPr>
      <w:r>
        <w:t>Division 4 — General terms</w:t>
      </w:r>
    </w:p>
    <w:p>
      <w:pPr>
        <w:pStyle w:val="TOC4"/>
        <w:keepNext w:val="0"/>
        <w:tabs>
          <w:tab w:val="right" w:leader="dot" w:pos="7077"/>
        </w:tabs>
        <w:rPr>
          <w:rFonts w:asciiTheme="minorHAnsi" w:eastAsiaTheme="minorEastAsia" w:hAnsiTheme="minorHAnsi" w:cstheme="minorBidi"/>
          <w:b w:val="0"/>
          <w:szCs w:val="22"/>
        </w:rPr>
      </w:pPr>
      <w:r>
        <w:t>Division 5 — Special terms</w:t>
      </w:r>
    </w:p>
    <w:p>
      <w:pPr>
        <w:pStyle w:val="TOC4"/>
        <w:keepNext w:val="0"/>
        <w:tabs>
          <w:tab w:val="right" w:leader="dot" w:pos="7077"/>
        </w:tabs>
        <w:rPr>
          <w:rFonts w:asciiTheme="minorHAnsi" w:eastAsiaTheme="minorEastAsia" w:hAnsiTheme="minorHAnsi" w:cstheme="minorBidi"/>
          <w:b w:val="0"/>
          <w:szCs w:val="22"/>
        </w:rPr>
      </w:pPr>
      <w:r>
        <w:t>Division 6 — Condition report</w:t>
      </w:r>
    </w:p>
    <w:p>
      <w:pPr>
        <w:pStyle w:val="TOC4"/>
        <w:keepNext w:val="0"/>
        <w:tabs>
          <w:tab w:val="right" w:leader="dot" w:pos="7077"/>
        </w:tabs>
        <w:rPr>
          <w:rFonts w:asciiTheme="minorHAnsi" w:eastAsiaTheme="minorEastAsia" w:hAnsiTheme="minorHAnsi" w:cstheme="minorBidi"/>
          <w:b w:val="0"/>
          <w:szCs w:val="22"/>
        </w:rPr>
      </w:pPr>
      <w:r>
        <w:t>Division 7 — Park rules</w:t>
      </w:r>
    </w:p>
    <w:p>
      <w:pPr>
        <w:pStyle w:val="TOC4"/>
        <w:keepNext w:val="0"/>
        <w:tabs>
          <w:tab w:val="right" w:leader="dot" w:pos="7077"/>
        </w:tabs>
        <w:rPr>
          <w:rFonts w:asciiTheme="minorHAnsi" w:eastAsiaTheme="minorEastAsia" w:hAnsiTheme="minorHAnsi" w:cstheme="minorBidi"/>
          <w:b w:val="0"/>
          <w:szCs w:val="22"/>
        </w:rPr>
      </w:pPr>
      <w:r>
        <w:t>Division 8 — Information sheet</w:t>
      </w:r>
    </w:p>
    <w:p>
      <w:pPr>
        <w:pStyle w:val="TOC4"/>
        <w:keepNext w:val="0"/>
        <w:tabs>
          <w:tab w:val="right" w:leader="dot" w:pos="7077"/>
        </w:tabs>
        <w:rPr>
          <w:rFonts w:asciiTheme="minorHAnsi" w:eastAsiaTheme="minorEastAsia" w:hAnsiTheme="minorHAnsi" w:cstheme="minorBidi"/>
          <w:b w:val="0"/>
          <w:szCs w:val="22"/>
        </w:rPr>
      </w:pPr>
      <w:r>
        <w:t>Division 9 — Acceptance</w:t>
      </w:r>
    </w:p>
    <w:p>
      <w:pPr>
        <w:pStyle w:val="TOC4"/>
        <w:keepNext w:val="0"/>
        <w:tabs>
          <w:tab w:val="right" w:leader="dot" w:pos="7077"/>
        </w:tabs>
        <w:rPr>
          <w:rFonts w:asciiTheme="minorHAnsi" w:eastAsiaTheme="minorEastAsia" w:hAnsiTheme="minorHAnsi" w:cstheme="minorBidi"/>
          <w:b w:val="0"/>
          <w:szCs w:val="22"/>
        </w:rPr>
      </w:pPr>
      <w:r>
        <w:t>Division 10 — Tenant’s checklist</w:t>
      </w:r>
    </w:p>
    <w:p>
      <w:pPr>
        <w:pStyle w:val="TOC2"/>
        <w:keepNext w:val="0"/>
        <w:tabs>
          <w:tab w:val="right" w:leader="dot" w:pos="7077"/>
        </w:tabs>
        <w:rPr>
          <w:rFonts w:asciiTheme="minorHAnsi" w:eastAsiaTheme="minorEastAsia" w:hAnsiTheme="minorHAnsi" w:cstheme="minorBidi"/>
          <w:b w:val="0"/>
          <w:sz w:val="22"/>
          <w:szCs w:val="22"/>
        </w:rPr>
      </w:pPr>
      <w:r>
        <w:t>Schedule 2 — Fixed term on</w:t>
      </w:r>
      <w:r>
        <w:noBreakHyphen/>
        <w:t>site home agreement</w:t>
      </w:r>
    </w:p>
    <w:p>
      <w:pPr>
        <w:pStyle w:val="TOC4"/>
        <w:keepNext w:val="0"/>
        <w:tabs>
          <w:tab w:val="right" w:leader="dot" w:pos="7077"/>
        </w:tabs>
        <w:rPr>
          <w:rFonts w:asciiTheme="minorHAnsi" w:eastAsiaTheme="minorEastAsia" w:hAnsiTheme="minorHAnsi" w:cstheme="minorBidi"/>
          <w:b w:val="0"/>
          <w:szCs w:val="22"/>
        </w:rPr>
      </w:pPr>
      <w:r>
        <w:t>Division 1 — Preliminary</w:t>
      </w:r>
    </w:p>
    <w:p>
      <w:pPr>
        <w:pStyle w:val="TOC4"/>
        <w:keepNext w:val="0"/>
        <w:tabs>
          <w:tab w:val="right" w:leader="dot" w:pos="7077"/>
        </w:tabs>
        <w:rPr>
          <w:rFonts w:asciiTheme="minorHAnsi" w:eastAsiaTheme="minorEastAsia" w:hAnsiTheme="minorHAnsi" w:cstheme="minorBidi"/>
          <w:b w:val="0"/>
          <w:szCs w:val="22"/>
        </w:rPr>
      </w:pPr>
      <w:r>
        <w:t>Division 2 — Rent, fees and charges</w:t>
      </w:r>
    </w:p>
    <w:p>
      <w:pPr>
        <w:pStyle w:val="TOC4"/>
        <w:keepNext w:val="0"/>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keepNext w:val="0"/>
        <w:tabs>
          <w:tab w:val="right" w:leader="dot" w:pos="7077"/>
        </w:tabs>
        <w:rPr>
          <w:rFonts w:asciiTheme="minorHAnsi" w:eastAsiaTheme="minorEastAsia" w:hAnsiTheme="minorHAnsi" w:cstheme="minorBidi"/>
          <w:b w:val="0"/>
          <w:szCs w:val="22"/>
        </w:rPr>
      </w:pPr>
      <w:r>
        <w:t>Division 4 — General terms</w:t>
      </w:r>
    </w:p>
    <w:p>
      <w:pPr>
        <w:pStyle w:val="TOC4"/>
        <w:keepNext w:val="0"/>
        <w:tabs>
          <w:tab w:val="right" w:leader="dot" w:pos="7077"/>
        </w:tabs>
        <w:rPr>
          <w:rFonts w:asciiTheme="minorHAnsi" w:eastAsiaTheme="minorEastAsia" w:hAnsiTheme="minorHAnsi" w:cstheme="minorBidi"/>
          <w:b w:val="0"/>
          <w:szCs w:val="22"/>
        </w:rPr>
      </w:pPr>
      <w:r>
        <w:t>Division 5 — Special terms</w:t>
      </w:r>
    </w:p>
    <w:p>
      <w:pPr>
        <w:pStyle w:val="TOC4"/>
        <w:keepNext w:val="0"/>
        <w:tabs>
          <w:tab w:val="right" w:leader="dot" w:pos="7077"/>
        </w:tabs>
        <w:rPr>
          <w:rFonts w:asciiTheme="minorHAnsi" w:eastAsiaTheme="minorEastAsia" w:hAnsiTheme="minorHAnsi" w:cstheme="minorBidi"/>
          <w:b w:val="0"/>
          <w:szCs w:val="22"/>
        </w:rPr>
      </w:pPr>
      <w:r>
        <w:t>Division 6 — Condition report</w:t>
      </w:r>
    </w:p>
    <w:p>
      <w:pPr>
        <w:pStyle w:val="TOC4"/>
        <w:keepNext w:val="0"/>
        <w:tabs>
          <w:tab w:val="right" w:leader="dot" w:pos="7077"/>
        </w:tabs>
        <w:rPr>
          <w:rFonts w:asciiTheme="minorHAnsi" w:eastAsiaTheme="minorEastAsia" w:hAnsiTheme="minorHAnsi" w:cstheme="minorBidi"/>
          <w:b w:val="0"/>
          <w:szCs w:val="22"/>
        </w:rPr>
      </w:pPr>
      <w:r>
        <w:t>Division 7 — Park rules</w:t>
      </w:r>
    </w:p>
    <w:p>
      <w:pPr>
        <w:pStyle w:val="TOC4"/>
        <w:keepNext w:val="0"/>
        <w:tabs>
          <w:tab w:val="right" w:leader="dot" w:pos="7077"/>
        </w:tabs>
        <w:rPr>
          <w:rFonts w:asciiTheme="minorHAnsi" w:eastAsiaTheme="minorEastAsia" w:hAnsiTheme="minorHAnsi" w:cstheme="minorBidi"/>
          <w:b w:val="0"/>
          <w:szCs w:val="22"/>
        </w:rPr>
      </w:pPr>
      <w:r>
        <w:t>Division 8 — Information sheet</w:t>
      </w:r>
    </w:p>
    <w:p>
      <w:pPr>
        <w:pStyle w:val="TOC4"/>
        <w:keepNext w:val="0"/>
        <w:tabs>
          <w:tab w:val="right" w:leader="dot" w:pos="7077"/>
        </w:tabs>
        <w:rPr>
          <w:rFonts w:asciiTheme="minorHAnsi" w:eastAsiaTheme="minorEastAsia" w:hAnsiTheme="minorHAnsi" w:cstheme="minorBidi"/>
          <w:b w:val="0"/>
          <w:szCs w:val="22"/>
        </w:rPr>
      </w:pPr>
      <w:r>
        <w:t>Division 9 — Acceptance</w:t>
      </w:r>
    </w:p>
    <w:p>
      <w:pPr>
        <w:pStyle w:val="TOC4"/>
        <w:keepNext w:val="0"/>
        <w:tabs>
          <w:tab w:val="right" w:leader="dot" w:pos="7077"/>
        </w:tabs>
        <w:rPr>
          <w:rFonts w:asciiTheme="minorHAnsi" w:eastAsiaTheme="minorEastAsia" w:hAnsiTheme="minorHAnsi" w:cstheme="minorBidi"/>
          <w:b w:val="0"/>
          <w:szCs w:val="22"/>
        </w:rPr>
      </w:pPr>
      <w:r>
        <w:t>Division 10 — Tenant’s checklist</w:t>
      </w:r>
    </w:p>
    <w:p>
      <w:pPr>
        <w:pStyle w:val="TOC2"/>
        <w:keepNext w:val="0"/>
        <w:tabs>
          <w:tab w:val="right" w:leader="dot" w:pos="7077"/>
        </w:tabs>
        <w:rPr>
          <w:rFonts w:asciiTheme="minorHAnsi" w:eastAsiaTheme="minorEastAsia" w:hAnsiTheme="minorHAnsi" w:cstheme="minorBidi"/>
          <w:b w:val="0"/>
          <w:sz w:val="22"/>
          <w:szCs w:val="22"/>
        </w:rPr>
      </w:pPr>
      <w:r>
        <w:t>Schedule 3 — Periodic site</w:t>
      </w:r>
      <w:r>
        <w:noBreakHyphen/>
        <w:t>only agreement</w:t>
      </w:r>
    </w:p>
    <w:p>
      <w:pPr>
        <w:pStyle w:val="TOC4"/>
        <w:keepNext w:val="0"/>
        <w:tabs>
          <w:tab w:val="right" w:leader="dot" w:pos="7077"/>
        </w:tabs>
        <w:rPr>
          <w:rFonts w:asciiTheme="minorHAnsi" w:eastAsiaTheme="minorEastAsia" w:hAnsiTheme="minorHAnsi" w:cstheme="minorBidi"/>
          <w:b w:val="0"/>
          <w:szCs w:val="22"/>
        </w:rPr>
      </w:pPr>
      <w:r>
        <w:t>Division 1 — Preliminary</w:t>
      </w:r>
    </w:p>
    <w:p>
      <w:pPr>
        <w:pStyle w:val="TOC4"/>
        <w:keepNext w:val="0"/>
        <w:tabs>
          <w:tab w:val="right" w:leader="dot" w:pos="7077"/>
        </w:tabs>
        <w:rPr>
          <w:rFonts w:asciiTheme="minorHAnsi" w:eastAsiaTheme="minorEastAsia" w:hAnsiTheme="minorHAnsi" w:cstheme="minorBidi"/>
          <w:b w:val="0"/>
          <w:szCs w:val="22"/>
        </w:rPr>
      </w:pPr>
      <w:r>
        <w:t>Division 2 — Rent, fees and charges</w:t>
      </w:r>
    </w:p>
    <w:p>
      <w:pPr>
        <w:pStyle w:val="TOC4"/>
        <w:keepNext w:val="0"/>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keepNext w:val="0"/>
        <w:tabs>
          <w:tab w:val="right" w:leader="dot" w:pos="7077"/>
        </w:tabs>
        <w:rPr>
          <w:rFonts w:asciiTheme="minorHAnsi" w:eastAsiaTheme="minorEastAsia" w:hAnsiTheme="minorHAnsi" w:cstheme="minorBidi"/>
          <w:b w:val="0"/>
          <w:szCs w:val="22"/>
        </w:rPr>
      </w:pPr>
      <w:r>
        <w:t>Division 4 — General terms</w:t>
      </w:r>
    </w:p>
    <w:p>
      <w:pPr>
        <w:pStyle w:val="TOC4"/>
        <w:keepNext w:val="0"/>
        <w:tabs>
          <w:tab w:val="right" w:leader="dot" w:pos="7077"/>
        </w:tabs>
        <w:rPr>
          <w:rFonts w:asciiTheme="minorHAnsi" w:eastAsiaTheme="minorEastAsia" w:hAnsiTheme="minorHAnsi" w:cstheme="minorBidi"/>
          <w:b w:val="0"/>
          <w:szCs w:val="22"/>
        </w:rPr>
      </w:pPr>
      <w:r>
        <w:t>Division 5 — Special terms</w:t>
      </w:r>
    </w:p>
    <w:p>
      <w:pPr>
        <w:pStyle w:val="TOC4"/>
        <w:keepNext w:val="0"/>
        <w:tabs>
          <w:tab w:val="right" w:leader="dot" w:pos="7077"/>
        </w:tabs>
        <w:rPr>
          <w:rFonts w:asciiTheme="minorHAnsi" w:eastAsiaTheme="minorEastAsia" w:hAnsiTheme="minorHAnsi" w:cstheme="minorBidi"/>
          <w:b w:val="0"/>
          <w:szCs w:val="22"/>
        </w:rPr>
      </w:pPr>
      <w:r>
        <w:t>Division 6 — Condition report</w:t>
      </w:r>
    </w:p>
    <w:p>
      <w:pPr>
        <w:pStyle w:val="TOC4"/>
        <w:keepNext w:val="0"/>
        <w:tabs>
          <w:tab w:val="right" w:leader="dot" w:pos="7077"/>
        </w:tabs>
        <w:rPr>
          <w:rFonts w:asciiTheme="minorHAnsi" w:eastAsiaTheme="minorEastAsia" w:hAnsiTheme="minorHAnsi" w:cstheme="minorBidi"/>
          <w:b w:val="0"/>
          <w:szCs w:val="22"/>
        </w:rPr>
      </w:pPr>
      <w:r>
        <w:t>Division 7 — Park rules</w:t>
      </w:r>
    </w:p>
    <w:p>
      <w:pPr>
        <w:pStyle w:val="TOC4"/>
        <w:keepNext w:val="0"/>
        <w:tabs>
          <w:tab w:val="right" w:leader="dot" w:pos="7077"/>
        </w:tabs>
        <w:rPr>
          <w:rFonts w:asciiTheme="minorHAnsi" w:eastAsiaTheme="minorEastAsia" w:hAnsiTheme="minorHAnsi" w:cstheme="minorBidi"/>
          <w:b w:val="0"/>
          <w:szCs w:val="22"/>
        </w:rPr>
      </w:pPr>
      <w:r>
        <w:t>Division 8 — Information sheet</w:t>
      </w:r>
    </w:p>
    <w:p>
      <w:pPr>
        <w:pStyle w:val="TOC4"/>
        <w:keepNext w:val="0"/>
        <w:tabs>
          <w:tab w:val="right" w:leader="dot" w:pos="7077"/>
        </w:tabs>
        <w:rPr>
          <w:rFonts w:asciiTheme="minorHAnsi" w:eastAsiaTheme="minorEastAsia" w:hAnsiTheme="minorHAnsi" w:cstheme="minorBidi"/>
          <w:b w:val="0"/>
          <w:szCs w:val="22"/>
        </w:rPr>
      </w:pPr>
      <w:r>
        <w:t>Division 9 — Acceptance</w:t>
      </w:r>
    </w:p>
    <w:p>
      <w:pPr>
        <w:pStyle w:val="TOC4"/>
        <w:keepNext w:val="0"/>
        <w:tabs>
          <w:tab w:val="right" w:leader="dot" w:pos="7077"/>
        </w:tabs>
        <w:rPr>
          <w:rFonts w:asciiTheme="minorHAnsi" w:eastAsiaTheme="minorEastAsia" w:hAnsiTheme="minorHAnsi" w:cstheme="minorBidi"/>
          <w:b w:val="0"/>
          <w:szCs w:val="22"/>
        </w:rPr>
      </w:pPr>
      <w:r>
        <w:t>Division 10 — Tenant’s checklist</w:t>
      </w:r>
    </w:p>
    <w:p>
      <w:pPr>
        <w:pStyle w:val="TOC2"/>
        <w:keepNext w:val="0"/>
        <w:tabs>
          <w:tab w:val="right" w:leader="dot" w:pos="7077"/>
        </w:tabs>
        <w:rPr>
          <w:rFonts w:asciiTheme="minorHAnsi" w:eastAsiaTheme="minorEastAsia" w:hAnsiTheme="minorHAnsi" w:cstheme="minorBidi"/>
          <w:b w:val="0"/>
          <w:sz w:val="22"/>
          <w:szCs w:val="22"/>
        </w:rPr>
      </w:pPr>
      <w:r>
        <w:t>Schedule 4 — Fixed term site</w:t>
      </w:r>
      <w:r>
        <w:noBreakHyphen/>
        <w:t>only agreement</w:t>
      </w:r>
    </w:p>
    <w:p>
      <w:pPr>
        <w:pStyle w:val="TOC4"/>
        <w:keepNext w:val="0"/>
        <w:tabs>
          <w:tab w:val="right" w:leader="dot" w:pos="7077"/>
        </w:tabs>
        <w:rPr>
          <w:rFonts w:asciiTheme="minorHAnsi" w:eastAsiaTheme="minorEastAsia" w:hAnsiTheme="minorHAnsi" w:cstheme="minorBidi"/>
          <w:b w:val="0"/>
          <w:szCs w:val="22"/>
        </w:rPr>
      </w:pPr>
      <w:r>
        <w:t>Division 1 — Preliminary</w:t>
      </w:r>
    </w:p>
    <w:p>
      <w:pPr>
        <w:pStyle w:val="TOC4"/>
        <w:keepNext w:val="0"/>
        <w:tabs>
          <w:tab w:val="right" w:leader="dot" w:pos="7077"/>
        </w:tabs>
        <w:rPr>
          <w:rFonts w:asciiTheme="minorHAnsi" w:eastAsiaTheme="minorEastAsia" w:hAnsiTheme="minorHAnsi" w:cstheme="minorBidi"/>
          <w:b w:val="0"/>
          <w:szCs w:val="22"/>
        </w:rPr>
      </w:pPr>
      <w:r>
        <w:t>Division 2 — Rent, fees and charges</w:t>
      </w:r>
    </w:p>
    <w:p>
      <w:pPr>
        <w:pStyle w:val="TOC4"/>
        <w:keepNext w:val="0"/>
        <w:tabs>
          <w:tab w:val="right" w:leader="dot" w:pos="7077"/>
        </w:tabs>
        <w:rPr>
          <w:rFonts w:asciiTheme="minorHAnsi" w:eastAsiaTheme="minorEastAsia" w:hAnsiTheme="minorHAnsi" w:cstheme="minorBidi"/>
          <w:b w:val="0"/>
          <w:szCs w:val="22"/>
        </w:rPr>
      </w:pPr>
      <w:r>
        <w:t>Division 3 — Table of fees and charges for services and utilities</w:t>
      </w:r>
    </w:p>
    <w:p>
      <w:pPr>
        <w:pStyle w:val="TOC4"/>
        <w:keepNext w:val="0"/>
        <w:tabs>
          <w:tab w:val="right" w:leader="dot" w:pos="7077"/>
        </w:tabs>
        <w:rPr>
          <w:rFonts w:asciiTheme="minorHAnsi" w:eastAsiaTheme="minorEastAsia" w:hAnsiTheme="minorHAnsi" w:cstheme="minorBidi"/>
          <w:b w:val="0"/>
          <w:szCs w:val="22"/>
        </w:rPr>
      </w:pPr>
      <w:r>
        <w:t>Division 4 — General terms</w:t>
      </w:r>
    </w:p>
    <w:p>
      <w:pPr>
        <w:pStyle w:val="TOC4"/>
        <w:keepNext w:val="0"/>
        <w:tabs>
          <w:tab w:val="right" w:leader="dot" w:pos="7077"/>
        </w:tabs>
        <w:rPr>
          <w:rFonts w:asciiTheme="minorHAnsi" w:eastAsiaTheme="minorEastAsia" w:hAnsiTheme="minorHAnsi" w:cstheme="minorBidi"/>
          <w:b w:val="0"/>
          <w:szCs w:val="22"/>
        </w:rPr>
      </w:pPr>
      <w:r>
        <w:t>Division 5 — Special terms</w:t>
      </w:r>
    </w:p>
    <w:p>
      <w:pPr>
        <w:pStyle w:val="TOC4"/>
        <w:keepNext w:val="0"/>
        <w:tabs>
          <w:tab w:val="right" w:leader="dot" w:pos="7077"/>
        </w:tabs>
        <w:rPr>
          <w:rFonts w:asciiTheme="minorHAnsi" w:eastAsiaTheme="minorEastAsia" w:hAnsiTheme="minorHAnsi" w:cstheme="minorBidi"/>
          <w:b w:val="0"/>
          <w:szCs w:val="22"/>
        </w:rPr>
      </w:pPr>
      <w:r>
        <w:t>Division 6 — Condition report</w:t>
      </w:r>
    </w:p>
    <w:p>
      <w:pPr>
        <w:pStyle w:val="TOC4"/>
        <w:keepNext w:val="0"/>
        <w:tabs>
          <w:tab w:val="right" w:leader="dot" w:pos="7077"/>
        </w:tabs>
        <w:rPr>
          <w:rFonts w:asciiTheme="minorHAnsi" w:eastAsiaTheme="minorEastAsia" w:hAnsiTheme="minorHAnsi" w:cstheme="minorBidi"/>
          <w:b w:val="0"/>
          <w:szCs w:val="22"/>
        </w:rPr>
      </w:pPr>
      <w:r>
        <w:t>Division 7 — Park rules</w:t>
      </w:r>
    </w:p>
    <w:p>
      <w:pPr>
        <w:pStyle w:val="TOC4"/>
        <w:keepNext w:val="0"/>
        <w:tabs>
          <w:tab w:val="right" w:leader="dot" w:pos="7077"/>
        </w:tabs>
        <w:rPr>
          <w:rFonts w:asciiTheme="minorHAnsi" w:eastAsiaTheme="minorEastAsia" w:hAnsiTheme="minorHAnsi" w:cstheme="minorBidi"/>
          <w:b w:val="0"/>
          <w:szCs w:val="22"/>
        </w:rPr>
      </w:pPr>
      <w:r>
        <w:t>Division 8 — Information sheet</w:t>
      </w:r>
    </w:p>
    <w:p>
      <w:pPr>
        <w:pStyle w:val="TOC4"/>
        <w:keepNext w:val="0"/>
        <w:tabs>
          <w:tab w:val="right" w:leader="dot" w:pos="7077"/>
        </w:tabs>
        <w:rPr>
          <w:rFonts w:asciiTheme="minorHAnsi" w:eastAsiaTheme="minorEastAsia" w:hAnsiTheme="minorHAnsi" w:cstheme="minorBidi"/>
          <w:b w:val="0"/>
          <w:szCs w:val="22"/>
        </w:rPr>
      </w:pPr>
      <w:r>
        <w:t>Division 9 — Acceptance</w:t>
      </w:r>
    </w:p>
    <w:p>
      <w:pPr>
        <w:pStyle w:val="TOC4"/>
        <w:keepNext w:val="0"/>
        <w:tabs>
          <w:tab w:val="right" w:leader="dot" w:pos="7077"/>
        </w:tabs>
        <w:rPr>
          <w:rFonts w:asciiTheme="minorHAnsi" w:eastAsiaTheme="minorEastAsia" w:hAnsiTheme="minorHAnsi" w:cstheme="minorBidi"/>
          <w:b w:val="0"/>
          <w:szCs w:val="22"/>
        </w:rPr>
      </w:pPr>
      <w:r>
        <w:t>Division 10 — Tenant’s checklist</w:t>
      </w:r>
    </w:p>
    <w:p>
      <w:pPr>
        <w:pStyle w:val="TOC2"/>
        <w:tabs>
          <w:tab w:val="right" w:leader="dot" w:pos="7077"/>
        </w:tabs>
        <w:rPr>
          <w:rFonts w:asciiTheme="minorHAnsi" w:eastAsiaTheme="minorEastAsia" w:hAnsiTheme="minorHAnsi" w:cstheme="minorBidi"/>
          <w:b w:val="0"/>
          <w:sz w:val="22"/>
          <w:szCs w:val="22"/>
        </w:rPr>
      </w:pPr>
      <w:r>
        <w:t>Schedule 5 — Condition report</w:t>
      </w:r>
    </w:p>
    <w:p>
      <w:pPr>
        <w:pStyle w:val="TOC8"/>
        <w:keepNext/>
        <w:rPr>
          <w:rFonts w:asciiTheme="minorHAnsi" w:eastAsiaTheme="minorEastAsia" w:hAnsiTheme="minorHAnsi" w:cstheme="minorBidi"/>
          <w:szCs w:val="22"/>
        </w:rPr>
      </w:pPr>
      <w:r>
        <w:t>1.</w:t>
      </w:r>
      <w:r>
        <w:tab/>
        <w:t>On</w:t>
      </w:r>
      <w:r>
        <w:noBreakHyphen/>
        <w:t>site home</w:t>
      </w:r>
      <w:r>
        <w:tab/>
      </w:r>
      <w:r>
        <w:fldChar w:fldCharType="begin"/>
      </w:r>
      <w:r>
        <w:instrText xml:space="preserve"> PAGEREF _Toc17279319 \h </w:instrText>
      </w:r>
      <w:r>
        <w:fldChar w:fldCharType="separate"/>
      </w:r>
      <w:r>
        <w:t>102</w:t>
      </w:r>
      <w:r>
        <w:fldChar w:fldCharType="end"/>
      </w:r>
    </w:p>
    <w:p>
      <w:pPr>
        <w:pStyle w:val="TOC8"/>
        <w:keepNext/>
        <w:rPr>
          <w:rFonts w:asciiTheme="minorHAnsi" w:eastAsiaTheme="minorEastAsia" w:hAnsiTheme="minorHAnsi" w:cstheme="minorBidi"/>
          <w:szCs w:val="22"/>
        </w:rPr>
      </w:pPr>
      <w:r>
        <w:t>2.</w:t>
      </w:r>
      <w:r>
        <w:tab/>
        <w:t>Site</w:t>
      </w:r>
      <w:r>
        <w:tab/>
      </w:r>
      <w:r>
        <w:fldChar w:fldCharType="begin"/>
      </w:r>
      <w:r>
        <w:instrText xml:space="preserve"> PAGEREF _Toc17279320 \h </w:instrText>
      </w:r>
      <w:r>
        <w:fldChar w:fldCharType="separate"/>
      </w:r>
      <w:r>
        <w:t>113</w:t>
      </w:r>
      <w:r>
        <w:fldChar w:fldCharType="end"/>
      </w:r>
    </w:p>
    <w:p>
      <w:pPr>
        <w:pStyle w:val="TOC8"/>
        <w:keepNext/>
        <w:rPr>
          <w:rFonts w:asciiTheme="minorHAnsi" w:eastAsiaTheme="minorEastAsia" w:hAnsiTheme="minorHAnsi" w:cstheme="minorBidi"/>
          <w:szCs w:val="22"/>
        </w:rPr>
      </w:pPr>
      <w:r>
        <w:t>3.</w:t>
      </w:r>
      <w:r>
        <w:tab/>
        <w:t>Specific work to be undertaken by park operator</w:t>
      </w:r>
      <w:r>
        <w:tab/>
      </w:r>
      <w:r>
        <w:fldChar w:fldCharType="begin"/>
      </w:r>
      <w:r>
        <w:instrText xml:space="preserve"> PAGEREF _Toc17279321 \h </w:instrText>
      </w:r>
      <w:r>
        <w:fldChar w:fldCharType="separate"/>
      </w:r>
      <w:r>
        <w:t>114</w:t>
      </w:r>
      <w:r>
        <w:fldChar w:fldCharType="end"/>
      </w:r>
    </w:p>
    <w:p>
      <w:pPr>
        <w:pStyle w:val="TOC8"/>
        <w:keepNext/>
        <w:rPr>
          <w:rFonts w:asciiTheme="minorHAnsi" w:eastAsiaTheme="minorEastAsia" w:hAnsiTheme="minorHAnsi" w:cstheme="minorBidi"/>
          <w:szCs w:val="22"/>
        </w:rPr>
      </w:pPr>
      <w:r>
        <w:t>4.</w:t>
      </w:r>
      <w:r>
        <w:tab/>
        <w:t>Signatures</w:t>
      </w:r>
      <w:r>
        <w:tab/>
      </w:r>
      <w:r>
        <w:fldChar w:fldCharType="begin"/>
      </w:r>
      <w:r>
        <w:instrText xml:space="preserve"> PAGEREF _Toc17279322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Schedule 6 — Information sheet (on</w:t>
      </w:r>
      <w:r>
        <w:noBreakHyphen/>
        <w:t>site home agreement)</w:t>
      </w:r>
    </w:p>
    <w:p>
      <w:pPr>
        <w:pStyle w:val="TOC8"/>
        <w:rPr>
          <w:rFonts w:asciiTheme="minorHAnsi" w:eastAsiaTheme="minorEastAsia" w:hAnsiTheme="minorHAnsi" w:cstheme="minorBidi"/>
          <w:szCs w:val="22"/>
        </w:rPr>
      </w:pPr>
      <w:r>
        <w:t>1.</w:t>
      </w:r>
      <w:r>
        <w:tab/>
        <w:t>Additional persons residing on a temporary basis on the agreed premises</w:t>
      </w:r>
      <w:r>
        <w:tab/>
      </w:r>
      <w:r>
        <w:fldChar w:fldCharType="begin"/>
      </w:r>
      <w:r>
        <w:instrText xml:space="preserve"> PAGEREF _Toc17279324 \h </w:instrText>
      </w:r>
      <w:r>
        <w:fldChar w:fldCharType="separate"/>
      </w:r>
      <w:r>
        <w:t>116</w:t>
      </w:r>
      <w:r>
        <w:fldChar w:fldCharType="end"/>
      </w:r>
    </w:p>
    <w:p>
      <w:pPr>
        <w:pStyle w:val="TOC8"/>
        <w:rPr>
          <w:rFonts w:asciiTheme="minorHAnsi" w:eastAsiaTheme="minorEastAsia" w:hAnsiTheme="minorHAnsi" w:cstheme="minorBidi"/>
          <w:szCs w:val="22"/>
        </w:rPr>
      </w:pPr>
      <w:r>
        <w:t>2.</w:t>
      </w:r>
      <w:r>
        <w:tab/>
        <w:t>Services and utilities</w:t>
      </w:r>
      <w:r>
        <w:tab/>
      </w:r>
      <w:r>
        <w:fldChar w:fldCharType="begin"/>
      </w:r>
      <w:r>
        <w:instrText xml:space="preserve"> PAGEREF _Toc17279325 \h </w:instrText>
      </w:r>
      <w:r>
        <w:fldChar w:fldCharType="separate"/>
      </w:r>
      <w:r>
        <w:t>117</w:t>
      </w:r>
      <w:r>
        <w:fldChar w:fldCharType="end"/>
      </w:r>
    </w:p>
    <w:p>
      <w:pPr>
        <w:pStyle w:val="TOC8"/>
        <w:rPr>
          <w:rFonts w:asciiTheme="minorHAnsi" w:eastAsiaTheme="minorEastAsia" w:hAnsiTheme="minorHAnsi" w:cstheme="minorBidi"/>
          <w:szCs w:val="22"/>
        </w:rPr>
      </w:pPr>
      <w:r>
        <w:t>3.</w:t>
      </w:r>
      <w:r>
        <w:tab/>
        <w:t>Pets</w:t>
      </w:r>
      <w:r>
        <w:tab/>
      </w:r>
      <w:r>
        <w:fldChar w:fldCharType="begin"/>
      </w:r>
      <w:r>
        <w:instrText xml:space="preserve"> PAGEREF _Toc17279326 \h </w:instrText>
      </w:r>
      <w:r>
        <w:fldChar w:fldCharType="separate"/>
      </w:r>
      <w:r>
        <w:t>117</w:t>
      </w:r>
      <w:r>
        <w:fldChar w:fldCharType="end"/>
      </w:r>
    </w:p>
    <w:p>
      <w:pPr>
        <w:pStyle w:val="TOC8"/>
        <w:rPr>
          <w:rFonts w:asciiTheme="minorHAnsi" w:eastAsiaTheme="minorEastAsia" w:hAnsiTheme="minorHAnsi" w:cstheme="minorBidi"/>
          <w:szCs w:val="22"/>
        </w:rPr>
      </w:pPr>
      <w:r>
        <w:t>4.</w:t>
      </w:r>
      <w:r>
        <w:tab/>
        <w:t>Shared premises and facilities</w:t>
      </w:r>
      <w:r>
        <w:tab/>
      </w:r>
      <w:r>
        <w:fldChar w:fldCharType="begin"/>
      </w:r>
      <w:r>
        <w:instrText xml:space="preserve"> PAGEREF _Toc17279327 \h </w:instrText>
      </w:r>
      <w:r>
        <w:fldChar w:fldCharType="separate"/>
      </w:r>
      <w:r>
        <w:t>117</w:t>
      </w:r>
      <w:r>
        <w:fldChar w:fldCharType="end"/>
      </w:r>
    </w:p>
    <w:p>
      <w:pPr>
        <w:pStyle w:val="TOC8"/>
        <w:rPr>
          <w:rFonts w:asciiTheme="minorHAnsi" w:eastAsiaTheme="minorEastAsia" w:hAnsiTheme="minorHAnsi" w:cstheme="minorBidi"/>
          <w:szCs w:val="22"/>
        </w:rPr>
      </w:pPr>
      <w:r>
        <w:t>5.</w:t>
      </w:r>
      <w:r>
        <w:tab/>
        <w:t>Parking</w:t>
      </w:r>
      <w:r>
        <w:tab/>
      </w:r>
      <w:r>
        <w:fldChar w:fldCharType="begin"/>
      </w:r>
      <w:r>
        <w:instrText xml:space="preserve"> PAGEREF _Toc17279328 \h </w:instrText>
      </w:r>
      <w:r>
        <w:fldChar w:fldCharType="separate"/>
      </w:r>
      <w:r>
        <w:t>117</w:t>
      </w:r>
      <w:r>
        <w:fldChar w:fldCharType="end"/>
      </w:r>
    </w:p>
    <w:p>
      <w:pPr>
        <w:pStyle w:val="TOC8"/>
        <w:rPr>
          <w:rFonts w:asciiTheme="minorHAnsi" w:eastAsiaTheme="minorEastAsia" w:hAnsiTheme="minorHAnsi" w:cstheme="minorBidi"/>
          <w:szCs w:val="22"/>
        </w:rPr>
      </w:pPr>
      <w:r>
        <w:t>6.</w:t>
      </w:r>
      <w:r>
        <w:tab/>
        <w:t>Sub</w:t>
      </w:r>
      <w:r>
        <w:noBreakHyphen/>
        <w:t>letting or otherwise assigning the agreed premises</w:t>
      </w:r>
      <w:r>
        <w:tab/>
      </w:r>
      <w:r>
        <w:fldChar w:fldCharType="begin"/>
      </w:r>
      <w:r>
        <w:instrText xml:space="preserve"> PAGEREF _Toc17279329 \h </w:instrText>
      </w:r>
      <w:r>
        <w:fldChar w:fldCharType="separate"/>
      </w:r>
      <w:r>
        <w:t>117</w:t>
      </w:r>
      <w:r>
        <w:fldChar w:fldCharType="end"/>
      </w:r>
    </w:p>
    <w:p>
      <w:pPr>
        <w:pStyle w:val="TOC8"/>
        <w:rPr>
          <w:rFonts w:asciiTheme="minorHAnsi" w:eastAsiaTheme="minorEastAsia" w:hAnsiTheme="minorHAnsi" w:cstheme="minorBidi"/>
          <w:szCs w:val="22"/>
        </w:rPr>
      </w:pPr>
      <w:r>
        <w:t>7.</w:t>
      </w:r>
      <w:r>
        <w:tab/>
        <w:t>Restrictions on use of site</w:t>
      </w:r>
      <w:r>
        <w:tab/>
      </w:r>
      <w:r>
        <w:fldChar w:fldCharType="begin"/>
      </w:r>
      <w:r>
        <w:instrText xml:space="preserve"> PAGEREF _Toc17279330 \h </w:instrText>
      </w:r>
      <w:r>
        <w:fldChar w:fldCharType="separate"/>
      </w:r>
      <w:r>
        <w:t>118</w:t>
      </w:r>
      <w:r>
        <w:fldChar w:fldCharType="end"/>
      </w:r>
    </w:p>
    <w:p>
      <w:pPr>
        <w:pStyle w:val="TOC8"/>
        <w:rPr>
          <w:rFonts w:asciiTheme="minorHAnsi" w:eastAsiaTheme="minorEastAsia" w:hAnsiTheme="minorHAnsi" w:cstheme="minorBidi"/>
          <w:szCs w:val="22"/>
        </w:rPr>
      </w:pPr>
      <w:r>
        <w:t>8.</w:t>
      </w:r>
      <w:r>
        <w:tab/>
        <w:t>Insurance requirements</w:t>
      </w:r>
      <w:r>
        <w:tab/>
      </w:r>
      <w:r>
        <w:fldChar w:fldCharType="begin"/>
      </w:r>
      <w:r>
        <w:instrText xml:space="preserve"> PAGEREF _Toc17279331 \h </w:instrText>
      </w:r>
      <w:r>
        <w:fldChar w:fldCharType="separate"/>
      </w:r>
      <w:r>
        <w:t>118</w:t>
      </w:r>
      <w:r>
        <w:fldChar w:fldCharType="end"/>
      </w:r>
    </w:p>
    <w:p>
      <w:pPr>
        <w:pStyle w:val="TOC8"/>
        <w:rPr>
          <w:rFonts w:asciiTheme="minorHAnsi" w:eastAsiaTheme="minorEastAsia" w:hAnsiTheme="minorHAnsi" w:cstheme="minorBidi"/>
          <w:szCs w:val="22"/>
        </w:rPr>
      </w:pPr>
      <w:r>
        <w:t>9.</w:t>
      </w:r>
      <w:r>
        <w:tab/>
        <w:t>Requirements on tenants regarding gardening maintenance</w:t>
      </w:r>
      <w:r>
        <w:tab/>
      </w:r>
      <w:r>
        <w:fldChar w:fldCharType="begin"/>
      </w:r>
      <w:r>
        <w:instrText xml:space="preserve"> PAGEREF _Toc17279332 \h </w:instrText>
      </w:r>
      <w:r>
        <w:fldChar w:fldCharType="separate"/>
      </w:r>
      <w:r>
        <w:t>118</w:t>
      </w:r>
      <w:r>
        <w:fldChar w:fldCharType="end"/>
      </w:r>
    </w:p>
    <w:p>
      <w:pPr>
        <w:pStyle w:val="TOC8"/>
        <w:rPr>
          <w:rFonts w:asciiTheme="minorHAnsi" w:eastAsiaTheme="minorEastAsia" w:hAnsiTheme="minorHAnsi" w:cstheme="minorBidi"/>
          <w:szCs w:val="22"/>
        </w:rPr>
      </w:pPr>
      <w:r>
        <w:t>10.</w:t>
      </w:r>
      <w:r>
        <w:tab/>
        <w:t>Park liaison committee</w:t>
      </w:r>
      <w:r>
        <w:tab/>
      </w:r>
      <w:r>
        <w:fldChar w:fldCharType="begin"/>
      </w:r>
      <w:r>
        <w:instrText xml:space="preserve"> PAGEREF _Toc17279333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7 — Information sheet (site</w:t>
      </w:r>
      <w:r>
        <w:noBreakHyphen/>
        <w:t>only agreement)</w:t>
      </w:r>
    </w:p>
    <w:p>
      <w:pPr>
        <w:pStyle w:val="TOC8"/>
        <w:rPr>
          <w:rFonts w:asciiTheme="minorHAnsi" w:eastAsiaTheme="minorEastAsia" w:hAnsiTheme="minorHAnsi" w:cstheme="minorBidi"/>
          <w:szCs w:val="22"/>
        </w:rPr>
      </w:pPr>
      <w:r>
        <w:t>1.</w:t>
      </w:r>
      <w:r>
        <w:tab/>
        <w:t>Additional persons residing on a temporary basis on the agreed premises</w:t>
      </w:r>
      <w:r>
        <w:tab/>
      </w:r>
      <w:r>
        <w:fldChar w:fldCharType="begin"/>
      </w:r>
      <w:r>
        <w:instrText xml:space="preserve"> PAGEREF _Toc17279335 \h </w:instrText>
      </w:r>
      <w:r>
        <w:fldChar w:fldCharType="separate"/>
      </w:r>
      <w:r>
        <w:t>119</w:t>
      </w:r>
      <w:r>
        <w:fldChar w:fldCharType="end"/>
      </w:r>
    </w:p>
    <w:p>
      <w:pPr>
        <w:pStyle w:val="TOC8"/>
        <w:rPr>
          <w:rFonts w:asciiTheme="minorHAnsi" w:eastAsiaTheme="minorEastAsia" w:hAnsiTheme="minorHAnsi" w:cstheme="minorBidi"/>
          <w:szCs w:val="22"/>
        </w:rPr>
      </w:pPr>
      <w:r>
        <w:t>2.</w:t>
      </w:r>
      <w:r>
        <w:tab/>
        <w:t>Services and utilities</w:t>
      </w:r>
      <w:r>
        <w:tab/>
      </w:r>
      <w:r>
        <w:fldChar w:fldCharType="begin"/>
      </w:r>
      <w:r>
        <w:instrText xml:space="preserve"> PAGEREF _Toc17279336 \h </w:instrText>
      </w:r>
      <w:r>
        <w:fldChar w:fldCharType="separate"/>
      </w:r>
      <w:r>
        <w:t>120</w:t>
      </w:r>
      <w:r>
        <w:fldChar w:fldCharType="end"/>
      </w:r>
    </w:p>
    <w:p>
      <w:pPr>
        <w:pStyle w:val="TOC8"/>
        <w:rPr>
          <w:rFonts w:asciiTheme="minorHAnsi" w:eastAsiaTheme="minorEastAsia" w:hAnsiTheme="minorHAnsi" w:cstheme="minorBidi"/>
          <w:szCs w:val="22"/>
        </w:rPr>
      </w:pPr>
      <w:r>
        <w:t>3.</w:t>
      </w:r>
      <w:r>
        <w:tab/>
        <w:t>Pets</w:t>
      </w:r>
      <w:r>
        <w:tab/>
      </w:r>
      <w:r>
        <w:fldChar w:fldCharType="begin"/>
      </w:r>
      <w:r>
        <w:instrText xml:space="preserve"> PAGEREF _Toc17279337 \h </w:instrText>
      </w:r>
      <w:r>
        <w:fldChar w:fldCharType="separate"/>
      </w:r>
      <w:r>
        <w:t>120</w:t>
      </w:r>
      <w:r>
        <w:fldChar w:fldCharType="end"/>
      </w:r>
    </w:p>
    <w:p>
      <w:pPr>
        <w:pStyle w:val="TOC8"/>
        <w:rPr>
          <w:rFonts w:asciiTheme="minorHAnsi" w:eastAsiaTheme="minorEastAsia" w:hAnsiTheme="minorHAnsi" w:cstheme="minorBidi"/>
          <w:szCs w:val="22"/>
        </w:rPr>
      </w:pPr>
      <w:r>
        <w:t>4.</w:t>
      </w:r>
      <w:r>
        <w:tab/>
        <w:t>Shared premises and facilities</w:t>
      </w:r>
      <w:r>
        <w:tab/>
      </w:r>
      <w:r>
        <w:fldChar w:fldCharType="begin"/>
      </w:r>
      <w:r>
        <w:instrText xml:space="preserve"> PAGEREF _Toc17279338 \h </w:instrText>
      </w:r>
      <w:r>
        <w:fldChar w:fldCharType="separate"/>
      </w:r>
      <w:r>
        <w:t>120</w:t>
      </w:r>
      <w:r>
        <w:fldChar w:fldCharType="end"/>
      </w:r>
    </w:p>
    <w:p>
      <w:pPr>
        <w:pStyle w:val="TOC8"/>
        <w:rPr>
          <w:rFonts w:asciiTheme="minorHAnsi" w:eastAsiaTheme="minorEastAsia" w:hAnsiTheme="minorHAnsi" w:cstheme="minorBidi"/>
          <w:szCs w:val="22"/>
        </w:rPr>
      </w:pPr>
      <w:r>
        <w:t>5.</w:t>
      </w:r>
      <w:r>
        <w:tab/>
        <w:t>Parking</w:t>
      </w:r>
      <w:r>
        <w:tab/>
      </w:r>
      <w:r>
        <w:fldChar w:fldCharType="begin"/>
      </w:r>
      <w:r>
        <w:instrText xml:space="preserve"> PAGEREF _Toc17279339 \h </w:instrText>
      </w:r>
      <w:r>
        <w:fldChar w:fldCharType="separate"/>
      </w:r>
      <w:r>
        <w:t>120</w:t>
      </w:r>
      <w:r>
        <w:fldChar w:fldCharType="end"/>
      </w:r>
    </w:p>
    <w:p>
      <w:pPr>
        <w:pStyle w:val="TOC8"/>
        <w:rPr>
          <w:rFonts w:asciiTheme="minorHAnsi" w:eastAsiaTheme="minorEastAsia" w:hAnsiTheme="minorHAnsi" w:cstheme="minorBidi"/>
          <w:szCs w:val="22"/>
        </w:rPr>
      </w:pPr>
      <w:r>
        <w:t>6.</w:t>
      </w:r>
      <w:r>
        <w:tab/>
        <w:t>Selling a relocatable home or sub</w:t>
      </w:r>
      <w:r>
        <w:noBreakHyphen/>
        <w:t>letting or otherwise assigning the agreed premises</w:t>
      </w:r>
      <w:r>
        <w:tab/>
      </w:r>
      <w:r>
        <w:fldChar w:fldCharType="begin"/>
      </w:r>
      <w:r>
        <w:instrText xml:space="preserve"> PAGEREF _Toc17279340 \h </w:instrText>
      </w:r>
      <w:r>
        <w:fldChar w:fldCharType="separate"/>
      </w:r>
      <w:r>
        <w:t>120</w:t>
      </w:r>
      <w:r>
        <w:fldChar w:fldCharType="end"/>
      </w:r>
    </w:p>
    <w:p>
      <w:pPr>
        <w:pStyle w:val="TOC8"/>
        <w:rPr>
          <w:rFonts w:asciiTheme="minorHAnsi" w:eastAsiaTheme="minorEastAsia" w:hAnsiTheme="minorHAnsi" w:cstheme="minorBidi"/>
          <w:szCs w:val="22"/>
        </w:rPr>
      </w:pPr>
      <w:r>
        <w:t>7.</w:t>
      </w:r>
      <w:r>
        <w:tab/>
        <w:t>Restrictions on use of site</w:t>
      </w:r>
      <w:r>
        <w:tab/>
      </w:r>
      <w:r>
        <w:fldChar w:fldCharType="begin"/>
      </w:r>
      <w:r>
        <w:instrText xml:space="preserve"> PAGEREF _Toc17279341 \h </w:instrText>
      </w:r>
      <w:r>
        <w:fldChar w:fldCharType="separate"/>
      </w:r>
      <w:r>
        <w:t>121</w:t>
      </w:r>
      <w:r>
        <w:fldChar w:fldCharType="end"/>
      </w:r>
    </w:p>
    <w:p>
      <w:pPr>
        <w:pStyle w:val="TOC8"/>
        <w:rPr>
          <w:rFonts w:asciiTheme="minorHAnsi" w:eastAsiaTheme="minorEastAsia" w:hAnsiTheme="minorHAnsi" w:cstheme="minorBidi"/>
          <w:szCs w:val="22"/>
        </w:rPr>
      </w:pPr>
      <w:r>
        <w:t>8.</w:t>
      </w:r>
      <w:r>
        <w:tab/>
        <w:t>Insurance requirements</w:t>
      </w:r>
      <w:r>
        <w:tab/>
      </w:r>
      <w:r>
        <w:fldChar w:fldCharType="begin"/>
      </w:r>
      <w:r>
        <w:instrText xml:space="preserve"> PAGEREF _Toc17279342 \h </w:instrText>
      </w:r>
      <w:r>
        <w:fldChar w:fldCharType="separate"/>
      </w:r>
      <w:r>
        <w:t>121</w:t>
      </w:r>
      <w:r>
        <w:fldChar w:fldCharType="end"/>
      </w:r>
    </w:p>
    <w:p>
      <w:pPr>
        <w:pStyle w:val="TOC8"/>
        <w:rPr>
          <w:rFonts w:asciiTheme="minorHAnsi" w:eastAsiaTheme="minorEastAsia" w:hAnsiTheme="minorHAnsi" w:cstheme="minorBidi"/>
          <w:szCs w:val="22"/>
        </w:rPr>
      </w:pPr>
      <w:r>
        <w:t>9.</w:t>
      </w:r>
      <w:r>
        <w:tab/>
        <w:t>Requirements on tenants regarding gardening maintenance</w:t>
      </w:r>
      <w:r>
        <w:tab/>
      </w:r>
      <w:r>
        <w:fldChar w:fldCharType="begin"/>
      </w:r>
      <w:r>
        <w:instrText xml:space="preserve"> PAGEREF _Toc17279343 \h </w:instrText>
      </w:r>
      <w:r>
        <w:fldChar w:fldCharType="separate"/>
      </w:r>
      <w:r>
        <w:t>121</w:t>
      </w:r>
      <w:r>
        <w:fldChar w:fldCharType="end"/>
      </w:r>
    </w:p>
    <w:p>
      <w:pPr>
        <w:pStyle w:val="TOC8"/>
        <w:rPr>
          <w:rFonts w:asciiTheme="minorHAnsi" w:eastAsiaTheme="minorEastAsia" w:hAnsiTheme="minorHAnsi" w:cstheme="minorBidi"/>
          <w:szCs w:val="22"/>
        </w:rPr>
      </w:pPr>
      <w:r>
        <w:t>10.</w:t>
      </w:r>
      <w:r>
        <w:tab/>
        <w:t>Park liaison committee</w:t>
      </w:r>
      <w:r>
        <w:tab/>
      </w:r>
      <w:r>
        <w:fldChar w:fldCharType="begin"/>
      </w:r>
      <w:r>
        <w:instrText xml:space="preserve"> PAGEREF _Toc17279344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Schedule 8 — Prescribed classes of payment</w:t>
      </w:r>
    </w:p>
    <w:p>
      <w:pPr>
        <w:pStyle w:val="TOC2"/>
        <w:tabs>
          <w:tab w:val="right" w:leader="dot" w:pos="7077"/>
        </w:tabs>
        <w:rPr>
          <w:rFonts w:asciiTheme="minorHAnsi" w:eastAsiaTheme="minorEastAsia" w:hAnsiTheme="minorHAnsi" w:cstheme="minorBidi"/>
          <w:b w:val="0"/>
          <w:sz w:val="22"/>
          <w:szCs w:val="22"/>
        </w:rPr>
      </w:pPr>
      <w:r>
        <w:t>Schedule 9 — Default notice</w:t>
      </w:r>
    </w:p>
    <w:p>
      <w:pPr>
        <w:pStyle w:val="TOC4"/>
        <w:tabs>
          <w:tab w:val="right" w:leader="dot" w:pos="7077"/>
        </w:tabs>
        <w:rPr>
          <w:rFonts w:asciiTheme="minorHAnsi" w:eastAsiaTheme="minorEastAsia" w:hAnsiTheme="minorHAnsi" w:cstheme="minorBidi"/>
          <w:b w:val="0"/>
          <w:szCs w:val="22"/>
        </w:rPr>
      </w:pPr>
      <w:r>
        <w:t>Division 1 — Termination for non</w:t>
      </w:r>
      <w:r>
        <w:noBreakHyphen/>
        <w:t>payment of rent</w:t>
      </w:r>
    </w:p>
    <w:p>
      <w:pPr>
        <w:pStyle w:val="TOC4"/>
        <w:tabs>
          <w:tab w:val="right" w:leader="dot" w:pos="7077"/>
        </w:tabs>
        <w:rPr>
          <w:rFonts w:asciiTheme="minorHAnsi" w:eastAsiaTheme="minorEastAsia" w:hAnsiTheme="minorHAnsi" w:cstheme="minorBidi"/>
          <w:b w:val="0"/>
          <w:szCs w:val="22"/>
        </w:rPr>
      </w:pPr>
      <w:r>
        <w:t>Division 2 — Termination for other breach of agreement</w:t>
      </w:r>
    </w:p>
    <w:p>
      <w:pPr>
        <w:pStyle w:val="TOC2"/>
        <w:tabs>
          <w:tab w:val="right" w:leader="dot" w:pos="7077"/>
        </w:tabs>
        <w:rPr>
          <w:rFonts w:asciiTheme="minorHAnsi" w:eastAsiaTheme="minorEastAsia" w:hAnsiTheme="minorHAnsi" w:cstheme="minorBidi"/>
          <w:b w:val="0"/>
          <w:sz w:val="22"/>
          <w:szCs w:val="22"/>
        </w:rPr>
      </w:pPr>
      <w:r>
        <w:t>Schedule 10 — Notice of termination</w:t>
      </w:r>
    </w:p>
    <w:p>
      <w:pPr>
        <w:pStyle w:val="TOC4"/>
        <w:tabs>
          <w:tab w:val="right" w:leader="dot" w:pos="7077"/>
        </w:tabs>
        <w:rPr>
          <w:rFonts w:asciiTheme="minorHAnsi" w:eastAsiaTheme="minorEastAsia" w:hAnsiTheme="minorHAnsi" w:cstheme="minorBidi"/>
          <w:b w:val="0"/>
          <w:szCs w:val="22"/>
        </w:rPr>
      </w:pPr>
      <w:r>
        <w:t>Division 1 — Termination by park operator</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Termination for non</w:t>
      </w:r>
      <w:r>
        <w:noBreakHyphen/>
        <w:t>payment of rent (default notice issued)</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Termination for non</w:t>
      </w:r>
      <w:r>
        <w:noBreakHyphen/>
        <w:t>payment of rent (no default notice issued)</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Termination for other breach of agreement</w:t>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Termination for sale of park</w:t>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Termination without grounds</w:t>
      </w:r>
    </w:p>
    <w:p>
      <w:pPr>
        <w:pStyle w:val="TOC4"/>
        <w:tabs>
          <w:tab w:val="right" w:leader="dot" w:pos="7077"/>
        </w:tabs>
        <w:rPr>
          <w:rFonts w:asciiTheme="minorHAnsi" w:eastAsiaTheme="minorEastAsia" w:hAnsiTheme="minorHAnsi" w:cstheme="minorBidi"/>
          <w:b w:val="0"/>
          <w:szCs w:val="22"/>
        </w:rPr>
      </w:pPr>
      <w:r>
        <w:t>Division 2 — Termination by tenant</w:t>
      </w:r>
    </w:p>
    <w:p>
      <w:pPr>
        <w:pStyle w:val="TOC4"/>
        <w:tabs>
          <w:tab w:val="right" w:leader="dot" w:pos="7077"/>
        </w:tabs>
        <w:rPr>
          <w:rFonts w:asciiTheme="minorHAnsi" w:eastAsiaTheme="minorEastAsia" w:hAnsiTheme="minorHAnsi" w:cstheme="minorBidi"/>
          <w:b w:val="0"/>
          <w:szCs w:val="22"/>
        </w:rPr>
      </w:pPr>
      <w:r>
        <w:t>Division 3 — Termination by park operator or tenant — agreement frustrated</w:t>
      </w:r>
    </w:p>
    <w:p>
      <w:pPr>
        <w:pStyle w:val="TOC4"/>
        <w:tabs>
          <w:tab w:val="right" w:leader="dot" w:pos="7077"/>
        </w:tabs>
        <w:rPr>
          <w:rFonts w:asciiTheme="minorHAnsi" w:eastAsiaTheme="minorEastAsia" w:hAnsiTheme="minorHAnsi" w:cstheme="minorBidi"/>
          <w:b w:val="0"/>
          <w:szCs w:val="22"/>
        </w:rPr>
      </w:pPr>
      <w:r>
        <w:t>Division 4 — Termination by tenant of tenant’s interest in on-site home agreement</w:t>
      </w:r>
    </w:p>
    <w:p>
      <w:pPr>
        <w:pStyle w:val="TOC2"/>
        <w:tabs>
          <w:tab w:val="right" w:leader="dot" w:pos="7077"/>
        </w:tabs>
        <w:rPr>
          <w:rFonts w:asciiTheme="minorHAnsi" w:eastAsiaTheme="minorEastAsia" w:hAnsiTheme="minorHAnsi" w:cstheme="minorBidi"/>
          <w:b w:val="0"/>
          <w:sz w:val="22"/>
          <w:szCs w:val="22"/>
        </w:rPr>
      </w:pPr>
      <w:r>
        <w:t>Schedule 11 — Notice to former tenant about abandoned goods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_Toc17279361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August 2019</w:t>
            </w:r>
          </w:p>
        </w:tc>
      </w:tr>
    </w:tbl>
    <w:p>
      <w:pPr>
        <w:pStyle w:val="WA"/>
        <w:spacing w:before="12"/>
      </w:pPr>
      <w:r>
        <w:t>Western Australia</w:t>
      </w:r>
    </w:p>
    <w:p>
      <w:pPr>
        <w:pStyle w:val="PrincipalActReg"/>
      </w:pPr>
      <w:r>
        <w:t>Residential Parks (Long-stay Tenants) Act 2006</w:t>
      </w:r>
    </w:p>
    <w:p>
      <w:pPr>
        <w:pStyle w:val="NameofActReg"/>
      </w:pPr>
      <w:r>
        <w:t>Residential Parks (Long-stay Tenants) Regulations 2007</w:t>
      </w:r>
    </w:p>
    <w:p>
      <w:pPr>
        <w:pStyle w:val="Heading5"/>
      </w:pPr>
      <w:bookmarkStart w:id="3" w:name="_Toc17279251"/>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Residential Parks (Long-stay Tenants) Regulations 2007</w:t>
      </w:r>
      <w:r>
        <w:rPr>
          <w:vertAlign w:val="superscript"/>
        </w:rPr>
        <w:t> 1</w:t>
      </w:r>
      <w:r>
        <w:t>.</w:t>
      </w:r>
    </w:p>
    <w:p>
      <w:pPr>
        <w:pStyle w:val="Heading5"/>
      </w:pPr>
      <w:bookmarkStart w:id="5" w:name="_Toc17279252"/>
      <w:r>
        <w:rPr>
          <w:rStyle w:val="CharSectno"/>
        </w:rPr>
        <w:t>2</w:t>
      </w:r>
      <w:r>
        <w:t>.</w:t>
      </w:r>
      <w:r>
        <w:tab/>
        <w:t>Commencement</w:t>
      </w:r>
      <w:bookmarkEnd w:id="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r>
        <w:rPr>
          <w:vertAlign w:val="superscript"/>
        </w:rPr>
        <w:t> 1</w:t>
      </w:r>
      <w:r>
        <w:t>.</w:t>
      </w:r>
    </w:p>
    <w:p>
      <w:pPr>
        <w:pStyle w:val="Heading5"/>
      </w:pPr>
      <w:bookmarkStart w:id="6" w:name="_Toc17279253"/>
      <w:r>
        <w:rPr>
          <w:rStyle w:val="CharSectno"/>
        </w:rPr>
        <w:t>3</w:t>
      </w:r>
      <w:r>
        <w:t>.</w:t>
      </w:r>
      <w:r>
        <w:tab/>
        <w:t>Terms used</w:t>
      </w:r>
      <w:bookmarkEnd w:id="6"/>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7" w:name="_Toc17279254"/>
      <w:r>
        <w:rPr>
          <w:rStyle w:val="CharSectno"/>
        </w:rPr>
        <w:t>4</w:t>
      </w:r>
      <w:r>
        <w:t>.</w:t>
      </w:r>
      <w:r>
        <w:tab/>
        <w:t>Periodic on</w:t>
      </w:r>
      <w:r>
        <w:noBreakHyphen/>
        <w:t>site home agreement (s. 10(b) and (c) of the Act)</w:t>
      </w:r>
      <w:bookmarkEnd w:id="7"/>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8" w:name="_Toc17279255"/>
      <w:r>
        <w:rPr>
          <w:rStyle w:val="CharSectno"/>
        </w:rPr>
        <w:t>5</w:t>
      </w:r>
      <w:r>
        <w:t>.</w:t>
      </w:r>
      <w:r>
        <w:tab/>
        <w:t>Fixed term on</w:t>
      </w:r>
      <w:r>
        <w:noBreakHyphen/>
        <w:t>site home agreement (s. 10(b) and (c) of the Act)</w:t>
      </w:r>
      <w:bookmarkEnd w:id="8"/>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9" w:name="_Toc17279256"/>
      <w:r>
        <w:rPr>
          <w:rStyle w:val="CharSectno"/>
        </w:rPr>
        <w:t>6</w:t>
      </w:r>
      <w:r>
        <w:t>.</w:t>
      </w:r>
      <w:r>
        <w:tab/>
        <w:t>Periodic site</w:t>
      </w:r>
      <w:r>
        <w:noBreakHyphen/>
        <w:t>only agreement (s. 10(b) and (c) of the Act)</w:t>
      </w:r>
      <w:bookmarkEnd w:id="9"/>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ageBreakBefore/>
        <w:spacing w:before="0"/>
      </w:pPr>
      <w:bookmarkStart w:id="10" w:name="_Toc17279257"/>
      <w:r>
        <w:rPr>
          <w:rStyle w:val="CharSectno"/>
        </w:rPr>
        <w:t>7</w:t>
      </w:r>
      <w:r>
        <w:t>.</w:t>
      </w:r>
      <w:r>
        <w:tab/>
        <w:t>Fixed term site</w:t>
      </w:r>
      <w:r>
        <w:noBreakHyphen/>
        <w:t>only agreement (s. 10(b) and (c) of the Act)</w:t>
      </w:r>
      <w:bookmarkEnd w:id="10"/>
    </w:p>
    <w:p>
      <w:pPr>
        <w:pStyle w:val="Subsection"/>
        <w:keepNext/>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11" w:name="_Toc17279258"/>
      <w:r>
        <w:rPr>
          <w:rStyle w:val="CharSectno"/>
        </w:rPr>
        <w:t>8</w:t>
      </w:r>
      <w:r>
        <w:t>.</w:t>
      </w:r>
      <w:r>
        <w:tab/>
        <w:t>Condition report (s. 11(1)(d) and 95(2)(a) of the Act)</w:t>
      </w:r>
      <w:bookmarkEnd w:id="11"/>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keepNext/>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12" w:name="_Toc17279259"/>
      <w:r>
        <w:rPr>
          <w:rStyle w:val="CharSectno"/>
        </w:rPr>
        <w:t>9</w:t>
      </w:r>
      <w:r>
        <w:t>.</w:t>
      </w:r>
      <w:r>
        <w:tab/>
        <w:t>Information sheet (s. 11(1)(g) of the Act)</w:t>
      </w:r>
      <w:bookmarkEnd w:id="12"/>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13" w:name="_Toc17279260"/>
      <w:r>
        <w:rPr>
          <w:rStyle w:val="CharSectno"/>
        </w:rPr>
        <w:t>10</w:t>
      </w:r>
      <w:r>
        <w:t>.</w:t>
      </w:r>
      <w:r>
        <w:tab/>
        <w:t>Prescribed payments (s. 12(2)(c) of the Act)</w:t>
      </w:r>
      <w:bookmarkEnd w:id="13"/>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ageBreakBefore/>
        <w:spacing w:before="0"/>
      </w:pPr>
      <w:bookmarkStart w:id="14" w:name="_Toc17279261"/>
      <w:r>
        <w:rPr>
          <w:rStyle w:val="CharSectno"/>
        </w:rPr>
        <w:t>11</w:t>
      </w:r>
      <w:r>
        <w:t>.</w:t>
      </w:r>
      <w:r>
        <w:tab/>
        <w:t>Maximum amount payable for screening suitability of prospective purchasers of relocatable homes</w:t>
      </w:r>
      <w:bookmarkEnd w:id="14"/>
    </w:p>
    <w:p>
      <w:pPr>
        <w:pStyle w:val="Subsection"/>
      </w:pPr>
      <w:r>
        <w:tab/>
      </w:r>
      <w:r>
        <w:tab/>
        <w:t>For the purposes of section 95(2)(c), the maximum amount that is payable in respect of a charge referred to in Schedule 8 item 12 is $200.</w:t>
      </w:r>
    </w:p>
    <w:p>
      <w:pPr>
        <w:pStyle w:val="Heading5"/>
      </w:pPr>
      <w:bookmarkStart w:id="15" w:name="_Toc17279262"/>
      <w:r>
        <w:rPr>
          <w:rStyle w:val="CharSectno"/>
        </w:rPr>
        <w:t>12</w:t>
      </w:r>
      <w:r>
        <w:t>.</w:t>
      </w:r>
      <w:r>
        <w:tab/>
        <w:t>Default notice (s. 37(c) of the Act)</w:t>
      </w:r>
      <w:bookmarkEnd w:id="15"/>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16" w:name="_Toc17279263"/>
      <w:r>
        <w:rPr>
          <w:rStyle w:val="CharSectno"/>
        </w:rPr>
        <w:t>13</w:t>
      </w:r>
      <w:r>
        <w:t>.</w:t>
      </w:r>
      <w:r>
        <w:tab/>
        <w:t>Notice of termination (s. 38(1)(d) and (2) of Act)</w:t>
      </w:r>
      <w:bookmarkEnd w:id="16"/>
    </w:p>
    <w:p>
      <w:pPr>
        <w:pStyle w:val="Subsection"/>
      </w:pPr>
      <w:r>
        <w:tab/>
        <w:t>(1)</w:t>
      </w:r>
      <w:r>
        <w:tab/>
        <w:t>A notice of termination of a kind referred to in subregulations (2) to (4) —</w:t>
      </w:r>
    </w:p>
    <w:p>
      <w:pPr>
        <w:pStyle w:val="Indenta"/>
      </w:pPr>
      <w:r>
        <w:tab/>
        <w:t>(a)</w:t>
      </w:r>
      <w:r>
        <w:tab/>
        <w:t>may be (but is not required to be) in the form set out in Schedule 10 for a notice of that kind; but</w:t>
      </w:r>
    </w:p>
    <w:p>
      <w:pPr>
        <w:pStyle w:val="Indenta"/>
      </w:pPr>
      <w:r>
        <w:tab/>
        <w:t>(b)</w:t>
      </w:r>
      <w:r>
        <w:tab/>
        <w:t>for the purposes of section 38(1)(d)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Subsection"/>
      </w:pPr>
      <w:r>
        <w:tab/>
        <w:t>(5)</w:t>
      </w:r>
      <w:r>
        <w:tab/>
        <w:t>For the purposes of section 38(2) of the Act, the prescribed form of a notice under section 45A(1) of the Act is set out in Schedule 10 Division 4.</w:t>
      </w:r>
    </w:p>
    <w:p>
      <w:pPr>
        <w:pStyle w:val="Footnotesection"/>
      </w:pPr>
      <w:r>
        <w:tab/>
        <w:t>[Regulation 13 amended: Gazette 9 Apr 2019 p. 1052.]</w:t>
      </w:r>
    </w:p>
    <w:p>
      <w:pPr>
        <w:pStyle w:val="Heading5"/>
      </w:pPr>
      <w:bookmarkStart w:id="17" w:name="_Toc17279264"/>
      <w:r>
        <w:rPr>
          <w:rStyle w:val="CharSectno"/>
        </w:rPr>
        <w:t>13A</w:t>
      </w:r>
      <w:r>
        <w:t>.</w:t>
      </w:r>
      <w:r>
        <w:tab/>
        <w:t>Prescribed person for s. 45A(2)(d)(vi) of Act</w:t>
      </w:r>
      <w:bookmarkEnd w:id="17"/>
    </w:p>
    <w:p>
      <w:pPr>
        <w:pStyle w:val="Subsection"/>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18" w:name="_Toc17279265"/>
      <w:r>
        <w:rPr>
          <w:rStyle w:val="CharSectno"/>
        </w:rPr>
        <w:t>14</w:t>
      </w:r>
      <w:r>
        <w:t>.</w:t>
      </w:r>
      <w:r>
        <w:tab/>
        <w:t>Notice to former tenant about abandoned goods (s. 48(4)(a) of the Act)</w:t>
      </w:r>
      <w:bookmarkEnd w:id="18"/>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19" w:name="_Toc17279266"/>
      <w:r>
        <w:rPr>
          <w:rStyle w:val="CharSectno"/>
        </w:rPr>
        <w:t>15</w:t>
      </w:r>
      <w:r>
        <w:t>.</w:t>
      </w:r>
      <w:r>
        <w:tab/>
        <w:t>Park liaison committee’s prescribed functions (s. 61(2)(a)(iv) of the Act)</w:t>
      </w:r>
      <w:bookmarkEnd w:id="19"/>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20" w:name="_Toc17279267"/>
      <w:r>
        <w:rPr>
          <w:rStyle w:val="CharSectno"/>
        </w:rPr>
        <w:t>16</w:t>
      </w:r>
      <w:r>
        <w:t>.</w:t>
      </w:r>
      <w:r>
        <w:tab/>
        <w:t>Prescribed matters relating to compensation determination (s. 65(2)(e) of the Act)</w:t>
      </w:r>
      <w:bookmarkEnd w:id="20"/>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21" w:name="_Toc17279268"/>
      <w:r>
        <w:rPr>
          <w:rStyle w:val="CharSectno"/>
        </w:rPr>
        <w:t>17</w:t>
      </w:r>
      <w:r>
        <w:t>.</w:t>
      </w:r>
      <w:r>
        <w:tab/>
        <w:t>Interest on security bond amount paid into ADI account (s. 92 of the Act)</w:t>
      </w:r>
      <w:bookmarkEnd w:id="21"/>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22" w:name="_Toc17279269"/>
      <w:r>
        <w:rPr>
          <w:rStyle w:val="CharSectno"/>
        </w:rPr>
        <w:t>18</w:t>
      </w:r>
      <w:r>
        <w:t>.</w:t>
      </w:r>
      <w:r>
        <w:tab/>
        <w:t>Disposal of security bond amounts — general (s. 92(e) and 94(c) of the Act)</w:t>
      </w:r>
      <w:bookmarkEnd w:id="22"/>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keepNext/>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23" w:name="_Toc17279270"/>
      <w:r>
        <w:rPr>
          <w:rStyle w:val="CharSectno"/>
        </w:rPr>
        <w:t>19</w:t>
      </w:r>
      <w:r>
        <w:rPr>
          <w:snapToGrid w:val="0"/>
        </w:rPr>
        <w:t>.</w:t>
      </w:r>
      <w:r>
        <w:rPr>
          <w:snapToGrid w:val="0"/>
        </w:rPr>
        <w:tab/>
        <w:t xml:space="preserve">Disposal of unclaimed security bond amounts </w:t>
      </w:r>
      <w:r>
        <w:t>(s. 92(e) and 94(c) of the Act)</w:t>
      </w:r>
      <w:bookmarkEnd w:id="23"/>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24" w:name="_Toc17279271"/>
      <w:r>
        <w:rPr>
          <w:rStyle w:val="CharSectno"/>
        </w:rPr>
        <w:t>20</w:t>
      </w:r>
      <w:r>
        <w:t>.</w:t>
      </w:r>
      <w:r>
        <w:tab/>
        <w:t>Park rules (s. 95(2)(f) of the Act)</w:t>
      </w:r>
      <w:bookmarkEnd w:id="24"/>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25" w:name="_Toc17279272"/>
      <w:r>
        <w:rPr>
          <w:rStyle w:val="CharSectno"/>
        </w:rPr>
        <w:t>21</w:t>
      </w:r>
      <w:r>
        <w:t>.</w:t>
      </w:r>
      <w:r>
        <w:tab/>
        <w:t>Amendments to park rules (s. 95(2)(f) of the Act)</w:t>
      </w:r>
      <w:bookmarkEnd w:id="25"/>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tenant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pStyle w:val="Footnotesection"/>
      </w:pPr>
      <w:r>
        <w:tab/>
        <w:t>[Regulation 21 amended: Gazette 5 Jul 2011 p. 2813.]</w:t>
      </w:r>
    </w:p>
    <w:p>
      <w:pPr>
        <w:pStyle w:val="Heading5"/>
      </w:pPr>
      <w:bookmarkStart w:id="26" w:name="_Toc17279273"/>
      <w:r>
        <w:rPr>
          <w:rStyle w:val="CharSectno"/>
        </w:rPr>
        <w:t>22</w:t>
      </w:r>
      <w:r>
        <w:t>.</w:t>
      </w:r>
      <w:r>
        <w:tab/>
        <w:t>Prescribed alterations for Sch. 1 cl. 14(4) of Act</w:t>
      </w:r>
      <w:bookmarkEnd w:id="26"/>
    </w:p>
    <w:p>
      <w:pPr>
        <w:pStyle w:val="Subsection"/>
      </w:pPr>
      <w:r>
        <w:tab/>
      </w:r>
      <w:r>
        <w:tab/>
        <w:t xml:space="preserve">For the purposes of Schedule 1 clause 14(4)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Subsection"/>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 w:name="_Toc7531827"/>
      <w:bookmarkStart w:id="28" w:name="_Toc11075615"/>
      <w:bookmarkStart w:id="29" w:name="_Toc13032634"/>
      <w:bookmarkStart w:id="30" w:name="_Toc13580163"/>
      <w:bookmarkStart w:id="31" w:name="_Toc14700017"/>
      <w:bookmarkStart w:id="32" w:name="_Toc14777445"/>
      <w:bookmarkStart w:id="33" w:name="_Toc14871194"/>
      <w:bookmarkStart w:id="34" w:name="_Toc17279162"/>
      <w:bookmarkStart w:id="35" w:name="_Toc17279274"/>
      <w:r>
        <w:rPr>
          <w:rStyle w:val="CharSchNo"/>
        </w:rPr>
        <w:t>Schedule 1</w:t>
      </w:r>
      <w:r>
        <w:t> — </w:t>
      </w:r>
      <w:r>
        <w:rPr>
          <w:rStyle w:val="CharSchText"/>
        </w:rPr>
        <w:t>Periodic on</w:t>
      </w:r>
      <w:r>
        <w:rPr>
          <w:rStyle w:val="CharSchText"/>
        </w:rPr>
        <w:noBreakHyphen/>
        <w:t>site home agreement</w:t>
      </w:r>
      <w:bookmarkEnd w:id="27"/>
      <w:bookmarkEnd w:id="28"/>
      <w:bookmarkEnd w:id="29"/>
      <w:bookmarkEnd w:id="30"/>
      <w:bookmarkEnd w:id="31"/>
      <w:bookmarkEnd w:id="32"/>
      <w:bookmarkEnd w:id="33"/>
      <w:bookmarkEnd w:id="34"/>
      <w:bookmarkEnd w:id="35"/>
    </w:p>
    <w:p>
      <w:pPr>
        <w:pStyle w:val="yShoulderClause"/>
      </w:pPr>
      <w:r>
        <w:t>[r. 4]</w:t>
      </w:r>
    </w:p>
    <w:p>
      <w:pPr>
        <w:pStyle w:val="yHeading3"/>
      </w:pPr>
      <w:bookmarkStart w:id="36" w:name="_Toc7531828"/>
      <w:bookmarkStart w:id="37" w:name="_Toc11075616"/>
      <w:bookmarkStart w:id="38" w:name="_Toc13032635"/>
      <w:bookmarkStart w:id="39" w:name="_Toc13580164"/>
      <w:bookmarkStart w:id="40" w:name="_Toc14700018"/>
      <w:bookmarkStart w:id="41" w:name="_Toc14777446"/>
      <w:bookmarkStart w:id="42" w:name="_Toc14871195"/>
      <w:bookmarkStart w:id="43" w:name="_Toc17279163"/>
      <w:bookmarkStart w:id="44" w:name="_Toc17279275"/>
      <w:r>
        <w:rPr>
          <w:rStyle w:val="CharSDivNo"/>
        </w:rPr>
        <w:t>Division 1</w:t>
      </w:r>
      <w:r>
        <w:t> — </w:t>
      </w:r>
      <w:r>
        <w:rPr>
          <w:rStyle w:val="CharSDivText"/>
        </w:rPr>
        <w:t>Preliminary</w:t>
      </w:r>
      <w:bookmarkEnd w:id="36"/>
      <w:bookmarkEnd w:id="37"/>
      <w:bookmarkEnd w:id="38"/>
      <w:bookmarkEnd w:id="39"/>
      <w:bookmarkEnd w:id="40"/>
      <w:bookmarkEnd w:id="41"/>
      <w:bookmarkEnd w:id="42"/>
      <w:bookmarkEnd w:id="43"/>
      <w:bookmarkEnd w:id="4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yTable"/>
              <w:tabs>
                <w:tab w:val="left" w:pos="459"/>
              </w:tabs>
              <w:ind w:left="459" w:hanging="459"/>
              <w:rPr>
                <w:rFonts w:ascii="Arial" w:hAnsi="Arial" w:cs="Arial"/>
                <w:sz w:val="18"/>
              </w:rPr>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ind w:left="459" w:hanging="459"/>
              <w:rPr>
                <w:rFonts w:ascii="Arial" w:hAnsi="Arial" w:cs="Arial"/>
                <w:sz w:val="14"/>
                <w:szCs w:val="14"/>
              </w:rPr>
            </w:pPr>
            <w:r>
              <w:rPr>
                <w:rFonts w:ascii="Arial" w:hAnsi="Arial" w:cs="Arial"/>
                <w:sz w:val="14"/>
                <w:szCs w:val="14"/>
              </w:rPr>
              <w:t>This agreement is in 10 Divisions:</w:t>
            </w:r>
          </w:p>
          <w:p>
            <w:pPr>
              <w:pStyle w:val="yTable"/>
              <w:ind w:left="459" w:hanging="459"/>
              <w:rPr>
                <w:rFonts w:ascii="Arial" w:hAnsi="Arial" w:cs="Arial"/>
                <w:sz w:val="14"/>
                <w:szCs w:val="14"/>
              </w:rPr>
            </w:pPr>
            <w:r>
              <w:rPr>
                <w:rFonts w:ascii="Arial" w:hAnsi="Arial" w:cs="Arial"/>
                <w:sz w:val="14"/>
                <w:szCs w:val="14"/>
              </w:rPr>
              <w:t>Division 1 — Preliminary</w:t>
            </w:r>
          </w:p>
          <w:p>
            <w:pPr>
              <w:pStyle w:val="yTable"/>
              <w:ind w:left="459" w:hanging="459"/>
              <w:rPr>
                <w:rFonts w:ascii="Arial" w:hAnsi="Arial" w:cs="Arial"/>
                <w:sz w:val="14"/>
                <w:szCs w:val="14"/>
              </w:rPr>
            </w:pPr>
            <w:r>
              <w:rPr>
                <w:rFonts w:ascii="Arial" w:hAnsi="Arial" w:cs="Arial"/>
                <w:sz w:val="14"/>
                <w:szCs w:val="14"/>
              </w:rPr>
              <w:t>Division 2 — Rent, fees and charges</w:t>
            </w:r>
          </w:p>
          <w:p>
            <w:pPr>
              <w:pStyle w:val="yTable"/>
              <w:ind w:left="459" w:hanging="459"/>
              <w:rPr>
                <w:rFonts w:ascii="Arial" w:hAnsi="Arial" w:cs="Arial"/>
                <w:sz w:val="14"/>
                <w:szCs w:val="14"/>
              </w:rPr>
            </w:pPr>
            <w:r>
              <w:rPr>
                <w:rFonts w:ascii="Arial" w:hAnsi="Arial" w:cs="Arial"/>
                <w:sz w:val="14"/>
                <w:szCs w:val="14"/>
              </w:rPr>
              <w:t>Division 3 — Table of fees and charges for services and utilities</w:t>
            </w:r>
          </w:p>
          <w:p>
            <w:pPr>
              <w:pStyle w:val="yTable"/>
              <w:ind w:left="459" w:hanging="459"/>
              <w:rPr>
                <w:rFonts w:ascii="Arial" w:hAnsi="Arial" w:cs="Arial"/>
                <w:sz w:val="14"/>
                <w:szCs w:val="14"/>
              </w:rPr>
            </w:pPr>
            <w:r>
              <w:rPr>
                <w:rFonts w:ascii="Arial" w:hAnsi="Arial" w:cs="Arial"/>
                <w:sz w:val="14"/>
                <w:szCs w:val="14"/>
              </w:rPr>
              <w:t>Division 4 — General terms</w:t>
            </w:r>
          </w:p>
          <w:p>
            <w:pPr>
              <w:pStyle w:val="yTable"/>
              <w:ind w:left="459" w:hanging="459"/>
              <w:rPr>
                <w:rFonts w:ascii="Arial" w:hAnsi="Arial" w:cs="Arial"/>
                <w:sz w:val="14"/>
                <w:szCs w:val="14"/>
              </w:rPr>
            </w:pPr>
            <w:r>
              <w:rPr>
                <w:rFonts w:ascii="Arial" w:hAnsi="Arial" w:cs="Arial"/>
                <w:sz w:val="14"/>
                <w:szCs w:val="14"/>
              </w:rPr>
              <w:t>Division 5 — Special terms</w:t>
            </w:r>
          </w:p>
          <w:p>
            <w:pPr>
              <w:pStyle w:val="yTable"/>
              <w:ind w:left="459" w:hanging="459"/>
              <w:rPr>
                <w:rFonts w:ascii="Arial" w:hAnsi="Arial" w:cs="Arial"/>
                <w:sz w:val="14"/>
                <w:szCs w:val="14"/>
              </w:rPr>
            </w:pPr>
            <w:r>
              <w:rPr>
                <w:rFonts w:ascii="Arial" w:hAnsi="Arial" w:cs="Arial"/>
                <w:sz w:val="14"/>
                <w:szCs w:val="14"/>
              </w:rPr>
              <w:t xml:space="preserve">Division 6 — Condition report </w:t>
            </w:r>
          </w:p>
          <w:p>
            <w:pPr>
              <w:pStyle w:val="yTable"/>
              <w:ind w:left="459" w:hanging="459"/>
              <w:rPr>
                <w:rFonts w:ascii="Arial" w:hAnsi="Arial" w:cs="Arial"/>
                <w:sz w:val="14"/>
                <w:szCs w:val="14"/>
              </w:rPr>
            </w:pPr>
            <w:r>
              <w:rPr>
                <w:rFonts w:ascii="Arial" w:hAnsi="Arial" w:cs="Arial"/>
                <w:sz w:val="14"/>
                <w:szCs w:val="14"/>
              </w:rPr>
              <w:t>Division 7 — Park rules</w:t>
            </w:r>
          </w:p>
          <w:p>
            <w:pPr>
              <w:pStyle w:val="yTable"/>
              <w:ind w:left="459" w:hanging="459"/>
              <w:rPr>
                <w:rFonts w:ascii="Arial" w:hAnsi="Arial" w:cs="Arial"/>
                <w:sz w:val="14"/>
                <w:szCs w:val="14"/>
              </w:rPr>
            </w:pPr>
            <w:r>
              <w:rPr>
                <w:rFonts w:ascii="Arial" w:hAnsi="Arial" w:cs="Arial"/>
                <w:sz w:val="14"/>
                <w:szCs w:val="14"/>
              </w:rPr>
              <w:t>Division 8 — Information sheet</w:t>
            </w:r>
          </w:p>
          <w:p>
            <w:pPr>
              <w:pStyle w:val="yTable"/>
              <w:ind w:left="459" w:hanging="459"/>
              <w:rPr>
                <w:rFonts w:ascii="Arial" w:hAnsi="Arial" w:cs="Arial"/>
                <w:sz w:val="14"/>
                <w:szCs w:val="14"/>
              </w:rPr>
            </w:pPr>
            <w:r>
              <w:rPr>
                <w:rFonts w:ascii="Arial" w:hAnsi="Arial" w:cs="Arial"/>
                <w:sz w:val="14"/>
                <w:szCs w:val="14"/>
              </w:rPr>
              <w:t>Division 9 — Acceptance</w:t>
            </w:r>
          </w:p>
          <w:p>
            <w:pPr>
              <w:pStyle w:val="yTable"/>
              <w:ind w:left="459" w:hanging="459"/>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ind w:left="459" w:hanging="459"/>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5"/>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tabs>
                <w:tab w:val="left" w:pos="459"/>
              </w:tabs>
              <w:ind w:left="459" w:hanging="459"/>
              <w:rPr>
                <w:rFonts w:ascii="Arial" w:hAnsi="Arial" w:cs="Arial"/>
                <w:b/>
                <w:sz w:val="18"/>
                <w:szCs w:val="18"/>
              </w:rPr>
            </w:pPr>
            <w:r>
              <w:rPr>
                <w:rFonts w:ascii="Arial" w:hAnsi="Arial" w:cs="Arial"/>
                <w:b/>
                <w:sz w:val="18"/>
                <w:szCs w:val="18"/>
              </w:rPr>
              <w:t>WARNING</w:t>
            </w:r>
          </w:p>
          <w:p>
            <w:pPr>
              <w:pStyle w:val="yTable"/>
              <w:ind w:left="459" w:hanging="459"/>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with no fixed term.</w:t>
            </w:r>
          </w:p>
          <w:p>
            <w:pPr>
              <w:pStyle w:val="yTable"/>
              <w:rPr>
                <w:rFonts w:ascii="Arial" w:hAnsi="Arial" w:cs="Arial"/>
                <w:sz w:val="14"/>
                <w:szCs w:val="14"/>
              </w:rPr>
            </w:pPr>
            <w:r>
              <w:rPr>
                <w:rFonts w:ascii="Arial" w:hAnsi="Arial" w:cs="Arial"/>
                <w:sz w:val="14"/>
                <w:szCs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r>
            <w:r>
              <w:rPr>
                <w:rStyle w:val="CharDefText"/>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r>
            <w:r>
              <w:rPr>
                <w:rStyle w:val="CharDefText"/>
                <w:bCs/>
                <w:iCs/>
                <w:sz w:val="18"/>
              </w:rPr>
              <w:t>agreed premises</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b/>
                <w:sz w:val="18"/>
              </w:rPr>
              <w:tab/>
            </w:r>
            <w:r>
              <w:rPr>
                <w:rStyle w:val="CharDefText"/>
                <w:bCs/>
                <w:iCs/>
                <w:sz w:val="18"/>
              </w:rPr>
              <w:t>on-site home</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r>
            <w:r>
              <w:rPr>
                <w:rStyle w:val="CharDefText"/>
                <w:bCs/>
                <w:iCs/>
                <w:sz w:val="18"/>
              </w:rPr>
              <w:t>park operator</w:t>
            </w:r>
            <w:r>
              <w:rPr>
                <w:sz w:val="18"/>
              </w:rPr>
              <w:t xml:space="preserve"> means the party referred to in clause 2;</w:t>
            </w:r>
          </w:p>
          <w:p>
            <w:pPr>
              <w:pStyle w:val="yTable"/>
              <w:tabs>
                <w:tab w:val="left" w:pos="317"/>
                <w:tab w:val="left" w:pos="601"/>
              </w:tabs>
              <w:ind w:left="601" w:hanging="601"/>
              <w:rPr>
                <w:sz w:val="18"/>
              </w:rPr>
            </w:pPr>
            <w:r>
              <w:rPr>
                <w:b/>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b/>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b/>
                <w:sz w:val="18"/>
              </w:rPr>
              <w:tab/>
            </w:r>
            <w:r>
              <w:rPr>
                <w:rStyle w:val="CharDefText"/>
                <w:bCs/>
                <w:iCs/>
                <w:sz w:val="18"/>
              </w:rPr>
              <w:t>tenant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w:t>
            </w:r>
          </w:p>
        </w:tc>
      </w:tr>
      <w:tr>
        <w:tc>
          <w:tcPr>
            <w:tcW w:w="1418" w:type="dxa"/>
            <w:tcBorders>
              <w:top w:val="single" w:sz="4" w:space="0" w:color="auto"/>
              <w:bottom w:val="single" w:sz="4" w:space="0" w:color="auto"/>
            </w:tcBorders>
            <w:shd w:val="clear" w:color="auto" w:fill="D9D9D9"/>
          </w:tcPr>
          <w:p>
            <w:pPr>
              <w:pStyle w:val="yTable"/>
              <w:rPr>
                <w:b/>
                <w:sz w:val="18"/>
                <w:szCs w:val="18"/>
              </w:rPr>
            </w:pPr>
            <w:r>
              <w:rPr>
                <w:b/>
                <w:sz w:val="18"/>
                <w:szCs w:val="18"/>
              </w:rPr>
              <w:t>Clause </w:t>
            </w:r>
            <w:r>
              <w:rPr>
                <w:rStyle w:val="CharSClsNo"/>
                <w:b/>
                <w:sz w:val="18"/>
                <w:szCs w:val="18"/>
              </w:rPr>
              <w:t>4A</w:t>
            </w:r>
            <w:r>
              <w:rPr>
                <w:b/>
                <w:sz w:val="18"/>
                <w:szCs w:val="18"/>
              </w:rPr>
              <w:t>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Footnotesection"/>
      </w:pPr>
      <w:r>
        <w:tab/>
        <w:t>[Division 1 amended: Gazette 5 Jul 2011 p. 2814.]</w:t>
      </w:r>
    </w:p>
    <w:p>
      <w:pPr>
        <w:pStyle w:val="yHeading3"/>
      </w:pPr>
      <w:bookmarkStart w:id="45" w:name="_Toc7531829"/>
      <w:bookmarkStart w:id="46" w:name="_Toc11075617"/>
      <w:bookmarkStart w:id="47" w:name="_Toc13032636"/>
      <w:bookmarkStart w:id="48" w:name="_Toc13580165"/>
      <w:bookmarkStart w:id="49" w:name="_Toc14700019"/>
      <w:bookmarkStart w:id="50" w:name="_Toc14777447"/>
      <w:bookmarkStart w:id="51" w:name="_Toc14871196"/>
      <w:bookmarkStart w:id="52" w:name="_Toc17279164"/>
      <w:bookmarkStart w:id="53" w:name="_Toc17279276"/>
      <w:r>
        <w:rPr>
          <w:rStyle w:val="CharSDivNo"/>
        </w:rPr>
        <w:t>Division 2</w:t>
      </w:r>
      <w:r>
        <w:t> — </w:t>
      </w:r>
      <w:r>
        <w:rPr>
          <w:rStyle w:val="CharSDivText"/>
        </w:rPr>
        <w:t>Rent, fees and charges</w:t>
      </w:r>
      <w:bookmarkEnd w:id="45"/>
      <w:bookmarkEnd w:id="46"/>
      <w:bookmarkEnd w:id="47"/>
      <w:bookmarkEnd w:id="48"/>
      <w:bookmarkEnd w:id="49"/>
      <w:bookmarkEnd w:id="50"/>
      <w:bookmarkEnd w:id="51"/>
      <w:bookmarkEnd w:id="52"/>
      <w:bookmarkEnd w:id="53"/>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An additional charge may apply (see clauses 4A and 14) if additional persons are residing on a temporary basis in the on</w:t>
            </w:r>
            <w:r>
              <w:rPr>
                <w:sz w:val="18"/>
              </w:rPr>
              <w:noBreakHyphen/>
              <w:t>site home.</w:t>
            </w:r>
          </w:p>
          <w:p>
            <w:pPr>
              <w:pStyle w:val="yTable"/>
              <w:ind w:left="742" w:hanging="742"/>
              <w:rPr>
                <w:rFonts w:ascii="Arial" w:hAnsi="Arial" w:cs="Arial"/>
                <w:sz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top w:val="single" w:sz="4" w:space="0" w:color="auto"/>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section 30(2) of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park operator must give at least 60 days notice of any rent increase;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2:</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pPr>
            <w:r>
              <w:rPr>
                <w:rFonts w:ascii="Arial" w:hAnsi="Arial" w:cs="Arial"/>
                <w:sz w:val="14"/>
              </w:rPr>
              <w:t>Note 3:</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the on</w:t>
            </w:r>
            <w:r>
              <w:rPr>
                <w:sz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2814; 14 Nov 2013 p. 5063.]</w:t>
      </w:r>
    </w:p>
    <w:p>
      <w:pPr>
        <w:pStyle w:val="yHeading3"/>
        <w:spacing w:after="60"/>
      </w:pPr>
      <w:bookmarkStart w:id="54" w:name="_Toc7531830"/>
      <w:bookmarkStart w:id="55" w:name="_Toc11075618"/>
      <w:bookmarkStart w:id="56" w:name="_Toc13032637"/>
      <w:bookmarkStart w:id="57" w:name="_Toc13580166"/>
      <w:bookmarkStart w:id="58" w:name="_Toc14700020"/>
      <w:bookmarkStart w:id="59" w:name="_Toc14777448"/>
      <w:bookmarkStart w:id="60" w:name="_Toc14871197"/>
      <w:bookmarkStart w:id="61" w:name="_Toc17279165"/>
      <w:bookmarkStart w:id="62" w:name="_Toc17279277"/>
      <w:r>
        <w:rPr>
          <w:rStyle w:val="CharSDivNo"/>
        </w:rPr>
        <w:t>Division 3</w:t>
      </w:r>
      <w:r>
        <w:t> — </w:t>
      </w:r>
      <w:r>
        <w:rPr>
          <w:rStyle w:val="CharSDivText"/>
        </w:rPr>
        <w:t>Table of fees and charges for services and utilities</w:t>
      </w:r>
      <w:bookmarkEnd w:id="54"/>
      <w:bookmarkEnd w:id="55"/>
      <w:bookmarkEnd w:id="56"/>
      <w:bookmarkEnd w:id="57"/>
      <w:bookmarkEnd w:id="58"/>
      <w:bookmarkEnd w:id="59"/>
      <w:bookmarkEnd w:id="60"/>
      <w:bookmarkEnd w:id="61"/>
      <w:bookmarkEnd w:id="62"/>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pageBreakBefore/>
        <w:spacing w:before="0"/>
      </w:pPr>
      <w:bookmarkStart w:id="63" w:name="_Toc7531831"/>
      <w:bookmarkStart w:id="64" w:name="_Toc11075619"/>
      <w:bookmarkStart w:id="65" w:name="_Toc13032638"/>
      <w:bookmarkStart w:id="66" w:name="_Toc13580167"/>
      <w:bookmarkStart w:id="67" w:name="_Toc14700021"/>
      <w:bookmarkStart w:id="68" w:name="_Toc14777449"/>
      <w:bookmarkStart w:id="69" w:name="_Toc14871198"/>
      <w:bookmarkStart w:id="70" w:name="_Toc17279166"/>
      <w:bookmarkStart w:id="71" w:name="_Toc17279278"/>
      <w:r>
        <w:rPr>
          <w:rStyle w:val="CharSDivNo"/>
        </w:rPr>
        <w:t>Division 4</w:t>
      </w:r>
      <w:r>
        <w:t> — </w:t>
      </w:r>
      <w:r>
        <w:rPr>
          <w:rStyle w:val="CharSDivText"/>
        </w:rPr>
        <w:t>General terms</w:t>
      </w:r>
      <w:bookmarkEnd w:id="63"/>
      <w:bookmarkEnd w:id="64"/>
      <w:bookmarkEnd w:id="65"/>
      <w:bookmarkEnd w:id="66"/>
      <w:bookmarkEnd w:id="67"/>
      <w:bookmarkEnd w:id="68"/>
      <w:bookmarkEnd w:id="69"/>
      <w:bookmarkEnd w:id="70"/>
      <w:bookmarkEnd w:id="7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keepNext/>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24 — </w:t>
            </w:r>
            <w:r>
              <w:rPr>
                <w:b/>
                <w:bCs/>
                <w:sz w:val="18"/>
              </w:rPr>
              <w:br/>
              <w:t>Park operator’s responsibility for cleanliness and repairs</w:t>
            </w:r>
          </w:p>
        </w:tc>
        <w:tc>
          <w:tcPr>
            <w:tcW w:w="5103" w:type="dxa"/>
            <w:tcBorders>
              <w:top w:val="single" w:sz="4" w:space="0" w:color="auto"/>
            </w:tcBorders>
          </w:tcPr>
          <w:p>
            <w:pPr>
              <w:pStyle w:val="yTable"/>
              <w:keepNext/>
              <w:ind w:left="459" w:hanging="459"/>
              <w:rPr>
                <w:sz w:val="18"/>
              </w:rPr>
            </w:pPr>
            <w:r>
              <w:rPr>
                <w:sz w:val="18"/>
              </w:rPr>
              <w:t>(1)</w:t>
            </w:r>
            <w:r>
              <w:rPr>
                <w:sz w:val="18"/>
              </w:rPr>
              <w:tab/>
              <w:t>The park operator must —</w:t>
            </w:r>
          </w:p>
          <w:p>
            <w:pPr>
              <w:pStyle w:val="yTable"/>
              <w:keepNext/>
              <w:ind w:left="884" w:hanging="425"/>
              <w:rPr>
                <w:sz w:val="18"/>
              </w:rPr>
            </w:pPr>
            <w:r>
              <w:rPr>
                <w:sz w:val="18"/>
              </w:rPr>
              <w:t>(a)</w:t>
            </w:r>
            <w:r>
              <w:rPr>
                <w:sz w:val="18"/>
              </w:rPr>
              <w:tab/>
              <w:t>provide the agreed premises and the shared premises in a reasonable state of cleanliness; and</w:t>
            </w:r>
          </w:p>
          <w:p>
            <w:pPr>
              <w:pStyle w:val="yTable"/>
              <w:keepNext/>
              <w:ind w:left="884" w:hanging="425"/>
              <w:rPr>
                <w:sz w:val="18"/>
              </w:rPr>
            </w:pPr>
            <w:r>
              <w:rPr>
                <w:sz w:val="18"/>
              </w:rPr>
              <w:t>(b)</w:t>
            </w:r>
            <w:r>
              <w:rPr>
                <w:sz w:val="18"/>
              </w:rPr>
              <w:tab/>
              <w:t>maintain the shared premises in a reasonable state of cleanliness; and</w:t>
            </w:r>
          </w:p>
          <w:p>
            <w:pPr>
              <w:pStyle w:val="yTable"/>
              <w:keepNext/>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pPr>
          </w:p>
        </w:tc>
      </w:tr>
    </w:tbl>
    <w:p/>
    <w:tbl>
      <w:tblPr>
        <w:tblW w:w="0" w:type="auto"/>
        <w:tblInd w:w="675" w:type="dxa"/>
        <w:tblLayout w:type="fixed"/>
        <w:tblLook w:val="0000" w:firstRow="0" w:lastRow="0" w:firstColumn="0" w:lastColumn="0" w:noHBand="0" w:noVBand="0"/>
      </w:tblPr>
      <w:tblGrid>
        <w:gridCol w:w="1418"/>
        <w:gridCol w:w="5103"/>
      </w:tblGrid>
      <w:tr>
        <w:tc>
          <w:tcPr>
            <w:tcW w:w="1418" w:type="dxa"/>
            <w:shd w:val="clear" w:color="auto" w:fill="D9D9D9"/>
          </w:tcPr>
          <w:p>
            <w:pPr>
              <w:pStyle w:val="yTable"/>
              <w:rPr>
                <w:b/>
                <w:bCs/>
                <w:sz w:val="18"/>
              </w:rPr>
            </w:pPr>
          </w:p>
        </w:tc>
        <w:tc>
          <w:tcPr>
            <w:tcW w:w="5103" w:type="dxa"/>
          </w:tcPr>
          <w:p>
            <w:pPr>
              <w:pStyle w:val="yTable"/>
              <w:keepNext/>
              <w:keepLines/>
              <w:pageBreakBefore/>
              <w:ind w:left="459" w:hanging="459"/>
              <w:rPr>
                <w:sz w:val="18"/>
              </w:rPr>
            </w:pPr>
            <w:r>
              <w:rPr>
                <w:sz w:val="18"/>
              </w:rPr>
              <w:t>(2)</w:t>
            </w:r>
            <w:r>
              <w:rPr>
                <w:sz w:val="18"/>
              </w:rPr>
              <w:tab/>
              <w:t>However, the park operator is not obliged to compensate the tenant unless —</w:t>
            </w:r>
          </w:p>
          <w:p>
            <w:pPr>
              <w:pStyle w:val="yTable"/>
              <w:keepNext/>
              <w:keepLines/>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tc>
      </w:tr>
      <w:tr>
        <w:tc>
          <w:tcPr>
            <w:tcW w:w="1418" w:type="dxa"/>
            <w:shd w:val="clear" w:color="auto" w:fill="D9D9D9"/>
          </w:tcPr>
          <w:p>
            <w:pPr>
              <w:pStyle w:val="yTable"/>
              <w:rPr>
                <w:b/>
                <w:bCs/>
                <w:sz w:val="18"/>
              </w:rPr>
            </w:pPr>
          </w:p>
        </w:tc>
        <w:tc>
          <w:tcPr>
            <w:tcW w:w="5103" w:type="dxa"/>
          </w:tcPr>
          <w:p>
            <w:pPr>
              <w:pStyle w:val="yTable"/>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Lines/>
              <w:rPr>
                <w:b/>
                <w:bCs/>
                <w:sz w:val="18"/>
              </w:rPr>
            </w:pPr>
          </w:p>
        </w:tc>
        <w:tc>
          <w:tcPr>
            <w:tcW w:w="5103" w:type="dxa"/>
          </w:tcPr>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keepNext/>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If yes, outline the modification or restriction below:</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keepNext/>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tc>
      </w:tr>
      <w:tr>
        <w:tc>
          <w:tcPr>
            <w:tcW w:w="1418" w:type="dxa"/>
            <w:shd w:val="clear" w:color="auto" w:fill="D9D9D9"/>
          </w:tcPr>
          <w:p>
            <w:pPr>
              <w:pStyle w:val="yTable"/>
              <w:rPr>
                <w:b/>
                <w:bCs/>
                <w:sz w:val="18"/>
              </w:rPr>
            </w:pPr>
          </w:p>
        </w:tc>
        <w:tc>
          <w:tcPr>
            <w:tcW w:w="5103" w:type="dxa"/>
          </w:tcPr>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459" w:hanging="459"/>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keepNext/>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ind w:left="459" w:hanging="459"/>
              <w:rPr>
                <w:sz w:val="18"/>
              </w:rPr>
            </w:pPr>
            <w:r>
              <w:rPr>
                <w:sz w:val="18"/>
              </w:rPr>
              <w:t>(2)</w:t>
            </w:r>
            <w:r>
              <w:rPr>
                <w:sz w:val="18"/>
              </w:rPr>
              <w:tab/>
              <w:t>If yes —</w:t>
            </w:r>
          </w:p>
          <w:p>
            <w:pPr>
              <w:pStyle w:val="yTable"/>
              <w:keepNext/>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ind w:left="884" w:hanging="425"/>
              <w:rPr>
                <w:sz w:val="18"/>
              </w:rPr>
            </w:pPr>
            <w:r>
              <w:rPr>
                <w:sz w:val="18"/>
              </w:rPr>
              <w:t>(b)</w:t>
            </w:r>
            <w:r>
              <w:rPr>
                <w:sz w:val="18"/>
              </w:rPr>
              <w:tab/>
              <w:t>the following additional conditions apply:</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(3)</w:t>
            </w:r>
            <w:r>
              <w:rPr>
                <w:sz w:val="18"/>
              </w:rPr>
              <w:tab/>
              <w:t>The park operator must not withhold consent unreasonably.</w:t>
            </w:r>
          </w:p>
          <w:p>
            <w:pPr>
              <w:pStyle w:val="yTable"/>
              <w:keepNext/>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Next/>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2815.]</w:t>
      </w:r>
    </w:p>
    <w:p>
      <w:pPr>
        <w:pStyle w:val="yHeading3"/>
        <w:keepNext w:val="0"/>
      </w:pPr>
      <w:bookmarkStart w:id="72" w:name="_Toc7531832"/>
      <w:bookmarkStart w:id="73" w:name="_Toc11075620"/>
      <w:bookmarkStart w:id="74" w:name="_Toc13032639"/>
      <w:bookmarkStart w:id="75" w:name="_Toc13580168"/>
      <w:bookmarkStart w:id="76" w:name="_Toc14700022"/>
      <w:bookmarkStart w:id="77" w:name="_Toc14777450"/>
      <w:bookmarkStart w:id="78" w:name="_Toc14871199"/>
      <w:bookmarkStart w:id="79" w:name="_Toc17279167"/>
      <w:bookmarkStart w:id="80" w:name="_Toc17279279"/>
      <w:r>
        <w:rPr>
          <w:rStyle w:val="CharSDivNo"/>
        </w:rPr>
        <w:t>Division 5</w:t>
      </w:r>
      <w:r>
        <w:t> — </w:t>
      </w:r>
      <w:r>
        <w:rPr>
          <w:rStyle w:val="CharSDivText"/>
        </w:rPr>
        <w:t>Special terms</w:t>
      </w:r>
      <w:bookmarkEnd w:id="72"/>
      <w:bookmarkEnd w:id="73"/>
      <w:bookmarkEnd w:id="74"/>
      <w:bookmarkEnd w:id="75"/>
      <w:bookmarkEnd w:id="76"/>
      <w:bookmarkEnd w:id="77"/>
      <w:bookmarkEnd w:id="78"/>
      <w:bookmarkEnd w:id="79"/>
      <w:bookmarkEnd w:id="8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81" w:name="_Toc7531833"/>
      <w:bookmarkStart w:id="82" w:name="_Toc11075621"/>
      <w:bookmarkStart w:id="83" w:name="_Toc13032640"/>
      <w:bookmarkStart w:id="84" w:name="_Toc13580169"/>
      <w:bookmarkStart w:id="85" w:name="_Toc14700023"/>
      <w:bookmarkStart w:id="86" w:name="_Toc14777451"/>
      <w:bookmarkStart w:id="87" w:name="_Toc14871200"/>
      <w:bookmarkStart w:id="88" w:name="_Toc17279168"/>
      <w:bookmarkStart w:id="89" w:name="_Toc17279280"/>
      <w:r>
        <w:rPr>
          <w:rStyle w:val="CharSDivNo"/>
        </w:rPr>
        <w:t>Division 6</w:t>
      </w:r>
      <w:r>
        <w:t> — </w:t>
      </w:r>
      <w:r>
        <w:rPr>
          <w:rStyle w:val="CharSDivText"/>
        </w:rPr>
        <w:t>Condition report</w:t>
      </w:r>
      <w:bookmarkEnd w:id="81"/>
      <w:bookmarkEnd w:id="82"/>
      <w:bookmarkEnd w:id="83"/>
      <w:bookmarkEnd w:id="84"/>
      <w:bookmarkEnd w:id="85"/>
      <w:bookmarkEnd w:id="86"/>
      <w:bookmarkEnd w:id="87"/>
      <w:bookmarkEnd w:id="88"/>
      <w:bookmarkEnd w:id="89"/>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pPr>
      <w:bookmarkStart w:id="90" w:name="_Toc7531834"/>
      <w:bookmarkStart w:id="91" w:name="_Toc11075622"/>
      <w:bookmarkStart w:id="92" w:name="_Toc13032641"/>
      <w:bookmarkStart w:id="93" w:name="_Toc13580170"/>
      <w:bookmarkStart w:id="94" w:name="_Toc14700024"/>
      <w:bookmarkStart w:id="95" w:name="_Toc14777452"/>
      <w:bookmarkStart w:id="96" w:name="_Toc14871201"/>
      <w:bookmarkStart w:id="97" w:name="_Toc17279169"/>
      <w:bookmarkStart w:id="98" w:name="_Toc17279281"/>
      <w:r>
        <w:rPr>
          <w:rStyle w:val="CharSDivNo"/>
        </w:rPr>
        <w:t>Division 7</w:t>
      </w:r>
      <w:r>
        <w:t> — </w:t>
      </w:r>
      <w:r>
        <w:rPr>
          <w:rStyle w:val="CharSDivText"/>
        </w:rPr>
        <w:t>Park rules</w:t>
      </w:r>
      <w:bookmarkEnd w:id="90"/>
      <w:bookmarkEnd w:id="91"/>
      <w:bookmarkEnd w:id="92"/>
      <w:bookmarkEnd w:id="93"/>
      <w:bookmarkEnd w:id="94"/>
      <w:bookmarkEnd w:id="95"/>
      <w:bookmarkEnd w:id="96"/>
      <w:bookmarkEnd w:id="97"/>
      <w:bookmarkEnd w:id="98"/>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99" w:name="_Toc7531835"/>
      <w:bookmarkStart w:id="100" w:name="_Toc11075623"/>
      <w:bookmarkStart w:id="101" w:name="_Toc13032642"/>
      <w:bookmarkStart w:id="102" w:name="_Toc13580171"/>
      <w:bookmarkStart w:id="103" w:name="_Toc14700025"/>
      <w:bookmarkStart w:id="104" w:name="_Toc14777453"/>
      <w:bookmarkStart w:id="105" w:name="_Toc14871202"/>
      <w:bookmarkStart w:id="106" w:name="_Toc17279170"/>
      <w:bookmarkStart w:id="107" w:name="_Toc17279282"/>
      <w:r>
        <w:rPr>
          <w:rStyle w:val="CharSDivNo"/>
        </w:rPr>
        <w:t>Division 8</w:t>
      </w:r>
      <w:r>
        <w:t> — </w:t>
      </w:r>
      <w:r>
        <w:rPr>
          <w:rStyle w:val="CharSDivText"/>
        </w:rPr>
        <w:t>Information sheet</w:t>
      </w:r>
      <w:bookmarkEnd w:id="99"/>
      <w:bookmarkEnd w:id="100"/>
      <w:bookmarkEnd w:id="101"/>
      <w:bookmarkEnd w:id="102"/>
      <w:bookmarkEnd w:id="103"/>
      <w:bookmarkEnd w:id="104"/>
      <w:bookmarkEnd w:id="105"/>
      <w:bookmarkEnd w:id="106"/>
      <w:bookmarkEnd w:id="107"/>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pPr>
      <w:bookmarkStart w:id="108" w:name="_Toc7531836"/>
      <w:bookmarkStart w:id="109" w:name="_Toc11075624"/>
      <w:bookmarkStart w:id="110" w:name="_Toc13032643"/>
      <w:bookmarkStart w:id="111" w:name="_Toc13580172"/>
      <w:bookmarkStart w:id="112" w:name="_Toc14700026"/>
      <w:bookmarkStart w:id="113" w:name="_Toc14777454"/>
      <w:bookmarkStart w:id="114" w:name="_Toc14871203"/>
      <w:bookmarkStart w:id="115" w:name="_Toc17279171"/>
      <w:bookmarkStart w:id="116" w:name="_Toc17279283"/>
      <w:r>
        <w:rPr>
          <w:rStyle w:val="CharSDivNo"/>
        </w:rPr>
        <w:t>Division 9</w:t>
      </w:r>
      <w:r>
        <w:t> — </w:t>
      </w:r>
      <w:r>
        <w:rPr>
          <w:rStyle w:val="CharSDivText"/>
        </w:rPr>
        <w:t>Acceptance</w:t>
      </w:r>
      <w:bookmarkEnd w:id="108"/>
      <w:bookmarkEnd w:id="109"/>
      <w:bookmarkEnd w:id="110"/>
      <w:bookmarkEnd w:id="111"/>
      <w:bookmarkEnd w:id="112"/>
      <w:bookmarkEnd w:id="113"/>
      <w:bookmarkEnd w:id="114"/>
      <w:bookmarkEnd w:id="115"/>
      <w:bookmarkEnd w:id="11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pPr>
      <w:bookmarkStart w:id="117" w:name="_Toc7531837"/>
      <w:bookmarkStart w:id="118" w:name="_Toc11075625"/>
      <w:bookmarkStart w:id="119" w:name="_Toc13032644"/>
      <w:bookmarkStart w:id="120" w:name="_Toc13580173"/>
      <w:bookmarkStart w:id="121" w:name="_Toc14700027"/>
      <w:bookmarkStart w:id="122" w:name="_Toc14777455"/>
      <w:bookmarkStart w:id="123" w:name="_Toc14871204"/>
      <w:bookmarkStart w:id="124" w:name="_Toc17279172"/>
      <w:bookmarkStart w:id="125" w:name="_Toc17279284"/>
      <w:r>
        <w:rPr>
          <w:rStyle w:val="CharSDivNo"/>
        </w:rPr>
        <w:t>Division 10</w:t>
      </w:r>
      <w:r>
        <w:t> — </w:t>
      </w:r>
      <w:r>
        <w:rPr>
          <w:rStyle w:val="CharSDivText"/>
        </w:rPr>
        <w:t>Tenant’s checklist</w:t>
      </w:r>
      <w:bookmarkEnd w:id="117"/>
      <w:bookmarkEnd w:id="118"/>
      <w:bookmarkEnd w:id="119"/>
      <w:bookmarkEnd w:id="120"/>
      <w:bookmarkEnd w:id="121"/>
      <w:bookmarkEnd w:id="122"/>
      <w:bookmarkEnd w:id="123"/>
      <w:bookmarkEnd w:id="124"/>
      <w:bookmarkEnd w:id="12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126" w:name="_Toc7531838"/>
      <w:bookmarkStart w:id="127" w:name="_Toc11075626"/>
      <w:bookmarkStart w:id="128" w:name="_Toc13032645"/>
      <w:bookmarkStart w:id="129" w:name="_Toc13580174"/>
      <w:bookmarkStart w:id="130" w:name="_Toc14700028"/>
      <w:bookmarkStart w:id="131" w:name="_Toc14777456"/>
      <w:bookmarkStart w:id="132" w:name="_Toc14871205"/>
      <w:bookmarkStart w:id="133" w:name="_Toc17279173"/>
      <w:bookmarkStart w:id="134" w:name="_Toc17279285"/>
      <w:r>
        <w:rPr>
          <w:rStyle w:val="CharSchNo"/>
        </w:rPr>
        <w:t>Schedule 2</w:t>
      </w:r>
      <w:r>
        <w:t> — </w:t>
      </w:r>
      <w:r>
        <w:rPr>
          <w:rStyle w:val="CharSchText"/>
        </w:rPr>
        <w:t>Fixed term on</w:t>
      </w:r>
      <w:r>
        <w:rPr>
          <w:rStyle w:val="CharSchText"/>
        </w:rPr>
        <w:noBreakHyphen/>
        <w:t>site home agreement</w:t>
      </w:r>
      <w:bookmarkEnd w:id="126"/>
      <w:bookmarkEnd w:id="127"/>
      <w:bookmarkEnd w:id="128"/>
      <w:bookmarkEnd w:id="129"/>
      <w:bookmarkEnd w:id="130"/>
      <w:bookmarkEnd w:id="131"/>
      <w:bookmarkEnd w:id="132"/>
      <w:bookmarkEnd w:id="133"/>
      <w:bookmarkEnd w:id="134"/>
    </w:p>
    <w:p>
      <w:pPr>
        <w:pStyle w:val="yShoulderClause"/>
      </w:pPr>
      <w:r>
        <w:t>[r. 5]</w:t>
      </w:r>
    </w:p>
    <w:p>
      <w:pPr>
        <w:pStyle w:val="yHeading3"/>
      </w:pPr>
      <w:bookmarkStart w:id="135" w:name="_Toc7531839"/>
      <w:bookmarkStart w:id="136" w:name="_Toc11075627"/>
      <w:bookmarkStart w:id="137" w:name="_Toc13032646"/>
      <w:bookmarkStart w:id="138" w:name="_Toc13580175"/>
      <w:bookmarkStart w:id="139" w:name="_Toc14700029"/>
      <w:bookmarkStart w:id="140" w:name="_Toc14777457"/>
      <w:bookmarkStart w:id="141" w:name="_Toc14871206"/>
      <w:bookmarkStart w:id="142" w:name="_Toc17279174"/>
      <w:bookmarkStart w:id="143" w:name="_Toc17279286"/>
      <w:r>
        <w:rPr>
          <w:rStyle w:val="CharSDivNo"/>
        </w:rPr>
        <w:t>Division 1</w:t>
      </w:r>
      <w:r>
        <w:t> — </w:t>
      </w:r>
      <w:r>
        <w:rPr>
          <w:rStyle w:val="CharSDivText"/>
        </w:rPr>
        <w:t>Preliminary</w:t>
      </w:r>
      <w:bookmarkEnd w:id="135"/>
      <w:bookmarkEnd w:id="136"/>
      <w:bookmarkEnd w:id="137"/>
      <w:bookmarkEnd w:id="138"/>
      <w:bookmarkEnd w:id="139"/>
      <w:bookmarkEnd w:id="140"/>
      <w:bookmarkEnd w:id="141"/>
      <w:bookmarkEnd w:id="142"/>
      <w:bookmarkEnd w:id="14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for a fixed term.</w:t>
            </w:r>
          </w:p>
          <w:p>
            <w:pPr>
              <w:pStyle w:val="yTable"/>
              <w:rPr>
                <w:rFonts w:ascii="Arial" w:hAnsi="Arial" w:cs="Arial"/>
                <w:sz w:val="14"/>
                <w:szCs w:val="14"/>
              </w:rPr>
            </w:pPr>
            <w:r>
              <w:rPr>
                <w:rFonts w:ascii="Arial" w:hAnsi="Arial" w:cs="Arial"/>
                <w:sz w:val="14"/>
                <w:szCs w:val="14"/>
              </w:rPr>
              <w:t>You could be given 60 days notice to vacate the site if the park is being sold, but compensation is payable by the park operator for losses incurred.</w:t>
            </w:r>
          </w:p>
          <w:p>
            <w:pPr>
              <w:pStyle w:val="yTable"/>
              <w:rPr>
                <w:rFonts w:ascii="Arial" w:hAnsi="Arial" w:cs="Arial"/>
                <w:sz w:val="14"/>
                <w:szCs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r>
            <w:r>
              <w:rPr>
                <w:rStyle w:val="CharDefText"/>
                <w:bCs/>
                <w:i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r>
            <w:r>
              <w:rPr>
                <w:rStyle w:val="CharDefText"/>
                <w:bCs/>
                <w:iCs/>
                <w:sz w:val="18"/>
              </w:rPr>
              <w:t>agreed premises</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b/>
                <w:sz w:val="18"/>
              </w:rPr>
              <w:tab/>
            </w:r>
            <w:r>
              <w:rPr>
                <w:rStyle w:val="CharDefText"/>
                <w:bCs/>
                <w:iCs/>
                <w:sz w:val="18"/>
              </w:rPr>
              <w:t>on-site home</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r>
            <w:r>
              <w:rPr>
                <w:rStyle w:val="CharDefText"/>
                <w:bCs/>
                <w:iCs/>
                <w:sz w:val="18"/>
              </w:rPr>
              <w:t>park operator</w:t>
            </w:r>
            <w:r>
              <w:rPr>
                <w:sz w:val="18"/>
              </w:rPr>
              <w:t xml:space="preserve"> means the party referred to in clause 2;</w:t>
            </w:r>
          </w:p>
          <w:p>
            <w:pPr>
              <w:pStyle w:val="yTable"/>
              <w:tabs>
                <w:tab w:val="left" w:pos="317"/>
                <w:tab w:val="left" w:pos="601"/>
              </w:tabs>
              <w:ind w:left="601" w:hanging="601"/>
              <w:rPr>
                <w:sz w:val="18"/>
              </w:rPr>
            </w:pPr>
            <w:r>
              <w:rPr>
                <w:b/>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b/>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b/>
                <w:sz w:val="18"/>
              </w:rPr>
              <w:tab/>
            </w:r>
            <w:r>
              <w:rPr>
                <w:rStyle w:val="CharDefText"/>
                <w:bCs/>
                <w:iCs/>
                <w:sz w:val="18"/>
              </w:rPr>
              <w:t>tenant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Footnotesection"/>
      </w:pPr>
      <w:r>
        <w:tab/>
        <w:t>[Division 1 amended: Gazette 5 Jul 2011 p. 2815.]</w:t>
      </w:r>
    </w:p>
    <w:p>
      <w:pPr>
        <w:pStyle w:val="yHeading3"/>
        <w:keepLines/>
        <w:pageBreakBefore/>
        <w:spacing w:before="0"/>
      </w:pPr>
      <w:bookmarkStart w:id="144" w:name="_Toc7531840"/>
      <w:bookmarkStart w:id="145" w:name="_Toc11075628"/>
      <w:bookmarkStart w:id="146" w:name="_Toc13032647"/>
      <w:bookmarkStart w:id="147" w:name="_Toc13580176"/>
      <w:bookmarkStart w:id="148" w:name="_Toc14700030"/>
      <w:bookmarkStart w:id="149" w:name="_Toc14777458"/>
      <w:bookmarkStart w:id="150" w:name="_Toc14871207"/>
      <w:bookmarkStart w:id="151" w:name="_Toc17279175"/>
      <w:bookmarkStart w:id="152" w:name="_Toc17279287"/>
      <w:r>
        <w:rPr>
          <w:rStyle w:val="CharSDivNo"/>
        </w:rPr>
        <w:t>Division 2</w:t>
      </w:r>
      <w:r>
        <w:t> — </w:t>
      </w:r>
      <w:r>
        <w:rPr>
          <w:rStyle w:val="CharSDivText"/>
        </w:rPr>
        <w:t>Rent, fees and charges</w:t>
      </w:r>
      <w:bookmarkEnd w:id="144"/>
      <w:bookmarkEnd w:id="145"/>
      <w:bookmarkEnd w:id="146"/>
      <w:bookmarkEnd w:id="147"/>
      <w:bookmarkEnd w:id="148"/>
      <w:bookmarkEnd w:id="149"/>
      <w:bookmarkEnd w:id="150"/>
      <w:bookmarkEnd w:id="151"/>
      <w:bookmarkEnd w:id="152"/>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yTable"/>
              <w:jc w:val="right"/>
              <w:rPr>
                <w:sz w:val="18"/>
                <w:szCs w:val="18"/>
              </w:rPr>
            </w:pPr>
            <w:r>
              <w:rPr>
                <w:sz w:val="18"/>
                <w:szCs w:val="18"/>
              </w:rPr>
              <w:t>(Please tick applicable period)</w:t>
            </w:r>
          </w:p>
          <w:p>
            <w:pPr>
              <w:pStyle w:val="yTable"/>
              <w:ind w:left="459" w:hanging="459"/>
              <w:rPr>
                <w:sz w:val="18"/>
                <w:szCs w:val="18"/>
              </w:rPr>
            </w:pPr>
            <w:r>
              <w:rPr>
                <w:sz w:val="18"/>
                <w:szCs w:val="18"/>
              </w:rPr>
              <w:t>(2)</w:t>
            </w:r>
            <w:r>
              <w:rPr>
                <w:sz w:val="18"/>
                <w:szCs w:val="18"/>
              </w:rPr>
              <w:tab/>
              <w:t>An additional charge may apply (see clauses 4A and 14) if additional persons are residing on a temporary basis in the on site home.</w:t>
            </w:r>
          </w:p>
          <w:p>
            <w:pPr>
              <w:pStyle w:val="yTable"/>
              <w:ind w:left="742" w:hanging="742"/>
              <w:rPr>
                <w:sz w:val="14"/>
                <w:szCs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ind w:left="742" w:hanging="742"/>
              <w:rPr>
                <w:b/>
                <w:bCs/>
              </w:rPr>
            </w:pPr>
          </w:p>
        </w:tc>
      </w:tr>
      <w:tr>
        <w:tc>
          <w:tcPr>
            <w:tcW w:w="1418" w:type="dxa"/>
            <w:shd w:val="clear" w:color="auto" w:fill="D9D9D9"/>
          </w:tcPr>
          <w:p>
            <w:pPr>
              <w:pStyle w:val="yTable"/>
              <w:keepNext/>
              <w:rPr>
                <w:b/>
                <w:bCs/>
                <w:sz w:val="18"/>
              </w:rPr>
            </w:pPr>
          </w:p>
        </w:tc>
        <w:tc>
          <w:tcPr>
            <w:tcW w:w="5103" w:type="dxa"/>
            <w:gridSpan w:val="3"/>
          </w:tcPr>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keepNext/>
              <w:keepLines/>
              <w:ind w:left="459" w:hanging="459"/>
              <w:rPr>
                <w:sz w:val="18"/>
              </w:rPr>
            </w:pPr>
            <w:r>
              <w:rPr>
                <w:rFonts w:ascii="Arial" w:hAnsi="Arial" w:cs="Arial"/>
                <w:sz w:val="14"/>
              </w:rPr>
              <w:t>Note 1:</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2:</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keepNext/>
              <w:keepLines/>
              <w:pageBreakBefor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keepNext/>
              <w:keepLines/>
              <w:rPr>
                <w:sz w:val="18"/>
              </w:rPr>
            </w:pPr>
            <w:r>
              <w:rPr>
                <w:sz w:val="18"/>
              </w:rPr>
              <w:t>4 weeks’ rent</w:t>
            </w:r>
          </w:p>
        </w:tc>
        <w:tc>
          <w:tcPr>
            <w:tcW w:w="2977" w:type="dxa"/>
            <w:gridSpan w:val="2"/>
            <w:tcBorders>
              <w:top w:val="single" w:sz="4" w:space="0" w:color="auto"/>
            </w:tcBorders>
          </w:tcPr>
          <w:p>
            <w:pPr>
              <w:pStyle w:val="yTable"/>
              <w:keepNext/>
              <w:keepLines/>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 xml:space="preserve">Charge for each person residing on the agreed premises in addition to the number of </w:t>
            </w:r>
            <w:r>
              <w:rPr>
                <w:sz w:val="18"/>
                <w:szCs w:val="18"/>
              </w:rPr>
              <w:t>persons who may use the on</w:t>
            </w:r>
            <w:r>
              <w:rPr>
                <w:sz w:val="18"/>
                <w:szCs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szCs w:val="18"/>
              </w:rPr>
            </w:pPr>
            <w:r>
              <w:rPr>
                <w:sz w:val="18"/>
                <w:szCs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keepLines/>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742" w:hanging="742"/>
              <w:rPr>
                <w:sz w:val="14"/>
              </w:rPr>
            </w:pP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2815</w:t>
      </w:r>
      <w:r>
        <w:noBreakHyphen/>
        <w:t>16; 14 Nov 2013 p. 5064.]</w:t>
      </w:r>
    </w:p>
    <w:p>
      <w:pPr>
        <w:pStyle w:val="yHeading3"/>
        <w:spacing w:after="60"/>
      </w:pPr>
      <w:bookmarkStart w:id="153" w:name="_Toc7531841"/>
      <w:bookmarkStart w:id="154" w:name="_Toc11075629"/>
      <w:bookmarkStart w:id="155" w:name="_Toc13032648"/>
      <w:bookmarkStart w:id="156" w:name="_Toc13580177"/>
      <w:bookmarkStart w:id="157" w:name="_Toc14700031"/>
      <w:bookmarkStart w:id="158" w:name="_Toc14777459"/>
      <w:bookmarkStart w:id="159" w:name="_Toc14871208"/>
      <w:bookmarkStart w:id="160" w:name="_Toc17279176"/>
      <w:bookmarkStart w:id="161" w:name="_Toc17279288"/>
      <w:r>
        <w:rPr>
          <w:rStyle w:val="CharSDivNo"/>
        </w:rPr>
        <w:t>Division 3</w:t>
      </w:r>
      <w:r>
        <w:t> — </w:t>
      </w:r>
      <w:r>
        <w:rPr>
          <w:rStyle w:val="CharSDivText"/>
        </w:rPr>
        <w:t>Table of fees and charges for services and utilities</w:t>
      </w:r>
      <w:bookmarkEnd w:id="153"/>
      <w:bookmarkEnd w:id="154"/>
      <w:bookmarkEnd w:id="155"/>
      <w:bookmarkEnd w:id="156"/>
      <w:bookmarkEnd w:id="157"/>
      <w:bookmarkEnd w:id="158"/>
      <w:bookmarkEnd w:id="159"/>
      <w:bookmarkEnd w:id="160"/>
      <w:bookmarkEnd w:id="161"/>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blHeader/>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pPr>
      <w:bookmarkStart w:id="162" w:name="_Toc7531842"/>
      <w:bookmarkStart w:id="163" w:name="_Toc11075630"/>
      <w:bookmarkStart w:id="164" w:name="_Toc13032649"/>
      <w:bookmarkStart w:id="165" w:name="_Toc13580178"/>
      <w:bookmarkStart w:id="166" w:name="_Toc14700032"/>
      <w:bookmarkStart w:id="167" w:name="_Toc14777460"/>
      <w:bookmarkStart w:id="168" w:name="_Toc14871209"/>
      <w:bookmarkStart w:id="169" w:name="_Toc17279177"/>
      <w:bookmarkStart w:id="170" w:name="_Toc17279289"/>
      <w:r>
        <w:rPr>
          <w:rStyle w:val="CharSDivNo"/>
        </w:rPr>
        <w:t>Division 4</w:t>
      </w:r>
      <w:r>
        <w:t> — </w:t>
      </w:r>
      <w:r>
        <w:rPr>
          <w:rStyle w:val="CharSDivText"/>
        </w:rPr>
        <w:t>General terms</w:t>
      </w:r>
      <w:bookmarkEnd w:id="162"/>
      <w:bookmarkEnd w:id="163"/>
      <w:bookmarkEnd w:id="164"/>
      <w:bookmarkEnd w:id="165"/>
      <w:bookmarkEnd w:id="166"/>
      <w:bookmarkEnd w:id="167"/>
      <w:bookmarkEnd w:id="168"/>
      <w:bookmarkEnd w:id="169"/>
      <w:bookmarkEnd w:id="17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rPr>
                <w:b/>
                <w:bCs/>
                <w:sz w:val="18"/>
              </w:rPr>
            </w:pPr>
            <w:r>
              <w:rPr>
                <w:b/>
                <w:bCs/>
                <w:sz w:val="18"/>
              </w:rPr>
              <w:t xml:space="preserve">Clause 23 — </w:t>
            </w:r>
            <w:r>
              <w:rPr>
                <w:b/>
                <w:bCs/>
                <w:sz w:val="18"/>
              </w:rPr>
              <w:br/>
              <w:t>Responsibility for damage</w:t>
            </w:r>
          </w:p>
        </w:tc>
        <w:tc>
          <w:tcPr>
            <w:tcW w:w="5103" w:type="dxa"/>
            <w:tcBorders>
              <w:top w:val="single" w:sz="4" w:space="0" w:color="auto"/>
            </w:tcBorders>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sz w:val="18"/>
              </w:rPr>
              <w:t>............................................................................................................</w:t>
            </w: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keepNext/>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rPr>
          <w:cantSplit/>
        </w:trP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29 — </w:t>
            </w:r>
            <w:r>
              <w:rPr>
                <w:b/>
                <w:bCs/>
                <w:sz w:val="18"/>
              </w:rPr>
              <w:br/>
              <w:t>Park operator’s right of entry</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p>
        </w:tc>
      </w:tr>
      <w:tr>
        <w:tc>
          <w:tcPr>
            <w:tcW w:w="1418" w:type="dxa"/>
            <w:shd w:val="clear" w:color="auto" w:fill="D9D9D9"/>
          </w:tcPr>
          <w:p>
            <w:pPr>
              <w:pStyle w:val="yTable"/>
              <w:rPr>
                <w:b/>
                <w:bCs/>
                <w:sz w:val="18"/>
              </w:rPr>
            </w:pPr>
          </w:p>
        </w:tc>
        <w:tc>
          <w:tcPr>
            <w:tcW w:w="5103" w:type="dxa"/>
          </w:tcPr>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459" w:hanging="459"/>
              <w:rPr>
                <w:sz w:val="18"/>
              </w:rPr>
            </w:pPr>
            <w:r>
              <w:rPr>
                <w:sz w:val="18"/>
              </w:rPr>
              <w:t>(2)</w:t>
            </w:r>
            <w:r>
              <w:rPr>
                <w:sz w:val="18"/>
              </w:rPr>
              <w:tab/>
              <w:t>If yes —</w:t>
            </w:r>
          </w:p>
          <w:p>
            <w:pPr>
              <w:pStyle w:val="yTable"/>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884" w:hanging="425"/>
              <w:rPr>
                <w:sz w:val="18"/>
              </w:rPr>
            </w:pPr>
            <w:r>
              <w:rPr>
                <w:sz w:val="18"/>
              </w:rPr>
              <w:t>(b)</w:t>
            </w:r>
            <w:r>
              <w:rPr>
                <w:sz w:val="18"/>
              </w:rPr>
              <w:tab/>
              <w:t>the following additional conditions apply:</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459" w:hanging="459"/>
              <w:rPr>
                <w:sz w:val="18"/>
              </w:rPr>
            </w:pPr>
            <w:r>
              <w:rPr>
                <w:sz w:val="18"/>
              </w:rPr>
              <w:t>(3)</w:t>
            </w:r>
            <w:r>
              <w:rPr>
                <w:sz w:val="18"/>
              </w:rPr>
              <w:tab/>
              <w:t>The park operator must not withhold consent unreasonably.</w:t>
            </w:r>
          </w:p>
          <w:p>
            <w:pPr>
              <w:pStyle w:val="yTable"/>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Lines/>
              <w:ind w:left="459" w:hanging="459"/>
              <w:rPr>
                <w:sz w:val="18"/>
              </w:rPr>
            </w:pP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yTable"/>
              <w:keepNext/>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Next/>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tcBorders>
          </w:tcPr>
          <w:p>
            <w:pPr>
              <w:pStyle w:val="yTable"/>
              <w:keepLines/>
              <w:ind w:left="459" w:hanging="459"/>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pP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keepNext/>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2816.]</w:t>
      </w:r>
    </w:p>
    <w:p>
      <w:pPr>
        <w:pStyle w:val="yHeading3"/>
      </w:pPr>
      <w:bookmarkStart w:id="171" w:name="_Toc7531843"/>
      <w:bookmarkStart w:id="172" w:name="_Toc11075631"/>
      <w:bookmarkStart w:id="173" w:name="_Toc13032650"/>
      <w:bookmarkStart w:id="174" w:name="_Toc13580179"/>
      <w:bookmarkStart w:id="175" w:name="_Toc14700033"/>
      <w:bookmarkStart w:id="176" w:name="_Toc14777461"/>
      <w:bookmarkStart w:id="177" w:name="_Toc14871210"/>
      <w:bookmarkStart w:id="178" w:name="_Toc17279178"/>
      <w:bookmarkStart w:id="179" w:name="_Toc17279290"/>
      <w:r>
        <w:rPr>
          <w:rStyle w:val="CharSDivNo"/>
        </w:rPr>
        <w:t>Division 5</w:t>
      </w:r>
      <w:r>
        <w:t> — </w:t>
      </w:r>
      <w:r>
        <w:rPr>
          <w:rStyle w:val="CharSDivText"/>
        </w:rPr>
        <w:t>Special terms</w:t>
      </w:r>
      <w:bookmarkEnd w:id="171"/>
      <w:bookmarkEnd w:id="172"/>
      <w:bookmarkEnd w:id="173"/>
      <w:bookmarkEnd w:id="174"/>
      <w:bookmarkEnd w:id="175"/>
      <w:bookmarkEnd w:id="176"/>
      <w:bookmarkEnd w:id="177"/>
      <w:bookmarkEnd w:id="178"/>
      <w:bookmarkEnd w:id="17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keepNext/>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bl>
    <w:p>
      <w:pPr>
        <w:pStyle w:val="yHeading3"/>
      </w:pPr>
      <w:bookmarkStart w:id="180" w:name="_Toc7531844"/>
      <w:bookmarkStart w:id="181" w:name="_Toc11075632"/>
      <w:bookmarkStart w:id="182" w:name="_Toc13032651"/>
      <w:bookmarkStart w:id="183" w:name="_Toc13580180"/>
      <w:bookmarkStart w:id="184" w:name="_Toc14700034"/>
      <w:bookmarkStart w:id="185" w:name="_Toc14777462"/>
      <w:bookmarkStart w:id="186" w:name="_Toc14871211"/>
      <w:bookmarkStart w:id="187" w:name="_Toc17279179"/>
      <w:bookmarkStart w:id="188" w:name="_Toc17279291"/>
      <w:r>
        <w:rPr>
          <w:rStyle w:val="CharSDivNo"/>
        </w:rPr>
        <w:t>Division 6</w:t>
      </w:r>
      <w:r>
        <w:t> — </w:t>
      </w:r>
      <w:r>
        <w:rPr>
          <w:rStyle w:val="CharSDivText"/>
        </w:rPr>
        <w:t>Condition report</w:t>
      </w:r>
      <w:bookmarkEnd w:id="180"/>
      <w:bookmarkEnd w:id="181"/>
      <w:bookmarkEnd w:id="182"/>
      <w:bookmarkEnd w:id="183"/>
      <w:bookmarkEnd w:id="184"/>
      <w:bookmarkEnd w:id="185"/>
      <w:bookmarkEnd w:id="186"/>
      <w:bookmarkEnd w:id="187"/>
      <w:bookmarkEnd w:id="188"/>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spacing w:before="220"/>
      </w:pPr>
      <w:bookmarkStart w:id="189" w:name="_Toc7531845"/>
      <w:bookmarkStart w:id="190" w:name="_Toc11075633"/>
      <w:bookmarkStart w:id="191" w:name="_Toc13032652"/>
      <w:bookmarkStart w:id="192" w:name="_Toc13580181"/>
      <w:bookmarkStart w:id="193" w:name="_Toc14700035"/>
      <w:bookmarkStart w:id="194" w:name="_Toc14777463"/>
      <w:bookmarkStart w:id="195" w:name="_Toc14871212"/>
      <w:bookmarkStart w:id="196" w:name="_Toc17279180"/>
      <w:bookmarkStart w:id="197" w:name="_Toc17279292"/>
      <w:r>
        <w:rPr>
          <w:rStyle w:val="CharSDivNo"/>
        </w:rPr>
        <w:t>Division 7</w:t>
      </w:r>
      <w:r>
        <w:t> — </w:t>
      </w:r>
      <w:r>
        <w:rPr>
          <w:rStyle w:val="CharSDivText"/>
        </w:rPr>
        <w:t>Park rules</w:t>
      </w:r>
      <w:bookmarkEnd w:id="189"/>
      <w:bookmarkEnd w:id="190"/>
      <w:bookmarkEnd w:id="191"/>
      <w:bookmarkEnd w:id="192"/>
      <w:bookmarkEnd w:id="193"/>
      <w:bookmarkEnd w:id="194"/>
      <w:bookmarkEnd w:id="195"/>
      <w:bookmarkEnd w:id="196"/>
      <w:bookmarkEnd w:id="197"/>
    </w:p>
    <w:p>
      <w:pPr>
        <w:pStyle w:val="PermNoteHeading"/>
      </w:pPr>
      <w:r>
        <w:tab/>
        <w:t>Note for this Division:</w:t>
      </w:r>
    </w:p>
    <w:p>
      <w:pPr>
        <w:pStyle w:val="PermNoteText"/>
      </w:pPr>
      <w:r>
        <w:tab/>
      </w:r>
      <w:r>
        <w:tab/>
        <w:t>In this Division the park operator should set out the park rules for the residential park.</w:t>
      </w:r>
    </w:p>
    <w:p>
      <w:pPr>
        <w:pStyle w:val="yHeading3"/>
        <w:spacing w:before="220"/>
      </w:pPr>
      <w:bookmarkStart w:id="198" w:name="_Toc7531846"/>
      <w:bookmarkStart w:id="199" w:name="_Toc11075634"/>
      <w:bookmarkStart w:id="200" w:name="_Toc13032653"/>
      <w:bookmarkStart w:id="201" w:name="_Toc13580182"/>
      <w:bookmarkStart w:id="202" w:name="_Toc14700036"/>
      <w:bookmarkStart w:id="203" w:name="_Toc14777464"/>
      <w:bookmarkStart w:id="204" w:name="_Toc14871213"/>
      <w:bookmarkStart w:id="205" w:name="_Toc17279181"/>
      <w:bookmarkStart w:id="206" w:name="_Toc17279293"/>
      <w:r>
        <w:rPr>
          <w:rStyle w:val="CharSDivNo"/>
        </w:rPr>
        <w:t>Division 8</w:t>
      </w:r>
      <w:r>
        <w:t> — </w:t>
      </w:r>
      <w:r>
        <w:rPr>
          <w:rStyle w:val="CharSDivText"/>
        </w:rPr>
        <w:t>Information sheet</w:t>
      </w:r>
      <w:bookmarkEnd w:id="198"/>
      <w:bookmarkEnd w:id="199"/>
      <w:bookmarkEnd w:id="200"/>
      <w:bookmarkEnd w:id="201"/>
      <w:bookmarkEnd w:id="202"/>
      <w:bookmarkEnd w:id="203"/>
      <w:bookmarkEnd w:id="204"/>
      <w:bookmarkEnd w:id="205"/>
      <w:bookmarkEnd w:id="206"/>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keepNext w:val="0"/>
        <w:keepLines/>
      </w:pPr>
      <w:bookmarkStart w:id="207" w:name="_Toc7531847"/>
      <w:bookmarkStart w:id="208" w:name="_Toc11075635"/>
      <w:bookmarkStart w:id="209" w:name="_Toc13032654"/>
      <w:bookmarkStart w:id="210" w:name="_Toc13580183"/>
      <w:bookmarkStart w:id="211" w:name="_Toc14700037"/>
      <w:bookmarkStart w:id="212" w:name="_Toc14777465"/>
      <w:bookmarkStart w:id="213" w:name="_Toc14871214"/>
      <w:bookmarkStart w:id="214" w:name="_Toc17279182"/>
      <w:bookmarkStart w:id="215" w:name="_Toc17279294"/>
      <w:r>
        <w:rPr>
          <w:rStyle w:val="CharSDivNo"/>
        </w:rPr>
        <w:t>Division 9</w:t>
      </w:r>
      <w:r>
        <w:t> — </w:t>
      </w:r>
      <w:r>
        <w:rPr>
          <w:rStyle w:val="CharSDivText"/>
        </w:rPr>
        <w:t>Acceptance</w:t>
      </w:r>
      <w:bookmarkEnd w:id="207"/>
      <w:bookmarkEnd w:id="208"/>
      <w:bookmarkEnd w:id="209"/>
      <w:bookmarkEnd w:id="210"/>
      <w:bookmarkEnd w:id="211"/>
      <w:bookmarkEnd w:id="212"/>
      <w:bookmarkEnd w:id="213"/>
      <w:bookmarkEnd w:id="214"/>
      <w:bookmarkEnd w:id="21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Lines/>
              <w:rPr>
                <w:b/>
                <w:bCs/>
                <w:sz w:val="18"/>
              </w:rPr>
            </w:pPr>
            <w:r>
              <w:rPr>
                <w:b/>
                <w:bCs/>
                <w:sz w:val="18"/>
              </w:rPr>
              <w:t>Tenant (1)</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D  D   M  M  Y  Y  Y  Y</w:t>
            </w:r>
          </w:p>
          <w:p>
            <w:pPr>
              <w:pStyle w:val="yTable"/>
              <w:keepLines/>
              <w:rPr>
                <w:b/>
                <w:bCs/>
                <w:sz w:val="18"/>
              </w:rPr>
            </w:pPr>
            <w:r>
              <w:rPr>
                <w:b/>
                <w:bCs/>
                <w:sz w:val="18"/>
              </w:rPr>
              <w:t>Tenant (2)</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b/>
                <w:bCs/>
                <w:sz w:val="18"/>
              </w:rPr>
            </w:pPr>
            <w:r>
              <w:rPr>
                <w:b/>
                <w:bCs/>
                <w:sz w:val="18"/>
              </w:rPr>
              <w:t>Witness*</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sz w:val="18"/>
              </w:rPr>
            </w:pPr>
            <w:r>
              <w:rPr>
                <w:sz w:val="18"/>
              </w:rPr>
              <w:t>* Please note the witness cannot be the park operator or tenant.</w:t>
            </w:r>
          </w:p>
        </w:tc>
      </w:tr>
    </w:tbl>
    <w:p>
      <w:pPr>
        <w:pStyle w:val="yHeading3"/>
        <w:keepNext w:val="0"/>
      </w:pPr>
      <w:bookmarkStart w:id="216" w:name="_Toc7531848"/>
      <w:bookmarkStart w:id="217" w:name="_Toc11075636"/>
      <w:bookmarkStart w:id="218" w:name="_Toc13032655"/>
      <w:bookmarkStart w:id="219" w:name="_Toc13580184"/>
      <w:bookmarkStart w:id="220" w:name="_Toc14700038"/>
      <w:bookmarkStart w:id="221" w:name="_Toc14777466"/>
      <w:bookmarkStart w:id="222" w:name="_Toc14871215"/>
      <w:bookmarkStart w:id="223" w:name="_Toc17279183"/>
      <w:bookmarkStart w:id="224" w:name="_Toc17279295"/>
      <w:r>
        <w:rPr>
          <w:rStyle w:val="CharSDivNo"/>
        </w:rPr>
        <w:t>Division 10</w:t>
      </w:r>
      <w:r>
        <w:t> — </w:t>
      </w:r>
      <w:r>
        <w:rPr>
          <w:rStyle w:val="CharSDivText"/>
        </w:rPr>
        <w:t>Tenant’s checklist</w:t>
      </w:r>
      <w:bookmarkEnd w:id="216"/>
      <w:bookmarkEnd w:id="217"/>
      <w:bookmarkEnd w:id="218"/>
      <w:bookmarkEnd w:id="219"/>
      <w:bookmarkEnd w:id="220"/>
      <w:bookmarkEnd w:id="221"/>
      <w:bookmarkEnd w:id="222"/>
      <w:bookmarkEnd w:id="223"/>
      <w:bookmarkEnd w:id="22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225" w:name="_Toc7531849"/>
      <w:bookmarkStart w:id="226" w:name="_Toc11075637"/>
      <w:bookmarkStart w:id="227" w:name="_Toc13032656"/>
      <w:bookmarkStart w:id="228" w:name="_Toc13580185"/>
      <w:bookmarkStart w:id="229" w:name="_Toc14700039"/>
      <w:bookmarkStart w:id="230" w:name="_Toc14777467"/>
      <w:bookmarkStart w:id="231" w:name="_Toc14871216"/>
      <w:bookmarkStart w:id="232" w:name="_Toc17279184"/>
      <w:bookmarkStart w:id="233" w:name="_Toc17279296"/>
      <w:r>
        <w:rPr>
          <w:rStyle w:val="CharSchNo"/>
        </w:rPr>
        <w:t>Schedule 3</w:t>
      </w:r>
      <w:r>
        <w:t> — </w:t>
      </w:r>
      <w:r>
        <w:rPr>
          <w:rStyle w:val="CharSchText"/>
        </w:rPr>
        <w:t>Periodic site</w:t>
      </w:r>
      <w:r>
        <w:rPr>
          <w:rStyle w:val="CharSchText"/>
        </w:rPr>
        <w:noBreakHyphen/>
        <w:t>only agreement</w:t>
      </w:r>
      <w:bookmarkEnd w:id="225"/>
      <w:bookmarkEnd w:id="226"/>
      <w:bookmarkEnd w:id="227"/>
      <w:bookmarkEnd w:id="228"/>
      <w:bookmarkEnd w:id="229"/>
      <w:bookmarkEnd w:id="230"/>
      <w:bookmarkEnd w:id="231"/>
      <w:bookmarkEnd w:id="232"/>
      <w:bookmarkEnd w:id="233"/>
    </w:p>
    <w:p>
      <w:pPr>
        <w:pStyle w:val="yShoulderClause"/>
      </w:pPr>
      <w:r>
        <w:t>[r. 6]</w:t>
      </w:r>
    </w:p>
    <w:p>
      <w:pPr>
        <w:pStyle w:val="yHeading3"/>
      </w:pPr>
      <w:bookmarkStart w:id="234" w:name="_Toc7531850"/>
      <w:bookmarkStart w:id="235" w:name="_Toc11075638"/>
      <w:bookmarkStart w:id="236" w:name="_Toc13032657"/>
      <w:bookmarkStart w:id="237" w:name="_Toc13580186"/>
      <w:bookmarkStart w:id="238" w:name="_Toc14700040"/>
      <w:bookmarkStart w:id="239" w:name="_Toc14777468"/>
      <w:bookmarkStart w:id="240" w:name="_Toc14871217"/>
      <w:bookmarkStart w:id="241" w:name="_Toc17279185"/>
      <w:bookmarkStart w:id="242" w:name="_Toc17279297"/>
      <w:r>
        <w:rPr>
          <w:rStyle w:val="CharSDivNo"/>
        </w:rPr>
        <w:t>Division 1</w:t>
      </w:r>
      <w:r>
        <w:t> — </w:t>
      </w:r>
      <w:r>
        <w:rPr>
          <w:rStyle w:val="CharSDivText"/>
        </w:rPr>
        <w:t>Preliminary</w:t>
      </w:r>
      <w:bookmarkEnd w:id="234"/>
      <w:bookmarkEnd w:id="235"/>
      <w:bookmarkEnd w:id="236"/>
      <w:bookmarkEnd w:id="237"/>
      <w:bookmarkEnd w:id="238"/>
      <w:bookmarkEnd w:id="239"/>
      <w:bookmarkEnd w:id="240"/>
      <w:bookmarkEnd w:id="241"/>
      <w:bookmarkEnd w:id="24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yTable"/>
              <w:ind w:left="742" w:hanging="742"/>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rPr>
            </w:pPr>
            <w:r>
              <w:rPr>
                <w:rFonts w:ascii="Arial" w:hAnsi="Arial" w:cs="Arial"/>
                <w:sz w:val="14"/>
              </w:rPr>
              <w:t>This agreement is in 10 Divisions:</w:t>
            </w:r>
          </w:p>
          <w:p>
            <w:pPr>
              <w:pStyle w:val="yTable"/>
              <w:rPr>
                <w:rFonts w:ascii="Arial" w:hAnsi="Arial" w:cs="Arial"/>
                <w:sz w:val="14"/>
              </w:rPr>
            </w:pPr>
            <w:r>
              <w:rPr>
                <w:rFonts w:ascii="Arial" w:hAnsi="Arial" w:cs="Arial"/>
                <w:sz w:val="14"/>
              </w:rPr>
              <w:t>Division 1 — Preliminary</w:t>
            </w:r>
          </w:p>
          <w:p>
            <w:pPr>
              <w:pStyle w:val="yTable"/>
              <w:rPr>
                <w:rFonts w:ascii="Arial" w:hAnsi="Arial" w:cs="Arial"/>
                <w:sz w:val="14"/>
              </w:rPr>
            </w:pPr>
            <w:r>
              <w:rPr>
                <w:rFonts w:ascii="Arial" w:hAnsi="Arial" w:cs="Arial"/>
                <w:sz w:val="14"/>
              </w:rPr>
              <w:t>Division 2 — Rent, fees and charges</w:t>
            </w:r>
          </w:p>
          <w:p>
            <w:pPr>
              <w:pStyle w:val="yTable"/>
              <w:rPr>
                <w:rFonts w:ascii="Arial" w:hAnsi="Arial" w:cs="Arial"/>
                <w:sz w:val="14"/>
              </w:rPr>
            </w:pPr>
            <w:r>
              <w:rPr>
                <w:rFonts w:ascii="Arial" w:hAnsi="Arial" w:cs="Arial"/>
                <w:sz w:val="14"/>
              </w:rPr>
              <w:t>Division 3 — Table of fees and charges for services and utilities</w:t>
            </w:r>
          </w:p>
          <w:p>
            <w:pPr>
              <w:pStyle w:val="yTable"/>
              <w:rPr>
                <w:rFonts w:ascii="Arial" w:hAnsi="Arial" w:cs="Arial"/>
                <w:sz w:val="14"/>
              </w:rPr>
            </w:pPr>
            <w:r>
              <w:rPr>
                <w:rFonts w:ascii="Arial" w:hAnsi="Arial" w:cs="Arial"/>
                <w:sz w:val="14"/>
              </w:rPr>
              <w:t>Division 4 — General terms</w:t>
            </w:r>
          </w:p>
          <w:p>
            <w:pPr>
              <w:pStyle w:val="yTable"/>
              <w:rPr>
                <w:rFonts w:ascii="Arial" w:hAnsi="Arial" w:cs="Arial"/>
                <w:sz w:val="14"/>
              </w:rPr>
            </w:pPr>
            <w:r>
              <w:rPr>
                <w:rFonts w:ascii="Arial" w:hAnsi="Arial" w:cs="Arial"/>
                <w:sz w:val="14"/>
              </w:rPr>
              <w:t>Division 5 — Special terms</w:t>
            </w:r>
          </w:p>
          <w:p>
            <w:pPr>
              <w:pStyle w:val="yTable"/>
              <w:rPr>
                <w:rFonts w:ascii="Arial" w:hAnsi="Arial" w:cs="Arial"/>
                <w:sz w:val="14"/>
              </w:rPr>
            </w:pPr>
            <w:r>
              <w:rPr>
                <w:rFonts w:ascii="Arial" w:hAnsi="Arial" w:cs="Arial"/>
                <w:sz w:val="14"/>
              </w:rPr>
              <w:t xml:space="preserve">Division 6 — Condition report </w:t>
            </w:r>
          </w:p>
          <w:p>
            <w:pPr>
              <w:pStyle w:val="yTable"/>
              <w:rPr>
                <w:rFonts w:ascii="Arial" w:hAnsi="Arial" w:cs="Arial"/>
                <w:sz w:val="14"/>
              </w:rPr>
            </w:pPr>
            <w:r>
              <w:rPr>
                <w:rFonts w:ascii="Arial" w:hAnsi="Arial" w:cs="Arial"/>
                <w:sz w:val="14"/>
              </w:rPr>
              <w:t>Division 7 — Park rules</w:t>
            </w:r>
          </w:p>
          <w:p>
            <w:pPr>
              <w:pStyle w:val="yTable"/>
              <w:rPr>
                <w:rFonts w:ascii="Arial" w:hAnsi="Arial" w:cs="Arial"/>
                <w:sz w:val="14"/>
              </w:rPr>
            </w:pPr>
            <w:r>
              <w:rPr>
                <w:rFonts w:ascii="Arial" w:hAnsi="Arial" w:cs="Arial"/>
                <w:sz w:val="14"/>
              </w:rPr>
              <w:t>Division 8 — Information sheet</w:t>
            </w:r>
          </w:p>
          <w:p>
            <w:pPr>
              <w:pStyle w:val="yTable"/>
              <w:rPr>
                <w:rFonts w:ascii="Arial" w:hAnsi="Arial" w:cs="Arial"/>
                <w:sz w:val="14"/>
              </w:rPr>
            </w:pPr>
            <w:r>
              <w:rPr>
                <w:rFonts w:ascii="Arial" w:hAnsi="Arial" w:cs="Arial"/>
                <w:sz w:val="14"/>
              </w:rPr>
              <w:t>Division 9 — Acceptance</w:t>
            </w:r>
          </w:p>
          <w:p>
            <w:pPr>
              <w:pStyle w:val="yTable"/>
              <w:rPr>
                <w:rFonts w:ascii="Arial" w:hAnsi="Arial" w:cs="Arial"/>
                <w:sz w:val="14"/>
              </w:rPr>
            </w:pPr>
            <w:r>
              <w:rPr>
                <w:rFonts w:ascii="Arial" w:hAnsi="Arial" w:cs="Arial"/>
                <w:sz w:val="14"/>
              </w:rPr>
              <w:t>Division 10 — Tenant’s checklist</w:t>
            </w:r>
          </w:p>
          <w:p>
            <w:pPr>
              <w:pStyle w:val="yTable"/>
              <w:rPr>
                <w:rFonts w:ascii="Arial" w:hAnsi="Arial" w:cs="Arial"/>
                <w:sz w:val="14"/>
              </w:rPr>
            </w:pPr>
            <w:r>
              <w:rPr>
                <w:rFonts w:ascii="Arial" w:hAnsi="Arial" w:cs="Arial"/>
                <w:sz w:val="14"/>
              </w:rPr>
              <w:t xml:space="preserve">Before you sign this agreement, you should have completed the </w:t>
            </w:r>
            <w:r>
              <w:rPr>
                <w:rFonts w:ascii="Arial" w:hAnsi="Arial" w:cs="Arial"/>
                <w:sz w:val="14"/>
              </w:rPr>
              <w:br/>
            </w:r>
            <w:r>
              <w:rPr>
                <w:rFonts w:ascii="Arial" w:hAnsi="Arial" w:cs="Arial"/>
                <w:b/>
                <w:sz w:val="14"/>
              </w:rPr>
              <w:t>TENANT’S CHECKLIST</w:t>
            </w:r>
            <w:r>
              <w:rPr>
                <w:rFonts w:ascii="Arial" w:hAnsi="Arial" w:cs="Arial"/>
                <w:sz w:val="14"/>
              </w:rPr>
              <w:t xml:space="preserve"> in Division 10.</w:t>
            </w:r>
          </w:p>
          <w:p>
            <w:pPr>
              <w:pStyle w:val="yTable"/>
              <w:rPr>
                <w:rFonts w:ascii="Arial" w:hAnsi="Arial" w:cs="Arial"/>
                <w:sz w:val="14"/>
              </w:rPr>
            </w:pPr>
            <w:r>
              <w:rPr>
                <w:rFonts w:ascii="Arial" w:hAnsi="Arial" w:cs="Arial"/>
                <w:sz w:val="14"/>
              </w:rPr>
              <w:t xml:space="preserve">If you need general information about renting at a residential park — </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call the Consumer Protection Contact Centre: 1300 30 40 54</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rPr>
            </w:pPr>
            <w:r>
              <w:rPr>
                <w:rFonts w:ascii="Arial" w:hAnsi="Arial" w:cs="Arial"/>
                <w:sz w:val="14"/>
              </w:rPr>
              <w:t>This is a long</w:t>
            </w:r>
            <w:r>
              <w:rPr>
                <w:rFonts w:ascii="Arial" w:hAnsi="Arial" w:cs="Arial"/>
                <w:sz w:val="14"/>
              </w:rPr>
              <w:noBreakHyphen/>
              <w:t xml:space="preserve">stay agreement with no fixed term.  </w:t>
            </w:r>
          </w:p>
          <w:p>
            <w:pPr>
              <w:pStyle w:val="yTable"/>
              <w:rPr>
                <w:rFonts w:ascii="Arial" w:hAnsi="Arial" w:cs="Arial"/>
                <w:sz w:val="14"/>
              </w:rPr>
            </w:pPr>
            <w:r>
              <w:rPr>
                <w:rFonts w:ascii="Arial" w:hAnsi="Arial" w:cs="Arial"/>
                <w:sz w:val="14"/>
              </w:rPr>
              <w:t>You could be given 180 days notice to vacate the site without explanation and you MIGHT NOT receive compensation for losses incurred, such as relocation expenses.</w:t>
            </w:r>
          </w:p>
          <w:p>
            <w:pPr>
              <w:pStyle w:val="yTable"/>
              <w:rPr>
                <w:rFonts w:ascii="Arial" w:hAnsi="Arial" w:cs="Arial"/>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rStyle w:val="CharDefText"/>
                <w:bCs/>
                <w:i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rStyle w:val="CharDefText"/>
                <w:bCs/>
                <w:i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rStyle w:val="CharDefText"/>
                <w:bCs/>
                <w:iCs/>
                <w:sz w:val="18"/>
              </w:rPr>
              <w:t>park operator</w:t>
            </w:r>
            <w:r>
              <w:rPr>
                <w:sz w:val="18"/>
              </w:rPr>
              <w:t xml:space="preserve"> means the party referred to in clause 2;</w:t>
            </w:r>
            <w:r>
              <w:rPr>
                <w:sz w:val="18"/>
              </w:rPr>
              <w:br/>
            </w:r>
          </w:p>
          <w:p>
            <w:pPr>
              <w:pStyle w:val="yTable"/>
              <w:tabs>
                <w:tab w:val="left" w:pos="317"/>
                <w:tab w:val="left" w:pos="601"/>
              </w:tabs>
              <w:ind w:left="601" w:hanging="601"/>
              <w:rPr>
                <w:sz w:val="18"/>
              </w:rPr>
            </w:pPr>
            <w:r>
              <w:rPr>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sz w:val="18"/>
              </w:rPr>
              <w:tab/>
            </w:r>
            <w:r>
              <w:rPr>
                <w:rStyle w:val="CharDefText"/>
                <w:bCs/>
                <w:i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rPr>
                <w:sz w:val="18"/>
              </w:rPr>
            </w:pPr>
            <w:r>
              <w:rPr>
                <w:sz w:val="18"/>
              </w:rPr>
              <w:t>Tenant/s name/s .................................................................................</w:t>
            </w:r>
          </w:p>
          <w:p>
            <w:pPr>
              <w:pStyle w:val="yTable"/>
              <w:keepNext/>
              <w:rPr>
                <w:sz w:val="18"/>
              </w:rPr>
            </w:pPr>
            <w:r>
              <w:rPr>
                <w:sz w:val="18"/>
              </w:rPr>
              <w:t>Current address ..................................................................................</w:t>
            </w:r>
          </w:p>
          <w:p>
            <w:pPr>
              <w:pStyle w:val="yTable"/>
              <w:keepNext/>
              <w:rPr>
                <w:sz w:val="18"/>
              </w:rPr>
            </w:pPr>
            <w:r>
              <w:rPr>
                <w:sz w:val="18"/>
              </w:rPr>
              <w:t>............................................................................................................</w:t>
            </w:r>
          </w:p>
          <w:p>
            <w:pPr>
              <w:pStyle w:val="yTable"/>
              <w:keepNext/>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rPr>
                <w:sz w:val="18"/>
              </w:rPr>
            </w:pPr>
            <w:r>
              <w:rPr>
                <w:sz w:val="18"/>
              </w:rPr>
              <w:t>Phone ( ) ................................. Fax ( ) ...............................................</w:t>
            </w:r>
          </w:p>
          <w:p>
            <w:pPr>
              <w:pStyle w:val="yTable"/>
              <w:keepNext/>
              <w:rPr>
                <w:sz w:val="18"/>
              </w:rPr>
            </w:pPr>
            <w:r>
              <w:rPr>
                <w:sz w:val="18"/>
              </w:rPr>
              <w:t>Email address .....................................................................................</w:t>
            </w:r>
          </w:p>
          <w:p>
            <w:pPr>
              <w:pStyle w:val="yTable"/>
              <w:keepNext/>
              <w:rPr>
                <w:sz w:val="18"/>
              </w:rPr>
            </w:pPr>
            <w:r>
              <w:rPr>
                <w:sz w:val="18"/>
              </w:rPr>
              <w:t>Place of occupation ............................................................................</w:t>
            </w:r>
          </w:p>
          <w:p>
            <w:pPr>
              <w:pStyle w:val="yTable"/>
              <w:keepNext/>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rPr>
                <w:sz w:val="18"/>
              </w:rPr>
            </w:pPr>
            <w:r>
              <w:rPr>
                <w:sz w:val="18"/>
              </w:rPr>
              <w:t>Phone ( ) ................................... Fax ( ) .............................................</w:t>
            </w:r>
          </w:p>
          <w:p>
            <w:pPr>
              <w:pStyle w:val="yTable"/>
              <w:keepNext/>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Footnotesection"/>
      </w:pPr>
      <w:r>
        <w:tab/>
        <w:t>[Division 1 amended: Gazette 5 Jul 2011 p. 2816.]</w:t>
      </w:r>
    </w:p>
    <w:p>
      <w:pPr>
        <w:pStyle w:val="yHeading3"/>
        <w:keepLines/>
        <w:pageBreakBefore/>
        <w:spacing w:before="0"/>
      </w:pPr>
      <w:bookmarkStart w:id="243" w:name="_Toc7531851"/>
      <w:bookmarkStart w:id="244" w:name="_Toc11075639"/>
      <w:bookmarkStart w:id="245" w:name="_Toc13032658"/>
      <w:bookmarkStart w:id="246" w:name="_Toc13580187"/>
      <w:bookmarkStart w:id="247" w:name="_Toc14700041"/>
      <w:bookmarkStart w:id="248" w:name="_Toc14777469"/>
      <w:bookmarkStart w:id="249" w:name="_Toc14871218"/>
      <w:bookmarkStart w:id="250" w:name="_Toc17279186"/>
      <w:bookmarkStart w:id="251" w:name="_Toc17279298"/>
      <w:r>
        <w:rPr>
          <w:rStyle w:val="CharSDivNo"/>
        </w:rPr>
        <w:t>Division 2</w:t>
      </w:r>
      <w:r>
        <w:t> — </w:t>
      </w:r>
      <w:r>
        <w:rPr>
          <w:rStyle w:val="CharSDivText"/>
        </w:rPr>
        <w:t>Rent, fees and charges</w:t>
      </w:r>
      <w:bookmarkEnd w:id="243"/>
      <w:bookmarkEnd w:id="244"/>
      <w:bookmarkEnd w:id="245"/>
      <w:bookmarkEnd w:id="246"/>
      <w:bookmarkEnd w:id="247"/>
      <w:bookmarkEnd w:id="248"/>
      <w:bookmarkEnd w:id="249"/>
      <w:bookmarkEnd w:id="250"/>
      <w:bookmarkEnd w:id="251"/>
    </w:p>
    <w:tbl>
      <w:tblPr>
        <w:tblW w:w="0" w:type="auto"/>
        <w:tblInd w:w="675" w:type="dxa"/>
        <w:tblLayout w:type="fixed"/>
        <w:tblLook w:val="0000" w:firstRow="0" w:lastRow="0" w:firstColumn="0" w:lastColumn="0" w:noHBand="0" w:noVBand="0"/>
      </w:tblPr>
      <w:tblGrid>
        <w:gridCol w:w="1418"/>
        <w:gridCol w:w="2551"/>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2"/>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2"/>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2"/>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2"/>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2"/>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 xml:space="preserve"> Note 1:</w:t>
            </w:r>
            <w:r>
              <w:rPr>
                <w:rFonts w:ascii="Arial" w:hAnsi="Arial" w:cs="Arial"/>
                <w:sz w:val="14"/>
              </w:rPr>
              <w:tab/>
              <w:t>Schedule 1 clause 4 to the Act provides that a review of rent at intervals of less than 12 months is of no effect.</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ind w:left="742" w:hanging="742"/>
              <w:rPr>
                <w:b/>
                <w:bCs/>
              </w:rPr>
            </w:pPr>
          </w:p>
        </w:tc>
      </w:tr>
    </w:tbl>
    <w:p/>
    <w:tbl>
      <w:tblPr>
        <w:tblW w:w="0" w:type="auto"/>
        <w:tblInd w:w="675" w:type="dxa"/>
        <w:tblLayout w:type="fixed"/>
        <w:tblLook w:val="0000" w:firstRow="0" w:lastRow="0" w:firstColumn="0" w:lastColumn="0" w:noHBand="0" w:noVBand="0"/>
      </w:tblPr>
      <w:tblGrid>
        <w:gridCol w:w="1418"/>
        <w:gridCol w:w="2126"/>
        <w:gridCol w:w="2977"/>
      </w:tblGrid>
      <w:tr>
        <w:tc>
          <w:tcPr>
            <w:tcW w:w="1418" w:type="dxa"/>
            <w:shd w:val="clear" w:color="auto" w:fill="D9D9D9"/>
          </w:tcPr>
          <w:p>
            <w:pPr>
              <w:pStyle w:val="yTable"/>
              <w:keepNext/>
              <w:rPr>
                <w:b/>
                <w:bCs/>
                <w:sz w:val="18"/>
              </w:rPr>
            </w:pPr>
          </w:p>
        </w:tc>
        <w:tc>
          <w:tcPr>
            <w:tcW w:w="5103" w:type="dxa"/>
            <w:gridSpan w:val="2"/>
          </w:tcPr>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sz w:val="18"/>
              </w:rPr>
            </w:pPr>
            <w:r>
              <w:rPr>
                <w:rFonts w:ascii="Arial" w:hAnsi="Arial" w:cs="Arial"/>
                <w:sz w:val="14"/>
              </w:rPr>
              <w:t>Note 4:</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5:</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2"/>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tabs>
                <w:tab w:val="left" w:pos="1168"/>
              </w:tabs>
              <w:ind w:left="1168" w:hanging="284"/>
              <w:rPr>
                <w:b/>
                <w:i/>
              </w:rPr>
            </w:pPr>
          </w:p>
        </w:tc>
      </w:tr>
      <w:tr>
        <w:tc>
          <w:tcPr>
            <w:tcW w:w="1418" w:type="dxa"/>
            <w:shd w:val="clear" w:color="auto" w:fill="D9D9D9"/>
          </w:tcPr>
          <w:p>
            <w:pPr>
              <w:pStyle w:val="yTable"/>
              <w:keepNext/>
              <w:rPr>
                <w:b/>
                <w:bCs/>
                <w:sz w:val="18"/>
              </w:rPr>
            </w:pPr>
          </w:p>
        </w:tc>
        <w:tc>
          <w:tcPr>
            <w:tcW w:w="5103" w:type="dxa"/>
            <w:gridSpan w:val="2"/>
          </w:tcPr>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sz w:val="18"/>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zyTableNAm"/>
              <w:keepNext/>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yTable"/>
              <w:keepNext/>
              <w:keepLine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742" w:hanging="742"/>
            </w:pPr>
          </w:p>
        </w:tc>
      </w:tr>
      <w:tr>
        <w:trPr>
          <w:cantSplit/>
          <w:trHeight w:val="80"/>
        </w:trPr>
        <w:tc>
          <w:tcPr>
            <w:tcW w:w="1418" w:type="dxa"/>
            <w:shd w:val="clear" w:color="auto" w:fill="D9D9D9"/>
          </w:tcPr>
          <w:p>
            <w:pPr>
              <w:pStyle w:val="yTable"/>
              <w:rPr>
                <w:b/>
                <w:bCs/>
                <w:sz w:val="18"/>
              </w:rPr>
            </w:pPr>
          </w:p>
        </w:tc>
        <w:tc>
          <w:tcPr>
            <w:tcW w:w="5103" w:type="dxa"/>
            <w:gridSpan w:val="2"/>
          </w:tcPr>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sz w:val="18"/>
              </w:rPr>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2"/>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shd w:val="clear" w:color="auto" w:fill="D9D9D9"/>
          </w:tcPr>
          <w:p>
            <w:pPr>
              <w:pStyle w:val="yTable"/>
              <w:rPr>
                <w:b/>
                <w:bCs/>
                <w:sz w:val="18"/>
              </w:rPr>
            </w:pPr>
          </w:p>
        </w:tc>
        <w:tc>
          <w:tcPr>
            <w:tcW w:w="5103" w:type="dxa"/>
            <w:gridSpan w:val="2"/>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tabs>
                <w:tab w:val="left" w:pos="1168"/>
              </w:tabs>
              <w:ind w:left="1168" w:hanging="284"/>
            </w:pPr>
          </w:p>
        </w:tc>
      </w:tr>
      <w:tr>
        <w:tc>
          <w:tcPr>
            <w:tcW w:w="1418" w:type="dxa"/>
            <w:tcBorders>
              <w:bottom w:val="single" w:sz="4" w:space="0" w:color="auto"/>
            </w:tcBorders>
            <w:shd w:val="clear" w:color="auto" w:fill="D9D9D9"/>
          </w:tcPr>
          <w:p>
            <w:pPr>
              <w:pStyle w:val="yTable"/>
              <w:keepNext/>
              <w:rPr>
                <w:b/>
                <w:bCs/>
                <w:sz w:val="18"/>
              </w:rPr>
            </w:pPr>
          </w:p>
        </w:tc>
        <w:tc>
          <w:tcPr>
            <w:tcW w:w="5103" w:type="dxa"/>
            <w:gridSpan w:val="2"/>
            <w:tcBorders>
              <w:bottom w:val="single" w:sz="4" w:space="0" w:color="auto"/>
            </w:tcBorders>
          </w:tcPr>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2"/>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sz w:val="18"/>
              </w:rPr>
              <w:t>Local Government Act 1995</w:t>
            </w:r>
            <w:r>
              <w:rPr>
                <w:sz w:val="18"/>
              </w:rPr>
              <w:t>;</w:t>
            </w:r>
          </w:p>
          <w:p>
            <w:pPr>
              <w:pStyle w:val="yTable"/>
              <w:keepNext/>
              <w:keepLines/>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2816</w:t>
      </w:r>
      <w:r>
        <w:noBreakHyphen/>
        <w:t>17; 14 Nov 2013</w:t>
      </w:r>
      <w:r>
        <w:rPr>
          <w:sz w:val="24"/>
        </w:rPr>
        <w:t xml:space="preserve"> </w:t>
      </w:r>
      <w:r>
        <w:t>p. 5064.]</w:t>
      </w:r>
    </w:p>
    <w:p>
      <w:pPr>
        <w:pStyle w:val="yHeading3"/>
        <w:keepLines/>
        <w:pageBreakBefore/>
        <w:spacing w:before="0" w:after="60"/>
      </w:pPr>
      <w:bookmarkStart w:id="252" w:name="_Toc7531852"/>
      <w:bookmarkStart w:id="253" w:name="_Toc11075640"/>
      <w:bookmarkStart w:id="254" w:name="_Toc13032659"/>
      <w:bookmarkStart w:id="255" w:name="_Toc13580188"/>
      <w:bookmarkStart w:id="256" w:name="_Toc14700042"/>
      <w:bookmarkStart w:id="257" w:name="_Toc14777470"/>
      <w:bookmarkStart w:id="258" w:name="_Toc14871219"/>
      <w:bookmarkStart w:id="259" w:name="_Toc17279187"/>
      <w:bookmarkStart w:id="260" w:name="_Toc17279299"/>
      <w:r>
        <w:rPr>
          <w:rStyle w:val="CharSDivNo"/>
        </w:rPr>
        <w:t>Division 3</w:t>
      </w:r>
      <w:r>
        <w:t> — </w:t>
      </w:r>
      <w:r>
        <w:rPr>
          <w:rStyle w:val="CharSDivText"/>
        </w:rPr>
        <w:t>Table of fees and charges for services and utilities</w:t>
      </w:r>
      <w:bookmarkEnd w:id="252"/>
      <w:bookmarkEnd w:id="253"/>
      <w:bookmarkEnd w:id="254"/>
      <w:bookmarkEnd w:id="255"/>
      <w:bookmarkEnd w:id="256"/>
      <w:bookmarkEnd w:id="257"/>
      <w:bookmarkEnd w:id="258"/>
      <w:bookmarkEnd w:id="259"/>
      <w:bookmarkEnd w:id="260"/>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pPr>
      <w:bookmarkStart w:id="261" w:name="_Toc7531853"/>
      <w:bookmarkStart w:id="262" w:name="_Toc11075641"/>
      <w:bookmarkStart w:id="263" w:name="_Toc13032660"/>
      <w:bookmarkStart w:id="264" w:name="_Toc13580189"/>
      <w:bookmarkStart w:id="265" w:name="_Toc14700043"/>
      <w:bookmarkStart w:id="266" w:name="_Toc14777471"/>
      <w:bookmarkStart w:id="267" w:name="_Toc14871220"/>
      <w:bookmarkStart w:id="268" w:name="_Toc17279188"/>
      <w:bookmarkStart w:id="269" w:name="_Toc17279300"/>
      <w:r>
        <w:rPr>
          <w:rStyle w:val="CharSDivNo"/>
        </w:rPr>
        <w:t>Division 4</w:t>
      </w:r>
      <w:r>
        <w:t> — </w:t>
      </w:r>
      <w:r>
        <w:rPr>
          <w:rStyle w:val="CharSDivText"/>
        </w:rPr>
        <w:t>General terms</w:t>
      </w:r>
      <w:bookmarkEnd w:id="261"/>
      <w:bookmarkEnd w:id="262"/>
      <w:bookmarkEnd w:id="263"/>
      <w:bookmarkEnd w:id="264"/>
      <w:bookmarkEnd w:id="265"/>
      <w:bookmarkEnd w:id="266"/>
      <w:bookmarkEnd w:id="267"/>
      <w:bookmarkEnd w:id="268"/>
      <w:bookmarkEnd w:id="26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rPr>
                <w:rFonts w:ascii="Arial Narrow" w:hAnsi="Arial Narrow"/>
                <w:b/>
                <w:bCs/>
                <w:sz w:val="18"/>
              </w:rPr>
            </w:pPr>
            <w:r>
              <w:rPr>
                <w:b/>
                <w:bCs/>
                <w:sz w:val="18"/>
              </w:rPr>
              <w:t xml:space="preserve">Clause 23 — </w:t>
            </w:r>
            <w:r>
              <w:rPr>
                <w:b/>
                <w:bCs/>
                <w:sz w:val="18"/>
              </w:rPr>
              <w:br/>
              <w:t>Responsibility for damage</w:t>
            </w:r>
          </w:p>
        </w:tc>
        <w:tc>
          <w:tcPr>
            <w:tcW w:w="5103" w:type="dxa"/>
            <w:tcBorders>
              <w:top w:val="single" w:sz="4" w:space="0" w:color="auto"/>
            </w:tcBorders>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keepNext/>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If yes, outline the modification or restriction below:</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keepNext/>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spacing w:before="40"/>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spacing w:before="40"/>
              <w:ind w:left="459" w:hanging="459"/>
              <w:rPr>
                <w:sz w:val="18"/>
              </w:rPr>
            </w:pPr>
            <w:r>
              <w:rPr>
                <w:sz w:val="18"/>
              </w:rPr>
              <w:t>(2)</w:t>
            </w:r>
            <w:r>
              <w:rPr>
                <w:sz w:val="18"/>
              </w:rPr>
              <w:tab/>
              <w:t>The park operator may enter the agreed premises —</w:t>
            </w:r>
          </w:p>
          <w:p>
            <w:pPr>
              <w:pStyle w:val="yTable"/>
              <w:spacing w:before="40"/>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spacing w:before="40"/>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spacing w:before="40"/>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spacing w:before="40"/>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spacing w:before="40"/>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rFonts w:ascii="Arial Narrow" w:hAnsi="Arial Narrow"/>
                <w:sz w:val="18"/>
              </w:rPr>
            </w:pPr>
          </w:p>
        </w:tc>
      </w:tr>
      <w:tr>
        <w:tc>
          <w:tcPr>
            <w:tcW w:w="1418" w:type="dxa"/>
            <w:shd w:val="clear" w:color="auto" w:fill="D9D9D9"/>
          </w:tcPr>
          <w:p>
            <w:pPr>
              <w:pStyle w:val="yTable"/>
              <w:keepNext/>
              <w:rPr>
                <w:b/>
                <w:bCs/>
                <w:sz w:val="18"/>
              </w:rPr>
            </w:pPr>
          </w:p>
        </w:tc>
        <w:tc>
          <w:tcPr>
            <w:tcW w:w="5103" w:type="dxa"/>
          </w:tcPr>
          <w:p>
            <w:pPr>
              <w:pStyle w:val="yTable"/>
              <w:keepNext/>
              <w:spacing w:before="40"/>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spacing w:before="40"/>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p>
        </w:tc>
      </w:tr>
    </w:tbl>
    <w:p/>
    <w:tbl>
      <w:tblPr>
        <w:tblW w:w="0" w:type="auto"/>
        <w:tblInd w:w="675" w:type="dxa"/>
        <w:tblLayout w:type="fixed"/>
        <w:tblLook w:val="0000" w:firstRow="0" w:lastRow="0" w:firstColumn="0" w:lastColumn="0" w:noHBand="0" w:noVBand="0"/>
      </w:tblPr>
      <w:tblGrid>
        <w:gridCol w:w="1418"/>
        <w:gridCol w:w="5103"/>
      </w:tblGrid>
      <w:tr>
        <w:tc>
          <w:tcPr>
            <w:tcW w:w="1418" w:type="dxa"/>
            <w:shd w:val="clear" w:color="auto" w:fill="D9D9D9"/>
          </w:tcPr>
          <w:p>
            <w:pPr>
              <w:pStyle w:val="yTable"/>
              <w:keepNext/>
              <w:rPr>
                <w:b/>
                <w:bCs/>
                <w:sz w:val="18"/>
              </w:rPr>
            </w:pPr>
          </w:p>
        </w:tc>
        <w:tc>
          <w:tcPr>
            <w:tcW w:w="5103" w:type="dxa"/>
          </w:tcPr>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sz w:val="14"/>
              </w:rPr>
            </w:pPr>
            <w:r>
              <w:rPr>
                <w:sz w:val="14"/>
              </w:rPr>
              <w:t>(a)</w:t>
            </w:r>
            <w:r>
              <w:rPr>
                <w:sz w:val="14"/>
              </w:rPr>
              <w:tab/>
              <w:t>setting out the modification or restriction in the space provided below the clause; or</w:t>
            </w:r>
          </w:p>
          <w:p>
            <w:pPr>
              <w:pStyle w:val="yTable"/>
              <w:tabs>
                <w:tab w:val="left" w:pos="1168"/>
              </w:tabs>
              <w:ind w:left="1168" w:hanging="284"/>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2817.]</w:t>
      </w:r>
    </w:p>
    <w:p>
      <w:pPr>
        <w:pStyle w:val="yHeading3"/>
      </w:pPr>
      <w:bookmarkStart w:id="270" w:name="_Toc7531854"/>
      <w:bookmarkStart w:id="271" w:name="_Toc11075642"/>
      <w:bookmarkStart w:id="272" w:name="_Toc13032661"/>
      <w:bookmarkStart w:id="273" w:name="_Toc13580190"/>
      <w:bookmarkStart w:id="274" w:name="_Toc14700044"/>
      <w:bookmarkStart w:id="275" w:name="_Toc14777472"/>
      <w:bookmarkStart w:id="276" w:name="_Toc14871221"/>
      <w:bookmarkStart w:id="277" w:name="_Toc17279189"/>
      <w:bookmarkStart w:id="278" w:name="_Toc17279301"/>
      <w:r>
        <w:rPr>
          <w:rStyle w:val="CharSDivNo"/>
        </w:rPr>
        <w:t>Division 5</w:t>
      </w:r>
      <w:r>
        <w:t> — </w:t>
      </w:r>
      <w:r>
        <w:rPr>
          <w:rStyle w:val="CharSDivText"/>
        </w:rPr>
        <w:t>Special terms</w:t>
      </w:r>
      <w:bookmarkEnd w:id="270"/>
      <w:bookmarkEnd w:id="271"/>
      <w:bookmarkEnd w:id="272"/>
      <w:bookmarkEnd w:id="273"/>
      <w:bookmarkEnd w:id="274"/>
      <w:bookmarkEnd w:id="275"/>
      <w:bookmarkEnd w:id="276"/>
      <w:bookmarkEnd w:id="277"/>
      <w:bookmarkEnd w:id="27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279" w:name="_Toc7531855"/>
      <w:bookmarkStart w:id="280" w:name="_Toc11075643"/>
      <w:bookmarkStart w:id="281" w:name="_Toc13032662"/>
      <w:bookmarkStart w:id="282" w:name="_Toc13580191"/>
      <w:bookmarkStart w:id="283" w:name="_Toc14700045"/>
      <w:bookmarkStart w:id="284" w:name="_Toc14777473"/>
      <w:bookmarkStart w:id="285" w:name="_Toc14871222"/>
      <w:bookmarkStart w:id="286" w:name="_Toc17279190"/>
      <w:bookmarkStart w:id="287" w:name="_Toc17279302"/>
      <w:r>
        <w:rPr>
          <w:rStyle w:val="CharSDivNo"/>
        </w:rPr>
        <w:t>Division 6</w:t>
      </w:r>
      <w:r>
        <w:t> — </w:t>
      </w:r>
      <w:r>
        <w:rPr>
          <w:rStyle w:val="CharSDivText"/>
        </w:rPr>
        <w:t>Condition report</w:t>
      </w:r>
      <w:bookmarkEnd w:id="279"/>
      <w:bookmarkEnd w:id="280"/>
      <w:bookmarkEnd w:id="281"/>
      <w:bookmarkEnd w:id="282"/>
      <w:bookmarkEnd w:id="283"/>
      <w:bookmarkEnd w:id="284"/>
      <w:bookmarkEnd w:id="285"/>
      <w:bookmarkEnd w:id="286"/>
      <w:bookmarkEnd w:id="287"/>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pPr>
      <w:bookmarkStart w:id="288" w:name="_Toc7531856"/>
      <w:bookmarkStart w:id="289" w:name="_Toc11075644"/>
      <w:bookmarkStart w:id="290" w:name="_Toc13032663"/>
      <w:bookmarkStart w:id="291" w:name="_Toc13580192"/>
      <w:bookmarkStart w:id="292" w:name="_Toc14700046"/>
      <w:bookmarkStart w:id="293" w:name="_Toc14777474"/>
      <w:bookmarkStart w:id="294" w:name="_Toc14871223"/>
      <w:bookmarkStart w:id="295" w:name="_Toc17279191"/>
      <w:bookmarkStart w:id="296" w:name="_Toc17279303"/>
      <w:r>
        <w:rPr>
          <w:rStyle w:val="CharSDivNo"/>
        </w:rPr>
        <w:t>Division 7</w:t>
      </w:r>
      <w:r>
        <w:t> — </w:t>
      </w:r>
      <w:r>
        <w:rPr>
          <w:rStyle w:val="CharSDivText"/>
        </w:rPr>
        <w:t>Park rules</w:t>
      </w:r>
      <w:bookmarkEnd w:id="288"/>
      <w:bookmarkEnd w:id="289"/>
      <w:bookmarkEnd w:id="290"/>
      <w:bookmarkEnd w:id="291"/>
      <w:bookmarkEnd w:id="292"/>
      <w:bookmarkEnd w:id="293"/>
      <w:bookmarkEnd w:id="294"/>
      <w:bookmarkEnd w:id="295"/>
      <w:bookmarkEnd w:id="296"/>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297" w:name="_Toc7531857"/>
      <w:bookmarkStart w:id="298" w:name="_Toc11075645"/>
      <w:bookmarkStart w:id="299" w:name="_Toc13032664"/>
      <w:bookmarkStart w:id="300" w:name="_Toc13580193"/>
      <w:bookmarkStart w:id="301" w:name="_Toc14700047"/>
      <w:bookmarkStart w:id="302" w:name="_Toc14777475"/>
      <w:bookmarkStart w:id="303" w:name="_Toc14871224"/>
      <w:bookmarkStart w:id="304" w:name="_Toc17279192"/>
      <w:bookmarkStart w:id="305" w:name="_Toc17279304"/>
      <w:r>
        <w:rPr>
          <w:rStyle w:val="CharSDivNo"/>
        </w:rPr>
        <w:t>Division 8</w:t>
      </w:r>
      <w:r>
        <w:t> — </w:t>
      </w:r>
      <w:r>
        <w:rPr>
          <w:rStyle w:val="CharSDivText"/>
        </w:rPr>
        <w:t>Information sheet</w:t>
      </w:r>
      <w:bookmarkEnd w:id="297"/>
      <w:bookmarkEnd w:id="298"/>
      <w:bookmarkEnd w:id="299"/>
      <w:bookmarkEnd w:id="300"/>
      <w:bookmarkEnd w:id="301"/>
      <w:bookmarkEnd w:id="302"/>
      <w:bookmarkEnd w:id="303"/>
      <w:bookmarkEnd w:id="304"/>
      <w:bookmarkEnd w:id="305"/>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Lines/>
        <w:pageBreakBefore/>
        <w:spacing w:before="0"/>
      </w:pPr>
      <w:bookmarkStart w:id="306" w:name="_Toc7531858"/>
      <w:bookmarkStart w:id="307" w:name="_Toc11075646"/>
      <w:bookmarkStart w:id="308" w:name="_Toc13032665"/>
      <w:bookmarkStart w:id="309" w:name="_Toc13580194"/>
      <w:bookmarkStart w:id="310" w:name="_Toc14700048"/>
      <w:bookmarkStart w:id="311" w:name="_Toc14777476"/>
      <w:bookmarkStart w:id="312" w:name="_Toc14871225"/>
      <w:bookmarkStart w:id="313" w:name="_Toc17279193"/>
      <w:bookmarkStart w:id="314" w:name="_Toc17279305"/>
      <w:r>
        <w:rPr>
          <w:rStyle w:val="CharSDivNo"/>
        </w:rPr>
        <w:t>Division 9</w:t>
      </w:r>
      <w:r>
        <w:t> — </w:t>
      </w:r>
      <w:r>
        <w:rPr>
          <w:rStyle w:val="CharSDivText"/>
        </w:rPr>
        <w:t>Acceptance</w:t>
      </w:r>
      <w:bookmarkEnd w:id="306"/>
      <w:bookmarkEnd w:id="307"/>
      <w:bookmarkEnd w:id="308"/>
      <w:bookmarkEnd w:id="309"/>
      <w:bookmarkEnd w:id="310"/>
      <w:bookmarkEnd w:id="311"/>
      <w:bookmarkEnd w:id="312"/>
      <w:bookmarkEnd w:id="313"/>
      <w:bookmarkEnd w:id="31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keepNext w:val="0"/>
        <w:keepLines/>
        <w:pageBreakBefore/>
        <w:spacing w:before="0"/>
      </w:pPr>
      <w:bookmarkStart w:id="315" w:name="_Toc7531859"/>
      <w:bookmarkStart w:id="316" w:name="_Toc11075647"/>
      <w:bookmarkStart w:id="317" w:name="_Toc13032666"/>
      <w:bookmarkStart w:id="318" w:name="_Toc13580195"/>
      <w:bookmarkStart w:id="319" w:name="_Toc14700049"/>
      <w:bookmarkStart w:id="320" w:name="_Toc14777477"/>
      <w:bookmarkStart w:id="321" w:name="_Toc14871226"/>
      <w:bookmarkStart w:id="322" w:name="_Toc17279194"/>
      <w:bookmarkStart w:id="323" w:name="_Toc17279306"/>
      <w:r>
        <w:rPr>
          <w:rStyle w:val="CharSDivNo"/>
        </w:rPr>
        <w:t>Division 10</w:t>
      </w:r>
      <w:r>
        <w:t> — </w:t>
      </w:r>
      <w:r>
        <w:rPr>
          <w:rStyle w:val="CharSDivText"/>
        </w:rPr>
        <w:t>Tenant’s checklist</w:t>
      </w:r>
      <w:bookmarkEnd w:id="315"/>
      <w:bookmarkEnd w:id="316"/>
      <w:bookmarkEnd w:id="317"/>
      <w:bookmarkEnd w:id="318"/>
      <w:bookmarkEnd w:id="319"/>
      <w:bookmarkEnd w:id="320"/>
      <w:bookmarkEnd w:id="321"/>
      <w:bookmarkEnd w:id="322"/>
      <w:bookmarkEnd w:id="32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Lines/>
              <w:rPr>
                <w:sz w:val="18"/>
              </w:rPr>
            </w:pPr>
          </w:p>
        </w:tc>
        <w:tc>
          <w:tcPr>
            <w:tcW w:w="5103" w:type="dxa"/>
            <w:tcBorders>
              <w:top w:val="single" w:sz="4" w:space="0" w:color="auto"/>
            </w:tcBorders>
          </w:tcPr>
          <w:p>
            <w:pPr>
              <w:pStyle w:val="yTable"/>
              <w:keepLines/>
              <w:spacing w:before="160"/>
              <w:ind w:left="318" w:hanging="318"/>
              <w:rPr>
                <w:sz w:val="18"/>
              </w:rPr>
            </w:pPr>
            <w:r>
              <w:rPr>
                <w:sz w:val="18"/>
              </w:rPr>
              <w:sym w:font="Wingdings" w:char="F06F"/>
            </w:r>
            <w:r>
              <w:rPr>
                <w:sz w:val="18"/>
              </w:rPr>
              <w:tab/>
              <w:t>I have received a copy of, and read, this agreement.</w:t>
            </w:r>
          </w:p>
          <w:p>
            <w:pPr>
              <w:pStyle w:val="yTable"/>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Lines/>
              <w:ind w:left="317" w:hanging="317"/>
              <w:rPr>
                <w:sz w:val="18"/>
              </w:rPr>
            </w:pPr>
            <w:r>
              <w:rPr>
                <w:sz w:val="18"/>
              </w:rPr>
              <w:sym w:font="Wingdings" w:char="F06F"/>
            </w:r>
            <w:r>
              <w:rPr>
                <w:sz w:val="18"/>
              </w:rPr>
              <w:tab/>
              <w:t>I have sought, or decided not to seek, independent legal advice.</w:t>
            </w:r>
          </w:p>
          <w:p>
            <w:pPr>
              <w:pStyle w:val="yTable"/>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324" w:name="_Toc7531860"/>
      <w:bookmarkStart w:id="325" w:name="_Toc11075648"/>
      <w:bookmarkStart w:id="326" w:name="_Toc13032667"/>
      <w:bookmarkStart w:id="327" w:name="_Toc13580196"/>
      <w:bookmarkStart w:id="328" w:name="_Toc14700050"/>
      <w:bookmarkStart w:id="329" w:name="_Toc14777478"/>
      <w:bookmarkStart w:id="330" w:name="_Toc14871227"/>
      <w:bookmarkStart w:id="331" w:name="_Toc17279195"/>
      <w:bookmarkStart w:id="332" w:name="_Toc17279307"/>
      <w:r>
        <w:rPr>
          <w:rStyle w:val="CharSchNo"/>
        </w:rPr>
        <w:t>Schedule 4</w:t>
      </w:r>
      <w:r>
        <w:t> — </w:t>
      </w:r>
      <w:r>
        <w:rPr>
          <w:rStyle w:val="CharSchText"/>
        </w:rPr>
        <w:t>Fixed term site</w:t>
      </w:r>
      <w:r>
        <w:rPr>
          <w:rStyle w:val="CharSchText"/>
        </w:rPr>
        <w:noBreakHyphen/>
        <w:t>only agreement</w:t>
      </w:r>
      <w:bookmarkEnd w:id="324"/>
      <w:bookmarkEnd w:id="325"/>
      <w:bookmarkEnd w:id="326"/>
      <w:bookmarkEnd w:id="327"/>
      <w:bookmarkEnd w:id="328"/>
      <w:bookmarkEnd w:id="329"/>
      <w:bookmarkEnd w:id="330"/>
      <w:bookmarkEnd w:id="331"/>
      <w:bookmarkEnd w:id="332"/>
    </w:p>
    <w:p>
      <w:pPr>
        <w:pStyle w:val="yShoulderClause"/>
      </w:pPr>
      <w:r>
        <w:t>[r. 7]</w:t>
      </w:r>
    </w:p>
    <w:p>
      <w:pPr>
        <w:pStyle w:val="yHeading3"/>
      </w:pPr>
      <w:bookmarkStart w:id="333" w:name="_Toc7531861"/>
      <w:bookmarkStart w:id="334" w:name="_Toc11075649"/>
      <w:bookmarkStart w:id="335" w:name="_Toc13032668"/>
      <w:bookmarkStart w:id="336" w:name="_Toc13580197"/>
      <w:bookmarkStart w:id="337" w:name="_Toc14700051"/>
      <w:bookmarkStart w:id="338" w:name="_Toc14777479"/>
      <w:bookmarkStart w:id="339" w:name="_Toc14871228"/>
      <w:bookmarkStart w:id="340" w:name="_Toc17279196"/>
      <w:bookmarkStart w:id="341" w:name="_Toc17279308"/>
      <w:r>
        <w:rPr>
          <w:rStyle w:val="CharSDivNo"/>
        </w:rPr>
        <w:t>Division 1</w:t>
      </w:r>
      <w:r>
        <w:t> — </w:t>
      </w:r>
      <w:r>
        <w:rPr>
          <w:rStyle w:val="CharSDivText"/>
        </w:rPr>
        <w:t>Preliminary</w:t>
      </w:r>
      <w:bookmarkEnd w:id="333"/>
      <w:bookmarkEnd w:id="334"/>
      <w:bookmarkEnd w:id="335"/>
      <w:bookmarkEnd w:id="336"/>
      <w:bookmarkEnd w:id="337"/>
      <w:bookmarkEnd w:id="338"/>
      <w:bookmarkEnd w:id="339"/>
      <w:bookmarkEnd w:id="340"/>
      <w:bookmarkEnd w:id="34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 xml:space="preserve">TENANT’S CHECKLIST </w:t>
            </w:r>
            <w:r>
              <w:rPr>
                <w:rFonts w:ascii="Arial" w:hAnsi="Arial" w:cs="Arial"/>
                <w:sz w:val="14"/>
                <w:szCs w:val="14"/>
              </w:rPr>
              <w:t>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call the Consumer Protection Contact Centre: 1300 30 40 54</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 xml:space="preserve">stay agreement for a fixed term.  </w:t>
            </w:r>
          </w:p>
          <w:p>
            <w:pPr>
              <w:pStyle w:val="yTable"/>
              <w:rPr>
                <w:rFonts w:ascii="Arial" w:hAnsi="Arial" w:cs="Arial"/>
                <w:sz w:val="14"/>
                <w:szCs w:val="14"/>
              </w:rPr>
            </w:pPr>
            <w:r>
              <w:rPr>
                <w:rFonts w:ascii="Arial" w:hAnsi="Arial" w:cs="Arial"/>
                <w:sz w:val="14"/>
                <w:szCs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rStyle w:val="CharDefText"/>
                <w:bCs/>
                <w:iCs/>
                <w:sz w:val="18"/>
              </w:rPr>
              <w:t>Act</w:t>
            </w:r>
            <w:r>
              <w:rPr>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rStyle w:val="CharDefText"/>
                <w:bCs/>
                <w:i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rStyle w:val="CharDefText"/>
                <w:bCs/>
                <w:i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rStyle w:val="CharDefText"/>
                <w:bCs/>
                <w:i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rStyle w:val="CharDefText"/>
                <w:bCs/>
                <w:i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rStyle w:val="CharDefText"/>
                <w:bCs/>
                <w:iCs/>
                <w:sz w:val="18"/>
              </w:rPr>
              <w:t>relocatable home</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rStyle w:val="CharDefText"/>
                <w:bCs/>
                <w:iCs/>
                <w:sz w:val="18"/>
              </w:rPr>
              <w:t>residential park</w:t>
            </w:r>
            <w:r>
              <w:rPr>
                <w:sz w:val="18"/>
              </w:rPr>
              <w:t xml:space="preserve"> or </w:t>
            </w:r>
            <w:r>
              <w:rPr>
                <w:rStyle w:val="CharDefText"/>
                <w:bCs/>
                <w:iCs/>
                <w:sz w:val="18"/>
              </w:rPr>
              <w:t>park</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rStyle w:val="CharDefText"/>
                <w:bCs/>
                <w:iCs/>
                <w:sz w:val="18"/>
              </w:rPr>
              <w:t>shared premises</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rStyle w:val="CharDefText"/>
                <w:bCs/>
                <w:iCs/>
                <w:sz w:val="18"/>
              </w:rPr>
              <w:t>site</w:t>
            </w:r>
            <w:r>
              <w:rPr>
                <w:sz w:val="18"/>
              </w:rPr>
              <w:t xml:space="preserve"> means the site referred to in clause 4;</w:t>
            </w:r>
          </w:p>
          <w:p>
            <w:pPr>
              <w:pStyle w:val="yTable"/>
              <w:tabs>
                <w:tab w:val="left" w:pos="317"/>
                <w:tab w:val="left" w:pos="601"/>
              </w:tabs>
              <w:ind w:left="601" w:hanging="601"/>
              <w:rPr>
                <w:sz w:val="18"/>
              </w:rPr>
            </w:pPr>
            <w:r>
              <w:rPr>
                <w:sz w:val="18"/>
              </w:rPr>
              <w:tab/>
            </w:r>
            <w:r>
              <w:rPr>
                <w:rStyle w:val="CharDefText"/>
                <w:bCs/>
                <w:i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Footnotesection"/>
      </w:pPr>
      <w:r>
        <w:tab/>
        <w:t>[Division 1 amended: Gazette 5 Jul 2011 p. 2817</w:t>
      </w:r>
      <w:r>
        <w:noBreakHyphen/>
        <w:t>18.]</w:t>
      </w:r>
    </w:p>
    <w:p>
      <w:pPr>
        <w:pStyle w:val="yHeading3"/>
      </w:pPr>
      <w:bookmarkStart w:id="342" w:name="_Toc7531862"/>
      <w:bookmarkStart w:id="343" w:name="_Toc11075650"/>
      <w:bookmarkStart w:id="344" w:name="_Toc13032669"/>
      <w:bookmarkStart w:id="345" w:name="_Toc13580198"/>
      <w:bookmarkStart w:id="346" w:name="_Toc14700052"/>
      <w:bookmarkStart w:id="347" w:name="_Toc14777480"/>
      <w:bookmarkStart w:id="348" w:name="_Toc14871229"/>
      <w:bookmarkStart w:id="349" w:name="_Toc17279197"/>
      <w:bookmarkStart w:id="350" w:name="_Toc17279309"/>
      <w:r>
        <w:rPr>
          <w:rStyle w:val="CharSDivNo"/>
        </w:rPr>
        <w:t>Division 2</w:t>
      </w:r>
      <w:r>
        <w:t> — </w:t>
      </w:r>
      <w:r>
        <w:rPr>
          <w:rStyle w:val="CharSDivText"/>
        </w:rPr>
        <w:t>Rent, fees and charges</w:t>
      </w:r>
      <w:bookmarkEnd w:id="342"/>
      <w:bookmarkEnd w:id="343"/>
      <w:bookmarkEnd w:id="344"/>
      <w:bookmarkEnd w:id="345"/>
      <w:bookmarkEnd w:id="346"/>
      <w:bookmarkEnd w:id="347"/>
      <w:bookmarkEnd w:id="348"/>
      <w:bookmarkEnd w:id="349"/>
      <w:bookmarkEnd w:id="350"/>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6 —Rent</w:t>
            </w:r>
          </w:p>
        </w:tc>
        <w:tc>
          <w:tcPr>
            <w:tcW w:w="5103" w:type="dxa"/>
            <w:gridSpan w:val="3"/>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zyTableNAm"/>
              <w:tabs>
                <w:tab w:val="clear" w:pos="567"/>
                <w:tab w:val="left" w:pos="459"/>
              </w:tabs>
              <w:ind w:left="459" w:hanging="459"/>
              <w:jc w:val="right"/>
              <w:rPr>
                <w:sz w:val="18"/>
                <w:szCs w:val="18"/>
              </w:rPr>
            </w:pPr>
            <w:r>
              <w:rPr>
                <w:sz w:val="18"/>
                <w:szCs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3:</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dependent on compliance with this agreement, the Act or another written law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2818; 14 Nov 2013 p. 5064.]</w:t>
      </w:r>
    </w:p>
    <w:p>
      <w:pPr>
        <w:pStyle w:val="yHeading3"/>
        <w:spacing w:after="60"/>
      </w:pPr>
      <w:bookmarkStart w:id="351" w:name="_Toc7531863"/>
      <w:bookmarkStart w:id="352" w:name="_Toc11075651"/>
      <w:bookmarkStart w:id="353" w:name="_Toc13032670"/>
      <w:bookmarkStart w:id="354" w:name="_Toc13580199"/>
      <w:bookmarkStart w:id="355" w:name="_Toc14700053"/>
      <w:bookmarkStart w:id="356" w:name="_Toc14777481"/>
      <w:bookmarkStart w:id="357" w:name="_Toc14871230"/>
      <w:bookmarkStart w:id="358" w:name="_Toc17279198"/>
      <w:bookmarkStart w:id="359" w:name="_Toc17279310"/>
      <w:r>
        <w:rPr>
          <w:rStyle w:val="CharSDivNo"/>
        </w:rPr>
        <w:t>Division 3</w:t>
      </w:r>
      <w:r>
        <w:t> — </w:t>
      </w:r>
      <w:r>
        <w:rPr>
          <w:rStyle w:val="CharSDivText"/>
        </w:rPr>
        <w:t>Table of fees and charges for services and utilities</w:t>
      </w:r>
      <w:bookmarkEnd w:id="351"/>
      <w:bookmarkEnd w:id="352"/>
      <w:bookmarkEnd w:id="353"/>
      <w:bookmarkEnd w:id="354"/>
      <w:bookmarkEnd w:id="355"/>
      <w:bookmarkEnd w:id="356"/>
      <w:bookmarkEnd w:id="357"/>
      <w:bookmarkEnd w:id="358"/>
      <w:bookmarkEnd w:id="359"/>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blHeader/>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pPr>
      <w:bookmarkStart w:id="360" w:name="_Toc7531864"/>
      <w:bookmarkStart w:id="361" w:name="_Toc11075652"/>
      <w:bookmarkStart w:id="362" w:name="_Toc13032671"/>
      <w:bookmarkStart w:id="363" w:name="_Toc13580200"/>
      <w:bookmarkStart w:id="364" w:name="_Toc14700054"/>
      <w:bookmarkStart w:id="365" w:name="_Toc14777482"/>
      <w:bookmarkStart w:id="366" w:name="_Toc14871231"/>
      <w:bookmarkStart w:id="367" w:name="_Toc17279199"/>
      <w:bookmarkStart w:id="368" w:name="_Toc17279311"/>
      <w:r>
        <w:rPr>
          <w:rStyle w:val="CharSDivNo"/>
        </w:rPr>
        <w:t>Division 4</w:t>
      </w:r>
      <w:r>
        <w:t> — </w:t>
      </w:r>
      <w:r>
        <w:rPr>
          <w:rStyle w:val="CharSDivText"/>
        </w:rPr>
        <w:t>General terms</w:t>
      </w:r>
      <w:bookmarkEnd w:id="360"/>
      <w:bookmarkEnd w:id="361"/>
      <w:bookmarkEnd w:id="362"/>
      <w:bookmarkEnd w:id="363"/>
      <w:bookmarkEnd w:id="364"/>
      <w:bookmarkEnd w:id="365"/>
      <w:bookmarkEnd w:id="366"/>
      <w:bookmarkEnd w:id="367"/>
      <w:bookmarkEnd w:id="36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where the residential park is operated under a licence under the Caravan Parks and Camping Grounds Act 1995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r>
            <w:r>
              <w:rPr>
                <w:rStyle w:val="CharDefText"/>
                <w:bCs/>
                <w:i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rPr>
                <w:rFonts w:ascii="Arial Narrow" w:hAnsi="Arial Narrow"/>
              </w:rPr>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p>
          <w:p>
            <w:pPr>
              <w:pStyle w:val="yTable"/>
              <w:ind w:left="884" w:hanging="425"/>
              <w:rPr>
                <w:sz w:val="18"/>
              </w:rPr>
            </w:pP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pPr>
            <w:r>
              <w:rPr>
                <w:rFonts w:ascii="Arial" w:hAnsi="Arial" w:cs="Arial"/>
                <w:sz w:val="14"/>
              </w:rPr>
              <w:t>(f)</w:t>
            </w:r>
            <w:r>
              <w:rPr>
                <w:rFonts w:ascii="Arial" w:hAnsi="Arial" w:cs="Arial"/>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2818.]</w:t>
      </w:r>
    </w:p>
    <w:p>
      <w:pPr>
        <w:pStyle w:val="yHeading3"/>
      </w:pPr>
      <w:bookmarkStart w:id="369" w:name="_Toc7531865"/>
      <w:bookmarkStart w:id="370" w:name="_Toc11075653"/>
      <w:bookmarkStart w:id="371" w:name="_Toc13032672"/>
      <w:bookmarkStart w:id="372" w:name="_Toc13580201"/>
      <w:bookmarkStart w:id="373" w:name="_Toc14700055"/>
      <w:bookmarkStart w:id="374" w:name="_Toc14777483"/>
      <w:bookmarkStart w:id="375" w:name="_Toc14871232"/>
      <w:bookmarkStart w:id="376" w:name="_Toc17279200"/>
      <w:bookmarkStart w:id="377" w:name="_Toc17279312"/>
      <w:r>
        <w:rPr>
          <w:rStyle w:val="CharSDivNo"/>
        </w:rPr>
        <w:t>Division 5</w:t>
      </w:r>
      <w:r>
        <w:t> — </w:t>
      </w:r>
      <w:r>
        <w:rPr>
          <w:rStyle w:val="CharSDivText"/>
        </w:rPr>
        <w:t>Special terms</w:t>
      </w:r>
      <w:bookmarkEnd w:id="369"/>
      <w:bookmarkEnd w:id="370"/>
      <w:bookmarkEnd w:id="371"/>
      <w:bookmarkEnd w:id="372"/>
      <w:bookmarkEnd w:id="373"/>
      <w:bookmarkEnd w:id="374"/>
      <w:bookmarkEnd w:id="375"/>
      <w:bookmarkEnd w:id="376"/>
      <w:bookmarkEnd w:id="37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Lines/>
              <w:spacing w:before="160"/>
              <w:rPr>
                <w:b/>
                <w:bCs/>
                <w:sz w:val="18"/>
              </w:rPr>
            </w:pPr>
          </w:p>
        </w:tc>
        <w:tc>
          <w:tcPr>
            <w:tcW w:w="5103" w:type="dxa"/>
            <w:tcBorders>
              <w:bottom w:val="single" w:sz="4" w:space="0" w:color="auto"/>
            </w:tcBorders>
          </w:tcPr>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378" w:name="_Toc7531866"/>
      <w:bookmarkStart w:id="379" w:name="_Toc11075654"/>
      <w:bookmarkStart w:id="380" w:name="_Toc13032673"/>
      <w:bookmarkStart w:id="381" w:name="_Toc13580202"/>
      <w:bookmarkStart w:id="382" w:name="_Toc14700056"/>
      <w:bookmarkStart w:id="383" w:name="_Toc14777484"/>
      <w:bookmarkStart w:id="384" w:name="_Toc14871233"/>
      <w:bookmarkStart w:id="385" w:name="_Toc17279201"/>
      <w:bookmarkStart w:id="386" w:name="_Toc17279313"/>
      <w:r>
        <w:rPr>
          <w:rStyle w:val="CharSDivNo"/>
        </w:rPr>
        <w:t>Division 6</w:t>
      </w:r>
      <w:r>
        <w:t> — </w:t>
      </w:r>
      <w:r>
        <w:rPr>
          <w:rStyle w:val="CharSDivText"/>
        </w:rPr>
        <w:t>Condition report</w:t>
      </w:r>
      <w:bookmarkEnd w:id="378"/>
      <w:bookmarkEnd w:id="379"/>
      <w:bookmarkEnd w:id="380"/>
      <w:bookmarkEnd w:id="381"/>
      <w:bookmarkEnd w:id="382"/>
      <w:bookmarkEnd w:id="383"/>
      <w:bookmarkEnd w:id="384"/>
      <w:bookmarkEnd w:id="385"/>
      <w:bookmarkEnd w:id="386"/>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spacing w:before="220"/>
        <w:rPr>
          <w:rStyle w:val="CharSDivText"/>
        </w:rPr>
      </w:pPr>
      <w:bookmarkStart w:id="387" w:name="_Toc7531867"/>
      <w:bookmarkStart w:id="388" w:name="_Toc11075655"/>
      <w:bookmarkStart w:id="389" w:name="_Toc13032674"/>
      <w:bookmarkStart w:id="390" w:name="_Toc13580203"/>
      <w:bookmarkStart w:id="391" w:name="_Toc14700057"/>
      <w:bookmarkStart w:id="392" w:name="_Toc14777485"/>
      <w:bookmarkStart w:id="393" w:name="_Toc14871234"/>
      <w:bookmarkStart w:id="394" w:name="_Toc17279202"/>
      <w:bookmarkStart w:id="395" w:name="_Toc17279314"/>
      <w:r>
        <w:rPr>
          <w:rStyle w:val="CharSDivNo"/>
        </w:rPr>
        <w:t>Division 7</w:t>
      </w:r>
      <w:r>
        <w:t> — </w:t>
      </w:r>
      <w:r>
        <w:rPr>
          <w:rStyle w:val="CharSDivText"/>
        </w:rPr>
        <w:t>Park rules</w:t>
      </w:r>
      <w:bookmarkEnd w:id="387"/>
      <w:bookmarkEnd w:id="388"/>
      <w:bookmarkEnd w:id="389"/>
      <w:bookmarkEnd w:id="390"/>
      <w:bookmarkEnd w:id="391"/>
      <w:bookmarkEnd w:id="392"/>
      <w:bookmarkEnd w:id="393"/>
      <w:bookmarkEnd w:id="394"/>
      <w:bookmarkEnd w:id="395"/>
    </w:p>
    <w:p>
      <w:pPr>
        <w:pStyle w:val="PermNoteHeading"/>
      </w:pPr>
      <w:r>
        <w:tab/>
        <w:t>Note for this Division:</w:t>
      </w:r>
    </w:p>
    <w:p>
      <w:pPr>
        <w:pStyle w:val="PermNoteText"/>
      </w:pPr>
      <w:r>
        <w:tab/>
      </w:r>
      <w:r>
        <w:tab/>
        <w:t>In this Division the park operator should set out the park rules for the residential park.</w:t>
      </w:r>
    </w:p>
    <w:p>
      <w:pPr>
        <w:pStyle w:val="yHeading3"/>
        <w:spacing w:before="220"/>
        <w:rPr>
          <w:rStyle w:val="CharSDivText"/>
        </w:rPr>
      </w:pPr>
      <w:bookmarkStart w:id="396" w:name="_Toc7531868"/>
      <w:bookmarkStart w:id="397" w:name="_Toc11075656"/>
      <w:bookmarkStart w:id="398" w:name="_Toc13032675"/>
      <w:bookmarkStart w:id="399" w:name="_Toc13580204"/>
      <w:bookmarkStart w:id="400" w:name="_Toc14700058"/>
      <w:bookmarkStart w:id="401" w:name="_Toc14777486"/>
      <w:bookmarkStart w:id="402" w:name="_Toc14871235"/>
      <w:bookmarkStart w:id="403" w:name="_Toc17279203"/>
      <w:bookmarkStart w:id="404" w:name="_Toc17279315"/>
      <w:r>
        <w:rPr>
          <w:rStyle w:val="CharSDivNo"/>
        </w:rPr>
        <w:t>Division 8</w:t>
      </w:r>
      <w:r>
        <w:t> — </w:t>
      </w:r>
      <w:r>
        <w:rPr>
          <w:rStyle w:val="CharSDivText"/>
        </w:rPr>
        <w:t>Information sheet</w:t>
      </w:r>
      <w:bookmarkEnd w:id="396"/>
      <w:bookmarkEnd w:id="397"/>
      <w:bookmarkEnd w:id="398"/>
      <w:bookmarkEnd w:id="399"/>
      <w:bookmarkEnd w:id="400"/>
      <w:bookmarkEnd w:id="401"/>
      <w:bookmarkEnd w:id="402"/>
      <w:bookmarkEnd w:id="403"/>
      <w:bookmarkEnd w:id="404"/>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Next w:val="0"/>
        <w:keepLines/>
        <w:spacing w:before="220"/>
        <w:outlineLvl w:val="9"/>
      </w:pPr>
      <w:bookmarkStart w:id="405" w:name="_Toc7531869"/>
      <w:bookmarkStart w:id="406" w:name="_Toc11075657"/>
      <w:bookmarkStart w:id="407" w:name="_Toc13032676"/>
      <w:bookmarkStart w:id="408" w:name="_Toc13580205"/>
      <w:bookmarkStart w:id="409" w:name="_Toc14700059"/>
      <w:bookmarkStart w:id="410" w:name="_Toc14777487"/>
      <w:bookmarkStart w:id="411" w:name="_Toc14871236"/>
      <w:bookmarkStart w:id="412" w:name="_Toc17279204"/>
      <w:bookmarkStart w:id="413" w:name="_Toc17279316"/>
      <w:r>
        <w:rPr>
          <w:rStyle w:val="CharSDivNo"/>
        </w:rPr>
        <w:t>Division 9</w:t>
      </w:r>
      <w:r>
        <w:t> — </w:t>
      </w:r>
      <w:r>
        <w:rPr>
          <w:rStyle w:val="CharSDivText"/>
        </w:rPr>
        <w:t>Acceptance</w:t>
      </w:r>
      <w:bookmarkEnd w:id="405"/>
      <w:bookmarkEnd w:id="406"/>
      <w:bookmarkEnd w:id="407"/>
      <w:bookmarkEnd w:id="408"/>
      <w:bookmarkEnd w:id="409"/>
      <w:bookmarkEnd w:id="410"/>
      <w:bookmarkEnd w:id="411"/>
      <w:bookmarkEnd w:id="412"/>
      <w:bookmarkEnd w:id="41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Lines/>
              <w:rPr>
                <w:sz w:val="18"/>
              </w:rPr>
            </w:pPr>
            <w:r>
              <w:rPr>
                <w:sz w:val="18"/>
              </w:rPr>
              <w:t>By signing this agreement, the parties to this agreement agree to be bound by its terms and conditions.</w:t>
            </w:r>
          </w:p>
          <w:p>
            <w:pPr>
              <w:pStyle w:val="yTable"/>
              <w:keepLines/>
              <w:rPr>
                <w:b/>
                <w:bCs/>
                <w:sz w:val="18"/>
              </w:rPr>
            </w:pPr>
            <w:r>
              <w:rPr>
                <w:b/>
                <w:bCs/>
                <w:sz w:val="18"/>
              </w:rPr>
              <w:t>Park operator / managing real estate agent</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b/>
                <w:bCs/>
                <w:sz w:val="18"/>
              </w:rPr>
            </w:pPr>
            <w:r>
              <w:rPr>
                <w:b/>
                <w:bCs/>
                <w:sz w:val="18"/>
              </w:rPr>
              <w:t>Witness*</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pPr>
      <w:bookmarkStart w:id="414" w:name="_Toc7531870"/>
      <w:bookmarkStart w:id="415" w:name="_Toc11075658"/>
      <w:bookmarkStart w:id="416" w:name="_Toc13032677"/>
      <w:bookmarkStart w:id="417" w:name="_Toc13580206"/>
      <w:bookmarkStart w:id="418" w:name="_Toc14700060"/>
      <w:bookmarkStart w:id="419" w:name="_Toc14777488"/>
      <w:bookmarkStart w:id="420" w:name="_Toc14871237"/>
      <w:bookmarkStart w:id="421" w:name="_Toc17279205"/>
      <w:bookmarkStart w:id="422" w:name="_Toc17279317"/>
      <w:r>
        <w:rPr>
          <w:rStyle w:val="CharSDivNo"/>
        </w:rPr>
        <w:t>Division 10</w:t>
      </w:r>
      <w:r>
        <w:t> — </w:t>
      </w:r>
      <w:r>
        <w:rPr>
          <w:rStyle w:val="CharSDivText"/>
        </w:rPr>
        <w:t>Tenant’s checklist</w:t>
      </w:r>
      <w:bookmarkEnd w:id="414"/>
      <w:bookmarkEnd w:id="415"/>
      <w:bookmarkEnd w:id="416"/>
      <w:bookmarkEnd w:id="417"/>
      <w:bookmarkEnd w:id="418"/>
      <w:bookmarkEnd w:id="419"/>
      <w:bookmarkEnd w:id="420"/>
      <w:bookmarkEnd w:id="421"/>
      <w:bookmarkEnd w:id="42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
      <w:pPr>
        <w:pStyle w:val="yScheduleHeading"/>
        <w:keepNext w:val="0"/>
        <w:spacing w:before="60"/>
        <w:ind w:left="317" w:hanging="317"/>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424" w:name="_Toc7531871"/>
      <w:bookmarkStart w:id="425" w:name="_Toc11075659"/>
      <w:bookmarkStart w:id="426" w:name="_Toc13032678"/>
      <w:bookmarkStart w:id="427" w:name="_Toc13580207"/>
      <w:bookmarkStart w:id="428" w:name="_Toc14700061"/>
      <w:bookmarkStart w:id="429" w:name="_Toc14777489"/>
      <w:bookmarkStart w:id="430" w:name="_Toc14871238"/>
      <w:bookmarkStart w:id="431" w:name="_Toc17279206"/>
      <w:bookmarkStart w:id="432" w:name="_Toc17279318"/>
      <w:r>
        <w:rPr>
          <w:rStyle w:val="CharSchNo"/>
        </w:rPr>
        <w:t>Schedule 5</w:t>
      </w:r>
      <w:r>
        <w:t> — </w:t>
      </w:r>
      <w:r>
        <w:rPr>
          <w:rStyle w:val="CharSchText"/>
        </w:rPr>
        <w:t>Condition report</w:t>
      </w:r>
      <w:bookmarkEnd w:id="424"/>
      <w:bookmarkEnd w:id="425"/>
      <w:bookmarkEnd w:id="426"/>
      <w:bookmarkEnd w:id="427"/>
      <w:bookmarkEnd w:id="428"/>
      <w:bookmarkEnd w:id="429"/>
      <w:bookmarkEnd w:id="430"/>
      <w:bookmarkEnd w:id="431"/>
      <w:bookmarkEnd w:id="432"/>
    </w:p>
    <w:p>
      <w:pPr>
        <w:pStyle w:val="yShoulderClause"/>
      </w:pPr>
      <w:r>
        <w:t>[r. 8(1)]</w:t>
      </w:r>
    </w:p>
    <w:p>
      <w:pPr>
        <w:pStyle w:val="yHeading5"/>
      </w:pPr>
      <w:bookmarkStart w:id="433" w:name="_Toc17279319"/>
      <w:r>
        <w:rPr>
          <w:rStyle w:val="CharSClsNo"/>
        </w:rPr>
        <w:t>1</w:t>
      </w:r>
      <w:r>
        <w:t>.</w:t>
      </w:r>
      <w:r>
        <w:tab/>
        <w:t>On</w:t>
      </w:r>
      <w:r>
        <w:noBreakHyphen/>
        <w:t>site home</w:t>
      </w:r>
      <w:bookmarkEnd w:id="433"/>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434" w:name="_Toc17279320"/>
      <w:r>
        <w:rPr>
          <w:rStyle w:val="CharSClsNo"/>
        </w:rPr>
        <w:t>2</w:t>
      </w:r>
      <w:r>
        <w:t>.</w:t>
      </w:r>
      <w:r>
        <w:tab/>
        <w:t>Site</w:t>
      </w:r>
      <w:bookmarkEnd w:id="434"/>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435" w:name="_Toc17279321"/>
      <w:r>
        <w:rPr>
          <w:rStyle w:val="CharSClsNo"/>
        </w:rPr>
        <w:t>3</w:t>
      </w:r>
      <w:r>
        <w:t>.</w:t>
      </w:r>
      <w:r>
        <w:tab/>
        <w:t>Specific work to be undertaken by park operator</w:t>
      </w:r>
      <w:bookmarkEnd w:id="435"/>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436" w:name="_Toc17279322"/>
      <w:r>
        <w:rPr>
          <w:rStyle w:val="CharSClsNo"/>
        </w:rPr>
        <w:t>4</w:t>
      </w:r>
      <w:r>
        <w:t>.</w:t>
      </w:r>
      <w:r>
        <w:tab/>
        <w:t>Signatures</w:t>
      </w:r>
      <w:bookmarkEnd w:id="436"/>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ScheduleHeading"/>
      </w:pPr>
      <w:bookmarkStart w:id="437" w:name="_Toc7531876"/>
      <w:bookmarkStart w:id="438" w:name="_Toc11075664"/>
      <w:bookmarkStart w:id="439" w:name="_Toc13032683"/>
      <w:bookmarkStart w:id="440" w:name="_Toc13580212"/>
      <w:bookmarkStart w:id="441" w:name="_Toc14700066"/>
      <w:bookmarkStart w:id="442" w:name="_Toc14777494"/>
      <w:bookmarkStart w:id="443" w:name="_Toc14871243"/>
      <w:bookmarkStart w:id="444" w:name="_Toc17279211"/>
      <w:bookmarkStart w:id="445" w:name="_Toc17279323"/>
      <w:r>
        <w:rPr>
          <w:rStyle w:val="CharSchNo"/>
        </w:rPr>
        <w:t>Schedule 6</w:t>
      </w:r>
      <w:r>
        <w:t> — </w:t>
      </w:r>
      <w:r>
        <w:rPr>
          <w:rStyle w:val="CharSchText"/>
        </w:rPr>
        <w:t>Information sheet (on</w:t>
      </w:r>
      <w:r>
        <w:rPr>
          <w:rStyle w:val="CharSchText"/>
        </w:rPr>
        <w:noBreakHyphen/>
        <w:t>site home agreement)</w:t>
      </w:r>
      <w:bookmarkEnd w:id="437"/>
      <w:bookmarkEnd w:id="438"/>
      <w:bookmarkEnd w:id="439"/>
      <w:bookmarkEnd w:id="440"/>
      <w:bookmarkEnd w:id="441"/>
      <w:bookmarkEnd w:id="442"/>
      <w:bookmarkEnd w:id="443"/>
      <w:bookmarkEnd w:id="444"/>
      <w:bookmarkEnd w:id="445"/>
    </w:p>
    <w:p>
      <w:pPr>
        <w:pStyle w:val="yShoulderClause"/>
      </w:pPr>
      <w:r>
        <w:t>[r. 9(1)(a)]</w:t>
      </w:r>
    </w:p>
    <w:p>
      <w:pPr>
        <w:pStyle w:val="yHeading5"/>
      </w:pPr>
      <w:bookmarkStart w:id="446" w:name="_Toc17279324"/>
      <w:r>
        <w:rPr>
          <w:rStyle w:val="CharSClsNo"/>
        </w:rPr>
        <w:t>1</w:t>
      </w:r>
      <w:r>
        <w:t>.</w:t>
      </w:r>
      <w:r>
        <w:tab/>
        <w:t>Additional persons residing on a temporary basis on the agreed premises</w:t>
      </w:r>
      <w:bookmarkEnd w:id="446"/>
    </w:p>
    <w:tbl>
      <w:tblPr>
        <w:tblW w:w="0" w:type="auto"/>
        <w:tblInd w:w="392" w:type="dxa"/>
        <w:tblLayout w:type="fixed"/>
        <w:tblLook w:val="0000" w:firstRow="0" w:lastRow="0" w:firstColumn="0" w:lastColumn="0" w:noHBand="0" w:noVBand="0"/>
      </w:tblPr>
      <w:tblGrid>
        <w:gridCol w:w="5245"/>
        <w:gridCol w:w="1417"/>
      </w:tblGrid>
      <w:tr>
        <w:trPr>
          <w:cantSplit/>
        </w:trPr>
        <w:tc>
          <w:tcPr>
            <w:tcW w:w="5245" w:type="dxa"/>
          </w:tcPr>
          <w:p>
            <w:pPr>
              <w:pStyle w:val="yTableNAm"/>
              <w:tabs>
                <w:tab w:val="clear" w:pos="567"/>
                <w:tab w:val="left" w:pos="328"/>
                <w:tab w:val="left" w:pos="728"/>
              </w:tabs>
              <w:ind w:left="728" w:hanging="728"/>
            </w:pPr>
            <w:r>
              <w:tab/>
              <w:t>(1)</w:t>
            </w:r>
            <w:r>
              <w:tab/>
              <w:t>Are tenants required to pay charges for persons residing on a temporary basis on the agreed premises?</w:t>
            </w:r>
          </w:p>
          <w:p>
            <w:pPr>
              <w:pStyle w:val="yTableNAm"/>
              <w:tabs>
                <w:tab w:val="clear" w:pos="567"/>
                <w:tab w:val="left" w:pos="328"/>
                <w:tab w:val="left" w:pos="728"/>
              </w:tabs>
              <w:ind w:left="728" w:hanging="72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28"/>
                <w:tab w:val="left" w:pos="728"/>
              </w:tabs>
              <w:ind w:left="728" w:hanging="728"/>
            </w:pPr>
            <w:r>
              <w:tab/>
              <w:t>(3)</w:t>
            </w:r>
            <w:r>
              <w:tab/>
              <w:t xml:space="preserve">If charges are payable under subclause (1) specify — </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28"/>
                <w:tab w:val="left" w:pos="728"/>
                <w:tab w:val="left" w:pos="1068"/>
              </w:tabs>
              <w:ind w:left="1068" w:hanging="1068"/>
            </w:pPr>
            <w:r>
              <w:tab/>
            </w:r>
            <w:r>
              <w:tab/>
              <w:t>(a)</w:t>
            </w:r>
            <w:r>
              <w:tab/>
              <w:t>when a person is to be considered to be residing on the agreed premises for the purposes of the agreement;</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(b)</w:t>
            </w:r>
            <w:r>
              <w:tab/>
              <w:t>any time of the year when the charges will not be payable;</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(c)</w:t>
            </w:r>
            <w:r>
              <w:tab/>
              <w:t>whether charges for additional residents are payable only after a certain period of time.</w:t>
            </w:r>
          </w:p>
        </w:tc>
        <w:tc>
          <w:tcPr>
            <w:tcW w:w="1417" w:type="dxa"/>
          </w:tcPr>
          <w:p>
            <w:pPr>
              <w:pStyle w:val="yTableNAm"/>
              <w:tabs>
                <w:tab w:val="clear" w:pos="567"/>
                <w:tab w:val="left" w:pos="328"/>
              </w:tabs>
              <w:ind w:left="3"/>
            </w:pPr>
          </w:p>
        </w:tc>
      </w:tr>
      <w:tr>
        <w:trPr>
          <w:cantSplit/>
        </w:trPr>
        <w:tc>
          <w:tcPr>
            <w:tcW w:w="6662" w:type="dxa"/>
            <w:gridSpan w:val="2"/>
          </w:tcPr>
          <w:p>
            <w:pPr>
              <w:pStyle w:val="yTableNAm"/>
              <w:tabs>
                <w:tab w:val="clear" w:pos="567"/>
                <w:tab w:val="left" w:pos="328"/>
                <w:tab w:val="left" w:pos="728"/>
                <w:tab w:val="left" w:pos="1068"/>
              </w:tabs>
              <w:ind w:left="1068" w:hanging="1068"/>
            </w:pPr>
            <w:r>
              <w:tab/>
            </w:r>
            <w:r>
              <w:tab/>
              <w:t>If yes, specify the period:</w:t>
            </w:r>
          </w:p>
          <w:p>
            <w:pPr>
              <w:pStyle w:val="yTableNAm"/>
              <w:tabs>
                <w:tab w:val="clear" w:pos="567"/>
                <w:tab w:val="left" w:pos="328"/>
                <w:tab w:val="left" w:pos="728"/>
                <w:tab w:val="left" w:pos="1068"/>
              </w:tabs>
              <w:ind w:left="1068" w:hanging="1068"/>
            </w:pPr>
            <w:r>
              <w:tab/>
            </w:r>
            <w:r>
              <w:tab/>
              <w:t>..................................................................................................</w:t>
            </w:r>
          </w:p>
        </w:tc>
      </w:tr>
      <w:tr>
        <w:trPr>
          <w:cantSplit/>
        </w:trPr>
        <w:tc>
          <w:tcPr>
            <w:tcW w:w="5245" w:type="dxa"/>
          </w:tcPr>
          <w:p>
            <w:pPr>
              <w:pStyle w:val="yTableNAm"/>
              <w:tabs>
                <w:tab w:val="clear" w:pos="567"/>
                <w:tab w:val="left" w:pos="328"/>
                <w:tab w:val="left" w:pos="728"/>
                <w:tab w:val="left" w:pos="1068"/>
              </w:tabs>
              <w:ind w:left="1068" w:hanging="1068"/>
            </w:pPr>
            <w:r>
              <w:tab/>
            </w:r>
            <w:r>
              <w:tab/>
              <w:t>(d)</w:t>
            </w:r>
            <w:r>
              <w:tab/>
              <w:t>whether charges for additional residents are payable if the agreed premises have their own bathroom and toilet?</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2818</w:t>
      </w:r>
      <w:r>
        <w:noBreakHyphen/>
        <w:t>19.]</w:t>
      </w:r>
    </w:p>
    <w:p>
      <w:pPr>
        <w:pStyle w:val="yHeading5"/>
      </w:pPr>
      <w:bookmarkStart w:id="447" w:name="_Toc17279325"/>
      <w:r>
        <w:rPr>
          <w:rStyle w:val="CharSClsNo"/>
        </w:rPr>
        <w:t>2</w:t>
      </w:r>
      <w:r>
        <w:t>.</w:t>
      </w:r>
      <w:r>
        <w:tab/>
        <w:t>Services and utilities</w:t>
      </w:r>
      <w:bookmarkEnd w:id="447"/>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keepNext/>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448" w:name="_Toc17279326"/>
      <w:r>
        <w:rPr>
          <w:rStyle w:val="CharSClsNo"/>
        </w:rPr>
        <w:t>3</w:t>
      </w:r>
      <w:r>
        <w:t>.</w:t>
      </w:r>
      <w:r>
        <w:tab/>
        <w:t>Pets</w:t>
      </w:r>
      <w:bookmarkEnd w:id="44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449" w:name="_Toc17279327"/>
      <w:r>
        <w:rPr>
          <w:rStyle w:val="CharSClsNo"/>
        </w:rPr>
        <w:t>4</w:t>
      </w:r>
      <w:r>
        <w:t>.</w:t>
      </w:r>
      <w:r>
        <w:tab/>
        <w:t>Shared premises and facilities</w:t>
      </w:r>
      <w:bookmarkEnd w:id="449"/>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450" w:name="_Toc17279328"/>
      <w:r>
        <w:rPr>
          <w:rStyle w:val="CharSClsNo"/>
        </w:rPr>
        <w:t>5</w:t>
      </w:r>
      <w:r>
        <w:t>.</w:t>
      </w:r>
      <w:r>
        <w:tab/>
        <w:t>Parking</w:t>
      </w:r>
      <w:bookmarkEnd w:id="450"/>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451" w:name="_Toc17279329"/>
      <w:r>
        <w:rPr>
          <w:rStyle w:val="CharSClsNo"/>
        </w:rPr>
        <w:t>6</w:t>
      </w:r>
      <w:r>
        <w:t>.</w:t>
      </w:r>
      <w:r>
        <w:tab/>
        <w:t>Sub</w:t>
      </w:r>
      <w:r>
        <w:noBreakHyphen/>
        <w:t>letting or otherwise assigning the agreed premises</w:t>
      </w:r>
      <w:bookmarkEnd w:id="451"/>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452" w:name="_Toc17279330"/>
      <w:r>
        <w:rPr>
          <w:rStyle w:val="CharSClsNo"/>
        </w:rPr>
        <w:t>7</w:t>
      </w:r>
      <w:r>
        <w:t>.</w:t>
      </w:r>
      <w:r>
        <w:tab/>
        <w:t>Restrictions on use of site</w:t>
      </w:r>
      <w:bookmarkEnd w:id="45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453" w:name="_Toc17279331"/>
      <w:r>
        <w:rPr>
          <w:rStyle w:val="CharSClsNo"/>
        </w:rPr>
        <w:t>8</w:t>
      </w:r>
      <w:r>
        <w:t>.</w:t>
      </w:r>
      <w:r>
        <w:tab/>
        <w:t>Insurance requirements</w:t>
      </w:r>
      <w:bookmarkEnd w:id="453"/>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454" w:name="_Toc17279332"/>
      <w:r>
        <w:rPr>
          <w:rStyle w:val="CharSClsNo"/>
        </w:rPr>
        <w:t>9</w:t>
      </w:r>
      <w:r>
        <w:t>.</w:t>
      </w:r>
      <w:r>
        <w:tab/>
        <w:t>Requirements on tenants regarding gardening maintenance</w:t>
      </w:r>
      <w:bookmarkEnd w:id="45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455" w:name="_Toc17279333"/>
      <w:r>
        <w:rPr>
          <w:rStyle w:val="CharSClsNo"/>
        </w:rPr>
        <w:t>10</w:t>
      </w:r>
      <w:r>
        <w:t>.</w:t>
      </w:r>
      <w:r>
        <w:tab/>
        <w:t>Park liaison committee</w:t>
      </w:r>
      <w:bookmarkEnd w:id="455"/>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456" w:name="_Toc7531887"/>
      <w:bookmarkStart w:id="457" w:name="_Toc11075675"/>
      <w:bookmarkStart w:id="458" w:name="_Toc13032694"/>
      <w:bookmarkStart w:id="459" w:name="_Toc13580223"/>
      <w:bookmarkStart w:id="460" w:name="_Toc14700077"/>
      <w:bookmarkStart w:id="461" w:name="_Toc14777505"/>
      <w:bookmarkStart w:id="462" w:name="_Toc14871254"/>
      <w:bookmarkStart w:id="463" w:name="_Toc17279222"/>
      <w:bookmarkStart w:id="464" w:name="_Toc17279334"/>
      <w:r>
        <w:rPr>
          <w:rStyle w:val="CharSchNo"/>
        </w:rPr>
        <w:t>Schedule 7</w:t>
      </w:r>
      <w:r>
        <w:t> — </w:t>
      </w:r>
      <w:r>
        <w:rPr>
          <w:rStyle w:val="CharSchText"/>
        </w:rPr>
        <w:t>Information sheet (site</w:t>
      </w:r>
      <w:r>
        <w:rPr>
          <w:rStyle w:val="CharSchText"/>
        </w:rPr>
        <w:noBreakHyphen/>
        <w:t>only agreement)</w:t>
      </w:r>
      <w:bookmarkEnd w:id="456"/>
      <w:bookmarkEnd w:id="457"/>
      <w:bookmarkEnd w:id="458"/>
      <w:bookmarkEnd w:id="459"/>
      <w:bookmarkEnd w:id="460"/>
      <w:bookmarkEnd w:id="461"/>
      <w:bookmarkEnd w:id="462"/>
      <w:bookmarkEnd w:id="463"/>
      <w:bookmarkEnd w:id="464"/>
    </w:p>
    <w:p>
      <w:pPr>
        <w:pStyle w:val="yShoulderClause"/>
      </w:pPr>
      <w:r>
        <w:t>[r. 9(1)(b)]</w:t>
      </w:r>
    </w:p>
    <w:p>
      <w:pPr>
        <w:pStyle w:val="yHeading5"/>
      </w:pPr>
      <w:bookmarkStart w:id="465" w:name="_Toc17279335"/>
      <w:r>
        <w:rPr>
          <w:rStyle w:val="CharSClsNo"/>
        </w:rPr>
        <w:t>1</w:t>
      </w:r>
      <w:r>
        <w:t>.</w:t>
      </w:r>
      <w:r>
        <w:tab/>
        <w:t>Additional persons residing on a temporary basis on the agreed premises</w:t>
      </w:r>
      <w:bookmarkEnd w:id="465"/>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NAm"/>
              <w:tabs>
                <w:tab w:val="clear" w:pos="567"/>
                <w:tab w:val="left" w:pos="368"/>
                <w:tab w:val="left" w:pos="808"/>
              </w:tabs>
              <w:ind w:left="808" w:hanging="808"/>
            </w:pPr>
            <w:r>
              <w:tab/>
              <w:t>(1)</w:t>
            </w:r>
            <w:r>
              <w:tab/>
              <w:t>Are tenants required to pay charges for persons residing on a temporary basis on the agreed premises?</w:t>
            </w:r>
          </w:p>
          <w:p>
            <w:pPr>
              <w:pStyle w:val="yTableNAm"/>
              <w:tabs>
                <w:tab w:val="clear" w:pos="567"/>
                <w:tab w:val="left" w:pos="368"/>
                <w:tab w:val="left" w:pos="808"/>
              </w:tabs>
              <w:ind w:left="808" w:hanging="80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68"/>
                <w:tab w:val="left" w:pos="808"/>
              </w:tabs>
              <w:ind w:left="808" w:hanging="808"/>
            </w:pPr>
            <w:r>
              <w:tab/>
              <w:t>(3)</w:t>
            </w:r>
            <w:r>
              <w:tab/>
              <w:t xml:space="preserve">If charges are payable under subclause (1) specify — </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68"/>
                <w:tab w:val="left" w:pos="808"/>
                <w:tab w:val="left" w:pos="1168"/>
              </w:tabs>
              <w:ind w:left="1168" w:hanging="1168"/>
            </w:pPr>
            <w:r>
              <w:tab/>
            </w:r>
            <w:r>
              <w:tab/>
              <w:t>(a)</w:t>
            </w:r>
            <w:r>
              <w:tab/>
              <w:t>when a person is to be considered to be residing on the agreed premises for the purposes of the agreement;</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(b)</w:t>
            </w:r>
            <w:r>
              <w:tab/>
              <w:t>any time of the year when the charges will not be payable;</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(c)</w:t>
            </w:r>
            <w:r>
              <w:tab/>
              <w:t>whether charges for additional residents are payable only after a certain period of time.</w:t>
            </w:r>
          </w:p>
        </w:tc>
        <w:tc>
          <w:tcPr>
            <w:tcW w:w="1559" w:type="dxa"/>
          </w:tcPr>
          <w:p>
            <w:pPr>
              <w:pStyle w:val="yTableNAm"/>
              <w:tabs>
                <w:tab w:val="clear" w:pos="567"/>
                <w:tab w:val="left" w:pos="328"/>
              </w:tabs>
              <w:ind w:left="3"/>
            </w:pPr>
          </w:p>
        </w:tc>
      </w:tr>
      <w:tr>
        <w:trPr>
          <w:cantSplit/>
        </w:trPr>
        <w:tc>
          <w:tcPr>
            <w:tcW w:w="6804" w:type="dxa"/>
            <w:gridSpan w:val="2"/>
          </w:tcPr>
          <w:p>
            <w:pPr>
              <w:pStyle w:val="yTableNAm"/>
              <w:tabs>
                <w:tab w:val="clear" w:pos="567"/>
                <w:tab w:val="left" w:pos="368"/>
                <w:tab w:val="left" w:pos="808"/>
                <w:tab w:val="left" w:pos="1168"/>
              </w:tabs>
              <w:ind w:left="1168" w:hanging="1168"/>
            </w:pPr>
            <w:r>
              <w:tab/>
            </w:r>
            <w:r>
              <w:tab/>
              <w:t>If yes, specify the period:</w:t>
            </w:r>
          </w:p>
          <w:p>
            <w:pPr>
              <w:pStyle w:val="yTableNAm"/>
              <w:tabs>
                <w:tab w:val="clear" w:pos="567"/>
                <w:tab w:val="left" w:pos="368"/>
                <w:tab w:val="left" w:pos="808"/>
                <w:tab w:val="left" w:pos="1168"/>
              </w:tabs>
              <w:ind w:left="1168" w:hanging="1168"/>
            </w:pPr>
            <w:r>
              <w:tab/>
            </w:r>
            <w:r>
              <w:tab/>
              <w:t>.....................................................................................................</w:t>
            </w:r>
          </w:p>
        </w:tc>
      </w:tr>
      <w:tr>
        <w:trPr>
          <w:cantSplit/>
        </w:trPr>
        <w:tc>
          <w:tcPr>
            <w:tcW w:w="5245" w:type="dxa"/>
          </w:tcPr>
          <w:p>
            <w:pPr>
              <w:pStyle w:val="yTableNAm"/>
              <w:tabs>
                <w:tab w:val="clear" w:pos="567"/>
                <w:tab w:val="left" w:pos="368"/>
                <w:tab w:val="left" w:pos="808"/>
                <w:tab w:val="left" w:pos="1168"/>
              </w:tabs>
              <w:ind w:left="1168" w:hanging="1168"/>
            </w:pPr>
            <w:r>
              <w:tab/>
            </w:r>
            <w:r>
              <w:tab/>
              <w:t>(d)</w:t>
            </w:r>
            <w:r>
              <w:tab/>
              <w:t>whether charges for additional residents are payable if the agreed premises have their own bathroom and toilet?</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2819</w:t>
      </w:r>
      <w:r>
        <w:noBreakHyphen/>
        <w:t>20.]</w:t>
      </w:r>
    </w:p>
    <w:p>
      <w:pPr>
        <w:pStyle w:val="yHeading5"/>
        <w:tabs>
          <w:tab w:val="clear" w:pos="879"/>
        </w:tabs>
      </w:pPr>
      <w:bookmarkStart w:id="466" w:name="_Toc17279336"/>
      <w:r>
        <w:rPr>
          <w:rStyle w:val="CharSClsNo"/>
        </w:rPr>
        <w:t>2</w:t>
      </w:r>
      <w:r>
        <w:t>.</w:t>
      </w:r>
      <w:r>
        <w:tab/>
        <w:t>Services and utilities</w:t>
      </w:r>
      <w:bookmarkEnd w:id="466"/>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467" w:name="_Toc17279337"/>
      <w:r>
        <w:rPr>
          <w:rStyle w:val="CharSClsNo"/>
        </w:rPr>
        <w:t>3</w:t>
      </w:r>
      <w:r>
        <w:t>.</w:t>
      </w:r>
      <w:r>
        <w:tab/>
        <w:t>Pets</w:t>
      </w:r>
      <w:bookmarkEnd w:id="46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468" w:name="_Toc17279338"/>
      <w:r>
        <w:rPr>
          <w:rStyle w:val="CharSClsNo"/>
        </w:rPr>
        <w:t>4</w:t>
      </w:r>
      <w:r>
        <w:t>.</w:t>
      </w:r>
      <w:r>
        <w:tab/>
        <w:t>Shared premises and facilities</w:t>
      </w:r>
      <w:bookmarkEnd w:id="468"/>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469" w:name="_Toc17279339"/>
      <w:r>
        <w:rPr>
          <w:rStyle w:val="CharSClsNo"/>
        </w:rPr>
        <w:t>5</w:t>
      </w:r>
      <w:r>
        <w:t>.</w:t>
      </w:r>
      <w:r>
        <w:tab/>
        <w:t>Parking</w:t>
      </w:r>
      <w:bookmarkEnd w:id="46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470" w:name="_Toc17279340"/>
      <w:r>
        <w:rPr>
          <w:rStyle w:val="CharSClsNo"/>
        </w:rPr>
        <w:t>6</w:t>
      </w:r>
      <w:r>
        <w:t>.</w:t>
      </w:r>
      <w:r>
        <w:tab/>
        <w:t>Selling a relocatable home or sub</w:t>
      </w:r>
      <w:r>
        <w:noBreakHyphen/>
        <w:t>letting or otherwise assigning the agreed premises</w:t>
      </w:r>
      <w:bookmarkEnd w:id="470"/>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471" w:name="_Toc17279341"/>
      <w:r>
        <w:rPr>
          <w:rStyle w:val="CharSClsNo"/>
        </w:rPr>
        <w:t>7</w:t>
      </w:r>
      <w:r>
        <w:t>.</w:t>
      </w:r>
      <w:r>
        <w:tab/>
        <w:t>Restrictions on use of site</w:t>
      </w:r>
      <w:bookmarkEnd w:id="471"/>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472" w:name="_Toc17279342"/>
      <w:r>
        <w:rPr>
          <w:rStyle w:val="CharSClsNo"/>
        </w:rPr>
        <w:t>8</w:t>
      </w:r>
      <w:r>
        <w:t>.</w:t>
      </w:r>
      <w:r>
        <w:tab/>
        <w:t>Insurance requirements</w:t>
      </w:r>
      <w:bookmarkEnd w:id="472"/>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473" w:name="_Toc17279343"/>
      <w:r>
        <w:rPr>
          <w:rStyle w:val="CharSClsNo"/>
        </w:rPr>
        <w:t>9</w:t>
      </w:r>
      <w:r>
        <w:t>.</w:t>
      </w:r>
      <w:r>
        <w:tab/>
        <w:t>Requirements on tenants regarding gardening maintenance</w:t>
      </w:r>
      <w:bookmarkEnd w:id="473"/>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474" w:name="_Toc17279344"/>
      <w:r>
        <w:rPr>
          <w:rStyle w:val="CharSClsNo"/>
        </w:rPr>
        <w:t>10</w:t>
      </w:r>
      <w:r>
        <w:t>.</w:t>
      </w:r>
      <w:r>
        <w:tab/>
        <w:t>Park liaison committee</w:t>
      </w:r>
      <w:bookmarkEnd w:id="474"/>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keepNext/>
              <w:ind w:left="1168" w:hanging="567"/>
            </w:pPr>
            <w:r>
              <w:sym w:font="Wingdings 2" w:char="F097"/>
            </w:r>
            <w:r>
              <w:tab/>
              <w:t>what are its procedures?</w:t>
            </w:r>
          </w:p>
        </w:tc>
        <w:tc>
          <w:tcPr>
            <w:tcW w:w="1559" w:type="dxa"/>
          </w:tcPr>
          <w:p>
            <w:pPr>
              <w:pStyle w:val="yTable"/>
              <w:keepNext/>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475" w:name="_Toc7531898"/>
      <w:bookmarkStart w:id="476" w:name="_Toc11075686"/>
      <w:bookmarkStart w:id="477" w:name="_Toc13032705"/>
      <w:bookmarkStart w:id="478" w:name="_Toc13580234"/>
      <w:bookmarkStart w:id="479" w:name="_Toc14700088"/>
      <w:bookmarkStart w:id="480" w:name="_Toc14777516"/>
      <w:bookmarkStart w:id="481" w:name="_Toc14871265"/>
      <w:bookmarkStart w:id="482" w:name="_Toc17279233"/>
      <w:bookmarkStart w:id="483" w:name="_Toc17279345"/>
      <w:r>
        <w:rPr>
          <w:rStyle w:val="CharSchNo"/>
        </w:rPr>
        <w:t>Schedule 8</w:t>
      </w:r>
      <w:r>
        <w:rPr>
          <w:rStyle w:val="CharSDivNo"/>
        </w:rPr>
        <w:t> </w:t>
      </w:r>
      <w:r>
        <w:t>—</w:t>
      </w:r>
      <w:r>
        <w:rPr>
          <w:rStyle w:val="CharSDivText"/>
        </w:rPr>
        <w:t> </w:t>
      </w:r>
      <w:r>
        <w:rPr>
          <w:rStyle w:val="CharSchText"/>
        </w:rPr>
        <w:t>Prescribed classes of payment</w:t>
      </w:r>
      <w:bookmarkEnd w:id="475"/>
      <w:bookmarkEnd w:id="476"/>
      <w:bookmarkEnd w:id="477"/>
      <w:bookmarkEnd w:id="478"/>
      <w:bookmarkEnd w:id="479"/>
      <w:bookmarkEnd w:id="480"/>
      <w:bookmarkEnd w:id="481"/>
      <w:bookmarkEnd w:id="482"/>
      <w:bookmarkEnd w:id="483"/>
    </w:p>
    <w:p>
      <w:pPr>
        <w:pStyle w:val="yShoulderClause"/>
      </w:pPr>
      <w:r>
        <w:t>[r. 10]</w:t>
      </w:r>
    </w:p>
    <w:p>
      <w:pPr>
        <w:pStyle w:val="yNumberedItem"/>
      </w:pPr>
      <w:r>
        <w:t>1.</w:t>
      </w:r>
      <w:r>
        <w:tab/>
        <w: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pPr>
      <w:r>
        <w:t>12.</w:t>
      </w:r>
      <w:r>
        <w:tab/>
        <w:t>When a tenant is selling a relocatable home owned by the tenant on the site and the park operator is not the appointed selling agent, a fee for screening the suitability of prospective purchasers of the relocatable home.</w:t>
      </w:r>
    </w:p>
    <w:p>
      <w:pPr>
        <w:pStyle w:val="yFootnotesection"/>
      </w:pPr>
      <w:r>
        <w:tab/>
        <w:t>[Schedule 8 amended: Gazette 5 Jul 2011 p. 2820.]</w:t>
      </w:r>
    </w:p>
    <w:p>
      <w:pPr>
        <w:pStyle w:val="yNumberedItem"/>
        <w:rPr>
          <w:rStyle w:val="CharSchNo"/>
        </w:r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yScheduleHeading"/>
      </w:pPr>
      <w:bookmarkStart w:id="484" w:name="_Toc7531899"/>
      <w:bookmarkStart w:id="485" w:name="_Toc11075687"/>
      <w:bookmarkStart w:id="486" w:name="_Toc13032706"/>
      <w:bookmarkStart w:id="487" w:name="_Toc13580235"/>
      <w:bookmarkStart w:id="488" w:name="_Toc14700089"/>
      <w:bookmarkStart w:id="489" w:name="_Toc14777517"/>
      <w:bookmarkStart w:id="490" w:name="_Toc14871266"/>
      <w:bookmarkStart w:id="491" w:name="_Toc17279234"/>
      <w:bookmarkStart w:id="492" w:name="_Toc17279346"/>
      <w:r>
        <w:rPr>
          <w:rStyle w:val="CharSchNo"/>
        </w:rPr>
        <w:t>Schedule 9</w:t>
      </w:r>
      <w:r>
        <w:t> — </w:t>
      </w:r>
      <w:r>
        <w:rPr>
          <w:rStyle w:val="CharSchText"/>
        </w:rPr>
        <w:t>Default notice</w:t>
      </w:r>
      <w:bookmarkEnd w:id="484"/>
      <w:bookmarkEnd w:id="485"/>
      <w:bookmarkEnd w:id="486"/>
      <w:bookmarkEnd w:id="487"/>
      <w:bookmarkEnd w:id="488"/>
      <w:bookmarkEnd w:id="489"/>
      <w:bookmarkEnd w:id="490"/>
      <w:bookmarkEnd w:id="491"/>
      <w:bookmarkEnd w:id="492"/>
    </w:p>
    <w:p>
      <w:pPr>
        <w:pStyle w:val="yShoulderClause"/>
      </w:pPr>
      <w:r>
        <w:t>[r. 12]</w:t>
      </w:r>
    </w:p>
    <w:p>
      <w:pPr>
        <w:pStyle w:val="yHeading3"/>
      </w:pPr>
      <w:bookmarkStart w:id="493" w:name="_Toc7531900"/>
      <w:bookmarkStart w:id="494" w:name="_Toc11075688"/>
      <w:bookmarkStart w:id="495" w:name="_Toc13032707"/>
      <w:bookmarkStart w:id="496" w:name="_Toc13580236"/>
      <w:bookmarkStart w:id="497" w:name="_Toc14700090"/>
      <w:bookmarkStart w:id="498" w:name="_Toc14777518"/>
      <w:bookmarkStart w:id="499" w:name="_Toc14871267"/>
      <w:bookmarkStart w:id="500" w:name="_Toc17279235"/>
      <w:bookmarkStart w:id="501" w:name="_Toc17279347"/>
      <w:r>
        <w:rPr>
          <w:rStyle w:val="CharSDivNo"/>
        </w:rPr>
        <w:t>Division 1</w:t>
      </w:r>
      <w:r>
        <w:t> — </w:t>
      </w:r>
      <w:r>
        <w:rPr>
          <w:rStyle w:val="CharSDivText"/>
        </w:rPr>
        <w:t>Termination for non</w:t>
      </w:r>
      <w:r>
        <w:rPr>
          <w:rStyle w:val="CharSDivText"/>
        </w:rPr>
        <w:noBreakHyphen/>
        <w:t>payment of rent</w:t>
      </w:r>
      <w:bookmarkEnd w:id="493"/>
      <w:bookmarkEnd w:id="494"/>
      <w:bookmarkEnd w:id="495"/>
      <w:bookmarkEnd w:id="496"/>
      <w:bookmarkEnd w:id="497"/>
      <w:bookmarkEnd w:id="498"/>
      <w:bookmarkEnd w:id="499"/>
      <w:bookmarkEnd w:id="500"/>
      <w:bookmarkEnd w:id="50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Commerce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w:t>
      </w:r>
    </w:p>
    <w:p>
      <w:pPr>
        <w:pStyle w:val="yHeading3"/>
      </w:pPr>
      <w:bookmarkStart w:id="502" w:name="_Toc7531901"/>
      <w:bookmarkStart w:id="503" w:name="_Toc11075689"/>
      <w:bookmarkStart w:id="504" w:name="_Toc13032708"/>
      <w:bookmarkStart w:id="505" w:name="_Toc13580237"/>
      <w:bookmarkStart w:id="506" w:name="_Toc14700091"/>
      <w:bookmarkStart w:id="507" w:name="_Toc14777519"/>
      <w:bookmarkStart w:id="508" w:name="_Toc14871268"/>
      <w:bookmarkStart w:id="509" w:name="_Toc17279236"/>
      <w:bookmarkStart w:id="510" w:name="_Toc17279348"/>
      <w:r>
        <w:rPr>
          <w:rStyle w:val="CharSDivNo"/>
        </w:rPr>
        <w:t>Division 2</w:t>
      </w:r>
      <w:r>
        <w:t> — </w:t>
      </w:r>
      <w:r>
        <w:rPr>
          <w:rStyle w:val="CharSDivText"/>
        </w:rPr>
        <w:t>Termination for other breach of agreement</w:t>
      </w:r>
      <w:bookmarkEnd w:id="502"/>
      <w:bookmarkEnd w:id="503"/>
      <w:bookmarkEnd w:id="504"/>
      <w:bookmarkEnd w:id="505"/>
      <w:bookmarkEnd w:id="506"/>
      <w:bookmarkEnd w:id="507"/>
      <w:bookmarkEnd w:id="508"/>
      <w:bookmarkEnd w:id="509"/>
      <w:bookmarkEnd w:id="51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w:t>
      </w:r>
    </w:p>
    <w:p>
      <w:pPr>
        <w:pStyle w:val="yScheduleHeading"/>
      </w:pPr>
      <w:bookmarkStart w:id="511" w:name="_Toc7531902"/>
      <w:bookmarkStart w:id="512" w:name="_Toc11075690"/>
      <w:bookmarkStart w:id="513" w:name="_Toc13032709"/>
      <w:bookmarkStart w:id="514" w:name="_Toc13580238"/>
      <w:bookmarkStart w:id="515" w:name="_Toc14700092"/>
      <w:bookmarkStart w:id="516" w:name="_Toc14777520"/>
      <w:bookmarkStart w:id="517" w:name="_Toc14871269"/>
      <w:bookmarkStart w:id="518" w:name="_Toc17279237"/>
      <w:bookmarkStart w:id="519" w:name="_Toc17279349"/>
      <w:r>
        <w:rPr>
          <w:rStyle w:val="CharSchNo"/>
        </w:rPr>
        <w:t>Schedule 10</w:t>
      </w:r>
      <w:r>
        <w:t> — </w:t>
      </w:r>
      <w:r>
        <w:rPr>
          <w:rStyle w:val="CharSchText"/>
        </w:rPr>
        <w:t>Notice of termination</w:t>
      </w:r>
      <w:bookmarkEnd w:id="511"/>
      <w:bookmarkEnd w:id="512"/>
      <w:bookmarkEnd w:id="513"/>
      <w:bookmarkEnd w:id="514"/>
      <w:bookmarkEnd w:id="515"/>
      <w:bookmarkEnd w:id="516"/>
      <w:bookmarkEnd w:id="517"/>
      <w:bookmarkEnd w:id="518"/>
      <w:bookmarkEnd w:id="519"/>
    </w:p>
    <w:p>
      <w:pPr>
        <w:pStyle w:val="yShoulderClause"/>
      </w:pPr>
      <w:r>
        <w:t>[r. 13]</w:t>
      </w:r>
    </w:p>
    <w:p>
      <w:pPr>
        <w:pStyle w:val="yHeading3"/>
      </w:pPr>
      <w:bookmarkStart w:id="520" w:name="_Toc7531903"/>
      <w:bookmarkStart w:id="521" w:name="_Toc11075691"/>
      <w:bookmarkStart w:id="522" w:name="_Toc13032710"/>
      <w:bookmarkStart w:id="523" w:name="_Toc13580239"/>
      <w:bookmarkStart w:id="524" w:name="_Toc14700093"/>
      <w:bookmarkStart w:id="525" w:name="_Toc14777521"/>
      <w:bookmarkStart w:id="526" w:name="_Toc14871270"/>
      <w:bookmarkStart w:id="527" w:name="_Toc17279238"/>
      <w:bookmarkStart w:id="528" w:name="_Toc17279350"/>
      <w:r>
        <w:rPr>
          <w:rStyle w:val="CharSDivNo"/>
        </w:rPr>
        <w:t>Division 1</w:t>
      </w:r>
      <w:r>
        <w:t> — </w:t>
      </w:r>
      <w:r>
        <w:rPr>
          <w:rStyle w:val="CharSDivText"/>
        </w:rPr>
        <w:t>Termination by park operator</w:t>
      </w:r>
      <w:bookmarkEnd w:id="520"/>
      <w:bookmarkEnd w:id="521"/>
      <w:bookmarkEnd w:id="522"/>
      <w:bookmarkEnd w:id="523"/>
      <w:bookmarkEnd w:id="524"/>
      <w:bookmarkEnd w:id="525"/>
      <w:bookmarkEnd w:id="526"/>
      <w:bookmarkEnd w:id="527"/>
      <w:bookmarkEnd w:id="528"/>
    </w:p>
    <w:p>
      <w:pPr>
        <w:pStyle w:val="yHeading4"/>
      </w:pPr>
      <w:bookmarkStart w:id="529" w:name="_Toc7531904"/>
      <w:bookmarkStart w:id="530" w:name="_Toc11075692"/>
      <w:bookmarkStart w:id="531" w:name="_Toc13032711"/>
      <w:bookmarkStart w:id="532" w:name="_Toc13580240"/>
      <w:bookmarkStart w:id="533" w:name="_Toc14700094"/>
      <w:bookmarkStart w:id="534" w:name="_Toc14777522"/>
      <w:bookmarkStart w:id="535" w:name="_Toc14871271"/>
      <w:bookmarkStart w:id="536" w:name="_Toc17279239"/>
      <w:bookmarkStart w:id="537" w:name="_Toc17279351"/>
      <w:r>
        <w:t>Subdivision 1</w:t>
      </w:r>
      <w:r>
        <w:rPr>
          <w:b w:val="0"/>
        </w:rPr>
        <w:t> — </w:t>
      </w:r>
      <w:r>
        <w:t>Termination for non</w:t>
      </w:r>
      <w:r>
        <w:noBreakHyphen/>
        <w:t>payment of rent (default notice issued)</w:t>
      </w:r>
      <w:bookmarkEnd w:id="529"/>
      <w:bookmarkEnd w:id="530"/>
      <w:bookmarkEnd w:id="531"/>
      <w:bookmarkEnd w:id="532"/>
      <w:bookmarkEnd w:id="533"/>
      <w:bookmarkEnd w:id="534"/>
      <w:bookmarkEnd w:id="535"/>
      <w:bookmarkEnd w:id="536"/>
      <w:bookmarkEnd w:id="53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given a default notice to the tenant in relation to that breach.</w:t>
            </w:r>
          </w:p>
          <w:p>
            <w:pPr>
              <w:pStyle w:val="yTable"/>
              <w:keepNext/>
              <w:keepLines/>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keepNext/>
              <w:keepLines/>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keepNext/>
              <w:keepLines/>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requiring payment of outstanding rent, and the rent is not paid in full on or before the date specified in the default notice.</w:t>
            </w:r>
          </w:p>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specified in the default notice as the day by which the rent was required to be paid.</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538" w:name="_Toc7531905"/>
      <w:bookmarkStart w:id="539" w:name="_Toc11075693"/>
      <w:bookmarkStart w:id="540" w:name="_Toc13032712"/>
      <w:bookmarkStart w:id="541" w:name="_Toc13580241"/>
      <w:bookmarkStart w:id="542" w:name="_Toc14700095"/>
      <w:bookmarkStart w:id="543" w:name="_Toc14777523"/>
      <w:bookmarkStart w:id="544" w:name="_Toc14871272"/>
      <w:bookmarkStart w:id="545" w:name="_Toc17279240"/>
      <w:bookmarkStart w:id="546" w:name="_Toc17279352"/>
      <w:r>
        <w:t>Subdivision 2</w:t>
      </w:r>
      <w:r>
        <w:rPr>
          <w:b w:val="0"/>
        </w:rPr>
        <w:t> — </w:t>
      </w:r>
      <w:r>
        <w:t>Termination for non</w:t>
      </w:r>
      <w:r>
        <w:noBreakHyphen/>
        <w:t>payment of rent (no default notice issued)</w:t>
      </w:r>
      <w:bookmarkEnd w:id="538"/>
      <w:bookmarkEnd w:id="539"/>
      <w:bookmarkEnd w:id="540"/>
      <w:bookmarkEnd w:id="541"/>
      <w:bookmarkEnd w:id="542"/>
      <w:bookmarkEnd w:id="543"/>
      <w:bookmarkEnd w:id="544"/>
      <w:bookmarkEnd w:id="545"/>
      <w:bookmarkEnd w:id="54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NOT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w:t>
            </w:r>
          </w:p>
          <w:p>
            <w:pPr>
              <w:pStyle w:val="yTable"/>
              <w:spacing w:before="120"/>
              <w:rPr>
                <w:rFonts w:ascii="Arial" w:hAnsi="Arial" w:cs="Arial"/>
                <w:sz w:val="14"/>
                <w:szCs w:val="14"/>
              </w:rPr>
            </w:pPr>
            <w:r>
              <w:rPr>
                <w:rFonts w:ascii="Arial" w:hAnsi="Arial" w:cs="Arial"/>
                <w:sz w:val="14"/>
                <w:szCs w:val="14"/>
              </w:rPr>
              <w:t>If rent is not outstanding, you should provide proof of the payment of that rent to the park operator.</w:t>
            </w:r>
          </w:p>
          <w:p>
            <w:pPr>
              <w:pStyle w:val="yTable"/>
              <w:spacing w:before="120"/>
              <w:rPr>
                <w:rFonts w:ascii="Arial" w:hAnsi="Arial" w:cs="Arial"/>
                <w:sz w:val="14"/>
                <w:szCs w:val="14"/>
              </w:rPr>
            </w:pPr>
            <w:r>
              <w:rPr>
                <w:rFonts w:ascii="Arial" w:hAnsi="Arial" w:cs="Arial"/>
                <w:sz w:val="14"/>
                <w:szCs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on which this notice is given to the tenant.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547" w:name="_Toc7531906"/>
      <w:bookmarkStart w:id="548" w:name="_Toc11075694"/>
      <w:bookmarkStart w:id="549" w:name="_Toc13032713"/>
      <w:bookmarkStart w:id="550" w:name="_Toc13580242"/>
      <w:bookmarkStart w:id="551" w:name="_Toc14700096"/>
      <w:bookmarkStart w:id="552" w:name="_Toc14777524"/>
      <w:bookmarkStart w:id="553" w:name="_Toc14871273"/>
      <w:bookmarkStart w:id="554" w:name="_Toc17279241"/>
      <w:bookmarkStart w:id="555" w:name="_Toc17279353"/>
      <w:r>
        <w:t>Subdivision 3</w:t>
      </w:r>
      <w:r>
        <w:rPr>
          <w:b w:val="0"/>
        </w:rPr>
        <w:t> — </w:t>
      </w:r>
      <w:r>
        <w:t>Termination for other breach of agreement</w:t>
      </w:r>
      <w:bookmarkEnd w:id="547"/>
      <w:bookmarkEnd w:id="548"/>
      <w:bookmarkEnd w:id="549"/>
      <w:bookmarkEnd w:id="550"/>
      <w:bookmarkEnd w:id="551"/>
      <w:bookmarkEnd w:id="552"/>
      <w:bookmarkEnd w:id="553"/>
      <w:bookmarkEnd w:id="554"/>
      <w:bookmarkEnd w:id="55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a tenant has breached a term of a long</w:t>
            </w:r>
            <w:r>
              <w:rPr>
                <w:rFonts w:ascii="Arial" w:hAnsi="Arial" w:cs="Arial"/>
                <w:sz w:val="14"/>
                <w:szCs w:val="14"/>
              </w:rPr>
              <w:noBreakHyphen/>
              <w:t>stay agreement (except a term for the payment of rent) AND the park operator / managing real estate agent has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stating the nature of the breach, and the breach has not been remedied on or before the date specified in the default notice.</w:t>
            </w:r>
          </w:p>
          <w:p>
            <w:pPr>
              <w:pStyle w:val="yTable"/>
              <w:keepNext/>
              <w:keepLines/>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556" w:name="_Toc7531907"/>
      <w:bookmarkStart w:id="557" w:name="_Toc11075695"/>
      <w:bookmarkStart w:id="558" w:name="_Toc13032714"/>
      <w:bookmarkStart w:id="559" w:name="_Toc13580243"/>
      <w:bookmarkStart w:id="560" w:name="_Toc14700097"/>
      <w:bookmarkStart w:id="561" w:name="_Toc14777525"/>
      <w:bookmarkStart w:id="562" w:name="_Toc14871274"/>
      <w:bookmarkStart w:id="563" w:name="_Toc17279242"/>
      <w:bookmarkStart w:id="564" w:name="_Toc17279354"/>
      <w:r>
        <w:t>Subdivision 4</w:t>
      </w:r>
      <w:r>
        <w:rPr>
          <w:b w:val="0"/>
        </w:rPr>
        <w:t> — </w:t>
      </w:r>
      <w:r>
        <w:t>Termination for sale of park</w:t>
      </w:r>
      <w:bookmarkEnd w:id="556"/>
      <w:bookmarkEnd w:id="557"/>
      <w:bookmarkEnd w:id="558"/>
      <w:bookmarkEnd w:id="559"/>
      <w:bookmarkEnd w:id="560"/>
      <w:bookmarkEnd w:id="561"/>
      <w:bookmarkEnd w:id="562"/>
      <w:bookmarkEnd w:id="563"/>
      <w:bookmarkEnd w:id="56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has entered into a contract for the sale of park premises and is required under the contract to give vacant possession of the agreed premises.</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yTable"/>
              <w:ind w:left="742" w:hanging="742"/>
            </w:pPr>
            <w:r>
              <w:rPr>
                <w:rFonts w:ascii="Arial" w:hAnsi="Arial" w:cs="Arial"/>
                <w:sz w:val="14"/>
              </w:rPr>
              <w:t>Note:</w:t>
            </w:r>
            <w:r>
              <w:rPr>
                <w:rFonts w:ascii="Arial" w:hAnsi="Arial" w:cs="Arial"/>
                <w:sz w:val="14"/>
              </w:rPr>
              <w:tab/>
              <w:t xml:space="preserve">It is an offence for a park operator to knowingly give a notice of termination that falsely claims or falsely implies that grounds exist for terminating the agreement 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41(3),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565" w:name="_Toc7531908"/>
      <w:bookmarkStart w:id="566" w:name="_Toc11075696"/>
      <w:bookmarkStart w:id="567" w:name="_Toc13032715"/>
      <w:bookmarkStart w:id="568" w:name="_Toc13580244"/>
      <w:bookmarkStart w:id="569" w:name="_Toc14700098"/>
      <w:bookmarkStart w:id="570" w:name="_Toc14777526"/>
      <w:bookmarkStart w:id="571" w:name="_Toc14871275"/>
      <w:bookmarkStart w:id="572" w:name="_Toc17279243"/>
      <w:bookmarkStart w:id="573" w:name="_Toc17279355"/>
      <w:r>
        <w:t>Subdivision 5</w:t>
      </w:r>
      <w:r>
        <w:rPr>
          <w:b w:val="0"/>
        </w:rPr>
        <w:t> — </w:t>
      </w:r>
      <w:r>
        <w:t>Termination without grounds</w:t>
      </w:r>
      <w:bookmarkEnd w:id="565"/>
      <w:bookmarkEnd w:id="566"/>
      <w:bookmarkEnd w:id="567"/>
      <w:bookmarkEnd w:id="568"/>
      <w:bookmarkEnd w:id="569"/>
      <w:bookmarkEnd w:id="570"/>
      <w:bookmarkEnd w:id="571"/>
      <w:bookmarkEnd w:id="572"/>
      <w:bookmarkEnd w:id="57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require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bl>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42(3), the above date must be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in any case, if the agreement is for a fixed term, not before the end of the fixed term.</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42(5), unless the State Administrative Tribunal otherwise orders under section 74 of that Act, this notice is of no effect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an application for an order under section 63(1) of that Act fixing the maximum rent for the agreed premises has been made but has not been heard and determined;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2821</w:t>
      </w:r>
      <w:r>
        <w:noBreakHyphen/>
        <w:t>22.]</w:t>
      </w:r>
    </w:p>
    <w:p>
      <w:pPr>
        <w:pStyle w:val="yHeading3"/>
      </w:pPr>
      <w:bookmarkStart w:id="574" w:name="_Toc7531909"/>
      <w:bookmarkStart w:id="575" w:name="_Toc11075697"/>
      <w:bookmarkStart w:id="576" w:name="_Toc13032716"/>
      <w:bookmarkStart w:id="577" w:name="_Toc13580245"/>
      <w:bookmarkStart w:id="578" w:name="_Toc14700099"/>
      <w:bookmarkStart w:id="579" w:name="_Toc14777527"/>
      <w:bookmarkStart w:id="580" w:name="_Toc14871276"/>
      <w:bookmarkStart w:id="581" w:name="_Toc17279244"/>
      <w:bookmarkStart w:id="582" w:name="_Toc17279356"/>
      <w:r>
        <w:rPr>
          <w:rStyle w:val="CharSDivNo"/>
        </w:rPr>
        <w:t>Division 2</w:t>
      </w:r>
      <w:r>
        <w:t> — </w:t>
      </w:r>
      <w:r>
        <w:rPr>
          <w:rStyle w:val="CharSDivText"/>
        </w:rPr>
        <w:t>Termination by tenant</w:t>
      </w:r>
      <w:bookmarkEnd w:id="574"/>
      <w:bookmarkEnd w:id="575"/>
      <w:bookmarkEnd w:id="576"/>
      <w:bookmarkEnd w:id="577"/>
      <w:bookmarkEnd w:id="578"/>
      <w:bookmarkEnd w:id="579"/>
      <w:bookmarkEnd w:id="580"/>
      <w:bookmarkEnd w:id="581"/>
      <w:bookmarkEnd w:id="58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tenant may issue this notice if the tenant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specify that the tenant will give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44(3),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least 21 days after the day on which this notice is given to the park operator;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long</w:t>
            </w:r>
            <w:r>
              <w:rPr>
                <w:rFonts w:ascii="Arial" w:hAnsi="Arial" w:cs="Arial"/>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2 amended: Gazette 5 Jul 2011 p. 2822.]</w:t>
      </w:r>
    </w:p>
    <w:p>
      <w:pPr>
        <w:pStyle w:val="yHeading3"/>
      </w:pPr>
      <w:bookmarkStart w:id="583" w:name="_Toc7531910"/>
      <w:bookmarkStart w:id="584" w:name="_Toc11075698"/>
      <w:bookmarkStart w:id="585" w:name="_Toc13032717"/>
      <w:bookmarkStart w:id="586" w:name="_Toc13580246"/>
      <w:bookmarkStart w:id="587" w:name="_Toc14700100"/>
      <w:bookmarkStart w:id="588" w:name="_Toc14777528"/>
      <w:bookmarkStart w:id="589" w:name="_Toc14871277"/>
      <w:bookmarkStart w:id="590" w:name="_Toc17279245"/>
      <w:bookmarkStart w:id="591" w:name="_Toc17279357"/>
      <w:r>
        <w:rPr>
          <w:rStyle w:val="CharSDivNo"/>
        </w:rPr>
        <w:t>Division 3</w:t>
      </w:r>
      <w:r>
        <w:t> — </w:t>
      </w:r>
      <w:r>
        <w:rPr>
          <w:rStyle w:val="CharSDivText"/>
        </w:rPr>
        <w:t>Termination by park operator or tenant — agreement frustrated</w:t>
      </w:r>
      <w:bookmarkEnd w:id="583"/>
      <w:bookmarkEnd w:id="584"/>
      <w:bookmarkEnd w:id="585"/>
      <w:bookmarkEnd w:id="586"/>
      <w:bookmarkEnd w:id="587"/>
      <w:bookmarkEnd w:id="588"/>
      <w:bookmarkEnd w:id="589"/>
      <w:bookmarkEnd w:id="590"/>
      <w:bookmarkEnd w:id="59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OR a tenant may issue this notice if agreed premises or shared premises meet the description set out in the item “Reason for notice” below.</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the term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other party and make every effort to ensure the notice is securely delivered and received by that party.</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sz w:val="18"/>
              </w:rPr>
              <w:t>Residential Parks (Long</w:t>
            </w:r>
            <w:r>
              <w:rPr>
                <w:i/>
                <w:sz w:val="18"/>
              </w:rPr>
              <w:noBreakHyphen/>
              <w:t>stay Tenants) Act 2006</w:t>
            </w:r>
            <w:r>
              <w:rPr>
                <w:sz w:val="18"/>
              </w:rPr>
              <w:t xml:space="preserve"> s. 45 because the agreed premises or shared premises have —</w:t>
            </w:r>
          </w:p>
          <w:p>
            <w:pPr>
              <w:pStyle w:val="yTable"/>
              <w:tabs>
                <w:tab w:val="left" w:pos="175"/>
              </w:tabs>
              <w:ind w:left="601" w:hanging="601"/>
              <w:rPr>
                <w:sz w:val="18"/>
              </w:rPr>
            </w:pPr>
            <w:r>
              <w:rPr>
                <w:sz w:val="18"/>
              </w:rPr>
              <w:tab/>
            </w:r>
            <w:r>
              <w:rPr>
                <w:sz w:val="16"/>
                <w:szCs w:val="16"/>
              </w:rPr>
              <w:sym w:font="Wingdings" w:char="F071"/>
            </w:r>
            <w:r>
              <w:rPr>
                <w:sz w:val="18"/>
              </w:rPr>
              <w:tab/>
              <w:t>become uninhabitable or unusable for the intended purpose otherwise than as a result of a breach of the long</w:t>
            </w:r>
            <w:r>
              <w:rPr>
                <w:sz w:val="18"/>
              </w:rPr>
              <w:noBreakHyphen/>
              <w:t>stay agreement; or</w:t>
            </w:r>
          </w:p>
          <w:p>
            <w:pPr>
              <w:pStyle w:val="yTable"/>
              <w:tabs>
                <w:tab w:val="left" w:pos="175"/>
              </w:tabs>
              <w:ind w:left="601" w:hanging="601"/>
              <w:rPr>
                <w:sz w:val="18"/>
              </w:rPr>
            </w:pPr>
            <w:r>
              <w:rPr>
                <w:sz w:val="18"/>
              </w:rPr>
              <w:tab/>
            </w:r>
            <w:r>
              <w:rPr>
                <w:sz w:val="16"/>
                <w:szCs w:val="16"/>
              </w:rPr>
              <w:sym w:font="Wingdings" w:char="F071"/>
            </w:r>
            <w:r>
              <w:rPr>
                <w:sz w:val="18"/>
              </w:rPr>
              <w:tab/>
              <w:t>ceased to be lawfully usable for the intended purpose; or</w:t>
            </w:r>
          </w:p>
          <w:p>
            <w:pPr>
              <w:pStyle w:val="yTable"/>
              <w:tabs>
                <w:tab w:val="left" w:pos="175"/>
              </w:tabs>
              <w:ind w:left="601" w:hanging="601"/>
              <w:rPr>
                <w:sz w:val="18"/>
              </w:rPr>
            </w:pPr>
            <w:r>
              <w:rPr>
                <w:sz w:val="18"/>
              </w:rPr>
              <w:tab/>
            </w:r>
            <w:r>
              <w:rPr>
                <w:sz w:val="16"/>
                <w:szCs w:val="16"/>
              </w:rPr>
              <w:sym w:font="Wingdings" w:char="F071"/>
            </w:r>
            <w:r>
              <w:rPr>
                <w:sz w:val="18"/>
              </w:rPr>
              <w:tab/>
              <w:t>been compulsorily acquired by an authority under a written law.</w:t>
            </w:r>
          </w:p>
          <w:p>
            <w:pPr>
              <w:pStyle w:val="yTable"/>
              <w:rPr>
                <w:sz w:val="18"/>
              </w:rPr>
            </w:pPr>
            <w:r>
              <w:rPr>
                <w:sz w:val="18"/>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45(5), if the park operator gives this notice to the tenant, the above date must be at least 7 days after the day on which the notice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keepNext/>
              <w:spacing w:before="160"/>
              <w:rPr>
                <w:sz w:val="18"/>
              </w:rPr>
            </w:pPr>
            <w:r>
              <w:rPr>
                <w:sz w:val="18"/>
              </w:rPr>
              <w:t>Signature ............................................................................................</w:t>
            </w:r>
          </w:p>
          <w:p>
            <w:pPr>
              <w:pStyle w:val="yTable"/>
              <w:keepNext/>
              <w:rPr>
                <w:sz w:val="18"/>
              </w:rPr>
            </w:pPr>
            <w:r>
              <w:rPr>
                <w:sz w:val="18"/>
              </w:rPr>
              <w:t>Name (please print) ...........................................................................</w:t>
            </w:r>
          </w:p>
          <w:p>
            <w:pPr>
              <w:pStyle w:val="yTable"/>
              <w:keepNext/>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ind w:left="2723" w:hanging="2689"/>
              <w:rPr>
                <w:sz w:val="18"/>
              </w:rPr>
            </w:pPr>
            <w:r>
              <w:rPr>
                <w:sz w:val="18"/>
              </w:rPr>
              <w:tab/>
            </w:r>
            <w:r>
              <w:rPr>
                <w:sz w:val="14"/>
              </w:rPr>
              <w:t>D  D   M M   Y  Y  Y  Y</w:t>
            </w:r>
          </w:p>
        </w:tc>
      </w:tr>
    </w:tbl>
    <w:p>
      <w:pPr>
        <w:pStyle w:val="yFootnotesection"/>
      </w:pPr>
      <w:r>
        <w:tab/>
        <w:t>[Division 3 amended: Gazette 5 Jul 2011 p. 2822.]</w:t>
      </w:r>
    </w:p>
    <w:p>
      <w:pPr>
        <w:pStyle w:val="yHeading3"/>
      </w:pPr>
      <w:bookmarkStart w:id="592" w:name="_Toc7531911"/>
      <w:bookmarkStart w:id="593" w:name="_Toc11075699"/>
      <w:bookmarkStart w:id="594" w:name="_Toc13032718"/>
      <w:bookmarkStart w:id="595" w:name="_Toc13580247"/>
      <w:bookmarkStart w:id="596" w:name="_Toc14700101"/>
      <w:bookmarkStart w:id="597" w:name="_Toc14777529"/>
      <w:bookmarkStart w:id="598" w:name="_Toc14871278"/>
      <w:bookmarkStart w:id="599" w:name="_Toc17279246"/>
      <w:bookmarkStart w:id="600" w:name="_Toc17279358"/>
      <w:r>
        <w:rPr>
          <w:rStyle w:val="CharSDivNo"/>
        </w:rPr>
        <w:t>Division 4</w:t>
      </w:r>
      <w:r>
        <w:t> — </w:t>
      </w:r>
      <w:r>
        <w:rPr>
          <w:rStyle w:val="CharSDivText"/>
        </w:rPr>
        <w:t>Termination by tenant of tenant’s interest in on-site home agreement</w:t>
      </w:r>
      <w:bookmarkEnd w:id="592"/>
      <w:bookmarkEnd w:id="593"/>
      <w:bookmarkEnd w:id="594"/>
      <w:bookmarkEnd w:id="595"/>
      <w:bookmarkEnd w:id="596"/>
      <w:bookmarkEnd w:id="597"/>
      <w:bookmarkEnd w:id="598"/>
      <w:bookmarkEnd w:id="599"/>
      <w:bookmarkEnd w:id="600"/>
    </w:p>
    <w:p>
      <w:pPr>
        <w:pStyle w:val="yFootnoteheading"/>
      </w:pPr>
      <w:r>
        <w:tab/>
        <w:t>[Heading inserted: Gazette 9 Apr 2019 p. 1054.]</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long-stay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Long-stay 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on-site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long-stay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tc>
      </w:tr>
    </w:tbl>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[Division 4 inserted: Gazette 9 Apr 2019 p. 1054</w:t>
      </w:r>
      <w:r>
        <w:noBreakHyphen/>
        <w:t>5.]</w:t>
      </w:r>
    </w:p>
    <w:p>
      <w:pPr>
        <w:pStyle w:val="yScheduleHeading"/>
      </w:pPr>
      <w:bookmarkStart w:id="601" w:name="_Toc7531912"/>
      <w:bookmarkStart w:id="602" w:name="_Toc11075700"/>
      <w:bookmarkStart w:id="603" w:name="_Toc13032719"/>
      <w:bookmarkStart w:id="604" w:name="_Toc13580248"/>
      <w:bookmarkStart w:id="605" w:name="_Toc14700102"/>
      <w:bookmarkStart w:id="606" w:name="_Toc14777530"/>
      <w:bookmarkStart w:id="607" w:name="_Toc14871279"/>
      <w:bookmarkStart w:id="608" w:name="_Toc17279247"/>
      <w:bookmarkStart w:id="609" w:name="_Toc17279359"/>
      <w:r>
        <w:rPr>
          <w:rStyle w:val="CharSchNo"/>
        </w:rPr>
        <w:t>Schedule 11</w:t>
      </w:r>
      <w:r>
        <w:rPr>
          <w:rStyle w:val="CharSDivNo"/>
        </w:rPr>
        <w:t> </w:t>
      </w:r>
      <w:r>
        <w:t>—</w:t>
      </w:r>
      <w:r>
        <w:rPr>
          <w:rStyle w:val="CharSDivText"/>
        </w:rPr>
        <w:t> </w:t>
      </w:r>
      <w:r>
        <w:rPr>
          <w:rStyle w:val="CharSchText"/>
        </w:rPr>
        <w:t>Notice to former tenant about abandoned goods</w:t>
      </w:r>
      <w:bookmarkEnd w:id="601"/>
      <w:bookmarkEnd w:id="602"/>
      <w:bookmarkEnd w:id="603"/>
      <w:bookmarkEnd w:id="604"/>
      <w:bookmarkEnd w:id="605"/>
      <w:bookmarkEnd w:id="606"/>
      <w:bookmarkEnd w:id="607"/>
      <w:bookmarkEnd w:id="608"/>
      <w:bookmarkEnd w:id="609"/>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48(4) requires the park operator within 7 days after the above date to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send this notice to the former tenant;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 xml:space="preserve">publish a summary of this notice in a newspaper circulating generally throughout </w:t>
            </w:r>
            <w:smartTag w:uri="urn:schemas-microsoft-com:office:smarttags" w:element="place">
              <w:smartTag w:uri="urn:schemas-microsoft-com:office:smarttags" w:element="State">
                <w:r>
                  <w:rPr>
                    <w:rFonts w:ascii="Arial" w:hAnsi="Arial" w:cs="Arial"/>
                    <w:sz w:val="14"/>
                  </w:rPr>
                  <w:t>Western Australia</w:t>
                </w:r>
              </w:smartTag>
            </w:smartTag>
            <w:r>
              <w:rPr>
                <w:rFonts w:ascii="Arial" w:hAnsi="Arial" w:cs="Arial"/>
                <w:sz w:val="14"/>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48(2), the park operator need not store but may remove and destroy or otherwise dispose of abandoned goods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the goods are perishable foodstuffs; or</w:t>
            </w:r>
          </w:p>
          <w:p>
            <w:pPr>
              <w:pStyle w:val="yTable"/>
              <w:tabs>
                <w:tab w:val="left" w:pos="1168"/>
              </w:tabs>
              <w:ind w:left="1168" w:hanging="284"/>
            </w:pPr>
            <w:r>
              <w:rPr>
                <w:rFonts w:ascii="Arial" w:hAnsi="Arial" w:cs="Arial"/>
                <w:sz w:val="14"/>
              </w:rPr>
              <w:t>(b)</w:t>
            </w:r>
            <w:r>
              <w:rPr>
                <w:rFonts w:ascii="Arial" w:hAnsi="Arial" w:cs="Arial"/>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yTable"/>
              <w:ind w:left="742" w:hanging="742"/>
            </w:pPr>
            <w:r>
              <w:rPr>
                <w:rFonts w:ascii="Arial" w:hAnsi="Arial" w:cs="Arial"/>
                <w:sz w:val="14"/>
              </w:rPr>
              <w:t>Note:</w:t>
            </w:r>
            <w:r>
              <w:rPr>
                <w:rFonts w:ascii="Arial" w:hAnsi="Arial" w:cs="Arial"/>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pPr>
      <w:bookmarkStart w:id="610" w:name="_Toc7531913"/>
      <w:bookmarkStart w:id="611" w:name="_Toc11075701"/>
      <w:bookmarkStart w:id="612" w:name="_Toc13032720"/>
      <w:bookmarkStart w:id="613" w:name="_Toc13580249"/>
      <w:bookmarkStart w:id="614" w:name="_Toc14700103"/>
      <w:bookmarkStart w:id="615" w:name="_Toc14777531"/>
      <w:bookmarkStart w:id="616" w:name="_Toc14871280"/>
      <w:bookmarkStart w:id="617" w:name="_Toc17279248"/>
      <w:bookmarkStart w:id="618" w:name="_Toc17279360"/>
      <w:r>
        <w:t>Notes</w:t>
      </w:r>
      <w:bookmarkEnd w:id="610"/>
      <w:bookmarkEnd w:id="611"/>
      <w:bookmarkEnd w:id="612"/>
      <w:bookmarkEnd w:id="613"/>
      <w:bookmarkEnd w:id="614"/>
      <w:bookmarkEnd w:id="615"/>
      <w:bookmarkEnd w:id="616"/>
      <w:bookmarkEnd w:id="617"/>
      <w:bookmarkEnd w:id="618"/>
    </w:p>
    <w:p>
      <w:pPr>
        <w:pStyle w:val="nSubsection"/>
      </w:pPr>
      <w:r>
        <w:rPr>
          <w:vertAlign w:val="superscript"/>
        </w:rPr>
        <w:t>1</w:t>
      </w:r>
      <w:r>
        <w:tab/>
        <w:t xml:space="preserve">This reprint is a compilation as at 16 August 2019 of the </w:t>
      </w:r>
      <w:r>
        <w:rPr>
          <w:i/>
          <w:noProof/>
        </w:rPr>
        <w:t>Residential Parks (Long-stay Tenants) Regulations 2007</w:t>
      </w:r>
      <w:r>
        <w:t xml:space="preserve"> and includes the amendments made by the other written laws referred to in the following table.  The table also contains information about any reprint.</w:t>
      </w:r>
    </w:p>
    <w:p>
      <w:pPr>
        <w:pStyle w:val="nHeading3"/>
      </w:pPr>
      <w:bookmarkStart w:id="619" w:name="_Toc17279361"/>
      <w:r>
        <w:t>Compilation table</w:t>
      </w:r>
      <w:bookmarkEnd w:id="6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Residential Parks (Long-stay Tenants) Regulations 2007</w:t>
            </w:r>
          </w:p>
        </w:tc>
        <w:tc>
          <w:tcPr>
            <w:tcW w:w="1276" w:type="dxa"/>
            <w:tcBorders>
              <w:top w:val="single" w:sz="8" w:space="0" w:color="auto"/>
              <w:bottom w:val="nil"/>
            </w:tcBorders>
          </w:tcPr>
          <w:p>
            <w:pPr>
              <w:pStyle w:val="nTable"/>
              <w:spacing w:after="40"/>
            </w:pPr>
            <w:r>
              <w:t>1 Aug 2007 p. 3837-985</w:t>
            </w:r>
          </w:p>
        </w:tc>
        <w:tc>
          <w:tcPr>
            <w:tcW w:w="2693" w:type="dxa"/>
            <w:tcBorders>
              <w:top w:val="single" w:sz="8" w:space="0" w:color="auto"/>
              <w:bottom w:val="nil"/>
            </w:tcBorders>
          </w:tcPr>
          <w:p>
            <w:pPr>
              <w:pStyle w:val="nTable"/>
              <w:spacing w:after="40"/>
            </w:pPr>
            <w:r>
              <w:t>r. 1 and 2: 1 Aug 2007 (see r. 2(a));</w:t>
            </w:r>
          </w:p>
          <w:p>
            <w:pPr>
              <w:pStyle w:val="nTable"/>
              <w:spacing w:after="40"/>
            </w:pPr>
            <w:r>
              <w:t xml:space="preserve">Regulations other than r. 1 and 2: 3 Aug 2007 (see r. 2(b) and </w:t>
            </w:r>
            <w:r>
              <w:rPr>
                <w:i/>
                <w:iCs/>
              </w:rPr>
              <w:t>Gazette</w:t>
            </w:r>
            <w:r>
              <w:t xml:space="preserve"> 1 Aug 2007 p. 3835)</w:t>
            </w:r>
          </w:p>
        </w:tc>
      </w:tr>
      <w:tr>
        <w:tc>
          <w:tcPr>
            <w:tcW w:w="3118" w:type="dxa"/>
            <w:tcBorders>
              <w:top w:val="nil"/>
              <w:bottom w:val="nil"/>
            </w:tcBorders>
          </w:tcPr>
          <w:p>
            <w:pPr>
              <w:pStyle w:val="nTable"/>
              <w:spacing w:after="40"/>
              <w:rPr>
                <w:i/>
              </w:rPr>
            </w:pPr>
            <w:r>
              <w:rPr>
                <w:i/>
              </w:rPr>
              <w:t>Residential Parks (Long-stay Tenants) Amendment Regulations 2011</w:t>
            </w:r>
          </w:p>
        </w:tc>
        <w:tc>
          <w:tcPr>
            <w:tcW w:w="1276" w:type="dxa"/>
            <w:tcBorders>
              <w:top w:val="nil"/>
              <w:bottom w:val="nil"/>
            </w:tcBorders>
          </w:tcPr>
          <w:p>
            <w:pPr>
              <w:pStyle w:val="nTable"/>
              <w:spacing w:after="40"/>
            </w:pPr>
            <w:r>
              <w:t>5 Jul 2011 p. 2813-22</w:t>
            </w:r>
          </w:p>
        </w:tc>
        <w:tc>
          <w:tcPr>
            <w:tcW w:w="2693"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tcBorders>
              <w:top w:val="nil"/>
              <w:bottom w:val="nil"/>
            </w:tcBorders>
          </w:tcPr>
          <w:p>
            <w:pPr>
              <w:pStyle w:val="nTable"/>
              <w:spacing w:after="40"/>
              <w:rPr>
                <w:i/>
              </w:rPr>
            </w:pPr>
            <w:r>
              <w:rPr>
                <w:i/>
              </w:rPr>
              <w:t>Residential Parks (Long-stay Tenants) Amendment Regulations 2013</w:t>
            </w:r>
          </w:p>
        </w:tc>
        <w:tc>
          <w:tcPr>
            <w:tcW w:w="1276" w:type="dxa"/>
            <w:tcBorders>
              <w:top w:val="nil"/>
              <w:bottom w:val="nil"/>
            </w:tcBorders>
          </w:tcPr>
          <w:p>
            <w:pPr>
              <w:pStyle w:val="nTable"/>
              <w:spacing w:after="40"/>
            </w:pPr>
            <w:r>
              <w:t>14 Nov 2013 p. 5063-4</w:t>
            </w:r>
          </w:p>
        </w:tc>
        <w:tc>
          <w:tcPr>
            <w:tcW w:w="2693"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Commerce Regulations Amendment (Family Violence) Regulations 2019</w:t>
            </w:r>
            <w:r>
              <w:t xml:space="preserve"> Pt. 3</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c>
          <w:tcPr>
            <w:tcW w:w="7087" w:type="dxa"/>
            <w:gridSpan w:val="3"/>
            <w:tcBorders>
              <w:top w:val="nil"/>
              <w:bottom w:val="single" w:sz="8" w:space="0" w:color="auto"/>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Residential Parks (Long-stay Tenants) Regulations 2007</w:t>
            </w:r>
            <w:r>
              <w:rPr>
                <w:b/>
                <w:bCs/>
                <w:snapToGrid w:val="0"/>
                <w:spacing w:val="-2"/>
              </w:rPr>
              <w:t xml:space="preserve"> as at 16 Aug 2019</w:t>
            </w:r>
            <w:r>
              <w:rPr>
                <w:bCs/>
                <w:snapToGrid w:val="0"/>
                <w:spacing w:val="-2"/>
              </w:rPr>
              <w:t xml:space="preserve"> (includes amendments listed above)</w:t>
            </w:r>
          </w:p>
        </w:tc>
      </w:tr>
    </w:tbl>
    <w:p/>
    <w:p>
      <w:pPr>
        <w:sectPr>
          <w:headerReference w:type="even" r:id="rId36"/>
          <w:headerReference w:type="default" r:id="rId37"/>
          <w:headerReference w:type="first" r:id="rId38"/>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Sch. 2, Sch. 3, Sch. 4</w:t>
      </w:r>
    </w:p>
    <w:p>
      <w:pPr>
        <w:pStyle w:val="DefinedTerms"/>
      </w:pPr>
      <w:r>
        <w:t>agreed premises</w:t>
      </w:r>
      <w:r>
        <w:tab/>
        <w:t>Sch. 1, Sch. 2, Sch. 3, Sch. 4</w:t>
      </w:r>
    </w:p>
    <w:p>
      <w:pPr>
        <w:pStyle w:val="DefinedTerms"/>
      </w:pPr>
      <w:r>
        <w:t>agreement</w:t>
      </w:r>
      <w:r>
        <w:tab/>
        <w:t>3</w:t>
      </w:r>
    </w:p>
    <w:p>
      <w:pPr>
        <w:pStyle w:val="DefinedTerms"/>
      </w:pPr>
      <w:r>
        <w:t>amendment</w:t>
      </w:r>
      <w:r>
        <w:tab/>
        <w:t>21(1)</w:t>
      </w:r>
    </w:p>
    <w:p>
      <w:pPr>
        <w:pStyle w:val="DefinedTerms"/>
      </w:pPr>
      <w:r>
        <w:t>bond holder</w:t>
      </w:r>
      <w:r>
        <w:tab/>
        <w:t>3</w:t>
      </w:r>
    </w:p>
    <w:p>
      <w:pPr>
        <w:pStyle w:val="DefinedTerms"/>
      </w:pPr>
      <w:r>
        <w:t>Division</w:t>
      </w:r>
      <w:r>
        <w:tab/>
        <w:t>Sch. 1, Sch. 2, Sch. 3, Sch. 4</w:t>
      </w:r>
    </w:p>
    <w:p>
      <w:pPr>
        <w:pStyle w:val="DefinedTerms"/>
      </w:pPr>
      <w:r>
        <w:t>DOTAG</w:t>
      </w:r>
      <w:r>
        <w:tab/>
        <w:t>19(1)</w:t>
      </w:r>
    </w:p>
    <w:p>
      <w:pPr>
        <w:pStyle w:val="DefinedTerms"/>
      </w:pPr>
      <w:r>
        <w:t>fixed term on</w:t>
      </w:r>
      <w:r>
        <w:noBreakHyphen/>
        <w:t>site home agreement</w:t>
      </w:r>
      <w:r>
        <w:tab/>
        <w:t>3</w:t>
      </w:r>
    </w:p>
    <w:p>
      <w:pPr>
        <w:pStyle w:val="DefinedTerms"/>
      </w:pPr>
      <w:r>
        <w:t>fixed term site</w:t>
      </w:r>
      <w:r>
        <w:noBreakHyphen/>
        <w:t>only agreement</w:t>
      </w:r>
      <w:r>
        <w:tab/>
        <w:t>3</w:t>
      </w:r>
    </w:p>
    <w:p>
      <w:pPr>
        <w:pStyle w:val="DefinedTerms"/>
      </w:pPr>
      <w:r>
        <w:t>impediment</w:t>
      </w:r>
      <w:r>
        <w:tab/>
        <w:t>Sch. 1, Sch. 2, Sch. 3, Sch. 4</w:t>
      </w:r>
    </w:p>
    <w:p>
      <w:pPr>
        <w:pStyle w:val="DefinedTerms"/>
      </w:pPr>
      <w:r>
        <w:t>on-site home</w:t>
      </w:r>
      <w:r>
        <w:tab/>
        <w:t>Sch. 1, Sch. 2</w:t>
      </w:r>
    </w:p>
    <w:p>
      <w:pPr>
        <w:pStyle w:val="DefinedTerms"/>
      </w:pPr>
      <w:r>
        <w:t>park</w:t>
      </w:r>
      <w:r>
        <w:tab/>
        <w:t>Sch. 1, Sch. 2, Sch. 3, Sch. 4</w:t>
      </w:r>
    </w:p>
    <w:p>
      <w:pPr>
        <w:pStyle w:val="DefinedTerms"/>
      </w:pPr>
      <w:r>
        <w:t>park operator</w:t>
      </w:r>
      <w:r>
        <w:tab/>
        <w:t>Sch. 1, Sch. 2, Sch. 3, Sch. 4</w:t>
      </w:r>
    </w:p>
    <w:p>
      <w:pPr>
        <w:pStyle w:val="DefinedTerms"/>
      </w:pPr>
      <w:r>
        <w:t>periodic on</w:t>
      </w:r>
      <w:r>
        <w:noBreakHyphen/>
        <w:t>site home agreement</w:t>
      </w:r>
      <w:r>
        <w:tab/>
        <w:t>3</w:t>
      </w:r>
    </w:p>
    <w:p>
      <w:pPr>
        <w:pStyle w:val="DefinedTerms"/>
      </w:pPr>
      <w:r>
        <w:t>periodic site</w:t>
      </w:r>
      <w:r>
        <w:noBreakHyphen/>
        <w:t>only agreement</w:t>
      </w:r>
      <w:r>
        <w:tab/>
        <w:t>3</w:t>
      </w:r>
    </w:p>
    <w:p>
      <w:pPr>
        <w:pStyle w:val="DefinedTerms"/>
      </w:pPr>
      <w:r>
        <w:t>prescribed rate</w:t>
      </w:r>
      <w:r>
        <w:tab/>
        <w:t>17(1)</w:t>
      </w:r>
    </w:p>
    <w:p>
      <w:pPr>
        <w:pStyle w:val="DefinedTerms"/>
      </w:pPr>
      <w:r>
        <w:t>regulations</w:t>
      </w:r>
      <w:r>
        <w:tab/>
        <w:t>Sch. 1, Sch. 2, Sch. 3, Sch. 4</w:t>
      </w:r>
    </w:p>
    <w:p>
      <w:pPr>
        <w:pStyle w:val="DefinedTerms"/>
      </w:pPr>
      <w:r>
        <w:t>relevant bank accepted bills rate</w:t>
      </w:r>
      <w:r>
        <w:tab/>
        <w:t>17(1)</w:t>
      </w:r>
    </w:p>
    <w:p>
      <w:pPr>
        <w:pStyle w:val="DefinedTerms"/>
      </w:pPr>
      <w:r>
        <w:t>relocatable home</w:t>
      </w:r>
      <w:r>
        <w:tab/>
        <w:t>Sch. 1, Sch. 2, Sch. 3, Sch. 4</w:t>
      </w:r>
    </w:p>
    <w:p>
      <w:pPr>
        <w:pStyle w:val="DefinedTerms"/>
      </w:pPr>
      <w:r>
        <w:t>residential park</w:t>
      </w:r>
      <w:r>
        <w:tab/>
        <w:t>Sch. 1, Sch. 2, Sch. 3, Sch. 4</w:t>
      </w:r>
    </w:p>
    <w:p>
      <w:pPr>
        <w:pStyle w:val="DefinedTerms"/>
      </w:pPr>
      <w:r>
        <w:t>security bond amount</w:t>
      </w:r>
      <w:r>
        <w:tab/>
        <w:t>3</w:t>
      </w:r>
    </w:p>
    <w:p>
      <w:pPr>
        <w:pStyle w:val="DefinedTerms"/>
      </w:pPr>
      <w:r>
        <w:t>shared premises</w:t>
      </w:r>
      <w:r>
        <w:tab/>
        <w:t>Sch. 1, Sch. 2, Sch. 3, Sch. 4</w:t>
      </w:r>
    </w:p>
    <w:p>
      <w:pPr>
        <w:pStyle w:val="DefinedTerms"/>
      </w:pPr>
      <w:r>
        <w:t>site</w:t>
      </w:r>
      <w:r>
        <w:tab/>
        <w:t>Sch. 1, Sch. 2, Sch. 3, Sch. 4</w:t>
      </w:r>
    </w:p>
    <w:p>
      <w:pPr>
        <w:pStyle w:val="DefinedTerms"/>
      </w:pPr>
      <w:r>
        <w:t>tenant</w:t>
      </w:r>
      <w:r>
        <w:tab/>
        <w:t>3, Sch. 1, Sch. 2, Sch. 3, Sch. 4</w:t>
      </w:r>
    </w:p>
    <w:p>
      <w:pPr>
        <w:pStyle w:val="DefinedTerms"/>
      </w:pPr>
      <w:r>
        <w:t>Unclaimed Security Bond Account</w:t>
      </w:r>
      <w:r>
        <w:tab/>
        <w:t>19(1)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423" w:name="Schedule"/>
    <w:bookmarkEnd w:id="4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Fixed term site-only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Fixed term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Information sheet (site-only agreement)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separate"/>
          </w:r>
          <w:r>
            <w:rPr>
              <w:b/>
            </w:rPr>
            <w:t>Division 10</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Tenant’s checklist</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Information sheet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Prescribed classes of payment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classes of payment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0" w:name="Compilation"/>
    <w:bookmarkEnd w:id="62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1" w:name="DefinedTerms"/>
    <w:bookmarkEnd w:id="621"/>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2" w:name="Coversheet"/>
    <w:bookmarkEnd w:id="6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30142448"/>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43D07-B4E8-4E4B-9B4B-B735B8060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37804</Words>
  <Characters>272574</Characters>
  <Application>Microsoft Office Word</Application>
  <DocSecurity>0</DocSecurity>
  <Lines>7571</Lines>
  <Paragraphs>4194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306184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2007 - 01-00-00</dc:title>
  <dc:subject/>
  <dc:creator/>
  <cp:keywords/>
  <dc:description/>
  <cp:lastModifiedBy>svcMRProcess</cp:lastModifiedBy>
  <cp:revision>4</cp:revision>
  <cp:lastPrinted>2019-07-22T07:01:00Z</cp:lastPrinted>
  <dcterms:created xsi:type="dcterms:W3CDTF">2019-08-29T07:10:00Z</dcterms:created>
  <dcterms:modified xsi:type="dcterms:W3CDTF">2019-08-29T07:10:00Z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AsAtDate">
    <vt:lpwstr>16 Aug 2019</vt:lpwstr>
  </property>
  <property fmtid="{D5CDD505-2E9C-101B-9397-08002B2CF9AE}" pid="6" name="Suffix">
    <vt:lpwstr>01-00-00</vt:lpwstr>
  </property>
  <property fmtid="{D5CDD505-2E9C-101B-9397-08002B2CF9AE}" pid="7" name="ReprintedAsAt">
    <vt:filetime>2019-08-15T16:00:00Z</vt:filetime>
  </property>
  <property fmtid="{D5CDD505-2E9C-101B-9397-08002B2CF9AE}" pid="8" name="ReprintNo">
    <vt:lpwstr>1</vt:lpwstr>
  </property>
  <property fmtid="{D5CDD505-2E9C-101B-9397-08002B2CF9AE}" pid="9" name="CommencementDate">
    <vt:lpwstr>20190816</vt:lpwstr>
  </property>
</Properties>
</file>