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_Toc19874725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_Toc19874726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_Toc19874727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_Toc19874728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_Toc19874729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Supplementary Agreement ratified and implementation authorised</w:t>
      </w:r>
      <w:r>
        <w:tab/>
      </w:r>
      <w:r>
        <w:fldChar w:fldCharType="begin"/>
      </w:r>
      <w:r>
        <w:instrText xml:space="preserve"> PAGEREF _Toc19874730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_Toc19874731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_Toc19874732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_Toc19874733 \h </w:instrText>
      </w:r>
      <w:r>
        <w:fldChar w:fldCharType="separate"/>
      </w:r>
      <w:r>
        <w:t>5</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_Toc19874734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_Toc19874735 \h </w:instrText>
      </w:r>
      <w:r>
        <w:fldChar w:fldCharType="separate"/>
      </w:r>
      <w:r>
        <w:t>5</w:t>
      </w:r>
      <w:r>
        <w:fldChar w:fldCharType="end"/>
      </w:r>
    </w:p>
    <w:p>
      <w:pPr>
        <w:pStyle w:val="TOC8"/>
        <w:rPr>
          <w:rFonts w:asciiTheme="minorHAnsi" w:eastAsiaTheme="minorEastAsia" w:hAnsiTheme="minorHAnsi" w:cstheme="minorBidi"/>
          <w:szCs w:val="22"/>
        </w:rPr>
      </w:pPr>
      <w:r>
        <w:t>4G.</w:t>
      </w:r>
      <w:r>
        <w:tab/>
        <w:t>Fifteenth Supplementary Agreement ratified and implementation authorised</w:t>
      </w:r>
      <w:r>
        <w:tab/>
      </w:r>
      <w:r>
        <w:fldChar w:fldCharType="begin"/>
      </w:r>
      <w:r>
        <w:instrText xml:space="preserve"> PAGEREF _Toc19874736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_Toc19874737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_Toc19874738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_Toc19874739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_Toc19874740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Entrenchment of clause 17A of, and Schedule B to, Agreement</w:t>
      </w:r>
      <w:r>
        <w:tab/>
      </w:r>
      <w:r>
        <w:fldChar w:fldCharType="begin"/>
      </w:r>
      <w:r>
        <w:instrText xml:space="preserve"> PAGEREF _Toc19874741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w:t>
      </w:r>
      <w:r>
        <w:tab/>
        <w:t>Terms used in sections 12 to 17</w:t>
      </w:r>
      <w:r>
        <w:tab/>
      </w:r>
      <w:r>
        <w:fldChar w:fldCharType="begin"/>
      </w:r>
      <w:r>
        <w:instrText xml:space="preserve"> PAGEREF _Toc19874742 \h </w:instrText>
      </w:r>
      <w:r>
        <w:fldChar w:fldCharType="separate"/>
      </w:r>
      <w:r>
        <w:t>9</w:t>
      </w:r>
      <w:r>
        <w:fldChar w:fldCharType="end"/>
      </w:r>
    </w:p>
    <w:p>
      <w:pPr>
        <w:pStyle w:val="TOC8"/>
        <w:rPr>
          <w:rFonts w:asciiTheme="minorHAnsi" w:eastAsiaTheme="minorEastAsia" w:hAnsiTheme="minorHAnsi" w:cstheme="minorBidi"/>
          <w:szCs w:val="22"/>
        </w:rPr>
      </w:pPr>
      <w:r>
        <w:t>12.</w:t>
      </w:r>
      <w:r>
        <w:tab/>
        <w:t>Certain shareholdings to be notified to the Commission</w:t>
      </w:r>
      <w:r>
        <w:tab/>
      </w:r>
      <w:r>
        <w:fldChar w:fldCharType="begin"/>
      </w:r>
      <w:r>
        <w:instrText xml:space="preserve"> PAGEREF _Toc19874743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_Toc19874744 \h </w:instrText>
      </w:r>
      <w:r>
        <w:fldChar w:fldCharType="separate"/>
      </w:r>
      <w:r>
        <w:t>10</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_Toc19874745 \h </w:instrText>
      </w:r>
      <w:r>
        <w:fldChar w:fldCharType="separate"/>
      </w:r>
      <w:r>
        <w:t>11</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_Toc19874746 \h </w:instrText>
      </w:r>
      <w:r>
        <w:fldChar w:fldCharType="separate"/>
      </w:r>
      <w:r>
        <w:t>12</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_Toc19874747 \h </w:instrText>
      </w:r>
      <w:r>
        <w:fldChar w:fldCharType="separate"/>
      </w:r>
      <w:r>
        <w:t>12</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_Toc19874748 \h </w:instrText>
      </w:r>
      <w:r>
        <w:fldChar w:fldCharType="separate"/>
      </w:r>
      <w:r>
        <w:t>13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Casino (Burswood Island) Agreement</w:t>
      </w:r>
    </w:p>
    <w:p>
      <w:pPr>
        <w:pStyle w:val="TOC2"/>
        <w:keepNext w:val="0"/>
        <w:tabs>
          <w:tab w:val="right" w:leader="dot" w:pos="7077"/>
        </w:tabs>
        <w:rPr>
          <w:rFonts w:asciiTheme="minorHAnsi" w:eastAsiaTheme="minorEastAsia" w:hAnsiTheme="minorHAnsi" w:cstheme="minorBidi"/>
          <w:b w:val="0"/>
          <w:sz w:val="22"/>
          <w:szCs w:val="22"/>
        </w:rPr>
      </w:pPr>
      <w:r>
        <w:t>Schedule 2 —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Seventh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5 — Third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6 — Fourth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7 — Fifth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8 — Sixth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9 — Eighth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10 — Ninth Supplementary Agreement</w:t>
      </w:r>
    </w:p>
    <w:p>
      <w:pPr>
        <w:pStyle w:val="TOC2"/>
        <w:tabs>
          <w:tab w:val="right" w:leader="dot" w:pos="7077"/>
        </w:tabs>
        <w:rPr>
          <w:rFonts w:asciiTheme="minorHAnsi" w:eastAsiaTheme="minorEastAsia" w:hAnsiTheme="minorHAnsi" w:cstheme="minorBidi"/>
          <w:b w:val="0"/>
          <w:sz w:val="22"/>
          <w:szCs w:val="22"/>
        </w:rPr>
      </w:pPr>
      <w:r>
        <w:t>Schedule 11 — Tenth Supplementary Agreement</w:t>
      </w:r>
    </w:p>
    <w:p>
      <w:pPr>
        <w:pStyle w:val="TOC2"/>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Schedule 15 — Fourteenth Supplementary Agreement</w:t>
      </w:r>
    </w:p>
    <w:p>
      <w:pPr>
        <w:pStyle w:val="TOC2"/>
        <w:tabs>
          <w:tab w:val="right" w:leader="dot" w:pos="7077"/>
        </w:tabs>
        <w:rPr>
          <w:rFonts w:asciiTheme="minorHAnsi" w:eastAsiaTheme="minorEastAsia" w:hAnsiTheme="minorHAnsi" w:cstheme="minorBidi"/>
          <w:b w:val="0"/>
          <w:sz w:val="22"/>
          <w:szCs w:val="22"/>
        </w:rPr>
      </w:pPr>
      <w:r>
        <w:t>Schedule 16 — Fifteenth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_Toc19874766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3" w:name="_Toc1987472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4" w:name="_Toc1987472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5" w:name="_Toc19874727"/>
      <w:r>
        <w:rPr>
          <w:rStyle w:val="CharSectno"/>
        </w:rPr>
        <w:t>3</w:t>
      </w:r>
      <w:r>
        <w:rPr>
          <w:snapToGrid w:val="0"/>
        </w:rPr>
        <w:t>.</w:t>
      </w:r>
      <w:r>
        <w:rPr>
          <w:snapToGrid w:val="0"/>
        </w:rPr>
        <w:tab/>
        <w:t>Terms used</w:t>
      </w:r>
      <w:bookmarkEnd w:id="5"/>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pPr>
      <w:r>
        <w:tab/>
        <w:t>(vii)</w:t>
      </w:r>
      <w:r>
        <w:tab/>
        <w:t>the Fifteenth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82.]</w:t>
      </w:r>
    </w:p>
    <w:p>
      <w:pPr>
        <w:pStyle w:val="Heading5"/>
        <w:rPr>
          <w:snapToGrid w:val="0"/>
        </w:rPr>
      </w:pPr>
      <w:bookmarkStart w:id="6" w:name="_Toc19874728"/>
      <w:r>
        <w:rPr>
          <w:rStyle w:val="CharSectno"/>
        </w:rPr>
        <w:t>3A</w:t>
      </w:r>
      <w:r>
        <w:rPr>
          <w:snapToGrid w:val="0"/>
        </w:rPr>
        <w:t xml:space="preserve">. </w:t>
      </w:r>
      <w:r>
        <w:rPr>
          <w:snapToGrid w:val="0"/>
        </w:rPr>
        <w:tab/>
        <w:t>Certain agreements altering Agreement capable of being scheduled to Act by order</w:t>
      </w:r>
      <w:bookmarkEnd w:id="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7" w:name="_Toc19874729"/>
      <w:r>
        <w:rPr>
          <w:rStyle w:val="CharSectno"/>
        </w:rPr>
        <w:t>4</w:t>
      </w:r>
      <w:r>
        <w:rPr>
          <w:snapToGrid w:val="0"/>
        </w:rPr>
        <w:t>.</w:t>
      </w:r>
      <w:r>
        <w:rPr>
          <w:snapToGrid w:val="0"/>
        </w:rPr>
        <w:tab/>
        <w:t>Agreement ratified and implementation authorised</w:t>
      </w:r>
      <w:bookmarkEnd w:id="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8" w:name="_Toc19874730"/>
      <w:r>
        <w:rPr>
          <w:rStyle w:val="CharSectno"/>
        </w:rPr>
        <w:t>4A</w:t>
      </w:r>
      <w:r>
        <w:rPr>
          <w:snapToGrid w:val="0"/>
        </w:rPr>
        <w:t xml:space="preserve">. </w:t>
      </w:r>
      <w:r>
        <w:rPr>
          <w:snapToGrid w:val="0"/>
        </w:rPr>
        <w:tab/>
        <w:t>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9" w:name="_Toc19874731"/>
      <w:r>
        <w:rPr>
          <w:rStyle w:val="CharSectno"/>
        </w:rPr>
        <w:t>4B</w:t>
      </w:r>
      <w:r>
        <w:rPr>
          <w:snapToGrid w:val="0"/>
        </w:rPr>
        <w:t xml:space="preserve">. </w:t>
      </w:r>
      <w:r>
        <w:rPr>
          <w:snapToGrid w:val="0"/>
        </w:rPr>
        <w:tab/>
        <w:t>Second Supplementary Agreement ratified and implementation authorised</w:t>
      </w:r>
      <w:bookmarkEnd w:id="9"/>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10" w:name="_Toc19874732"/>
      <w:r>
        <w:rPr>
          <w:rStyle w:val="CharSectno"/>
        </w:rPr>
        <w:t>4C</w:t>
      </w:r>
      <w:r>
        <w:rPr>
          <w:snapToGrid w:val="0"/>
        </w:rPr>
        <w:t xml:space="preserve">. </w:t>
      </w:r>
      <w:r>
        <w:rPr>
          <w:snapToGrid w:val="0"/>
        </w:rPr>
        <w:tab/>
        <w:t>Seventh Supplementary Agreement ratified and implementation authorised</w:t>
      </w:r>
      <w:bookmarkEnd w:id="1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11" w:name="_Toc19874733"/>
      <w:r>
        <w:rPr>
          <w:rStyle w:val="CharSectno"/>
        </w:rPr>
        <w:t>4D</w:t>
      </w:r>
      <w:r>
        <w:t>.</w:t>
      </w:r>
      <w:r>
        <w:tab/>
        <w:t>Eighth Supplementary Agreement ratified and implementation authorised</w:t>
      </w:r>
      <w:bookmarkEnd w:id="1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12" w:name="_Toc19874734"/>
      <w:r>
        <w:rPr>
          <w:rStyle w:val="CharSectno"/>
        </w:rPr>
        <w:t>4E</w:t>
      </w:r>
      <w:r>
        <w:t>.</w:t>
      </w:r>
      <w:r>
        <w:tab/>
        <w:t>Eleventh Supplementary Agreement ratified and implementation authorised</w:t>
      </w:r>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13" w:name="_Toc19874735"/>
      <w:r>
        <w:rPr>
          <w:rStyle w:val="CharSectno"/>
        </w:rPr>
        <w:t>4F</w:t>
      </w:r>
      <w:r>
        <w:t>.</w:t>
      </w:r>
      <w:r>
        <w:tab/>
        <w:t>Twelfth Supplementary Agreement ratified and implementation authorised</w:t>
      </w:r>
      <w:bookmarkEnd w:id="1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No. 25 of 2011 s. 5.]</w:t>
      </w:r>
    </w:p>
    <w:p>
      <w:pPr>
        <w:pStyle w:val="Heading5"/>
      </w:pPr>
      <w:bookmarkStart w:id="14" w:name="_Toc19874736"/>
      <w:r>
        <w:rPr>
          <w:rStyle w:val="CharSectno"/>
        </w:rPr>
        <w:t>4G</w:t>
      </w:r>
      <w:r>
        <w:t>.</w:t>
      </w:r>
      <w:r>
        <w:tab/>
        <w:t>Fifteenth Supplementary Agreement ratified and implementation authorised</w:t>
      </w:r>
      <w:bookmarkEnd w:id="14"/>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rPr>
          <w:snapToGrid w:val="0"/>
        </w:rPr>
      </w:pPr>
      <w:bookmarkStart w:id="15" w:name="_Toc19874737"/>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15"/>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6" w:name="_Toc19874738"/>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16"/>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7" w:name="_Toc19874739"/>
      <w:r>
        <w:rPr>
          <w:rStyle w:val="CharSectno"/>
        </w:rPr>
        <w:t>7</w:t>
      </w:r>
      <w:r>
        <w:rPr>
          <w:snapToGrid w:val="0"/>
        </w:rPr>
        <w:t>.</w:t>
      </w:r>
      <w:r>
        <w:rPr>
          <w:snapToGrid w:val="0"/>
        </w:rPr>
        <w:tab/>
        <w:t>Certain planning laws modified</w:t>
      </w:r>
      <w:bookmarkEnd w:id="17"/>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18" w:name="_Toc19874740"/>
      <w:r>
        <w:rPr>
          <w:rStyle w:val="CharSectno"/>
        </w:rPr>
        <w:t>8</w:t>
      </w:r>
      <w:r>
        <w:rPr>
          <w:snapToGrid w:val="0"/>
        </w:rPr>
        <w:t>.</w:t>
      </w:r>
      <w:r>
        <w:rPr>
          <w:snapToGrid w:val="0"/>
        </w:rPr>
        <w:tab/>
        <w:t>Survey, dedication, management etc. of certain streets</w:t>
      </w:r>
      <w:bookmarkEnd w:id="18"/>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19" w:name="_Toc19874741"/>
      <w:r>
        <w:rPr>
          <w:rStyle w:val="CharSectno"/>
        </w:rPr>
        <w:t>10</w:t>
      </w:r>
      <w:r>
        <w:rPr>
          <w:snapToGrid w:val="0"/>
        </w:rPr>
        <w:t>.</w:t>
      </w:r>
      <w:r>
        <w:rPr>
          <w:snapToGrid w:val="0"/>
        </w:rPr>
        <w:tab/>
        <w:t>Entrenchment of clause 17A of, and Schedule B to, Agreement</w:t>
      </w:r>
      <w:bookmarkEnd w:id="19"/>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20" w:name="_Toc19874742"/>
      <w:r>
        <w:rPr>
          <w:rStyle w:val="CharSectno"/>
        </w:rPr>
        <w:t>11</w:t>
      </w:r>
      <w:r>
        <w:t>.</w:t>
      </w:r>
      <w:r>
        <w:tab/>
        <w:t>Terms used in sections 12 to 17</w:t>
      </w:r>
      <w:bookmarkEnd w:id="20"/>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21" w:name="_Toc19874743"/>
      <w:r>
        <w:rPr>
          <w:rStyle w:val="CharSectno"/>
        </w:rPr>
        <w:t>12</w:t>
      </w:r>
      <w:r>
        <w:t>.</w:t>
      </w:r>
      <w:r>
        <w:tab/>
        <w:t>Certain shareholdings to be notified to the Commission</w:t>
      </w:r>
      <w:bookmarkEnd w:id="21"/>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22" w:name="_Toc19874744"/>
      <w:r>
        <w:rPr>
          <w:rStyle w:val="CharSectno"/>
        </w:rPr>
        <w:t>13</w:t>
      </w:r>
      <w:r>
        <w:t>.</w:t>
      </w:r>
      <w:r>
        <w:tab/>
        <w:t>Certain shareholders to be approved by the Commission</w:t>
      </w:r>
      <w:bookmarkEnd w:id="22"/>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23" w:name="_Toc19874745"/>
      <w:r>
        <w:rPr>
          <w:rStyle w:val="CharSectno"/>
        </w:rPr>
        <w:t>14</w:t>
      </w:r>
      <w:r>
        <w:t>.</w:t>
      </w:r>
      <w:r>
        <w:tab/>
        <w:t>Probity approval notices, application for etc.</w:t>
      </w:r>
      <w:bookmarkEnd w:id="23"/>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24" w:name="_Toc19874746"/>
      <w:r>
        <w:rPr>
          <w:rStyle w:val="CharSectno"/>
        </w:rPr>
        <w:t>15</w:t>
      </w:r>
      <w:r>
        <w:t>.</w:t>
      </w:r>
      <w:r>
        <w:tab/>
        <w:t>Probity approval notice, cancellation of</w:t>
      </w:r>
      <w:bookmarkEnd w:id="24"/>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25" w:name="_Toc19874747"/>
      <w:r>
        <w:rPr>
          <w:rStyle w:val="CharSectno"/>
        </w:rPr>
        <w:t>16</w:t>
      </w:r>
      <w:r>
        <w:t>.</w:t>
      </w:r>
      <w:r>
        <w:tab/>
        <w:t>Intention to order disposal of shares, notice of</w:t>
      </w:r>
      <w:bookmarkEnd w:id="2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26" w:name="_Toc19874748"/>
      <w:r>
        <w:rPr>
          <w:rStyle w:val="CharSectno"/>
        </w:rPr>
        <w:t>17</w:t>
      </w:r>
      <w:r>
        <w:t>.</w:t>
      </w:r>
      <w:r>
        <w:tab/>
        <w:t>Certain shareholders may be ordered to dispose of shares</w:t>
      </w:r>
      <w:bookmarkEnd w:id="26"/>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7" w:name="_Toc19785158"/>
      <w:bookmarkStart w:id="28" w:name="_Toc19796846"/>
      <w:bookmarkStart w:id="29" w:name="_Toc19799901"/>
      <w:bookmarkStart w:id="30" w:name="_Toc19874749"/>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27"/>
      <w:bookmarkEnd w:id="28"/>
      <w:bookmarkEnd w:id="29"/>
      <w:bookmarkEnd w:id="30"/>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keepNext/>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31" w:name="_Toc19785159"/>
      <w:bookmarkStart w:id="32" w:name="_Toc19796847"/>
      <w:bookmarkStart w:id="33" w:name="_Toc19799902"/>
      <w:bookmarkStart w:id="34" w:name="_Toc19874750"/>
      <w:r>
        <w:rPr>
          <w:rStyle w:val="CharSchNo"/>
        </w:rPr>
        <w:t>Schedule 2</w:t>
      </w:r>
      <w:r>
        <w:t> — </w:t>
      </w:r>
      <w:r>
        <w:rPr>
          <w:rStyle w:val="CharSchText"/>
        </w:rPr>
        <w:t>Supplementary Agreement</w:t>
      </w:r>
      <w:bookmarkEnd w:id="31"/>
      <w:bookmarkEnd w:id="32"/>
      <w:bookmarkEnd w:id="33"/>
      <w:bookmarkEnd w:id="34"/>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ageBreakBefore w:val="0"/>
      </w:pPr>
      <w:bookmarkStart w:id="36" w:name="_Toc19785160"/>
      <w:bookmarkStart w:id="37" w:name="_Toc19796848"/>
      <w:bookmarkStart w:id="38" w:name="_Toc19799903"/>
      <w:bookmarkStart w:id="39" w:name="_Toc19874751"/>
      <w:r>
        <w:rPr>
          <w:rStyle w:val="CharSchNo"/>
        </w:rPr>
        <w:t>Schedule 3</w:t>
      </w:r>
      <w:r>
        <w:t> — </w:t>
      </w:r>
      <w:r>
        <w:rPr>
          <w:rStyle w:val="CharSchText"/>
        </w:rPr>
        <w:t>Second Supplementary Agreement</w:t>
      </w:r>
      <w:bookmarkEnd w:id="36"/>
      <w:bookmarkEnd w:id="37"/>
      <w:bookmarkEnd w:id="38"/>
      <w:bookmarkEnd w:id="39"/>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No. 15 of 1990 s. 6.]</w:t>
      </w:r>
    </w:p>
    <w:p>
      <w:pPr>
        <w:pStyle w:val="yScheduleHeading"/>
      </w:pPr>
      <w:bookmarkStart w:id="40" w:name="_Toc19785161"/>
      <w:bookmarkStart w:id="41" w:name="_Toc19796849"/>
      <w:bookmarkStart w:id="42" w:name="_Toc19799904"/>
      <w:bookmarkStart w:id="43" w:name="_Toc19874752"/>
      <w:r>
        <w:rPr>
          <w:rStyle w:val="CharSchNo"/>
        </w:rPr>
        <w:t>Schedule 4</w:t>
      </w:r>
      <w:r>
        <w:t> — </w:t>
      </w:r>
      <w:r>
        <w:rPr>
          <w:rStyle w:val="CharSchText"/>
        </w:rPr>
        <w:t>Seventh Supplementary Agreement</w:t>
      </w:r>
      <w:bookmarkEnd w:id="40"/>
      <w:bookmarkEnd w:id="41"/>
      <w:bookmarkEnd w:id="42"/>
      <w:bookmarkEnd w:id="43"/>
    </w:p>
    <w:p>
      <w:pPr>
        <w:pStyle w:val="yShoulderClause"/>
      </w:pPr>
      <w:r>
        <w:t>[s. 3]</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44" w:name="_Toc19785162"/>
      <w:bookmarkStart w:id="45" w:name="_Toc19796850"/>
      <w:bookmarkStart w:id="46" w:name="_Toc19799905"/>
      <w:bookmarkStart w:id="47" w:name="_Toc19874753"/>
      <w:r>
        <w:rPr>
          <w:rStyle w:val="CharSchNo"/>
        </w:rPr>
        <w:t>Schedule 5</w:t>
      </w:r>
      <w:r>
        <w:t> — </w:t>
      </w:r>
      <w:r>
        <w:rPr>
          <w:rStyle w:val="CharSchText"/>
        </w:rPr>
        <w:t>Third Supplementary Agreement</w:t>
      </w:r>
      <w:bookmarkEnd w:id="44"/>
      <w:bookmarkEnd w:id="45"/>
      <w:bookmarkEnd w:id="46"/>
      <w:bookmarkEnd w:id="47"/>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48" w:name="_Toc19785163"/>
      <w:bookmarkStart w:id="49" w:name="_Toc19796851"/>
      <w:bookmarkStart w:id="50" w:name="_Toc19799906"/>
      <w:bookmarkStart w:id="51" w:name="_Toc19874754"/>
      <w:r>
        <w:rPr>
          <w:rStyle w:val="CharSchNo"/>
        </w:rPr>
        <w:t>Schedule 6</w:t>
      </w:r>
      <w:r>
        <w:t> — </w:t>
      </w:r>
      <w:r>
        <w:rPr>
          <w:rStyle w:val="CharSchText"/>
        </w:rPr>
        <w:t>Fourth Supplementary Agreement</w:t>
      </w:r>
      <w:bookmarkEnd w:id="48"/>
      <w:bookmarkEnd w:id="49"/>
      <w:bookmarkEnd w:id="50"/>
      <w:bookmarkEnd w:id="51"/>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52" w:name="_Toc19785164"/>
      <w:bookmarkStart w:id="53" w:name="_Toc19796852"/>
      <w:bookmarkStart w:id="54" w:name="_Toc19799907"/>
      <w:bookmarkStart w:id="55" w:name="_Toc19874755"/>
      <w:r>
        <w:rPr>
          <w:rStyle w:val="CharSchNo"/>
        </w:rPr>
        <w:t>Schedule 7</w:t>
      </w:r>
      <w:r>
        <w:t> — </w:t>
      </w:r>
      <w:r>
        <w:rPr>
          <w:rStyle w:val="CharSchText"/>
        </w:rPr>
        <w:t>Fifth Supplementary Agreement</w:t>
      </w:r>
      <w:bookmarkEnd w:id="52"/>
      <w:bookmarkEnd w:id="53"/>
      <w:bookmarkEnd w:id="54"/>
      <w:bookmarkEnd w:id="55"/>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56" w:name="_Toc19785165"/>
      <w:bookmarkStart w:id="57" w:name="_Toc19796853"/>
      <w:bookmarkStart w:id="58" w:name="_Toc19799908"/>
      <w:bookmarkStart w:id="59" w:name="_Toc19874756"/>
      <w:r>
        <w:rPr>
          <w:rStyle w:val="CharSchNo"/>
        </w:rPr>
        <w:t>Schedule 8</w:t>
      </w:r>
      <w:r>
        <w:t> — </w:t>
      </w:r>
      <w:r>
        <w:rPr>
          <w:rStyle w:val="CharSchText"/>
        </w:rPr>
        <w:t>Sixth Supplementary Agreement</w:t>
      </w:r>
      <w:bookmarkEnd w:id="56"/>
      <w:bookmarkEnd w:id="57"/>
      <w:bookmarkEnd w:id="58"/>
      <w:bookmarkEnd w:id="59"/>
    </w:p>
    <w:p>
      <w:pPr>
        <w:pStyle w:val="yShoulderClause"/>
      </w:pPr>
      <w:r>
        <w:t>[s. 3A]</w:t>
      </w:r>
    </w:p>
    <w:p>
      <w:pPr>
        <w:pStyle w:val="yFootnoteheading"/>
      </w:pPr>
      <w:r>
        <w:tab/>
        <w:t>[Heading amended: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60" w:name="_Toc19785166"/>
      <w:bookmarkStart w:id="61" w:name="_Toc19796854"/>
      <w:bookmarkStart w:id="62" w:name="_Toc19799909"/>
      <w:bookmarkStart w:id="63" w:name="_Toc19874757"/>
      <w:r>
        <w:rPr>
          <w:rStyle w:val="CharSchNo"/>
        </w:rPr>
        <w:t>Schedule 9</w:t>
      </w:r>
      <w:r>
        <w:t> — </w:t>
      </w:r>
      <w:r>
        <w:rPr>
          <w:rStyle w:val="CharSchText"/>
        </w:rPr>
        <w:t>Eighth Supplementary Agreement</w:t>
      </w:r>
      <w:bookmarkEnd w:id="60"/>
      <w:bookmarkEnd w:id="61"/>
      <w:bookmarkEnd w:id="62"/>
      <w:bookmarkEnd w:id="63"/>
    </w:p>
    <w:p>
      <w:pPr>
        <w:pStyle w:val="yShoulderClause"/>
      </w:pPr>
      <w:r>
        <w:t>[s. 3]</w:t>
      </w:r>
    </w:p>
    <w:p>
      <w:pPr>
        <w:pStyle w:val="yFootnoteheading"/>
      </w:pPr>
      <w:r>
        <w:tab/>
        <w:t>[Heading amended: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t>
      </w:r>
      <w:smartTag w:uri="urn:schemas-microsoft-com:office:smarttags" w:element="place">
        <w:smartTag w:uri="urn:schemas-microsoft-com:office:smarttags" w:element="State">
          <w:r>
            <w:rPr>
              <w:snapToGrid w:val="0"/>
            </w:rPr>
            <w:t>Western Australia</w:t>
          </w:r>
        </w:smartTag>
      </w:smartTag>
      <w:r>
        <w:rPr>
          <w:snapToGrid w:val="0"/>
        </w:rPr>
        <w:t>”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pageBreakBefore/>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64" w:name="_Toc19785167"/>
      <w:bookmarkStart w:id="65" w:name="_Toc19796855"/>
      <w:bookmarkStart w:id="66" w:name="_Toc19799910"/>
      <w:bookmarkStart w:id="67" w:name="_Toc19874758"/>
      <w:r>
        <w:rPr>
          <w:rStyle w:val="CharSchNo"/>
        </w:rPr>
        <w:t>Schedule 10</w:t>
      </w:r>
      <w:r>
        <w:t> — </w:t>
      </w:r>
      <w:r>
        <w:rPr>
          <w:rStyle w:val="CharSchText"/>
        </w:rPr>
        <w:t>Ninth Supplementary Agreement</w:t>
      </w:r>
      <w:bookmarkEnd w:id="64"/>
      <w:bookmarkEnd w:id="65"/>
      <w:bookmarkEnd w:id="66"/>
      <w:bookmarkEnd w:id="67"/>
    </w:p>
    <w:p>
      <w:pPr>
        <w:pStyle w:val="yShoulderClause"/>
      </w:pPr>
      <w:r>
        <w:t>[s. 3A]</w:t>
      </w:r>
    </w:p>
    <w:p>
      <w:pPr>
        <w:pStyle w:val="yFootnoteheading"/>
      </w:pPr>
      <w:r>
        <w:tab/>
        <w:t>[Heading amended: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68" w:name="_Toc19785168"/>
      <w:bookmarkStart w:id="69" w:name="_Toc19796856"/>
      <w:bookmarkStart w:id="70" w:name="_Toc19799911"/>
      <w:bookmarkStart w:id="71" w:name="_Toc19874759"/>
      <w:r>
        <w:rPr>
          <w:rStyle w:val="CharSchNo"/>
        </w:rPr>
        <w:t>Schedule 11</w:t>
      </w:r>
      <w:r>
        <w:t> — </w:t>
      </w:r>
      <w:r>
        <w:rPr>
          <w:rStyle w:val="CharSchText"/>
        </w:rPr>
        <w:t>Tenth Supplementary Agreement</w:t>
      </w:r>
      <w:bookmarkEnd w:id="68"/>
      <w:bookmarkEnd w:id="69"/>
      <w:bookmarkEnd w:id="70"/>
      <w:bookmarkEnd w:id="71"/>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72" w:name="_Toc19785169"/>
      <w:bookmarkStart w:id="73" w:name="_Toc19796857"/>
      <w:bookmarkStart w:id="74" w:name="_Toc19799912"/>
      <w:bookmarkStart w:id="75" w:name="_Toc19874760"/>
      <w:r>
        <w:rPr>
          <w:rStyle w:val="CharSchNo"/>
        </w:rPr>
        <w:t>Schedule 12</w:t>
      </w:r>
      <w:r>
        <w:t xml:space="preserve"> — </w:t>
      </w:r>
      <w:r>
        <w:rPr>
          <w:rStyle w:val="CharSchText"/>
        </w:rPr>
        <w:t>Eleventh Supplementary Agreement</w:t>
      </w:r>
      <w:bookmarkEnd w:id="72"/>
      <w:bookmarkEnd w:id="73"/>
      <w:bookmarkEnd w:id="74"/>
      <w:bookmarkEnd w:id="75"/>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 “State” or “</w:t>
      </w:r>
      <w:smartTag w:uri="urn:schemas-microsoft-com:office:smarttags" w:element="place">
        <w:smartTag w:uri="urn:schemas-microsoft-com:office:smarttags" w:element="State">
          <w:r>
            <w:t>Western Australia</w:t>
          </w:r>
        </w:smartTag>
      </w:smartTag>
      <w:r>
        <w:t xml:space="preserve">”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76" w:name="_Toc19785170"/>
      <w:bookmarkStart w:id="77" w:name="_Toc19796858"/>
      <w:bookmarkStart w:id="78" w:name="_Toc19799913"/>
      <w:bookmarkStart w:id="79" w:name="_Toc19874761"/>
      <w:r>
        <w:rPr>
          <w:rStyle w:val="CharSchNo"/>
        </w:rPr>
        <w:t>Schedule 13</w:t>
      </w:r>
      <w:r>
        <w:t> — </w:t>
      </w:r>
      <w:r>
        <w:rPr>
          <w:rStyle w:val="CharSchText"/>
        </w:rPr>
        <w:t>Twelfth Supplementary Agreement</w:t>
      </w:r>
      <w:bookmarkEnd w:id="76"/>
      <w:bookmarkEnd w:id="77"/>
      <w:bookmarkEnd w:id="78"/>
      <w:bookmarkEnd w:id="79"/>
    </w:p>
    <w:p>
      <w:pPr>
        <w:pStyle w:val="yShoulderClause"/>
      </w:pPr>
      <w:r>
        <w:t>[s. 3]</w:t>
      </w:r>
    </w:p>
    <w:p>
      <w:pPr>
        <w:pStyle w:val="yFootnoteheading"/>
        <w:spacing w:after="60"/>
      </w:pPr>
      <w:r>
        <w:tab/>
        <w:t>[Heading inserted: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 xml:space="preserve">Heirisson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rPr>
          <w:b/>
        </w:rPr>
        <w: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380" w:gutter="0"/>
          <w:cols w:space="720"/>
          <w:noEndnote/>
          <w:docGrid w:linePitch="326"/>
        </w:sectPr>
      </w:pPr>
    </w:p>
    <w:p>
      <w:pPr>
        <w:pStyle w:val="yScheduleHeading"/>
      </w:pPr>
      <w:bookmarkStart w:id="80" w:name="_Toc19785171"/>
      <w:bookmarkStart w:id="81" w:name="_Toc19796859"/>
      <w:bookmarkStart w:id="82" w:name="_Toc19799914"/>
      <w:bookmarkStart w:id="83" w:name="_Toc19874762"/>
      <w:r>
        <w:rPr>
          <w:rStyle w:val="CharSchNo"/>
        </w:rPr>
        <w:t>Schedule 14</w:t>
      </w:r>
      <w:r>
        <w:t> — </w:t>
      </w:r>
      <w:r>
        <w:rPr>
          <w:rStyle w:val="CharSchText"/>
        </w:rPr>
        <w:t>Thirteenth Supplementary Agreement</w:t>
      </w:r>
      <w:bookmarkEnd w:id="80"/>
      <w:bookmarkEnd w:id="81"/>
      <w:bookmarkEnd w:id="82"/>
      <w:bookmarkEnd w:id="83"/>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84" w:name="_Toc19785172"/>
      <w:bookmarkStart w:id="85" w:name="_Toc19796860"/>
      <w:bookmarkStart w:id="86" w:name="_Toc19799915"/>
      <w:bookmarkStart w:id="87" w:name="_Toc19874763"/>
      <w:r>
        <w:rPr>
          <w:rStyle w:val="CharSchNo"/>
        </w:rPr>
        <w:t>Schedule 15</w:t>
      </w:r>
      <w:r>
        <w:t> — </w:t>
      </w:r>
      <w:r>
        <w:rPr>
          <w:rStyle w:val="CharSchText"/>
        </w:rPr>
        <w:t>Fourteenth Supplementary Agreement</w:t>
      </w:r>
      <w:bookmarkEnd w:id="84"/>
      <w:bookmarkEnd w:id="85"/>
      <w:bookmarkEnd w:id="86"/>
      <w:bookmarkEnd w:id="87"/>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88" w:name="_Toc19781192"/>
      <w:bookmarkStart w:id="89" w:name="_Toc19781655"/>
      <w:bookmarkStart w:id="90" w:name="_Toc19799916"/>
      <w:bookmarkStart w:id="91" w:name="_Toc19874764"/>
      <w:r>
        <w:rPr>
          <w:rStyle w:val="CharSchNo"/>
        </w:rPr>
        <w:t>Schedule 16</w:t>
      </w:r>
      <w:r>
        <w:t> — </w:t>
      </w:r>
      <w:r>
        <w:rPr>
          <w:rStyle w:val="CharSchText"/>
        </w:rPr>
        <w:t>Fifteenth Supplementary Agreement</w:t>
      </w:r>
      <w:bookmarkEnd w:id="88"/>
      <w:bookmarkEnd w:id="89"/>
      <w:bookmarkEnd w:id="90"/>
      <w:bookmarkEnd w:id="91"/>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tabs>
          <w:tab w:val="left" w:pos="709"/>
        </w:tabs>
        <w:ind w:left="1276" w:hanging="567"/>
      </w:pPr>
      <w:r>
        <w:t>(b)</w:t>
      </w:r>
      <w:r>
        <w:tab/>
        <w:t>inserting after the definition of "Scheme Act" the following definition:</w:t>
      </w:r>
      <w:r>
        <w:noBreakHyphen/>
      </w:r>
    </w:p>
    <w:p>
      <w:pPr>
        <w:pStyle w:val="yMiscellaneousBody"/>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ind w:left="2835" w:hanging="708"/>
        <w:rPr>
          <w:i/>
        </w:rPr>
      </w:pPr>
      <w:r>
        <w:rPr>
          <w:i/>
        </w:rPr>
        <w:t>(ii)</w:t>
      </w:r>
      <w:r>
        <w:rPr>
          <w:i/>
        </w:rPr>
        <w:tab/>
        <w:t>the Wagering Licence only authorises permits or approves in relation to Simulated Races:</w:t>
      </w:r>
    </w:p>
    <w:p>
      <w:pPr>
        <w:pStyle w:val="yMiscellaneousBody"/>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spacing w:before="0"/>
        <w:rPr>
          <w:b/>
        </w:rPr>
      </w:pPr>
      <w:r>
        <w:t xml:space="preserve">SIGNED by </w:t>
      </w:r>
      <w:r>
        <w:rPr>
          <w:b/>
        </w:rPr>
        <w:t>THE HONOURABLE</w:t>
      </w:r>
      <w:r>
        <w:rPr>
          <w:b/>
        </w:rPr>
        <w:tab/>
      </w:r>
      <w:r>
        <w:t>)</w:t>
      </w:r>
    </w:p>
    <w:p>
      <w:pPr>
        <w:pStyle w:val="yMiscellaneousBody"/>
        <w:spacing w:before="0"/>
        <w:rPr>
          <w:b/>
        </w:rPr>
      </w:pPr>
      <w:r>
        <w:rPr>
          <w:b/>
        </w:rPr>
        <w:t xml:space="preserve">PAUL PAPALIA MLA </w:t>
      </w:r>
      <w:r>
        <w:t>for and on</w:t>
      </w:r>
      <w:r>
        <w:rPr>
          <w:b/>
        </w:rPr>
        <w:tab/>
      </w:r>
      <w:r>
        <w:t>)</w:t>
      </w:r>
    </w:p>
    <w:p>
      <w:pPr>
        <w:pStyle w:val="yMiscellaneousBody"/>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t>[Schedule 16 inserted: No. 21 of 2019 s. 84.]</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pgSz w:w="11907" w:h="16840" w:code="9"/>
          <w:pgMar w:top="2381" w:right="2409" w:bottom="3543" w:left="2409" w:header="720" w:footer="3380" w:gutter="0"/>
          <w:cols w:space="720"/>
          <w:noEndnote/>
          <w:docGrid w:linePitch="326"/>
        </w:sectPr>
      </w:pPr>
    </w:p>
    <w:p>
      <w:pPr>
        <w:pStyle w:val="nHeading2"/>
      </w:pPr>
      <w:bookmarkStart w:id="92" w:name="_Toc19785173"/>
      <w:bookmarkStart w:id="93" w:name="_Toc19796861"/>
      <w:bookmarkStart w:id="94" w:name="_Toc19799917"/>
      <w:bookmarkStart w:id="95" w:name="_Toc19874765"/>
      <w:r>
        <w:t>Notes</w:t>
      </w:r>
      <w:bookmarkEnd w:id="92"/>
      <w:bookmarkEnd w:id="93"/>
      <w:bookmarkEnd w:id="94"/>
      <w:bookmarkEnd w:id="95"/>
    </w:p>
    <w:p>
      <w:pPr>
        <w:pStyle w:val="nSubsection"/>
      </w:pPr>
      <w:r>
        <w:rPr>
          <w:vertAlign w:val="superscript"/>
        </w:rPr>
        <w:t>1</w:t>
      </w:r>
      <w:r>
        <w:tab/>
        <w:t xml:space="preserve">This is a compilation of the </w:t>
      </w:r>
      <w:r>
        <w:rPr>
          <w:i/>
          <w:noProof/>
        </w:rPr>
        <w:t>Casino (Burswood Island) Agreement Act 1985</w:t>
      </w:r>
      <w:r>
        <w:t xml:space="preserve"> and includes the amendments made by the other written laws referred to in the following table.  The table also contains information about any reprint.</w:t>
      </w:r>
    </w:p>
    <w:p>
      <w:pPr>
        <w:pStyle w:val="nHeading3"/>
        <w:rPr>
          <w:snapToGrid w:val="0"/>
        </w:rPr>
      </w:pPr>
      <w:bookmarkStart w:id="96" w:name="_Toc19874766"/>
      <w:r>
        <w:rPr>
          <w:snapToGrid w:val="0"/>
        </w:rPr>
        <w:t>Compilation table</w:t>
      </w:r>
      <w:bookmarkEnd w:id="96"/>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12"/>
        <w:gridCol w:w="2530"/>
        <w:gridCol w:w="12"/>
      </w:tblGrid>
      <w:tr>
        <w:trPr>
          <w:gridAfter w:val="1"/>
          <w:wAfter w:w="12"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2" w:type="dxa"/>
          <w:cantSplit/>
        </w:trPr>
        <w:tc>
          <w:tcPr>
            <w:tcW w:w="2268"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4" w:type="dxa"/>
            <w:gridSpan w:val="2"/>
            <w:tcBorders>
              <w:top w:val="single" w:sz="8" w:space="0" w:color="auto"/>
            </w:tcBorders>
          </w:tcPr>
          <w:p>
            <w:pPr>
              <w:pStyle w:val="nTable"/>
              <w:spacing w:after="40"/>
            </w:pPr>
            <w:r>
              <w:t>9 of 1985</w:t>
            </w:r>
          </w:p>
        </w:tc>
        <w:tc>
          <w:tcPr>
            <w:tcW w:w="1136" w:type="dxa"/>
            <w:gridSpan w:val="2"/>
            <w:tcBorders>
              <w:top w:val="single" w:sz="8" w:space="0" w:color="auto"/>
            </w:tcBorders>
          </w:tcPr>
          <w:p>
            <w:pPr>
              <w:pStyle w:val="nTable"/>
              <w:spacing w:after="40"/>
            </w:pPr>
            <w:r>
              <w:t>25 Mar 1985</w:t>
            </w:r>
          </w:p>
        </w:tc>
        <w:tc>
          <w:tcPr>
            <w:tcW w:w="2551" w:type="dxa"/>
            <w:gridSpan w:val="3"/>
            <w:tcBorders>
              <w:top w:val="single" w:sz="8" w:space="0" w:color="auto"/>
            </w:tcBorders>
          </w:tcPr>
          <w:p>
            <w:pPr>
              <w:pStyle w:val="nTable"/>
              <w:spacing w:after="40"/>
            </w:pPr>
            <w:r>
              <w:t>25 Mar 1985 (see s. 2)</w:t>
            </w:r>
          </w:p>
        </w:tc>
      </w:tr>
      <w:tr>
        <w:trPr>
          <w:gridAfter w:val="1"/>
          <w:wAfter w:w="12" w:type="dxa"/>
          <w:cantSplit/>
        </w:trPr>
        <w:tc>
          <w:tcPr>
            <w:tcW w:w="2268" w:type="dxa"/>
            <w:gridSpan w:val="2"/>
          </w:tcPr>
          <w:p>
            <w:pPr>
              <w:pStyle w:val="nTable"/>
              <w:spacing w:after="40"/>
              <w:ind w:right="113"/>
            </w:pPr>
            <w:r>
              <w:rPr>
                <w:i/>
              </w:rPr>
              <w:t xml:space="preserve">Acts Amendment (Casino Control) Act 1987 </w:t>
            </w:r>
            <w:r>
              <w:t>Pt. II</w:t>
            </w:r>
          </w:p>
        </w:tc>
        <w:tc>
          <w:tcPr>
            <w:tcW w:w="1134" w:type="dxa"/>
            <w:gridSpan w:val="2"/>
          </w:tcPr>
          <w:p>
            <w:pPr>
              <w:pStyle w:val="nTable"/>
              <w:spacing w:after="40"/>
            </w:pPr>
            <w:r>
              <w:t>44 of 1987</w:t>
            </w:r>
          </w:p>
        </w:tc>
        <w:tc>
          <w:tcPr>
            <w:tcW w:w="1136" w:type="dxa"/>
            <w:gridSpan w:val="2"/>
          </w:tcPr>
          <w:p>
            <w:pPr>
              <w:pStyle w:val="nTable"/>
              <w:spacing w:after="40"/>
            </w:pPr>
            <w:r>
              <w:t>22 Sep 1987</w:t>
            </w:r>
          </w:p>
        </w:tc>
        <w:tc>
          <w:tcPr>
            <w:tcW w:w="2551" w:type="dxa"/>
            <w:gridSpan w:val="3"/>
          </w:tcPr>
          <w:p>
            <w:pPr>
              <w:pStyle w:val="nTable"/>
              <w:spacing w:after="40"/>
            </w:pPr>
            <w:r>
              <w:t>13 Sep 1987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4" w:type="dxa"/>
            <w:gridSpan w:val="2"/>
          </w:tcPr>
          <w:p>
            <w:pPr>
              <w:pStyle w:val="nTable"/>
              <w:spacing w:after="40"/>
            </w:pPr>
            <w:r>
              <w:t>15 of 1990</w:t>
            </w:r>
          </w:p>
        </w:tc>
        <w:tc>
          <w:tcPr>
            <w:tcW w:w="1136" w:type="dxa"/>
            <w:gridSpan w:val="2"/>
          </w:tcPr>
          <w:p>
            <w:pPr>
              <w:pStyle w:val="nTable"/>
              <w:spacing w:after="40"/>
            </w:pPr>
            <w:r>
              <w:t>31 Jul 1990</w:t>
            </w:r>
          </w:p>
        </w:tc>
        <w:tc>
          <w:tcPr>
            <w:tcW w:w="2551" w:type="dxa"/>
            <w:gridSpan w:val="3"/>
          </w:tcPr>
          <w:p>
            <w:pPr>
              <w:pStyle w:val="nTable"/>
              <w:spacing w:after="40"/>
            </w:pPr>
            <w:r>
              <w:t>31 Jul 1990 (see s. 3)</w:t>
            </w:r>
          </w:p>
        </w:tc>
      </w:tr>
      <w:tr>
        <w:trPr>
          <w:gridAfter w:val="1"/>
          <w:wAfter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3"/>
          </w:tcPr>
          <w:p>
            <w:pPr>
              <w:pStyle w:val="nTable"/>
              <w:spacing w:after="40"/>
            </w:pPr>
            <w:r>
              <w:t>1 Jul 1996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4" w:type="dxa"/>
            <w:gridSpan w:val="2"/>
          </w:tcPr>
          <w:p>
            <w:pPr>
              <w:pStyle w:val="nTable"/>
              <w:spacing w:after="40"/>
            </w:pPr>
            <w:r>
              <w:t>20 of 1997</w:t>
            </w:r>
          </w:p>
        </w:tc>
        <w:tc>
          <w:tcPr>
            <w:tcW w:w="1136" w:type="dxa"/>
            <w:gridSpan w:val="2"/>
          </w:tcPr>
          <w:p>
            <w:pPr>
              <w:pStyle w:val="nTable"/>
              <w:spacing w:after="40"/>
            </w:pPr>
            <w:r>
              <w:t>4 Sep 1997</w:t>
            </w:r>
          </w:p>
        </w:tc>
        <w:tc>
          <w:tcPr>
            <w:tcW w:w="2551" w:type="dxa"/>
            <w:gridSpan w:val="3"/>
          </w:tcPr>
          <w:p>
            <w:pPr>
              <w:pStyle w:val="nTable"/>
              <w:spacing w:after="40"/>
            </w:pPr>
            <w:r>
              <w:t>4 Sep 1997 (see s. 2)</w:t>
            </w:r>
          </w:p>
        </w:tc>
      </w:tr>
      <w:tr>
        <w:trPr>
          <w:gridAfter w:val="1"/>
          <w:wAfter w:w="12" w:type="dxa"/>
          <w:cantSplit/>
        </w:trPr>
        <w:tc>
          <w:tcPr>
            <w:tcW w:w="4538" w:type="dxa"/>
            <w:gridSpan w:val="6"/>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51" w:type="dxa"/>
            <w:gridSpan w:val="3"/>
          </w:tcPr>
          <w:p>
            <w:pPr>
              <w:pStyle w:val="nTable"/>
              <w:spacing w:after="40"/>
            </w:pPr>
            <w:r>
              <w:t>8 May 1998</w:t>
            </w:r>
          </w:p>
        </w:tc>
      </w:tr>
      <w:tr>
        <w:trPr>
          <w:gridAfter w:val="1"/>
          <w:wAfter w:w="12" w:type="dxa"/>
          <w:cantSplit/>
        </w:trPr>
        <w:tc>
          <w:tcPr>
            <w:tcW w:w="7089" w:type="dxa"/>
            <w:gridSpan w:val="9"/>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4" w:type="dxa"/>
            <w:gridSpan w:val="2"/>
          </w:tcPr>
          <w:p>
            <w:pPr>
              <w:pStyle w:val="nTable"/>
              <w:spacing w:after="40"/>
            </w:pPr>
            <w:r>
              <w:t>51 of 2003</w:t>
            </w:r>
          </w:p>
        </w:tc>
        <w:tc>
          <w:tcPr>
            <w:tcW w:w="1136" w:type="dxa"/>
            <w:gridSpan w:val="2"/>
          </w:tcPr>
          <w:p>
            <w:pPr>
              <w:pStyle w:val="nTable"/>
              <w:spacing w:after="40"/>
            </w:pPr>
            <w:r>
              <w:t>2 Sep 2003</w:t>
            </w:r>
          </w:p>
        </w:tc>
        <w:tc>
          <w:tcPr>
            <w:tcW w:w="2551" w:type="dxa"/>
            <w:gridSpan w:val="3"/>
          </w:tcPr>
          <w:p>
            <w:pPr>
              <w:pStyle w:val="nTable"/>
              <w:spacing w:after="40"/>
            </w:pPr>
            <w:r>
              <w:t>2 Sep 2003 (see s. 2)</w:t>
            </w:r>
          </w:p>
        </w:tc>
      </w:tr>
      <w:tr>
        <w:trPr>
          <w:gridAfter w:val="1"/>
          <w:wAfter w:w="12" w:type="dxa"/>
          <w:cantSplit/>
        </w:trPr>
        <w:tc>
          <w:tcPr>
            <w:tcW w:w="2268"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2" w:type="dxa"/>
          <w:cantSplit/>
        </w:trPr>
        <w:tc>
          <w:tcPr>
            <w:tcW w:w="4538" w:type="dxa"/>
            <w:gridSpan w:val="6"/>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51" w:type="dxa"/>
            <w:gridSpan w:val="3"/>
          </w:tcPr>
          <w:p>
            <w:pPr>
              <w:pStyle w:val="nTable"/>
              <w:spacing w:after="40"/>
            </w:pPr>
            <w:r>
              <w:t>4 Jul 2006</w:t>
            </w:r>
          </w:p>
        </w:tc>
      </w:tr>
      <w:tr>
        <w:trPr>
          <w:gridAfter w:val="1"/>
          <w:wAfter w:w="12" w:type="dxa"/>
          <w:cantSplit/>
        </w:trPr>
        <w:tc>
          <w:tcPr>
            <w:tcW w:w="2268"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gridSpan w:val="2"/>
          </w:tcPr>
          <w:p>
            <w:pPr>
              <w:pStyle w:val="nTable"/>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12" w:type="dxa"/>
          <w:cantSplit/>
        </w:trPr>
        <w:tc>
          <w:tcPr>
            <w:tcW w:w="4538" w:type="dxa"/>
            <w:gridSpan w:val="6"/>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51" w:type="dxa"/>
            <w:gridSpan w:val="3"/>
          </w:tcPr>
          <w:p>
            <w:pPr>
              <w:pStyle w:val="nTable"/>
              <w:spacing w:after="40"/>
              <w:rPr>
                <w:snapToGrid w:val="0"/>
              </w:rPr>
            </w:pPr>
            <w:r>
              <w:rPr>
                <w:snapToGrid w:val="0"/>
              </w:rPr>
              <w:t>12 Jun 2007</w:t>
            </w:r>
          </w:p>
        </w:tc>
      </w:tr>
      <w:tr>
        <w:trPr>
          <w:gridAfter w:val="1"/>
          <w:wAfter w:w="12" w:type="dxa"/>
          <w:cantSplit/>
        </w:trPr>
        <w:tc>
          <w:tcPr>
            <w:tcW w:w="7089" w:type="dxa"/>
            <w:gridSpan w:val="9"/>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4" w:type="dxa"/>
            <w:gridSpan w:val="2"/>
          </w:tcPr>
          <w:p>
            <w:pPr>
              <w:pStyle w:val="nTable"/>
              <w:spacing w:after="40"/>
            </w:pPr>
            <w:r>
              <w:t>17 of 2008</w:t>
            </w:r>
          </w:p>
        </w:tc>
        <w:tc>
          <w:tcPr>
            <w:tcW w:w="1136" w:type="dxa"/>
            <w:gridSpan w:val="2"/>
          </w:tcPr>
          <w:p>
            <w:pPr>
              <w:pStyle w:val="nTable"/>
              <w:spacing w:after="40"/>
            </w:pPr>
            <w:r>
              <w:t>16 Apr 2008</w:t>
            </w:r>
          </w:p>
        </w:tc>
        <w:tc>
          <w:tcPr>
            <w:tcW w:w="2551" w:type="dxa"/>
            <w:gridSpan w:val="3"/>
          </w:tcPr>
          <w:p>
            <w:pPr>
              <w:pStyle w:val="nTable"/>
              <w:spacing w:after="40"/>
            </w:pPr>
            <w:r>
              <w:t>s. 1 and 2: 16 Apr 2008 (see s. 2(a));</w:t>
            </w:r>
            <w:r>
              <w:br/>
              <w:t>Act other than s. 1 and 2: 17 Apr 2008 (see s. 2(b))</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4" w:type="dxa"/>
            <w:gridSpan w:val="2"/>
          </w:tcPr>
          <w:p>
            <w:pPr>
              <w:pStyle w:val="nTable"/>
              <w:spacing w:after="40"/>
              <w:rPr>
                <w:snapToGrid w:val="0"/>
              </w:rPr>
            </w:pPr>
            <w:r>
              <w:rPr>
                <w:snapToGrid w:val="0"/>
              </w:rPr>
              <w:t>25 of 2011</w:t>
            </w:r>
          </w:p>
        </w:tc>
        <w:tc>
          <w:tcPr>
            <w:tcW w:w="1136" w:type="dxa"/>
            <w:gridSpan w:val="2"/>
          </w:tcPr>
          <w:p>
            <w:pPr>
              <w:pStyle w:val="nTable"/>
              <w:spacing w:after="40"/>
              <w:rPr>
                <w:snapToGrid w:val="0"/>
              </w:rPr>
            </w:pPr>
            <w:r>
              <w:rPr>
                <w:snapToGrid w:val="0"/>
              </w:rPr>
              <w:t>11 Jul 2011</w:t>
            </w:r>
          </w:p>
        </w:tc>
        <w:tc>
          <w:tcPr>
            <w:tcW w:w="2554" w:type="dxa"/>
            <w:gridSpan w:val="3"/>
          </w:tcPr>
          <w:p>
            <w:pPr>
              <w:pStyle w:val="nTable"/>
              <w:spacing w:after="40"/>
              <w:rPr>
                <w:snapToGrid w:val="0"/>
              </w:rPr>
            </w:pPr>
            <w:r>
              <w:rPr>
                <w:snapToGrid w:val="0"/>
              </w:rPr>
              <w:t>12 Jul 2011 (see s. 2(b))</w:t>
            </w:r>
          </w:p>
        </w:tc>
      </w:tr>
      <w:tr>
        <w:trPr>
          <w:gridBefore w:val="1"/>
          <w:wBefore w:w="9" w:type="dxa"/>
          <w:cantSplit/>
        </w:trPr>
        <w:tc>
          <w:tcPr>
            <w:tcW w:w="4538" w:type="dxa"/>
            <w:gridSpan w:val="6"/>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4" w:type="dxa"/>
            <w:gridSpan w:val="3"/>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rPr>
          <w:gridBefore w:val="1"/>
          <w:wBefore w:w="9" w:type="dxa"/>
          <w:cantSplit/>
        </w:trPr>
        <w:tc>
          <w:tcPr>
            <w:tcW w:w="7092" w:type="dxa"/>
            <w:gridSpan w:val="9"/>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rPr>
          <w:gridBefore w:val="1"/>
          <w:wBefore w:w="9" w:type="dxa"/>
          <w:cantSplit/>
        </w:trPr>
        <w:tc>
          <w:tcPr>
            <w:tcW w:w="4550" w:type="dxa"/>
            <w:gridSpan w:val="7"/>
            <w:shd w:val="clear" w:color="auto" w:fill="auto"/>
          </w:tcPr>
          <w:p>
            <w:pPr>
              <w:pStyle w:val="nTable"/>
              <w:spacing w:after="40"/>
              <w:rPr>
                <w:bCs/>
                <w:i/>
                <w:snapToGrid w:val="0"/>
              </w:rPr>
            </w:pPr>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542"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tr>
        <w:trPr>
          <w:gridBefore w:val="1"/>
          <w:wBefore w:w="9" w:type="dxa"/>
          <w:cantSplit/>
        </w:trPr>
        <w:tc>
          <w:tcPr>
            <w:tcW w:w="2268" w:type="dxa"/>
            <w:gridSpan w:val="2"/>
            <w:tcBorders>
              <w:bottom w:val="single" w:sz="4" w:space="0" w:color="auto"/>
            </w:tcBorders>
          </w:tcPr>
          <w:p>
            <w:pPr>
              <w:pStyle w:val="nTable"/>
              <w:spacing w:after="40"/>
              <w:ind w:right="113"/>
              <w:rPr>
                <w:snapToGrid w:val="0"/>
              </w:rPr>
            </w:pPr>
            <w:r>
              <w:rPr>
                <w:i/>
              </w:rPr>
              <w:t>TAB (Disposal) Act 2019</w:t>
            </w:r>
            <w:r>
              <w:t xml:space="preserve"> Pt. 7</w:t>
            </w:r>
          </w:p>
        </w:tc>
        <w:tc>
          <w:tcPr>
            <w:tcW w:w="1134" w:type="dxa"/>
            <w:gridSpan w:val="2"/>
            <w:tcBorders>
              <w:bottom w:val="single" w:sz="4" w:space="0" w:color="auto"/>
            </w:tcBorders>
          </w:tcPr>
          <w:p>
            <w:pPr>
              <w:pStyle w:val="nTable"/>
              <w:spacing w:after="40"/>
              <w:rPr>
                <w:snapToGrid w:val="0"/>
              </w:rPr>
            </w:pPr>
            <w:r>
              <w:rPr>
                <w:snapToGrid w:val="0"/>
              </w:rPr>
              <w:t>21 of 2019</w:t>
            </w:r>
          </w:p>
        </w:tc>
        <w:tc>
          <w:tcPr>
            <w:tcW w:w="1136" w:type="dxa"/>
            <w:gridSpan w:val="2"/>
            <w:tcBorders>
              <w:bottom w:val="single" w:sz="4" w:space="0" w:color="auto"/>
            </w:tcBorders>
          </w:tcPr>
          <w:p>
            <w:pPr>
              <w:pStyle w:val="nTable"/>
              <w:spacing w:after="40"/>
              <w:rPr>
                <w:snapToGrid w:val="0"/>
              </w:rPr>
            </w:pPr>
            <w:r>
              <w:rPr>
                <w:snapToGrid w:val="0"/>
              </w:rPr>
              <w:t>18 Sep 2019</w:t>
            </w:r>
          </w:p>
        </w:tc>
        <w:tc>
          <w:tcPr>
            <w:tcW w:w="2554" w:type="dxa"/>
            <w:gridSpan w:val="3"/>
            <w:tcBorders>
              <w:bottom w:val="single" w:sz="4" w:space="0" w:color="auto"/>
            </w:tcBorders>
          </w:tcPr>
          <w:p>
            <w:pPr>
              <w:pStyle w:val="nTable"/>
              <w:spacing w:after="40"/>
              <w:rPr>
                <w:snapToGrid w:val="0"/>
              </w:rPr>
            </w:pPr>
            <w:r>
              <w:rPr>
                <w:snapToGrid w:val="0"/>
              </w:rPr>
              <w:t>19 Sep 2019 (see s. 2(c))</w:t>
            </w:r>
          </w:p>
        </w:tc>
      </w:tr>
    </w:tbl>
    <w:p>
      <w:pPr>
        <w:pStyle w:val="nSubsection"/>
        <w:spacing w:before="160"/>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8" w:name="_Toc19874767"/>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Agreement</w:t>
      </w:r>
      <w:r>
        <w:rPr>
          <w:snapToGrid w:val="0"/>
        </w:rPr>
        <w:tab/>
        <w:t>3</w:t>
      </w:r>
    </w:p>
    <w:p>
      <w:pPr>
        <w:pStyle w:val="DefinedTerms"/>
        <w:rPr>
          <w:snapToGrid w:val="0"/>
        </w:rPr>
      </w:pPr>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Eighth Supplementary Agreement</w:t>
      </w:r>
      <w:r>
        <w:rPr>
          <w:snapToGrid w:val="0"/>
        </w:rPr>
        <w:tab/>
        <w:t>3</w:t>
      </w:r>
    </w:p>
    <w:p>
      <w:pPr>
        <w:pStyle w:val="DefinedTerms"/>
        <w:rPr>
          <w:snapToGrid w:val="0"/>
        </w:rPr>
      </w:pPr>
      <w:r>
        <w:rPr>
          <w:snapToGrid w:val="0"/>
        </w:rPr>
        <w:t>Eleventh Supplementary Agreement</w:t>
      </w:r>
      <w:r>
        <w:rPr>
          <w:snapToGrid w:val="0"/>
        </w:rPr>
        <w:tab/>
        <w:t>3</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Fifteenth Supplementary Agreement</w:t>
      </w:r>
      <w:r>
        <w:rPr>
          <w:snapToGrid w:val="0"/>
        </w:rPr>
        <w:tab/>
        <w:t>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Minister for Lands and Surveys</w:t>
      </w:r>
      <w:r>
        <w:rPr>
          <w:snapToGrid w:val="0"/>
        </w:rPr>
        <w:tab/>
        <w:t>8(5)</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Resort Lands</w:t>
      </w:r>
      <w:r>
        <w:rPr>
          <w:snapToGrid w:val="0"/>
        </w:rPr>
        <w:tab/>
        <w:t>3</w:t>
      </w:r>
    </w:p>
    <w:p>
      <w:pPr>
        <w:pStyle w:val="DefinedTerms"/>
        <w:rPr>
          <w:snapToGrid w:val="0"/>
        </w:rPr>
      </w:pPr>
      <w:r>
        <w:rPr>
          <w:snapToGrid w:val="0"/>
        </w:rPr>
        <w:t>Resort Site</w:t>
      </w:r>
      <w:r>
        <w:rPr>
          <w:snapToGrid w:val="0"/>
        </w:rPr>
        <w:tab/>
        <w:t>7(4)</w:t>
      </w:r>
    </w:p>
    <w:p>
      <w:pPr>
        <w:pStyle w:val="DefinedTerms"/>
        <w:rPr>
          <w:snapToGrid w:val="0"/>
        </w:rPr>
      </w:pPr>
      <w:r>
        <w:rPr>
          <w:snapToGrid w:val="0"/>
        </w:rPr>
        <w:t>Second Supplementary Agreement</w:t>
      </w:r>
      <w:r>
        <w:rPr>
          <w:snapToGrid w:val="0"/>
        </w:rPr>
        <w:tab/>
        <w:t>3</w:t>
      </w:r>
    </w:p>
    <w:p>
      <w:pPr>
        <w:pStyle w:val="DefinedTerms"/>
        <w:rPr>
          <w:snapToGrid w:val="0"/>
        </w:rPr>
      </w:pPr>
      <w:r>
        <w:rPr>
          <w:snapToGrid w:val="0"/>
        </w:rPr>
        <w:t>Seventh Supplementary Agreement</w:t>
      </w:r>
      <w:r>
        <w:rPr>
          <w:snapToGrid w:val="0"/>
        </w:rPr>
        <w:tab/>
        <w:t>3</w:t>
      </w:r>
    </w:p>
    <w:p>
      <w:pPr>
        <w:pStyle w:val="DefinedTerms"/>
        <w:rPr>
          <w:snapToGrid w:val="0"/>
        </w:rPr>
      </w:pPr>
      <w:r>
        <w:rPr>
          <w:snapToGrid w:val="0"/>
        </w:rPr>
        <w:t xml:space="preserve"> Site</w:t>
      </w:r>
      <w:r>
        <w:rPr>
          <w:snapToGrid w:val="0"/>
        </w:rPr>
        <w:tab/>
        <w:t>7(4)</w:t>
      </w:r>
    </w:p>
    <w:p>
      <w:pPr>
        <w:pStyle w:val="DefinedTerms"/>
        <w:rPr>
          <w:snapToGrid w:val="0"/>
        </w:rPr>
      </w:pPr>
      <w:r>
        <w:rPr>
          <w:snapToGrid w:val="0"/>
        </w:rPr>
        <w:t>street</w:t>
      </w:r>
      <w:r>
        <w:rPr>
          <w:snapToGrid w:val="0"/>
        </w:rPr>
        <w:tab/>
        <w:t>8(5)</w:t>
      </w:r>
    </w:p>
    <w:p>
      <w:pPr>
        <w:pStyle w:val="DefinedTerms"/>
        <w:rPr>
          <w:snapToGrid w:val="0"/>
        </w:rPr>
      </w:pPr>
      <w:r>
        <w:rPr>
          <w:snapToGrid w:val="0"/>
        </w:rPr>
        <w:t>Supplementary Agreement</w:t>
      </w:r>
      <w:r>
        <w:rPr>
          <w:snapToGrid w:val="0"/>
        </w:rPr>
        <w:tab/>
        <w:t>3</w:t>
      </w:r>
    </w:p>
    <w:p>
      <w:pPr>
        <w:pStyle w:val="DefinedTerms"/>
        <w:rPr>
          <w:snapToGrid w:val="0"/>
        </w:rPr>
      </w:pPr>
      <w:r>
        <w:rPr>
          <w:snapToGrid w:val="0"/>
        </w:rPr>
        <w:t>Surveyor General</w:t>
      </w:r>
      <w:r>
        <w:rPr>
          <w:snapToGrid w:val="0"/>
        </w:rPr>
        <w:tab/>
        <w:t>8(5)</w:t>
      </w:r>
    </w:p>
    <w:p>
      <w:pPr>
        <w:pStyle w:val="DefinedTerms"/>
        <w:rPr>
          <w:snapToGrid w:val="0"/>
        </w:rPr>
      </w:pPr>
      <w:r>
        <w:rPr>
          <w:snapToGrid w:val="0"/>
        </w:rPr>
        <w:t>Twelfth Supplementary Agreement</w:t>
      </w:r>
      <w:r>
        <w:rPr>
          <w:snapToGrid w:val="0"/>
        </w:rPr>
        <w:tab/>
        <w:t>3</w:t>
      </w:r>
    </w:p>
    <w:p>
      <w:pPr>
        <w:rPr>
          <w:snapToGrid w:val="0"/>
        </w:rPr>
      </w:pPr>
    </w:p>
    <w:p>
      <w:pPr>
        <w:rPr>
          <w:snapToGrid w:val="0"/>
        </w:rPr>
        <w:sectPr>
          <w:headerReference w:type="even" r:id="rId33"/>
          <w:headerReference w:type="default" r:id="rId34"/>
          <w:pgSz w:w="11907" w:h="16840" w:code="9"/>
          <w:pgMar w:top="2381" w:right="2409" w:bottom="3543" w:left="2409" w:header="720" w:footer="3380" w:gutter="0"/>
          <w:cols w:space="720"/>
          <w:noEndnote/>
          <w:docGrid w:linePitch="326"/>
        </w:sectPr>
      </w:pPr>
    </w:p>
    <w:p>
      <w:pPr>
        <w:rPr>
          <w:snapToGrid w:val="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Twelfth Supplementary Agreement</w: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12301"/>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42652</Words>
  <Characters>211981</Characters>
  <Application>Microsoft Office Word</Application>
  <DocSecurity>0</DocSecurity>
  <Lines>5888</Lines>
  <Paragraphs>3105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1985 - 03-c0-00</dc:title>
  <dc:subject/>
  <dc:creator/>
  <cp:keywords/>
  <dc:description/>
  <cp:lastModifiedBy>svcMRProcess</cp:lastModifiedBy>
  <cp:revision>4</cp:revision>
  <cp:lastPrinted>2016-08-18T06:37:00Z</cp:lastPrinted>
  <dcterms:created xsi:type="dcterms:W3CDTF">2020-02-14T02:12:00Z</dcterms:created>
  <dcterms:modified xsi:type="dcterms:W3CDTF">2020-02-14T02:12:00Z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AsAtDate">
    <vt:lpwstr>19 Sep 2019</vt:lpwstr>
  </property>
  <property fmtid="{D5CDD505-2E9C-101B-9397-08002B2CF9AE}" pid="8" name="Suffix">
    <vt:lpwstr>03-c0-00</vt:lpwstr>
  </property>
  <property fmtid="{D5CDD505-2E9C-101B-9397-08002B2CF9AE}" pid="9" name="CommencementDate">
    <vt:lpwstr>20190919</vt:lpwstr>
  </property>
</Properties>
</file>