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Gaming and Wagering Commission Act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_Toc32497018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_Toc32497019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_Toc32497020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The Commission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Administration</w:t>
      </w:r>
    </w:p>
    <w:p>
      <w:pPr>
        <w:pStyle w:val="TOC8"/>
        <w:rPr>
          <w:rFonts w:asciiTheme="minorHAnsi" w:eastAsiaTheme="minorEastAsia" w:hAnsiTheme="minorHAnsi" w:cstheme="minorBidi"/>
          <w:szCs w:val="22"/>
        </w:rPr>
      </w:pPr>
      <w:r>
        <w:t>4</w:t>
      </w:r>
      <w:r>
        <w:rPr>
          <w:snapToGrid w:val="0"/>
        </w:rPr>
        <w:t>.</w:t>
      </w:r>
      <w:r>
        <w:rPr>
          <w:snapToGrid w:val="0"/>
        </w:rPr>
        <w:tab/>
        <w:t>Gaming and Wagering Commission established</w:t>
      </w:r>
      <w:r>
        <w:tab/>
      </w:r>
      <w:r>
        <w:fldChar w:fldCharType="begin"/>
      </w:r>
      <w:r>
        <w:instrText xml:space="preserve"> PAGEREF _Toc32497023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Trading name or symbol, use of by Commission</w:t>
      </w:r>
      <w:r>
        <w:tab/>
      </w:r>
      <w:r>
        <w:fldChar w:fldCharType="begin"/>
      </w:r>
      <w:r>
        <w:instrText xml:space="preserve"> PAGEREF _Toc32497024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Minister and Commission, relationship between</w:t>
      </w:r>
      <w:r>
        <w:tab/>
      </w:r>
      <w:r>
        <w:fldChar w:fldCharType="begin"/>
      </w:r>
      <w:r>
        <w:instrText xml:space="preserve"> PAGEREF _Toc32497025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and powers</w:t>
      </w:r>
    </w:p>
    <w:p>
      <w:pPr>
        <w:pStyle w:val="TOC8"/>
        <w:rPr>
          <w:rFonts w:asciiTheme="minorHAnsi" w:eastAsiaTheme="minorEastAsia" w:hAnsiTheme="minorHAnsi" w:cstheme="minorBidi"/>
          <w:szCs w:val="22"/>
        </w:rPr>
      </w:pPr>
      <w:r>
        <w:t>7</w:t>
      </w:r>
      <w:r>
        <w:rPr>
          <w:snapToGrid w:val="0"/>
        </w:rPr>
        <w:t>.</w:t>
      </w:r>
      <w:r>
        <w:rPr>
          <w:snapToGrid w:val="0"/>
        </w:rPr>
        <w:tab/>
        <w:t>Duties of Commission</w:t>
      </w:r>
      <w:r>
        <w:tab/>
      </w:r>
      <w:r>
        <w:fldChar w:fldCharType="begin"/>
      </w:r>
      <w:r>
        <w:instrText xml:space="preserve"> PAGEREF _Toc32497027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Powers of Commission</w:t>
      </w:r>
      <w:r>
        <w:tab/>
      </w:r>
      <w:r>
        <w:fldChar w:fldCharType="begin"/>
      </w:r>
      <w:r>
        <w:instrText xml:space="preserve"> PAGEREF _Toc32497028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Finance</w:t>
      </w:r>
    </w:p>
    <w:p>
      <w:pPr>
        <w:pStyle w:val="TOC8"/>
        <w:rPr>
          <w:rFonts w:asciiTheme="minorHAnsi" w:eastAsiaTheme="minorEastAsia" w:hAnsiTheme="minorHAnsi" w:cstheme="minorBidi"/>
          <w:szCs w:val="22"/>
        </w:rPr>
      </w:pPr>
      <w:r>
        <w:t>9</w:t>
      </w:r>
      <w:r>
        <w:rPr>
          <w:snapToGrid w:val="0"/>
        </w:rPr>
        <w:t>.</w:t>
      </w:r>
      <w:r>
        <w:rPr>
          <w:snapToGrid w:val="0"/>
        </w:rPr>
        <w:tab/>
        <w:t>Funds of Commission; financial provisions</w:t>
      </w:r>
      <w:r>
        <w:tab/>
      </w:r>
      <w:r>
        <w:fldChar w:fldCharType="begin"/>
      </w:r>
      <w:r>
        <w:instrText xml:space="preserve"> PAGEREF _Toc32497030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r>
        <w:tab/>
      </w:r>
      <w:r>
        <w:fldChar w:fldCharType="begin"/>
      </w:r>
      <w:r>
        <w:instrText xml:space="preserve"> PAGEREF _Toc32497031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Some dealings by Commission need Treasurer’s approval</w:t>
      </w:r>
      <w:r>
        <w:tab/>
      </w:r>
      <w:r>
        <w:fldChar w:fldCharType="begin"/>
      </w:r>
      <w:r>
        <w:instrText xml:space="preserve"> PAGEREF _Toc32497032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co</w:t>
      </w:r>
      <w:r>
        <w:noBreakHyphen/>
        <w:t>option, consultation and committees</w:t>
      </w:r>
    </w:p>
    <w:p>
      <w:pPr>
        <w:pStyle w:val="TOC8"/>
        <w:rPr>
          <w:rFonts w:asciiTheme="minorHAnsi" w:eastAsiaTheme="minorEastAsia" w:hAnsiTheme="minorHAnsi" w:cstheme="minorBidi"/>
          <w:szCs w:val="22"/>
        </w:rPr>
      </w:pPr>
      <w:r>
        <w:t>12</w:t>
      </w:r>
      <w:r>
        <w:rPr>
          <w:snapToGrid w:val="0"/>
        </w:rPr>
        <w:t>.</w:t>
      </w:r>
      <w:r>
        <w:rPr>
          <w:snapToGrid w:val="0"/>
        </w:rPr>
        <w:tab/>
        <w:t>Members of Commission, attendance at meetings etc.</w:t>
      </w:r>
      <w:r>
        <w:tab/>
      </w:r>
      <w:r>
        <w:fldChar w:fldCharType="begin"/>
      </w:r>
      <w:r>
        <w:instrText xml:space="preserve"> PAGEREF _Toc32497034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Remuneration of members; effect of service with Commission on public servants</w:t>
      </w:r>
      <w:r>
        <w:tab/>
      </w:r>
      <w:r>
        <w:fldChar w:fldCharType="begin"/>
      </w:r>
      <w:r>
        <w:instrText xml:space="preserve"> PAGEREF _Toc32497035 \h </w:instrText>
      </w:r>
      <w:r>
        <w:fldChar w:fldCharType="separate"/>
      </w:r>
      <w:r>
        <w:t>21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w:t>
      </w:r>
      <w:r>
        <w:rPr>
          <w:snapToGrid w:val="0"/>
        </w:rPr>
        <w:noBreakHyphen/>
        <w:t>option, consultation etc., Commission’s powers as to</w:t>
      </w:r>
      <w:r>
        <w:tab/>
      </w:r>
      <w:r>
        <w:fldChar w:fldCharType="begin"/>
      </w:r>
      <w:r>
        <w:instrText xml:space="preserve"> PAGEREF _Toc32497036 \h </w:instrText>
      </w:r>
      <w:r>
        <w:fldChar w:fldCharType="separate"/>
      </w:r>
      <w:r>
        <w:t>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Committees, appointment of etc.</w:t>
      </w:r>
      <w:r>
        <w:tab/>
      </w:r>
      <w:r>
        <w:fldChar w:fldCharType="begin"/>
      </w:r>
      <w:r>
        <w:instrText xml:space="preserve"> PAGEREF _Toc32497037 \h </w:instrText>
      </w:r>
      <w:r>
        <w:fldChar w:fldCharType="separate"/>
      </w:r>
      <w:r>
        <w:t>22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Delegation powers</w:t>
      </w:r>
      <w:r>
        <w:tab/>
      </w:r>
      <w:r>
        <w:fldChar w:fldCharType="begin"/>
      </w:r>
      <w:r>
        <w:instrText xml:space="preserve"> PAGEREF _Toc32497038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w:t>
      </w:r>
    </w:p>
    <w:p>
      <w:pPr>
        <w:pStyle w:val="TOC8"/>
        <w:rPr>
          <w:rFonts w:asciiTheme="minorHAnsi" w:eastAsiaTheme="minorEastAsia" w:hAnsiTheme="minorHAnsi" w:cstheme="minorBidi"/>
          <w:szCs w:val="22"/>
        </w:rPr>
      </w:pPr>
      <w:r>
        <w:t>17</w:t>
      </w:r>
      <w:r>
        <w:rPr>
          <w:snapToGrid w:val="0"/>
        </w:rPr>
        <w:t>.</w:t>
      </w:r>
      <w:r>
        <w:rPr>
          <w:snapToGrid w:val="0"/>
        </w:rPr>
        <w:tab/>
        <w:t>Proceedings, meetings, declaring interests etc.</w:t>
      </w:r>
      <w:r>
        <w:tab/>
      </w:r>
      <w:r>
        <w:fldChar w:fldCharType="begin"/>
      </w:r>
      <w:r>
        <w:instrText xml:space="preserve"> PAGEREF _Toc32497040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Staff, etc.</w:t>
      </w:r>
    </w:p>
    <w:p>
      <w:pPr>
        <w:pStyle w:val="TOC8"/>
        <w:rPr>
          <w:rFonts w:asciiTheme="minorHAnsi" w:eastAsiaTheme="minorEastAsia" w:hAnsiTheme="minorHAnsi" w:cstheme="minorBidi"/>
          <w:szCs w:val="22"/>
        </w:rPr>
      </w:pPr>
      <w:r>
        <w:t>18</w:t>
      </w:r>
      <w:r>
        <w:rPr>
          <w:snapToGrid w:val="0"/>
        </w:rPr>
        <w:t>.</w:t>
      </w:r>
      <w:r>
        <w:rPr>
          <w:snapToGrid w:val="0"/>
        </w:rPr>
        <w:tab/>
        <w:t>Staff, contractors etc.; Commission may ask Commissioner of Police to inquire etc. into various matters</w:t>
      </w:r>
      <w:r>
        <w:tab/>
      </w:r>
      <w:r>
        <w:fldChar w:fldCharType="begin"/>
      </w:r>
      <w:r>
        <w:instrText xml:space="preserve"> PAGEREF _Toc32497042 \h </w:instrText>
      </w:r>
      <w:r>
        <w:fldChar w:fldCharType="separate"/>
      </w:r>
      <w:r>
        <w:t>25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Government departments, statutory bodies etc. to assist Commission</w:t>
      </w:r>
      <w:r>
        <w:tab/>
      </w:r>
      <w:r>
        <w:fldChar w:fldCharType="begin"/>
      </w:r>
      <w:r>
        <w:instrText xml:space="preserve"> PAGEREF _Toc32497043 \h </w:instrText>
      </w:r>
      <w:r>
        <w:fldChar w:fldCharType="separate"/>
      </w:r>
      <w:r>
        <w:t>28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Reports, effect of and privilege attached to; official information, disclosure of etc.</w:t>
      </w:r>
      <w:r>
        <w:tab/>
      </w:r>
      <w:r>
        <w:fldChar w:fldCharType="begin"/>
      </w:r>
      <w:r>
        <w:instrText xml:space="preserve"> PAGEREF _Toc32497044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7 — Confidential police information</w:t>
      </w:r>
    </w:p>
    <w:p>
      <w:pPr>
        <w:pStyle w:val="TOC8"/>
        <w:rPr>
          <w:rFonts w:asciiTheme="minorHAnsi" w:eastAsiaTheme="minorEastAsia" w:hAnsiTheme="minorHAnsi" w:cstheme="minorBidi"/>
          <w:szCs w:val="22"/>
        </w:rPr>
      </w:pPr>
      <w:r>
        <w:t>20A.</w:t>
      </w:r>
      <w:r>
        <w:tab/>
        <w:t>Certain information provided by police to be kept confidential</w:t>
      </w:r>
      <w:r>
        <w:tab/>
      </w:r>
      <w:r>
        <w:fldChar w:fldCharType="begin"/>
      </w:r>
      <w:r>
        <w:instrText xml:space="preserve"> PAGEREF _Toc32497046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III — Enforcement</w:t>
      </w:r>
    </w:p>
    <w:p>
      <w:pPr>
        <w:pStyle w:val="TOC8"/>
        <w:rPr>
          <w:rFonts w:asciiTheme="minorHAnsi" w:eastAsiaTheme="minorEastAsia" w:hAnsiTheme="minorHAnsi" w:cstheme="minorBidi"/>
          <w:szCs w:val="22"/>
        </w:rPr>
      </w:pPr>
      <w:r>
        <w:t>21</w:t>
      </w:r>
      <w:r>
        <w:rPr>
          <w:snapToGrid w:val="0"/>
        </w:rPr>
        <w:t>.</w:t>
      </w:r>
      <w:r>
        <w:rPr>
          <w:snapToGrid w:val="0"/>
        </w:rPr>
        <w:tab/>
        <w:t>Authorised officers, appointment and duties of and reports by</w:t>
      </w:r>
      <w:r>
        <w:tab/>
      </w:r>
      <w:r>
        <w:fldChar w:fldCharType="begin"/>
      </w:r>
      <w:r>
        <w:instrText xml:space="preserve"> PAGEREF _Toc32497048 \h </w:instrText>
      </w:r>
      <w:r>
        <w:fldChar w:fldCharType="separate"/>
      </w:r>
      <w:r>
        <w:t>32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Permitted gaming and social gambling, powers to scrutinize etc.</w:t>
      </w:r>
      <w:r>
        <w:tab/>
      </w:r>
      <w:r>
        <w:fldChar w:fldCharType="begin"/>
      </w:r>
      <w:r>
        <w:instrText xml:space="preserve"> PAGEREF _Toc32497049 \h </w:instrText>
      </w:r>
      <w:r>
        <w:fldChar w:fldCharType="separate"/>
      </w:r>
      <w:r>
        <w:t>33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Other police powers not limited by this Act</w:t>
      </w:r>
      <w:r>
        <w:tab/>
      </w:r>
      <w:r>
        <w:fldChar w:fldCharType="begin"/>
      </w:r>
      <w:r>
        <w:instrText xml:space="preserve"> PAGEREF _Toc32497050 \h </w:instrText>
      </w:r>
      <w:r>
        <w:fldChar w:fldCharType="separate"/>
      </w:r>
      <w:r>
        <w:t>34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Commissioner of Police, directions by to police officers</w:t>
      </w:r>
      <w:r>
        <w:tab/>
      </w:r>
      <w:r>
        <w:fldChar w:fldCharType="begin"/>
      </w:r>
      <w:r>
        <w:instrText xml:space="preserve"> PAGEREF _Toc32497051 \h </w:instrText>
      </w:r>
      <w:r>
        <w:fldChar w:fldCharType="separate"/>
      </w:r>
      <w:r>
        <w:t>35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Entry to premises, arrest etc., warrant authorising</w:t>
      </w:r>
      <w:r>
        <w:tab/>
      </w:r>
      <w:r>
        <w:fldChar w:fldCharType="begin"/>
      </w:r>
      <w:r>
        <w:instrText xml:space="preserve"> PAGEREF _Toc32497052 \h </w:instrText>
      </w:r>
      <w:r>
        <w:fldChar w:fldCharType="separate"/>
      </w:r>
      <w:r>
        <w:t>35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Evidence, information etc., powers to seize, obtain etc.</w:t>
      </w:r>
      <w:r>
        <w:tab/>
      </w:r>
      <w:r>
        <w:fldChar w:fldCharType="begin"/>
      </w:r>
      <w:r>
        <w:instrText xml:space="preserve"> PAGEREF _Toc32497053 \h </w:instrText>
      </w:r>
      <w:r>
        <w:fldChar w:fldCharType="separate"/>
      </w:r>
      <w:r>
        <w:t>37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Information, production of books, accounts etc., powers to require</w:t>
      </w:r>
      <w:r>
        <w:tab/>
      </w:r>
      <w:r>
        <w:fldChar w:fldCharType="begin"/>
      </w:r>
      <w:r>
        <w:instrText xml:space="preserve"> PAGEREF _Toc32497054 \h </w:instrText>
      </w:r>
      <w:r>
        <w:fldChar w:fldCharType="separate"/>
      </w:r>
      <w:r>
        <w:t>38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Recovering moneys payable to Commission</w:t>
      </w:r>
      <w:r>
        <w:tab/>
      </w:r>
      <w:r>
        <w:fldChar w:fldCharType="begin"/>
      </w:r>
      <w:r>
        <w:instrText xml:space="preserve"> PAGEREF _Toc32497055 \h </w:instrText>
      </w:r>
      <w:r>
        <w:fldChar w:fldCharType="separate"/>
      </w:r>
      <w:r>
        <w:t>39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Hindering etc. Commission etc. and false etc. answers, offences as to</w:t>
      </w:r>
      <w:r>
        <w:tab/>
      </w:r>
      <w:r>
        <w:fldChar w:fldCharType="begin"/>
      </w:r>
      <w:r>
        <w:instrText xml:space="preserve"> PAGEREF _Toc32497056 \h </w:instrText>
      </w:r>
      <w:r>
        <w:fldChar w:fldCharType="separate"/>
      </w:r>
      <w:r>
        <w:t>40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Incriminating information to be provided but is not admissible</w:t>
      </w:r>
      <w:r>
        <w:tab/>
      </w:r>
      <w:r>
        <w:fldChar w:fldCharType="begin"/>
      </w:r>
      <w:r>
        <w:instrText xml:space="preserve"> PAGEREF _Toc32497057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Seizure without warrant</w:t>
      </w:r>
      <w:r>
        <w:tab/>
      </w:r>
      <w:r>
        <w:fldChar w:fldCharType="begin"/>
      </w:r>
      <w:r>
        <w:instrText xml:space="preserve"> PAGEREF _Toc32497058 \h </w:instrText>
      </w:r>
      <w:r>
        <w:fldChar w:fldCharType="separate"/>
      </w:r>
      <w:r>
        <w:t>42</w:t>
      </w:r>
      <w:r>
        <w:fldChar w:fldCharType="end"/>
      </w:r>
    </w:p>
    <w:p>
      <w:pPr>
        <w:pStyle w:val="TOC8"/>
        <w:rPr>
          <w:rFonts w:asciiTheme="minorHAnsi" w:eastAsiaTheme="minorEastAsia" w:hAnsiTheme="minorHAnsi" w:cstheme="minorBidi"/>
          <w:szCs w:val="22"/>
        </w:rPr>
      </w:pPr>
      <w:r>
        <w:t>31A.</w:t>
      </w:r>
      <w:r>
        <w:tab/>
        <w:t>Powers to assist seizing things</w:t>
      </w:r>
      <w:r>
        <w:tab/>
      </w:r>
      <w:r>
        <w:fldChar w:fldCharType="begin"/>
      </w:r>
      <w:r>
        <w:instrText xml:space="preserve"> PAGEREF _Toc32497059 \h </w:instrText>
      </w:r>
      <w:r>
        <w:fldChar w:fldCharType="separate"/>
      </w:r>
      <w:r>
        <w:t>43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Certain seized things to be forfeited to Crown</w:t>
      </w:r>
      <w:r>
        <w:tab/>
      </w:r>
      <w:r>
        <w:fldChar w:fldCharType="begin"/>
      </w:r>
      <w:r>
        <w:instrText xml:space="preserve"> PAGEREF _Toc32497060 \h </w:instrText>
      </w:r>
      <w:r>
        <w:fldChar w:fldCharType="separate"/>
      </w:r>
      <w:r>
        <w:t>43</w:t>
      </w:r>
      <w:r>
        <w:fldChar w:fldCharType="end"/>
      </w:r>
    </w:p>
    <w:p>
      <w:pPr>
        <w:pStyle w:val="TOC8"/>
        <w:rPr>
          <w:rFonts w:asciiTheme="minorHAnsi" w:eastAsiaTheme="minorEastAsia" w:hAnsiTheme="minorHAnsi" w:cstheme="minorBidi"/>
          <w:szCs w:val="22"/>
        </w:rPr>
      </w:pPr>
      <w:r>
        <w:t>32A.</w:t>
      </w:r>
      <w:r>
        <w:tab/>
        <w:t>Disposing of seized or forfeited things</w:t>
      </w:r>
      <w:r>
        <w:tab/>
      </w:r>
      <w:r>
        <w:fldChar w:fldCharType="begin"/>
      </w:r>
      <w:r>
        <w:instrText xml:space="preserve"> PAGEREF _Toc32497061 \h </w:instrText>
      </w:r>
      <w:r>
        <w:fldChar w:fldCharType="separate"/>
      </w:r>
      <w:r>
        <w:t>43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Prosecuting offences</w:t>
      </w:r>
      <w:r>
        <w:tab/>
      </w:r>
      <w:r>
        <w:fldChar w:fldCharType="begin"/>
      </w:r>
      <w:r>
        <w:instrText xml:space="preserve"> PAGEREF _Toc32497062 \h </w:instrText>
      </w:r>
      <w:r>
        <w:fldChar w:fldCharType="separate"/>
      </w:r>
      <w:r>
        <w:t>44</w:t>
      </w:r>
      <w:r>
        <w:fldChar w:fldCharType="end"/>
      </w:r>
    </w:p>
    <w:p>
      <w:pPr>
        <w:pStyle w:val="TOC8"/>
        <w:rPr>
          <w:rFonts w:asciiTheme="minorHAnsi" w:eastAsiaTheme="minorEastAsia" w:hAnsiTheme="minorHAnsi" w:cstheme="minorBidi"/>
          <w:szCs w:val="22"/>
        </w:rPr>
      </w:pPr>
      <w:r>
        <w:t>34</w:t>
      </w:r>
      <w:r>
        <w:rPr>
          <w:bCs/>
        </w:rPr>
        <w:t>.</w:t>
      </w:r>
      <w:r>
        <w:rPr>
          <w:bCs/>
        </w:rPr>
        <w:tab/>
        <w:t>Offences to be dealt with by magistrate</w:t>
      </w:r>
      <w:r>
        <w:tab/>
      </w:r>
      <w:r>
        <w:fldChar w:fldCharType="begin"/>
      </w:r>
      <w:r>
        <w:instrText xml:space="preserve"> PAGEREF _Toc32497063 \h </w:instrText>
      </w:r>
      <w:r>
        <w:fldChar w:fldCharType="separate"/>
      </w:r>
      <w:r>
        <w:t>44</w:t>
      </w:r>
      <w:r>
        <w:fldChar w:fldCharType="end"/>
      </w:r>
    </w:p>
    <w:p>
      <w:pPr>
        <w:pStyle w:val="TOC8"/>
        <w:rPr>
          <w:rFonts w:asciiTheme="minorHAnsi" w:eastAsiaTheme="minorEastAsia" w:hAnsiTheme="minorHAnsi" w:cstheme="minorBidi"/>
          <w:szCs w:val="22"/>
        </w:rPr>
      </w:pPr>
      <w:r>
        <w:t>35.</w:t>
      </w:r>
      <w:r>
        <w:tab/>
        <w:t>General penalty</w:t>
      </w:r>
      <w:r>
        <w:tab/>
      </w:r>
      <w:r>
        <w:fldChar w:fldCharType="begin"/>
      </w:r>
      <w:r>
        <w:instrText xml:space="preserve"> PAGEREF _Toc32497064 \h </w:instrText>
      </w:r>
      <w:r>
        <w:fldChar w:fldCharType="separate"/>
      </w:r>
      <w:r>
        <w:t>45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Infringement notices</w:t>
      </w:r>
      <w:r>
        <w:tab/>
      </w:r>
      <w:r>
        <w:fldChar w:fldCharType="begin"/>
      </w:r>
      <w:r>
        <w:instrText xml:space="preserve"> PAGEREF _Toc32497065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Criminal liability of directors etc.</w:t>
      </w:r>
      <w:r>
        <w:tab/>
      </w:r>
      <w:r>
        <w:fldChar w:fldCharType="begin"/>
      </w:r>
      <w:r>
        <w:instrText xml:space="preserve"> PAGEREF _Toc32497066 \h </w:instrText>
      </w:r>
      <w:r>
        <w:fldChar w:fldCharType="separate"/>
      </w:r>
      <w:r>
        <w:t>47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Service of notices</w:t>
      </w:r>
      <w:r>
        <w:tab/>
      </w:r>
      <w:r>
        <w:fldChar w:fldCharType="begin"/>
      </w:r>
      <w:r>
        <w:instrText xml:space="preserve"> PAGEREF _Toc32497067 \h </w:instrText>
      </w:r>
      <w:r>
        <w:fldChar w:fldCharType="separate"/>
      </w:r>
      <w:r>
        <w:t>47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Evidentiary provisions for charges of offences</w:t>
      </w:r>
      <w:r>
        <w:tab/>
      </w:r>
      <w:r>
        <w:fldChar w:fldCharType="begin"/>
      </w:r>
      <w:r>
        <w:instrText xml:space="preserve"> PAGEREF _Toc32497068 \h </w:instrText>
      </w:r>
      <w:r>
        <w:fldChar w:fldCharType="separate"/>
      </w:r>
      <w:r>
        <w:t>48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Evidentiary provisions for charges involving common gaming houses</w:t>
      </w:r>
      <w:r>
        <w:tab/>
      </w:r>
      <w:r>
        <w:fldChar w:fldCharType="begin"/>
      </w:r>
      <w:r>
        <w:instrText xml:space="preserve"> PAGEREF _Toc32497069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IV — Common gaming houses, unlawful gaming, cheating etc.</w:t>
      </w:r>
    </w:p>
    <w:p>
      <w:pPr>
        <w:pStyle w:val="TOC8"/>
        <w:rPr>
          <w:rFonts w:asciiTheme="minorHAnsi" w:eastAsiaTheme="minorEastAsia" w:hAnsiTheme="minorHAnsi" w:cstheme="minorBidi"/>
          <w:szCs w:val="22"/>
        </w:rPr>
      </w:pPr>
      <w:r>
        <w:t>40A.</w:t>
      </w:r>
      <w:r>
        <w:tab/>
        <w:t>Part does not apply to gambling under other written laws</w:t>
      </w:r>
      <w:r>
        <w:tab/>
      </w:r>
      <w:r>
        <w:fldChar w:fldCharType="begin"/>
      </w:r>
      <w:r>
        <w:instrText xml:space="preserve"> PAGEREF _Toc32497071 \h </w:instrText>
      </w:r>
      <w:r>
        <w:fldChar w:fldCharType="separate"/>
      </w:r>
      <w:r>
        <w:t>56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Common gaming house, meaning of and offences as to</w:t>
      </w:r>
      <w:r>
        <w:tab/>
      </w:r>
      <w:r>
        <w:fldChar w:fldCharType="begin"/>
      </w:r>
      <w:r>
        <w:instrText xml:space="preserve"> PAGEREF _Toc32497072 \h </w:instrText>
      </w:r>
      <w:r>
        <w:fldChar w:fldCharType="separate"/>
      </w:r>
      <w:r>
        <w:t>56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Prohibited gaming and unlawful games defined and offences as to</w:t>
      </w:r>
      <w:r>
        <w:tab/>
      </w:r>
      <w:r>
        <w:fldChar w:fldCharType="begin"/>
      </w:r>
      <w:r>
        <w:instrText xml:space="preserve"> PAGEREF _Toc32497073 \h </w:instrText>
      </w:r>
      <w:r>
        <w:fldChar w:fldCharType="separate"/>
      </w:r>
      <w:r>
        <w:t>58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Defence of restricted access not available to charge of s. 41 or 42 offence</w:t>
      </w:r>
      <w:r>
        <w:tab/>
      </w:r>
      <w:r>
        <w:fldChar w:fldCharType="begin"/>
      </w:r>
      <w:r>
        <w:instrText xml:space="preserve"> PAGEREF _Toc32497074 \h </w:instrText>
      </w:r>
      <w:r>
        <w:fldChar w:fldCharType="separate"/>
      </w:r>
      <w:r>
        <w:t>60</w:t>
      </w:r>
      <w:r>
        <w:fldChar w:fldCharType="end"/>
      </w:r>
    </w:p>
    <w:p>
      <w:pPr>
        <w:pStyle w:val="TOC8"/>
        <w:rPr>
          <w:rFonts w:asciiTheme="minorHAnsi" w:eastAsiaTheme="minorEastAsia" w:hAnsiTheme="minorHAnsi" w:cstheme="minorBidi"/>
          <w:szCs w:val="22"/>
        </w:rPr>
      </w:pPr>
      <w:r>
        <w:t>43A.</w:t>
      </w:r>
      <w:r>
        <w:tab/>
        <w:t xml:space="preserve">Advertising </w:t>
      </w:r>
      <w:r>
        <w:rPr>
          <w:snapToGrid w:val="0"/>
        </w:rPr>
        <w:t>unlawful</w:t>
      </w:r>
      <w:r>
        <w:t xml:space="preserve"> gambling</w:t>
      </w:r>
      <w:r>
        <w:tab/>
      </w:r>
      <w:r>
        <w:fldChar w:fldCharType="begin"/>
      </w:r>
      <w:r>
        <w:instrText xml:space="preserve"> PAGEREF _Toc32497075 \h </w:instrText>
      </w:r>
      <w:r>
        <w:fldChar w:fldCharType="separate"/>
      </w:r>
      <w:r>
        <w:t>60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Cheating in games etc. to obtain prize etc., offence</w:t>
      </w:r>
      <w:r>
        <w:tab/>
      </w:r>
      <w:r>
        <w:fldChar w:fldCharType="begin"/>
      </w:r>
      <w:r>
        <w:instrText xml:space="preserve"> PAGEREF _Toc32497076 \h </w:instrText>
      </w:r>
      <w:r>
        <w:fldChar w:fldCharType="separate"/>
      </w:r>
      <w:r>
        <w:t>62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Permitted gaming, offences as to</w:t>
      </w:r>
      <w:r>
        <w:tab/>
      </w:r>
      <w:r>
        <w:fldChar w:fldCharType="begin"/>
      </w:r>
      <w:r>
        <w:instrText xml:space="preserve"> PAGEREF _Toc32497077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V — Permitted gambling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46</w:t>
      </w:r>
      <w:r>
        <w:rPr>
          <w:snapToGrid w:val="0"/>
        </w:rPr>
        <w:t>.</w:t>
      </w:r>
      <w:r>
        <w:rPr>
          <w:snapToGrid w:val="0"/>
        </w:rPr>
        <w:tab/>
        <w:t>Permitted gaming defined</w:t>
      </w:r>
      <w:r>
        <w:tab/>
      </w:r>
      <w:r>
        <w:fldChar w:fldCharType="begin"/>
      </w:r>
      <w:r>
        <w:instrText xml:space="preserve"> PAGEREF _Toc32497080 \h </w:instrText>
      </w:r>
      <w:r>
        <w:fldChar w:fldCharType="separate"/>
      </w:r>
      <w:r>
        <w:t>65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Gaming permits, types, issue and effect of</w:t>
      </w:r>
      <w:r>
        <w:tab/>
      </w:r>
      <w:r>
        <w:fldChar w:fldCharType="begin"/>
      </w:r>
      <w:r>
        <w:instrText xml:space="preserve"> PAGEREF _Toc32497081 \h </w:instrText>
      </w:r>
      <w:r>
        <w:fldChar w:fldCharType="separate"/>
      </w:r>
      <w:r>
        <w:t>66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Issue of permit on direction by Minister</w:t>
      </w:r>
      <w:r>
        <w:tab/>
      </w:r>
      <w:r>
        <w:fldChar w:fldCharType="begin"/>
      </w:r>
      <w:r>
        <w:instrText xml:space="preserve"> PAGEREF _Toc32497082 \h </w:instrText>
      </w:r>
      <w:r>
        <w:fldChar w:fldCharType="separate"/>
      </w:r>
      <w:r>
        <w:t>67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Applications for issue or renewal of permit, matters that may be considered when deciding</w:t>
      </w:r>
      <w:r>
        <w:tab/>
      </w:r>
      <w:r>
        <w:fldChar w:fldCharType="begin"/>
      </w:r>
      <w:r>
        <w:instrText xml:space="preserve"> PAGEREF _Toc32497083 \h </w:instrText>
      </w:r>
      <w:r>
        <w:fldChar w:fldCharType="separate"/>
      </w:r>
      <w:r>
        <w:t>68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Register of approvals, permit holders etc., Commission to keep and allow inspection of etc.</w:t>
      </w:r>
      <w:r>
        <w:tab/>
      </w:r>
      <w:r>
        <w:fldChar w:fldCharType="begin"/>
      </w:r>
      <w:r>
        <w:instrText xml:space="preserve"> PAGEREF _Toc32497084 \h </w:instrText>
      </w:r>
      <w:r>
        <w:fldChar w:fldCharType="separate"/>
      </w:r>
      <w:r>
        <w:t>70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Persons eligible to hold gaming permits, approval of</w:t>
      </w:r>
      <w:r>
        <w:tab/>
      </w:r>
      <w:r>
        <w:fldChar w:fldCharType="begin"/>
      </w:r>
      <w:r>
        <w:instrText xml:space="preserve"> PAGEREF _Toc32497085 \h </w:instrText>
      </w:r>
      <w:r>
        <w:fldChar w:fldCharType="separate"/>
      </w:r>
      <w:r>
        <w:t>71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Applications for gaming permits</w:t>
      </w:r>
      <w:r>
        <w:tab/>
      </w:r>
      <w:r>
        <w:fldChar w:fldCharType="begin"/>
      </w:r>
      <w:r>
        <w:instrText xml:space="preserve"> PAGEREF _Toc32497086 \h </w:instrText>
      </w:r>
      <w:r>
        <w:fldChar w:fldCharType="separate"/>
      </w:r>
      <w:r>
        <w:t>73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Fees and charges for gaming permits</w:t>
      </w:r>
      <w:r>
        <w:tab/>
      </w:r>
      <w:r>
        <w:fldChar w:fldCharType="begin"/>
      </w:r>
      <w:r>
        <w:instrText xml:space="preserve"> PAGEREF _Toc32497087 \h </w:instrText>
      </w:r>
      <w:r>
        <w:fldChar w:fldCharType="separate"/>
      </w:r>
      <w:r>
        <w:t>74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Charging people to take part in permitted gaming</w:t>
      </w:r>
      <w:r>
        <w:tab/>
      </w:r>
      <w:r>
        <w:fldChar w:fldCharType="begin"/>
      </w:r>
      <w:r>
        <w:instrText xml:space="preserve"> PAGEREF _Toc32497088 \h </w:instrText>
      </w:r>
      <w:r>
        <w:fldChar w:fldCharType="separate"/>
      </w:r>
      <w:r>
        <w:t>75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Approving premises for gaming</w:t>
      </w:r>
      <w:r>
        <w:tab/>
      </w:r>
      <w:r>
        <w:fldChar w:fldCharType="begin"/>
      </w:r>
      <w:r>
        <w:instrText xml:space="preserve"> PAGEREF _Toc32497089 \h </w:instrText>
      </w:r>
      <w:r>
        <w:fldChar w:fldCharType="separate"/>
      </w:r>
      <w:r>
        <w:t>77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Renewing approvals, permits and certificates</w:t>
      </w:r>
      <w:r>
        <w:tab/>
      </w:r>
      <w:r>
        <w:fldChar w:fldCharType="begin"/>
      </w:r>
      <w:r>
        <w:instrText xml:space="preserve"> PAGEREF _Toc32497090 \h </w:instrText>
      </w:r>
      <w:r>
        <w:fldChar w:fldCharType="separate"/>
      </w:r>
      <w:r>
        <w:t>80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Reports by permit holders, when required, content of etc.</w:t>
      </w:r>
      <w:r>
        <w:tab/>
      </w:r>
      <w:r>
        <w:fldChar w:fldCharType="begin"/>
      </w:r>
      <w:r>
        <w:instrText xml:space="preserve"> PAGEREF _Toc32497091 \h </w:instrText>
      </w:r>
      <w:r>
        <w:fldChar w:fldCharType="separate"/>
      </w:r>
      <w:r>
        <w:t>81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Gaming permit may regulate use of proceeds from permitted gaming etc.</w:t>
      </w:r>
      <w:r>
        <w:tab/>
      </w:r>
      <w:r>
        <w:fldChar w:fldCharType="begin"/>
      </w:r>
      <w:r>
        <w:instrText xml:space="preserve"> PAGEREF _Toc32497092 \h </w:instrText>
      </w:r>
      <w:r>
        <w:fldChar w:fldCharType="separate"/>
      </w:r>
      <w:r>
        <w:t>82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Approvals etc. may require security to be given</w:t>
      </w:r>
      <w:r>
        <w:tab/>
      </w:r>
      <w:r>
        <w:fldChar w:fldCharType="begin"/>
      </w:r>
      <w:r>
        <w:instrText xml:space="preserve"> PAGEREF _Toc32497093 \h </w:instrText>
      </w:r>
      <w:r>
        <w:fldChar w:fldCharType="separate"/>
      </w:r>
      <w:r>
        <w:t>84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Revoking and amending permits and certain approvals</w:t>
      </w:r>
      <w:r>
        <w:tab/>
      </w:r>
      <w:r>
        <w:fldChar w:fldCharType="begin"/>
      </w:r>
      <w:r>
        <w:instrText xml:space="preserve"> PAGEREF _Toc32497094 \h </w:instrText>
      </w:r>
      <w:r>
        <w:fldChar w:fldCharType="separate"/>
      </w:r>
      <w:r>
        <w:t>86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Revocation or amendment of current approval etc., Commission to report to Minister; appeals to Minister</w:t>
      </w:r>
      <w:r>
        <w:tab/>
      </w:r>
      <w:r>
        <w:fldChar w:fldCharType="begin"/>
      </w:r>
      <w:r>
        <w:instrText xml:space="preserve"> PAGEREF _Toc32497095 \h </w:instrText>
      </w:r>
      <w:r>
        <w:fldChar w:fldCharType="separate"/>
      </w:r>
      <w:r>
        <w:t>87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credit to be given to person for permitted gaming; cheques for permitted gaming</w:t>
      </w:r>
      <w:r>
        <w:tab/>
      </w:r>
      <w:r>
        <w:fldChar w:fldCharType="begin"/>
      </w:r>
      <w:r>
        <w:instrText xml:space="preserve"> PAGEREF _Toc32497096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Social gambling</w:t>
      </w:r>
    </w:p>
    <w:p>
      <w:pPr>
        <w:pStyle w:val="TOC8"/>
        <w:rPr>
          <w:rFonts w:asciiTheme="minorHAnsi" w:eastAsiaTheme="minorEastAsia" w:hAnsiTheme="minorHAnsi" w:cstheme="minorBidi"/>
          <w:szCs w:val="22"/>
        </w:rPr>
      </w:pPr>
      <w:r>
        <w:t>64</w:t>
      </w:r>
      <w:r>
        <w:rPr>
          <w:snapToGrid w:val="0"/>
        </w:rPr>
        <w:t>.</w:t>
      </w:r>
      <w:r>
        <w:rPr>
          <w:snapToGrid w:val="0"/>
        </w:rPr>
        <w:tab/>
        <w:t>Social gambling defined</w:t>
      </w:r>
      <w:r>
        <w:tab/>
      </w:r>
      <w:r>
        <w:fldChar w:fldCharType="begin"/>
      </w:r>
      <w:r>
        <w:instrText xml:space="preserve"> PAGEREF _Toc32497098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Permitted two</w:t>
      </w:r>
      <w:r>
        <w:noBreakHyphen/>
        <w:t>up</w:t>
      </w:r>
    </w:p>
    <w:p>
      <w:pPr>
        <w:pStyle w:val="TOC8"/>
        <w:rPr>
          <w:rFonts w:asciiTheme="minorHAnsi" w:eastAsiaTheme="minorEastAsia" w:hAnsiTheme="minorHAnsi" w:cstheme="minorBidi"/>
          <w:szCs w:val="22"/>
        </w:rPr>
      </w:pPr>
      <w:r>
        <w:t>80</w:t>
      </w:r>
      <w:r>
        <w:rPr>
          <w:snapToGrid w:val="0"/>
        </w:rPr>
        <w:t>.</w:t>
      </w:r>
      <w:r>
        <w:rPr>
          <w:snapToGrid w:val="0"/>
        </w:rPr>
        <w:tab/>
        <w:t>Two</w:t>
      </w:r>
      <w:r>
        <w:rPr>
          <w:snapToGrid w:val="0"/>
        </w:rPr>
        <w:noBreakHyphen/>
        <w:t>up at country race meetings</w:t>
      </w:r>
      <w:r>
        <w:tab/>
      </w:r>
      <w:r>
        <w:fldChar w:fldCharType="begin"/>
      </w:r>
      <w:r>
        <w:instrText xml:space="preserve"> PAGEREF _Toc32497100 \h </w:instrText>
      </w:r>
      <w:r>
        <w:fldChar w:fldCharType="separate"/>
      </w:r>
      <w:r>
        <w:t>92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Two</w:t>
      </w:r>
      <w:r>
        <w:rPr>
          <w:snapToGrid w:val="0"/>
        </w:rPr>
        <w:noBreakHyphen/>
        <w:t>up at other places</w:t>
      </w:r>
      <w:r>
        <w:tab/>
      </w:r>
      <w:r>
        <w:fldChar w:fldCharType="begin"/>
      </w:r>
      <w:r>
        <w:instrText xml:space="preserve"> PAGEREF _Toc32497101 \h </w:instrText>
      </w:r>
      <w:r>
        <w:fldChar w:fldCharType="separate"/>
      </w:r>
      <w:r>
        <w:t>94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Conditions deemed in certain permits</w:t>
      </w:r>
      <w:r>
        <w:tab/>
      </w:r>
      <w:r>
        <w:fldChar w:fldCharType="begin"/>
      </w:r>
      <w:r>
        <w:instrText xml:space="preserve"> PAGEREF _Toc32497102 \h </w:instrText>
      </w:r>
      <w:r>
        <w:fldChar w:fldCharType="separate"/>
      </w:r>
      <w:r>
        <w:t>96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Regulations for this Division</w:t>
      </w:r>
      <w:r>
        <w:tab/>
      </w:r>
      <w:r>
        <w:fldChar w:fldCharType="begin"/>
      </w:r>
      <w:r>
        <w:instrText xml:space="preserve"> PAGEREF _Toc32497103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Gaming machines and other gaming equipment and its operation</w:t>
      </w:r>
    </w:p>
    <w:p>
      <w:pPr>
        <w:pStyle w:val="TOC8"/>
        <w:rPr>
          <w:rFonts w:asciiTheme="minorHAnsi" w:eastAsiaTheme="minorEastAsia" w:hAnsiTheme="minorHAnsi" w:cstheme="minorBidi"/>
          <w:szCs w:val="22"/>
        </w:rPr>
      </w:pPr>
      <w:r>
        <w:t>84</w:t>
      </w:r>
      <w:r>
        <w:rPr>
          <w:snapToGrid w:val="0"/>
        </w:rPr>
        <w:t>.</w:t>
      </w:r>
      <w:r>
        <w:rPr>
          <w:snapToGrid w:val="0"/>
        </w:rPr>
        <w:tab/>
        <w:t>Terms used</w:t>
      </w:r>
      <w:r>
        <w:tab/>
      </w:r>
      <w:r>
        <w:fldChar w:fldCharType="begin"/>
      </w:r>
      <w:r>
        <w:instrText xml:space="preserve"> PAGEREF _Toc32497105 \h </w:instrText>
      </w:r>
      <w:r>
        <w:fldChar w:fldCharType="separate"/>
      </w:r>
      <w:r>
        <w:t>97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Unlawful gaming machines etc., use and possession of prohibited</w:t>
      </w:r>
      <w:r>
        <w:tab/>
      </w:r>
      <w:r>
        <w:fldChar w:fldCharType="begin"/>
      </w:r>
      <w:r>
        <w:instrText xml:space="preserve"> PAGEREF _Toc32497106 \h </w:instrText>
      </w:r>
      <w:r>
        <w:fldChar w:fldCharType="separate"/>
      </w:r>
      <w:r>
        <w:t>98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Use of unlawful cash or tokens in gaming machines</w:t>
      </w:r>
      <w:r>
        <w:tab/>
      </w:r>
      <w:r>
        <w:fldChar w:fldCharType="begin"/>
      </w:r>
      <w:r>
        <w:instrText xml:space="preserve"> PAGEREF _Toc32497107 \h </w:instrText>
      </w:r>
      <w:r>
        <w:fldChar w:fldCharType="separate"/>
      </w:r>
      <w:r>
        <w:t>101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Records about gaming equipment, powers to require keeping of</w:t>
      </w:r>
      <w:r>
        <w:tab/>
      </w:r>
      <w:r>
        <w:fldChar w:fldCharType="begin"/>
      </w:r>
      <w:r>
        <w:instrText xml:space="preserve"> PAGEREF _Toc32497108 \h </w:instrText>
      </w:r>
      <w:r>
        <w:fldChar w:fldCharType="separate"/>
      </w:r>
      <w:r>
        <w:t>102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Prescribed gaming equipment, regulations about, certificates for sellers etc. of</w:t>
      </w:r>
      <w:r>
        <w:tab/>
      </w:r>
      <w:r>
        <w:fldChar w:fldCharType="begin"/>
      </w:r>
      <w:r>
        <w:instrText xml:space="preserve"> PAGEREF _Toc32497109 \h </w:instrText>
      </w:r>
      <w:r>
        <w:fldChar w:fldCharType="separate"/>
      </w:r>
      <w:r>
        <w:t>102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Prescribed gaming equipment, sale etc. of</w:t>
      </w:r>
      <w:r>
        <w:tab/>
      </w:r>
      <w:r>
        <w:fldChar w:fldCharType="begin"/>
      </w:r>
      <w:r>
        <w:instrText xml:space="preserve"> PAGEREF _Toc32497110 \h </w:instrText>
      </w:r>
      <w:r>
        <w:fldChar w:fldCharType="separate"/>
      </w:r>
      <w:r>
        <w:t>105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Application of s. 88 and 89 to concessionaires</w:t>
      </w:r>
      <w:r>
        <w:tab/>
      </w:r>
      <w:r>
        <w:fldChar w:fldCharType="begin"/>
      </w:r>
      <w:r>
        <w:instrText xml:space="preserve"> PAGEREF _Toc32497111 \h </w:instrText>
      </w:r>
      <w:r>
        <w:fldChar w:fldCharType="separate"/>
      </w:r>
      <w:r>
        <w:t>106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Permitted gaming, restrictions on certain people in relation to</w:t>
      </w:r>
      <w:r>
        <w:tab/>
      </w:r>
      <w:r>
        <w:fldChar w:fldCharType="begin"/>
      </w:r>
      <w:r>
        <w:instrText xml:space="preserve"> PAGEREF _Toc32497112 \h </w:instrText>
      </w:r>
      <w:r>
        <w:fldChar w:fldCharType="separate"/>
      </w:r>
      <w:r>
        <w:t>106</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Certificates for s. 91</w:t>
      </w:r>
      <w:r>
        <w:tab/>
      </w:r>
      <w:r>
        <w:fldChar w:fldCharType="begin"/>
      </w:r>
      <w:r>
        <w:instrText xml:space="preserve"> PAGEREF _Toc32497113 \h </w:instrText>
      </w:r>
      <w:r>
        <w:fldChar w:fldCharType="separate"/>
      </w:r>
      <w:r>
        <w:t>108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Offences in relation to s. 91</w:t>
      </w:r>
      <w:r>
        <w:tab/>
      </w:r>
      <w:r>
        <w:fldChar w:fldCharType="begin"/>
      </w:r>
      <w:r>
        <w:instrText xml:space="preserve"> PAGEREF _Toc32497114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5A — Remote gambling devices</w:t>
      </w:r>
    </w:p>
    <w:p>
      <w:pPr>
        <w:pStyle w:val="TOC8"/>
        <w:rPr>
          <w:rFonts w:asciiTheme="minorHAnsi" w:eastAsiaTheme="minorEastAsia" w:hAnsiTheme="minorHAnsi" w:cstheme="minorBidi"/>
          <w:szCs w:val="22"/>
        </w:rPr>
      </w:pPr>
      <w:r>
        <w:t>93A.</w:t>
      </w:r>
      <w:r>
        <w:tab/>
        <w:t>Terms used</w:t>
      </w:r>
      <w:r>
        <w:tab/>
      </w:r>
      <w:r>
        <w:fldChar w:fldCharType="begin"/>
      </w:r>
      <w:r>
        <w:instrText xml:space="preserve"> PAGEREF _Toc32497116 \h </w:instrText>
      </w:r>
      <w:r>
        <w:fldChar w:fldCharType="separate"/>
      </w:r>
      <w:r>
        <w:t>110</w:t>
      </w:r>
      <w:r>
        <w:fldChar w:fldCharType="end"/>
      </w:r>
    </w:p>
    <w:p>
      <w:pPr>
        <w:pStyle w:val="TOC8"/>
        <w:rPr>
          <w:rFonts w:asciiTheme="minorHAnsi" w:eastAsiaTheme="minorEastAsia" w:hAnsiTheme="minorHAnsi" w:cstheme="minorBidi"/>
          <w:szCs w:val="22"/>
        </w:rPr>
      </w:pPr>
      <w:r>
        <w:t>93B.</w:t>
      </w:r>
      <w:r>
        <w:tab/>
        <w:t>Offences relating to remote gambling devices</w:t>
      </w:r>
      <w:r>
        <w:tab/>
      </w:r>
      <w:r>
        <w:fldChar w:fldCharType="begin"/>
      </w:r>
      <w:r>
        <w:instrText xml:space="preserve"> PAGEREF _Toc32497117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Permitted bingo</w:t>
      </w:r>
    </w:p>
    <w:p>
      <w:pPr>
        <w:pStyle w:val="TOC8"/>
        <w:rPr>
          <w:rFonts w:asciiTheme="minorHAnsi" w:eastAsiaTheme="minorEastAsia" w:hAnsiTheme="minorHAnsi" w:cstheme="minorBidi"/>
          <w:szCs w:val="22"/>
        </w:rPr>
      </w:pPr>
      <w:r>
        <w:t>94</w:t>
      </w:r>
      <w:r>
        <w:rPr>
          <w:snapToGrid w:val="0"/>
        </w:rPr>
        <w:t>.</w:t>
      </w:r>
      <w:r>
        <w:rPr>
          <w:snapToGrid w:val="0"/>
        </w:rPr>
        <w:tab/>
        <w:t>Terms used</w:t>
      </w:r>
      <w:r>
        <w:tab/>
      </w:r>
      <w:r>
        <w:fldChar w:fldCharType="begin"/>
      </w:r>
      <w:r>
        <w:instrText xml:space="preserve"> PAGEREF _Toc32497119 \h </w:instrText>
      </w:r>
      <w:r>
        <w:fldChar w:fldCharType="separate"/>
      </w:r>
      <w:r>
        <w:t>111</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Permits to conduct bingo; who may play permitted bingo</w:t>
      </w:r>
      <w:r>
        <w:tab/>
      </w:r>
      <w:r>
        <w:fldChar w:fldCharType="begin"/>
      </w:r>
      <w:r>
        <w:instrText xml:space="preserve"> PAGEREF _Toc32497120 \h </w:instrText>
      </w:r>
      <w:r>
        <w:fldChar w:fldCharType="separate"/>
      </w:r>
      <w:r>
        <w:t>112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Multiple bingo</w:t>
      </w:r>
      <w:r>
        <w:tab/>
      </w:r>
      <w:r>
        <w:fldChar w:fldCharType="begin"/>
      </w:r>
      <w:r>
        <w:instrText xml:space="preserve"> PAGEREF _Toc32497121 \h </w:instrText>
      </w:r>
      <w:r>
        <w:fldChar w:fldCharType="separate"/>
      </w:r>
      <w:r>
        <w:t>113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Simultaneous bingo</w:t>
      </w:r>
      <w:r>
        <w:tab/>
      </w:r>
      <w:r>
        <w:fldChar w:fldCharType="begin"/>
      </w:r>
      <w:r>
        <w:instrText xml:space="preserve"> PAGEREF _Toc32497122 \h </w:instrText>
      </w:r>
      <w:r>
        <w:fldChar w:fldCharType="separate"/>
      </w:r>
      <w:r>
        <w:t>115</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Conduct of bingo</w:t>
      </w:r>
      <w:r>
        <w:tab/>
      </w:r>
      <w:r>
        <w:fldChar w:fldCharType="begin"/>
      </w:r>
      <w:r>
        <w:instrText xml:space="preserve"> PAGEREF _Toc32497123 \h </w:instrText>
      </w:r>
      <w:r>
        <w:fldChar w:fldCharType="separate"/>
      </w:r>
      <w:r>
        <w:t>116</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Recovering moneys payable to Commission for bingo</w:t>
      </w:r>
      <w:r>
        <w:tab/>
      </w:r>
      <w:r>
        <w:fldChar w:fldCharType="begin"/>
      </w:r>
      <w:r>
        <w:instrText xml:space="preserve"> PAGEREF _Toc32497124 \h </w:instrText>
      </w:r>
      <w:r>
        <w:fldChar w:fldCharType="separate"/>
      </w:r>
      <w:r>
        <w:t>116</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Regulations as to bingo</w:t>
      </w:r>
      <w:r>
        <w:tab/>
      </w:r>
      <w:r>
        <w:fldChar w:fldCharType="begin"/>
      </w:r>
      <w:r>
        <w:instrText xml:space="preserve"> PAGEREF _Toc32497125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Lotteries, and amusements with prizes etc.</w:t>
      </w:r>
    </w:p>
    <w:p>
      <w:pPr>
        <w:pStyle w:val="TOC8"/>
        <w:rPr>
          <w:rFonts w:asciiTheme="minorHAnsi" w:eastAsiaTheme="minorEastAsia" w:hAnsiTheme="minorHAnsi" w:cstheme="minorBidi"/>
          <w:szCs w:val="22"/>
        </w:rPr>
      </w:pPr>
      <w:r>
        <w:t>101</w:t>
      </w:r>
      <w:r>
        <w:rPr>
          <w:snapToGrid w:val="0"/>
        </w:rPr>
        <w:t>.</w:t>
      </w:r>
      <w:r>
        <w:rPr>
          <w:snapToGrid w:val="0"/>
        </w:rPr>
        <w:tab/>
        <w:t>Terms used</w:t>
      </w:r>
      <w:r>
        <w:tab/>
      </w:r>
      <w:r>
        <w:fldChar w:fldCharType="begin"/>
      </w:r>
      <w:r>
        <w:instrText xml:space="preserve"> PAGEREF _Toc32497127 \h </w:instrText>
      </w:r>
      <w:r>
        <w:fldChar w:fldCharType="separate"/>
      </w:r>
      <w:r>
        <w:t>119</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Certain lotteries unlawful</w:t>
      </w:r>
      <w:r>
        <w:tab/>
      </w:r>
      <w:r>
        <w:fldChar w:fldCharType="begin"/>
      </w:r>
      <w:r>
        <w:instrText xml:space="preserve"> PAGEREF _Toc32497128 \h </w:instrText>
      </w:r>
      <w:r>
        <w:fldChar w:fldCharType="separate"/>
      </w:r>
      <w:r>
        <w:t>121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Permitted lotteries (deemed)</w:t>
      </w:r>
      <w:r>
        <w:tab/>
      </w:r>
      <w:r>
        <w:fldChar w:fldCharType="begin"/>
      </w:r>
      <w:r>
        <w:instrText xml:space="preserve"> PAGEREF _Toc32497129 \h </w:instrText>
      </w:r>
      <w:r>
        <w:fldChar w:fldCharType="separate"/>
      </w:r>
      <w:r>
        <w:t>121</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Permits for lotteries; duties of holders of permit for standard lottery</w:t>
      </w:r>
      <w:r>
        <w:tab/>
      </w:r>
      <w:r>
        <w:fldChar w:fldCharType="begin"/>
      </w:r>
      <w:r>
        <w:instrText xml:space="preserve"> PAGEREF _Toc32497130 \h </w:instrText>
      </w:r>
      <w:r>
        <w:fldChar w:fldCharType="separate"/>
      </w:r>
      <w:r>
        <w:t>123</w:t>
      </w:r>
      <w:r>
        <w:fldChar w:fldCharType="end"/>
      </w:r>
    </w:p>
    <w:p>
      <w:pPr>
        <w:pStyle w:val="TOC8"/>
        <w:rPr>
          <w:rFonts w:asciiTheme="minorHAnsi" w:eastAsiaTheme="minorEastAsia" w:hAnsiTheme="minorHAnsi" w:cstheme="minorBidi"/>
          <w:szCs w:val="22"/>
        </w:rPr>
      </w:pPr>
      <w:r>
        <w:t>104A.</w:t>
      </w:r>
      <w:r>
        <w:tab/>
        <w:t>Commission not liable for unpaid lottery prizes</w:t>
      </w:r>
      <w:r>
        <w:tab/>
      </w:r>
      <w:r>
        <w:fldChar w:fldCharType="begin"/>
      </w:r>
      <w:r>
        <w:instrText xml:space="preserve"> PAGEREF _Toc32497131 \h </w:instrText>
      </w:r>
      <w:r>
        <w:fldChar w:fldCharType="separate"/>
      </w:r>
      <w:r>
        <w:t>126</w:t>
      </w:r>
      <w:r>
        <w:fldChar w:fldCharType="end"/>
      </w:r>
    </w:p>
    <w:p>
      <w:pPr>
        <w:pStyle w:val="TOC8"/>
        <w:rPr>
          <w:rFonts w:asciiTheme="minorHAnsi" w:eastAsiaTheme="minorEastAsia" w:hAnsiTheme="minorHAnsi" w:cstheme="minorBidi"/>
          <w:szCs w:val="22"/>
        </w:rPr>
      </w:pPr>
      <w:r>
        <w:t>104B.</w:t>
      </w:r>
      <w:r>
        <w:tab/>
        <w:t>Licensing of suppliers of lottery tickets</w:t>
      </w:r>
      <w:r>
        <w:tab/>
      </w:r>
      <w:r>
        <w:fldChar w:fldCharType="begin"/>
      </w:r>
      <w:r>
        <w:instrText xml:space="preserve"> PAGEREF _Toc32497132 \h </w:instrText>
      </w:r>
      <w:r>
        <w:fldChar w:fldCharType="separate"/>
      </w:r>
      <w:r>
        <w:t>126</w:t>
      </w:r>
      <w:r>
        <w:fldChar w:fldCharType="end"/>
      </w:r>
    </w:p>
    <w:p>
      <w:pPr>
        <w:pStyle w:val="TOC8"/>
        <w:rPr>
          <w:rFonts w:asciiTheme="minorHAnsi" w:eastAsiaTheme="minorEastAsia" w:hAnsiTheme="minorHAnsi" w:cstheme="minorBidi"/>
          <w:szCs w:val="22"/>
        </w:rPr>
      </w:pPr>
      <w:r>
        <w:t>104C.</w:t>
      </w:r>
      <w:r>
        <w:tab/>
        <w:t>Licences of licensed suppliers, cancelling etc.</w:t>
      </w:r>
      <w:r>
        <w:tab/>
      </w:r>
      <w:r>
        <w:fldChar w:fldCharType="begin"/>
      </w:r>
      <w:r>
        <w:instrText xml:space="preserve"> PAGEREF _Toc32497133 \h </w:instrText>
      </w:r>
      <w:r>
        <w:fldChar w:fldCharType="separate"/>
      </w:r>
      <w:r>
        <w:t>127</w:t>
      </w:r>
      <w:r>
        <w:fldChar w:fldCharType="end"/>
      </w:r>
    </w:p>
    <w:p>
      <w:pPr>
        <w:pStyle w:val="TOC8"/>
        <w:rPr>
          <w:rFonts w:asciiTheme="minorHAnsi" w:eastAsiaTheme="minorEastAsia" w:hAnsiTheme="minorHAnsi" w:cstheme="minorBidi"/>
          <w:szCs w:val="22"/>
        </w:rPr>
      </w:pPr>
      <w:r>
        <w:t>104D.</w:t>
      </w:r>
      <w:r>
        <w:tab/>
        <w:t>Refusal or cancellation of supplier’s licence, Commission to report to Minister; appeals to Minister</w:t>
      </w:r>
      <w:r>
        <w:tab/>
      </w:r>
      <w:r>
        <w:fldChar w:fldCharType="begin"/>
      </w:r>
      <w:r>
        <w:instrText xml:space="preserve"> PAGEREF _Toc32497134 \h </w:instrText>
      </w:r>
      <w:r>
        <w:fldChar w:fldCharType="separate"/>
      </w:r>
      <w:r>
        <w:t>129</w:t>
      </w:r>
      <w:r>
        <w:fldChar w:fldCharType="end"/>
      </w:r>
    </w:p>
    <w:p>
      <w:pPr>
        <w:pStyle w:val="TOC8"/>
        <w:rPr>
          <w:rFonts w:asciiTheme="minorHAnsi" w:eastAsiaTheme="minorEastAsia" w:hAnsiTheme="minorHAnsi" w:cstheme="minorBidi"/>
          <w:szCs w:val="22"/>
        </w:rPr>
      </w:pPr>
      <w:r>
        <w:t>104E.</w:t>
      </w:r>
      <w:r>
        <w:tab/>
        <w:t>Suppliers to give Commission tickets if licence cancelled etc.</w:t>
      </w:r>
      <w:r>
        <w:tab/>
      </w:r>
      <w:r>
        <w:fldChar w:fldCharType="begin"/>
      </w:r>
      <w:r>
        <w:instrText xml:space="preserve"> PAGEREF _Toc32497135 \h </w:instrText>
      </w:r>
      <w:r>
        <w:fldChar w:fldCharType="separate"/>
      </w:r>
      <w:r>
        <w:t>129</w:t>
      </w:r>
      <w:r>
        <w:fldChar w:fldCharType="end"/>
      </w:r>
    </w:p>
    <w:p>
      <w:pPr>
        <w:pStyle w:val="TOC8"/>
        <w:rPr>
          <w:rFonts w:asciiTheme="minorHAnsi" w:eastAsiaTheme="minorEastAsia" w:hAnsiTheme="minorHAnsi" w:cstheme="minorBidi"/>
          <w:szCs w:val="22"/>
        </w:rPr>
      </w:pPr>
      <w:r>
        <w:t>104F.</w:t>
      </w:r>
      <w:r>
        <w:tab/>
        <w:t>Licensed suppliers to lodge returns and pay continuing lotteries levy</w:t>
      </w:r>
      <w:r>
        <w:tab/>
      </w:r>
      <w:r>
        <w:fldChar w:fldCharType="begin"/>
      </w:r>
      <w:r>
        <w:instrText xml:space="preserve"> PAGEREF _Toc32497136 \h </w:instrText>
      </w:r>
      <w:r>
        <w:fldChar w:fldCharType="separate"/>
      </w:r>
      <w:r>
        <w:t>131</w:t>
      </w:r>
      <w:r>
        <w:fldChar w:fldCharType="end"/>
      </w:r>
    </w:p>
    <w:p>
      <w:pPr>
        <w:pStyle w:val="TOC8"/>
        <w:rPr>
          <w:rFonts w:asciiTheme="minorHAnsi" w:eastAsiaTheme="minorEastAsia" w:hAnsiTheme="minorHAnsi" w:cstheme="minorBidi"/>
          <w:szCs w:val="22"/>
        </w:rPr>
      </w:pPr>
      <w:r>
        <w:t>104G.</w:t>
      </w:r>
      <w:r>
        <w:tab/>
        <w:t>Continuing lotteries levy, application of</w:t>
      </w:r>
      <w:r>
        <w:tab/>
      </w:r>
      <w:r>
        <w:fldChar w:fldCharType="begin"/>
      </w:r>
      <w:r>
        <w:instrText xml:space="preserve"> PAGEREF _Toc32497137 \h </w:instrText>
      </w:r>
      <w:r>
        <w:fldChar w:fldCharType="separate"/>
      </w:r>
      <w:r>
        <w:t>132</w:t>
      </w:r>
      <w:r>
        <w:fldChar w:fldCharType="end"/>
      </w:r>
    </w:p>
    <w:p>
      <w:pPr>
        <w:pStyle w:val="TOC8"/>
        <w:rPr>
          <w:rFonts w:asciiTheme="minorHAnsi" w:eastAsiaTheme="minorEastAsia" w:hAnsiTheme="minorHAnsi" w:cstheme="minorBidi"/>
          <w:szCs w:val="22"/>
        </w:rPr>
      </w:pPr>
      <w:r>
        <w:t>104H.</w:t>
      </w:r>
      <w:r>
        <w:tab/>
        <w:t>Exemption from levy</w:t>
      </w:r>
      <w:r>
        <w:tab/>
      </w:r>
      <w:r>
        <w:fldChar w:fldCharType="begin"/>
      </w:r>
      <w:r>
        <w:instrText xml:space="preserve"> PAGEREF _Toc32497138 \h </w:instrText>
      </w:r>
      <w:r>
        <w:fldChar w:fldCharType="separate"/>
      </w:r>
      <w:r>
        <w:t>133</w:t>
      </w:r>
      <w:r>
        <w:fldChar w:fldCharType="end"/>
      </w:r>
    </w:p>
    <w:p>
      <w:pPr>
        <w:pStyle w:val="TOC8"/>
        <w:rPr>
          <w:rFonts w:asciiTheme="minorHAnsi" w:eastAsiaTheme="minorEastAsia" w:hAnsiTheme="minorHAnsi" w:cstheme="minorBidi"/>
          <w:szCs w:val="22"/>
        </w:rPr>
      </w:pPr>
      <w:r>
        <w:t>104I.</w:t>
      </w:r>
      <w:r>
        <w:tab/>
        <w:t>Refund of levy</w:t>
      </w:r>
      <w:r>
        <w:tab/>
      </w:r>
      <w:r>
        <w:fldChar w:fldCharType="begin"/>
      </w:r>
      <w:r>
        <w:instrText xml:space="preserve"> PAGEREF _Toc32497139 \h </w:instrText>
      </w:r>
      <w:r>
        <w:fldChar w:fldCharType="separate"/>
      </w:r>
      <w:r>
        <w:t>133</w:t>
      </w:r>
      <w:r>
        <w:fldChar w:fldCharType="end"/>
      </w:r>
    </w:p>
    <w:p>
      <w:pPr>
        <w:pStyle w:val="TOC8"/>
        <w:rPr>
          <w:rFonts w:asciiTheme="minorHAnsi" w:eastAsiaTheme="minorEastAsia" w:hAnsiTheme="minorHAnsi" w:cstheme="minorBidi"/>
          <w:szCs w:val="22"/>
        </w:rPr>
      </w:pPr>
      <w:r>
        <w:t>104J.</w:t>
      </w:r>
      <w:r>
        <w:tab/>
        <w:t>Tickets, protecting and accounting for; estimating levy for lost etc. tickets</w:t>
      </w:r>
      <w:r>
        <w:tab/>
      </w:r>
      <w:r>
        <w:fldChar w:fldCharType="begin"/>
      </w:r>
      <w:r>
        <w:instrText xml:space="preserve"> PAGEREF _Toc32497140 \h </w:instrText>
      </w:r>
      <w:r>
        <w:fldChar w:fldCharType="separate"/>
      </w:r>
      <w:r>
        <w:t>134</w:t>
      </w:r>
      <w:r>
        <w:fldChar w:fldCharType="end"/>
      </w:r>
    </w:p>
    <w:p>
      <w:pPr>
        <w:pStyle w:val="TOC8"/>
        <w:rPr>
          <w:rFonts w:asciiTheme="minorHAnsi" w:eastAsiaTheme="minorEastAsia" w:hAnsiTheme="minorHAnsi" w:cstheme="minorBidi"/>
          <w:szCs w:val="22"/>
        </w:rPr>
      </w:pPr>
      <w:r>
        <w:t>104K.</w:t>
      </w:r>
      <w:r>
        <w:tab/>
        <w:t>Tickets may be given to Commission for destruction</w:t>
      </w:r>
      <w:r>
        <w:tab/>
      </w:r>
      <w:r>
        <w:fldChar w:fldCharType="begin"/>
      </w:r>
      <w:r>
        <w:instrText xml:space="preserve"> PAGEREF _Toc32497141 \h </w:instrText>
      </w:r>
      <w:r>
        <w:fldChar w:fldCharType="separate"/>
      </w:r>
      <w:r>
        <w:t>135</w:t>
      </w:r>
      <w:r>
        <w:fldChar w:fldCharType="end"/>
      </w:r>
    </w:p>
    <w:p>
      <w:pPr>
        <w:pStyle w:val="TOC8"/>
        <w:rPr>
          <w:rFonts w:asciiTheme="minorHAnsi" w:eastAsiaTheme="minorEastAsia" w:hAnsiTheme="minorHAnsi" w:cstheme="minorBidi"/>
          <w:szCs w:val="22"/>
        </w:rPr>
      </w:pPr>
      <w:r>
        <w:t>104L.</w:t>
      </w:r>
      <w:r>
        <w:tab/>
        <w:t>Offences by licensed suppliers</w:t>
      </w:r>
      <w:r>
        <w:tab/>
      </w:r>
      <w:r>
        <w:fldChar w:fldCharType="begin"/>
      </w:r>
      <w:r>
        <w:instrText xml:space="preserve"> PAGEREF _Toc32497142 \h </w:instrText>
      </w:r>
      <w:r>
        <w:fldChar w:fldCharType="separate"/>
      </w:r>
      <w:r>
        <w:t>135</w:t>
      </w:r>
      <w:r>
        <w:fldChar w:fldCharType="end"/>
      </w:r>
    </w:p>
    <w:p>
      <w:pPr>
        <w:pStyle w:val="TOC8"/>
        <w:rPr>
          <w:rFonts w:asciiTheme="minorHAnsi" w:eastAsiaTheme="minorEastAsia" w:hAnsiTheme="minorHAnsi" w:cstheme="minorBidi"/>
          <w:szCs w:val="22"/>
        </w:rPr>
      </w:pPr>
      <w:r>
        <w:t>104M.</w:t>
      </w:r>
      <w:r>
        <w:tab/>
        <w:t>Offences involving continuing lottery tickets</w:t>
      </w:r>
      <w:r>
        <w:tab/>
      </w:r>
      <w:r>
        <w:fldChar w:fldCharType="begin"/>
      </w:r>
      <w:r>
        <w:instrText xml:space="preserve"> PAGEREF _Toc32497143 \h </w:instrText>
      </w:r>
      <w:r>
        <w:fldChar w:fldCharType="separate"/>
      </w:r>
      <w:r>
        <w:t>137</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Continuing lotteries, use of vending machines to sell tickets for</w:t>
      </w:r>
      <w:r>
        <w:tab/>
      </w:r>
      <w:r>
        <w:fldChar w:fldCharType="begin"/>
      </w:r>
      <w:r>
        <w:instrText xml:space="preserve"> PAGEREF _Toc32497144 \h </w:instrText>
      </w:r>
      <w:r>
        <w:fldChar w:fldCharType="separate"/>
      </w:r>
      <w:r>
        <w:t>137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Offences involving lotteries</w:t>
      </w:r>
      <w:r>
        <w:tab/>
      </w:r>
      <w:r>
        <w:fldChar w:fldCharType="begin"/>
      </w:r>
      <w:r>
        <w:instrText xml:space="preserve"> PAGEREF _Toc32497145 \h </w:instrText>
      </w:r>
      <w:r>
        <w:fldChar w:fldCharType="separate"/>
      </w:r>
      <w:r>
        <w:t>138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Amusements with prizes, which are permitted</w:t>
      </w:r>
      <w:r>
        <w:tab/>
      </w:r>
      <w:r>
        <w:fldChar w:fldCharType="begin"/>
      </w:r>
      <w:r>
        <w:instrText xml:space="preserve"> PAGEREF _Toc32497146 \h </w:instrText>
      </w:r>
      <w:r>
        <w:fldChar w:fldCharType="separate"/>
      </w:r>
      <w:r>
        <w:t>140</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Some fund raising activities deemed permitted amusement with prizes</w:t>
      </w:r>
      <w:r>
        <w:tab/>
      </w:r>
      <w:r>
        <w:fldChar w:fldCharType="begin"/>
      </w:r>
      <w:r>
        <w:instrText xml:space="preserve"> PAGEREF _Toc32497147 \h </w:instrText>
      </w:r>
      <w:r>
        <w:fldChar w:fldCharType="separate"/>
      </w:r>
      <w:r>
        <w:t>141</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Regulations for this Division</w:t>
      </w:r>
      <w:r>
        <w:tab/>
      </w:r>
      <w:r>
        <w:fldChar w:fldCharType="begin"/>
      </w:r>
      <w:r>
        <w:instrText xml:space="preserve"> PAGEREF _Toc32497148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Unclaimed winnings</w:t>
      </w:r>
    </w:p>
    <w:p>
      <w:pPr>
        <w:pStyle w:val="TOC8"/>
        <w:rPr>
          <w:rFonts w:asciiTheme="minorHAnsi" w:eastAsiaTheme="minorEastAsia" w:hAnsiTheme="minorHAnsi" w:cstheme="minorBidi"/>
          <w:szCs w:val="22"/>
        </w:rPr>
      </w:pPr>
      <w:r>
        <w:t>109A.</w:t>
      </w:r>
      <w:r>
        <w:tab/>
        <w:t>Terms used</w:t>
      </w:r>
      <w:r>
        <w:tab/>
      </w:r>
      <w:r>
        <w:fldChar w:fldCharType="begin"/>
      </w:r>
      <w:r>
        <w:instrText xml:space="preserve"> PAGEREF _Toc32497150 \h </w:instrText>
      </w:r>
      <w:r>
        <w:fldChar w:fldCharType="separate"/>
      </w:r>
      <w:r>
        <w:t>143</w:t>
      </w:r>
      <w:r>
        <w:fldChar w:fldCharType="end"/>
      </w:r>
    </w:p>
    <w:p>
      <w:pPr>
        <w:pStyle w:val="TOC8"/>
        <w:rPr>
          <w:rFonts w:asciiTheme="minorHAnsi" w:eastAsiaTheme="minorEastAsia" w:hAnsiTheme="minorHAnsi" w:cstheme="minorBidi"/>
          <w:szCs w:val="22"/>
        </w:rPr>
      </w:pPr>
      <w:r>
        <w:t>109B.</w:t>
      </w:r>
      <w:r>
        <w:tab/>
        <w:t>Unclaimed winnings, Commission to be notified of etc.</w:t>
      </w:r>
      <w:r>
        <w:tab/>
      </w:r>
      <w:r>
        <w:fldChar w:fldCharType="begin"/>
      </w:r>
      <w:r>
        <w:instrText xml:space="preserve"> PAGEREF _Toc32497151 \h </w:instrText>
      </w:r>
      <w:r>
        <w:fldChar w:fldCharType="separate"/>
      </w:r>
      <w:r>
        <w:t>144</w:t>
      </w:r>
      <w:r>
        <w:fldChar w:fldCharType="end"/>
      </w:r>
    </w:p>
    <w:p>
      <w:pPr>
        <w:pStyle w:val="TOC8"/>
        <w:rPr>
          <w:rFonts w:asciiTheme="minorHAnsi" w:eastAsiaTheme="minorEastAsia" w:hAnsiTheme="minorHAnsi" w:cstheme="minorBidi"/>
          <w:szCs w:val="22"/>
        </w:rPr>
      </w:pPr>
      <w:r>
        <w:t>109C.</w:t>
      </w:r>
      <w:r>
        <w:tab/>
        <w:t>Gaming Community Trust Account</w:t>
      </w:r>
      <w:r>
        <w:tab/>
      </w:r>
      <w:r>
        <w:fldChar w:fldCharType="begin"/>
      </w:r>
      <w:r>
        <w:instrText xml:space="preserve"> PAGEREF _Toc32497152 \h </w:instrText>
      </w:r>
      <w:r>
        <w:fldChar w:fldCharType="separate"/>
      </w:r>
      <w:r>
        <w:t>145</w:t>
      </w:r>
      <w:r>
        <w:fldChar w:fldCharType="end"/>
      </w:r>
    </w:p>
    <w:p>
      <w:pPr>
        <w:pStyle w:val="TOC8"/>
        <w:rPr>
          <w:rFonts w:asciiTheme="minorHAnsi" w:eastAsiaTheme="minorEastAsia" w:hAnsiTheme="minorHAnsi" w:cstheme="minorBidi"/>
          <w:szCs w:val="22"/>
        </w:rPr>
      </w:pPr>
      <w:r>
        <w:t>109D.</w:t>
      </w:r>
      <w:r>
        <w:tab/>
        <w:t>Gaming Community Trust</w:t>
      </w:r>
      <w:r>
        <w:tab/>
      </w:r>
      <w:r>
        <w:fldChar w:fldCharType="begin"/>
      </w:r>
      <w:r>
        <w:instrText xml:space="preserve"> PAGEREF _Toc32497153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Part VA — Supervision of RWWA</w:t>
      </w:r>
    </w:p>
    <w:p>
      <w:pPr>
        <w:pStyle w:val="TOC8"/>
        <w:rPr>
          <w:rFonts w:asciiTheme="minorHAnsi" w:eastAsiaTheme="minorEastAsia" w:hAnsiTheme="minorHAnsi" w:cstheme="minorBidi"/>
          <w:szCs w:val="22"/>
        </w:rPr>
      </w:pPr>
      <w:r>
        <w:t>109E.</w:t>
      </w:r>
      <w:r>
        <w:tab/>
        <w:t>Gambling operations of RWWA, meaning of</w:t>
      </w:r>
      <w:r>
        <w:tab/>
      </w:r>
      <w:r>
        <w:fldChar w:fldCharType="begin"/>
      </w:r>
      <w:r>
        <w:instrText xml:space="preserve"> PAGEREF _Toc32497155 \h </w:instrText>
      </w:r>
      <w:r>
        <w:fldChar w:fldCharType="separate"/>
      </w:r>
      <w:r>
        <w:t>148</w:t>
      </w:r>
      <w:r>
        <w:fldChar w:fldCharType="end"/>
      </w:r>
    </w:p>
    <w:p>
      <w:pPr>
        <w:pStyle w:val="TOC8"/>
        <w:rPr>
          <w:rFonts w:asciiTheme="minorHAnsi" w:eastAsiaTheme="minorEastAsia" w:hAnsiTheme="minorHAnsi" w:cstheme="minorBidi"/>
          <w:szCs w:val="22"/>
        </w:rPr>
      </w:pPr>
      <w:r>
        <w:t>109F.</w:t>
      </w:r>
      <w:r>
        <w:tab/>
        <w:t>Supervision of RWWA by Commission etc.</w:t>
      </w:r>
      <w:r>
        <w:tab/>
      </w:r>
      <w:r>
        <w:fldChar w:fldCharType="begin"/>
      </w:r>
      <w:r>
        <w:instrText xml:space="preserve"> PAGEREF _Toc32497156 \h </w:instrText>
      </w:r>
      <w:r>
        <w:fldChar w:fldCharType="separate"/>
      </w:r>
      <w:r>
        <w:t>148</w:t>
      </w:r>
      <w:r>
        <w:fldChar w:fldCharType="end"/>
      </w:r>
    </w:p>
    <w:p>
      <w:pPr>
        <w:pStyle w:val="TOC8"/>
        <w:rPr>
          <w:rFonts w:asciiTheme="minorHAnsi" w:eastAsiaTheme="minorEastAsia" w:hAnsiTheme="minorHAnsi" w:cstheme="minorBidi"/>
          <w:szCs w:val="22"/>
        </w:rPr>
      </w:pPr>
      <w:r>
        <w:t>109G.</w:t>
      </w:r>
      <w:r>
        <w:tab/>
        <w:t>Directions to RWWA, Commission may give</w:t>
      </w:r>
      <w:r>
        <w:tab/>
      </w:r>
      <w:r>
        <w:fldChar w:fldCharType="begin"/>
      </w:r>
      <w:r>
        <w:instrText xml:space="preserve"> PAGEREF _Toc32497157 \h </w:instrText>
      </w:r>
      <w:r>
        <w:fldChar w:fldCharType="separate"/>
      </w:r>
      <w:r>
        <w:t>149</w:t>
      </w:r>
      <w:r>
        <w:fldChar w:fldCharType="end"/>
      </w:r>
    </w:p>
    <w:p>
      <w:pPr>
        <w:pStyle w:val="TOC8"/>
        <w:rPr>
          <w:rFonts w:asciiTheme="minorHAnsi" w:eastAsiaTheme="minorEastAsia" w:hAnsiTheme="minorHAnsi" w:cstheme="minorBidi"/>
          <w:szCs w:val="22"/>
        </w:rPr>
      </w:pPr>
      <w:r>
        <w:t>109H.</w:t>
      </w:r>
      <w:r>
        <w:tab/>
        <w:t>RWWA must comply with directions</w:t>
      </w:r>
      <w:r>
        <w:tab/>
      </w:r>
      <w:r>
        <w:fldChar w:fldCharType="begin"/>
      </w:r>
      <w:r>
        <w:instrText xml:space="preserve"> PAGEREF _Toc32497158 \h </w:instrText>
      </w:r>
      <w:r>
        <w:fldChar w:fldCharType="separate"/>
      </w:r>
      <w:r>
        <w:t>149</w:t>
      </w:r>
      <w:r>
        <w:fldChar w:fldCharType="end"/>
      </w:r>
    </w:p>
    <w:p>
      <w:pPr>
        <w:pStyle w:val="TOC8"/>
        <w:rPr>
          <w:rFonts w:asciiTheme="minorHAnsi" w:eastAsiaTheme="minorEastAsia" w:hAnsiTheme="minorHAnsi" w:cstheme="minorBidi"/>
          <w:szCs w:val="22"/>
        </w:rPr>
      </w:pPr>
      <w:r>
        <w:t>109I.</w:t>
      </w:r>
      <w:r>
        <w:tab/>
        <w:t>Complaints about RWWA, Commission’s functions as to</w:t>
      </w:r>
      <w:r>
        <w:tab/>
      </w:r>
      <w:r>
        <w:fldChar w:fldCharType="begin"/>
      </w:r>
      <w:r>
        <w:instrText xml:space="preserve"> PAGEREF _Toc32497159 \h </w:instrText>
      </w:r>
      <w:r>
        <w:fldChar w:fldCharType="separate"/>
      </w:r>
      <w:r>
        <w:t>150</w:t>
      </w:r>
      <w:r>
        <w:fldChar w:fldCharType="end"/>
      </w:r>
    </w:p>
    <w:p>
      <w:pPr>
        <w:pStyle w:val="TOC8"/>
        <w:rPr>
          <w:rFonts w:asciiTheme="minorHAnsi" w:eastAsiaTheme="minorEastAsia" w:hAnsiTheme="minorHAnsi" w:cstheme="minorBidi"/>
          <w:szCs w:val="22"/>
        </w:rPr>
      </w:pPr>
      <w:r>
        <w:t>109J.</w:t>
      </w:r>
      <w:r>
        <w:tab/>
        <w:t>Reports on and inquiries into RWWA</w:t>
      </w:r>
      <w:r>
        <w:tab/>
      </w:r>
      <w:r>
        <w:fldChar w:fldCharType="begin"/>
      </w:r>
      <w:r>
        <w:instrText xml:space="preserve"> PAGEREF _Toc32497160 \h </w:instrText>
      </w:r>
      <w:r>
        <w:fldChar w:fldCharType="separate"/>
      </w:r>
      <w:r>
        <w:t>150</w:t>
      </w:r>
      <w:r>
        <w:fldChar w:fldCharType="end"/>
      </w:r>
    </w:p>
    <w:p>
      <w:pPr>
        <w:pStyle w:val="TOC8"/>
        <w:rPr>
          <w:rFonts w:asciiTheme="minorHAnsi" w:eastAsiaTheme="minorEastAsia" w:hAnsiTheme="minorHAnsi" w:cstheme="minorBidi"/>
          <w:szCs w:val="22"/>
        </w:rPr>
      </w:pPr>
      <w:r>
        <w:t>109K.</w:t>
      </w:r>
      <w:r>
        <w:tab/>
        <w:t>Report or inquiry under s. 109J, Minister’s powers following</w:t>
      </w:r>
      <w:r>
        <w:tab/>
      </w:r>
      <w:r>
        <w:fldChar w:fldCharType="begin"/>
      </w:r>
      <w:r>
        <w:instrText xml:space="preserve"> PAGEREF _Toc32497161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Part VI — Ancillary</w:t>
      </w:r>
    </w:p>
    <w:p>
      <w:pPr>
        <w:pStyle w:val="TOC8"/>
        <w:rPr>
          <w:rFonts w:asciiTheme="minorHAnsi" w:eastAsiaTheme="minorEastAsia" w:hAnsiTheme="minorHAnsi" w:cstheme="minorBidi"/>
          <w:szCs w:val="22"/>
        </w:rPr>
      </w:pPr>
      <w:r>
        <w:t>110</w:t>
      </w:r>
      <w:r>
        <w:rPr>
          <w:snapToGrid w:val="0"/>
        </w:rPr>
        <w:t>.</w:t>
      </w:r>
      <w:r>
        <w:rPr>
          <w:snapToGrid w:val="0"/>
        </w:rPr>
        <w:tab/>
        <w:t>Gambling on premises licensed for retail sale of liquor</w:t>
      </w:r>
      <w:r>
        <w:tab/>
      </w:r>
      <w:r>
        <w:fldChar w:fldCharType="begin"/>
      </w:r>
      <w:r>
        <w:instrText xml:space="preserve"> PAGEREF _Toc32497163 \h </w:instrText>
      </w:r>
      <w:r>
        <w:fldChar w:fldCharType="separate"/>
      </w:r>
      <w:r>
        <w:t>154</w:t>
      </w:r>
      <w:r>
        <w:fldChar w:fldCharType="end"/>
      </w:r>
    </w:p>
    <w:p>
      <w:pPr>
        <w:pStyle w:val="TOC8"/>
        <w:rPr>
          <w:rFonts w:asciiTheme="minorHAnsi" w:eastAsiaTheme="minorEastAsia" w:hAnsiTheme="minorHAnsi" w:cstheme="minorBidi"/>
          <w:szCs w:val="22"/>
        </w:rPr>
      </w:pPr>
      <w:r>
        <w:t>110A.</w:t>
      </w:r>
      <w:r>
        <w:tab/>
        <w:t>Sports Wagering Account</w:t>
      </w:r>
      <w:r>
        <w:tab/>
      </w:r>
      <w:r>
        <w:fldChar w:fldCharType="begin"/>
      </w:r>
      <w:r>
        <w:instrText xml:space="preserve"> PAGEREF _Toc32497164 \h </w:instrText>
      </w:r>
      <w:r>
        <w:fldChar w:fldCharType="separate"/>
      </w:r>
      <w:r>
        <w:t>155</w:t>
      </w:r>
      <w:r>
        <w:fldChar w:fldCharType="end"/>
      </w:r>
    </w:p>
    <w:p>
      <w:pPr>
        <w:pStyle w:val="TOC8"/>
        <w:rPr>
          <w:rFonts w:asciiTheme="minorHAnsi" w:eastAsiaTheme="minorEastAsia" w:hAnsiTheme="minorHAnsi" w:cstheme="minorBidi"/>
          <w:szCs w:val="22"/>
        </w:rPr>
      </w:pPr>
      <w:r>
        <w:t>110B.</w:t>
      </w:r>
      <w:r>
        <w:tab/>
        <w:t>Racing Bets Levy Account</w:t>
      </w:r>
      <w:r>
        <w:tab/>
      </w:r>
      <w:r>
        <w:fldChar w:fldCharType="begin"/>
      </w:r>
      <w:r>
        <w:instrText xml:space="preserve"> PAGEREF _Toc32497165 \h </w:instrText>
      </w:r>
      <w:r>
        <w:fldChar w:fldCharType="separate"/>
      </w:r>
      <w:r>
        <w:t>156</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Burswood Casino Agreement cl. 22, when Commission may decide questions as to</w:t>
      </w:r>
      <w:r>
        <w:tab/>
      </w:r>
      <w:r>
        <w:fldChar w:fldCharType="begin"/>
      </w:r>
      <w:r>
        <w:instrText xml:space="preserve"> PAGEREF _Toc32497166 \h </w:instrText>
      </w:r>
      <w:r>
        <w:fldChar w:fldCharType="separate"/>
      </w:r>
      <w:r>
        <w:t>157</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 xml:space="preserve">Transitional provisions as to </w:t>
      </w:r>
      <w:r>
        <w:rPr>
          <w:i/>
          <w:snapToGrid w:val="0"/>
        </w:rPr>
        <w:t>Casino Control Act 1984</w:t>
      </w:r>
      <w:r>
        <w:tab/>
      </w:r>
      <w:r>
        <w:fldChar w:fldCharType="begin"/>
      </w:r>
      <w:r>
        <w:instrText xml:space="preserve"> PAGEREF _Toc32497167 \h </w:instrText>
      </w:r>
      <w:r>
        <w:fldChar w:fldCharType="separate"/>
      </w:r>
      <w:r>
        <w:t>157</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Regulations</w:t>
      </w:r>
      <w:r>
        <w:tab/>
      </w:r>
      <w:r>
        <w:fldChar w:fldCharType="begin"/>
      </w:r>
      <w:r>
        <w:instrText xml:space="preserve"> PAGEREF _Toc32497168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_Toc32497170 \h </w:instrText>
      </w:r>
      <w:r>
        <w:fldChar w:fldCharType="separate"/>
      </w:r>
      <w:r>
        <w:t>160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_Toc32497171 \h </w:instrText>
      </w:r>
      <w:r>
        <w:fldChar w:fldCharType="separate"/>
      </w:r>
      <w:r>
        <w:t>164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_Toc32497172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Gaming and Wagering Commission Act 1987</w:t>
      </w:r>
    </w:p>
    <w:p>
      <w:pPr>
        <w:pStyle w:val="LongTitle"/>
        <w:spacing w:before="360"/>
        <w:rPr>
          <w:snapToGrid w:val="0"/>
        </w:rPr>
      </w:pPr>
      <w:r>
        <w:rPr>
          <w:snapToGrid w:val="0"/>
        </w:rPr>
        <w:t>An Act to constitute the Gaming and Wagering Commission of Western Australia, to consolidate and amend the law relating to gaming and wagering, and for related purposes.</w:t>
      </w:r>
    </w:p>
    <w:p>
      <w:pPr>
        <w:pStyle w:val="Footnotelongtitle"/>
      </w:pPr>
      <w:r>
        <w:tab/>
        <w:t>[Long title amended: No. 35 of 2003 s. 121.]</w:t>
      </w:r>
    </w:p>
    <w:p>
      <w:pPr>
        <w:pStyle w:val="Heading2"/>
      </w:pPr>
      <w:bookmarkStart w:id="3" w:name="_Toc32497017"/>
      <w:r>
        <w:rPr>
          <w:rStyle w:val="CharPartNo"/>
        </w:rPr>
        <w:t>Part I</w:t>
      </w:r>
      <w:r>
        <w:rPr>
          <w:rStyle w:val="CharDivNo"/>
        </w:rPr>
        <w:t> </w:t>
      </w:r>
      <w:r>
        <w:t>—</w:t>
      </w:r>
      <w:r>
        <w:rPr>
          <w:rStyle w:val="CharDivText"/>
        </w:rPr>
        <w:t> </w:t>
      </w:r>
      <w:r>
        <w:rPr>
          <w:rStyle w:val="CharPartText"/>
        </w:rPr>
        <w:t>Preliminary</w:t>
      </w:r>
      <w:bookmarkEnd w:id="3"/>
    </w:p>
    <w:p>
      <w:pPr>
        <w:pStyle w:val="Heading5"/>
        <w:rPr>
          <w:snapToGrid w:val="0"/>
        </w:rPr>
      </w:pPr>
      <w:bookmarkStart w:id="4" w:name="_Toc32497018"/>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w:t>
      </w:r>
    </w:p>
    <w:p>
      <w:pPr>
        <w:pStyle w:val="Footnotesection"/>
      </w:pPr>
      <w:r>
        <w:tab/>
        <w:t>[Section 1 amended: No. 35 of 2003 s. 122.]</w:t>
      </w:r>
    </w:p>
    <w:p>
      <w:pPr>
        <w:pStyle w:val="Heading5"/>
        <w:rPr>
          <w:snapToGrid w:val="0"/>
        </w:rPr>
      </w:pPr>
      <w:bookmarkStart w:id="5" w:name="_Toc32497019"/>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6" w:name="_Toc32497020"/>
      <w:r>
        <w:rPr>
          <w:rStyle w:val="CharSectno"/>
        </w:rPr>
        <w:t>3</w:t>
      </w:r>
      <w:r>
        <w:rPr>
          <w:snapToGrid w:val="0"/>
        </w:rPr>
        <w:t>.</w:t>
      </w:r>
      <w:r>
        <w:rPr>
          <w:snapToGrid w:val="0"/>
        </w:rPr>
        <w:tab/>
        <w:t>Terms used</w:t>
      </w:r>
      <w:bookmarkEnd w:id="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w:t>
      </w:r>
    </w:p>
    <w:p>
      <w:pPr>
        <w:pStyle w:val="Defpara"/>
      </w:pPr>
      <w:r>
        <w:tab/>
        <w:t>(a)</w:t>
      </w:r>
      <w:r>
        <w:tab/>
        <w:t>a member of the Commission; or</w:t>
      </w:r>
    </w:p>
    <w:p>
      <w:pPr>
        <w:pStyle w:val="Defpara"/>
      </w:pPr>
      <w:r>
        <w:tab/>
        <w:t>(b)</w:t>
      </w:r>
      <w:r>
        <w:tab/>
        <w:t xml:space="preserve">the Chief Casino Officer, a government inspector or any other person appointed for the purposes of section 9(1) of the </w:t>
      </w:r>
      <w:r>
        <w:rPr>
          <w:i/>
        </w:rPr>
        <w:t>Casino Control Act 1984</w:t>
      </w:r>
      <w:r>
        <w:t>; or</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event</w:t>
      </w:r>
      <w:r>
        <w:t xml:space="preserve"> has the meaning given in the </w:t>
      </w:r>
      <w:r>
        <w:rPr>
          <w:i/>
        </w:rPr>
        <w:t>Betting Control Act 1954</w:t>
      </w:r>
      <w:r>
        <w:t xml:space="preserve"> section 4(1);</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xml:space="preserve">, in relation to the interpretation of the term </w:t>
      </w:r>
      <w:r>
        <w:rPr>
          <w:b/>
          <w:i/>
        </w:rPr>
        <w:t>common gaming house</w:t>
      </w:r>
      <w:r>
        <w:t>,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 and</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 and</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 telecommunications device and any other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pPr>
      <w:r>
        <w:tab/>
      </w:r>
      <w:r>
        <w:rPr>
          <w:rStyle w:val="CharDefText"/>
        </w:rPr>
        <w:t>telecommunication device</w:t>
      </w:r>
      <w:r>
        <w:t xml:space="preserve"> means — </w:t>
      </w:r>
    </w:p>
    <w:p>
      <w:pPr>
        <w:pStyle w:val="Defpara"/>
      </w:pPr>
      <w:r>
        <w:tab/>
        <w:t>(a)</w:t>
      </w:r>
      <w:r>
        <w:tab/>
        <w:t>a computer adapted for communicating by way of the Internet or another communications network; or</w:t>
      </w:r>
    </w:p>
    <w:p>
      <w:pPr>
        <w:pStyle w:val="Defpara"/>
      </w:pPr>
      <w:r>
        <w:tab/>
        <w:t>(b)</w:t>
      </w:r>
      <w:r>
        <w:tab/>
        <w:t>a television receiver adapted to allow the viewer to transmit information by way of a cable television network or another communications network; or</w:t>
      </w:r>
    </w:p>
    <w:p>
      <w:pPr>
        <w:pStyle w:val="Defpara"/>
      </w:pPr>
      <w:r>
        <w:tab/>
        <w:t>(c)</w:t>
      </w:r>
      <w:r>
        <w:tab/>
        <w:t>a telephone; or</w:t>
      </w:r>
    </w:p>
    <w:p>
      <w:pPr>
        <w:pStyle w:val="Defpara"/>
      </w:pPr>
      <w:r>
        <w:tab/>
        <w:t>(d)</w:t>
      </w:r>
      <w:r>
        <w:tab/>
        <w:t>any other electronic device or thing for communicating at a distance;</w:t>
      </w:r>
    </w:p>
    <w:p>
      <w:pPr>
        <w:pStyle w:val="Defstart"/>
        <w:keepNext/>
      </w:pPr>
      <w:r>
        <w:rPr>
          <w:b/>
        </w:rPr>
        <w:tab/>
      </w:r>
      <w:r>
        <w:rPr>
          <w:rStyle w:val="CharDefText"/>
        </w:rPr>
        <w:t>token</w:t>
      </w:r>
      <w:r>
        <w:t xml:space="preserve"> means a gaming chip or other substitute for money which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up gaming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w:t>
      </w:r>
    </w:p>
    <w:p>
      <w:pPr>
        <w:pStyle w:val="Defpara"/>
      </w:pPr>
      <w:r>
        <w:tab/>
        <w:t>(a)</w:t>
      </w:r>
      <w:r>
        <w:tab/>
        <w:t>on some question to be decided; or</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For the purposes of this Act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For removal of doubt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[Section 3 amended: No. 16 of 1990 s. 33; No. 14 of 1996 s. 4; No. 24 of 1998 s. 33; No. 6 of 2000 s. 9; No. 35 of 2003 s. 123, 166 and 167; No. 41 of 2018 s. 17.]</w:t>
      </w:r>
    </w:p>
    <w:p>
      <w:pPr>
        <w:pStyle w:val="Heading2"/>
      </w:pPr>
      <w:bookmarkStart w:id="7" w:name="_Toc32497021"/>
      <w:r>
        <w:rPr>
          <w:rStyle w:val="CharPartNo"/>
        </w:rPr>
        <w:t>Part II</w:t>
      </w:r>
      <w:r>
        <w:t> — </w:t>
      </w:r>
      <w:r>
        <w:rPr>
          <w:rStyle w:val="CharPartText"/>
        </w:rPr>
        <w:t>The Commission</w:t>
      </w:r>
      <w:bookmarkEnd w:id="7"/>
    </w:p>
    <w:p>
      <w:pPr>
        <w:pStyle w:val="Heading3"/>
      </w:pPr>
      <w:bookmarkStart w:id="8" w:name="_Toc32497022"/>
      <w:r>
        <w:rPr>
          <w:rStyle w:val="CharDivNo"/>
        </w:rPr>
        <w:t>Division 1</w:t>
      </w:r>
      <w:r>
        <w:rPr>
          <w:snapToGrid w:val="0"/>
        </w:rPr>
        <w:t> — </w:t>
      </w:r>
      <w:r>
        <w:rPr>
          <w:rStyle w:val="CharDivText"/>
        </w:rPr>
        <w:t>Administration</w:t>
      </w:r>
      <w:bookmarkEnd w:id="8"/>
    </w:p>
    <w:p>
      <w:pPr>
        <w:pStyle w:val="Heading5"/>
        <w:rPr>
          <w:snapToGrid w:val="0"/>
        </w:rPr>
      </w:pPr>
      <w:bookmarkStart w:id="9" w:name="_Toc32497023"/>
      <w:r>
        <w:rPr>
          <w:rStyle w:val="CharSectno"/>
        </w:rPr>
        <w:t>4</w:t>
      </w:r>
      <w:r>
        <w:rPr>
          <w:snapToGrid w:val="0"/>
        </w:rPr>
        <w:t>.</w:t>
      </w:r>
      <w:r>
        <w:rPr>
          <w:snapToGrid w:val="0"/>
        </w:rPr>
        <w:tab/>
        <w:t>Gaming and Wagering Commission established</w:t>
      </w:r>
      <w:bookmarkEnd w:id="9"/>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w:t>
      </w:r>
    </w:p>
    <w:p>
      <w:pPr>
        <w:pStyle w:val="Indenta"/>
        <w:spacing w:before="70"/>
        <w:rPr>
          <w:snapToGrid w:val="0"/>
        </w:rPr>
      </w:pPr>
      <w:r>
        <w:rPr>
          <w:snapToGrid w:val="0"/>
        </w:rPr>
        <w:tab/>
        <w:t>(a)</w:t>
      </w:r>
      <w:r>
        <w:rPr>
          <w:snapToGrid w:val="0"/>
        </w:rPr>
        <w:tab/>
        <w:t>is a corporate body which under its corporate name —</w:t>
      </w:r>
    </w:p>
    <w:p>
      <w:pPr>
        <w:pStyle w:val="Indenti"/>
        <w:spacing w:before="70"/>
        <w:rPr>
          <w:snapToGrid w:val="0"/>
        </w:rPr>
      </w:pPr>
      <w:r>
        <w:rPr>
          <w:snapToGrid w:val="0"/>
        </w:rPr>
        <w:tab/>
        <w:t>(i)</w:t>
      </w:r>
      <w:r>
        <w:rPr>
          <w:snapToGrid w:val="0"/>
        </w:rPr>
        <w:tab/>
        <w:t>has perpetual succession; and</w:t>
      </w:r>
    </w:p>
    <w:p>
      <w:pPr>
        <w:pStyle w:val="Indenti"/>
        <w:spacing w:before="70"/>
        <w:rPr>
          <w:snapToGrid w:val="0"/>
        </w:rPr>
      </w:pPr>
      <w:r>
        <w:rPr>
          <w:snapToGrid w:val="0"/>
        </w:rPr>
        <w:tab/>
        <w:t>(ii)</w:t>
      </w:r>
      <w:r>
        <w:rPr>
          <w:snapToGrid w:val="0"/>
        </w:rPr>
        <w:tab/>
        <w:t>is capable, subject to this Act, of doing and suffering all that bodies corporate may lawfully do or suffer;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may have a common seal, which shall —</w:t>
      </w:r>
    </w:p>
    <w:p>
      <w:pPr>
        <w:pStyle w:val="Indenti"/>
        <w:spacing w:before="70"/>
        <w:rPr>
          <w:snapToGrid w:val="0"/>
        </w:rPr>
      </w:pPr>
      <w:r>
        <w:rPr>
          <w:snapToGrid w:val="0"/>
        </w:rPr>
        <w:tab/>
        <w:t>(i)</w:t>
      </w:r>
      <w:r>
        <w:rPr>
          <w:snapToGrid w:val="0"/>
        </w:rPr>
        <w:tab/>
        <w:t>be kept in such custody as the Commission directs; and</w:t>
      </w:r>
    </w:p>
    <w:p>
      <w:pPr>
        <w:pStyle w:val="Indenti"/>
        <w:spacing w:before="70"/>
        <w:rPr>
          <w:snapToGrid w:val="0"/>
        </w:rPr>
      </w:pPr>
      <w:r>
        <w:rPr>
          <w:snapToGrid w:val="0"/>
        </w:rPr>
        <w:tab/>
        <w:t>(ii)</w:t>
      </w:r>
      <w:r>
        <w:rPr>
          <w:snapToGrid w:val="0"/>
        </w:rPr>
        <w:tab/>
        <w:t>be used only as authorised by the Commission;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shall be constituted in accordance with section 12.</w:t>
      </w:r>
    </w:p>
    <w:p>
      <w:pPr>
        <w:pStyle w:val="Footnotesection"/>
      </w:pPr>
      <w:r>
        <w:tab/>
        <w:t>[Section 4 amended: No. 35 of 2003 s. 124.]</w:t>
      </w:r>
    </w:p>
    <w:p>
      <w:pPr>
        <w:pStyle w:val="Heading5"/>
        <w:spacing w:before="160"/>
        <w:rPr>
          <w:snapToGrid w:val="0"/>
        </w:rPr>
      </w:pPr>
      <w:bookmarkStart w:id="10" w:name="_Toc32497024"/>
      <w:r>
        <w:rPr>
          <w:rStyle w:val="CharSectno"/>
        </w:rPr>
        <w:t>5</w:t>
      </w:r>
      <w:r>
        <w:rPr>
          <w:snapToGrid w:val="0"/>
        </w:rPr>
        <w:t>.</w:t>
      </w:r>
      <w:r>
        <w:rPr>
          <w:snapToGrid w:val="0"/>
        </w:rPr>
        <w:tab/>
        <w:t>Trading name or symbol, use of by Commission</w:t>
      </w:r>
      <w:bookmarkEnd w:id="10"/>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11" w:name="_Toc32497025"/>
      <w:r>
        <w:rPr>
          <w:rStyle w:val="CharSectno"/>
        </w:rPr>
        <w:t>6</w:t>
      </w:r>
      <w:r>
        <w:rPr>
          <w:snapToGrid w:val="0"/>
        </w:rPr>
        <w:t>.</w:t>
      </w:r>
      <w:r>
        <w:rPr>
          <w:snapToGrid w:val="0"/>
        </w:rPr>
        <w:tab/>
        <w:t>Minister and Commission, relationship between</w:t>
      </w:r>
      <w:bookmarkEnd w:id="11"/>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[Section 6 amended: No. 16 of 1990 s. 33; No. 35 of 2003 s. 125 and 166.]</w:t>
      </w:r>
    </w:p>
    <w:p>
      <w:pPr>
        <w:pStyle w:val="Heading3"/>
      </w:pPr>
      <w:bookmarkStart w:id="12" w:name="_Toc32497026"/>
      <w:r>
        <w:rPr>
          <w:rStyle w:val="CharDivNo"/>
        </w:rPr>
        <w:t>Division 2</w:t>
      </w:r>
      <w:r>
        <w:rPr>
          <w:snapToGrid w:val="0"/>
        </w:rPr>
        <w:t> — </w:t>
      </w:r>
      <w:r>
        <w:rPr>
          <w:rStyle w:val="CharDivText"/>
        </w:rPr>
        <w:t>Duties and powers</w:t>
      </w:r>
      <w:bookmarkEnd w:id="12"/>
    </w:p>
    <w:p>
      <w:pPr>
        <w:pStyle w:val="Heading5"/>
        <w:rPr>
          <w:snapToGrid w:val="0"/>
        </w:rPr>
      </w:pPr>
      <w:bookmarkStart w:id="13" w:name="_Toc32497027"/>
      <w:r>
        <w:rPr>
          <w:rStyle w:val="CharSectno"/>
        </w:rPr>
        <w:t>7</w:t>
      </w:r>
      <w:r>
        <w:rPr>
          <w:snapToGrid w:val="0"/>
        </w:rPr>
        <w:t>.</w:t>
      </w:r>
      <w:r>
        <w:rPr>
          <w:snapToGrid w:val="0"/>
        </w:rPr>
        <w:tab/>
        <w:t>Duties of Commission</w:t>
      </w:r>
      <w:bookmarkEnd w:id="13"/>
    </w:p>
    <w:p>
      <w:pPr>
        <w:pStyle w:val="Subsection"/>
        <w:rPr>
          <w:snapToGrid w:val="0"/>
        </w:rPr>
      </w:pPr>
      <w:r>
        <w:rPr>
          <w:snapToGrid w:val="0"/>
        </w:rPr>
        <w:tab/>
        <w:t>(1)</w:t>
      </w:r>
      <w:r>
        <w:rPr>
          <w:snapToGrid w:val="0"/>
        </w:rPr>
        <w:tab/>
        <w:t>It shall be the duty of the Commission —</w:t>
      </w:r>
    </w:p>
    <w:p>
      <w:pPr>
        <w:pStyle w:val="Indenta"/>
        <w:rPr>
          <w:snapToGrid w:val="0"/>
        </w:rPr>
      </w:pPr>
      <w:r>
        <w:rPr>
          <w:snapToGrid w:val="0"/>
        </w:rPr>
        <w:tab/>
        <w:t>(a)</w:t>
      </w:r>
      <w:r>
        <w:rPr>
          <w:snapToGrid w:val="0"/>
        </w:rPr>
        <w:tab/>
        <w:t>to administer the law relating to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r>
      <w:r>
        <w:tab/>
        <w:t>and</w:t>
      </w:r>
    </w:p>
    <w:p>
      <w:pPr>
        <w:pStyle w:val="Indenta"/>
        <w:keepNext/>
      </w:pPr>
      <w:r>
        <w:tab/>
        <w:t>(b)</w:t>
      </w:r>
      <w:r>
        <w:tab/>
        <w:t>to keep under review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r>
      <w:r>
        <w:tab/>
        <w:t>and</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 and</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 and</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 and</w:t>
      </w:r>
    </w:p>
    <w:p>
      <w:pPr>
        <w:pStyle w:val="Indenta"/>
      </w:pPr>
      <w:r>
        <w:tab/>
        <w:t>(da)</w:t>
      </w:r>
      <w:r>
        <w:tab/>
        <w:t>to perform the functions of the Commission prescribed by or under the RWWA Act and to administer all matters relating to those functions; and</w:t>
      </w:r>
    </w:p>
    <w:p>
      <w:pPr>
        <w:pStyle w:val="Indenta"/>
      </w:pPr>
      <w:r>
        <w:tab/>
        <w:t>(e)</w:t>
      </w:r>
      <w:r>
        <w:tab/>
        <w:t>to cause licences, permits, approvals, authorisations and certificates, as appropriate, to be issued in relation to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r>
      <w:r>
        <w:tab/>
        <w:t>and</w:t>
      </w:r>
    </w:p>
    <w:p>
      <w:pPr>
        <w:pStyle w:val="Ednotepara"/>
      </w:pPr>
      <w:r>
        <w:tab/>
        <w:t>[(ea)</w:t>
      </w:r>
      <w:r>
        <w:tab/>
        <w:t>deleted]</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 and</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 and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No. 35 of 2003 s. 126 and 166; No. 77 of 2006 s. 4; No. 37 of 2018 s. 64.]</w:t>
      </w:r>
    </w:p>
    <w:p>
      <w:pPr>
        <w:pStyle w:val="Heading5"/>
        <w:rPr>
          <w:snapToGrid w:val="0"/>
        </w:rPr>
      </w:pPr>
      <w:bookmarkStart w:id="14" w:name="_Toc32497028"/>
      <w:r>
        <w:rPr>
          <w:rStyle w:val="CharSectno"/>
        </w:rPr>
        <w:t>8</w:t>
      </w:r>
      <w:r>
        <w:rPr>
          <w:snapToGrid w:val="0"/>
        </w:rPr>
        <w:t>.</w:t>
      </w:r>
      <w:r>
        <w:rPr>
          <w:snapToGrid w:val="0"/>
        </w:rPr>
        <w:tab/>
        <w:t>Powers of Commission</w:t>
      </w:r>
      <w:bookmarkEnd w:id="14"/>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formulate and impose prohibitions or conditions to be applicable to, or in relation to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(iiia)</w:t>
      </w:r>
      <w:r>
        <w:tab/>
        <w:t>the advertising of live odds during events, whether generally or by specific classes of persons or in a specified manner or place; and</w:t>
      </w:r>
    </w:p>
    <w:p>
      <w:pPr>
        <w:pStyle w:val="Indenti"/>
      </w:pPr>
      <w:r>
        <w:tab/>
        <w:t>(iv)</w:t>
      </w:r>
      <w:r>
        <w:tab/>
        <w:t>the rules under which wagering is to be conducted and games are to be played;</w:t>
      </w:r>
    </w:p>
    <w:p>
      <w:pPr>
        <w:pStyle w:val="Indenta"/>
      </w:pPr>
      <w:r>
        <w:tab/>
      </w:r>
      <w:r>
        <w:tab/>
        <w:t>and</w:t>
      </w:r>
    </w:p>
    <w:p>
      <w:pPr>
        <w:pStyle w:val="Indenta"/>
      </w:pPr>
      <w:r>
        <w:tab/>
        <w:t>(d)</w:t>
      </w:r>
      <w:r>
        <w:tab/>
        <w:t>grant or issue and amend or revoke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(ia)</w:t>
      </w:r>
      <w:r>
        <w:tab/>
        <w:t xml:space="preserve">approvals of associates of wagering licensees under the </w:t>
      </w:r>
      <w:r>
        <w:rPr>
          <w:i/>
        </w:rPr>
        <w:t>Betting Control Act 1954</w:t>
      </w:r>
      <w:r>
        <w:t xml:space="preserve"> section 10X; and</w:t>
      </w:r>
    </w:p>
    <w:p>
      <w:pPr>
        <w:pStyle w:val="Indenti"/>
      </w:pPr>
      <w:r>
        <w:tab/>
        <w:t>(ib)</w:t>
      </w:r>
      <w:r>
        <w:tab/>
        <w:t xml:space="preserve">licences of key employees of wagering licensees under regulations made under the </w:t>
      </w:r>
      <w:r>
        <w:rPr>
          <w:i/>
        </w:rPr>
        <w:t>Betting Control Act 1954</w:t>
      </w:r>
      <w:r>
        <w:t xml:space="preserve"> section 8;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r>
      <w:r>
        <w:tab/>
        <w:t>and</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No. 35 of 2003 s. 127 and 166; No. 8 of 2009 s. 63; No. 41 of 2018 s. 18; No. 21 of 2019 s. 89.]</w:t>
      </w:r>
    </w:p>
    <w:p>
      <w:pPr>
        <w:pStyle w:val="Heading3"/>
        <w:spacing w:before="220"/>
      </w:pPr>
      <w:bookmarkStart w:id="15" w:name="_Toc32497029"/>
      <w:r>
        <w:rPr>
          <w:rStyle w:val="CharDivNo"/>
        </w:rPr>
        <w:t>Division 3</w:t>
      </w:r>
      <w:r>
        <w:rPr>
          <w:snapToGrid w:val="0"/>
        </w:rPr>
        <w:t> — </w:t>
      </w:r>
      <w:r>
        <w:rPr>
          <w:rStyle w:val="CharDivText"/>
        </w:rPr>
        <w:t>Finance</w:t>
      </w:r>
      <w:bookmarkEnd w:id="15"/>
    </w:p>
    <w:p>
      <w:pPr>
        <w:pStyle w:val="Heading5"/>
        <w:rPr>
          <w:snapToGrid w:val="0"/>
        </w:rPr>
      </w:pPr>
      <w:bookmarkStart w:id="16" w:name="_Toc32497030"/>
      <w:r>
        <w:rPr>
          <w:rStyle w:val="CharSectno"/>
        </w:rPr>
        <w:t>9</w:t>
      </w:r>
      <w:r>
        <w:rPr>
          <w:snapToGrid w:val="0"/>
        </w:rPr>
        <w:t>.</w:t>
      </w:r>
      <w:r>
        <w:rPr>
          <w:snapToGrid w:val="0"/>
        </w:rPr>
        <w:tab/>
        <w:t>Funds of Commission; financial provisions</w:t>
      </w:r>
      <w:bookmarkEnd w:id="16"/>
    </w:p>
    <w:p>
      <w:pPr>
        <w:pStyle w:val="Subsection"/>
        <w:rPr>
          <w:snapToGrid w:val="0"/>
        </w:rPr>
      </w:pPr>
      <w:r>
        <w:rPr>
          <w:snapToGrid w:val="0"/>
        </w:rPr>
        <w:tab/>
        <w:t>(1)</w:t>
      </w:r>
      <w:r>
        <w:rPr>
          <w:snapToGrid w:val="0"/>
        </w:rPr>
        <w:tab/>
        <w:t>The funds available to the Commission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keepNext/>
        <w:spacing w:before="120"/>
      </w:pPr>
      <w:r>
        <w:tab/>
        <w:t>(2)</w:t>
      </w:r>
      <w:r>
        <w:tab/>
        <w:t>An account called the Gaming and Wagering Commission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r>
      <w:r>
        <w:tab/>
        <w:t>to which the moneys received by the Commission are to be credited.</w:t>
      </w:r>
    </w:p>
    <w:p>
      <w:pPr>
        <w:pStyle w:val="Ednotesubsection"/>
      </w:pPr>
      <w:r>
        <w:tab/>
        <w:t>[(2a)</w:t>
      </w:r>
      <w:r>
        <w:tab/>
        <w:t>deleted]</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w:t>
      </w:r>
    </w:p>
    <w:p>
      <w:pPr>
        <w:pStyle w:val="Indenta"/>
        <w:spacing w:before="60"/>
        <w:rPr>
          <w:snapToGrid w:val="0"/>
        </w:rPr>
      </w:pPr>
      <w:r>
        <w:rPr>
          <w:snapToGrid w:val="0"/>
        </w:rPr>
        <w:tab/>
        <w:t>(a)</w:t>
      </w:r>
      <w:r>
        <w:rPr>
          <w:snapToGrid w:val="0"/>
        </w:rPr>
        <w:tab/>
        <w:t>be controlled by the Commission; and</w:t>
      </w:r>
    </w:p>
    <w:p>
      <w:pPr>
        <w:pStyle w:val="Indenta"/>
        <w:spacing w:before="60"/>
        <w:rPr>
          <w:snapToGrid w:val="0"/>
        </w:rPr>
      </w:pPr>
      <w:r>
        <w:rPr>
          <w:snapToGrid w:val="0"/>
        </w:rPr>
        <w:tab/>
        <w:t>(b)</w:t>
      </w:r>
      <w:r>
        <w:rPr>
          <w:snapToGrid w:val="0"/>
        </w:rPr>
        <w:tab/>
        <w:t>be operated in such manner as the Treasurer approves from time to time; and</w:t>
      </w:r>
    </w:p>
    <w:p>
      <w:pPr>
        <w:pStyle w:val="Indenta"/>
        <w:spacing w:before="60"/>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w:t>
      </w:r>
    </w:p>
    <w:p>
      <w:pPr>
        <w:pStyle w:val="Indenta"/>
        <w:spacing w:before="60"/>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 and</w:t>
      </w:r>
    </w:p>
    <w:p>
      <w:pPr>
        <w:pStyle w:val="Indenta"/>
        <w:spacing w:before="60"/>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[Section 9 amended: No. 6 of 1993 s. 11 and 15; No. 49 of 1996 s. 55 and 64; No. 24 of 1998 s. 34(1) and (2); No. 35 of 2003 s. 128 and 166; No. 28 of 2006 s. 402; No. 77 of 2006 s. 4 and Sch. 1 cl. 71(1); No. 37 of 2018 s. 65.]</w:t>
      </w:r>
    </w:p>
    <w:p>
      <w:pPr>
        <w:pStyle w:val="Heading5"/>
        <w:rPr>
          <w:snapToGrid w:val="0"/>
        </w:rPr>
      </w:pPr>
      <w:bookmarkStart w:id="17" w:name="_Toc32497031"/>
      <w:r>
        <w:rPr>
          <w:rStyle w:val="CharSectno"/>
        </w:rP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bookmarkEnd w:id="1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 amended: No. 77 of 2006 Sch. 1 cl. 71(2).]</w:t>
      </w:r>
    </w:p>
    <w:p>
      <w:pPr>
        <w:pStyle w:val="Heading5"/>
        <w:rPr>
          <w:snapToGrid w:val="0"/>
        </w:rPr>
      </w:pPr>
      <w:bookmarkStart w:id="18" w:name="_Toc32497032"/>
      <w:r>
        <w:rPr>
          <w:rStyle w:val="CharSectno"/>
        </w:rPr>
        <w:t>11</w:t>
      </w:r>
      <w:r>
        <w:rPr>
          <w:snapToGrid w:val="0"/>
        </w:rPr>
        <w:t>.</w:t>
      </w:r>
      <w:r>
        <w:rPr>
          <w:snapToGrid w:val="0"/>
        </w:rPr>
        <w:tab/>
        <w:t>Some dealings by Commission need Treasurer’s approval</w:t>
      </w:r>
      <w:bookmarkEnd w:id="18"/>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pPr>
      <w:bookmarkStart w:id="19" w:name="_Toc32497033"/>
      <w:r>
        <w:rPr>
          <w:rStyle w:val="CharDivNo"/>
        </w:rPr>
        <w:t>Division 4</w:t>
      </w:r>
      <w:r>
        <w:rPr>
          <w:snapToGrid w:val="0"/>
        </w:rPr>
        <w:t> — </w:t>
      </w:r>
      <w:r>
        <w:rPr>
          <w:rStyle w:val="CharDivText"/>
        </w:rPr>
        <w:t>Membership, co</w:t>
      </w:r>
      <w:r>
        <w:rPr>
          <w:rStyle w:val="CharDivText"/>
        </w:rPr>
        <w:noBreakHyphen/>
        <w:t>option, consultation and committees</w:t>
      </w:r>
      <w:bookmarkEnd w:id="19"/>
    </w:p>
    <w:p>
      <w:pPr>
        <w:pStyle w:val="Heading5"/>
        <w:rPr>
          <w:snapToGrid w:val="0"/>
        </w:rPr>
      </w:pPr>
      <w:bookmarkStart w:id="20" w:name="_Toc32497034"/>
      <w:r>
        <w:rPr>
          <w:rStyle w:val="CharSectno"/>
        </w:rPr>
        <w:t>12</w:t>
      </w:r>
      <w:r>
        <w:rPr>
          <w:snapToGrid w:val="0"/>
        </w:rPr>
        <w:t>.</w:t>
      </w:r>
      <w:r>
        <w:rPr>
          <w:snapToGrid w:val="0"/>
        </w:rPr>
        <w:tab/>
        <w:t>Members of Commission, attendance at meetings etc.</w:t>
      </w:r>
      <w:bookmarkEnd w:id="20"/>
    </w:p>
    <w:p>
      <w:pPr>
        <w:pStyle w:val="Subsection"/>
      </w:pPr>
      <w:r>
        <w:tab/>
        <w:t>(1)</w:t>
      </w:r>
      <w:r>
        <w:tab/>
        <w:t>The membership of the Commission shall comprise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[Section 12 amended: No. 16 of 1990 s. 33; No. 24 of 1998 s. 35; No. 10 of 2001 s. 85; No. 35 of 2003 s. 129 and 168; No. 25 of 2014 s. 62.]</w:t>
      </w:r>
    </w:p>
    <w:p>
      <w:pPr>
        <w:pStyle w:val="Heading5"/>
        <w:rPr>
          <w:snapToGrid w:val="0"/>
        </w:rPr>
      </w:pPr>
      <w:bookmarkStart w:id="21" w:name="_Toc32497035"/>
      <w:r>
        <w:rPr>
          <w:rStyle w:val="CharSectno"/>
        </w:rPr>
        <w:t>13</w:t>
      </w:r>
      <w:r>
        <w:rPr>
          <w:snapToGrid w:val="0"/>
        </w:rPr>
        <w:t>.</w:t>
      </w:r>
      <w:r>
        <w:rPr>
          <w:snapToGrid w:val="0"/>
        </w:rPr>
        <w:tab/>
        <w:t>Remuneration of members; effect of service with Commission on public servants</w:t>
      </w:r>
      <w:bookmarkEnd w:id="21"/>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w:t>
      </w:r>
      <w:r>
        <w:t xml:space="preserve"> 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[Section 13 amended: No. 32 of 1994 s. 19; No. 24 of 1998 s. 36; No. 39 of 2010 s. 89.]</w:t>
      </w:r>
    </w:p>
    <w:p>
      <w:pPr>
        <w:pStyle w:val="Heading5"/>
        <w:rPr>
          <w:snapToGrid w:val="0"/>
        </w:rPr>
      </w:pPr>
      <w:bookmarkStart w:id="22" w:name="_Toc32497036"/>
      <w:r>
        <w:rPr>
          <w:rStyle w:val="CharSectno"/>
        </w:rPr>
        <w:t>14</w:t>
      </w:r>
      <w:r>
        <w:rPr>
          <w:snapToGrid w:val="0"/>
        </w:rPr>
        <w:t>.</w:t>
      </w:r>
      <w:r>
        <w:rPr>
          <w:snapToGrid w:val="0"/>
        </w:rPr>
        <w:tab/>
        <w:t>Co</w:t>
      </w:r>
      <w:r>
        <w:rPr>
          <w:snapToGrid w:val="0"/>
        </w:rPr>
        <w:noBreakHyphen/>
        <w:t>option, consultation etc., Commission’s powers as to</w:t>
      </w:r>
      <w:bookmarkEnd w:id="22"/>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23" w:name="_Toc32497037"/>
      <w:r>
        <w:rPr>
          <w:rStyle w:val="CharSectno"/>
        </w:rPr>
        <w:t>15</w:t>
      </w:r>
      <w:r>
        <w:rPr>
          <w:snapToGrid w:val="0"/>
        </w:rPr>
        <w:t>.</w:t>
      </w:r>
      <w:r>
        <w:rPr>
          <w:snapToGrid w:val="0"/>
        </w:rPr>
        <w:tab/>
        <w:t>Committees, appointment of etc.</w:t>
      </w:r>
      <w:bookmarkEnd w:id="23"/>
    </w:p>
    <w:p>
      <w:pPr>
        <w:pStyle w:val="Subsection"/>
        <w:spacing w:before="130"/>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spacing w:before="130"/>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spacing w:before="130"/>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spacing w:before="130"/>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spacing w:before="80"/>
        <w:ind w:left="890" w:hanging="890"/>
      </w:pPr>
      <w:r>
        <w:tab/>
        <w:t>[Section 15 amended: No. 35 of 2003 s. 130.]</w:t>
      </w:r>
    </w:p>
    <w:p>
      <w:pPr>
        <w:pStyle w:val="Heading5"/>
        <w:spacing w:before="200"/>
        <w:rPr>
          <w:snapToGrid w:val="0"/>
        </w:rPr>
      </w:pPr>
      <w:bookmarkStart w:id="24" w:name="_Toc32497038"/>
      <w:r>
        <w:rPr>
          <w:rStyle w:val="CharSectno"/>
        </w:rPr>
        <w:t>16</w:t>
      </w:r>
      <w:r>
        <w:rPr>
          <w:snapToGrid w:val="0"/>
        </w:rPr>
        <w:t>.</w:t>
      </w:r>
      <w:r>
        <w:rPr>
          <w:snapToGrid w:val="0"/>
        </w:rPr>
        <w:tab/>
        <w:t>Delegation powers</w:t>
      </w:r>
      <w:bookmarkEnd w:id="24"/>
    </w:p>
    <w:p>
      <w:pPr>
        <w:pStyle w:val="Subsection"/>
        <w:spacing w:before="140"/>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w:t>
      </w:r>
    </w:p>
    <w:p>
      <w:pPr>
        <w:pStyle w:val="Indenta"/>
        <w:spacing w:before="60"/>
        <w:rPr>
          <w:snapToGrid w:val="0"/>
        </w:rPr>
      </w:pPr>
      <w:r>
        <w:rPr>
          <w:snapToGrid w:val="0"/>
        </w:rPr>
        <w:tab/>
        <w:t>(a)</w:t>
      </w:r>
      <w:r>
        <w:rPr>
          <w:snapToGrid w:val="0"/>
        </w:rPr>
        <w:tab/>
        <w:t>a member or a committee of the Commission; or</w:t>
      </w:r>
    </w:p>
    <w:p>
      <w:pPr>
        <w:pStyle w:val="Indenta"/>
        <w:spacing w:before="60"/>
        <w:rPr>
          <w:snapToGrid w:val="0"/>
        </w:rPr>
      </w:pPr>
      <w:r>
        <w:rPr>
          <w:snapToGrid w:val="0"/>
        </w:rPr>
        <w:tab/>
        <w:t>(b)</w:t>
      </w:r>
      <w:r>
        <w:rPr>
          <w:snapToGrid w:val="0"/>
        </w:rPr>
        <w:tab/>
        <w:t>the Chief Casino Officer, or a government inspector; or</w:t>
      </w:r>
    </w:p>
    <w:p>
      <w:pPr>
        <w:pStyle w:val="Indenta"/>
        <w:spacing w:before="60"/>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spacing w:before="120"/>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government inspector</w:t>
      </w:r>
      <w:r>
        <w:t xml:space="preserve"> and </w:t>
      </w:r>
      <w:r>
        <w:rPr>
          <w:rStyle w:val="CharDefText"/>
        </w:rPr>
        <w:t>Chief Casino Officer</w:t>
      </w:r>
      <w:r>
        <w:t xml:space="preserve"> have the meanings given in the </w:t>
      </w:r>
      <w:r>
        <w:rPr>
          <w:i/>
        </w:rPr>
        <w:t>Casino Control Act 1984</w:t>
      </w:r>
      <w:r>
        <w:t>.</w:t>
      </w:r>
    </w:p>
    <w:p>
      <w:pPr>
        <w:pStyle w:val="Footnotesection"/>
      </w:pPr>
      <w:r>
        <w:tab/>
        <w:t>[Section 16 amended: No. 24 of 1998 s. 37; No. 35 of 2003 s. 131.]</w:t>
      </w:r>
    </w:p>
    <w:p>
      <w:pPr>
        <w:pStyle w:val="Heading3"/>
      </w:pPr>
      <w:bookmarkStart w:id="25" w:name="_Toc32497039"/>
      <w:r>
        <w:rPr>
          <w:rStyle w:val="CharDivNo"/>
        </w:rPr>
        <w:t>Division 5</w:t>
      </w:r>
      <w:r>
        <w:rPr>
          <w:snapToGrid w:val="0"/>
        </w:rPr>
        <w:t> — </w:t>
      </w:r>
      <w:r>
        <w:rPr>
          <w:rStyle w:val="CharDivText"/>
        </w:rPr>
        <w:t>Proceedings</w:t>
      </w:r>
      <w:bookmarkEnd w:id="25"/>
    </w:p>
    <w:p>
      <w:pPr>
        <w:pStyle w:val="Heading5"/>
        <w:rPr>
          <w:snapToGrid w:val="0"/>
        </w:rPr>
      </w:pPr>
      <w:bookmarkStart w:id="26" w:name="_Toc32497040"/>
      <w:r>
        <w:rPr>
          <w:rStyle w:val="CharSectno"/>
        </w:rPr>
        <w:t>17</w:t>
      </w:r>
      <w:r>
        <w:rPr>
          <w:snapToGrid w:val="0"/>
        </w:rPr>
        <w:t>.</w:t>
      </w:r>
      <w:r>
        <w:rPr>
          <w:snapToGrid w:val="0"/>
        </w:rPr>
        <w:tab/>
        <w:t>Proceedings, meetings, declaring interests etc.</w:t>
      </w:r>
      <w:bookmarkEnd w:id="26"/>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No. 35 of 2003 s. 168.]</w:t>
      </w:r>
    </w:p>
    <w:p>
      <w:pPr>
        <w:pStyle w:val="Heading3"/>
      </w:pPr>
      <w:bookmarkStart w:id="27" w:name="_Toc32497041"/>
      <w:r>
        <w:rPr>
          <w:rStyle w:val="CharDivNo"/>
        </w:rPr>
        <w:t>Division 6</w:t>
      </w:r>
      <w:r>
        <w:rPr>
          <w:snapToGrid w:val="0"/>
        </w:rPr>
        <w:t> — </w:t>
      </w:r>
      <w:r>
        <w:rPr>
          <w:rStyle w:val="CharDivText"/>
        </w:rPr>
        <w:t>Staff, etc.</w:t>
      </w:r>
      <w:bookmarkEnd w:id="27"/>
    </w:p>
    <w:p>
      <w:pPr>
        <w:pStyle w:val="Heading5"/>
        <w:rPr>
          <w:snapToGrid w:val="0"/>
        </w:rPr>
      </w:pPr>
      <w:bookmarkStart w:id="28" w:name="_Toc32497042"/>
      <w:r>
        <w:rPr>
          <w:rStyle w:val="CharSectno"/>
        </w:rPr>
        <w:t>18</w:t>
      </w:r>
      <w:r>
        <w:rPr>
          <w:snapToGrid w:val="0"/>
        </w:rPr>
        <w:t>.</w:t>
      </w:r>
      <w:r>
        <w:rPr>
          <w:snapToGrid w:val="0"/>
        </w:rPr>
        <w:tab/>
        <w:t>Staff, contractors etc.; Commission may ask Commissioner of Police to inquire etc. into various matters</w:t>
      </w:r>
      <w:bookmarkEnd w:id="28"/>
    </w:p>
    <w:p>
      <w:pPr>
        <w:pStyle w:val="Subsection"/>
      </w:pPr>
      <w:r>
        <w:tab/>
        <w:t>(1)</w:t>
      </w:r>
      <w:r>
        <w:tab/>
        <w:t>The Commission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The Commission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In subsections (1) and (1a)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w:t>
      </w:r>
    </w:p>
    <w:p>
      <w:pPr>
        <w:pStyle w:val="Indenta"/>
        <w:spacing w:before="76"/>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 and</w:t>
      </w:r>
    </w:p>
    <w:p>
      <w:pPr>
        <w:pStyle w:val="Indenta"/>
        <w:spacing w:before="76"/>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 and</w:t>
      </w:r>
    </w:p>
    <w:p>
      <w:pPr>
        <w:pStyle w:val="Indenta"/>
        <w:keepNext/>
        <w:keepLines/>
        <w:spacing w:before="76"/>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 and</w:t>
      </w:r>
    </w:p>
    <w:p>
      <w:pPr>
        <w:pStyle w:val="Indenta"/>
        <w:spacing w:before="76"/>
      </w:pPr>
      <w:r>
        <w:tab/>
        <w:t>(ca)</w:t>
      </w:r>
      <w:r>
        <w:tab/>
        <w:t>the suitability of —</w:t>
      </w:r>
    </w:p>
    <w:p>
      <w:pPr>
        <w:pStyle w:val="Indenti"/>
        <w:spacing w:before="76"/>
      </w:pPr>
      <w:r>
        <w:tab/>
        <w:t>(i)</w:t>
      </w:r>
      <w:r>
        <w:tab/>
        <w:t xml:space="preserve">such a person to conduct, or to be concerned in the conduct of, wagering under the </w:t>
      </w:r>
      <w:r>
        <w:rPr>
          <w:i/>
        </w:rPr>
        <w:t>Betting Control Act 1954</w:t>
      </w:r>
      <w:r>
        <w:t xml:space="preserve"> or the RWWA Act; or</w:t>
      </w:r>
    </w:p>
    <w:p>
      <w:pPr>
        <w:pStyle w:val="Indenti"/>
        <w:spacing w:before="76"/>
      </w:pPr>
      <w:r>
        <w:tab/>
        <w:t>(ii)</w:t>
      </w:r>
      <w:r>
        <w:tab/>
        <w:t>any individual appointed on behalf of such a person, whether as a nominee or otherwise; or</w:t>
      </w:r>
    </w:p>
    <w:p>
      <w:pPr>
        <w:pStyle w:val="Indenti"/>
        <w:spacing w:before="76"/>
      </w:pPr>
      <w:r>
        <w:tab/>
        <w:t>(iii)</w:t>
      </w:r>
      <w:r>
        <w:tab/>
        <w:t>a person for whom another acts, whether as a nominee or otherwise;</w:t>
      </w:r>
    </w:p>
    <w:p>
      <w:pPr>
        <w:pStyle w:val="Indenta"/>
        <w:spacing w:before="76"/>
      </w:pPr>
      <w:r>
        <w:tab/>
      </w:r>
      <w:r>
        <w:tab/>
        <w:t>and</w:t>
      </w:r>
    </w:p>
    <w:p>
      <w:pPr>
        <w:pStyle w:val="Indenta"/>
        <w:spacing w:before="76"/>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 and</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 and</w:t>
      </w:r>
    </w:p>
    <w:p>
      <w:pPr>
        <w:pStyle w:val="Indenta"/>
        <w:rPr>
          <w:snapToGrid w:val="0"/>
        </w:rPr>
      </w:pPr>
      <w:r>
        <w:rPr>
          <w:snapToGrid w:val="0"/>
        </w:rPr>
        <w:tab/>
        <w:t>(e)</w:t>
      </w:r>
      <w:r>
        <w:rPr>
          <w:snapToGrid w:val="0"/>
        </w:rPr>
        <w:tab/>
        <w:t>any matter concerning a licensed casino; and</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[Section 18 amended: No. 32 of 1994 s. 19; No. 24 of 1998 s. 38; No. 35 of 2003 s. 132 and 166.]</w:t>
      </w:r>
    </w:p>
    <w:p>
      <w:pPr>
        <w:pStyle w:val="Heading5"/>
        <w:spacing w:before="160"/>
        <w:rPr>
          <w:snapToGrid w:val="0"/>
        </w:rPr>
      </w:pPr>
      <w:bookmarkStart w:id="29" w:name="_Toc32497043"/>
      <w:r>
        <w:rPr>
          <w:rStyle w:val="CharSectno"/>
        </w:rPr>
        <w:t>19</w:t>
      </w:r>
      <w:r>
        <w:rPr>
          <w:snapToGrid w:val="0"/>
        </w:rPr>
        <w:t>.</w:t>
      </w:r>
      <w:r>
        <w:rPr>
          <w:snapToGrid w:val="0"/>
        </w:rPr>
        <w:tab/>
        <w:t>Government departments, statutory bodies etc. to assist Commission</w:t>
      </w:r>
      <w:bookmarkEnd w:id="29"/>
    </w:p>
    <w:p>
      <w:pPr>
        <w:pStyle w:val="Subsection"/>
        <w:spacing w:before="100"/>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spacing w:before="100"/>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spacing w:before="100"/>
        <w:ind w:left="890" w:hanging="890"/>
      </w:pPr>
      <w:r>
        <w:tab/>
        <w:t>[Section 19 amended: No. 32 of 1994 s. 19; No. 14 of 1996 s. 4; No. 35 of 2003 s. 133.]</w:t>
      </w:r>
    </w:p>
    <w:p>
      <w:pPr>
        <w:pStyle w:val="Heading5"/>
        <w:spacing w:before="180"/>
        <w:rPr>
          <w:snapToGrid w:val="0"/>
        </w:rPr>
      </w:pPr>
      <w:bookmarkStart w:id="30" w:name="_Toc32497044"/>
      <w:r>
        <w:rPr>
          <w:rStyle w:val="CharSectno"/>
        </w:rPr>
        <w:t>20</w:t>
      </w:r>
      <w:r>
        <w:rPr>
          <w:snapToGrid w:val="0"/>
        </w:rPr>
        <w:t>.</w:t>
      </w:r>
      <w:r>
        <w:rPr>
          <w:snapToGrid w:val="0"/>
        </w:rPr>
        <w:tab/>
        <w:t>Reports, effect of and privilege attached to; official information, disclosure of etc.</w:t>
      </w:r>
      <w:bookmarkEnd w:id="30"/>
    </w:p>
    <w:p>
      <w:pPr>
        <w:pStyle w:val="Subsection"/>
        <w:spacing w:before="120"/>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spacing w:before="120"/>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spacing w:before="100"/>
        <w:rPr>
          <w:snapToGrid w:val="0"/>
        </w:rPr>
      </w:pPr>
      <w:r>
        <w:rPr>
          <w:snapToGrid w:val="0"/>
        </w:rPr>
        <w:tab/>
      </w:r>
      <w:r>
        <w:rPr>
          <w:snapToGrid w:val="0"/>
        </w:rPr>
        <w:tab/>
        <w:t>unless the Commission or a judge otherwise directs.</w:t>
      </w:r>
    </w:p>
    <w:p>
      <w:pPr>
        <w:pStyle w:val="Subsection"/>
        <w:spacing w:before="120"/>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for this subsection: a fine of $2 500.</w:t>
      </w:r>
    </w:p>
    <w:p>
      <w:pPr>
        <w:pStyle w:val="Footnotesection"/>
        <w:spacing w:before="100"/>
        <w:ind w:left="890" w:hanging="890"/>
      </w:pPr>
      <w:r>
        <w:tab/>
        <w:t>[Section 20 amended: No. 35 of 2003 s. 134 and 166; No. 50 of 2003 s. 66(2); No. 41 of 2018 s. 25(1).]</w:t>
      </w:r>
    </w:p>
    <w:p>
      <w:pPr>
        <w:pStyle w:val="Heading3"/>
      </w:pPr>
      <w:bookmarkStart w:id="31" w:name="_Toc32497045"/>
      <w:r>
        <w:rPr>
          <w:rStyle w:val="CharDivNo"/>
        </w:rPr>
        <w:t>Division 7</w:t>
      </w:r>
      <w:r>
        <w:t> — </w:t>
      </w:r>
      <w:r>
        <w:rPr>
          <w:rStyle w:val="CharDivText"/>
        </w:rPr>
        <w:t>Confidential police information</w:t>
      </w:r>
      <w:bookmarkEnd w:id="31"/>
    </w:p>
    <w:p>
      <w:pPr>
        <w:pStyle w:val="Footnoteheading"/>
      </w:pPr>
      <w:r>
        <w:tab/>
        <w:t>[Heading inserted: No. 73 of 2006 s. 113.]</w:t>
      </w:r>
    </w:p>
    <w:p>
      <w:pPr>
        <w:pStyle w:val="Heading5"/>
      </w:pPr>
      <w:bookmarkStart w:id="32" w:name="_Toc32497046"/>
      <w:r>
        <w:rPr>
          <w:rStyle w:val="CharSectno"/>
        </w:rPr>
        <w:t>20A</w:t>
      </w:r>
      <w:r>
        <w:t>.</w:t>
      </w:r>
      <w:r>
        <w:tab/>
        <w:t>Certain information provided by police to be kept confidential</w:t>
      </w:r>
      <w:bookmarkEnd w:id="32"/>
    </w:p>
    <w:p>
      <w:pPr>
        <w:pStyle w:val="Subsection"/>
      </w:pPr>
      <w:r>
        <w:tab/>
        <w:t>(1)</w:t>
      </w:r>
      <w:r>
        <w:tab/>
        <w:t xml:space="preserve">In this </w:t>
      </w:r>
      <w:r>
        <w:rPr>
          <w:snapToGrid w:val="0"/>
        </w:rPr>
        <w:t>section</w:t>
      </w:r>
      <w:r>
        <w:t> —</w:t>
      </w:r>
    </w:p>
    <w:p>
      <w:pPr>
        <w:pStyle w:val="Defstart"/>
        <w:spacing w:before="70"/>
      </w:pPr>
      <w:r>
        <w:rPr>
          <w:b/>
        </w:rPr>
        <w:tab/>
      </w:r>
      <w:r>
        <w:rPr>
          <w:rStyle w:val="CharDefText"/>
        </w:rPr>
        <w:t>confidential police information</w:t>
      </w:r>
      <w:r>
        <w:t xml:space="preserve"> means any information or document classified as confidential under subsection (2);</w:t>
      </w:r>
    </w:p>
    <w:p>
      <w:pPr>
        <w:pStyle w:val="Defstart"/>
        <w:spacing w:before="70"/>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w:t>
      </w:r>
      <w:r>
        <w:rPr>
          <w:snapToGrid w:val="0"/>
        </w:rPr>
        <w:t>purposes</w:t>
      </w:r>
      <w:r>
        <w:t xml:space="preserve"> of this section, the Commissioner of Police may classify as confidential any information or document that is —</w:t>
      </w:r>
    </w:p>
    <w:p>
      <w:pPr>
        <w:pStyle w:val="Indenta"/>
        <w:spacing w:before="60"/>
      </w:pPr>
      <w:r>
        <w:tab/>
        <w:t>(a)</w:t>
      </w:r>
      <w:r>
        <w:tab/>
        <w:t>provided by the Commissioner of Police to the Commission as a report, or part of a report, under section 18(4); or</w:t>
      </w:r>
    </w:p>
    <w:p>
      <w:pPr>
        <w:pStyle w:val="Indenta"/>
        <w:spacing w:before="60"/>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keepNext/>
        <w:spacing w:before="100"/>
      </w:pPr>
      <w:r>
        <w:tab/>
        <w:t>(4)</w:t>
      </w:r>
      <w:r>
        <w:tab/>
      </w:r>
      <w:r>
        <w:rPr>
          <w:snapToGrid w:val="0"/>
        </w:rPr>
        <w:t>If</w:t>
      </w:r>
      <w:r>
        <w:t> —</w:t>
      </w:r>
    </w:p>
    <w:p>
      <w:pPr>
        <w:pStyle w:val="Indenta"/>
        <w:keepNext/>
        <w:spacing w:before="100"/>
      </w:pPr>
      <w:r>
        <w:tab/>
        <w:t>(a)</w:t>
      </w:r>
      <w:r>
        <w:tab/>
        <w:t>the Commission —</w:t>
      </w:r>
    </w:p>
    <w:p>
      <w:pPr>
        <w:pStyle w:val="Indenti"/>
        <w:spacing w:before="100"/>
      </w:pPr>
      <w:r>
        <w:tab/>
        <w:t>(i)</w:t>
      </w:r>
      <w:r>
        <w:tab/>
        <w:t>refuses to grant or issue or renew; or</w:t>
      </w:r>
    </w:p>
    <w:p>
      <w:pPr>
        <w:pStyle w:val="Indenti"/>
        <w:spacing w:before="100"/>
      </w:pPr>
      <w:r>
        <w:tab/>
        <w:t>(ii)</w:t>
      </w:r>
      <w:r>
        <w:tab/>
        <w:t>amends, suspends, cancels or revokes,</w:t>
      </w:r>
    </w:p>
    <w:p>
      <w:pPr>
        <w:pStyle w:val="Indenta"/>
        <w:spacing w:before="100"/>
      </w:pPr>
      <w:r>
        <w:tab/>
      </w:r>
      <w:r>
        <w:tab/>
        <w:t>any permit, approval, certificate, licence or authorisation under a relevant Act; and</w:t>
      </w:r>
    </w:p>
    <w:p>
      <w:pPr>
        <w:pStyle w:val="Indenta"/>
        <w:spacing w:before="100"/>
      </w:pPr>
      <w:r>
        <w:tab/>
        <w:t>(b)</w:t>
      </w:r>
      <w:r>
        <w:tab/>
        <w:t>the decision to do so is made solely or partly on the basis of confidential police information provided to the Commission,</w:t>
      </w:r>
    </w:p>
    <w:p>
      <w:pPr>
        <w:pStyle w:val="Subsection"/>
        <w:spacing w:before="140"/>
      </w:pPr>
      <w:r>
        <w:tab/>
      </w:r>
      <w:r>
        <w:tab/>
        <w:t>the Commission is not required to give any reasons for the decision other than that the decision is made in the public interest.</w:t>
      </w:r>
    </w:p>
    <w:p>
      <w:pPr>
        <w:pStyle w:val="Subsection"/>
        <w:spacing w:before="140"/>
      </w:pPr>
      <w:r>
        <w:tab/>
        <w:t>(5)</w:t>
      </w:r>
      <w:r>
        <w:tab/>
        <w:t>In any proceedings (other than proceedings for an offence) before a court under a relevant Act, the court —</w:t>
      </w:r>
    </w:p>
    <w:p>
      <w:pPr>
        <w:pStyle w:val="Indenta"/>
        <w:spacing w:before="100"/>
      </w:pPr>
      <w:r>
        <w:tab/>
        <w:t>(a)</w:t>
      </w:r>
      <w:r>
        <w:tab/>
        <w:t>must, on the application of the Commissioner of Police, take all reasonable steps to maintain the confidentiality of confidential police information, including steps —</w:t>
      </w:r>
    </w:p>
    <w:p>
      <w:pPr>
        <w:pStyle w:val="Indenti"/>
        <w:spacing w:before="60"/>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spacing w:before="60"/>
      </w:pPr>
      <w:r>
        <w:tab/>
        <w:t>(ii)</w:t>
      </w:r>
      <w:r>
        <w:tab/>
        <w:t>to prohibit the publication of evidence about confidential police information;</w:t>
      </w:r>
    </w:p>
    <w:p>
      <w:pPr>
        <w:pStyle w:val="Indenta"/>
        <w:spacing w:before="100"/>
      </w:pPr>
      <w:r>
        <w:tab/>
      </w:r>
      <w:r>
        <w:tab/>
        <w:t>and</w:t>
      </w:r>
    </w:p>
    <w:p>
      <w:pPr>
        <w:pStyle w:val="Indenta"/>
        <w:spacing w:before="100"/>
      </w:pPr>
      <w:r>
        <w:tab/>
        <w:t>(b)</w:t>
      </w:r>
      <w:r>
        <w:tab/>
        <w:t>may take evidence consisting of or relating to confidential police information by way of an affidavit of a member of the Police Force of or above the rank of Superintendent.</w:t>
      </w:r>
    </w:p>
    <w:p>
      <w:pPr>
        <w:pStyle w:val="Subsection"/>
        <w:spacing w:before="140"/>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No. 73 of 2006 s. 113; amended: No. 35 of 2014 s. 39.]</w:t>
      </w:r>
    </w:p>
    <w:p>
      <w:pPr>
        <w:pStyle w:val="Heading2"/>
      </w:pPr>
      <w:bookmarkStart w:id="33" w:name="_Toc32497047"/>
      <w:r>
        <w:rPr>
          <w:rStyle w:val="CharPartNo"/>
        </w:rPr>
        <w:t>Part III</w:t>
      </w:r>
      <w:r>
        <w:rPr>
          <w:rStyle w:val="CharDivNo"/>
        </w:rPr>
        <w:t> </w:t>
      </w:r>
      <w:r>
        <w:t>—</w:t>
      </w:r>
      <w:r>
        <w:rPr>
          <w:rStyle w:val="CharDivText"/>
        </w:rPr>
        <w:t> </w:t>
      </w:r>
      <w:r>
        <w:rPr>
          <w:rStyle w:val="CharPartText"/>
        </w:rPr>
        <w:t>Enforcement</w:t>
      </w:r>
      <w:bookmarkEnd w:id="33"/>
    </w:p>
    <w:p>
      <w:pPr>
        <w:pStyle w:val="Heading5"/>
        <w:rPr>
          <w:snapToGrid w:val="0"/>
        </w:rPr>
      </w:pPr>
      <w:bookmarkStart w:id="34" w:name="_Toc32497048"/>
      <w:r>
        <w:rPr>
          <w:rStyle w:val="CharSectno"/>
        </w:rPr>
        <w:t>21</w:t>
      </w:r>
      <w:r>
        <w:rPr>
          <w:snapToGrid w:val="0"/>
        </w:rPr>
        <w:t>.</w:t>
      </w:r>
      <w:r>
        <w:rPr>
          <w:snapToGrid w:val="0"/>
        </w:rPr>
        <w:tab/>
        <w:t>Authorised officers, appointment and duties of and reports by</w:t>
      </w:r>
      <w:bookmarkEnd w:id="34"/>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w:t>
      </w:r>
    </w:p>
    <w:p>
      <w:pPr>
        <w:pStyle w:val="Indenta"/>
        <w:spacing w:before="100"/>
        <w:rPr>
          <w:snapToGrid w:val="0"/>
        </w:rPr>
      </w:pPr>
      <w:r>
        <w:rPr>
          <w:snapToGrid w:val="0"/>
        </w:rPr>
        <w:tab/>
        <w:t>(a)</w:t>
      </w:r>
      <w:r>
        <w:rPr>
          <w:snapToGrid w:val="0"/>
        </w:rPr>
        <w:tab/>
        <w:t>to report to the Commission on the conduct, nature, extent and standard of any gaming, and as to the facilities provided, at approved premises and elsewhere; and</w:t>
      </w:r>
    </w:p>
    <w:p>
      <w:pPr>
        <w:pStyle w:val="Indenta"/>
        <w:spacing w:before="10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 and</w:t>
      </w:r>
    </w:p>
    <w:p>
      <w:pPr>
        <w:pStyle w:val="Indenta"/>
        <w:spacing w:before="10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00"/>
        <w:rPr>
          <w:snapToGrid w:val="0"/>
        </w:rPr>
      </w:pPr>
      <w:r>
        <w:rPr>
          <w:snapToGrid w:val="0"/>
        </w:rPr>
        <w:tab/>
        <w:t>(d)</w:t>
      </w:r>
      <w:r>
        <w:rPr>
          <w:snapToGrid w:val="0"/>
        </w:rPr>
        <w:tab/>
        <w:t>otherwise, to assist and advise the Commission whenever so required by the Commission.</w:t>
      </w:r>
    </w:p>
    <w:p>
      <w:pPr>
        <w:pStyle w:val="Subsection"/>
        <w:keepNext/>
        <w:keepLines/>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w:t>
      </w:r>
    </w:p>
    <w:p>
      <w:pPr>
        <w:pStyle w:val="Indenta"/>
        <w:widowControl w:val="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[Section 21 amended: No. 14 of 1996 s. 4; No. 35 of 2003 s. 135.]</w:t>
      </w:r>
    </w:p>
    <w:p>
      <w:pPr>
        <w:pStyle w:val="Heading5"/>
        <w:spacing w:before="260"/>
        <w:rPr>
          <w:snapToGrid w:val="0"/>
        </w:rPr>
      </w:pPr>
      <w:bookmarkStart w:id="35" w:name="_Toc32497049"/>
      <w:r>
        <w:rPr>
          <w:rStyle w:val="CharSectno"/>
        </w:rPr>
        <w:t>22</w:t>
      </w:r>
      <w:r>
        <w:rPr>
          <w:snapToGrid w:val="0"/>
        </w:rPr>
        <w:t>.</w:t>
      </w:r>
      <w:r>
        <w:rPr>
          <w:snapToGrid w:val="0"/>
        </w:rPr>
        <w:tab/>
        <w:t>Permitted gaming and social gambling, powers to scrutinize etc.</w:t>
      </w:r>
      <w:bookmarkEnd w:id="35"/>
    </w:p>
    <w:p>
      <w:pPr>
        <w:pStyle w:val="Subsection"/>
        <w:rPr>
          <w:snapToGrid w:val="0"/>
        </w:rPr>
      </w:pPr>
      <w:r>
        <w:rPr>
          <w:snapToGrid w:val="0"/>
        </w:rPr>
        <w:tab/>
        <w:t>(1)</w:t>
      </w:r>
      <w:r>
        <w:rPr>
          <w:snapToGrid w:val="0"/>
        </w:rPr>
        <w:tab/>
        <w:t>An authorised officer or a member of the Police Force is entitled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keepNext/>
        <w:keepLines/>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w:t>
      </w:r>
    </w:p>
    <w:p>
      <w:pPr>
        <w:pStyle w:val="Indenta"/>
        <w:spacing w:before="60"/>
        <w:rPr>
          <w:snapToGrid w:val="0"/>
        </w:rPr>
      </w:pPr>
      <w:r>
        <w:rPr>
          <w:snapToGrid w:val="0"/>
        </w:rPr>
        <w:tab/>
        <w:t>(a)</w:t>
      </w:r>
      <w:r>
        <w:rPr>
          <w:snapToGrid w:val="0"/>
        </w:rPr>
        <w:tab/>
        <w:t>approved premises; or</w:t>
      </w:r>
    </w:p>
    <w:p>
      <w:pPr>
        <w:pStyle w:val="Indenta"/>
        <w:spacing w:before="60"/>
        <w:rPr>
          <w:snapToGrid w:val="0"/>
        </w:rPr>
      </w:pPr>
      <w:r>
        <w:rPr>
          <w:snapToGrid w:val="0"/>
        </w:rPr>
        <w:tab/>
        <w:t>(b)</w:t>
      </w:r>
      <w:r>
        <w:rPr>
          <w:snapToGrid w:val="0"/>
        </w:rPr>
        <w:tab/>
        <w:t>subject to the consent of the occupier, any premises in relation to which the approval of the Commission is sought.</w:t>
      </w:r>
    </w:p>
    <w:p>
      <w:pPr>
        <w:pStyle w:val="Subsection"/>
        <w:spacing w:before="120"/>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spacing w:before="120"/>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spacing w:before="120"/>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spacing w:before="60"/>
        <w:rPr>
          <w:snapToGrid w:val="0"/>
        </w:rPr>
      </w:pPr>
      <w:r>
        <w:rPr>
          <w:snapToGrid w:val="0"/>
        </w:rPr>
        <w:tab/>
      </w:r>
      <w:r>
        <w:t>Penalty for this subsection: a fine of</w:t>
      </w:r>
      <w:r>
        <w:rPr>
          <w:snapToGrid w:val="0"/>
        </w:rPr>
        <w:t xml:space="preserve"> $5 000, or imprisonment for 1 year, or both.</w:t>
      </w:r>
    </w:p>
    <w:p>
      <w:pPr>
        <w:pStyle w:val="Footnotesection"/>
        <w:spacing w:before="80"/>
        <w:ind w:left="890" w:hanging="890"/>
      </w:pPr>
      <w:r>
        <w:tab/>
        <w:t>[Section 22 amended: No. 24 of 1998 s. 39; No. 35 of 2003 s. 136 and 166; No. 41 of 2018 s. 25(1).]</w:t>
      </w:r>
    </w:p>
    <w:p>
      <w:pPr>
        <w:pStyle w:val="Heading5"/>
        <w:spacing w:before="180"/>
        <w:rPr>
          <w:snapToGrid w:val="0"/>
        </w:rPr>
      </w:pPr>
      <w:bookmarkStart w:id="36" w:name="_Toc32497050"/>
      <w:r>
        <w:rPr>
          <w:rStyle w:val="CharSectno"/>
        </w:rPr>
        <w:t>23</w:t>
      </w:r>
      <w:r>
        <w:rPr>
          <w:snapToGrid w:val="0"/>
        </w:rPr>
        <w:t>.</w:t>
      </w:r>
      <w:r>
        <w:rPr>
          <w:snapToGrid w:val="0"/>
        </w:rPr>
        <w:tab/>
        <w:t>Other police powers not limited by this Act</w:t>
      </w:r>
      <w:bookmarkEnd w:id="36"/>
    </w:p>
    <w:p>
      <w:pPr>
        <w:pStyle w:val="Subsection"/>
        <w:spacing w:before="120"/>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spacing w:before="180"/>
        <w:rPr>
          <w:snapToGrid w:val="0"/>
        </w:rPr>
      </w:pPr>
      <w:bookmarkStart w:id="37" w:name="_Toc32497051"/>
      <w:r>
        <w:rPr>
          <w:rStyle w:val="CharSectno"/>
        </w:rPr>
        <w:t>24</w:t>
      </w:r>
      <w:r>
        <w:rPr>
          <w:snapToGrid w:val="0"/>
        </w:rPr>
        <w:t>.</w:t>
      </w:r>
      <w:r>
        <w:rPr>
          <w:snapToGrid w:val="0"/>
        </w:rPr>
        <w:tab/>
        <w:t>Commissioner of Police, directions by to police officers</w:t>
      </w:r>
      <w:bookmarkEnd w:id="37"/>
    </w:p>
    <w:p>
      <w:pPr>
        <w:pStyle w:val="Subsection"/>
        <w:spacing w:before="120"/>
        <w:rPr>
          <w:snapToGrid w:val="0"/>
        </w:rPr>
      </w:pPr>
      <w:r>
        <w:rPr>
          <w:snapToGrid w:val="0"/>
        </w:rPr>
        <w:tab/>
      </w:r>
      <w:r>
        <w:rPr>
          <w:snapToGrid w:val="0"/>
        </w:rPr>
        <w:tab/>
        <w:t>The Commissioner of Police shall issue all such orders, and give all such directions, to members of the Police Force as may, in his opinion, be necessary or expedient to —</w:t>
      </w:r>
    </w:p>
    <w:p>
      <w:pPr>
        <w:pStyle w:val="Indenta"/>
        <w:spacing w:before="50"/>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 and</w:t>
      </w:r>
    </w:p>
    <w:p>
      <w:pPr>
        <w:pStyle w:val="Indenta"/>
      </w:pPr>
      <w:r>
        <w:tab/>
        <w:t>(b)</w:t>
      </w:r>
      <w:r>
        <w:tab/>
        <w:t xml:space="preserve">ensure the proper and lawful exercise of the following — </w:t>
      </w:r>
    </w:p>
    <w:p>
      <w:pPr>
        <w:pStyle w:val="Indenti"/>
      </w:pPr>
      <w:r>
        <w:tab/>
        <w:t>(i)</w:t>
      </w:r>
      <w:r>
        <w:tab/>
        <w:t xml:space="preserve">a permit granted under this Act; </w:t>
      </w:r>
    </w:p>
    <w:p>
      <w:pPr>
        <w:pStyle w:val="Indenti"/>
      </w:pPr>
      <w:r>
        <w:tab/>
        <w:t>(ii)</w:t>
      </w:r>
      <w:r>
        <w:tab/>
        <w:t>a permit or licence granted by the Commission under any other Act;</w:t>
      </w:r>
    </w:p>
    <w:p>
      <w:pPr>
        <w:pStyle w:val="Indenti"/>
      </w:pPr>
      <w:r>
        <w:tab/>
        <w:t>(iii)</w:t>
      </w:r>
      <w:r>
        <w:tab/>
        <w:t xml:space="preserve">a wagering licence as defined in the </w:t>
      </w:r>
      <w:r>
        <w:rPr>
          <w:i/>
        </w:rPr>
        <w:t>Betting Control Act 1954</w:t>
      </w:r>
      <w:r>
        <w:t xml:space="preserve"> section 4(1);</w:t>
      </w:r>
    </w:p>
    <w:p>
      <w:pPr>
        <w:pStyle w:val="Indenta"/>
      </w:pPr>
      <w:r>
        <w:tab/>
      </w:r>
      <w:r>
        <w:tab/>
        <w:t>and</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No. 35 of 2003 s. 166; No. 21 of 2019 s. 93.]</w:t>
      </w:r>
    </w:p>
    <w:p>
      <w:pPr>
        <w:pStyle w:val="Heading5"/>
        <w:rPr>
          <w:snapToGrid w:val="0"/>
        </w:rPr>
      </w:pPr>
      <w:bookmarkStart w:id="38" w:name="_Toc32497052"/>
      <w:r>
        <w:rPr>
          <w:rStyle w:val="CharSectno"/>
        </w:rPr>
        <w:t>25</w:t>
      </w:r>
      <w:r>
        <w:rPr>
          <w:snapToGrid w:val="0"/>
        </w:rPr>
        <w:t>.</w:t>
      </w:r>
      <w:r>
        <w:rPr>
          <w:snapToGrid w:val="0"/>
        </w:rPr>
        <w:tab/>
        <w:t>Entry to premises, arrest etc., warrant authorising</w:t>
      </w:r>
      <w:bookmarkEnd w:id="38"/>
    </w:p>
    <w:p>
      <w:pPr>
        <w:pStyle w:val="Subsection"/>
        <w:rPr>
          <w:snapToGrid w:val="0"/>
        </w:rPr>
      </w:pPr>
      <w:r>
        <w:rPr>
          <w:snapToGrid w:val="0"/>
        </w:rPr>
        <w:tab/>
        <w:t>(1)</w:t>
      </w:r>
      <w:r>
        <w:rPr>
          <w:snapToGrid w:val="0"/>
        </w:rPr>
        <w:tab/>
        <w:t>Where a justice is satisfied, upon an application supported by evidence on oath, that there is reason to suspect that —</w:t>
      </w:r>
    </w:p>
    <w:p>
      <w:pPr>
        <w:pStyle w:val="Indenta"/>
        <w:rPr>
          <w:snapToGrid w:val="0"/>
        </w:rPr>
      </w:pPr>
      <w:r>
        <w:rPr>
          <w:snapToGrid w:val="0"/>
        </w:rPr>
        <w:tab/>
        <w:t>(a)</w:t>
      </w:r>
      <w:r>
        <w:rPr>
          <w:snapToGrid w:val="0"/>
        </w:rPr>
        <w:tab/>
        <w:t>any premises are, have been or are about to be opened, kept or used as a common gaming house; or</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w:t>
      </w:r>
    </w:p>
    <w:p>
      <w:pPr>
        <w:pStyle w:val="Indenta"/>
        <w:rPr>
          <w:snapToGrid w:val="0"/>
        </w:rPr>
      </w:pPr>
      <w:r>
        <w:rPr>
          <w:snapToGrid w:val="0"/>
        </w:rPr>
        <w:tab/>
        <w:t>(a)</w:t>
      </w:r>
      <w:r>
        <w:rPr>
          <w:snapToGrid w:val="0"/>
        </w:rPr>
        <w:tab/>
        <w:t>to arrest any person found on the premises to which the warrant relates; and</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25 amended: No. 35 of 2003 s. 166; No. 84 of 2004 s. 80.]</w:t>
      </w:r>
    </w:p>
    <w:p>
      <w:pPr>
        <w:pStyle w:val="Heading5"/>
        <w:rPr>
          <w:snapToGrid w:val="0"/>
        </w:rPr>
      </w:pPr>
      <w:bookmarkStart w:id="39" w:name="_Toc32497053"/>
      <w:r>
        <w:rPr>
          <w:rStyle w:val="CharSectno"/>
        </w:rPr>
        <w:t>26</w:t>
      </w:r>
      <w:r>
        <w:rPr>
          <w:snapToGrid w:val="0"/>
        </w:rPr>
        <w:t>.</w:t>
      </w:r>
      <w:r>
        <w:rPr>
          <w:snapToGrid w:val="0"/>
        </w:rPr>
        <w:tab/>
        <w:t>Evidence, information etc., powers to seize, obtain etc.</w:t>
      </w:r>
      <w:bookmarkEnd w:id="39"/>
    </w:p>
    <w:p>
      <w:pPr>
        <w:pStyle w:val="Subsection"/>
        <w:keepNext/>
        <w:keepLines/>
        <w:rPr>
          <w:snapToGrid w:val="0"/>
        </w:rPr>
      </w:pPr>
      <w:r>
        <w:rPr>
          <w:snapToGrid w:val="0"/>
        </w:rPr>
        <w:tab/>
        <w:t>(1)</w:t>
      </w:r>
      <w:r>
        <w:rPr>
          <w:snapToGrid w:val="0"/>
        </w:rPr>
        <w:tab/>
        <w:t>The Commission, an authorised officer or a member of the Police Force may for the purposes of this Act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No. 24 of 1998 s. 40.]</w:t>
      </w:r>
    </w:p>
    <w:p>
      <w:pPr>
        <w:pStyle w:val="Heading5"/>
        <w:rPr>
          <w:snapToGrid w:val="0"/>
        </w:rPr>
      </w:pPr>
      <w:bookmarkStart w:id="40" w:name="_Toc32497054"/>
      <w:r>
        <w:rPr>
          <w:rStyle w:val="CharSectno"/>
        </w:rPr>
        <w:t>27</w:t>
      </w:r>
      <w:r>
        <w:rPr>
          <w:snapToGrid w:val="0"/>
        </w:rPr>
        <w:t>.</w:t>
      </w:r>
      <w:r>
        <w:rPr>
          <w:snapToGrid w:val="0"/>
        </w:rPr>
        <w:tab/>
        <w:t>Information, production of books, accounts etc., powers to require</w:t>
      </w:r>
      <w:bookmarkEnd w:id="40"/>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 and</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 and</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In connection with any pending application for a permit the Commission may at any time require accounts to be furnished by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spacing w:before="140"/>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No. 24 of 1998 s. 41; No. 10 of 2001 s. 86; No. 35 of 2003 s. 166 and 167.]</w:t>
      </w:r>
    </w:p>
    <w:p>
      <w:pPr>
        <w:pStyle w:val="Heading5"/>
        <w:rPr>
          <w:snapToGrid w:val="0"/>
        </w:rPr>
      </w:pPr>
      <w:bookmarkStart w:id="41" w:name="_Toc32497055"/>
      <w:r>
        <w:rPr>
          <w:rStyle w:val="CharSectno"/>
        </w:rPr>
        <w:t>28</w:t>
      </w:r>
      <w:r>
        <w:rPr>
          <w:snapToGrid w:val="0"/>
        </w:rPr>
        <w:t>.</w:t>
      </w:r>
      <w:r>
        <w:rPr>
          <w:snapToGrid w:val="0"/>
        </w:rPr>
        <w:tab/>
        <w:t>Recovering moneys payable to Commission</w:t>
      </w:r>
      <w:bookmarkEnd w:id="41"/>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42" w:name="_Toc32497056"/>
      <w:r>
        <w:rPr>
          <w:rStyle w:val="CharSectno"/>
        </w:rPr>
        <w:t>29</w:t>
      </w:r>
      <w:r>
        <w:rPr>
          <w:snapToGrid w:val="0"/>
        </w:rPr>
        <w:t>.</w:t>
      </w:r>
      <w:r>
        <w:rPr>
          <w:snapToGrid w:val="0"/>
        </w:rPr>
        <w:tab/>
        <w:t>Hindering etc. Commission etc. and false etc. answers, offences as to</w:t>
      </w:r>
      <w:bookmarkEnd w:id="42"/>
    </w:p>
    <w:p>
      <w:pPr>
        <w:pStyle w:val="Subsection"/>
        <w:keepNext/>
        <w:keepLines/>
        <w:rPr>
          <w:snapToGrid w:val="0"/>
        </w:rPr>
      </w:pPr>
      <w:r>
        <w:rPr>
          <w:snapToGrid w:val="0"/>
        </w:rPr>
        <w:tab/>
        <w:t>(1)</w:t>
      </w:r>
      <w:r>
        <w:rPr>
          <w:snapToGrid w:val="0"/>
        </w:rPr>
        <w:tab/>
        <w:t>A person —</w:t>
      </w:r>
    </w:p>
    <w:p>
      <w:pPr>
        <w:pStyle w:val="Indenta"/>
        <w:rPr>
          <w:snapToGrid w:val="0"/>
        </w:rPr>
      </w:pPr>
      <w:r>
        <w:rPr>
          <w:snapToGrid w:val="0"/>
        </w:rPr>
        <w:tab/>
        <w:t>(a)</w:t>
      </w:r>
      <w:r>
        <w:rPr>
          <w:snapToGrid w:val="0"/>
        </w:rPr>
        <w:tab/>
        <w:t>who without lawful excuse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 or</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Footnotesection"/>
        <w:ind w:left="890" w:hanging="890"/>
      </w:pPr>
      <w:r>
        <w:tab/>
        <w:t>[Section 29 amended: No. 35 of 2003 s. 166; No. 41 of 2018 s. 25(1).]</w:t>
      </w:r>
    </w:p>
    <w:p>
      <w:pPr>
        <w:pStyle w:val="Heading5"/>
        <w:rPr>
          <w:snapToGrid w:val="0"/>
        </w:rPr>
      </w:pPr>
      <w:bookmarkStart w:id="43" w:name="_Toc32497057"/>
      <w:r>
        <w:rPr>
          <w:rStyle w:val="CharSectno"/>
        </w:rPr>
        <w:t>30</w:t>
      </w:r>
      <w:r>
        <w:rPr>
          <w:snapToGrid w:val="0"/>
        </w:rPr>
        <w:t>.</w:t>
      </w:r>
      <w:r>
        <w:rPr>
          <w:snapToGrid w:val="0"/>
        </w:rPr>
        <w:tab/>
        <w:t>Incriminating information to be provided but is not admissible</w:t>
      </w:r>
      <w:bookmarkEnd w:id="43"/>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r>
        <w:tab/>
        <w:t>[Section 30 amended: No. 35 of 2003 s. 166.]</w:t>
      </w:r>
    </w:p>
    <w:p>
      <w:pPr>
        <w:pStyle w:val="Heading5"/>
        <w:rPr>
          <w:snapToGrid w:val="0"/>
        </w:rPr>
      </w:pPr>
      <w:bookmarkStart w:id="44" w:name="_Toc32497058"/>
      <w:r>
        <w:rPr>
          <w:rStyle w:val="CharSectno"/>
        </w:rPr>
        <w:t>31</w:t>
      </w:r>
      <w:r>
        <w:rPr>
          <w:snapToGrid w:val="0"/>
        </w:rPr>
        <w:t>.</w:t>
      </w:r>
      <w:r>
        <w:rPr>
          <w:snapToGrid w:val="0"/>
        </w:rPr>
        <w:tab/>
        <w:t>Seizure without warrant</w:t>
      </w:r>
      <w:bookmarkEnd w:id="44"/>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r>
        <w:tab/>
        <w:t>[Section 31 amended: No. 35 of 2003 s. 166; No. 59 of 2006 s. 48.]</w:t>
      </w:r>
    </w:p>
    <w:p>
      <w:pPr>
        <w:pStyle w:val="Heading5"/>
      </w:pPr>
      <w:bookmarkStart w:id="45" w:name="_Toc32497059"/>
      <w:r>
        <w:rPr>
          <w:rStyle w:val="CharSectno"/>
        </w:rPr>
        <w:t>31A</w:t>
      </w:r>
      <w:r>
        <w:t>.</w:t>
      </w:r>
      <w:r>
        <w:tab/>
        <w:t>Powers to assist seizing things</w:t>
      </w:r>
      <w:bookmarkEnd w:id="45"/>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[Section 31A inserted: No. 59 of 2006 s. 49.]</w:t>
      </w:r>
    </w:p>
    <w:p>
      <w:pPr>
        <w:pStyle w:val="Heading5"/>
        <w:rPr>
          <w:snapToGrid w:val="0"/>
        </w:rPr>
      </w:pPr>
      <w:bookmarkStart w:id="46" w:name="_Toc32497060"/>
      <w:r>
        <w:rPr>
          <w:rStyle w:val="CharSectno"/>
        </w:rPr>
        <w:t>32</w:t>
      </w:r>
      <w:r>
        <w:rPr>
          <w:snapToGrid w:val="0"/>
        </w:rPr>
        <w:t>.</w:t>
      </w:r>
      <w:r>
        <w:rPr>
          <w:snapToGrid w:val="0"/>
        </w:rPr>
        <w:tab/>
        <w:t>Certain seized things to be forfeited to Crown</w:t>
      </w:r>
      <w:bookmarkEnd w:id="46"/>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No. 24 of 1998 s. 42; No. 70 of 2004 s. 82; No. 59 of 2006 s. 50.]</w:t>
      </w:r>
    </w:p>
    <w:p>
      <w:pPr>
        <w:pStyle w:val="Heading5"/>
      </w:pPr>
      <w:bookmarkStart w:id="47" w:name="_Toc32497061"/>
      <w:r>
        <w:rPr>
          <w:rStyle w:val="CharSectno"/>
        </w:rPr>
        <w:t>32A</w:t>
      </w:r>
      <w:r>
        <w:t>.</w:t>
      </w:r>
      <w:r>
        <w:tab/>
        <w:t>Disposing of seized or forfeited things</w:t>
      </w:r>
      <w:bookmarkEnd w:id="47"/>
    </w:p>
    <w:p>
      <w:pPr>
        <w:pStyle w:val="Subsection"/>
        <w:spacing w:before="140"/>
      </w:pPr>
      <w:r>
        <w:tab/>
        <w:t>(1)</w:t>
      </w:r>
      <w:r>
        <w:tab/>
        <w:t>In this section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4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40"/>
      </w:pPr>
      <w:r>
        <w:tab/>
        <w:t>(3)</w:t>
      </w:r>
      <w:r>
        <w:tab/>
        <w:t xml:space="preserve">For the purposes of the </w:t>
      </w:r>
      <w:r>
        <w:rPr>
          <w:i/>
          <w:iCs/>
        </w:rPr>
        <w:t>Criminal and Found Property Disposal Act 2006</w:t>
      </w:r>
      <w:r>
        <w:t> —</w:t>
      </w:r>
    </w:p>
    <w:p>
      <w:pPr>
        <w:pStyle w:val="Indenta"/>
        <w:spacing w:before="60"/>
      </w:pPr>
      <w:r>
        <w:tab/>
        <w:t>(a)</w:t>
      </w:r>
      <w:r>
        <w:tab/>
        <w:t>the Commission is a prescribed agency;</w:t>
      </w:r>
    </w:p>
    <w:p>
      <w:pPr>
        <w:pStyle w:val="Indenta"/>
        <w:spacing w:before="60"/>
      </w:pPr>
      <w:r>
        <w:tab/>
        <w:t>(b)</w:t>
      </w:r>
      <w:r>
        <w:tab/>
        <w:t>the chief executive officer of the Department is the chief officer of the Commission.</w:t>
      </w:r>
    </w:p>
    <w:p>
      <w:pPr>
        <w:pStyle w:val="Footnotesection"/>
        <w:spacing w:before="100"/>
        <w:ind w:left="890" w:hanging="890"/>
      </w:pPr>
      <w:r>
        <w:tab/>
        <w:t>[Section 32A inserted: No. 59 of 2006 s. 51.]</w:t>
      </w:r>
    </w:p>
    <w:p>
      <w:pPr>
        <w:pStyle w:val="Heading5"/>
        <w:spacing w:before="200"/>
        <w:rPr>
          <w:snapToGrid w:val="0"/>
        </w:rPr>
      </w:pPr>
      <w:bookmarkStart w:id="48" w:name="_Toc32497062"/>
      <w:r>
        <w:rPr>
          <w:rStyle w:val="CharSectno"/>
        </w:rPr>
        <w:t>33</w:t>
      </w:r>
      <w:r>
        <w:rPr>
          <w:snapToGrid w:val="0"/>
        </w:rPr>
        <w:t>.</w:t>
      </w:r>
      <w:r>
        <w:rPr>
          <w:snapToGrid w:val="0"/>
        </w:rPr>
        <w:tab/>
        <w:t>Prosecuting offences</w:t>
      </w:r>
      <w:bookmarkEnd w:id="48"/>
    </w:p>
    <w:p>
      <w:pPr>
        <w:pStyle w:val="Subsection"/>
        <w:spacing w:before="14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4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4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4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w:t>
      </w:r>
    </w:p>
    <w:p>
      <w:pPr>
        <w:pStyle w:val="Indenta"/>
        <w:spacing w:before="60"/>
        <w:rPr>
          <w:snapToGrid w:val="0"/>
        </w:rPr>
      </w:pPr>
      <w:r>
        <w:rPr>
          <w:snapToGrid w:val="0"/>
        </w:rPr>
        <w:tab/>
        <w:t>(a)</w:t>
      </w:r>
      <w:r>
        <w:rPr>
          <w:snapToGrid w:val="0"/>
        </w:rPr>
        <w:tab/>
        <w:t>the name of the person or persons against whom the proceedings have been instituted; and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No. 24 of 1998 s. 43; No. 35 of 2003 s. 137 and 166; No. 84 of 2004 s. 80.]</w:t>
      </w:r>
    </w:p>
    <w:p>
      <w:pPr>
        <w:pStyle w:val="Heading5"/>
        <w:rPr>
          <w:bCs/>
        </w:rPr>
      </w:pPr>
      <w:bookmarkStart w:id="49" w:name="_Toc32497063"/>
      <w:r>
        <w:rPr>
          <w:rStyle w:val="CharSectno"/>
        </w:rPr>
        <w:t>34</w:t>
      </w:r>
      <w:r>
        <w:rPr>
          <w:bCs/>
        </w:rPr>
        <w:t>.</w:t>
      </w:r>
      <w:r>
        <w:rPr>
          <w:bCs/>
        </w:rPr>
        <w:tab/>
        <w:t>Offences to be dealt with by magistrate</w:t>
      </w:r>
      <w:bookmarkEnd w:id="49"/>
    </w:p>
    <w:p>
      <w:pPr>
        <w:pStyle w:val="Subsection"/>
      </w:pPr>
      <w:r>
        <w:tab/>
      </w:r>
      <w:r>
        <w:tab/>
        <w:t>A court of summary jurisdiction dealing with an offence under this Act is to be constituted by a magistrate.</w:t>
      </w:r>
    </w:p>
    <w:p>
      <w:pPr>
        <w:pStyle w:val="Footnotesection"/>
      </w:pPr>
      <w:r>
        <w:tab/>
        <w:t>[Section 34 inserted: No. 59 of 2004 s. 141.]</w:t>
      </w:r>
    </w:p>
    <w:p>
      <w:pPr>
        <w:pStyle w:val="Heading5"/>
      </w:pPr>
      <w:bookmarkStart w:id="50" w:name="_Toc32497064"/>
      <w:r>
        <w:rPr>
          <w:rStyle w:val="CharSectno"/>
        </w:rPr>
        <w:t>35</w:t>
      </w:r>
      <w:r>
        <w:t>.</w:t>
      </w:r>
      <w:r>
        <w:tab/>
        <w:t>General penalty</w:t>
      </w:r>
      <w:bookmarkEnd w:id="50"/>
    </w:p>
    <w:p>
      <w:pPr>
        <w:pStyle w:val="Subsection"/>
        <w:keepNext/>
        <w:rPr>
          <w:snapToGrid w:val="0"/>
        </w:rPr>
      </w:pPr>
      <w:r>
        <w:tab/>
      </w:r>
      <w:r>
        <w:tab/>
        <w:t>The penalty for an offence under this Act for which no penalty is specifically provided is a fine of $1 000.</w:t>
      </w:r>
    </w:p>
    <w:p>
      <w:pPr>
        <w:pStyle w:val="Footnotesection"/>
      </w:pPr>
      <w:r>
        <w:tab/>
        <w:t>[Section 35 inserted: No. 50 of 2003 s. 66(3).]</w:t>
      </w:r>
    </w:p>
    <w:p>
      <w:pPr>
        <w:pStyle w:val="Heading5"/>
        <w:rPr>
          <w:snapToGrid w:val="0"/>
        </w:rPr>
      </w:pPr>
      <w:bookmarkStart w:id="51" w:name="_Toc32497065"/>
      <w:r>
        <w:rPr>
          <w:rStyle w:val="CharSectno"/>
        </w:rPr>
        <w:t>36</w:t>
      </w:r>
      <w:r>
        <w:rPr>
          <w:snapToGrid w:val="0"/>
        </w:rPr>
        <w:t>.</w:t>
      </w:r>
      <w:r>
        <w:rPr>
          <w:snapToGrid w:val="0"/>
        </w:rPr>
        <w:tab/>
        <w:t>Infringement notices</w:t>
      </w:r>
      <w:bookmarkEnd w:id="51"/>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w:t>
      </w:r>
    </w:p>
    <w:p>
      <w:pPr>
        <w:pStyle w:val="Indenta"/>
        <w:rPr>
          <w:snapToGrid w:val="0"/>
        </w:rPr>
      </w:pPr>
      <w:r>
        <w:rPr>
          <w:snapToGrid w:val="0"/>
        </w:rPr>
        <w:tab/>
        <w:t>(a)</w:t>
      </w:r>
      <w:r>
        <w:rPr>
          <w:snapToGrid w:val="0"/>
        </w:rPr>
        <w:tab/>
        <w:t>the place where the offence occurs; and</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keepNext/>
        <w:keepLines/>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keepNext/>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r>
        <w:tab/>
        <w:t>[Section 36 amended: No. 84 of 2004 s. 80.]</w:t>
      </w:r>
    </w:p>
    <w:p>
      <w:pPr>
        <w:pStyle w:val="Heading5"/>
        <w:rPr>
          <w:snapToGrid w:val="0"/>
        </w:rPr>
      </w:pPr>
      <w:bookmarkStart w:id="52" w:name="_Toc32497066"/>
      <w:r>
        <w:rPr>
          <w:rStyle w:val="CharSectno"/>
        </w:rPr>
        <w:t>37</w:t>
      </w:r>
      <w:r>
        <w:rPr>
          <w:snapToGrid w:val="0"/>
        </w:rPr>
        <w:t>.</w:t>
      </w:r>
      <w:r>
        <w:rPr>
          <w:snapToGrid w:val="0"/>
        </w:rPr>
        <w:tab/>
        <w:t>Criminal liability of directors etc.</w:t>
      </w:r>
      <w:bookmarkEnd w:id="52"/>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No. 24 of 1998 s. 44; No. 10 of 2001 s. 87; No. 35 of 2003 s. 166.]</w:t>
      </w:r>
    </w:p>
    <w:p>
      <w:pPr>
        <w:pStyle w:val="Heading5"/>
        <w:rPr>
          <w:snapToGrid w:val="0"/>
        </w:rPr>
      </w:pPr>
      <w:bookmarkStart w:id="53" w:name="_Toc32497067"/>
      <w:r>
        <w:rPr>
          <w:rStyle w:val="CharSectno"/>
        </w:rPr>
        <w:t>38</w:t>
      </w:r>
      <w:r>
        <w:rPr>
          <w:snapToGrid w:val="0"/>
        </w:rPr>
        <w:t>.</w:t>
      </w:r>
      <w:r>
        <w:rPr>
          <w:snapToGrid w:val="0"/>
        </w:rPr>
        <w:tab/>
        <w:t>Service of notices</w:t>
      </w:r>
      <w:bookmarkEnd w:id="53"/>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w:t>
      </w:r>
      <w:r>
        <w:t xml:space="preserve">incorporated, or taken to be incorporated, under the </w:t>
      </w:r>
      <w:r>
        <w:rPr>
          <w:i/>
        </w:rPr>
        <w:t>Associations Incorporation Act 2015</w:t>
      </w:r>
      <w:r>
        <w:t xml:space="preserve">, </w:t>
      </w:r>
      <w:r>
        <w:rPr>
          <w:snapToGrid w:val="0"/>
        </w:rPr>
        <w:t>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No. 24 of 1998 s. 45; No. 10 of 2001 s. 88; No. 35 of 2003 s. 139; No. 30 of 2015 s. 217.]</w:t>
      </w:r>
    </w:p>
    <w:p>
      <w:pPr>
        <w:pStyle w:val="Heading5"/>
        <w:rPr>
          <w:snapToGrid w:val="0"/>
        </w:rPr>
      </w:pPr>
      <w:bookmarkStart w:id="54" w:name="_Toc32497068"/>
      <w:r>
        <w:rPr>
          <w:rStyle w:val="CharSectno"/>
        </w:rPr>
        <w:t>39</w:t>
      </w:r>
      <w:r>
        <w:rPr>
          <w:snapToGrid w:val="0"/>
        </w:rPr>
        <w:t>.</w:t>
      </w:r>
      <w:r>
        <w:rPr>
          <w:snapToGrid w:val="0"/>
        </w:rPr>
        <w:tab/>
        <w:t>Evidentiary provisions for charges of offences</w:t>
      </w:r>
      <w:bookmarkEnd w:id="54"/>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a document signed by a member of the Commission stating that at the time or during the period stated in the document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 or</w:t>
      </w:r>
    </w:p>
    <w:p>
      <w:pPr>
        <w:pStyle w:val="Indenti"/>
        <w:rPr>
          <w:snapToGrid w:val="0"/>
        </w:rPr>
      </w:pPr>
      <w:r>
        <w:rPr>
          <w:snapToGrid w:val="0"/>
        </w:rPr>
        <w:tab/>
        <w:t>(iii)</w:t>
      </w:r>
      <w:r>
        <w:rPr>
          <w:snapToGrid w:val="0"/>
        </w:rPr>
        <w:tab/>
        <w:t>a specified game is of a kind essentially similar to a game of another specified kind; or</w:t>
      </w:r>
    </w:p>
    <w:p>
      <w:pPr>
        <w:pStyle w:val="Indenti"/>
        <w:rPr>
          <w:snapToGrid w:val="0"/>
        </w:rPr>
      </w:pPr>
      <w:r>
        <w:rPr>
          <w:snapToGrid w:val="0"/>
        </w:rPr>
        <w:tab/>
        <w:t>(iiia)</w:t>
      </w:r>
      <w:r>
        <w:rPr>
          <w:snapToGrid w:val="0"/>
        </w:rPr>
        <w:tab/>
        <w:t>a specified game is a game that is commonly played in casinos (whether in Australia or elsewhere) or is a variation or derivative of such a game; or</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 and</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 and</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 and</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 and</w:t>
      </w:r>
    </w:p>
    <w:p>
      <w:pPr>
        <w:pStyle w:val="Indenta"/>
        <w:spacing w:before="90"/>
        <w:rPr>
          <w:snapToGrid w:val="0"/>
        </w:rPr>
      </w:pPr>
      <w:r>
        <w:rPr>
          <w:snapToGrid w:val="0"/>
        </w:rPr>
        <w:tab/>
        <w:t>(d)</w:t>
      </w:r>
      <w:r>
        <w:rPr>
          <w:snapToGrid w:val="0"/>
        </w:rPr>
        <w:tab/>
        <w:t>the playing of a game of chance or participation in any activity which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 or</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w:t>
      </w:r>
    </w:p>
    <w:p>
      <w:pPr>
        <w:pStyle w:val="Indenti"/>
        <w:rPr>
          <w:snapToGrid w:val="0"/>
        </w:rPr>
      </w:pPr>
      <w:r>
        <w:rPr>
          <w:snapToGrid w:val="0"/>
        </w:rPr>
        <w:tab/>
        <w:t>(i)</w:t>
      </w:r>
      <w:r>
        <w:rPr>
          <w:snapToGrid w:val="0"/>
        </w:rPr>
        <w:tab/>
      </w:r>
      <w:r>
        <w:t>gambling</w:t>
      </w:r>
      <w:r>
        <w:rPr>
          <w:snapToGrid w:val="0"/>
        </w:rPr>
        <w:t xml:space="preserve"> in; or</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w:t>
      </w:r>
    </w:p>
    <w:p>
      <w:pPr>
        <w:pStyle w:val="Indenta"/>
        <w:rPr>
          <w:snapToGrid w:val="0"/>
        </w:rPr>
      </w:pPr>
      <w:r>
        <w:rPr>
          <w:snapToGrid w:val="0"/>
        </w:rPr>
        <w:tab/>
        <w:t>(a)</w:t>
      </w:r>
      <w:r>
        <w:rPr>
          <w:snapToGrid w:val="0"/>
        </w:rPr>
        <w:tab/>
        <w:t>taking part in the conduct of the game; or</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[Section 39 amended: No. 16 of 1990 s. 33; No. 24 of 1998 s. 46; No. 35 of 2003 s. 140, 166 and 167; No. 84 of 2004 s. 80.]</w:t>
      </w:r>
    </w:p>
    <w:p>
      <w:pPr>
        <w:pStyle w:val="Heading5"/>
        <w:rPr>
          <w:snapToGrid w:val="0"/>
        </w:rPr>
      </w:pPr>
      <w:bookmarkStart w:id="55" w:name="_Toc32497069"/>
      <w:r>
        <w:rPr>
          <w:rStyle w:val="CharSectno"/>
        </w:rPr>
        <w:t>40</w:t>
      </w:r>
      <w:r>
        <w:rPr>
          <w:snapToGrid w:val="0"/>
        </w:rPr>
        <w:t>.</w:t>
      </w:r>
      <w:r>
        <w:rPr>
          <w:snapToGrid w:val="0"/>
        </w:rPr>
        <w:tab/>
        <w:t>Evidentiary provisions for charges involving common gaming houses</w:t>
      </w:r>
      <w:bookmarkEnd w:id="55"/>
    </w:p>
    <w:p>
      <w:pPr>
        <w:pStyle w:val="Subsection"/>
        <w:rPr>
          <w:snapToGrid w:val="0"/>
        </w:rPr>
      </w:pPr>
      <w:r>
        <w:rPr>
          <w:snapToGrid w:val="0"/>
        </w:rPr>
        <w:tab/>
        <w:t>(1)</w:t>
      </w:r>
      <w:r>
        <w:rPr>
          <w:snapToGrid w:val="0"/>
        </w:rPr>
        <w:tab/>
        <w:t>Where a person is charged with an offence in relation to any premises alleged to be a common gaming house —</w:t>
      </w:r>
    </w:p>
    <w:p>
      <w:pPr>
        <w:pStyle w:val="Indenta"/>
        <w:spacing w:before="70"/>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spacing w:before="70"/>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spacing w:before="70"/>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w:t>
      </w:r>
    </w:p>
    <w:p>
      <w:pPr>
        <w:pStyle w:val="Indenti"/>
        <w:spacing w:before="70"/>
        <w:rPr>
          <w:snapToGrid w:val="0"/>
        </w:rPr>
      </w:pPr>
      <w:r>
        <w:rPr>
          <w:snapToGrid w:val="0"/>
        </w:rPr>
        <w:tab/>
        <w:t>(i)</w:t>
      </w:r>
      <w:r>
        <w:rPr>
          <w:snapToGrid w:val="0"/>
        </w:rPr>
        <w:tab/>
        <w:t>the game is an unlawful game; or</w:t>
      </w:r>
    </w:p>
    <w:p>
      <w:pPr>
        <w:pStyle w:val="Indenti"/>
        <w:spacing w:before="70"/>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 or</w:t>
      </w:r>
    </w:p>
    <w:p>
      <w:pPr>
        <w:pStyle w:val="Indenti"/>
        <w:spacing w:before="70"/>
        <w:rPr>
          <w:snapToGrid w:val="0"/>
        </w:rPr>
      </w:pPr>
      <w:r>
        <w:rPr>
          <w:snapToGrid w:val="0"/>
        </w:rPr>
        <w:tab/>
        <w:t>(iii)</w:t>
      </w:r>
      <w:r>
        <w:rPr>
          <w:snapToGrid w:val="0"/>
        </w:rPr>
        <w:tab/>
        <w:t>the nature of the game is such that the chances in the game are not equally favourable to all players; or</w:t>
      </w:r>
    </w:p>
    <w:p>
      <w:pPr>
        <w:pStyle w:val="Indenti"/>
        <w:spacing w:before="70"/>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 or</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 or</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 or</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No. 35 of 2003 s. 141.]</w:t>
      </w:r>
    </w:p>
    <w:p>
      <w:pPr>
        <w:pStyle w:val="Heading2"/>
      </w:pPr>
      <w:bookmarkStart w:id="56" w:name="_Toc32497070"/>
      <w:r>
        <w:rPr>
          <w:rStyle w:val="CharPartNo"/>
        </w:rPr>
        <w:t>Part IV</w:t>
      </w:r>
      <w:r>
        <w:rPr>
          <w:rStyle w:val="CharDivNo"/>
        </w:rPr>
        <w:t> </w:t>
      </w:r>
      <w:r>
        <w:t>—</w:t>
      </w:r>
      <w:r>
        <w:rPr>
          <w:rStyle w:val="CharDivText"/>
        </w:rPr>
        <w:t> </w:t>
      </w:r>
      <w:r>
        <w:rPr>
          <w:rStyle w:val="CharPartText"/>
        </w:rPr>
        <w:t>Common gaming houses, unlawful gaming, cheating etc.</w:t>
      </w:r>
      <w:bookmarkEnd w:id="56"/>
    </w:p>
    <w:p>
      <w:pPr>
        <w:pStyle w:val="Heading5"/>
      </w:pPr>
      <w:bookmarkStart w:id="57" w:name="_Toc32497071"/>
      <w:r>
        <w:rPr>
          <w:rStyle w:val="CharSectno"/>
        </w:rPr>
        <w:t>40A</w:t>
      </w:r>
      <w:r>
        <w:t>.</w:t>
      </w:r>
      <w:r>
        <w:tab/>
        <w:t>Part does not apply to gambling under other written laws</w:t>
      </w:r>
      <w:bookmarkEnd w:id="57"/>
    </w:p>
    <w:p>
      <w:pPr>
        <w:pStyle w:val="Subsection"/>
      </w:pPr>
      <w:r>
        <w:tab/>
      </w:r>
      <w:r>
        <w:tab/>
        <w:t>In this Part —</w:t>
      </w:r>
    </w:p>
    <w:p>
      <w:pPr>
        <w:pStyle w:val="Defstart"/>
      </w:pPr>
      <w:r>
        <w:rPr>
          <w:b/>
        </w:rPr>
        <w:tab/>
      </w:r>
      <w:r>
        <w:rPr>
          <w:rStyle w:val="CharDefText"/>
        </w:rPr>
        <w:t>gambling</w:t>
      </w:r>
      <w:r>
        <w:t xml:space="preserve"> and </w:t>
      </w:r>
      <w:r>
        <w:rPr>
          <w:rStyle w:val="CharDefText"/>
        </w:rPr>
        <w:t>wagering</w:t>
      </w:r>
      <w:r>
        <w:t>, except in relation to section 44, do not include gambling under and in accordance with —</w:t>
      </w:r>
    </w:p>
    <w:p>
      <w:pPr>
        <w:pStyle w:val="Defpara"/>
      </w:pPr>
      <w:r>
        <w:tab/>
        <w:t>(a)</w:t>
      </w:r>
      <w:r>
        <w:tab/>
        <w:t xml:space="preserve">the </w:t>
      </w:r>
      <w:r>
        <w:rPr>
          <w:i/>
        </w:rPr>
        <w:t>Betting Control Act 1954</w:t>
      </w:r>
      <w:r>
        <w:t>; or</w:t>
      </w:r>
    </w:p>
    <w:p>
      <w:pPr>
        <w:pStyle w:val="Defpara"/>
      </w:pPr>
      <w:r>
        <w:tab/>
        <w:t>(b)</w:t>
      </w:r>
      <w:r>
        <w:tab/>
        <w:t xml:space="preserve">the </w:t>
      </w:r>
      <w:r>
        <w:rPr>
          <w:i/>
        </w:rPr>
        <w:t>Lotteries Commission Act 1990</w:t>
      </w:r>
      <w:r>
        <w:t>; or</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No. 35 of 2003 s. 142.]</w:t>
      </w:r>
    </w:p>
    <w:p>
      <w:pPr>
        <w:pStyle w:val="Heading5"/>
        <w:rPr>
          <w:snapToGrid w:val="0"/>
        </w:rPr>
      </w:pPr>
      <w:bookmarkStart w:id="58" w:name="_Toc32497072"/>
      <w:r>
        <w:rPr>
          <w:rStyle w:val="CharSectno"/>
        </w:rPr>
        <w:t>41</w:t>
      </w:r>
      <w:r>
        <w:rPr>
          <w:snapToGrid w:val="0"/>
        </w:rPr>
        <w:t>.</w:t>
      </w:r>
      <w:r>
        <w:rPr>
          <w:snapToGrid w:val="0"/>
        </w:rPr>
        <w:tab/>
        <w:t>Common gaming house, meaning of and offences as to</w:t>
      </w:r>
      <w:bookmarkEnd w:id="58"/>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w:t>
      </w:r>
    </w:p>
    <w:p>
      <w:pPr>
        <w:pStyle w:val="Indenta"/>
        <w:rPr>
          <w:snapToGrid w:val="0"/>
        </w:rPr>
      </w:pPr>
      <w:r>
        <w:rPr>
          <w:snapToGrid w:val="0"/>
        </w:rPr>
        <w:tab/>
        <w:t>(a)</w:t>
      </w:r>
      <w:r>
        <w:rPr>
          <w:snapToGrid w:val="0"/>
        </w:rPr>
        <w:tab/>
        <w:t>a person concerned in the conduct of the</w:t>
      </w:r>
      <w:r>
        <w:t xml:space="preserve"> gambling</w:t>
      </w:r>
      <w:r>
        <w:rPr>
          <w:snapToGrid w:val="0"/>
        </w:rPr>
        <w:t>; and</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$10 000, or imprisonment for 2 years, or both.</w:t>
      </w:r>
    </w:p>
    <w:p>
      <w:pPr>
        <w:pStyle w:val="Subsection"/>
        <w:rPr>
          <w:snapToGrid w:val="0"/>
        </w:rPr>
      </w:pPr>
      <w:r>
        <w:rPr>
          <w:snapToGrid w:val="0"/>
        </w:rPr>
        <w:tab/>
        <w:t>(4)</w:t>
      </w:r>
      <w:r>
        <w:rPr>
          <w:snapToGrid w:val="0"/>
        </w:rPr>
        <w:tab/>
        <w:t>For the purposes of subsection (3), any person who —</w:t>
      </w:r>
    </w:p>
    <w:p>
      <w:pPr>
        <w:pStyle w:val="Indenta"/>
        <w:rPr>
          <w:snapToGrid w:val="0"/>
        </w:rPr>
      </w:pPr>
      <w:r>
        <w:rPr>
          <w:snapToGrid w:val="0"/>
        </w:rPr>
        <w:tab/>
        <w:t>(a)</w:t>
      </w:r>
      <w:r>
        <w:rPr>
          <w:snapToGrid w:val="0"/>
        </w:rPr>
        <w:tab/>
        <w:t>causes, procures or attempts to procure any other person to commit an offence of a kind referred to in that subsection; or</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w:t>
      </w:r>
    </w:p>
    <w:p>
      <w:pPr>
        <w:pStyle w:val="Indenti"/>
        <w:rPr>
          <w:snapToGrid w:val="0"/>
        </w:rPr>
      </w:pPr>
      <w:r>
        <w:rPr>
          <w:snapToGrid w:val="0"/>
        </w:rPr>
        <w:tab/>
        <w:t>(i)</w:t>
      </w:r>
      <w:r>
        <w:rPr>
          <w:snapToGrid w:val="0"/>
        </w:rPr>
        <w:tab/>
        <w:t>providing, servicing, operating or using any gaming equipment or instrument of gaming; or</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r>
      <w:r>
        <w:t>Penalty for this subsection: a fine of</w:t>
      </w:r>
      <w:r>
        <w:rPr>
          <w:snapToGrid w:val="0"/>
        </w:rPr>
        <w:t xml:space="preserve">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No. 24 of 1998 s. 47; No. 35 of 2003 s. 143 and 166; No. 59 of 2006 s. 52; No. 41 of 2018 s. 25(1).]</w:t>
      </w:r>
    </w:p>
    <w:p>
      <w:pPr>
        <w:pStyle w:val="Heading5"/>
        <w:rPr>
          <w:snapToGrid w:val="0"/>
        </w:rPr>
      </w:pPr>
      <w:bookmarkStart w:id="59" w:name="_Toc32497073"/>
      <w:r>
        <w:rPr>
          <w:rStyle w:val="CharSectno"/>
        </w:rPr>
        <w:t>42</w:t>
      </w:r>
      <w:r>
        <w:rPr>
          <w:snapToGrid w:val="0"/>
        </w:rPr>
        <w:t>.</w:t>
      </w:r>
      <w:r>
        <w:rPr>
          <w:snapToGrid w:val="0"/>
        </w:rPr>
        <w:tab/>
        <w:t>Prohibited gaming and unlawful games defined and offences as to</w:t>
      </w:r>
      <w:bookmarkEnd w:id="59"/>
    </w:p>
    <w:p>
      <w:pPr>
        <w:pStyle w:val="Subsection"/>
        <w:rPr>
          <w:snapToGrid w:val="0"/>
        </w:rPr>
      </w:pPr>
      <w:r>
        <w:rPr>
          <w:snapToGrid w:val="0"/>
        </w:rPr>
        <w:tab/>
        <w:t>(1)</w:t>
      </w:r>
      <w:r>
        <w:rPr>
          <w:snapToGrid w:val="0"/>
        </w:rPr>
        <w:tab/>
        <w:t>Subject to subsection (3), the conduct of gaming by means of or the playing of —</w:t>
      </w:r>
    </w:p>
    <w:p>
      <w:pPr>
        <w:pStyle w:val="Indenta"/>
        <w:spacing w:before="60"/>
        <w:rPr>
          <w:snapToGrid w:val="0"/>
        </w:rPr>
      </w:pPr>
      <w:r>
        <w:rPr>
          <w:snapToGrid w:val="0"/>
        </w:rPr>
        <w:tab/>
        <w:t>(a)</w:t>
      </w:r>
      <w:r>
        <w:rPr>
          <w:snapToGrid w:val="0"/>
        </w:rPr>
        <w:tab/>
        <w:t>thimblerig; or</w:t>
      </w:r>
    </w:p>
    <w:p>
      <w:pPr>
        <w:pStyle w:val="Indenta"/>
        <w:spacing w:before="60"/>
        <w:rPr>
          <w:snapToGrid w:val="0"/>
        </w:rPr>
      </w:pPr>
      <w:r>
        <w:rPr>
          <w:snapToGrid w:val="0"/>
        </w:rPr>
        <w:tab/>
        <w:t>(b)</w:t>
      </w:r>
      <w:r>
        <w:rPr>
          <w:snapToGrid w:val="0"/>
        </w:rPr>
        <w:tab/>
        <w:t>two</w:t>
      </w:r>
      <w:r>
        <w:rPr>
          <w:snapToGrid w:val="0"/>
        </w:rPr>
        <w:noBreakHyphen/>
        <w:t>up, other than permitted two</w:t>
      </w:r>
      <w:r>
        <w:rPr>
          <w:snapToGrid w:val="0"/>
        </w:rPr>
        <w:noBreakHyphen/>
        <w:t>up; or</w:t>
      </w:r>
    </w:p>
    <w:p>
      <w:pPr>
        <w:pStyle w:val="Indenta"/>
        <w:spacing w:before="60"/>
        <w:rPr>
          <w:snapToGrid w:val="0"/>
        </w:rPr>
      </w:pPr>
      <w:r>
        <w:rPr>
          <w:snapToGrid w:val="0"/>
        </w:rPr>
        <w:tab/>
        <w:t>(c)</w:t>
      </w:r>
      <w:r>
        <w:rPr>
          <w:snapToGrid w:val="0"/>
        </w:rPr>
        <w:tab/>
        <w:t>a game of a kind to which section 46(2)(a) refers or the playing of which would contravene the prohibitions referred to in section 46(2)(b), other than at Burswood Casino; or</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 or</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spacing w:before="100"/>
        <w:rPr>
          <w:snapToGrid w:val="0"/>
        </w:rPr>
      </w:pPr>
      <w:r>
        <w:rPr>
          <w:snapToGrid w:val="0"/>
        </w:rPr>
        <w:tab/>
      </w:r>
      <w:r>
        <w:rPr>
          <w:snapToGrid w:val="0"/>
        </w:rPr>
        <w:tab/>
        <w:t>is prohibited.</w:t>
      </w:r>
    </w:p>
    <w:p>
      <w:pPr>
        <w:pStyle w:val="Subsection"/>
        <w:spacing w:before="100"/>
        <w:rPr>
          <w:snapToGrid w:val="0"/>
        </w:rPr>
      </w:pPr>
      <w:r>
        <w:rPr>
          <w:snapToGrid w:val="0"/>
        </w:rPr>
        <w:tab/>
        <w:t>(2)</w:t>
      </w:r>
      <w:r>
        <w:rPr>
          <w:snapToGrid w:val="0"/>
        </w:rPr>
        <w:tab/>
        <w:t>Any game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spacing w:before="100"/>
        <w:rPr>
          <w:snapToGrid w:val="0"/>
        </w:rPr>
      </w:pPr>
      <w:r>
        <w:rPr>
          <w:snapToGrid w:val="0"/>
        </w:rPr>
        <w:tab/>
      </w:r>
      <w:r>
        <w:rPr>
          <w:snapToGrid w:val="0"/>
        </w:rPr>
        <w:tab/>
        <w:t>is for the purposes of this Act or any other law deemed to be an unlawful game.</w:t>
      </w:r>
    </w:p>
    <w:p>
      <w:pPr>
        <w:pStyle w:val="Subsection"/>
        <w:spacing w:before="100"/>
        <w:rPr>
          <w:snapToGrid w:val="0"/>
        </w:rPr>
      </w:pPr>
      <w:r>
        <w:rPr>
          <w:snapToGrid w:val="0"/>
        </w:rPr>
        <w:tab/>
        <w:t>(3)</w:t>
      </w:r>
      <w:r>
        <w:rPr>
          <w:snapToGrid w:val="0"/>
        </w:rPr>
        <w:tab/>
        <w:t>The prohibition declared in subsection (1) shall not have effect in relation to the playing of —</w:t>
      </w:r>
    </w:p>
    <w:p>
      <w:pPr>
        <w:pStyle w:val="Indenta"/>
        <w:rPr>
          <w:snapToGrid w:val="0"/>
        </w:rPr>
      </w:pPr>
      <w:r>
        <w:rPr>
          <w:snapToGrid w:val="0"/>
        </w:rPr>
        <w:tab/>
        <w:t>(a)</w:t>
      </w:r>
      <w:r>
        <w:rPr>
          <w:snapToGrid w:val="0"/>
        </w:rPr>
        <w:tab/>
        <w:t>games with prizes being games of chance and skill combined in which skill is the predominant factor where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spacing w:before="60"/>
        <w:rPr>
          <w:snapToGrid w:val="0"/>
        </w:rPr>
      </w:pPr>
      <w:r>
        <w:rPr>
          <w:snapToGrid w:val="0"/>
        </w:rPr>
        <w:tab/>
        <w:t>(c)</w:t>
      </w:r>
      <w:r>
        <w:rPr>
          <w:snapToGrid w:val="0"/>
        </w:rPr>
        <w:tab/>
        <w:t>any other game, otherwise than in a common gaming house, if the game —</w:t>
      </w:r>
    </w:p>
    <w:p>
      <w:pPr>
        <w:pStyle w:val="Indenti"/>
        <w:spacing w:before="60"/>
        <w:rPr>
          <w:snapToGrid w:val="0"/>
        </w:rPr>
      </w:pPr>
      <w:r>
        <w:rPr>
          <w:snapToGrid w:val="0"/>
        </w:rPr>
        <w:tab/>
        <w:t>(i)</w:t>
      </w:r>
      <w:r>
        <w:rPr>
          <w:snapToGrid w:val="0"/>
        </w:rPr>
        <w:tab/>
        <w:t>is of a kind specified; and</w:t>
      </w:r>
    </w:p>
    <w:p>
      <w:pPr>
        <w:pStyle w:val="Indenti"/>
        <w:spacing w:before="60"/>
        <w:rPr>
          <w:snapToGrid w:val="0"/>
        </w:rPr>
      </w:pPr>
      <w:r>
        <w:rPr>
          <w:snapToGrid w:val="0"/>
        </w:rPr>
        <w:tab/>
        <w:t>(ii)</w:t>
      </w:r>
      <w:r>
        <w:rPr>
          <w:snapToGrid w:val="0"/>
        </w:rPr>
        <w:tab/>
        <w:t>is played in the circumstances specified; and</w:t>
      </w:r>
    </w:p>
    <w:p>
      <w:pPr>
        <w:pStyle w:val="Indenti"/>
        <w:spacing w:before="60"/>
        <w:rPr>
          <w:snapToGrid w:val="0"/>
        </w:rPr>
      </w:pPr>
      <w:r>
        <w:rPr>
          <w:snapToGrid w:val="0"/>
        </w:rPr>
        <w:tab/>
        <w:t>(iii)</w:t>
      </w:r>
      <w:r>
        <w:rPr>
          <w:snapToGrid w:val="0"/>
        </w:rPr>
        <w:tab/>
        <w:t>is so played as to comply with such conditions (if any) as may be prescribed,</w:t>
      </w:r>
    </w:p>
    <w:p>
      <w:pPr>
        <w:pStyle w:val="Indenta"/>
        <w:spacing w:before="60"/>
        <w:rPr>
          <w:snapToGrid w:val="0"/>
        </w:rPr>
      </w:pPr>
      <w:r>
        <w:rPr>
          <w:snapToGrid w:val="0"/>
        </w:rPr>
        <w:tab/>
      </w:r>
      <w:r>
        <w:rPr>
          <w:snapToGrid w:val="0"/>
        </w:rPr>
        <w:tab/>
        <w:t>by regulations made for the purposes of this subsection.</w:t>
      </w:r>
    </w:p>
    <w:p>
      <w:pPr>
        <w:pStyle w:val="Subsection"/>
        <w:spacing w:before="100"/>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for this subsection: a fine of $2 500.</w:t>
      </w:r>
    </w:p>
    <w:p>
      <w:pPr>
        <w:pStyle w:val="Subsection"/>
        <w:spacing w:before="100"/>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r>
      <w:r>
        <w:t>Penalty for this subsection: a fine of</w:t>
      </w:r>
      <w:r>
        <w:rPr>
          <w:snapToGrid w:val="0"/>
        </w:rPr>
        <w:t xml:space="preserve"> $500.</w:t>
      </w:r>
    </w:p>
    <w:p>
      <w:pPr>
        <w:pStyle w:val="Footnotesection"/>
      </w:pPr>
      <w:r>
        <w:tab/>
        <w:t>[Section 42 amended: No. 35 of 2003 s. 144; No. 50 of 2003 s. 66(4); No. 41 of 2018 s. 25(1).]</w:t>
      </w:r>
    </w:p>
    <w:p>
      <w:pPr>
        <w:pStyle w:val="Heading5"/>
        <w:spacing w:before="200"/>
        <w:rPr>
          <w:snapToGrid w:val="0"/>
        </w:rPr>
      </w:pPr>
      <w:bookmarkStart w:id="60" w:name="_Toc32497074"/>
      <w:r>
        <w:rPr>
          <w:rStyle w:val="CharSectno"/>
        </w:rPr>
        <w:t>43</w:t>
      </w:r>
      <w:r>
        <w:rPr>
          <w:snapToGrid w:val="0"/>
        </w:rPr>
        <w:t>.</w:t>
      </w:r>
      <w:r>
        <w:rPr>
          <w:snapToGrid w:val="0"/>
        </w:rPr>
        <w:tab/>
        <w:t>Defence of restricted access not available to charge of s. 41 or 42 offence</w:t>
      </w:r>
      <w:bookmarkEnd w:id="60"/>
    </w:p>
    <w:p>
      <w:pPr>
        <w:pStyle w:val="Subsection"/>
        <w:spacing w:before="100"/>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r>
        <w:tab/>
        <w:t>[Section 43 amended: No. 84 of 2004 s. 80.]</w:t>
      </w:r>
    </w:p>
    <w:p>
      <w:pPr>
        <w:pStyle w:val="Heading5"/>
        <w:spacing w:before="200"/>
      </w:pPr>
      <w:bookmarkStart w:id="61" w:name="_Toc32497075"/>
      <w:r>
        <w:rPr>
          <w:rStyle w:val="CharSectno"/>
        </w:rPr>
        <w:t>43A</w:t>
      </w:r>
      <w:r>
        <w:t>.</w:t>
      </w:r>
      <w:r>
        <w:tab/>
        <w:t xml:space="preserve">Advertising </w:t>
      </w:r>
      <w:r>
        <w:rPr>
          <w:snapToGrid w:val="0"/>
        </w:rPr>
        <w:t>unlawful</w:t>
      </w:r>
      <w:r>
        <w:t xml:space="preserve"> gambling</w:t>
      </w:r>
      <w:bookmarkEnd w:id="61"/>
    </w:p>
    <w:p>
      <w:pPr>
        <w:pStyle w:val="Subsection"/>
        <w:spacing w:before="100"/>
      </w:pPr>
      <w:r>
        <w:tab/>
        <w:t>(1)</w:t>
      </w:r>
      <w:r>
        <w:tab/>
        <w:t>In this section —</w:t>
      </w:r>
    </w:p>
    <w:p>
      <w:pPr>
        <w:pStyle w:val="Defstart"/>
      </w:pPr>
      <w:r>
        <w:rPr>
          <w:b/>
        </w:rPr>
        <w:tab/>
      </w:r>
      <w:r>
        <w:rPr>
          <w:rStyle w:val="CharDefText"/>
        </w:rPr>
        <w:t>prohibited advertisement</w:t>
      </w:r>
      <w:r>
        <w:t xml:space="preserve"> means any form of advertisement that conveys, or is likely to be understood as conveying —</w:t>
      </w:r>
    </w:p>
    <w:p>
      <w:pPr>
        <w:pStyle w:val="Defpara"/>
      </w:pPr>
      <w:r>
        <w:tab/>
        <w:t>(a)</w:t>
      </w:r>
      <w:r>
        <w:tab/>
        <w:t>the existence of a common gaming house (as defined in section 41(1)); or</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for this subsection: a fine of $5 000.</w:t>
      </w:r>
    </w:p>
    <w:p>
      <w:pPr>
        <w:pStyle w:val="Subsection"/>
      </w:pPr>
      <w:r>
        <w:tab/>
        <w:t>(3)</w:t>
      </w:r>
      <w:r>
        <w:tab/>
        <w:t>A person who broadcasts, prints, publishes or distributes, or has in his or her possession for the purpose of publication or distribution, an advertisement that conveys, or is likely to be understood as conveying, the existence of a person (in this State or elsewhere) other than —</w:t>
      </w:r>
    </w:p>
    <w:p>
      <w:pPr>
        <w:pStyle w:val="Indenta"/>
      </w:pPr>
      <w:r>
        <w:tab/>
        <w:t>(a)</w:t>
      </w:r>
      <w:r>
        <w:tab/>
        <w:t>RWWA; or</w:t>
      </w:r>
    </w:p>
    <w:p>
      <w:pPr>
        <w:pStyle w:val="Indenta"/>
      </w:pPr>
      <w:r>
        <w:tab/>
        <w:t>(b)</w:t>
      </w:r>
      <w:r>
        <w:tab/>
        <w:t xml:space="preserve">the Lotteries Commission established under the </w:t>
      </w:r>
      <w:r>
        <w:rPr>
          <w:i/>
        </w:rPr>
        <w:t>Lotteries Commission Act 1990</w:t>
      </w:r>
      <w:r>
        <w:t>; or</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pPr>
      <w:r>
        <w:tab/>
        <w:t>(da)</w:t>
      </w:r>
      <w:r>
        <w:tab/>
        <w:t>a person who in another State or a Territory is authorised under a law of the State or Territory to engage in or conduct the business of betting on events; or</w:t>
      </w:r>
    </w:p>
    <w:p>
      <w:pPr>
        <w:pStyle w:val="Indenta"/>
        <w:keepNext/>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for this subsection: a fine of $2 000.</w:t>
      </w:r>
    </w:p>
    <w:p>
      <w:pPr>
        <w:pStyle w:val="Subsection"/>
      </w:pPr>
      <w:r>
        <w:tab/>
        <w:t>(4)</w:t>
      </w:r>
      <w:r>
        <w:tab/>
        <w:t>In subsection (3)(c)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No. 35 of 2003 s. 145; amended: No. 70 of 2006 s. 9(2); No. 8 of 2007 s. 13; No. 29 of 2009 s. 19; No. 41 of 2018 s. 19 and 25(1).]</w:t>
      </w:r>
    </w:p>
    <w:p>
      <w:pPr>
        <w:pStyle w:val="Heading5"/>
        <w:rPr>
          <w:snapToGrid w:val="0"/>
        </w:rPr>
      </w:pPr>
      <w:bookmarkStart w:id="62" w:name="_Toc32497076"/>
      <w:r>
        <w:rPr>
          <w:rStyle w:val="CharSectno"/>
        </w:rPr>
        <w:t>44</w:t>
      </w:r>
      <w:r>
        <w:rPr>
          <w:snapToGrid w:val="0"/>
        </w:rPr>
        <w:t>.</w:t>
      </w:r>
      <w:r>
        <w:rPr>
          <w:snapToGrid w:val="0"/>
        </w:rPr>
        <w:tab/>
        <w:t>Cheating in games etc. to obtain prize etc., offence</w:t>
      </w:r>
      <w:bookmarkEnd w:id="62"/>
    </w:p>
    <w:p>
      <w:pPr>
        <w:pStyle w:val="Subsection"/>
        <w:rPr>
          <w:snapToGrid w:val="0"/>
        </w:rPr>
      </w:pPr>
      <w:r>
        <w:rPr>
          <w:snapToGrid w:val="0"/>
        </w:rPr>
        <w:tab/>
        <w:t>(1)</w:t>
      </w:r>
      <w:r>
        <w:rPr>
          <w:snapToGrid w:val="0"/>
        </w:rPr>
        <w:tab/>
        <w:t>Any person who by deceit or any fraudulent means in or in relation to a game, lottery, sport, race, exercise or other contest or pastime —</w:t>
      </w:r>
    </w:p>
    <w:p>
      <w:pPr>
        <w:pStyle w:val="Indenta"/>
        <w:rPr>
          <w:snapToGrid w:val="0"/>
        </w:rPr>
      </w:pPr>
      <w:r>
        <w:rPr>
          <w:snapToGrid w:val="0"/>
        </w:rPr>
        <w:tab/>
        <w:t>(a)</w:t>
      </w:r>
      <w:r>
        <w:rPr>
          <w:snapToGrid w:val="0"/>
        </w:rPr>
        <w:tab/>
        <w:t>obtains or attempts to obtain any prize, or any money, property or benefit; or</w:t>
      </w:r>
    </w:p>
    <w:p>
      <w:pPr>
        <w:pStyle w:val="Indenta"/>
        <w:rPr>
          <w:snapToGrid w:val="0"/>
        </w:rPr>
      </w:pPr>
      <w:r>
        <w:rPr>
          <w:snapToGrid w:val="0"/>
        </w:rPr>
        <w:tab/>
        <w:t>(b)</w:t>
      </w:r>
      <w:r>
        <w:rPr>
          <w:snapToGrid w:val="0"/>
        </w:rPr>
        <w:tab/>
        <w:t>gains or attempts to gain a benefit, pecuniary or otherwise, for any person; or</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w:t>
      </w:r>
    </w:p>
    <w:p>
      <w:pPr>
        <w:pStyle w:val="Indenti"/>
        <w:rPr>
          <w:snapToGrid w:val="0"/>
        </w:rPr>
      </w:pPr>
      <w:r>
        <w:rPr>
          <w:snapToGrid w:val="0"/>
        </w:rPr>
        <w:tab/>
        <w:t>(i)</w:t>
      </w:r>
      <w:r>
        <w:rPr>
          <w:snapToGrid w:val="0"/>
        </w:rPr>
        <w:tab/>
        <w:t>to deliver property to any person; or</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to omit to do any act which he is lawfully entitled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w:t>
      </w:r>
    </w:p>
    <w:p>
      <w:pPr>
        <w:pStyle w:val="Indenta"/>
        <w:rPr>
          <w:snapToGrid w:val="0"/>
        </w:rPr>
      </w:pPr>
      <w:r>
        <w:rPr>
          <w:snapToGrid w:val="0"/>
        </w:rPr>
        <w:tab/>
        <w:t>(a)</w:t>
      </w:r>
      <w:r>
        <w:rPr>
          <w:snapToGrid w:val="0"/>
        </w:rPr>
        <w:tab/>
        <w:t>as to the manner of play or the rules applicable; or</w:t>
      </w:r>
    </w:p>
    <w:p>
      <w:pPr>
        <w:pStyle w:val="Indenta"/>
        <w:rPr>
          <w:snapToGrid w:val="0"/>
        </w:rPr>
      </w:pPr>
      <w:r>
        <w:rPr>
          <w:snapToGrid w:val="0"/>
        </w:rPr>
        <w:tab/>
        <w:t>(b)</w:t>
      </w:r>
      <w:r>
        <w:rPr>
          <w:snapToGrid w:val="0"/>
        </w:rPr>
        <w:tab/>
        <w:t>in regard to any player, or any gaming equipment, instrument of gaming, entrant or participant; or</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No. 24 of 1998 s. 48; No. 35 of 2003 s. 146; No. 41 of 2018 s. 25(1).]</w:t>
      </w:r>
    </w:p>
    <w:p>
      <w:pPr>
        <w:pStyle w:val="Heading5"/>
        <w:rPr>
          <w:snapToGrid w:val="0"/>
        </w:rPr>
      </w:pPr>
      <w:bookmarkStart w:id="63" w:name="_Toc32497077"/>
      <w:r>
        <w:rPr>
          <w:rStyle w:val="CharSectno"/>
        </w:rPr>
        <w:t>45</w:t>
      </w:r>
      <w:r>
        <w:rPr>
          <w:snapToGrid w:val="0"/>
        </w:rPr>
        <w:t>.</w:t>
      </w:r>
      <w:r>
        <w:rPr>
          <w:snapToGrid w:val="0"/>
        </w:rPr>
        <w:tab/>
        <w:t>Permitted gaming, offences as to</w:t>
      </w:r>
      <w:bookmarkEnd w:id="63"/>
    </w:p>
    <w:p>
      <w:pPr>
        <w:pStyle w:val="Subsection"/>
        <w:keepNext/>
        <w:rPr>
          <w:snapToGrid w:val="0"/>
        </w:rPr>
      </w:pPr>
      <w:r>
        <w:rPr>
          <w:snapToGrid w:val="0"/>
        </w:rPr>
        <w:tab/>
        <w:t>(1)</w:t>
      </w:r>
      <w:r>
        <w:rPr>
          <w:snapToGrid w:val="0"/>
        </w:rPr>
        <w:tab/>
        <w:t>A person who, with intent to defraud —</w:t>
      </w:r>
    </w:p>
    <w:p>
      <w:pPr>
        <w:pStyle w:val="Indenta"/>
        <w:rPr>
          <w:snapToGrid w:val="0"/>
        </w:rPr>
      </w:pPr>
      <w:r>
        <w:rPr>
          <w:snapToGrid w:val="0"/>
        </w:rPr>
        <w:tab/>
        <w:t>(a)</w:t>
      </w:r>
      <w:r>
        <w:rPr>
          <w:snapToGrid w:val="0"/>
        </w:rPr>
        <w:tab/>
        <w:t>alters or falsifies any ticket, coupon, token or books; or</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for this subsection: a fine of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 $2 500.</w:t>
      </w:r>
    </w:p>
    <w:p>
      <w:pPr>
        <w:pStyle w:val="Footnotesection"/>
      </w:pPr>
      <w:r>
        <w:tab/>
        <w:t>[Section 45 amended: No. 16 of 1990 s. 33; No. 24 of 1998 s. 49; No. 35 of 2003 s. 147; No. 50 of 2003 s. 66(4) ; No. 41 of 2018 s. 25(1).]</w:t>
      </w:r>
    </w:p>
    <w:p>
      <w:pPr>
        <w:pStyle w:val="Heading2"/>
      </w:pPr>
      <w:bookmarkStart w:id="64" w:name="_Toc32497078"/>
      <w:r>
        <w:rPr>
          <w:rStyle w:val="CharPartNo"/>
        </w:rPr>
        <w:t>Part V</w:t>
      </w:r>
      <w:r>
        <w:t> — </w:t>
      </w:r>
      <w:r>
        <w:rPr>
          <w:rStyle w:val="CharPartText"/>
        </w:rPr>
        <w:t>Permitted gambling</w:t>
      </w:r>
      <w:bookmarkEnd w:id="64"/>
    </w:p>
    <w:p>
      <w:pPr>
        <w:pStyle w:val="Footnoteheading"/>
        <w:tabs>
          <w:tab w:val="left" w:pos="910"/>
        </w:tabs>
        <w:spacing w:before="80"/>
      </w:pPr>
      <w:r>
        <w:tab/>
        <w:t>[Heading amended: No. 35 of 2003 s. 148(1).]</w:t>
      </w:r>
    </w:p>
    <w:p>
      <w:pPr>
        <w:pStyle w:val="Heading3"/>
        <w:spacing w:before="220"/>
        <w:rPr>
          <w:snapToGrid w:val="0"/>
        </w:rPr>
      </w:pPr>
      <w:bookmarkStart w:id="65" w:name="_Toc32497079"/>
      <w:r>
        <w:rPr>
          <w:rStyle w:val="CharDivNo"/>
        </w:rPr>
        <w:t>Division 1</w:t>
      </w:r>
      <w:r>
        <w:rPr>
          <w:snapToGrid w:val="0"/>
        </w:rPr>
        <w:t> — </w:t>
      </w:r>
      <w:r>
        <w:rPr>
          <w:rStyle w:val="CharDivText"/>
        </w:rPr>
        <w:t>Gaming generally</w:t>
      </w:r>
      <w:bookmarkEnd w:id="65"/>
    </w:p>
    <w:p>
      <w:pPr>
        <w:pStyle w:val="Footnoteheading"/>
        <w:tabs>
          <w:tab w:val="left" w:pos="910"/>
        </w:tabs>
        <w:spacing w:before="80"/>
      </w:pPr>
      <w:r>
        <w:tab/>
        <w:t>[Heading amended: No. 35 of 2003 s. 148(2).]</w:t>
      </w:r>
    </w:p>
    <w:p>
      <w:pPr>
        <w:pStyle w:val="Heading5"/>
        <w:rPr>
          <w:snapToGrid w:val="0"/>
        </w:rPr>
      </w:pPr>
      <w:bookmarkStart w:id="66" w:name="_Toc32497080"/>
      <w:r>
        <w:rPr>
          <w:rStyle w:val="CharSectno"/>
        </w:rPr>
        <w:t>46</w:t>
      </w:r>
      <w:r>
        <w:rPr>
          <w:snapToGrid w:val="0"/>
        </w:rPr>
        <w:t>.</w:t>
      </w:r>
      <w:r>
        <w:rPr>
          <w:snapToGrid w:val="0"/>
        </w:rPr>
        <w:tab/>
        <w:t>Permitted gaming defined</w:t>
      </w:r>
      <w:bookmarkEnd w:id="66"/>
    </w:p>
    <w:p>
      <w:pPr>
        <w:pStyle w:val="Subsection"/>
        <w:rPr>
          <w:snapToGrid w:val="0"/>
        </w:rPr>
      </w:pPr>
      <w:r>
        <w:rPr>
          <w:snapToGrid w:val="0"/>
        </w:rPr>
        <w:tab/>
        <w:t>(1)</w:t>
      </w:r>
      <w:r>
        <w:rPr>
          <w:snapToGrid w:val="0"/>
        </w:rPr>
        <w:tab/>
        <w:t>Gaming may be lawfully conducted, and lawfully participated in, where —</w:t>
      </w:r>
    </w:p>
    <w:p>
      <w:pPr>
        <w:pStyle w:val="Indenta"/>
        <w:rPr>
          <w:snapToGrid w:val="0"/>
        </w:rPr>
      </w:pPr>
      <w:r>
        <w:rPr>
          <w:snapToGrid w:val="0"/>
        </w:rPr>
        <w:tab/>
        <w:t>(a)</w:t>
      </w:r>
      <w:r>
        <w:rPr>
          <w:snapToGrid w:val="0"/>
        </w:rPr>
        <w:tab/>
        <w:t>it occurs on a day and at a time authorised by a relevant gaming permit; and</w:t>
      </w:r>
    </w:p>
    <w:p>
      <w:pPr>
        <w:pStyle w:val="Indenta"/>
        <w:rPr>
          <w:snapToGrid w:val="0"/>
        </w:rPr>
      </w:pPr>
      <w:r>
        <w:rPr>
          <w:snapToGrid w:val="0"/>
        </w:rPr>
        <w:tab/>
        <w:t>(b)</w:t>
      </w:r>
      <w:r>
        <w:rPr>
          <w:snapToGrid w:val="0"/>
        </w:rPr>
        <w:tab/>
        <w:t>it takes place at premises authorised by the permit to be used for permitted gaming of that kind; and</w:t>
      </w:r>
    </w:p>
    <w:p>
      <w:pPr>
        <w:pStyle w:val="Indenta"/>
        <w:rPr>
          <w:snapToGrid w:val="0"/>
        </w:rPr>
      </w:pPr>
      <w:r>
        <w:rPr>
          <w:snapToGrid w:val="0"/>
        </w:rPr>
        <w:tab/>
        <w:t>(c)</w:t>
      </w:r>
      <w:r>
        <w:rPr>
          <w:snapToGrid w:val="0"/>
        </w:rPr>
        <w:tab/>
        <w:t>it is of a kind authorised by the permit; and</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pPr>
      <w:r>
        <w:tab/>
        <w:t>(2A)</w:t>
      </w:r>
      <w:r>
        <w:tab/>
        <w:t>Gaming that is prescribed for the purposes of this subsection may be lawfully conducted and lawfully participated in.</w:t>
      </w:r>
    </w:p>
    <w:p>
      <w:pPr>
        <w:pStyle w:val="Subsection"/>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No. 24 of 1998 s. 50; No. 35 of 2003 s. 166 and 167; No. 25 of 2011 s. 8.]</w:t>
      </w:r>
    </w:p>
    <w:p>
      <w:pPr>
        <w:pStyle w:val="Heading5"/>
        <w:rPr>
          <w:snapToGrid w:val="0"/>
        </w:rPr>
      </w:pPr>
      <w:bookmarkStart w:id="67" w:name="_Toc32497081"/>
      <w:r>
        <w:rPr>
          <w:rStyle w:val="CharSectno"/>
        </w:rPr>
        <w:t>47</w:t>
      </w:r>
      <w:r>
        <w:rPr>
          <w:snapToGrid w:val="0"/>
        </w:rPr>
        <w:t>.</w:t>
      </w:r>
      <w:r>
        <w:rPr>
          <w:snapToGrid w:val="0"/>
        </w:rPr>
        <w:tab/>
        <w:t>Gaming permits, types, issue and effect of</w:t>
      </w:r>
      <w:bookmarkEnd w:id="67"/>
    </w:p>
    <w:p>
      <w:pPr>
        <w:pStyle w:val="Subsection"/>
        <w:rPr>
          <w:snapToGrid w:val="0"/>
        </w:rPr>
      </w:pPr>
      <w:r>
        <w:rPr>
          <w:snapToGrid w:val="0"/>
        </w:rPr>
        <w:tab/>
        <w:t>(1)</w:t>
      </w:r>
      <w:r>
        <w:rPr>
          <w:snapToGrid w:val="0"/>
        </w:rPr>
        <w:tab/>
        <w:t>A gaming permit may be —</w:t>
      </w:r>
    </w:p>
    <w:p>
      <w:pPr>
        <w:pStyle w:val="Indenta"/>
        <w:spacing w:before="70"/>
        <w:rPr>
          <w:snapToGrid w:val="0"/>
        </w:rPr>
      </w:pPr>
      <w:r>
        <w:rPr>
          <w:snapToGrid w:val="0"/>
        </w:rPr>
        <w:tab/>
        <w:t>(a)</w:t>
      </w:r>
      <w:r>
        <w:rPr>
          <w:snapToGrid w:val="0"/>
        </w:rPr>
        <w:tab/>
        <w:t>a function permit, having effect —</w:t>
      </w:r>
    </w:p>
    <w:p>
      <w:pPr>
        <w:pStyle w:val="Indenti"/>
        <w:spacing w:before="70"/>
        <w:rPr>
          <w:snapToGrid w:val="0"/>
        </w:rPr>
      </w:pPr>
      <w:r>
        <w:rPr>
          <w:snapToGrid w:val="0"/>
        </w:rPr>
        <w:tab/>
        <w:t>(i)</w:t>
      </w:r>
      <w:r>
        <w:rPr>
          <w:snapToGrid w:val="0"/>
        </w:rPr>
        <w:tab/>
        <w:t>for the period, not being a period in excess of 7 days; or</w:t>
      </w:r>
    </w:p>
    <w:p>
      <w:pPr>
        <w:pStyle w:val="Indenti"/>
        <w:spacing w:before="70"/>
        <w:rPr>
          <w:snapToGrid w:val="0"/>
        </w:rPr>
      </w:pPr>
      <w:r>
        <w:rPr>
          <w:snapToGrid w:val="0"/>
        </w:rPr>
        <w:tab/>
        <w:t>(ii)</w:t>
      </w:r>
      <w:r>
        <w:rPr>
          <w:snapToGrid w:val="0"/>
        </w:rPr>
        <w:tab/>
        <w:t>during the function; and</w:t>
      </w:r>
    </w:p>
    <w:p>
      <w:pPr>
        <w:pStyle w:val="Indenti"/>
        <w:spacing w:before="70"/>
        <w:rPr>
          <w:snapToGrid w:val="0"/>
        </w:rPr>
      </w:pPr>
      <w:r>
        <w:rPr>
          <w:snapToGrid w:val="0"/>
        </w:rPr>
        <w:tab/>
        <w:t>(iii)</w:t>
      </w:r>
      <w:r>
        <w:rPr>
          <w:snapToGrid w:val="0"/>
        </w:rPr>
        <w:tab/>
        <w:t>in respect of the premises,</w:t>
      </w:r>
    </w:p>
    <w:p>
      <w:pPr>
        <w:pStyle w:val="Indenta"/>
        <w:spacing w:before="70"/>
        <w:rPr>
          <w:snapToGrid w:val="0"/>
        </w:rPr>
      </w:pPr>
      <w:r>
        <w:rPr>
          <w:snapToGrid w:val="0"/>
        </w:rPr>
        <w:tab/>
      </w:r>
      <w:r>
        <w:rPr>
          <w:snapToGrid w:val="0"/>
        </w:rPr>
        <w:tab/>
        <w:t>therein specified, subject to any conditions imposed; or</w:t>
      </w:r>
    </w:p>
    <w:p>
      <w:pPr>
        <w:pStyle w:val="Indenta"/>
        <w:spacing w:before="70"/>
        <w:rPr>
          <w:snapToGrid w:val="0"/>
        </w:rPr>
      </w:pPr>
      <w:r>
        <w:rPr>
          <w:snapToGrid w:val="0"/>
        </w:rPr>
        <w:tab/>
        <w:t>(b)</w:t>
      </w:r>
      <w:r>
        <w:rPr>
          <w:snapToGrid w:val="0"/>
        </w:rPr>
        <w:tab/>
        <w:t>a permit of a continuing nature, having effect —</w:t>
      </w:r>
    </w:p>
    <w:p>
      <w:pPr>
        <w:pStyle w:val="Indenti"/>
        <w:spacing w:before="70"/>
        <w:rPr>
          <w:snapToGrid w:val="0"/>
        </w:rPr>
      </w:pPr>
      <w:r>
        <w:rPr>
          <w:snapToGrid w:val="0"/>
        </w:rPr>
        <w:tab/>
        <w:t>(i)</w:t>
      </w:r>
      <w:r>
        <w:rPr>
          <w:snapToGrid w:val="0"/>
        </w:rPr>
        <w:tab/>
        <w:t>for the period, being a period not exceeding 12 months, therein specified; and</w:t>
      </w:r>
    </w:p>
    <w:p>
      <w:pPr>
        <w:pStyle w:val="Indenti"/>
        <w:spacing w:before="70"/>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No. 35 of 2003 s. 167.]</w:t>
      </w:r>
    </w:p>
    <w:p>
      <w:pPr>
        <w:pStyle w:val="Heading5"/>
        <w:spacing w:before="240"/>
        <w:rPr>
          <w:snapToGrid w:val="0"/>
        </w:rPr>
      </w:pPr>
      <w:bookmarkStart w:id="68" w:name="_Toc32497082"/>
      <w:r>
        <w:rPr>
          <w:rStyle w:val="CharSectno"/>
        </w:rPr>
        <w:t>48</w:t>
      </w:r>
      <w:r>
        <w:rPr>
          <w:snapToGrid w:val="0"/>
        </w:rPr>
        <w:t>.</w:t>
      </w:r>
      <w:r>
        <w:rPr>
          <w:snapToGrid w:val="0"/>
        </w:rPr>
        <w:tab/>
        <w:t>Issue of permit on direction by Minister</w:t>
      </w:r>
      <w:bookmarkEnd w:id="68"/>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 and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[Section 48 amended: No. 16 of 1990 s. 33; No. 35 of 2003 s. 167.]</w:t>
      </w:r>
    </w:p>
    <w:p>
      <w:pPr>
        <w:pStyle w:val="Heading5"/>
        <w:rPr>
          <w:snapToGrid w:val="0"/>
        </w:rPr>
      </w:pPr>
      <w:bookmarkStart w:id="69" w:name="_Toc32497083"/>
      <w:r>
        <w:rPr>
          <w:rStyle w:val="CharSectno"/>
        </w:rPr>
        <w:t>49</w:t>
      </w:r>
      <w:r>
        <w:rPr>
          <w:snapToGrid w:val="0"/>
        </w:rPr>
        <w:t>.</w:t>
      </w:r>
      <w:r>
        <w:rPr>
          <w:snapToGrid w:val="0"/>
        </w:rPr>
        <w:tab/>
        <w:t>Applications for issue or renewal of permit, matters that may be considered when deciding</w:t>
      </w:r>
      <w:bookmarkEnd w:id="69"/>
    </w:p>
    <w:p>
      <w:pPr>
        <w:pStyle w:val="Subsection"/>
        <w:rPr>
          <w:snapToGrid w:val="0"/>
        </w:rPr>
      </w:pPr>
      <w:r>
        <w:rPr>
          <w:snapToGrid w:val="0"/>
        </w:rPr>
        <w:tab/>
        <w:t>(1)</w:t>
      </w:r>
      <w:r>
        <w:rPr>
          <w:snapToGrid w:val="0"/>
        </w:rPr>
        <w:tab/>
        <w:t>In determining any application for the issue or renewal of a gaming permit regard may be had to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 and</w:t>
      </w:r>
    </w:p>
    <w:p>
      <w:pPr>
        <w:pStyle w:val="Indenta"/>
        <w:rPr>
          <w:snapToGrid w:val="0"/>
        </w:rPr>
      </w:pPr>
      <w:r>
        <w:rPr>
          <w:snapToGrid w:val="0"/>
        </w:rPr>
        <w:tab/>
        <w:t>(b)</w:t>
      </w:r>
      <w:r>
        <w:rPr>
          <w:snapToGrid w:val="0"/>
        </w:rPr>
        <w:tab/>
        <w:t>any arrangement or circumstances whereby the benefit arising from the holding of the permit may accrue to any other person; and</w:t>
      </w:r>
    </w:p>
    <w:p>
      <w:pPr>
        <w:pStyle w:val="Indenta"/>
        <w:rPr>
          <w:snapToGrid w:val="0"/>
        </w:rPr>
      </w:pPr>
      <w:r>
        <w:rPr>
          <w:snapToGrid w:val="0"/>
        </w:rPr>
        <w:tab/>
        <w:t>(c)</w:t>
      </w:r>
      <w:r>
        <w:rPr>
          <w:snapToGrid w:val="0"/>
        </w:rPr>
        <w:tab/>
        <w:t>the need for persons having relevant experience to be in attendance at, and where appropriate to conduct, the gaming; and</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 and</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w:t>
      </w:r>
    </w:p>
    <w:p>
      <w:pPr>
        <w:pStyle w:val="Indenta"/>
        <w:rPr>
          <w:snapToGrid w:val="0"/>
        </w:rPr>
      </w:pPr>
      <w:r>
        <w:rPr>
          <w:snapToGrid w:val="0"/>
        </w:rPr>
        <w:tab/>
        <w:t>(a)</w:t>
      </w:r>
      <w:r>
        <w:rPr>
          <w:snapToGrid w:val="0"/>
        </w:rPr>
        <w:tab/>
        <w:t>any matters to which subsection (1) refers; and</w:t>
      </w:r>
    </w:p>
    <w:p>
      <w:pPr>
        <w:pStyle w:val="Indenta"/>
        <w:rPr>
          <w:snapToGrid w:val="0"/>
        </w:rPr>
      </w:pPr>
      <w:r>
        <w:rPr>
          <w:snapToGrid w:val="0"/>
        </w:rPr>
        <w:tab/>
        <w:t>(b)</w:t>
      </w:r>
      <w:r>
        <w:rPr>
          <w:snapToGrid w:val="0"/>
        </w:rPr>
        <w:tab/>
        <w:t>the manner in which —</w:t>
      </w:r>
    </w:p>
    <w:p>
      <w:pPr>
        <w:pStyle w:val="Indenti"/>
        <w:rPr>
          <w:snapToGrid w:val="0"/>
        </w:rPr>
      </w:pPr>
      <w:r>
        <w:rPr>
          <w:snapToGrid w:val="0"/>
        </w:rPr>
        <w:tab/>
        <w:t>(i)</w:t>
      </w:r>
      <w:r>
        <w:rPr>
          <w:snapToGrid w:val="0"/>
        </w:rPr>
        <w:tab/>
        <w:t>gaming has been conducted; and</w:t>
      </w:r>
    </w:p>
    <w:p>
      <w:pPr>
        <w:pStyle w:val="Indenti"/>
        <w:rPr>
          <w:snapToGrid w:val="0"/>
        </w:rPr>
      </w:pPr>
      <w:r>
        <w:rPr>
          <w:snapToGrid w:val="0"/>
        </w:rPr>
        <w:tab/>
        <w:t>(ii)</w:t>
      </w:r>
      <w:r>
        <w:rPr>
          <w:snapToGrid w:val="0"/>
        </w:rPr>
        <w:tab/>
        <w:t>the premises have been maintained; and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 and</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No. 35 of 2003 s. 167.]</w:t>
      </w:r>
    </w:p>
    <w:p>
      <w:pPr>
        <w:pStyle w:val="Heading5"/>
        <w:rPr>
          <w:snapToGrid w:val="0"/>
        </w:rPr>
      </w:pPr>
      <w:bookmarkStart w:id="70" w:name="_Toc32497084"/>
      <w:r>
        <w:rPr>
          <w:rStyle w:val="CharSectno"/>
        </w:rPr>
        <w:t>50</w:t>
      </w:r>
      <w:r>
        <w:rPr>
          <w:snapToGrid w:val="0"/>
        </w:rPr>
        <w:t>.</w:t>
      </w:r>
      <w:r>
        <w:rPr>
          <w:snapToGrid w:val="0"/>
        </w:rPr>
        <w:tab/>
        <w:t>Register of approvals, permit holders etc., Commission to keep and allow inspection of etc.</w:t>
      </w:r>
      <w:bookmarkEnd w:id="70"/>
    </w:p>
    <w:p>
      <w:pPr>
        <w:pStyle w:val="Subsection"/>
        <w:rPr>
          <w:snapToGrid w:val="0"/>
        </w:rPr>
      </w:pPr>
      <w:r>
        <w:rPr>
          <w:snapToGrid w:val="0"/>
        </w:rPr>
        <w:tab/>
        <w:t>(1)</w:t>
      </w:r>
      <w:r>
        <w:rPr>
          <w:snapToGrid w:val="0"/>
        </w:rPr>
        <w:tab/>
        <w:t>The Commission shall maintain a register showing, in accordance with such manner as may be prescribed, particulars of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w:t>
      </w:r>
    </w:p>
    <w:p>
      <w:pPr>
        <w:pStyle w:val="Indenti"/>
        <w:rPr>
          <w:snapToGrid w:val="0"/>
        </w:rPr>
      </w:pPr>
      <w:r>
        <w:rPr>
          <w:snapToGrid w:val="0"/>
        </w:rPr>
        <w:tab/>
        <w:t>(i)</w:t>
      </w:r>
      <w:r>
        <w:rPr>
          <w:snapToGrid w:val="0"/>
        </w:rPr>
        <w:tab/>
        <w:t>generally, in relation to function permits; or</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[Section 50 amended: No. 16 of 1990 s. 33.]</w:t>
      </w:r>
    </w:p>
    <w:p>
      <w:pPr>
        <w:pStyle w:val="Heading5"/>
        <w:rPr>
          <w:snapToGrid w:val="0"/>
        </w:rPr>
      </w:pPr>
      <w:bookmarkStart w:id="71" w:name="_Toc32497085"/>
      <w:r>
        <w:rPr>
          <w:rStyle w:val="CharSectno"/>
        </w:rPr>
        <w:t>51</w:t>
      </w:r>
      <w:r>
        <w:rPr>
          <w:snapToGrid w:val="0"/>
        </w:rPr>
        <w:t>.</w:t>
      </w:r>
      <w:r>
        <w:rPr>
          <w:snapToGrid w:val="0"/>
        </w:rPr>
        <w:tab/>
        <w:t>Persons eligible to hold gaming permits, approval of</w:t>
      </w:r>
      <w:bookmarkEnd w:id="71"/>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 and</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w:t>
      </w:r>
    </w:p>
    <w:p>
      <w:pPr>
        <w:pStyle w:val="Indenti"/>
        <w:rPr>
          <w:snapToGrid w:val="0"/>
        </w:rPr>
      </w:pPr>
      <w:r>
        <w:rPr>
          <w:snapToGrid w:val="0"/>
        </w:rPr>
        <w:tab/>
        <w:t>(i)</w:t>
      </w:r>
      <w:r>
        <w:rPr>
          <w:snapToGrid w:val="0"/>
        </w:rPr>
        <w:tab/>
        <w:t>the name of that person and of any body for which he is the nominee permit holder; and</w:t>
      </w:r>
    </w:p>
    <w:p>
      <w:pPr>
        <w:pStyle w:val="Indenti"/>
        <w:rPr>
          <w:snapToGrid w:val="0"/>
        </w:rPr>
      </w:pPr>
      <w:r>
        <w:rPr>
          <w:snapToGrid w:val="0"/>
        </w:rPr>
        <w:tab/>
        <w:t>(ii)</w:t>
      </w:r>
      <w:r>
        <w:rPr>
          <w:snapToGrid w:val="0"/>
        </w:rPr>
        <w:tab/>
        <w:t>the date of the issue, and the duration, of the permit and where it is a function permit, the nature of the function; and</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spacing w:before="120"/>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No. 24 of 1998 s. 51; No. 35 of 2003 s. 167; No. 84 of 2004 s. 80.]</w:t>
      </w:r>
    </w:p>
    <w:p>
      <w:pPr>
        <w:pStyle w:val="Heading5"/>
        <w:spacing w:before="200"/>
        <w:rPr>
          <w:snapToGrid w:val="0"/>
        </w:rPr>
      </w:pPr>
      <w:bookmarkStart w:id="72" w:name="_Toc32497086"/>
      <w:r>
        <w:rPr>
          <w:rStyle w:val="CharSectno"/>
        </w:rPr>
        <w:t>52</w:t>
      </w:r>
      <w:r>
        <w:rPr>
          <w:snapToGrid w:val="0"/>
        </w:rPr>
        <w:t>.</w:t>
      </w:r>
      <w:r>
        <w:rPr>
          <w:snapToGrid w:val="0"/>
        </w:rPr>
        <w:tab/>
        <w:t>Applications for gaming permits</w:t>
      </w:r>
      <w:bookmarkEnd w:id="72"/>
    </w:p>
    <w:p>
      <w:pPr>
        <w:pStyle w:val="Subsection"/>
        <w:spacing w:before="140"/>
        <w:rPr>
          <w:snapToGrid w:val="0"/>
        </w:rPr>
      </w:pPr>
      <w:r>
        <w:rPr>
          <w:snapToGrid w:val="0"/>
        </w:rPr>
        <w:tab/>
      </w:r>
      <w:r>
        <w:rPr>
          <w:snapToGrid w:val="0"/>
        </w:rPr>
        <w:tab/>
        <w:t>An application for the issue of a permit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w:t>
      </w:r>
    </w:p>
    <w:p>
      <w:pPr>
        <w:pStyle w:val="Indenti"/>
        <w:rPr>
          <w:snapToGrid w:val="0"/>
        </w:rPr>
      </w:pPr>
      <w:r>
        <w:rPr>
          <w:snapToGrid w:val="0"/>
        </w:rPr>
        <w:tab/>
        <w:t>(i)</w:t>
      </w:r>
      <w:r>
        <w:rPr>
          <w:snapToGrid w:val="0"/>
        </w:rPr>
        <w:tab/>
        <w:t>the applicant is a person entered in the register as eligible to hold a permit of that kind; and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60"/>
        <w:ind w:left="890" w:hanging="890"/>
      </w:pPr>
      <w:r>
        <w:tab/>
        <w:t>[Section 52 amended: No. 35 of 2003 s. 167; No. 59 of 2004 s. 141.]</w:t>
      </w:r>
    </w:p>
    <w:p>
      <w:pPr>
        <w:pStyle w:val="Heading5"/>
        <w:rPr>
          <w:snapToGrid w:val="0"/>
        </w:rPr>
      </w:pPr>
      <w:bookmarkStart w:id="73" w:name="_Toc32497087"/>
      <w:r>
        <w:rPr>
          <w:rStyle w:val="CharSectno"/>
        </w:rPr>
        <w:t>53</w:t>
      </w:r>
      <w:r>
        <w:rPr>
          <w:snapToGrid w:val="0"/>
        </w:rPr>
        <w:t>.</w:t>
      </w:r>
      <w:r>
        <w:rPr>
          <w:snapToGrid w:val="0"/>
        </w:rPr>
        <w:tab/>
        <w:t>Fees and charges for gaming permits</w:t>
      </w:r>
      <w:bookmarkEnd w:id="73"/>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w:t>
      </w:r>
    </w:p>
    <w:p>
      <w:pPr>
        <w:pStyle w:val="Indenta"/>
        <w:spacing w:before="140"/>
        <w:rPr>
          <w:snapToGrid w:val="0"/>
        </w:rPr>
      </w:pPr>
      <w:r>
        <w:rPr>
          <w:snapToGrid w:val="0"/>
        </w:rPr>
        <w:tab/>
        <w:t>(a)</w:t>
      </w:r>
      <w:r>
        <w:rPr>
          <w:snapToGrid w:val="0"/>
        </w:rPr>
        <w:tab/>
        <w:t>for an application fee to be payable on the issue of the permit or grant of the approval; and</w:t>
      </w:r>
    </w:p>
    <w:p>
      <w:pPr>
        <w:pStyle w:val="Indenta"/>
        <w:spacing w:before="140"/>
        <w:rPr>
          <w:snapToGrid w:val="0"/>
        </w:rPr>
      </w:pPr>
      <w:r>
        <w:rPr>
          <w:snapToGrid w:val="0"/>
        </w:rPr>
        <w:tab/>
        <w:t>(b)</w:t>
      </w:r>
      <w:r>
        <w:rPr>
          <w:snapToGrid w:val="0"/>
        </w:rPr>
        <w:tab/>
        <w:t>for periodic, percentage or other payments to be made related to the volume or value of the gaming conducted or to be conducted or to its frequency; and</w:t>
      </w:r>
    </w:p>
    <w:p>
      <w:pPr>
        <w:pStyle w:val="Indenta"/>
        <w:spacing w:before="140"/>
        <w:rPr>
          <w:snapToGrid w:val="0"/>
        </w:rPr>
      </w:pPr>
      <w:r>
        <w:rPr>
          <w:snapToGrid w:val="0"/>
        </w:rPr>
        <w:tab/>
        <w:t>(c)</w:t>
      </w:r>
      <w:r>
        <w:rPr>
          <w:snapToGrid w:val="0"/>
        </w:rPr>
        <w:tab/>
        <w:t>for the giving of security, by means of a deposit or otherwise, for payments due or to become due; and</w:t>
      </w:r>
    </w:p>
    <w:p>
      <w:pPr>
        <w:pStyle w:val="Indenta"/>
        <w:spacing w:before="14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14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spacing w:before="160"/>
        <w:ind w:left="890" w:hanging="890"/>
      </w:pPr>
      <w:r>
        <w:tab/>
        <w:t>[Section 53 amended: No. 35 of 2003 s. 167.]</w:t>
      </w:r>
    </w:p>
    <w:p>
      <w:pPr>
        <w:pStyle w:val="Heading5"/>
        <w:rPr>
          <w:snapToGrid w:val="0"/>
        </w:rPr>
      </w:pPr>
      <w:bookmarkStart w:id="74" w:name="_Toc32497088"/>
      <w:r>
        <w:rPr>
          <w:rStyle w:val="CharSectno"/>
        </w:rPr>
        <w:t>54</w:t>
      </w:r>
      <w:r>
        <w:rPr>
          <w:snapToGrid w:val="0"/>
        </w:rPr>
        <w:t>.</w:t>
      </w:r>
      <w:r>
        <w:rPr>
          <w:snapToGrid w:val="0"/>
        </w:rPr>
        <w:tab/>
        <w:t>Charging people to take part in permitted gaming</w:t>
      </w:r>
      <w:bookmarkEnd w:id="74"/>
    </w:p>
    <w:p>
      <w:pPr>
        <w:pStyle w:val="Subsection"/>
        <w:rPr>
          <w:snapToGrid w:val="0"/>
        </w:rPr>
      </w:pPr>
      <w:r>
        <w:rPr>
          <w:snapToGrid w:val="0"/>
        </w:rPr>
        <w:tab/>
        <w:t>(1)</w:t>
      </w:r>
      <w:r>
        <w:rPr>
          <w:snapToGrid w:val="0"/>
        </w:rPr>
        <w:tab/>
        <w:t>Except where —</w:t>
      </w:r>
    </w:p>
    <w:p>
      <w:pPr>
        <w:pStyle w:val="Indenta"/>
        <w:spacing w:before="120"/>
        <w:rPr>
          <w:snapToGrid w:val="0"/>
        </w:rPr>
      </w:pPr>
      <w:r>
        <w:rPr>
          <w:snapToGrid w:val="0"/>
        </w:rPr>
        <w:tab/>
        <w:t>(a)</w:t>
      </w:r>
      <w:r>
        <w:rPr>
          <w:snapToGrid w:val="0"/>
        </w:rPr>
        <w:tab/>
        <w:t>a regulation made under this Act, pursuant to subsection (4) or otherwise; or</w:t>
      </w:r>
    </w:p>
    <w:p>
      <w:pPr>
        <w:pStyle w:val="Indenta"/>
        <w:spacing w:before="120"/>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keepLines w:val="0"/>
        <w:ind w:left="890" w:hanging="890"/>
      </w:pPr>
      <w:r>
        <w:tab/>
        <w:t>[Section 54 amended: No. 35 of 2003 s. 149, 166 and 167.]</w:t>
      </w:r>
    </w:p>
    <w:p>
      <w:pPr>
        <w:pStyle w:val="Heading5"/>
        <w:rPr>
          <w:snapToGrid w:val="0"/>
        </w:rPr>
      </w:pPr>
      <w:bookmarkStart w:id="75" w:name="_Toc32497089"/>
      <w:r>
        <w:rPr>
          <w:rStyle w:val="CharSectno"/>
        </w:rPr>
        <w:t>55</w:t>
      </w:r>
      <w:r>
        <w:rPr>
          <w:snapToGrid w:val="0"/>
        </w:rPr>
        <w:t>.</w:t>
      </w:r>
      <w:r>
        <w:rPr>
          <w:snapToGrid w:val="0"/>
        </w:rPr>
        <w:tab/>
        <w:t>Approving premises for gaming</w:t>
      </w:r>
      <w:bookmarkEnd w:id="75"/>
    </w:p>
    <w:p>
      <w:pPr>
        <w:pStyle w:val="Subsection"/>
        <w:keepNext/>
        <w:keepLines/>
        <w:rPr>
          <w:snapToGrid w:val="0"/>
        </w:rPr>
      </w:pPr>
      <w:r>
        <w:rPr>
          <w:snapToGrid w:val="0"/>
        </w:rPr>
        <w:tab/>
        <w:t>(1)</w:t>
      </w:r>
      <w:r>
        <w:rPr>
          <w:snapToGrid w:val="0"/>
        </w:rPr>
        <w:tab/>
        <w:t>An application for the grant by the Commission of approval to the use of premises for gaming —</w:t>
      </w:r>
    </w:p>
    <w:p>
      <w:pPr>
        <w:pStyle w:val="Indenta"/>
        <w:rPr>
          <w:snapToGrid w:val="0"/>
        </w:rPr>
      </w:pPr>
      <w:r>
        <w:rPr>
          <w:snapToGrid w:val="0"/>
        </w:rPr>
        <w:tab/>
        <w:t>(a)</w:t>
      </w:r>
      <w:r>
        <w:rPr>
          <w:snapToGrid w:val="0"/>
        </w:rPr>
        <w:tab/>
        <w:t>in the case of premises to be used for the purposes of a specific function permit, may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w:t>
      </w:r>
    </w:p>
    <w:p>
      <w:pPr>
        <w:pStyle w:val="Indenta"/>
        <w:rPr>
          <w:snapToGrid w:val="0"/>
        </w:rPr>
      </w:pPr>
      <w:r>
        <w:rPr>
          <w:snapToGrid w:val="0"/>
        </w:rPr>
        <w:tab/>
        <w:t>(a)</w:t>
      </w:r>
      <w:r>
        <w:rPr>
          <w:snapToGrid w:val="0"/>
        </w:rPr>
        <w:tab/>
        <w:t>specifically, to be used for the purposes of a specific function permit; or</w:t>
      </w:r>
    </w:p>
    <w:p>
      <w:pPr>
        <w:pStyle w:val="Indenta"/>
        <w:spacing w:before="100"/>
        <w:rPr>
          <w:snapToGrid w:val="0"/>
        </w:rPr>
      </w:pPr>
      <w:r>
        <w:rPr>
          <w:snapToGrid w:val="0"/>
        </w:rPr>
        <w:tab/>
        <w:t>(b)</w:t>
      </w:r>
      <w:r>
        <w:rPr>
          <w:snapToGrid w:val="0"/>
        </w:rPr>
        <w:tab/>
        <w:t>generally, to be used for the purposes of function permits from time to time; or</w:t>
      </w:r>
    </w:p>
    <w:p>
      <w:pPr>
        <w:pStyle w:val="Indenta"/>
        <w:spacing w:before="100"/>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w:t>
      </w:r>
    </w:p>
    <w:p>
      <w:pPr>
        <w:pStyle w:val="Indenta"/>
        <w:spacing w:before="100"/>
        <w:rPr>
          <w:snapToGrid w:val="0"/>
        </w:rPr>
      </w:pPr>
      <w:r>
        <w:rPr>
          <w:snapToGrid w:val="0"/>
        </w:rPr>
        <w:tab/>
        <w:t>(a)</w:t>
      </w:r>
      <w:r>
        <w:rPr>
          <w:snapToGrid w:val="0"/>
        </w:rPr>
        <w:tab/>
        <w:t>a report from the local government of the district in which the premises are situated, certifying that those premises conform, or if not conforming in what respect they do not conform, to the</w:t>
      </w:r>
      <w:r>
        <w:rPr>
          <w:i/>
        </w:rPr>
        <w:t xml:space="preserve"> Health (Miscellaneous Provisions)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 and</w:t>
      </w:r>
    </w:p>
    <w:p>
      <w:pPr>
        <w:pStyle w:val="Indenta"/>
        <w:spacing w:before="100"/>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w:t>
      </w:r>
    </w:p>
    <w:p>
      <w:pPr>
        <w:pStyle w:val="Indenti"/>
        <w:spacing w:before="100"/>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spacing w:before="100"/>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An approval of premises granted by the Commission subsists in favour of the holder to whom or which the approval was first granted, or an assignee acceptable to the Commission entered in the register as the registered holder of that approval, and until —</w:t>
      </w:r>
    </w:p>
    <w:p>
      <w:pPr>
        <w:pStyle w:val="Indenta"/>
        <w:rPr>
          <w:snapToGrid w:val="0"/>
        </w:rPr>
      </w:pPr>
      <w:r>
        <w:rPr>
          <w:snapToGrid w:val="0"/>
        </w:rPr>
        <w:tab/>
        <w:t>(a)</w:t>
      </w:r>
      <w:r>
        <w:rPr>
          <w:snapToGrid w:val="0"/>
        </w:rPr>
        <w:tab/>
        <w:t>the term for which it was granted expires; or</w:t>
      </w:r>
    </w:p>
    <w:p>
      <w:pPr>
        <w:pStyle w:val="Indenta"/>
        <w:keepNext/>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[Section 55 amended: No. 14 of 1996 s. 4; No. 35 of 2003 s. 167; No. 38 of 2005 s. 15; No. 19 of 2016 s. 101.]</w:t>
      </w:r>
    </w:p>
    <w:p>
      <w:pPr>
        <w:pStyle w:val="Heading5"/>
        <w:rPr>
          <w:snapToGrid w:val="0"/>
        </w:rPr>
      </w:pPr>
      <w:bookmarkStart w:id="76" w:name="_Toc32497090"/>
      <w:r>
        <w:rPr>
          <w:rStyle w:val="CharSectno"/>
        </w:rPr>
        <w:t>56</w:t>
      </w:r>
      <w:r>
        <w:rPr>
          <w:snapToGrid w:val="0"/>
        </w:rPr>
        <w:t>.</w:t>
      </w:r>
      <w:r>
        <w:rPr>
          <w:snapToGrid w:val="0"/>
        </w:rPr>
        <w:tab/>
        <w:t>Renewing approvals, permits and certificates</w:t>
      </w:r>
      <w:bookmarkEnd w:id="76"/>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77" w:name="_Toc32497091"/>
      <w:r>
        <w:rPr>
          <w:rStyle w:val="CharSectno"/>
        </w:rPr>
        <w:t>57</w:t>
      </w:r>
      <w:r>
        <w:rPr>
          <w:snapToGrid w:val="0"/>
        </w:rPr>
        <w:t>.</w:t>
      </w:r>
      <w:r>
        <w:rPr>
          <w:snapToGrid w:val="0"/>
        </w:rPr>
        <w:tab/>
        <w:t>Reports by permit holders, when required, content of etc.</w:t>
      </w:r>
      <w:bookmarkEnd w:id="77"/>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 and</w:t>
      </w:r>
    </w:p>
    <w:p>
      <w:pPr>
        <w:pStyle w:val="Indenta"/>
        <w:rPr>
          <w:snapToGrid w:val="0"/>
        </w:rPr>
      </w:pPr>
      <w:r>
        <w:rPr>
          <w:snapToGrid w:val="0"/>
        </w:rPr>
        <w:tab/>
        <w:t>(b)</w:t>
      </w:r>
      <w:r>
        <w:rPr>
          <w:snapToGrid w:val="0"/>
        </w:rPr>
        <w:tab/>
        <w:t>each date and place at which gaming to which the permit purported to apply occurred; and</w:t>
      </w:r>
    </w:p>
    <w:p>
      <w:pPr>
        <w:pStyle w:val="Indenta"/>
        <w:rPr>
          <w:snapToGrid w:val="0"/>
        </w:rPr>
      </w:pPr>
      <w:r>
        <w:rPr>
          <w:snapToGrid w:val="0"/>
        </w:rPr>
        <w:tab/>
        <w:t>(c)</w:t>
      </w:r>
      <w:r>
        <w:rPr>
          <w:snapToGrid w:val="0"/>
        </w:rPr>
        <w:tab/>
        <w:t>the total amount of the proceeds of the permitted gaming; and</w:t>
      </w:r>
    </w:p>
    <w:p>
      <w:pPr>
        <w:pStyle w:val="Indenta"/>
        <w:keepNext/>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Footnotesection"/>
        <w:ind w:left="890" w:hanging="890"/>
      </w:pPr>
      <w:r>
        <w:tab/>
        <w:t>[Section 57 amended: No. 35 of 2003 s. 167; No. 41 of 2018 s. 25(1).]</w:t>
      </w:r>
    </w:p>
    <w:p>
      <w:pPr>
        <w:pStyle w:val="Heading5"/>
        <w:rPr>
          <w:snapToGrid w:val="0"/>
        </w:rPr>
      </w:pPr>
      <w:bookmarkStart w:id="78" w:name="_Toc32497092"/>
      <w:r>
        <w:rPr>
          <w:rStyle w:val="CharSectno"/>
        </w:rPr>
        <w:t>58</w:t>
      </w:r>
      <w:r>
        <w:rPr>
          <w:snapToGrid w:val="0"/>
        </w:rPr>
        <w:t>.</w:t>
      </w:r>
      <w:r>
        <w:rPr>
          <w:snapToGrid w:val="0"/>
        </w:rPr>
        <w:tab/>
        <w:t>Gaming permit may regulate use of proceeds from permitted gaming etc.</w:t>
      </w:r>
      <w:bookmarkEnd w:id="78"/>
    </w:p>
    <w:p>
      <w:pPr>
        <w:pStyle w:val="Subsection"/>
        <w:keepNext/>
        <w:rPr>
          <w:snapToGrid w:val="0"/>
        </w:rPr>
      </w:pPr>
      <w:r>
        <w:rPr>
          <w:snapToGrid w:val="0"/>
        </w:rPr>
        <w:tab/>
        <w:t>(1)</w:t>
      </w:r>
      <w:r>
        <w:rPr>
          <w:snapToGrid w:val="0"/>
        </w:rPr>
        <w:tab/>
        <w:t>A condition imposed in relation to a permit may require the permit holder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w:t>
      </w:r>
    </w:p>
    <w:p>
      <w:pPr>
        <w:pStyle w:val="Indenta"/>
        <w:rPr>
          <w:snapToGrid w:val="0"/>
        </w:rPr>
      </w:pPr>
      <w:r>
        <w:rPr>
          <w:snapToGrid w:val="0"/>
        </w:rPr>
        <w:tab/>
        <w:t>(a)</w:t>
      </w:r>
      <w:r>
        <w:rPr>
          <w:snapToGrid w:val="0"/>
        </w:rPr>
        <w:tab/>
        <w:t>that the object, in whole or in part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object provides a use for part only of the money accruing from the permitted gaming; or</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 or</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for this subsection: a fine of $2 500.</w:t>
      </w:r>
    </w:p>
    <w:p>
      <w:pPr>
        <w:pStyle w:val="Footnotesection"/>
      </w:pPr>
      <w:r>
        <w:tab/>
        <w:t>[Section 58 amended: No. 50 of 2003 s. 66(4) ; No. 41 of 2018 s. 25(1).]</w:t>
      </w:r>
    </w:p>
    <w:p>
      <w:pPr>
        <w:pStyle w:val="Heading5"/>
        <w:spacing w:before="240"/>
        <w:rPr>
          <w:snapToGrid w:val="0"/>
        </w:rPr>
      </w:pPr>
      <w:bookmarkStart w:id="79" w:name="_Toc32497093"/>
      <w:r>
        <w:rPr>
          <w:rStyle w:val="CharSectno"/>
        </w:rPr>
        <w:t>59</w:t>
      </w:r>
      <w:r>
        <w:rPr>
          <w:snapToGrid w:val="0"/>
        </w:rPr>
        <w:t>.</w:t>
      </w:r>
      <w:r>
        <w:rPr>
          <w:snapToGrid w:val="0"/>
        </w:rPr>
        <w:tab/>
        <w:t>Approvals etc. may require security to be given</w:t>
      </w:r>
      <w:bookmarkEnd w:id="79"/>
    </w:p>
    <w:p>
      <w:pPr>
        <w:pStyle w:val="Subsection"/>
        <w:spacing w:before="180"/>
        <w:rPr>
          <w:snapToGrid w:val="0"/>
        </w:rPr>
      </w:pPr>
      <w:r>
        <w:rPr>
          <w:snapToGrid w:val="0"/>
        </w:rPr>
        <w:tab/>
        <w:t>(1)</w:t>
      </w:r>
      <w:r>
        <w:rPr>
          <w:snapToGrid w:val="0"/>
        </w:rPr>
        <w:tab/>
        <w:t>A condition imposed in relation to —</w:t>
      </w:r>
    </w:p>
    <w:p>
      <w:pPr>
        <w:pStyle w:val="Indenta"/>
        <w:spacing w:before="100"/>
        <w:rPr>
          <w:snapToGrid w:val="0"/>
        </w:rPr>
      </w:pPr>
      <w:r>
        <w:rPr>
          <w:snapToGrid w:val="0"/>
        </w:rPr>
        <w:tab/>
        <w:t>(a)</w:t>
      </w:r>
      <w:r>
        <w:rPr>
          <w:snapToGrid w:val="0"/>
        </w:rPr>
        <w:tab/>
        <w:t>the eligibility of any person to hold a permit; or</w:t>
      </w:r>
    </w:p>
    <w:p>
      <w:pPr>
        <w:pStyle w:val="Indenta"/>
        <w:spacing w:before="100"/>
        <w:rPr>
          <w:snapToGrid w:val="0"/>
        </w:rPr>
      </w:pPr>
      <w:r>
        <w:rPr>
          <w:snapToGrid w:val="0"/>
        </w:rPr>
        <w:tab/>
        <w:t>(b)</w:t>
      </w:r>
      <w:r>
        <w:rPr>
          <w:snapToGrid w:val="0"/>
        </w:rPr>
        <w:tab/>
        <w:t>the approval of a person as a nominee permit holder; or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[Section 59 amended: No. 16 of 1990 s. 33.]</w:t>
      </w:r>
    </w:p>
    <w:p>
      <w:pPr>
        <w:pStyle w:val="Heading5"/>
        <w:rPr>
          <w:snapToGrid w:val="0"/>
        </w:rPr>
      </w:pPr>
      <w:bookmarkStart w:id="80" w:name="_Toc32497094"/>
      <w:r>
        <w:rPr>
          <w:rStyle w:val="CharSectno"/>
        </w:rPr>
        <w:t>60</w:t>
      </w:r>
      <w:r>
        <w:rPr>
          <w:snapToGrid w:val="0"/>
        </w:rPr>
        <w:t>.</w:t>
      </w:r>
      <w:r>
        <w:rPr>
          <w:snapToGrid w:val="0"/>
        </w:rPr>
        <w:tab/>
        <w:t>Revoking and amending permits and certain approvals</w:t>
      </w:r>
      <w:bookmarkEnd w:id="80"/>
    </w:p>
    <w:p>
      <w:pPr>
        <w:pStyle w:val="Subsection"/>
        <w:rPr>
          <w:snapToGrid w:val="0"/>
        </w:rPr>
      </w:pPr>
      <w:r>
        <w:rPr>
          <w:snapToGrid w:val="0"/>
        </w:rPr>
        <w:tab/>
        <w:t>(1)</w:t>
      </w:r>
      <w:r>
        <w:rPr>
          <w:snapToGrid w:val="0"/>
        </w:rPr>
        <w:tab/>
        <w:t>Where the Commission is satisfied that the circumstances so require, the Commission, subject to section 62, may in its discretion —</w:t>
      </w:r>
    </w:p>
    <w:p>
      <w:pPr>
        <w:pStyle w:val="Indenta"/>
        <w:rPr>
          <w:snapToGrid w:val="0"/>
        </w:rPr>
      </w:pPr>
      <w:r>
        <w:rPr>
          <w:snapToGrid w:val="0"/>
        </w:rPr>
        <w:tab/>
        <w:t>(a)</w:t>
      </w:r>
      <w:r>
        <w:rPr>
          <w:snapToGrid w:val="0"/>
        </w:rPr>
        <w:tab/>
        <w:t>revoke its approval as to the eligibility of any person to hold a permit; or</w:t>
      </w:r>
    </w:p>
    <w:p>
      <w:pPr>
        <w:pStyle w:val="Indenta"/>
        <w:rPr>
          <w:snapToGrid w:val="0"/>
        </w:rPr>
      </w:pPr>
      <w:r>
        <w:rPr>
          <w:snapToGrid w:val="0"/>
        </w:rPr>
        <w:tab/>
        <w:t>(b)</w:t>
      </w:r>
      <w:r>
        <w:rPr>
          <w:snapToGrid w:val="0"/>
        </w:rPr>
        <w:tab/>
        <w:t>revoke its approval of a person as a nominee permit holder; or</w:t>
      </w:r>
    </w:p>
    <w:p>
      <w:pPr>
        <w:pStyle w:val="Indenta"/>
        <w:rPr>
          <w:snapToGrid w:val="0"/>
        </w:rPr>
      </w:pPr>
      <w:r>
        <w:rPr>
          <w:snapToGrid w:val="0"/>
        </w:rPr>
        <w:tab/>
        <w:t>(c)</w:t>
      </w:r>
      <w:r>
        <w:rPr>
          <w:snapToGrid w:val="0"/>
        </w:rPr>
        <w:tab/>
        <w:t>where a permit holder is a corporation and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 or</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[Section 60 amended: No. 16 of 1990 s. 33; No. 24 of 1998 s. 52.]</w:t>
      </w:r>
    </w:p>
    <w:p>
      <w:pPr>
        <w:pStyle w:val="Ednotesection"/>
      </w:pPr>
      <w:r>
        <w:t>[</w:t>
      </w:r>
      <w:r>
        <w:rPr>
          <w:b/>
        </w:rPr>
        <w:t>61.</w:t>
      </w:r>
      <w:r>
        <w:tab/>
        <w:t>Deleted: No. 16 of 1990 s. 33.]</w:t>
      </w:r>
    </w:p>
    <w:p>
      <w:pPr>
        <w:pStyle w:val="Heading5"/>
        <w:rPr>
          <w:snapToGrid w:val="0"/>
        </w:rPr>
      </w:pPr>
      <w:bookmarkStart w:id="81" w:name="_Toc32497095"/>
      <w:r>
        <w:rPr>
          <w:rStyle w:val="CharSectno"/>
        </w:rPr>
        <w:t>62</w:t>
      </w:r>
      <w:r>
        <w:rPr>
          <w:snapToGrid w:val="0"/>
        </w:rPr>
        <w:t>.</w:t>
      </w:r>
      <w:r>
        <w:rPr>
          <w:snapToGrid w:val="0"/>
        </w:rPr>
        <w:tab/>
        <w:t>Revocation or amendment of current approval etc., Commission to report to Minister; appeals to Minister</w:t>
      </w:r>
      <w:bookmarkEnd w:id="81"/>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w:t>
      </w:r>
    </w:p>
    <w:p>
      <w:pPr>
        <w:pStyle w:val="Indenta"/>
        <w:rPr>
          <w:snapToGrid w:val="0"/>
        </w:rPr>
      </w:pPr>
      <w:r>
        <w:rPr>
          <w:snapToGrid w:val="0"/>
        </w:rPr>
        <w:tab/>
        <w:t>(a)</w:t>
      </w:r>
      <w:r>
        <w:rPr>
          <w:snapToGrid w:val="0"/>
        </w:rPr>
        <w:tab/>
        <w:t>revoking; or</w:t>
      </w:r>
    </w:p>
    <w:p>
      <w:pPr>
        <w:pStyle w:val="Indenta"/>
        <w:rPr>
          <w:snapToGrid w:val="0"/>
        </w:rPr>
      </w:pPr>
      <w:r>
        <w:rPr>
          <w:snapToGrid w:val="0"/>
        </w:rPr>
        <w:tab/>
        <w:t>(b)</w:t>
      </w:r>
      <w:r>
        <w:rPr>
          <w:snapToGrid w:val="0"/>
        </w:rPr>
        <w:tab/>
        <w:t>refusing to renew; or</w:t>
      </w:r>
    </w:p>
    <w:p>
      <w:pPr>
        <w:pStyle w:val="Indenta"/>
        <w:keepNext/>
        <w:rPr>
          <w:snapToGrid w:val="0"/>
        </w:rPr>
      </w:pPr>
      <w:r>
        <w:rPr>
          <w:snapToGrid w:val="0"/>
        </w:rPr>
        <w:tab/>
        <w:t>(c)</w:t>
      </w:r>
      <w:r>
        <w:rPr>
          <w:snapToGrid w:val="0"/>
        </w:rPr>
        <w:tab/>
        <w:t>amending,</w:t>
      </w:r>
    </w:p>
    <w:p>
      <w:pPr>
        <w:pStyle w:val="Subsection"/>
        <w:spacing w:before="120"/>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No. 35 of 2003 s. 166.]</w:t>
      </w:r>
    </w:p>
    <w:p>
      <w:pPr>
        <w:pStyle w:val="Heading5"/>
        <w:spacing w:before="240"/>
        <w:rPr>
          <w:snapToGrid w:val="0"/>
        </w:rPr>
      </w:pPr>
      <w:bookmarkStart w:id="82" w:name="_Toc32497096"/>
      <w:r>
        <w:rPr>
          <w:rStyle w:val="CharSectno"/>
        </w:rPr>
        <w:t>63</w:t>
      </w:r>
      <w:r>
        <w:rPr>
          <w:snapToGrid w:val="0"/>
        </w:rPr>
        <w:t>.</w:t>
      </w:r>
      <w:r>
        <w:rPr>
          <w:snapToGrid w:val="0"/>
        </w:rPr>
        <w:tab/>
        <w:t>No credit to be given to person for permitted gaming; cheques for permitted gaming</w:t>
      </w:r>
      <w:bookmarkEnd w:id="82"/>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No. 24 of 2000 s. 52.]</w:t>
      </w:r>
    </w:p>
    <w:p>
      <w:pPr>
        <w:pStyle w:val="Heading3"/>
      </w:pPr>
      <w:bookmarkStart w:id="83" w:name="_Toc32497097"/>
      <w:r>
        <w:rPr>
          <w:rStyle w:val="CharDivNo"/>
        </w:rPr>
        <w:t>Division 2</w:t>
      </w:r>
      <w:r>
        <w:rPr>
          <w:snapToGrid w:val="0"/>
        </w:rPr>
        <w:t> — </w:t>
      </w:r>
      <w:r>
        <w:rPr>
          <w:rStyle w:val="CharDivText"/>
        </w:rPr>
        <w:t>Social gambling</w:t>
      </w:r>
      <w:bookmarkEnd w:id="83"/>
    </w:p>
    <w:p>
      <w:pPr>
        <w:pStyle w:val="Heading5"/>
        <w:rPr>
          <w:snapToGrid w:val="0"/>
        </w:rPr>
      </w:pPr>
      <w:bookmarkStart w:id="84" w:name="_Toc32497098"/>
      <w:r>
        <w:rPr>
          <w:rStyle w:val="CharSectno"/>
        </w:rPr>
        <w:t>64</w:t>
      </w:r>
      <w:r>
        <w:rPr>
          <w:snapToGrid w:val="0"/>
        </w:rPr>
        <w:t>.</w:t>
      </w:r>
      <w:r>
        <w:rPr>
          <w:snapToGrid w:val="0"/>
        </w:rPr>
        <w:tab/>
        <w:t>Social gambling defined</w:t>
      </w:r>
      <w:bookmarkEnd w:id="84"/>
    </w:p>
    <w:p>
      <w:pPr>
        <w:pStyle w:val="Subsection"/>
        <w:keepNext/>
        <w:rPr>
          <w:snapToGrid w:val="0"/>
        </w:rPr>
      </w:pPr>
      <w:r>
        <w:rPr>
          <w:snapToGrid w:val="0"/>
        </w:rPr>
        <w:tab/>
        <w:t>(1)</w:t>
      </w:r>
      <w:r>
        <w:rPr>
          <w:snapToGrid w:val="0"/>
        </w:rPr>
        <w:tab/>
        <w:t>This section does not, subject to subsection (3), apply to or in relation to —</w:t>
      </w:r>
    </w:p>
    <w:p>
      <w:pPr>
        <w:pStyle w:val="Indenta"/>
        <w:keepNext/>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keepNext/>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keepNext/>
        <w:rPr>
          <w:snapToGrid w:val="0"/>
        </w:rPr>
      </w:pPr>
      <w:r>
        <w:rPr>
          <w:snapToGrid w:val="0"/>
        </w:rPr>
        <w:tab/>
        <w:t>(2)</w:t>
      </w:r>
      <w:r>
        <w:rPr>
          <w:snapToGrid w:val="0"/>
        </w:rPr>
        <w:tab/>
        <w:t xml:space="preserve">Subject to subsection (1), </w:t>
      </w:r>
      <w:r>
        <w:t>gambling</w:t>
      </w:r>
      <w:r>
        <w:rPr>
          <w:snapToGrid w:val="0"/>
        </w:rPr>
        <w:t xml:space="preserve"> which —</w:t>
      </w:r>
    </w:p>
    <w:p>
      <w:pPr>
        <w:pStyle w:val="Indenta"/>
        <w:rPr>
          <w:snapToGrid w:val="0"/>
        </w:rPr>
      </w:pPr>
      <w:r>
        <w:rPr>
          <w:snapToGrid w:val="0"/>
        </w:rPr>
        <w:tab/>
        <w:t>(a)</w:t>
      </w:r>
      <w:r>
        <w:rPr>
          <w:snapToGrid w:val="0"/>
        </w:rPr>
        <w:tab/>
        <w:t>is spontaneous, notwithstanding that it may occur regularly, habitually or by arrangement between the persons involved; and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 and</w:t>
      </w:r>
    </w:p>
    <w:p>
      <w:pPr>
        <w:pStyle w:val="Indenta"/>
        <w:keepNext/>
        <w:rPr>
          <w:snapToGrid w:val="0"/>
        </w:rPr>
      </w:pPr>
      <w:r>
        <w:rPr>
          <w:snapToGrid w:val="0"/>
        </w:rPr>
        <w:tab/>
        <w:t>(c)</w:t>
      </w:r>
      <w:r>
        <w:rPr>
          <w:snapToGrid w:val="0"/>
        </w:rPr>
        <w:tab/>
        <w:t>is so conducted that —</w:t>
      </w:r>
    </w:p>
    <w:p>
      <w:pPr>
        <w:pStyle w:val="Indenti"/>
        <w:rPr>
          <w:snapToGrid w:val="0"/>
        </w:rPr>
      </w:pPr>
      <w:r>
        <w:rPr>
          <w:snapToGrid w:val="0"/>
        </w:rPr>
        <w:tab/>
        <w:t>(i)</w:t>
      </w:r>
      <w:r>
        <w:rPr>
          <w:snapToGrid w:val="0"/>
        </w:rPr>
        <w:tab/>
        <w:t>no person is defrauded or cheated; and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 and</w:t>
      </w:r>
    </w:p>
    <w:p>
      <w:pPr>
        <w:pStyle w:val="Indenta"/>
        <w:rPr>
          <w:snapToGrid w:val="0"/>
        </w:rPr>
      </w:pPr>
      <w:r>
        <w:rPr>
          <w:snapToGrid w:val="0"/>
        </w:rPr>
        <w:tab/>
        <w:t>(e)</w:t>
      </w:r>
      <w:r>
        <w:rPr>
          <w:snapToGrid w:val="0"/>
        </w:rPr>
        <w:tab/>
        <w:t>does not contravene the requirements of the person responsible for the premises where it occurs; and</w:t>
      </w:r>
    </w:p>
    <w:p>
      <w:pPr>
        <w:pStyle w:val="Indenta"/>
        <w:rPr>
          <w:snapToGrid w:val="0"/>
        </w:rPr>
      </w:pPr>
      <w:r>
        <w:rPr>
          <w:snapToGrid w:val="0"/>
        </w:rPr>
        <w:tab/>
        <w:t>(f)</w:t>
      </w:r>
      <w:r>
        <w:rPr>
          <w:snapToGrid w:val="0"/>
        </w:rPr>
        <w:tab/>
        <w:t>is not —</w:t>
      </w:r>
    </w:p>
    <w:p>
      <w:pPr>
        <w:pStyle w:val="Indenti"/>
        <w:rPr>
          <w:snapToGrid w:val="0"/>
        </w:rPr>
      </w:pPr>
      <w:r>
        <w:rPr>
          <w:snapToGrid w:val="0"/>
        </w:rPr>
        <w:tab/>
        <w:t>(i)</w:t>
      </w:r>
      <w:r>
        <w:rPr>
          <w:snapToGrid w:val="0"/>
        </w:rPr>
        <w:tab/>
        <w:t>two</w:t>
      </w:r>
      <w:r>
        <w:rPr>
          <w:snapToGrid w:val="0"/>
        </w:rPr>
        <w:noBreakHyphen/>
        <w:t>up; or</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spacing w:before="60"/>
        <w:rPr>
          <w:snapToGrid w:val="0"/>
        </w:rPr>
      </w:pPr>
      <w:r>
        <w:rPr>
          <w:snapToGrid w:val="0"/>
        </w:rPr>
        <w:tab/>
      </w:r>
      <w:r>
        <w:rPr>
          <w:snapToGrid w:val="0"/>
        </w:rPr>
        <w:tab/>
        <w:t>and</w:t>
      </w:r>
    </w:p>
    <w:p>
      <w:pPr>
        <w:pStyle w:val="Indenta"/>
        <w:keepNext/>
        <w:spacing w:before="60"/>
        <w:rPr>
          <w:snapToGrid w:val="0"/>
        </w:rPr>
      </w:pPr>
      <w:r>
        <w:rPr>
          <w:snapToGrid w:val="0"/>
        </w:rPr>
        <w:tab/>
        <w:t>(g)</w:t>
      </w:r>
      <w:r>
        <w:rPr>
          <w:snapToGrid w:val="0"/>
        </w:rPr>
        <w:tab/>
        <w:t>being gaming, by the nature of the game is such that the chances in the game —</w:t>
      </w:r>
    </w:p>
    <w:p>
      <w:pPr>
        <w:pStyle w:val="Indenti"/>
        <w:spacing w:before="60"/>
        <w:rPr>
          <w:snapToGrid w:val="0"/>
        </w:rPr>
      </w:pPr>
      <w:r>
        <w:rPr>
          <w:snapToGrid w:val="0"/>
        </w:rPr>
        <w:tab/>
        <w:t>(i)</w:t>
      </w:r>
      <w:r>
        <w:rPr>
          <w:snapToGrid w:val="0"/>
        </w:rPr>
        <w:tab/>
        <w:t>are equally favourable to all the players; or</w:t>
      </w:r>
    </w:p>
    <w:p>
      <w:pPr>
        <w:pStyle w:val="Indenti"/>
        <w:keepLines/>
        <w:spacing w:before="60"/>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Subsection"/>
        <w:keepNext/>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w:t>
      </w:r>
    </w:p>
    <w:p>
      <w:pPr>
        <w:pStyle w:val="Indenta"/>
        <w:spacing w:before="60"/>
        <w:rPr>
          <w:snapToGrid w:val="0"/>
        </w:rPr>
      </w:pPr>
      <w:r>
        <w:rPr>
          <w:snapToGrid w:val="0"/>
        </w:rPr>
        <w:tab/>
        <w:t>(a)</w:t>
      </w:r>
      <w:r>
        <w:rPr>
          <w:snapToGrid w:val="0"/>
        </w:rPr>
        <w:tab/>
        <w:t>holds a current licence as a bookmaker under that Act; or</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No. 24 of 1998 s. 53; No. 35 of 2003 s. 150 and 166.]</w:t>
      </w:r>
    </w:p>
    <w:p>
      <w:pPr>
        <w:pStyle w:val="Ednotedivision"/>
      </w:pPr>
      <w:r>
        <w:t>[Division 3</w:t>
      </w:r>
      <w:r>
        <w:rPr>
          <w:b/>
        </w:rPr>
        <w:t xml:space="preserve"> </w:t>
      </w:r>
      <w:r>
        <w:rPr>
          <w:bCs/>
        </w:rPr>
        <w:t>(s. 65</w:t>
      </w:r>
      <w:r>
        <w:rPr>
          <w:bCs/>
        </w:rPr>
        <w:noBreakHyphen/>
        <w:t>79)</w:t>
      </w:r>
      <w:r>
        <w:t xml:space="preserve"> deleted: No. 16 of 1990 s. 31.]</w:t>
      </w:r>
    </w:p>
    <w:p>
      <w:pPr>
        <w:pStyle w:val="Heading3"/>
        <w:keepNext w:val="0"/>
      </w:pPr>
      <w:bookmarkStart w:id="85" w:name="_Toc32497099"/>
      <w:r>
        <w:rPr>
          <w:rStyle w:val="CharDivNo"/>
        </w:rPr>
        <w:t>Division 4</w:t>
      </w:r>
      <w:r>
        <w:rPr>
          <w:snapToGrid w:val="0"/>
        </w:rPr>
        <w:t> — </w:t>
      </w:r>
      <w:r>
        <w:rPr>
          <w:rStyle w:val="CharDivText"/>
        </w:rPr>
        <w:t>Permitted two</w:t>
      </w:r>
      <w:r>
        <w:rPr>
          <w:rStyle w:val="CharDivText"/>
        </w:rPr>
        <w:noBreakHyphen/>
        <w:t>up</w:t>
      </w:r>
      <w:bookmarkEnd w:id="85"/>
    </w:p>
    <w:p>
      <w:pPr>
        <w:pStyle w:val="Heading5"/>
        <w:keepNext w:val="0"/>
        <w:keepLines w:val="0"/>
        <w:rPr>
          <w:snapToGrid w:val="0"/>
        </w:rPr>
      </w:pPr>
      <w:bookmarkStart w:id="86" w:name="_Toc32497100"/>
      <w:r>
        <w:rPr>
          <w:rStyle w:val="CharSectno"/>
        </w:rPr>
        <w:t>80</w:t>
      </w:r>
      <w:r>
        <w:rPr>
          <w:snapToGrid w:val="0"/>
        </w:rPr>
        <w:t>.</w:t>
      </w:r>
      <w:r>
        <w:rPr>
          <w:snapToGrid w:val="0"/>
        </w:rPr>
        <w:tab/>
        <w:t>Two</w:t>
      </w:r>
      <w:r>
        <w:rPr>
          <w:snapToGrid w:val="0"/>
        </w:rPr>
        <w:noBreakHyphen/>
        <w:t>up at country race meetings</w:t>
      </w:r>
      <w:bookmarkEnd w:id="86"/>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w:t>
      </w:r>
    </w:p>
    <w:p>
      <w:pPr>
        <w:pStyle w:val="Indenta"/>
        <w:rPr>
          <w:snapToGrid w:val="0"/>
        </w:rPr>
      </w:pPr>
      <w:r>
        <w:rPr>
          <w:snapToGrid w:val="0"/>
        </w:rPr>
        <w:tab/>
        <w:t>(a)</w:t>
      </w:r>
      <w:r>
        <w:rPr>
          <w:snapToGrid w:val="0"/>
        </w:rPr>
        <w:tab/>
        <w:t>takes place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is conducted —</w:t>
      </w:r>
    </w:p>
    <w:p>
      <w:pPr>
        <w:pStyle w:val="Indenti"/>
        <w:spacing w:before="100"/>
        <w:rPr>
          <w:snapToGrid w:val="0"/>
        </w:rPr>
      </w:pPr>
      <w:r>
        <w:rPr>
          <w:snapToGrid w:val="0"/>
        </w:rPr>
        <w:tab/>
        <w:t>(i)</w:t>
      </w:r>
      <w:r>
        <w:rPr>
          <w:snapToGrid w:val="0"/>
        </w:rPr>
        <w:tab/>
        <w:t>by or on behalf of the country race club, by a person authorised in writing by the committee of that club for the purpose; and</w:t>
      </w:r>
    </w:p>
    <w:p>
      <w:pPr>
        <w:pStyle w:val="Indenti"/>
        <w:spacing w:before="100"/>
        <w:rPr>
          <w:snapToGrid w:val="0"/>
        </w:rPr>
      </w:pPr>
      <w:r>
        <w:rPr>
          <w:snapToGrid w:val="0"/>
        </w:rPr>
        <w:tab/>
        <w:t>(ii)</w:t>
      </w:r>
      <w:r>
        <w:rPr>
          <w:snapToGrid w:val="0"/>
        </w:rPr>
        <w:tab/>
        <w:t>otherwise than during the racing for that day; and</w:t>
      </w:r>
    </w:p>
    <w:p>
      <w:pPr>
        <w:pStyle w:val="Indenti"/>
        <w:spacing w:before="100"/>
        <w:rPr>
          <w:snapToGrid w:val="0"/>
        </w:rPr>
      </w:pPr>
      <w:r>
        <w:rPr>
          <w:snapToGrid w:val="0"/>
        </w:rPr>
        <w:tab/>
        <w:t>(iii)</w:t>
      </w:r>
      <w:r>
        <w:rPr>
          <w:snapToGrid w:val="0"/>
        </w:rPr>
        <w:tab/>
        <w:t>in the manner in which the game two</w:t>
      </w:r>
      <w:r>
        <w:rPr>
          <w:snapToGrid w:val="0"/>
        </w:rPr>
        <w:noBreakHyphen/>
        <w:t>up is customarily conducted in that locality of the State, whether with coins or dice; and</w:t>
      </w:r>
    </w:p>
    <w:p>
      <w:pPr>
        <w:pStyle w:val="Indenti"/>
        <w:spacing w:before="100"/>
        <w:rPr>
          <w:snapToGrid w:val="0"/>
        </w:rPr>
      </w:pPr>
      <w:r>
        <w:rPr>
          <w:snapToGrid w:val="0"/>
        </w:rPr>
        <w:tab/>
        <w:t>(iiia)</w:t>
      </w:r>
      <w:r>
        <w:rPr>
          <w:snapToGrid w:val="0"/>
        </w:rPr>
        <w:tab/>
        <w:t>not for the purposes of private gain or any commercial undertaking; and</w:t>
      </w:r>
    </w:p>
    <w:p>
      <w:pPr>
        <w:pStyle w:val="Indenti"/>
        <w:spacing w:before="100"/>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spacing w:before="100"/>
        <w:rPr>
          <w:snapToGrid w:val="0"/>
        </w:rPr>
      </w:pPr>
      <w:r>
        <w:rPr>
          <w:snapToGrid w:val="0"/>
        </w:rPr>
        <w:tab/>
      </w:r>
      <w:r>
        <w:rPr>
          <w:snapToGrid w:val="0"/>
        </w:rPr>
        <w:tab/>
        <w:t>and</w:t>
      </w:r>
    </w:p>
    <w:p>
      <w:pPr>
        <w:pStyle w:val="Indenta"/>
        <w:keepNext/>
        <w:spacing w:before="100"/>
        <w:rPr>
          <w:snapToGrid w:val="0"/>
        </w:rPr>
      </w:pPr>
      <w:r>
        <w:rPr>
          <w:snapToGrid w:val="0"/>
        </w:rPr>
        <w:tab/>
        <w:t>(c)</w:t>
      </w:r>
      <w:r>
        <w:rPr>
          <w:snapToGrid w:val="0"/>
        </w:rPr>
        <w:tab/>
        <w:t>does not contravene any condition —</w:t>
      </w:r>
    </w:p>
    <w:p>
      <w:pPr>
        <w:pStyle w:val="Indenti"/>
        <w:spacing w:before="100"/>
        <w:rPr>
          <w:snapToGrid w:val="0"/>
        </w:rPr>
      </w:pPr>
      <w:r>
        <w:rPr>
          <w:snapToGrid w:val="0"/>
        </w:rPr>
        <w:tab/>
        <w:t>(i)</w:t>
      </w:r>
      <w:r>
        <w:rPr>
          <w:snapToGrid w:val="0"/>
        </w:rPr>
        <w:tab/>
        <w:t>specifically imposed in respect of that permit; or</w:t>
      </w:r>
    </w:p>
    <w:p>
      <w:pPr>
        <w:pStyle w:val="Indenti"/>
        <w:spacing w:before="100"/>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100 km of the Burswood Casino as referred to in the </w:t>
      </w:r>
      <w:r>
        <w:rPr>
          <w:i/>
        </w:rPr>
        <w:t>Casino (Burswood Island) Agreement Act 1985</w:t>
      </w:r>
      <w:r>
        <w:t>.</w:t>
      </w:r>
    </w:p>
    <w:p>
      <w:pPr>
        <w:pStyle w:val="Footnotesection"/>
      </w:pPr>
      <w:r>
        <w:tab/>
        <w:t>[Section 80 amended: No. 24 of 1998 s. 54; No. 35 of 2003 s. 151; No. 25 of 2011 s. 9.]</w:t>
      </w:r>
    </w:p>
    <w:p>
      <w:pPr>
        <w:pStyle w:val="Heading5"/>
        <w:rPr>
          <w:snapToGrid w:val="0"/>
        </w:rPr>
      </w:pPr>
      <w:bookmarkStart w:id="87" w:name="_Toc32497101"/>
      <w:r>
        <w:rPr>
          <w:rStyle w:val="CharSectno"/>
        </w:rPr>
        <w:t>81</w:t>
      </w:r>
      <w:r>
        <w:rPr>
          <w:snapToGrid w:val="0"/>
        </w:rPr>
        <w:t>.</w:t>
      </w:r>
      <w:r>
        <w:rPr>
          <w:snapToGrid w:val="0"/>
        </w:rPr>
        <w:tab/>
        <w:t>Two</w:t>
      </w:r>
      <w:r>
        <w:rPr>
          <w:snapToGrid w:val="0"/>
        </w:rPr>
        <w:noBreakHyphen/>
        <w:t>up at other places</w:t>
      </w:r>
      <w:bookmarkEnd w:id="87"/>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w:t>
      </w:r>
    </w:p>
    <w:p>
      <w:pPr>
        <w:pStyle w:val="Indenta"/>
        <w:rPr>
          <w:snapToGrid w:val="0"/>
        </w:rPr>
      </w:pPr>
      <w:r>
        <w:rPr>
          <w:snapToGrid w:val="0"/>
        </w:rPr>
        <w:tab/>
        <w:t>(a)</w:t>
      </w:r>
      <w:r>
        <w:rPr>
          <w:snapToGrid w:val="0"/>
        </w:rPr>
        <w:tab/>
        <w:t xml:space="preserve">takes place at approved premises, not being a place situate inside a radius in any direction of 100 km of the Burswood Casino as referred to in the </w:t>
      </w:r>
      <w:r>
        <w:rPr>
          <w:i/>
          <w:snapToGrid w:val="0"/>
        </w:rPr>
        <w:t>Casino (Burswood Island) Agreement Act 1985</w:t>
      </w:r>
      <w:r>
        <w:rPr>
          <w:snapToGrid w:val="0"/>
        </w:rPr>
        <w:t>; and</w:t>
      </w:r>
    </w:p>
    <w:p>
      <w:pPr>
        <w:pStyle w:val="Indenta"/>
        <w:keepNext/>
        <w:rPr>
          <w:snapToGrid w:val="0"/>
        </w:rPr>
      </w:pPr>
      <w:r>
        <w:rPr>
          <w:snapToGrid w:val="0"/>
        </w:rPr>
        <w:tab/>
        <w:t>(b)</w:t>
      </w:r>
      <w:r>
        <w:rPr>
          <w:snapToGrid w:val="0"/>
        </w:rPr>
        <w:tab/>
        <w:t>is conducted —</w:t>
      </w:r>
    </w:p>
    <w:p>
      <w:pPr>
        <w:pStyle w:val="Indenti"/>
        <w:rPr>
          <w:snapToGrid w:val="0"/>
        </w:rPr>
      </w:pPr>
      <w:r>
        <w:rPr>
          <w:snapToGrid w:val="0"/>
        </w:rPr>
        <w:tab/>
        <w:t>(i)</w:t>
      </w:r>
      <w:r>
        <w:rPr>
          <w:snapToGrid w:val="0"/>
        </w:rPr>
        <w:tab/>
        <w:t>in the manner in which the game two</w:t>
      </w:r>
      <w:r>
        <w:rPr>
          <w:snapToGrid w:val="0"/>
        </w:rPr>
        <w:noBreakHyphen/>
        <w:t>up is customarily conducted in that locality of the State, whether with coins or dice; and</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20"/>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Ednotesubsection"/>
      </w:pPr>
      <w:r>
        <w:tab/>
        <w:t>[(3)</w:t>
      </w:r>
      <w:r>
        <w:tab/>
        <w:t>deleted]</w:t>
      </w:r>
    </w:p>
    <w:p>
      <w:pPr>
        <w:pStyle w:val="Footnotesection"/>
      </w:pPr>
      <w:r>
        <w:tab/>
        <w:t>[Section 81 amended: No. 24 of 1998 s. 55; No. 35 of 2003 s. 152 and 167; No. 25 of 2011 s. 10; No. 41 of 2018 s. 20.]</w:t>
      </w:r>
    </w:p>
    <w:p>
      <w:pPr>
        <w:pStyle w:val="Heading5"/>
        <w:rPr>
          <w:snapToGrid w:val="0"/>
        </w:rPr>
      </w:pPr>
      <w:bookmarkStart w:id="88" w:name="_Toc32497102"/>
      <w:r>
        <w:rPr>
          <w:rStyle w:val="CharSectno"/>
        </w:rPr>
        <w:t>82</w:t>
      </w:r>
      <w:r>
        <w:rPr>
          <w:snapToGrid w:val="0"/>
        </w:rPr>
        <w:t>.</w:t>
      </w:r>
      <w:r>
        <w:rPr>
          <w:snapToGrid w:val="0"/>
        </w:rPr>
        <w:tab/>
        <w:t>Conditions deemed in certain permits</w:t>
      </w:r>
      <w:bookmarkEnd w:id="88"/>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No. 24 of 1998 s. 56; No. 35 of 2003 s. 153.]</w:t>
      </w:r>
    </w:p>
    <w:p>
      <w:pPr>
        <w:pStyle w:val="Heading5"/>
        <w:rPr>
          <w:snapToGrid w:val="0"/>
        </w:rPr>
      </w:pPr>
      <w:bookmarkStart w:id="89" w:name="_Toc32497103"/>
      <w:r>
        <w:rPr>
          <w:rStyle w:val="CharSectno"/>
        </w:rPr>
        <w:t>83</w:t>
      </w:r>
      <w:r>
        <w:rPr>
          <w:snapToGrid w:val="0"/>
        </w:rPr>
        <w:t>.</w:t>
      </w:r>
      <w:r>
        <w:rPr>
          <w:snapToGrid w:val="0"/>
        </w:rPr>
        <w:tab/>
        <w:t>Regulations for this Division</w:t>
      </w:r>
      <w:bookmarkEnd w:id="89"/>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 and</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 and</w:t>
      </w:r>
    </w:p>
    <w:p>
      <w:pPr>
        <w:pStyle w:val="Indenta"/>
        <w:rPr>
          <w:snapToGrid w:val="0"/>
        </w:rPr>
      </w:pPr>
      <w:r>
        <w:rPr>
          <w:snapToGrid w:val="0"/>
        </w:rPr>
        <w:tab/>
        <w:t>(c)</w:t>
      </w:r>
      <w:r>
        <w:rPr>
          <w:snapToGrid w:val="0"/>
        </w:rPr>
        <w:tab/>
        <w:t>for the immediate suspension of the operation of a permit in prescribed circumstances; and</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No. 35 of 2003 s. 154 and 167.]</w:t>
      </w:r>
    </w:p>
    <w:p>
      <w:pPr>
        <w:pStyle w:val="Heading3"/>
      </w:pPr>
      <w:bookmarkStart w:id="90" w:name="_Toc32497104"/>
      <w:r>
        <w:rPr>
          <w:rStyle w:val="CharDivNo"/>
        </w:rPr>
        <w:t>Division 5</w:t>
      </w:r>
      <w:r>
        <w:rPr>
          <w:snapToGrid w:val="0"/>
        </w:rPr>
        <w:t> — </w:t>
      </w:r>
      <w:r>
        <w:rPr>
          <w:rStyle w:val="CharDivText"/>
        </w:rPr>
        <w:t>Gaming machines and other gaming equipment and its operation</w:t>
      </w:r>
      <w:bookmarkEnd w:id="90"/>
    </w:p>
    <w:p>
      <w:pPr>
        <w:pStyle w:val="Heading5"/>
        <w:rPr>
          <w:snapToGrid w:val="0"/>
        </w:rPr>
      </w:pPr>
      <w:bookmarkStart w:id="91" w:name="_Toc32497105"/>
      <w:r>
        <w:rPr>
          <w:rStyle w:val="CharSectno"/>
        </w:rPr>
        <w:t>84</w:t>
      </w:r>
      <w:r>
        <w:rPr>
          <w:snapToGrid w:val="0"/>
        </w:rPr>
        <w:t>.</w:t>
      </w:r>
      <w:r>
        <w:rPr>
          <w:snapToGrid w:val="0"/>
        </w:rPr>
        <w:tab/>
        <w:t>Terms used</w:t>
      </w:r>
      <w:bookmarkEnd w:id="91"/>
    </w:p>
    <w:p>
      <w:pPr>
        <w:pStyle w:val="Subsection"/>
        <w:rPr>
          <w:snapToGrid w:val="0"/>
        </w:rPr>
      </w:pPr>
      <w:r>
        <w:rPr>
          <w:snapToGrid w:val="0"/>
        </w:rPr>
        <w:tab/>
        <w:t>(1)</w:t>
      </w:r>
      <w:r>
        <w:rPr>
          <w:snapToGrid w:val="0"/>
        </w:rPr>
        <w:tab/>
        <w:t>In this Division —</w:t>
      </w:r>
    </w:p>
    <w:p>
      <w:pPr>
        <w:pStyle w:val="Defstart"/>
      </w:pPr>
      <w:r>
        <w:rPr>
          <w:b/>
        </w:rPr>
        <w:tab/>
      </w:r>
      <w:r>
        <w:rPr>
          <w:rStyle w:val="CharDefText"/>
        </w:rPr>
        <w:t>gaming machine</w:t>
      </w:r>
      <w:r>
        <w:t xml:space="preserve"> means a machine which —</w:t>
      </w:r>
    </w:p>
    <w:p>
      <w:pPr>
        <w:pStyle w:val="Defpara"/>
      </w:pPr>
      <w:r>
        <w:tab/>
        <w:t>(a)</w:t>
      </w:r>
      <w:r>
        <w:tab/>
        <w:t>is constructed, adapted or used for playing a game of chance by means of that gaming machine; and</w:t>
      </w:r>
    </w:p>
    <w:p>
      <w:pPr>
        <w:pStyle w:val="Defpara"/>
      </w:pPr>
      <w:r>
        <w:tab/>
        <w:t>(b)</w:t>
      </w:r>
      <w:r>
        <w:tab/>
        <w:t>a player pays (except where he has an opportunity to play without payment as the result of having previously played successfully) to play —</w:t>
      </w:r>
    </w:p>
    <w:p>
      <w:pPr>
        <w:pStyle w:val="Defsubpara"/>
      </w:pPr>
      <w:r>
        <w:tab/>
        <w:t>(i)</w:t>
      </w:r>
      <w:r>
        <w:tab/>
        <w:t>by inserting money, or money’s worth in the form of a token; or</w:t>
      </w:r>
    </w:p>
    <w:p>
      <w:pPr>
        <w:pStyle w:val="Defsubpara"/>
      </w:pPr>
      <w:r>
        <w:tab/>
        <w:t>(ii)</w:t>
      </w:r>
      <w: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keepNext/>
      </w:pPr>
      <w:r>
        <w:rPr>
          <w:b/>
        </w:rPr>
        <w:tab/>
      </w:r>
      <w:r>
        <w:rPr>
          <w:rStyle w:val="CharDefText"/>
        </w:rPr>
        <w:t>prescribed gaming equipment</w:t>
      </w:r>
      <w:r>
        <w:t xml:space="preserve"> means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w:t>
      </w:r>
    </w:p>
    <w:p>
      <w:pPr>
        <w:pStyle w:val="Defpara"/>
        <w:spacing w:before="60"/>
      </w:pPr>
      <w:r>
        <w:tab/>
        <w:t>(a)</w:t>
      </w:r>
      <w:r>
        <w:tab/>
        <w:t>for the playing of music or of games designed primarily for amusement, relaxation or education; or</w:t>
      </w:r>
    </w:p>
    <w:p>
      <w:pPr>
        <w:pStyle w:val="Defpara"/>
        <w:spacing w:before="60"/>
      </w:pPr>
      <w:r>
        <w:tab/>
        <w:t>(b)</w:t>
      </w:r>
      <w:r>
        <w:tab/>
        <w:t>for the playing of games of skill; or</w:t>
      </w:r>
    </w:p>
    <w:p>
      <w:pPr>
        <w:pStyle w:val="Defpara"/>
        <w:spacing w:before="60"/>
      </w:pPr>
      <w:r>
        <w:tab/>
        <w:t>(c)</w:t>
      </w:r>
      <w:r>
        <w:tab/>
        <w:t>so that although a game of chance may be played, section 39(2)(e) applies; or</w:t>
      </w:r>
    </w:p>
    <w:p>
      <w:pPr>
        <w:pStyle w:val="Defpara"/>
        <w:spacing w:before="60"/>
      </w:pPr>
      <w:r>
        <w:tab/>
        <w:t>(d)</w:t>
      </w:r>
      <w:r>
        <w:tab/>
        <w:t>to yield with certainty previously ascertained goods of which the sale, or exposure for sale, is not prohibited by any written law; or</w:t>
      </w:r>
    </w:p>
    <w:p>
      <w:pPr>
        <w:pStyle w:val="Defpara"/>
        <w:spacing w:before="60"/>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No. 24 of 1998 s. 57; No. 35 of 2003 s. 155 and 167.]</w:t>
      </w:r>
    </w:p>
    <w:p>
      <w:pPr>
        <w:pStyle w:val="Heading5"/>
        <w:rPr>
          <w:snapToGrid w:val="0"/>
        </w:rPr>
      </w:pPr>
      <w:bookmarkStart w:id="92" w:name="_Toc32497106"/>
      <w:r>
        <w:rPr>
          <w:rStyle w:val="CharSectno"/>
        </w:rPr>
        <w:t>85</w:t>
      </w:r>
      <w:r>
        <w:rPr>
          <w:snapToGrid w:val="0"/>
        </w:rPr>
        <w:t>.</w:t>
      </w:r>
      <w:r>
        <w:rPr>
          <w:snapToGrid w:val="0"/>
        </w:rPr>
        <w:tab/>
        <w:t>Unlawful gaming machines etc., use and possession of prohibited</w:t>
      </w:r>
      <w:bookmarkEnd w:id="92"/>
    </w:p>
    <w:p>
      <w:pPr>
        <w:pStyle w:val="Subsection"/>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w:t>
      </w:r>
    </w:p>
    <w:p>
      <w:pPr>
        <w:pStyle w:val="Indenta"/>
        <w:spacing w:before="60"/>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w:t>
      </w:r>
    </w:p>
    <w:p>
      <w:pPr>
        <w:pStyle w:val="Indenti"/>
        <w:spacing w:before="110"/>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 or</w:t>
      </w:r>
    </w:p>
    <w:p>
      <w:pPr>
        <w:pStyle w:val="Indenti"/>
        <w:spacing w:before="110"/>
        <w:rPr>
          <w:snapToGrid w:val="0"/>
        </w:rPr>
      </w:pPr>
      <w:r>
        <w:rPr>
          <w:snapToGrid w:val="0"/>
        </w:rPr>
        <w:tab/>
        <w:t>(ii)</w:t>
      </w:r>
      <w:r>
        <w:rPr>
          <w:snapToGrid w:val="0"/>
        </w:rPr>
        <w:tab/>
        <w:t>that, although not so declared, is commonly played in casinos (whether in Australia or elsewhere); or</w:t>
      </w:r>
    </w:p>
    <w:p>
      <w:pPr>
        <w:pStyle w:val="Indenti"/>
        <w:spacing w:before="110"/>
        <w:rPr>
          <w:snapToGrid w:val="0"/>
        </w:rPr>
      </w:pPr>
      <w:r>
        <w:rPr>
          <w:snapToGrid w:val="0"/>
        </w:rPr>
        <w:tab/>
        <w:t>(iii)</w:t>
      </w:r>
      <w:r>
        <w:rPr>
          <w:snapToGrid w:val="0"/>
        </w:rPr>
        <w:tab/>
        <w:t>that is a variation or derivative of a game referred to in subparagraph (i) or (ii);</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(b)</w:t>
      </w:r>
      <w:r>
        <w:rPr>
          <w:snapToGrid w:val="0"/>
        </w:rPr>
        <w:tab/>
        <w:t>any other gaming machine, not being a machine used —</w:t>
      </w:r>
    </w:p>
    <w:p>
      <w:pPr>
        <w:pStyle w:val="Indenti"/>
        <w:spacing w:before="110"/>
        <w:rPr>
          <w:snapToGrid w:val="0"/>
        </w:rPr>
      </w:pPr>
      <w:r>
        <w:rPr>
          <w:snapToGrid w:val="0"/>
        </w:rPr>
        <w:tab/>
        <w:t>(i)</w:t>
      </w:r>
      <w:r>
        <w:rPr>
          <w:snapToGrid w:val="0"/>
        </w:rPr>
        <w:tab/>
        <w:t>as a slot machine; or</w:t>
      </w:r>
    </w:p>
    <w:p>
      <w:pPr>
        <w:pStyle w:val="Indenti"/>
        <w:keepNext/>
        <w:spacing w:before="110"/>
        <w:rPr>
          <w:snapToGrid w:val="0"/>
        </w:rPr>
      </w:pPr>
      <w:r>
        <w:rPr>
          <w:snapToGrid w:val="0"/>
        </w:rPr>
        <w:tab/>
        <w:t>(ii)</w:t>
      </w:r>
      <w:r>
        <w:rPr>
          <w:snapToGrid w:val="0"/>
        </w:rPr>
        <w:tab/>
        <w:t>in accordance with a permit or written law;</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spacing w:before="180"/>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w:t>
      </w:r>
    </w:p>
    <w:p>
      <w:pPr>
        <w:pStyle w:val="Indenta"/>
        <w:spacing w:before="100"/>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spacing w:before="100"/>
        <w:rPr>
          <w:snapToGrid w:val="0"/>
        </w:rPr>
      </w:pPr>
      <w:r>
        <w:rPr>
          <w:snapToGrid w:val="0"/>
        </w:rPr>
        <w:tab/>
        <w:t>(b)</w:t>
      </w:r>
      <w:r>
        <w:rPr>
          <w:snapToGrid w:val="0"/>
        </w:rPr>
        <w:tab/>
        <w:t xml:space="preserve">where he is satisfied that the thing is unlawful gaming </w:t>
      </w:r>
      <w:r>
        <w:t>equipment that the person is not entitled to possess under this Act, or</w:t>
      </w:r>
      <w:r>
        <w:rPr>
          <w:snapToGrid w:val="0"/>
        </w:rPr>
        <w:t xml:space="preserve">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 xml:space="preserve">Subject to </w:t>
      </w:r>
      <w:r>
        <w:t xml:space="preserve">subsections (5) and (6A), </w:t>
      </w:r>
      <w:r>
        <w:rPr>
          <w:snapToGrid w:val="0"/>
        </w:rPr>
        <w:t>a person having in his possession —</w:t>
      </w:r>
    </w:p>
    <w:p>
      <w:pPr>
        <w:pStyle w:val="Indenta"/>
        <w:spacing w:before="100"/>
        <w:rPr>
          <w:snapToGrid w:val="0"/>
        </w:rPr>
      </w:pPr>
      <w:r>
        <w:rPr>
          <w:snapToGrid w:val="0"/>
        </w:rPr>
        <w:tab/>
        <w:t>(a)</w:t>
      </w:r>
      <w:r>
        <w:rPr>
          <w:snapToGrid w:val="0"/>
        </w:rPr>
        <w:tab/>
        <w:t>an unlawful gaming machine; or</w:t>
      </w:r>
    </w:p>
    <w:p>
      <w:pPr>
        <w:pStyle w:val="Indenta"/>
        <w:spacing w:before="100"/>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tab/>
        <w:t>(5)</w:t>
      </w:r>
      <w:r>
        <w:rPr>
          <w:snapToGrid w:val="0"/>
        </w:rPr>
        <w:tab/>
        <w:t>Subsection (4) does not apply to an authorised person having possession of a gaming machine or gaming equipment of a kind referred to in that subsection —</w:t>
      </w:r>
    </w:p>
    <w:p>
      <w:pPr>
        <w:pStyle w:val="Indenta"/>
        <w:spacing w:before="60"/>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spacing w:before="60"/>
        <w:rPr>
          <w:snapToGrid w:val="0"/>
        </w:rPr>
      </w:pPr>
      <w:r>
        <w:rPr>
          <w:snapToGrid w:val="0"/>
        </w:rPr>
        <w:tab/>
        <w:t>(b)</w:t>
      </w:r>
      <w:r>
        <w:rPr>
          <w:snapToGrid w:val="0"/>
        </w:rPr>
        <w:tab/>
        <w:t>in connection with the manufacture of gaming machines or gaming equipment.</w:t>
      </w:r>
    </w:p>
    <w:p>
      <w:pPr>
        <w:pStyle w:val="Subsection"/>
      </w:pPr>
      <w:r>
        <w:tab/>
        <w:t>(6A)</w:t>
      </w:r>
      <w:r>
        <w:tab/>
        <w:t>Subsection (4) does not apply to the possession of a gaming machine or gaming equipment of a kind referred to in that subsection, in prescribed circumstances.</w:t>
      </w:r>
    </w:p>
    <w:p>
      <w:pPr>
        <w:pStyle w:val="Subsection"/>
        <w:rPr>
          <w:snapToGrid w:val="0"/>
        </w:rPr>
      </w:pPr>
      <w:r>
        <w:rPr>
          <w:snapToGrid w:val="0"/>
        </w:rPr>
        <w:tab/>
        <w:t>(6)</w:t>
      </w:r>
      <w:r>
        <w:rPr>
          <w:snapToGrid w:val="0"/>
        </w:rPr>
        <w:tab/>
        <w:t>In subsection (5)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No. 24 of 1998 s. 58; No. 6 of 2000 s. 11; No. 35 of 2003 s. 156 and 166; No. 25 of 2011 s. 11; No. 41 of 2018 s. 25(1).]</w:t>
      </w:r>
    </w:p>
    <w:p>
      <w:pPr>
        <w:pStyle w:val="Heading5"/>
        <w:keepLines w:val="0"/>
        <w:rPr>
          <w:snapToGrid w:val="0"/>
        </w:rPr>
      </w:pPr>
      <w:bookmarkStart w:id="93" w:name="_Toc32497107"/>
      <w:r>
        <w:rPr>
          <w:rStyle w:val="CharSectno"/>
        </w:rPr>
        <w:t>86</w:t>
      </w:r>
      <w:r>
        <w:rPr>
          <w:snapToGrid w:val="0"/>
        </w:rPr>
        <w:t>.</w:t>
      </w:r>
      <w:r>
        <w:rPr>
          <w:snapToGrid w:val="0"/>
        </w:rPr>
        <w:tab/>
        <w:t>Use of unlawful cash or tokens in gaming machines</w:t>
      </w:r>
      <w:bookmarkEnd w:id="93"/>
    </w:p>
    <w:p>
      <w:pPr>
        <w:pStyle w:val="Subsection"/>
        <w:rPr>
          <w:snapToGrid w:val="0"/>
        </w:rPr>
      </w:pPr>
      <w:r>
        <w:rPr>
          <w:snapToGrid w:val="0"/>
        </w:rPr>
        <w:tab/>
      </w:r>
      <w:r>
        <w:rPr>
          <w:snapToGrid w:val="0"/>
        </w:rPr>
        <w:tab/>
        <w:t>A person who inserts, or attempts to insert, in any gaming machine or slot machine of which the use or possession is lawful anything other than —</w:t>
      </w:r>
    </w:p>
    <w:p>
      <w:pPr>
        <w:pStyle w:val="Indenta"/>
        <w:spacing w:before="60"/>
        <w:rPr>
          <w:snapToGrid w:val="0"/>
        </w:rPr>
      </w:pPr>
      <w:r>
        <w:rPr>
          <w:snapToGrid w:val="0"/>
        </w:rPr>
        <w:tab/>
        <w:t>(a)</w:t>
      </w:r>
      <w:r>
        <w:rPr>
          <w:snapToGrid w:val="0"/>
        </w:rPr>
        <w:tab/>
        <w:t>money issued under the authority of a law of the Commonwealth; or</w:t>
      </w:r>
    </w:p>
    <w:p>
      <w:pPr>
        <w:pStyle w:val="Indenta"/>
        <w:spacing w:before="60"/>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a fine of</w:t>
      </w:r>
      <w:r>
        <w:rPr>
          <w:snapToGrid w:val="0"/>
        </w:rPr>
        <w:t xml:space="preserve"> $100.</w:t>
      </w:r>
    </w:p>
    <w:p>
      <w:pPr>
        <w:pStyle w:val="Footnotesection"/>
      </w:pPr>
      <w:r>
        <w:tab/>
        <w:t>[Section 86 amended: No. 41 of 2018 s. 25(2).]</w:t>
      </w:r>
    </w:p>
    <w:p>
      <w:pPr>
        <w:pStyle w:val="Heading5"/>
        <w:rPr>
          <w:snapToGrid w:val="0"/>
        </w:rPr>
      </w:pPr>
      <w:bookmarkStart w:id="94" w:name="_Toc32497108"/>
      <w:r>
        <w:rPr>
          <w:rStyle w:val="CharSectno"/>
        </w:rPr>
        <w:t>87</w:t>
      </w:r>
      <w:r>
        <w:rPr>
          <w:snapToGrid w:val="0"/>
        </w:rPr>
        <w:t>.</w:t>
      </w:r>
      <w:r>
        <w:rPr>
          <w:snapToGrid w:val="0"/>
        </w:rPr>
        <w:tab/>
        <w:t>Records about gaming equipment, powers to require keeping of</w:t>
      </w:r>
      <w:bookmarkEnd w:id="94"/>
    </w:p>
    <w:p>
      <w:pPr>
        <w:pStyle w:val="Subsection"/>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w:t>
      </w:r>
    </w:p>
    <w:p>
      <w:pPr>
        <w:pStyle w:val="Indenta"/>
        <w:rPr>
          <w:snapToGrid w:val="0"/>
        </w:rPr>
      </w:pPr>
      <w:r>
        <w:rPr>
          <w:snapToGrid w:val="0"/>
        </w:rPr>
        <w:tab/>
        <w:t>(a)</w:t>
      </w:r>
      <w:r>
        <w:rPr>
          <w:snapToGrid w:val="0"/>
        </w:rPr>
        <w:tab/>
        <w:t>any payments made in respect of the equipment, whether by way of rent, maintenance charges or otherwise; and</w:t>
      </w:r>
    </w:p>
    <w:p>
      <w:pPr>
        <w:pStyle w:val="Indenta"/>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rPr>
          <w:snapToGrid w:val="0"/>
        </w:rPr>
      </w:pPr>
      <w:bookmarkStart w:id="95" w:name="_Toc32497109"/>
      <w:r>
        <w:rPr>
          <w:rStyle w:val="CharSectno"/>
        </w:rPr>
        <w:t>88</w:t>
      </w:r>
      <w:r>
        <w:rPr>
          <w:snapToGrid w:val="0"/>
        </w:rPr>
        <w:t>.</w:t>
      </w:r>
      <w:r>
        <w:rPr>
          <w:snapToGrid w:val="0"/>
        </w:rPr>
        <w:tab/>
        <w:t>Prescribed gaming equipment, regulations about, certificates for sellers etc. of</w:t>
      </w:r>
      <w:bookmarkEnd w:id="95"/>
    </w:p>
    <w:p>
      <w:pPr>
        <w:pStyle w:val="Subsection"/>
        <w:rPr>
          <w:snapToGrid w:val="0"/>
        </w:rPr>
      </w:pPr>
      <w:r>
        <w:rPr>
          <w:snapToGrid w:val="0"/>
        </w:rPr>
        <w:tab/>
        <w:t>(1)</w:t>
      </w:r>
      <w:r>
        <w:rPr>
          <w:snapToGrid w:val="0"/>
        </w:rPr>
        <w:tab/>
        <w:t>Regulations made under this Act may prohibit, or impose conditions in relation to —</w:t>
      </w:r>
    </w:p>
    <w:p>
      <w:pPr>
        <w:pStyle w:val="Indenta"/>
        <w:rPr>
          <w:snapToGrid w:val="0"/>
        </w:rPr>
      </w:pPr>
      <w:r>
        <w:rPr>
          <w:snapToGrid w:val="0"/>
        </w:rPr>
        <w:tab/>
        <w:t>(a)</w:t>
      </w:r>
      <w:r>
        <w:rPr>
          <w:snapToGrid w:val="0"/>
        </w:rPr>
        <w:tab/>
        <w:t>the sale, supply, maintenance or repair of prescribed gaming equipment; and</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 and</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 and</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rPr>
          <w:snapToGrid w:val="0"/>
        </w:rPr>
      </w:pPr>
      <w:r>
        <w:rPr>
          <w:snapToGrid w:val="0"/>
        </w:rPr>
        <w:tab/>
        <w:t>(3)</w:t>
      </w:r>
      <w:r>
        <w:rPr>
          <w:snapToGrid w:val="0"/>
        </w:rPr>
        <w:tab/>
        <w:t>A person shall not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r>
      <w:r>
        <w:t>Penalty for this subsection: a fine of</w:t>
      </w:r>
      <w:r>
        <w:rPr>
          <w:snapToGrid w:val="0"/>
        </w:rPr>
        <w:t xml:space="preserve"> $2 000.</w:t>
      </w:r>
    </w:p>
    <w:p>
      <w:pPr>
        <w:pStyle w:val="Subsection"/>
        <w:rPr>
          <w:snapToGrid w:val="0"/>
        </w:rPr>
      </w:pPr>
      <w:r>
        <w:rPr>
          <w:snapToGrid w:val="0"/>
        </w:rPr>
        <w:tab/>
        <w:t>(4)</w:t>
      </w:r>
      <w:r>
        <w:rPr>
          <w:snapToGrid w:val="0"/>
        </w:rPr>
        <w:tab/>
        <w:t>Subsection (3)(a) does not apply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 or</w:t>
      </w:r>
    </w:p>
    <w:p>
      <w:pPr>
        <w:pStyle w:val="Indenta"/>
        <w:spacing w:before="54"/>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 or</w:t>
      </w:r>
    </w:p>
    <w:p>
      <w:pPr>
        <w:pStyle w:val="Indenta"/>
        <w:spacing w:before="54"/>
        <w:rPr>
          <w:snapToGrid w:val="0"/>
        </w:rPr>
      </w:pPr>
      <w:r>
        <w:rPr>
          <w:snapToGrid w:val="0"/>
        </w:rPr>
        <w:tab/>
        <w:t>(c)</w:t>
      </w:r>
      <w:r>
        <w:rPr>
          <w:snapToGrid w:val="0"/>
        </w:rPr>
        <w:tab/>
        <w:t>to the sale or supply of inoperable gaming equipment as scrap; or</w:t>
      </w:r>
    </w:p>
    <w:p>
      <w:pPr>
        <w:pStyle w:val="Indenta"/>
        <w:spacing w:before="54"/>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spacing w:before="120"/>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w:t>
      </w:r>
    </w:p>
    <w:p>
      <w:pPr>
        <w:pStyle w:val="Indenta"/>
        <w:spacing w:before="54"/>
        <w:rPr>
          <w:snapToGrid w:val="0"/>
        </w:rPr>
      </w:pPr>
      <w:r>
        <w:rPr>
          <w:snapToGrid w:val="0"/>
        </w:rPr>
        <w:tab/>
        <w:t>(a)</w:t>
      </w:r>
      <w:r>
        <w:rPr>
          <w:snapToGrid w:val="0"/>
        </w:rPr>
        <w:tab/>
        <w:t>in relation to the gaming equipment or gaming equipment of the kind therein specified in the circumstances so specified; or</w:t>
      </w:r>
    </w:p>
    <w:p>
      <w:pPr>
        <w:pStyle w:val="Indenta"/>
        <w:spacing w:before="54"/>
        <w:rPr>
          <w:snapToGrid w:val="0"/>
        </w:rPr>
      </w:pPr>
      <w:r>
        <w:rPr>
          <w:snapToGrid w:val="0"/>
        </w:rPr>
        <w:tab/>
        <w:t>(b)</w:t>
      </w:r>
      <w:r>
        <w:rPr>
          <w:snapToGrid w:val="0"/>
        </w:rPr>
        <w:tab/>
        <w:t>in relation to —</w:t>
      </w:r>
    </w:p>
    <w:p>
      <w:pPr>
        <w:pStyle w:val="Indenti"/>
        <w:spacing w:before="54"/>
        <w:rPr>
          <w:snapToGrid w:val="0"/>
        </w:rPr>
      </w:pPr>
      <w:r>
        <w:rPr>
          <w:snapToGrid w:val="0"/>
        </w:rPr>
        <w:tab/>
        <w:t>(i)</w:t>
      </w:r>
      <w:r>
        <w:rPr>
          <w:snapToGrid w:val="0"/>
        </w:rPr>
        <w:tab/>
        <w:t>the gaming equipment, or gaming equipment of the kind; and</w:t>
      </w:r>
    </w:p>
    <w:p>
      <w:pPr>
        <w:pStyle w:val="Indenti"/>
        <w:spacing w:before="54"/>
        <w:rPr>
          <w:snapToGrid w:val="0"/>
        </w:rPr>
      </w:pPr>
      <w:r>
        <w:rPr>
          <w:snapToGrid w:val="0"/>
        </w:rPr>
        <w:tab/>
        <w:t>(ii)</w:t>
      </w:r>
      <w:r>
        <w:rPr>
          <w:snapToGrid w:val="0"/>
        </w:rPr>
        <w:tab/>
        <w:t>the period, not being a period in excess of 5 years; and</w:t>
      </w:r>
    </w:p>
    <w:p>
      <w:pPr>
        <w:pStyle w:val="Indenti"/>
        <w:spacing w:before="54"/>
        <w:rPr>
          <w:snapToGrid w:val="0"/>
        </w:rPr>
      </w:pPr>
      <w:r>
        <w:rPr>
          <w:snapToGrid w:val="0"/>
        </w:rPr>
        <w:tab/>
        <w:t>(iii)</w:t>
      </w:r>
      <w:r>
        <w:rPr>
          <w:snapToGrid w:val="0"/>
        </w:rPr>
        <w:tab/>
        <w:t>the operations as to sale or supply, or as to maintenance of the mechanism of the respective kinds of gaming equipment,</w:t>
      </w:r>
    </w:p>
    <w:p>
      <w:pPr>
        <w:pStyle w:val="Indenta"/>
        <w:spacing w:before="54"/>
        <w:rPr>
          <w:snapToGrid w:val="0"/>
        </w:rPr>
      </w:pPr>
      <w:r>
        <w:rPr>
          <w:snapToGrid w:val="0"/>
        </w:rPr>
        <w:tab/>
      </w:r>
      <w:r>
        <w:rPr>
          <w:snapToGrid w:val="0"/>
        </w:rPr>
        <w:tab/>
        <w:t>therein specified,</w:t>
      </w:r>
    </w:p>
    <w:p>
      <w:pPr>
        <w:pStyle w:val="Subsection"/>
        <w:spacing w:before="10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Footnotesection"/>
      </w:pPr>
      <w:r>
        <w:tab/>
        <w:t>[Section 88 amended: No. 41 of 2018 s. 25(1).]</w:t>
      </w:r>
    </w:p>
    <w:p>
      <w:pPr>
        <w:pStyle w:val="Heading5"/>
        <w:rPr>
          <w:snapToGrid w:val="0"/>
        </w:rPr>
      </w:pPr>
      <w:bookmarkStart w:id="96" w:name="_Toc32497110"/>
      <w:r>
        <w:rPr>
          <w:rStyle w:val="CharSectno"/>
        </w:rPr>
        <w:t>89</w:t>
      </w:r>
      <w:r>
        <w:rPr>
          <w:snapToGrid w:val="0"/>
        </w:rPr>
        <w:t>.</w:t>
      </w:r>
      <w:r>
        <w:rPr>
          <w:snapToGrid w:val="0"/>
        </w:rPr>
        <w:tab/>
        <w:t>Prescribed gaming equipment, sale etc. of</w:t>
      </w:r>
      <w:bookmarkEnd w:id="96"/>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r>
      <w:r>
        <w:t>Penalty for this subsection: a fine of</w:t>
      </w:r>
      <w:r>
        <w:rPr>
          <w:snapToGrid w:val="0"/>
        </w:rPr>
        <w:t xml:space="preserve">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Footnotesection"/>
      </w:pPr>
      <w:r>
        <w:tab/>
        <w:t>[Section 89 amended: No. 41 of 2018 s. 25(1).]</w:t>
      </w:r>
    </w:p>
    <w:p>
      <w:pPr>
        <w:pStyle w:val="Heading5"/>
        <w:rPr>
          <w:snapToGrid w:val="0"/>
        </w:rPr>
      </w:pPr>
      <w:bookmarkStart w:id="97" w:name="_Toc32497111"/>
      <w:r>
        <w:rPr>
          <w:rStyle w:val="CharSectno"/>
        </w:rPr>
        <w:t>90</w:t>
      </w:r>
      <w:r>
        <w:rPr>
          <w:snapToGrid w:val="0"/>
        </w:rPr>
        <w:t>.</w:t>
      </w:r>
      <w:r>
        <w:rPr>
          <w:snapToGrid w:val="0"/>
        </w:rPr>
        <w:tab/>
        <w:t>Application of s. 88 and 89 to concessionaires</w:t>
      </w:r>
      <w:bookmarkEnd w:id="97"/>
    </w:p>
    <w:p>
      <w:pPr>
        <w:pStyle w:val="Subsection"/>
        <w:spacing w:before="12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keepNext w:val="0"/>
        <w:keepLines w:val="0"/>
        <w:rPr>
          <w:snapToGrid w:val="0"/>
        </w:rPr>
      </w:pPr>
      <w:bookmarkStart w:id="98" w:name="_Toc32497112"/>
      <w:r>
        <w:rPr>
          <w:rStyle w:val="CharSectno"/>
        </w:rPr>
        <w:t>91</w:t>
      </w:r>
      <w:r>
        <w:rPr>
          <w:snapToGrid w:val="0"/>
        </w:rPr>
        <w:t>.</w:t>
      </w:r>
      <w:r>
        <w:rPr>
          <w:snapToGrid w:val="0"/>
        </w:rPr>
        <w:tab/>
        <w:t>Permitted gaming, restrictions on certain people in relation to</w:t>
      </w:r>
      <w:bookmarkEnd w:id="98"/>
    </w:p>
    <w:p>
      <w:pPr>
        <w:pStyle w:val="Subsection"/>
        <w:spacing w:before="120"/>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r>
      <w:r>
        <w:t>Penalty for this subsection: a fine of</w:t>
      </w:r>
      <w:r>
        <w:rPr>
          <w:snapToGrid w:val="0"/>
        </w:rPr>
        <w:t xml:space="preserve"> $2 000.</w:t>
      </w:r>
    </w:p>
    <w:p>
      <w:pPr>
        <w:pStyle w:val="Subsection"/>
        <w:spacing w:before="120"/>
        <w:rPr>
          <w:snapToGrid w:val="0"/>
        </w:rPr>
      </w:pPr>
      <w:r>
        <w:rPr>
          <w:snapToGrid w:val="0"/>
        </w:rPr>
        <w:tab/>
        <w:t>(2)</w:t>
      </w:r>
      <w:r>
        <w:rPr>
          <w:snapToGrid w:val="0"/>
        </w:rPr>
        <w:tab/>
        <w:t>Subsection (1) applies to any operation which is performed in relation to the permitted gaming and consists of —</w:t>
      </w:r>
    </w:p>
    <w:p>
      <w:pPr>
        <w:pStyle w:val="Indenta"/>
        <w:spacing w:before="60"/>
        <w:rPr>
          <w:snapToGrid w:val="0"/>
        </w:rPr>
      </w:pPr>
      <w:r>
        <w:rPr>
          <w:snapToGrid w:val="0"/>
        </w:rPr>
        <w:tab/>
        <w:t>(a)</w:t>
      </w:r>
      <w:r>
        <w:rPr>
          <w:snapToGrid w:val="0"/>
        </w:rPr>
        <w:tab/>
        <w:t>taking part in the gaming as a participant; or</w:t>
      </w:r>
    </w:p>
    <w:p>
      <w:pPr>
        <w:pStyle w:val="Indenta"/>
        <w:spacing w:before="60"/>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 or</w:t>
      </w:r>
    </w:p>
    <w:p>
      <w:pPr>
        <w:pStyle w:val="Indenta"/>
        <w:spacing w:before="60"/>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spacing w:before="60"/>
        <w:rPr>
          <w:snapToGrid w:val="0"/>
        </w:rPr>
      </w:pPr>
      <w:r>
        <w:rPr>
          <w:snapToGrid w:val="0"/>
        </w:rPr>
        <w:tab/>
        <w:t>(d)</w:t>
      </w:r>
      <w:r>
        <w:rPr>
          <w:snapToGrid w:val="0"/>
        </w:rPr>
        <w:tab/>
        <w:t>watching, otherwise than as manager, organiser or supervisor —</w:t>
      </w:r>
    </w:p>
    <w:p>
      <w:pPr>
        <w:pStyle w:val="Indenti"/>
        <w:spacing w:before="60"/>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spacing w:before="140"/>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spacing w:before="140"/>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r>
      <w:r>
        <w:t>Penalty for this subsection: a fine of</w:t>
      </w:r>
      <w:r>
        <w:rPr>
          <w:snapToGrid w:val="0"/>
        </w:rPr>
        <w:t xml:space="preserve"> $2 000.</w:t>
      </w:r>
    </w:p>
    <w:p>
      <w:pPr>
        <w:pStyle w:val="Subsection"/>
        <w:spacing w:before="140"/>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spacing w:before="140"/>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No. 35 of 2003 s. 167; No. 41 of 2018 s. 25(1).]</w:t>
      </w:r>
    </w:p>
    <w:p>
      <w:pPr>
        <w:pStyle w:val="Heading5"/>
        <w:keepNext w:val="0"/>
        <w:keepLines w:val="0"/>
        <w:rPr>
          <w:snapToGrid w:val="0"/>
        </w:rPr>
      </w:pPr>
      <w:bookmarkStart w:id="99" w:name="_Toc32497113"/>
      <w:r>
        <w:rPr>
          <w:rStyle w:val="CharSectno"/>
        </w:rPr>
        <w:t>92</w:t>
      </w:r>
      <w:r>
        <w:rPr>
          <w:snapToGrid w:val="0"/>
        </w:rPr>
        <w:t>.</w:t>
      </w:r>
      <w:r>
        <w:rPr>
          <w:snapToGrid w:val="0"/>
        </w:rPr>
        <w:tab/>
        <w:t>Certificates for s. 91</w:t>
      </w:r>
      <w:bookmarkEnd w:id="99"/>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w:t>
      </w:r>
    </w:p>
    <w:p>
      <w:pPr>
        <w:pStyle w:val="Indenta"/>
        <w:spacing w:before="10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spacing w:before="100"/>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w:t>
      </w:r>
    </w:p>
    <w:p>
      <w:pPr>
        <w:pStyle w:val="Indenta"/>
        <w:spacing w:before="100"/>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No. 35 of 2003 s. 166 and 167.]</w:t>
      </w:r>
    </w:p>
    <w:p>
      <w:pPr>
        <w:pStyle w:val="Heading5"/>
        <w:rPr>
          <w:snapToGrid w:val="0"/>
        </w:rPr>
      </w:pPr>
      <w:bookmarkStart w:id="100" w:name="_Toc32497114"/>
      <w:r>
        <w:rPr>
          <w:rStyle w:val="CharSectno"/>
        </w:rPr>
        <w:t>93</w:t>
      </w:r>
      <w:r>
        <w:rPr>
          <w:snapToGrid w:val="0"/>
        </w:rPr>
        <w:t>.</w:t>
      </w:r>
      <w:r>
        <w:rPr>
          <w:snapToGrid w:val="0"/>
        </w:rPr>
        <w:tab/>
        <w:t>Offences in relation to s. 91</w:t>
      </w:r>
      <w:bookmarkEnd w:id="100"/>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w:t>
      </w:r>
    </w:p>
    <w:p>
      <w:pPr>
        <w:pStyle w:val="Indenta"/>
        <w:rPr>
          <w:snapToGrid w:val="0"/>
        </w:rPr>
      </w:pPr>
      <w:r>
        <w:rPr>
          <w:snapToGrid w:val="0"/>
        </w:rPr>
        <w:tab/>
        <w:t>(a)</w:t>
      </w:r>
      <w:r>
        <w:rPr>
          <w:snapToGrid w:val="0"/>
        </w:rPr>
        <w:tab/>
        <w:t>the holder of the permit relating to that gaming; and</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a fine of</w:t>
      </w:r>
      <w:r>
        <w:rPr>
          <w:snapToGrid w:val="0"/>
        </w:rPr>
        <w:t xml:space="preserve"> $1 000.</w:t>
      </w:r>
    </w:p>
    <w:p>
      <w:pPr>
        <w:pStyle w:val="Footnotesection"/>
      </w:pPr>
      <w:r>
        <w:tab/>
        <w:t>[Section 93 amended: No. 35 of 2003 s. 167; No. 41 of 2018 s. 25(2).]</w:t>
      </w:r>
    </w:p>
    <w:p>
      <w:pPr>
        <w:pStyle w:val="Heading3"/>
      </w:pPr>
      <w:bookmarkStart w:id="101" w:name="_Toc32497115"/>
      <w:r>
        <w:rPr>
          <w:rStyle w:val="CharDivNo"/>
        </w:rPr>
        <w:t>Division 5A</w:t>
      </w:r>
      <w:r>
        <w:t> — </w:t>
      </w:r>
      <w:r>
        <w:rPr>
          <w:rStyle w:val="CharDivText"/>
        </w:rPr>
        <w:t>Remote gambling devices</w:t>
      </w:r>
      <w:bookmarkEnd w:id="101"/>
    </w:p>
    <w:p>
      <w:pPr>
        <w:pStyle w:val="Footnoteheading"/>
      </w:pPr>
      <w:r>
        <w:tab/>
        <w:t>[Heading inserted: No. 41 of 2018 s. 21.]</w:t>
      </w:r>
    </w:p>
    <w:p>
      <w:pPr>
        <w:pStyle w:val="Heading5"/>
      </w:pPr>
      <w:bookmarkStart w:id="102" w:name="_Toc32497116"/>
      <w:r>
        <w:rPr>
          <w:rStyle w:val="CharSectno"/>
        </w:rPr>
        <w:t>93A</w:t>
      </w:r>
      <w:r>
        <w:t>.</w:t>
      </w:r>
      <w:r>
        <w:tab/>
        <w:t>Terms used</w:t>
      </w:r>
      <w:bookmarkEnd w:id="102"/>
    </w:p>
    <w:p>
      <w:pPr>
        <w:pStyle w:val="Subsection"/>
      </w:pPr>
      <w:r>
        <w:tab/>
      </w:r>
      <w:r>
        <w:tab/>
        <w:t xml:space="preserve">In this Division — </w:t>
      </w:r>
    </w:p>
    <w:p>
      <w:pPr>
        <w:pStyle w:val="Defstart"/>
      </w:pPr>
      <w:r>
        <w:tab/>
      </w:r>
      <w:r>
        <w:rPr>
          <w:rStyle w:val="CharDefText"/>
        </w:rPr>
        <w:t>public premises</w:t>
      </w:r>
      <w:r>
        <w:t xml:space="preserve"> means premises in a public place, except — </w:t>
      </w:r>
    </w:p>
    <w:p>
      <w:pPr>
        <w:pStyle w:val="Defpara"/>
      </w:pPr>
      <w:r>
        <w:tab/>
        <w:t>(a)</w:t>
      </w:r>
      <w:r>
        <w:tab/>
        <w:t xml:space="preserve">premises comprising a totalisator agency as defined in the </w:t>
      </w:r>
      <w:r>
        <w:rPr>
          <w:i/>
        </w:rPr>
        <w:t>Racing and Wagering Western Australia Act 2003</w:t>
      </w:r>
      <w:r>
        <w:t xml:space="preserve"> section 3(1); or</w:t>
      </w:r>
    </w:p>
    <w:p>
      <w:pPr>
        <w:pStyle w:val="Defpara"/>
      </w:pPr>
      <w:r>
        <w:tab/>
        <w:t>(b)</w:t>
      </w:r>
      <w:r>
        <w:tab/>
        <w:t xml:space="preserve">premises established by the Commission as defined in the </w:t>
      </w:r>
      <w:r>
        <w:rPr>
          <w:i/>
        </w:rPr>
        <w:t>Lotteries Commission Act 1990</w:t>
      </w:r>
      <w:r>
        <w:t xml:space="preserve"> section 3(1) for or in connection with the performance of the Commission’s functions under that Act; or</w:t>
      </w:r>
    </w:p>
    <w:p>
      <w:pPr>
        <w:pStyle w:val="Defpara"/>
      </w:pPr>
      <w:r>
        <w:tab/>
        <w:t>(c)</w:t>
      </w:r>
      <w:r>
        <w:tab/>
        <w:t>prescribed premises or a prescribed class of premises;</w:t>
      </w:r>
    </w:p>
    <w:p>
      <w:pPr>
        <w:pStyle w:val="Defstart"/>
      </w:pPr>
      <w:r>
        <w:tab/>
      </w:r>
      <w:r>
        <w:rPr>
          <w:rStyle w:val="CharDefText"/>
        </w:rPr>
        <w:t>remote gambling device</w:t>
      </w:r>
      <w:r>
        <w:t xml:space="preserve"> means a telecommunications device that is primarily or exclusively built to transmit a bet on an event or contingency.</w:t>
      </w:r>
    </w:p>
    <w:p>
      <w:pPr>
        <w:pStyle w:val="Footnotesection"/>
      </w:pPr>
      <w:r>
        <w:tab/>
        <w:t>[Section 93A inserted: No. 41 of 2018 s. 21.]</w:t>
      </w:r>
    </w:p>
    <w:p>
      <w:pPr>
        <w:pStyle w:val="Heading5"/>
      </w:pPr>
      <w:bookmarkStart w:id="103" w:name="_Toc32497117"/>
      <w:r>
        <w:rPr>
          <w:rStyle w:val="CharSectno"/>
        </w:rPr>
        <w:t>93B</w:t>
      </w:r>
      <w:r>
        <w:t>.</w:t>
      </w:r>
      <w:r>
        <w:tab/>
        <w:t>Offences relating to remote gambling devices</w:t>
      </w:r>
      <w:bookmarkEnd w:id="103"/>
    </w:p>
    <w:p>
      <w:pPr>
        <w:pStyle w:val="Subsection"/>
      </w:pPr>
      <w:r>
        <w:tab/>
        <w:t>(1)</w:t>
      </w:r>
      <w:r>
        <w:tab/>
        <w:t>A person who places a remote gambling device on public premises commits an offence.</w:t>
      </w:r>
    </w:p>
    <w:p>
      <w:pPr>
        <w:pStyle w:val="Penstart"/>
      </w:pPr>
      <w:r>
        <w:tab/>
        <w:t>Penalty for this subsection: a fine of $20 000.</w:t>
      </w:r>
    </w:p>
    <w:p>
      <w:pPr>
        <w:pStyle w:val="Subsection"/>
      </w:pPr>
      <w:r>
        <w:tab/>
        <w:t>(2)</w:t>
      </w:r>
      <w:r>
        <w:tab/>
        <w:t>A person who uses a remote gambling device on public premises commits an offence.</w:t>
      </w:r>
    </w:p>
    <w:p>
      <w:pPr>
        <w:pStyle w:val="Penstart"/>
      </w:pPr>
      <w:r>
        <w:tab/>
        <w:t>Penalty for this subsection: a fine of $20 000.</w:t>
      </w:r>
    </w:p>
    <w:p>
      <w:pPr>
        <w:pStyle w:val="Subsection"/>
      </w:pPr>
      <w:r>
        <w:tab/>
        <w:t>(3)</w:t>
      </w:r>
      <w:r>
        <w:tab/>
        <w:t>An owner or occupier of public premises commits an offence if the owner or occupier permits a remote gambling device to be placed or used on the premises.</w:t>
      </w:r>
    </w:p>
    <w:p>
      <w:pPr>
        <w:pStyle w:val="Penstart"/>
      </w:pPr>
      <w:r>
        <w:tab/>
        <w:t>Penalty for this subsection: a fine of $20 000.</w:t>
      </w:r>
    </w:p>
    <w:p>
      <w:pPr>
        <w:pStyle w:val="Footnotesection"/>
      </w:pPr>
      <w:r>
        <w:tab/>
        <w:t>[Section 93B inserted: No. 41 of 2018 s. 21.]</w:t>
      </w:r>
    </w:p>
    <w:p>
      <w:pPr>
        <w:pStyle w:val="Heading3"/>
      </w:pPr>
      <w:bookmarkStart w:id="104" w:name="_Toc32497118"/>
      <w:r>
        <w:rPr>
          <w:rStyle w:val="CharDivNo"/>
        </w:rPr>
        <w:t>Division 6</w:t>
      </w:r>
      <w:r>
        <w:rPr>
          <w:snapToGrid w:val="0"/>
        </w:rPr>
        <w:t> — </w:t>
      </w:r>
      <w:r>
        <w:rPr>
          <w:rStyle w:val="CharDivText"/>
        </w:rPr>
        <w:t>Permitted bingo</w:t>
      </w:r>
      <w:bookmarkEnd w:id="104"/>
    </w:p>
    <w:p>
      <w:pPr>
        <w:pStyle w:val="Heading5"/>
        <w:rPr>
          <w:snapToGrid w:val="0"/>
        </w:rPr>
      </w:pPr>
      <w:bookmarkStart w:id="105" w:name="_Toc32497119"/>
      <w:r>
        <w:rPr>
          <w:rStyle w:val="CharSectno"/>
        </w:rPr>
        <w:t>94</w:t>
      </w:r>
      <w:r>
        <w:rPr>
          <w:snapToGrid w:val="0"/>
        </w:rPr>
        <w:t>.</w:t>
      </w:r>
      <w:r>
        <w:rPr>
          <w:snapToGrid w:val="0"/>
        </w:rPr>
        <w:tab/>
        <w:t>Terms used</w:t>
      </w:r>
      <w:bookmarkEnd w:id="105"/>
    </w:p>
    <w:p>
      <w:pPr>
        <w:pStyle w:val="Subsection"/>
        <w:keepNext/>
        <w:rPr>
          <w:snapToGrid w:val="0"/>
        </w:rPr>
      </w:pPr>
      <w:r>
        <w:rPr>
          <w:snapToGrid w:val="0"/>
        </w:rPr>
        <w:tab/>
        <w:t>(1)</w:t>
      </w:r>
      <w:r>
        <w:rPr>
          <w:snapToGrid w:val="0"/>
        </w:rPr>
        <w:tab/>
        <w:t>In this Division, unless the contrary intention appears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promoter</w:t>
      </w:r>
      <w:r>
        <w:t>, in relation to bingo, means the person to whom the players look for the payment of prizes;</w:t>
      </w:r>
    </w:p>
    <w:p>
      <w:pPr>
        <w:pStyle w:val="Defstart"/>
      </w:pPr>
      <w:r>
        <w:rPr>
          <w:b/>
        </w:rPr>
        <w:tab/>
      </w:r>
      <w:r>
        <w:rPr>
          <w:rStyle w:val="CharDefText"/>
        </w:rPr>
        <w:t>simultaneous bingo</w:t>
      </w:r>
      <w:r>
        <w:t xml:space="preserve"> means bingo to which section 97 refers.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106" w:name="_Toc32497120"/>
      <w:r>
        <w:rPr>
          <w:rStyle w:val="CharSectno"/>
        </w:rPr>
        <w:t>95</w:t>
      </w:r>
      <w:r>
        <w:rPr>
          <w:snapToGrid w:val="0"/>
        </w:rPr>
        <w:t>.</w:t>
      </w:r>
      <w:r>
        <w:rPr>
          <w:snapToGrid w:val="0"/>
        </w:rPr>
        <w:tab/>
        <w:t>Permits to conduct bingo; who may play permitted bingo</w:t>
      </w:r>
      <w:bookmarkEnd w:id="106"/>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 or</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w:t>
      </w:r>
    </w:p>
    <w:p>
      <w:pPr>
        <w:pStyle w:val="Indenta"/>
        <w:spacing w:before="100"/>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spacing w:before="100"/>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r>
      <w:r>
        <w:t>Penalty for this subsection: a fine of</w:t>
      </w:r>
      <w:r>
        <w:rPr>
          <w:snapToGrid w:val="0"/>
        </w:rPr>
        <w:t xml:space="preserve"> $100.</w:t>
      </w:r>
    </w:p>
    <w:p>
      <w:pPr>
        <w:pStyle w:val="Footnotesection"/>
      </w:pPr>
      <w:r>
        <w:tab/>
        <w:t>[Section 95 amended: No. 24 of 1998 s. 59; No. 41 of 2018 s. 25(1).]</w:t>
      </w:r>
    </w:p>
    <w:p>
      <w:pPr>
        <w:pStyle w:val="Heading5"/>
        <w:rPr>
          <w:snapToGrid w:val="0"/>
        </w:rPr>
      </w:pPr>
      <w:bookmarkStart w:id="107" w:name="_Toc32497121"/>
      <w:r>
        <w:rPr>
          <w:rStyle w:val="CharSectno"/>
        </w:rPr>
        <w:t>96</w:t>
      </w:r>
      <w:r>
        <w:rPr>
          <w:snapToGrid w:val="0"/>
        </w:rPr>
        <w:t>.</w:t>
      </w:r>
      <w:r>
        <w:rPr>
          <w:snapToGrid w:val="0"/>
        </w:rPr>
        <w:tab/>
        <w:t>Multiple bingo</w:t>
      </w:r>
      <w:bookmarkEnd w:id="107"/>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w:t>
      </w:r>
    </w:p>
    <w:p>
      <w:pPr>
        <w:pStyle w:val="Indenta"/>
        <w:spacing w:before="100"/>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 and</w:t>
      </w:r>
    </w:p>
    <w:p>
      <w:pPr>
        <w:pStyle w:val="Indenta"/>
        <w:spacing w:before="100"/>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keepNext/>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r>
      <w:r>
        <w:t>Penalty for this subsection: a fine of</w:t>
      </w:r>
      <w:r>
        <w:rPr>
          <w:snapToGrid w:val="0"/>
        </w:rPr>
        <w:t xml:space="preserve"> $1 000.</w:t>
      </w:r>
    </w:p>
    <w:p>
      <w:pPr>
        <w:pStyle w:val="Subsection"/>
        <w:rPr>
          <w:snapToGrid w:val="0"/>
        </w:rPr>
      </w:pPr>
      <w:r>
        <w:rPr>
          <w:snapToGrid w:val="0"/>
        </w:rPr>
        <w:tab/>
        <w:t>(4)</w:t>
      </w:r>
      <w:r>
        <w:rPr>
          <w:snapToGrid w:val="0"/>
        </w:rPr>
        <w:tab/>
        <w:t>In this section —</w:t>
      </w:r>
    </w:p>
    <w:p>
      <w:pPr>
        <w:pStyle w:val="Defstart"/>
      </w:pPr>
      <w:r>
        <w:rPr>
          <w:b/>
        </w:rPr>
        <w:tab/>
      </w:r>
      <w:r>
        <w:rPr>
          <w:rStyle w:val="CharDefText"/>
        </w:rPr>
        <w:t>multiple bingo</w:t>
      </w:r>
      <w:r>
        <w:t xml:space="preserve"> means a game of bingo played jointly on different bingo club premises in circumstances where —</w:t>
      </w:r>
    </w:p>
    <w:p>
      <w:pPr>
        <w:pStyle w:val="Defpara"/>
      </w:pPr>
      <w:r>
        <w:tab/>
        <w:t>(a)</w:t>
      </w:r>
      <w:r>
        <w:tab/>
        <w:t>the draw is determined before the beginning of the game by the organiser of the game and announced on each of those premises while the game is being played there; and</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w:t>
      </w:r>
    </w:p>
    <w:p>
      <w:pPr>
        <w:pStyle w:val="Defsubpara"/>
        <w:keepLines w:val="0"/>
      </w:pPr>
      <w:r>
        <w:tab/>
        <w:t>(i)</w:t>
      </w:r>
      <w:r>
        <w:tab/>
        <w:t>a prize calculated by reference to the stakes hazarded at a group of those premises which includes the premises on which he is taking part in the game; and</w:t>
      </w:r>
    </w:p>
    <w:p>
      <w:pPr>
        <w:pStyle w:val="Defsubpara"/>
      </w:pPr>
      <w:r>
        <w:tab/>
        <w:t>(ii)</w:t>
      </w:r>
      <w:r>
        <w:tab/>
        <w:t>a prize calculated by reference to the stakes hazarded at the last</w:t>
      </w:r>
      <w:r>
        <w:noBreakHyphen/>
        <w:t>mentioned premises.</w:t>
      </w:r>
    </w:p>
    <w:p>
      <w:pPr>
        <w:pStyle w:val="Footnotesection"/>
      </w:pPr>
      <w:r>
        <w:tab/>
        <w:t>[Section 96 amended: No. 41 of 2018 s. 25(1).]</w:t>
      </w:r>
    </w:p>
    <w:p>
      <w:pPr>
        <w:pStyle w:val="Heading5"/>
        <w:rPr>
          <w:snapToGrid w:val="0"/>
        </w:rPr>
      </w:pPr>
      <w:bookmarkStart w:id="108" w:name="_Toc32497122"/>
      <w:r>
        <w:rPr>
          <w:rStyle w:val="CharSectno"/>
        </w:rPr>
        <w:t>97</w:t>
      </w:r>
      <w:r>
        <w:rPr>
          <w:snapToGrid w:val="0"/>
        </w:rPr>
        <w:t>.</w:t>
      </w:r>
      <w:r>
        <w:rPr>
          <w:snapToGrid w:val="0"/>
        </w:rPr>
        <w:tab/>
        <w:t>Simultaneous bingo</w:t>
      </w:r>
      <w:bookmarkEnd w:id="108"/>
    </w:p>
    <w:p>
      <w:pPr>
        <w:pStyle w:val="Subsection"/>
        <w:rPr>
          <w:snapToGrid w:val="0"/>
        </w:rPr>
      </w:pPr>
      <w:r>
        <w:rPr>
          <w:snapToGrid w:val="0"/>
        </w:rPr>
        <w:tab/>
        <w:t>(1)</w:t>
      </w:r>
      <w:r>
        <w:rPr>
          <w:snapToGrid w:val="0"/>
        </w:rPr>
        <w:tab/>
        <w:t>Where a game of bingo is played simultaneously on different premises in circumstances where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 and</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 and</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keepNext/>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$1 000.</w:t>
      </w:r>
    </w:p>
    <w:p>
      <w:pPr>
        <w:pStyle w:val="Footnotesection"/>
      </w:pPr>
      <w:r>
        <w:tab/>
        <w:t>[Section 97 amended: No. 41 of 2018 s. 25(1).]</w:t>
      </w:r>
    </w:p>
    <w:p>
      <w:pPr>
        <w:pStyle w:val="Heading5"/>
        <w:rPr>
          <w:snapToGrid w:val="0"/>
        </w:rPr>
      </w:pPr>
      <w:bookmarkStart w:id="109" w:name="_Toc32497123"/>
      <w:r>
        <w:rPr>
          <w:rStyle w:val="CharSectno"/>
        </w:rPr>
        <w:t>98</w:t>
      </w:r>
      <w:r>
        <w:rPr>
          <w:snapToGrid w:val="0"/>
        </w:rPr>
        <w:t>.</w:t>
      </w:r>
      <w:r>
        <w:rPr>
          <w:snapToGrid w:val="0"/>
        </w:rPr>
        <w:tab/>
        <w:t>Conduct of bingo</w:t>
      </w:r>
      <w:bookmarkEnd w:id="109"/>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 or</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r>
      <w:r>
        <w:t>Penalty: a fine of</w:t>
      </w:r>
      <w:r>
        <w:rPr>
          <w:snapToGrid w:val="0"/>
        </w:rPr>
        <w:t xml:space="preserve"> $2 000.</w:t>
      </w:r>
    </w:p>
    <w:p>
      <w:pPr>
        <w:pStyle w:val="Footnotesection"/>
      </w:pPr>
      <w:r>
        <w:tab/>
        <w:t>[Section 98 amended: No. 41 of 2018 s. 25(2).]</w:t>
      </w:r>
    </w:p>
    <w:p>
      <w:pPr>
        <w:pStyle w:val="Heading5"/>
        <w:rPr>
          <w:snapToGrid w:val="0"/>
        </w:rPr>
      </w:pPr>
      <w:bookmarkStart w:id="110" w:name="_Toc32497124"/>
      <w:r>
        <w:rPr>
          <w:rStyle w:val="CharSectno"/>
        </w:rPr>
        <w:t>99</w:t>
      </w:r>
      <w:r>
        <w:rPr>
          <w:snapToGrid w:val="0"/>
        </w:rPr>
        <w:t>.</w:t>
      </w:r>
      <w:r>
        <w:rPr>
          <w:snapToGrid w:val="0"/>
        </w:rPr>
        <w:tab/>
        <w:t>Recovering moneys payable to Commission for bingo</w:t>
      </w:r>
      <w:bookmarkEnd w:id="110"/>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w:t>
      </w:r>
    </w:p>
    <w:p>
      <w:pPr>
        <w:pStyle w:val="Indenta"/>
        <w:rPr>
          <w:snapToGrid w:val="0"/>
        </w:rPr>
      </w:pPr>
      <w:r>
        <w:rPr>
          <w:snapToGrid w:val="0"/>
        </w:rPr>
        <w:tab/>
        <w:t>(a)</w:t>
      </w:r>
      <w:r>
        <w:rPr>
          <w:snapToGrid w:val="0"/>
        </w:rPr>
        <w:tab/>
        <w:t>the permit holder; and</w:t>
      </w:r>
    </w:p>
    <w:p>
      <w:pPr>
        <w:pStyle w:val="Indenta"/>
        <w:rPr>
          <w:snapToGrid w:val="0"/>
        </w:rPr>
      </w:pPr>
      <w:r>
        <w:rPr>
          <w:snapToGrid w:val="0"/>
        </w:rPr>
        <w:tab/>
        <w:t>(b)</w:t>
      </w:r>
      <w:r>
        <w:rPr>
          <w:snapToGrid w:val="0"/>
        </w:rPr>
        <w:tab/>
        <w:t>the promoter, and any person who took money as payment by players for cards or paid prizes to players; and</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111" w:name="_Toc32497125"/>
      <w:r>
        <w:rPr>
          <w:rStyle w:val="CharSectno"/>
        </w:rPr>
        <w:t>100</w:t>
      </w:r>
      <w:r>
        <w:rPr>
          <w:snapToGrid w:val="0"/>
        </w:rPr>
        <w:t>.</w:t>
      </w:r>
      <w:r>
        <w:rPr>
          <w:snapToGrid w:val="0"/>
        </w:rPr>
        <w:tab/>
        <w:t>Regulations as to bingo</w:t>
      </w:r>
      <w:bookmarkEnd w:id="111"/>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w:t>
      </w:r>
    </w:p>
    <w:p>
      <w:pPr>
        <w:pStyle w:val="Indenta"/>
        <w:rPr>
          <w:snapToGrid w:val="0"/>
        </w:rPr>
      </w:pPr>
      <w:r>
        <w:rPr>
          <w:snapToGrid w:val="0"/>
        </w:rPr>
        <w:tab/>
        <w:t>(a)</w:t>
      </w:r>
      <w:r>
        <w:rPr>
          <w:snapToGrid w:val="0"/>
        </w:rPr>
        <w:tab/>
        <w:t>the number of games that may be played on any premises in any period of 24 hours; and</w:t>
      </w:r>
    </w:p>
    <w:p>
      <w:pPr>
        <w:pStyle w:val="Indenta"/>
        <w:rPr>
          <w:snapToGrid w:val="0"/>
        </w:rPr>
      </w:pPr>
      <w:r>
        <w:rPr>
          <w:snapToGrid w:val="0"/>
        </w:rPr>
        <w:tab/>
        <w:t>(b)</w:t>
      </w:r>
      <w:r>
        <w:rPr>
          <w:snapToGrid w:val="0"/>
        </w:rPr>
        <w:tab/>
        <w:t>the period for the playing of a game; and</w:t>
      </w:r>
    </w:p>
    <w:p>
      <w:pPr>
        <w:pStyle w:val="Indenta"/>
        <w:rPr>
          <w:snapToGrid w:val="0"/>
        </w:rPr>
      </w:pPr>
      <w:r>
        <w:rPr>
          <w:snapToGrid w:val="0"/>
        </w:rPr>
        <w:tab/>
        <w:t>(c)</w:t>
      </w:r>
      <w:r>
        <w:rPr>
          <w:snapToGrid w:val="0"/>
        </w:rPr>
        <w:tab/>
        <w:t>the hours during which gaming is permitted to take place; and</w:t>
      </w:r>
    </w:p>
    <w:p>
      <w:pPr>
        <w:pStyle w:val="Indenta"/>
        <w:rPr>
          <w:snapToGrid w:val="0"/>
        </w:rPr>
      </w:pPr>
      <w:r>
        <w:rPr>
          <w:snapToGrid w:val="0"/>
        </w:rPr>
        <w:tab/>
        <w:t>(d)</w:t>
      </w:r>
      <w:r>
        <w:rPr>
          <w:snapToGrid w:val="0"/>
        </w:rPr>
        <w:tab/>
        <w:t>the amount of the stakes; and</w:t>
      </w:r>
    </w:p>
    <w:p>
      <w:pPr>
        <w:pStyle w:val="Indenta"/>
        <w:rPr>
          <w:snapToGrid w:val="0"/>
        </w:rPr>
      </w:pPr>
      <w:r>
        <w:rPr>
          <w:snapToGrid w:val="0"/>
        </w:rPr>
        <w:tab/>
        <w:t>(e)</w:t>
      </w:r>
      <w:r>
        <w:rPr>
          <w:snapToGrid w:val="0"/>
        </w:rPr>
        <w:tab/>
        <w:t>the method of calculating the value or amount of the prizes; and</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 and</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 and</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 and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 and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 and</w:t>
      </w:r>
    </w:p>
    <w:p>
      <w:pPr>
        <w:pStyle w:val="Indenta"/>
        <w:rPr>
          <w:snapToGrid w:val="0"/>
        </w:rPr>
      </w:pPr>
      <w:r>
        <w:rPr>
          <w:snapToGrid w:val="0"/>
        </w:rPr>
        <w:tab/>
        <w:t>(l)</w:t>
      </w:r>
      <w:r>
        <w:rPr>
          <w:snapToGrid w:val="0"/>
        </w:rPr>
        <w:tab/>
        <w:t>authorising the Commission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 and</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 and</w:t>
      </w:r>
    </w:p>
    <w:p>
      <w:pPr>
        <w:pStyle w:val="Indenta"/>
        <w:rPr>
          <w:snapToGrid w:val="0"/>
        </w:rPr>
      </w:pPr>
      <w:r>
        <w:rPr>
          <w:snapToGrid w:val="0"/>
        </w:rPr>
        <w:tab/>
        <w:t>(n)</w:t>
      </w:r>
      <w:r>
        <w:rPr>
          <w:snapToGrid w:val="0"/>
        </w:rPr>
        <w:tab/>
        <w:t>the printing, sale, use and call back of cards; and</w:t>
      </w:r>
    </w:p>
    <w:p>
      <w:pPr>
        <w:pStyle w:val="Indenta"/>
        <w:keepNext/>
        <w:rPr>
          <w:snapToGrid w:val="0"/>
        </w:rPr>
      </w:pPr>
      <w:r>
        <w:rPr>
          <w:snapToGrid w:val="0"/>
        </w:rPr>
        <w:tab/>
        <w:t>(na)</w:t>
      </w:r>
      <w:r>
        <w:rPr>
          <w:snapToGrid w:val="0"/>
        </w:rPr>
        <w:tab/>
        <w:t>the persons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No. 24 of 1998 s. 60.]</w:t>
      </w:r>
    </w:p>
    <w:p>
      <w:pPr>
        <w:pStyle w:val="Heading3"/>
      </w:pPr>
      <w:bookmarkStart w:id="112" w:name="_Toc32497126"/>
      <w:r>
        <w:rPr>
          <w:rStyle w:val="CharDivNo"/>
        </w:rPr>
        <w:t>Division 7</w:t>
      </w:r>
      <w:r>
        <w:rPr>
          <w:snapToGrid w:val="0"/>
        </w:rPr>
        <w:t> — </w:t>
      </w:r>
      <w:r>
        <w:rPr>
          <w:rStyle w:val="CharDivText"/>
        </w:rPr>
        <w:t>Lotteries, and amusements with prizes etc.</w:t>
      </w:r>
      <w:bookmarkEnd w:id="112"/>
    </w:p>
    <w:p>
      <w:pPr>
        <w:pStyle w:val="Heading5"/>
        <w:rPr>
          <w:snapToGrid w:val="0"/>
        </w:rPr>
      </w:pPr>
      <w:bookmarkStart w:id="113" w:name="_Toc32497127"/>
      <w:r>
        <w:rPr>
          <w:rStyle w:val="CharSectno"/>
        </w:rPr>
        <w:t>101</w:t>
      </w:r>
      <w:r>
        <w:rPr>
          <w:snapToGrid w:val="0"/>
        </w:rPr>
        <w:t>.</w:t>
      </w:r>
      <w:r>
        <w:rPr>
          <w:snapToGrid w:val="0"/>
        </w:rPr>
        <w:tab/>
        <w:t>Terms used</w:t>
      </w:r>
      <w:bookmarkEnd w:id="113"/>
    </w:p>
    <w:p>
      <w:pPr>
        <w:pStyle w:val="Subsection"/>
        <w:rPr>
          <w:snapToGrid w:val="0"/>
        </w:rPr>
      </w:pPr>
      <w:r>
        <w:rPr>
          <w:snapToGrid w:val="0"/>
        </w:rPr>
        <w:tab/>
        <w:t>(1)</w:t>
      </w:r>
      <w:r>
        <w:rPr>
          <w:snapToGrid w:val="0"/>
        </w:rPr>
        <w:tab/>
        <w:t>In this Division —</w:t>
      </w:r>
    </w:p>
    <w:p>
      <w:pPr>
        <w:pStyle w:val="Defstart"/>
        <w:spacing w:before="100"/>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spacing w:before="100"/>
      </w:pPr>
      <w:r>
        <w:rPr>
          <w:b/>
        </w:rPr>
        <w:tab/>
      </w:r>
      <w:r>
        <w:rPr>
          <w:rStyle w:val="CharDefText"/>
        </w:rPr>
        <w:t>closing date</w:t>
      </w:r>
      <w:r>
        <w:t>, in relation to a standard lottery, means the last date on which tickets may be sold or subscriptions received from entrants to the standard lottery;</w:t>
      </w:r>
    </w:p>
    <w:p>
      <w:pPr>
        <w:pStyle w:val="Defstart"/>
        <w:spacing w:before="100"/>
      </w:pPr>
      <w:r>
        <w:rPr>
          <w:b/>
        </w:rPr>
        <w:tab/>
      </w:r>
      <w:r>
        <w:rPr>
          <w:rStyle w:val="CharDefText"/>
        </w:rPr>
        <w:t>conducting</w:t>
      </w:r>
      <w:r>
        <w:t>, in relation to an unlawful lottery, includes any matter referred to in section 106(2);</w:t>
      </w:r>
    </w:p>
    <w:p>
      <w:pPr>
        <w:pStyle w:val="Defstart"/>
        <w:spacing w:before="100"/>
      </w:pPr>
      <w:r>
        <w:rPr>
          <w:b/>
        </w:rPr>
        <w:tab/>
      </w:r>
      <w:r>
        <w:rPr>
          <w:rStyle w:val="CharDefText"/>
        </w:rPr>
        <w:t>continuing lottery</w:t>
      </w:r>
      <w:r>
        <w:t xml:space="preserve"> means a continuing lottery within the meaning of subsection (2);</w:t>
      </w:r>
    </w:p>
    <w:p>
      <w:pPr>
        <w:pStyle w:val="Defstart"/>
        <w:spacing w:before="100"/>
      </w:pPr>
      <w:r>
        <w:rPr>
          <w:b/>
        </w:rPr>
        <w:tab/>
      </w:r>
      <w:r>
        <w:rPr>
          <w:rStyle w:val="CharDefText"/>
        </w:rPr>
        <w:t>date of drawing</w:t>
      </w:r>
      <w:r>
        <w:t>, in relation to a standard lottery, means the date fixed for the drawing of, or deciding the result of the standard lottery;</w:t>
      </w:r>
    </w:p>
    <w:p>
      <w:pPr>
        <w:pStyle w:val="Defstart"/>
        <w:spacing w:before="100"/>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spacing w:before="100"/>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spacing w:before="100"/>
      </w:pPr>
      <w:r>
        <w:rPr>
          <w:b/>
        </w:rPr>
        <w:tab/>
      </w:r>
      <w:r>
        <w:rPr>
          <w:rStyle w:val="CharDefText"/>
        </w:rPr>
        <w:t>foreign lottery</w:t>
      </w:r>
      <w:r>
        <w:t xml:space="preserve"> means a lottery which is conducted, drawn or decided wholly or partly outside Australia, notwithstanding that the same may be legal according to the law of the place where it is conducted, drawn, or decided;</w:t>
      </w:r>
    </w:p>
    <w:p>
      <w:pPr>
        <w:pStyle w:val="Defstart"/>
        <w:spacing w:before="100"/>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spacing w:before="100"/>
      </w:pPr>
      <w:r>
        <w:rPr>
          <w:b/>
        </w:rPr>
        <w:tab/>
      </w:r>
      <w:r>
        <w:rPr>
          <w:rStyle w:val="CharDefText"/>
        </w:rPr>
        <w:t>quarter</w:t>
      </w:r>
      <w:r>
        <w:t xml:space="preserve"> means a period of 3 months commencing on 1 July, 1 October, 1 January or 1 April;</w:t>
      </w:r>
    </w:p>
    <w:p>
      <w:pPr>
        <w:pStyle w:val="Defstart"/>
        <w:keepNex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[Section 101 amended: No. 16 of 1990 s. 33; No. 6 of 2000 s. 12; No. 45 of 2002 s. 13; No. 41 of 2018 s. 22.]</w:t>
      </w:r>
    </w:p>
    <w:p>
      <w:pPr>
        <w:pStyle w:val="Heading5"/>
        <w:rPr>
          <w:snapToGrid w:val="0"/>
        </w:rPr>
      </w:pPr>
      <w:bookmarkStart w:id="114" w:name="_Toc32497128"/>
      <w:r>
        <w:rPr>
          <w:rStyle w:val="CharSectno"/>
        </w:rPr>
        <w:t>102</w:t>
      </w:r>
      <w:r>
        <w:rPr>
          <w:snapToGrid w:val="0"/>
        </w:rPr>
        <w:t>.</w:t>
      </w:r>
      <w:r>
        <w:rPr>
          <w:snapToGrid w:val="0"/>
        </w:rPr>
        <w:tab/>
        <w:t>Certain lotteries unlawful</w:t>
      </w:r>
      <w:bookmarkEnd w:id="114"/>
    </w:p>
    <w:p>
      <w:pPr>
        <w:pStyle w:val="Subsection"/>
        <w:keepNext/>
        <w:keepLines/>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[Section 102 amended: No. 16 of 1990 s. 33; No. 24 of 1998 s. 61(1); No. 26 of 1998 s. 23; No. 6 of 2000 s. 13; No. 35 of 2003 s. 157.]</w:t>
      </w:r>
    </w:p>
    <w:p>
      <w:pPr>
        <w:pStyle w:val="Heading5"/>
        <w:rPr>
          <w:snapToGrid w:val="0"/>
        </w:rPr>
      </w:pPr>
      <w:bookmarkStart w:id="115" w:name="_Toc32497129"/>
      <w:r>
        <w:rPr>
          <w:rStyle w:val="CharSectno"/>
        </w:rPr>
        <w:t>103</w:t>
      </w:r>
      <w:r>
        <w:rPr>
          <w:snapToGrid w:val="0"/>
        </w:rPr>
        <w:t>.</w:t>
      </w:r>
      <w:r>
        <w:rPr>
          <w:snapToGrid w:val="0"/>
        </w:rPr>
        <w:tab/>
        <w:t>Permitted lotteries (deemed)</w:t>
      </w:r>
      <w:bookmarkEnd w:id="115"/>
    </w:p>
    <w:p>
      <w:pPr>
        <w:pStyle w:val="Subsection"/>
        <w:rPr>
          <w:snapToGrid w:val="0"/>
        </w:rPr>
      </w:pPr>
      <w:r>
        <w:rPr>
          <w:snapToGrid w:val="0"/>
        </w:rPr>
        <w:tab/>
        <w:t>(1)</w:t>
      </w:r>
      <w:r>
        <w:rPr>
          <w:snapToGrid w:val="0"/>
        </w:rPr>
        <w:tab/>
        <w:t>A lottery in which —</w:t>
      </w:r>
    </w:p>
    <w:p>
      <w:pPr>
        <w:pStyle w:val="Indenta"/>
        <w:rPr>
          <w:snapToGrid w:val="0"/>
        </w:rPr>
      </w:pPr>
      <w:r>
        <w:rPr>
          <w:snapToGrid w:val="0"/>
        </w:rPr>
        <w:tab/>
        <w:t>(a)</w:t>
      </w:r>
      <w:r>
        <w:rPr>
          <w:snapToGrid w:val="0"/>
        </w:rPr>
        <w:tab/>
        <w:t>tickets or chances are sold to or subscriptions received from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 and</w:t>
      </w:r>
    </w:p>
    <w:p>
      <w:pPr>
        <w:pStyle w:val="Indenta"/>
        <w:rPr>
          <w:snapToGrid w:val="0"/>
        </w:rPr>
      </w:pPr>
      <w:r>
        <w:rPr>
          <w:snapToGrid w:val="0"/>
        </w:rPr>
        <w:tab/>
        <w:t>(b)</w:t>
      </w:r>
      <w:r>
        <w:rPr>
          <w:snapToGrid w:val="0"/>
        </w:rPr>
        <w:tab/>
        <w:t>the price of every ticket, chance or subscription is the same; and</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 and</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keepNext/>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w:t>
      </w:r>
    </w:p>
    <w:p>
      <w:pPr>
        <w:pStyle w:val="Indenta"/>
        <w:rPr>
          <w:snapToGrid w:val="0"/>
        </w:rPr>
      </w:pPr>
      <w:r>
        <w:rPr>
          <w:snapToGrid w:val="0"/>
        </w:rPr>
        <w:tab/>
        <w:t>(a)</w:t>
      </w:r>
      <w:r>
        <w:rPr>
          <w:snapToGrid w:val="0"/>
        </w:rPr>
        <w:tab/>
        <w:t>the tickets are alphabetically and numerically distinct but the same price; and</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 and</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No. 35 of 2003 s. 158.]</w:t>
      </w:r>
    </w:p>
    <w:p>
      <w:pPr>
        <w:pStyle w:val="Heading5"/>
        <w:rPr>
          <w:snapToGrid w:val="0"/>
        </w:rPr>
      </w:pPr>
      <w:bookmarkStart w:id="116" w:name="_Toc32497130"/>
      <w:r>
        <w:rPr>
          <w:rStyle w:val="CharSectno"/>
        </w:rPr>
        <w:t>104</w:t>
      </w:r>
      <w:r>
        <w:rPr>
          <w:snapToGrid w:val="0"/>
        </w:rPr>
        <w:t>.</w:t>
      </w:r>
      <w:r>
        <w:rPr>
          <w:snapToGrid w:val="0"/>
        </w:rPr>
        <w:tab/>
        <w:t>Permits for lotteries; duties of holders of permit for standard lottery</w:t>
      </w:r>
      <w:bookmarkEnd w:id="116"/>
    </w:p>
    <w:p>
      <w:pPr>
        <w:pStyle w:val="Subsection"/>
        <w:keepNext/>
        <w:keepLines/>
        <w:rPr>
          <w:snapToGrid w:val="0"/>
        </w:rPr>
      </w:pPr>
      <w:r>
        <w:rPr>
          <w:snapToGrid w:val="0"/>
        </w:rPr>
        <w:tab/>
        <w:t>(1)</w:t>
      </w:r>
      <w:r>
        <w:rPr>
          <w:snapToGrid w:val="0"/>
        </w:rPr>
        <w:tab/>
        <w:t>A permit authorising the conduct of a lottery may be issued —</w:t>
      </w:r>
    </w:p>
    <w:p>
      <w:pPr>
        <w:pStyle w:val="Indenta"/>
        <w:keepNext/>
        <w:keepLines/>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w:t>
      </w:r>
    </w:p>
    <w:p>
      <w:pPr>
        <w:pStyle w:val="Indenta"/>
        <w:rPr>
          <w:snapToGrid w:val="0"/>
        </w:rPr>
      </w:pPr>
      <w:r>
        <w:rPr>
          <w:snapToGrid w:val="0"/>
        </w:rPr>
        <w:tab/>
        <w:t>(a)</w:t>
      </w:r>
      <w:r>
        <w:rPr>
          <w:snapToGrid w:val="0"/>
        </w:rPr>
        <w:tab/>
        <w:t>the proposed opening date and closing date and date of drawing; and</w:t>
      </w:r>
    </w:p>
    <w:p>
      <w:pPr>
        <w:pStyle w:val="Indenta"/>
        <w:rPr>
          <w:snapToGrid w:val="0"/>
        </w:rPr>
      </w:pPr>
      <w:r>
        <w:rPr>
          <w:snapToGrid w:val="0"/>
        </w:rPr>
        <w:tab/>
        <w:t>(b)</w:t>
      </w:r>
      <w:r>
        <w:rPr>
          <w:snapToGrid w:val="0"/>
        </w:rPr>
        <w:tab/>
        <w:t>the locality in which tickets or chances are to be offered for sale or in which subscriptions may be received; and</w:t>
      </w:r>
    </w:p>
    <w:p>
      <w:pPr>
        <w:pStyle w:val="Indenta"/>
        <w:rPr>
          <w:snapToGrid w:val="0"/>
        </w:rPr>
      </w:pPr>
      <w:r>
        <w:rPr>
          <w:snapToGrid w:val="0"/>
        </w:rPr>
        <w:tab/>
        <w:t>(c)</w:t>
      </w:r>
      <w:r>
        <w:rPr>
          <w:snapToGrid w:val="0"/>
        </w:rPr>
        <w:tab/>
        <w:t>the purpose for which the standard lottery is to be conducted; and</w:t>
      </w:r>
    </w:p>
    <w:p>
      <w:pPr>
        <w:pStyle w:val="Indenta"/>
        <w:rPr>
          <w:snapToGrid w:val="0"/>
        </w:rPr>
      </w:pPr>
      <w:r>
        <w:rPr>
          <w:snapToGrid w:val="0"/>
        </w:rPr>
        <w:tab/>
        <w:t>(d)</w:t>
      </w:r>
      <w:r>
        <w:rPr>
          <w:snapToGrid w:val="0"/>
        </w:rPr>
        <w:tab/>
        <w:t>the total number of tickets or chances to be offered for sale, or the total number of subscriptions proposed to be called for; and</w:t>
      </w:r>
    </w:p>
    <w:p>
      <w:pPr>
        <w:pStyle w:val="Indenta"/>
        <w:rPr>
          <w:snapToGrid w:val="0"/>
        </w:rPr>
      </w:pPr>
      <w:r>
        <w:rPr>
          <w:snapToGrid w:val="0"/>
        </w:rPr>
        <w:tab/>
        <w:t>(e)</w:t>
      </w:r>
      <w:r>
        <w:rPr>
          <w:snapToGrid w:val="0"/>
        </w:rPr>
        <w:tab/>
        <w:t>the price of each ticket, chance or subscription; and</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keepNext/>
        <w:rPr>
          <w:snapToGrid w:val="0"/>
        </w:rPr>
      </w:pPr>
      <w:r>
        <w:rPr>
          <w:snapToGrid w:val="0"/>
        </w:rPr>
        <w:tab/>
        <w:t>(3)</w:t>
      </w:r>
      <w:r>
        <w:rPr>
          <w:snapToGrid w:val="0"/>
        </w:rPr>
        <w:tab/>
        <w:t>With respect to a standard lottery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 and</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 and</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 and</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 and</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 and</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 and</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 and</w:t>
      </w:r>
    </w:p>
    <w:p>
      <w:pPr>
        <w:pStyle w:val="Indenta"/>
        <w:rPr>
          <w:snapToGrid w:val="0"/>
        </w:rPr>
      </w:pPr>
      <w:r>
        <w:rPr>
          <w:snapToGrid w:val="0"/>
        </w:rPr>
        <w:tab/>
        <w:t>(f)</w:t>
      </w:r>
      <w:r>
        <w:rPr>
          <w:snapToGrid w:val="0"/>
        </w:rPr>
        <w:tab/>
        <w:t>unless paragraph (e) applies, the closing date shall be not more than 3 months from the opening date; and</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 and</w:t>
      </w:r>
    </w:p>
    <w:p>
      <w:pPr>
        <w:pStyle w:val="Indenta"/>
        <w:rPr>
          <w:snapToGrid w:val="0"/>
        </w:rPr>
      </w:pPr>
      <w:r>
        <w:rPr>
          <w:snapToGrid w:val="0"/>
        </w:rPr>
        <w:tab/>
        <w:t>(h)</w:t>
      </w:r>
      <w:r>
        <w:rPr>
          <w:snapToGrid w:val="0"/>
        </w:rPr>
        <w:tab/>
        <w:t>the price of every ticket, chance or subscription shall be the same, and shall be stated on the ticket; and</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r>
      <w:r>
        <w:t>Penalty for this subsection: a fine of</w:t>
      </w:r>
      <w:r>
        <w:rPr>
          <w:snapToGrid w:val="0"/>
        </w:rPr>
        <w:t xml:space="preserve">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r>
      <w:r>
        <w:t>Penalty for this subsection: a fine of</w:t>
      </w:r>
      <w:r>
        <w:rPr>
          <w:snapToGrid w:val="0"/>
        </w:rPr>
        <w:t xml:space="preserve"> $1 000.</w:t>
      </w:r>
    </w:p>
    <w:p>
      <w:pPr>
        <w:pStyle w:val="Footnotesection"/>
      </w:pPr>
      <w:r>
        <w:tab/>
        <w:t>[Section 104 amended: No. 24 of 1998 s. 62; No. 6 of 2000 s. 14; No. 41 of 2018 s. 25(1).]</w:t>
      </w:r>
    </w:p>
    <w:p>
      <w:pPr>
        <w:pStyle w:val="Heading5"/>
      </w:pPr>
      <w:bookmarkStart w:id="117" w:name="_Toc32497131"/>
      <w:r>
        <w:rPr>
          <w:rStyle w:val="CharSectno"/>
        </w:rPr>
        <w:t>104A</w:t>
      </w:r>
      <w:r>
        <w:t>.</w:t>
      </w:r>
      <w:r>
        <w:tab/>
        <w:t>Commission not liable for unpaid lottery prizes</w:t>
      </w:r>
      <w:bookmarkEnd w:id="117"/>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No. 24 of 1998 s. 63.]</w:t>
      </w:r>
    </w:p>
    <w:p>
      <w:pPr>
        <w:pStyle w:val="Heading5"/>
      </w:pPr>
      <w:bookmarkStart w:id="118" w:name="_Toc32497132"/>
      <w:r>
        <w:rPr>
          <w:rStyle w:val="CharSectno"/>
        </w:rPr>
        <w:t>104B</w:t>
      </w:r>
      <w:r>
        <w:t>.</w:t>
      </w:r>
      <w:r>
        <w:tab/>
        <w:t>Licensing of suppliers of lottery tickets</w:t>
      </w:r>
      <w:bookmarkEnd w:id="118"/>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 or</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 or</w:t>
      </w:r>
    </w:p>
    <w:p>
      <w:pPr>
        <w:pStyle w:val="Indenta"/>
      </w:pPr>
      <w:r>
        <w:tab/>
        <w:t>(b)</w:t>
      </w:r>
      <w:r>
        <w:tab/>
        <w:t>holds any share, or has a beneficial interest in any share, in that body corporate; or</w:t>
      </w:r>
    </w:p>
    <w:p>
      <w:pPr>
        <w:pStyle w:val="Indenta"/>
      </w:pPr>
      <w:r>
        <w:tab/>
        <w:t>(c)</w:t>
      </w:r>
      <w:r>
        <w:tab/>
        <w:t>holds any unit in a unit trust scheme of which the body corporate is the trustee; or</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No. 6 of 2000 s. 15; amended: No. 12 of 2008 Sch. 1 cl. 9.]</w:t>
      </w:r>
    </w:p>
    <w:p>
      <w:pPr>
        <w:pStyle w:val="Heading5"/>
      </w:pPr>
      <w:bookmarkStart w:id="119" w:name="_Toc32497133"/>
      <w:r>
        <w:rPr>
          <w:rStyle w:val="CharSectno"/>
        </w:rPr>
        <w:t>104C</w:t>
      </w:r>
      <w:r>
        <w:t>.</w:t>
      </w:r>
      <w:r>
        <w:tab/>
        <w:t>Licences of licensed suppliers, cancelling etc.</w:t>
      </w:r>
      <w:bookmarkEnd w:id="119"/>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 or</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spacing w:before="100"/>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spacing w:before="100"/>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for this subsection: a fine of $5 000.</w:t>
      </w:r>
    </w:p>
    <w:p>
      <w:pPr>
        <w:pStyle w:val="Footnotesection"/>
      </w:pPr>
      <w:r>
        <w:tab/>
        <w:t>[Section 104C inserted: No. 6 of 2000 s. 15; amended: No. 41 of 2018 s. 25(1).]</w:t>
      </w:r>
    </w:p>
    <w:p>
      <w:pPr>
        <w:pStyle w:val="Heading5"/>
      </w:pPr>
      <w:bookmarkStart w:id="120" w:name="_Toc32497134"/>
      <w:r>
        <w:rPr>
          <w:rStyle w:val="CharSectno"/>
        </w:rPr>
        <w:t>104D</w:t>
      </w:r>
      <w:r>
        <w:t>.</w:t>
      </w:r>
      <w:r>
        <w:tab/>
        <w:t>Refusal or cancellation of supplier’s licence, Commission to report to Minister; appeals to Minister</w:t>
      </w:r>
      <w:bookmarkEnd w:id="120"/>
    </w:p>
    <w:p>
      <w:pPr>
        <w:pStyle w:val="Subsection"/>
        <w:keepNext/>
        <w:outlineLvl w:val="0"/>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outlineLvl w:val="0"/>
      </w:pPr>
      <w:r>
        <w:tab/>
        <w:t>(2)</w:t>
      </w:r>
      <w:r>
        <w:tab/>
        <w:t>A person aggrieved by a determination of the Commission may submit an appeal to the Minister in accordance with section 62.</w:t>
      </w:r>
    </w:p>
    <w:p>
      <w:pPr>
        <w:pStyle w:val="Footnotesection"/>
        <w:ind w:left="890" w:hanging="890"/>
      </w:pPr>
      <w:r>
        <w:tab/>
        <w:t>[Section 104D inserted: No. 6 of 2000 s. 15.]</w:t>
      </w:r>
    </w:p>
    <w:p>
      <w:pPr>
        <w:pStyle w:val="Heading5"/>
      </w:pPr>
      <w:bookmarkStart w:id="121" w:name="_Toc32497135"/>
      <w:r>
        <w:rPr>
          <w:rStyle w:val="CharSectno"/>
        </w:rPr>
        <w:t>104E</w:t>
      </w:r>
      <w:r>
        <w:t>.</w:t>
      </w:r>
      <w:r>
        <w:tab/>
        <w:t>Suppliers to give Commission tickets if licence cancelled etc.</w:t>
      </w:r>
      <w:bookmarkEnd w:id="121"/>
    </w:p>
    <w:p>
      <w:pPr>
        <w:pStyle w:val="Subsection"/>
      </w:pPr>
      <w:r>
        <w:tab/>
        <w:t>(1)</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not submitted an appeal against the cancellation or refusal; and</w:t>
      </w:r>
    </w:p>
    <w:p>
      <w:pPr>
        <w:pStyle w:val="Indenta"/>
        <w:spacing w:before="60"/>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for this subsection: a fine of $5 000.</w:t>
      </w:r>
    </w:p>
    <w:p>
      <w:pPr>
        <w:pStyle w:val="Subsection"/>
        <w:spacing w:before="180"/>
      </w:pPr>
      <w:r>
        <w:tab/>
        <w:t>(2)</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appealed against the cancellation or refusal; and</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for this subsection: a fine of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for this subsection: a fine of $5 000.</w:t>
      </w:r>
    </w:p>
    <w:p>
      <w:pPr>
        <w:pStyle w:val="Footnotesection"/>
        <w:ind w:left="890" w:hanging="890"/>
      </w:pPr>
      <w:r>
        <w:tab/>
        <w:t>[Section 104E inserted: No. 6 of 2000 s. 15; amended: No. 41 of 2018 s. 25(1).]</w:t>
      </w:r>
    </w:p>
    <w:p>
      <w:pPr>
        <w:pStyle w:val="Heading5"/>
      </w:pPr>
      <w:bookmarkStart w:id="122" w:name="_Toc32497136"/>
      <w:r>
        <w:rPr>
          <w:rStyle w:val="CharSectno"/>
        </w:rPr>
        <w:t>104F</w:t>
      </w:r>
      <w:r>
        <w:t>.</w:t>
      </w:r>
      <w:r>
        <w:tab/>
        <w:t>Licensed suppliers to lodge returns and pay continuing lotteries levy</w:t>
      </w:r>
      <w:bookmarkEnd w:id="122"/>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for this subsection: a fine of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for this subsection: a fine of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No. 6 of 2000 s. 15; amended: No. 41 of 2018 s. 25(1).]</w:t>
      </w:r>
    </w:p>
    <w:p>
      <w:pPr>
        <w:pStyle w:val="Heading5"/>
      </w:pPr>
      <w:bookmarkStart w:id="123" w:name="_Toc32497137"/>
      <w:r>
        <w:rPr>
          <w:rStyle w:val="CharSectno"/>
        </w:rPr>
        <w:t>104G</w:t>
      </w:r>
      <w:r>
        <w:t>.</w:t>
      </w:r>
      <w:r>
        <w:tab/>
        <w:t>Continuing lotteries levy, application of</w:t>
      </w:r>
      <w:bookmarkEnd w:id="123"/>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keepNext/>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No. 6 of 2000 s. 15; amended: No. 77 of 2006 s. 4.]</w:t>
      </w:r>
    </w:p>
    <w:p>
      <w:pPr>
        <w:pStyle w:val="Heading5"/>
        <w:spacing w:before="240"/>
      </w:pPr>
      <w:bookmarkStart w:id="124" w:name="_Toc32497138"/>
      <w:r>
        <w:rPr>
          <w:rStyle w:val="CharSectno"/>
        </w:rPr>
        <w:t>104H</w:t>
      </w:r>
      <w:r>
        <w:t>.</w:t>
      </w:r>
      <w:r>
        <w:tab/>
        <w:t>Exemption from levy</w:t>
      </w:r>
      <w:bookmarkEnd w:id="124"/>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No. 6 of 2000 s. 15.]</w:t>
      </w:r>
    </w:p>
    <w:p>
      <w:pPr>
        <w:pStyle w:val="Heading5"/>
        <w:spacing w:before="240"/>
      </w:pPr>
      <w:bookmarkStart w:id="125" w:name="_Toc32497139"/>
      <w:r>
        <w:rPr>
          <w:rStyle w:val="CharSectno"/>
        </w:rPr>
        <w:t>104I</w:t>
      </w:r>
      <w:r>
        <w:t>.</w:t>
      </w:r>
      <w:r>
        <w:tab/>
        <w:t>Refund of levy</w:t>
      </w:r>
      <w:bookmarkEnd w:id="125"/>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No. 6 of 2000 s. 15.]</w:t>
      </w:r>
    </w:p>
    <w:p>
      <w:pPr>
        <w:pStyle w:val="Heading5"/>
        <w:keepLines w:val="0"/>
        <w:spacing w:before="180"/>
      </w:pPr>
      <w:bookmarkStart w:id="126" w:name="_Toc32497140"/>
      <w:r>
        <w:rPr>
          <w:rStyle w:val="CharSectno"/>
        </w:rPr>
        <w:t>104J</w:t>
      </w:r>
      <w:r>
        <w:t>.</w:t>
      </w:r>
      <w:r>
        <w:tab/>
        <w:t>Tickets, protecting and accounting for; estimating levy for lost etc. tickets</w:t>
      </w:r>
      <w:bookmarkEnd w:id="126"/>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 or</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keepNext/>
        <w:keepLines/>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No. 6 of 2000 s. 15.]</w:t>
      </w:r>
    </w:p>
    <w:p>
      <w:pPr>
        <w:pStyle w:val="Heading5"/>
      </w:pPr>
      <w:bookmarkStart w:id="127" w:name="_Toc32497141"/>
      <w:r>
        <w:rPr>
          <w:rStyle w:val="CharSectno"/>
        </w:rPr>
        <w:t>104K</w:t>
      </w:r>
      <w:r>
        <w:t>.</w:t>
      </w:r>
      <w:r>
        <w:tab/>
        <w:t>Tickets may be given to Commission for destruction</w:t>
      </w:r>
      <w:bookmarkEnd w:id="127"/>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No. 6 of 2000 s. 15.]</w:t>
      </w:r>
    </w:p>
    <w:p>
      <w:pPr>
        <w:pStyle w:val="Heading5"/>
      </w:pPr>
      <w:bookmarkStart w:id="128" w:name="_Toc32497142"/>
      <w:r>
        <w:rPr>
          <w:rStyle w:val="CharSectno"/>
        </w:rPr>
        <w:t>104L</w:t>
      </w:r>
      <w:r>
        <w:t>.</w:t>
      </w:r>
      <w:r>
        <w:tab/>
        <w:t>Offences by licensed suppliers</w:t>
      </w:r>
      <w:bookmarkEnd w:id="128"/>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for this subsection: a fine of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 and</w:t>
      </w:r>
    </w:p>
    <w:p>
      <w:pPr>
        <w:pStyle w:val="Indenta"/>
      </w:pPr>
      <w:r>
        <w:tab/>
        <w:t>(b)</w:t>
      </w:r>
      <w:r>
        <w:tab/>
        <w:t>there is printed on each ticket —</w:t>
      </w:r>
    </w:p>
    <w:p>
      <w:pPr>
        <w:pStyle w:val="Indenti"/>
      </w:pPr>
      <w:r>
        <w:tab/>
        <w:t>(i)</w:t>
      </w:r>
      <w:r>
        <w:tab/>
        <w:t>the face value of the ticket; and</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for this subsection: a fine of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for this subsection: a fine of $5 000.</w:t>
      </w:r>
    </w:p>
    <w:p>
      <w:pPr>
        <w:pStyle w:val="Subsection"/>
      </w:pPr>
      <w:r>
        <w:tab/>
        <w:t>(4)</w:t>
      </w:r>
      <w:r>
        <w:tab/>
        <w:t>The Commission may, by notice in writing, revoke any approval given for the purposes of subsection (3).</w:t>
      </w:r>
    </w:p>
    <w:p>
      <w:pPr>
        <w:pStyle w:val="Footnotesection"/>
        <w:spacing w:before="100"/>
        <w:ind w:left="890" w:hanging="890"/>
      </w:pPr>
      <w:r>
        <w:tab/>
        <w:t>[Section 104L inserted: No. 6 of 2000 s. 15; amended: No. 41 of 2018 s. 25(1).]</w:t>
      </w:r>
    </w:p>
    <w:p>
      <w:pPr>
        <w:pStyle w:val="Heading5"/>
        <w:keepLines w:val="0"/>
      </w:pPr>
      <w:bookmarkStart w:id="129" w:name="_Toc32497143"/>
      <w:r>
        <w:rPr>
          <w:rStyle w:val="CharSectno"/>
        </w:rPr>
        <w:t>104M</w:t>
      </w:r>
      <w:r>
        <w:t>.</w:t>
      </w:r>
      <w:r>
        <w:tab/>
        <w:t>Offences involving continuing lottery tickets</w:t>
      </w:r>
      <w:bookmarkEnd w:id="129"/>
    </w:p>
    <w:p>
      <w:pPr>
        <w:pStyle w:val="Subsection"/>
        <w:keepNext/>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for this subsection: a fine of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for this subsection: a fine of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for this subsection: a fine of $5 000.</w:t>
      </w:r>
    </w:p>
    <w:p>
      <w:pPr>
        <w:pStyle w:val="Footnotesection"/>
      </w:pPr>
      <w:r>
        <w:tab/>
        <w:t>[Section 104M inserted: No. 6 of 2000 s. 15; amended: No. 41 of 2018 s. 25(1).]</w:t>
      </w:r>
    </w:p>
    <w:p>
      <w:pPr>
        <w:pStyle w:val="Heading5"/>
        <w:rPr>
          <w:snapToGrid w:val="0"/>
        </w:rPr>
      </w:pPr>
      <w:bookmarkStart w:id="130" w:name="_Toc32497144"/>
      <w:r>
        <w:rPr>
          <w:rStyle w:val="CharSectno"/>
        </w:rPr>
        <w:t>105</w:t>
      </w:r>
      <w:r>
        <w:rPr>
          <w:snapToGrid w:val="0"/>
        </w:rPr>
        <w:t>.</w:t>
      </w:r>
      <w:r>
        <w:rPr>
          <w:snapToGrid w:val="0"/>
        </w:rPr>
        <w:tab/>
        <w:t>Continuing lotteries, use of vending machines to sell tickets for</w:t>
      </w:r>
      <w:bookmarkEnd w:id="130"/>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keepNext/>
        <w:keepLines/>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No. 24 of 1998 s. 64.]</w:t>
      </w:r>
    </w:p>
    <w:p>
      <w:pPr>
        <w:pStyle w:val="Heading5"/>
        <w:spacing w:before="180"/>
        <w:rPr>
          <w:snapToGrid w:val="0"/>
        </w:rPr>
      </w:pPr>
      <w:bookmarkStart w:id="131" w:name="_Toc32497145"/>
      <w:r>
        <w:rPr>
          <w:rStyle w:val="CharSectno"/>
        </w:rPr>
        <w:t>106</w:t>
      </w:r>
      <w:r>
        <w:rPr>
          <w:snapToGrid w:val="0"/>
        </w:rPr>
        <w:t>.</w:t>
      </w:r>
      <w:r>
        <w:rPr>
          <w:snapToGrid w:val="0"/>
        </w:rPr>
        <w:tab/>
        <w:t>Offences involving lotteries</w:t>
      </w:r>
      <w:bookmarkEnd w:id="131"/>
    </w:p>
    <w:p>
      <w:pPr>
        <w:pStyle w:val="Subsection"/>
        <w:spacing w:before="12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(other than subsection (1) of that section) applies for the purposes of subsection (1)(a)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w:t>
      </w:r>
    </w:p>
    <w:p>
      <w:pPr>
        <w:pStyle w:val="Indenta"/>
        <w:spacing w:before="60"/>
        <w:rPr>
          <w:snapToGrid w:val="0"/>
        </w:rPr>
      </w:pPr>
      <w:r>
        <w:rPr>
          <w:snapToGrid w:val="0"/>
        </w:rPr>
        <w:tab/>
        <w:t>(a)</w:t>
      </w:r>
      <w:r>
        <w:rPr>
          <w:snapToGrid w:val="0"/>
        </w:rPr>
        <w:tab/>
        <w:t>prints any tickets for use in the lottery; or</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 or</w:t>
      </w:r>
    </w:p>
    <w:p>
      <w:pPr>
        <w:pStyle w:val="Indenta"/>
        <w:spacing w:before="60"/>
        <w:rPr>
          <w:snapToGrid w:val="0"/>
        </w:rPr>
      </w:pPr>
      <w:r>
        <w:rPr>
          <w:snapToGrid w:val="0"/>
        </w:rPr>
        <w:tab/>
        <w:t>(c)</w:t>
      </w:r>
      <w:r>
        <w:rPr>
          <w:snapToGrid w:val="0"/>
        </w:rPr>
        <w:tab/>
        <w:t>prints, publishes or distributes, or has in his possession for the purpose of publication or distribution —</w:t>
      </w:r>
    </w:p>
    <w:p>
      <w:pPr>
        <w:pStyle w:val="Indenti"/>
        <w:spacing w:before="60"/>
        <w:rPr>
          <w:snapToGrid w:val="0"/>
        </w:rPr>
      </w:pPr>
      <w:r>
        <w:rPr>
          <w:snapToGrid w:val="0"/>
        </w:rPr>
        <w:tab/>
        <w:t>(i)</w:t>
      </w:r>
      <w:r>
        <w:rPr>
          <w:snapToGrid w:val="0"/>
        </w:rPr>
        <w:tab/>
        <w:t>any advertisement of the lottery; or</w:t>
      </w:r>
    </w:p>
    <w:p>
      <w:pPr>
        <w:pStyle w:val="Indenti"/>
        <w:spacing w:before="60"/>
        <w:rPr>
          <w:snapToGrid w:val="0"/>
        </w:rPr>
      </w:pPr>
      <w:r>
        <w:rPr>
          <w:snapToGrid w:val="0"/>
        </w:rPr>
        <w:tab/>
        <w:t>(ii)</w:t>
      </w:r>
      <w:r>
        <w:rPr>
          <w:snapToGrid w:val="0"/>
        </w:rPr>
        <w:tab/>
        <w:t>any list, whether complete or not, of prize winners or winning tickets in the lottery; or</w:t>
      </w:r>
    </w:p>
    <w:p>
      <w:pPr>
        <w:pStyle w:val="Indenti"/>
        <w:spacing w:before="60"/>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brings, or invites any person to send, into the State for the purpose of sale or distribution any ticket in, or advertisement of, the lottery; or</w:t>
      </w:r>
    </w:p>
    <w:p>
      <w:pPr>
        <w:pStyle w:val="Indenta"/>
        <w:spacing w:before="60"/>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 or</w:t>
      </w:r>
    </w:p>
    <w:p>
      <w:pPr>
        <w:pStyle w:val="Indenta"/>
        <w:spacing w:before="60"/>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spacing w:before="60"/>
        <w:rPr>
          <w:snapToGrid w:val="0"/>
        </w:rPr>
      </w:pPr>
      <w:r>
        <w:rPr>
          <w:snapToGrid w:val="0"/>
        </w:rPr>
        <w:tab/>
        <w:t>(g)</w:t>
      </w:r>
      <w:r>
        <w:rPr>
          <w:snapToGrid w:val="0"/>
        </w:rPr>
        <w:tab/>
        <w:t>receives money, any valuable thing, or any goods for the purposes of the lottery,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$2 000.</w:t>
      </w:r>
    </w:p>
    <w:p>
      <w:pPr>
        <w:pStyle w:val="Subsection"/>
        <w:spacing w:before="140"/>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spacing w:before="100"/>
        <w:ind w:left="890" w:hanging="890"/>
      </w:pPr>
      <w:r>
        <w:tab/>
        <w:t>[Section 106 amended: No. 24 of 1998 s. 65; amended: No. 41 of 2018 s. 25(1).]</w:t>
      </w:r>
    </w:p>
    <w:p>
      <w:pPr>
        <w:pStyle w:val="Heading5"/>
        <w:rPr>
          <w:snapToGrid w:val="0"/>
        </w:rPr>
      </w:pPr>
      <w:bookmarkStart w:id="132" w:name="_Toc32497146"/>
      <w:r>
        <w:rPr>
          <w:rStyle w:val="CharSectno"/>
        </w:rPr>
        <w:t>107</w:t>
      </w:r>
      <w:r>
        <w:rPr>
          <w:snapToGrid w:val="0"/>
        </w:rPr>
        <w:t>.</w:t>
      </w:r>
      <w:r>
        <w:rPr>
          <w:snapToGrid w:val="0"/>
        </w:rPr>
        <w:tab/>
        <w:t>Amusements with prizes, which are permitted</w:t>
      </w:r>
      <w:bookmarkEnd w:id="132"/>
    </w:p>
    <w:p>
      <w:pPr>
        <w:pStyle w:val="Subsection"/>
        <w:keepNext/>
        <w:keepLines/>
        <w:rPr>
          <w:snapToGrid w:val="0"/>
        </w:rPr>
      </w:pPr>
      <w:r>
        <w:rPr>
          <w:snapToGrid w:val="0"/>
        </w:rPr>
        <w:tab/>
        <w:t>(1)</w:t>
      </w:r>
      <w:r>
        <w:rPr>
          <w:snapToGrid w:val="0"/>
        </w:rPr>
        <w:tab/>
        <w:t>Where any amusement with prizes which constitutes gaming or a lottery or both is provided in relation to or in connection with any entertainment or event or for any charitable or social cause, and it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 and</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 and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r>
        <w:tab/>
        <w:t>[Section 107 amended: No. 35 of 2003 s. 159 and 167; No. 41 of 2018 s. 23.]</w:t>
      </w:r>
    </w:p>
    <w:p>
      <w:pPr>
        <w:pStyle w:val="Heading5"/>
        <w:rPr>
          <w:snapToGrid w:val="0"/>
        </w:rPr>
      </w:pPr>
      <w:bookmarkStart w:id="133" w:name="_Toc32497147"/>
      <w:r>
        <w:rPr>
          <w:rStyle w:val="CharSectno"/>
        </w:rPr>
        <w:t>108</w:t>
      </w:r>
      <w:r>
        <w:rPr>
          <w:snapToGrid w:val="0"/>
        </w:rPr>
        <w:t>.</w:t>
      </w:r>
      <w:r>
        <w:rPr>
          <w:snapToGrid w:val="0"/>
        </w:rPr>
        <w:tab/>
        <w:t>Some fund raising activities deemed permitted amusement with prizes</w:t>
      </w:r>
      <w:bookmarkEnd w:id="133"/>
    </w:p>
    <w:p>
      <w:pPr>
        <w:pStyle w:val="Subsection"/>
        <w:keepNext/>
        <w:keepLines/>
        <w:rPr>
          <w:snapToGrid w:val="0"/>
        </w:rPr>
      </w:pPr>
      <w:r>
        <w:rPr>
          <w:snapToGrid w:val="0"/>
        </w:rPr>
        <w:tab/>
        <w:t>(1)</w:t>
      </w:r>
      <w:r>
        <w:rPr>
          <w:snapToGrid w:val="0"/>
        </w:rPr>
        <w:tab/>
        <w:t>The conduct of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 or</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r>
      <w:r>
        <w:t>Penalty for this subsection: a fine of</w:t>
      </w:r>
      <w:r>
        <w:rPr>
          <w:snapToGrid w:val="0"/>
        </w:rPr>
        <w:t xml:space="preserve"> $2 000.</w:t>
      </w:r>
    </w:p>
    <w:p>
      <w:pPr>
        <w:pStyle w:val="Footnotesection"/>
      </w:pPr>
      <w:r>
        <w:tab/>
        <w:t>[Section 108 amended: No. 24 of 1998 s. 66; No. 35 of 2003 s. 160 and 166; No. 41 of 2018 s. 25(1).]</w:t>
      </w:r>
    </w:p>
    <w:p>
      <w:pPr>
        <w:pStyle w:val="Heading5"/>
        <w:rPr>
          <w:snapToGrid w:val="0"/>
        </w:rPr>
      </w:pPr>
      <w:bookmarkStart w:id="134" w:name="_Toc32497148"/>
      <w:r>
        <w:rPr>
          <w:rStyle w:val="CharSectno"/>
        </w:rPr>
        <w:t>109</w:t>
      </w:r>
      <w:r>
        <w:rPr>
          <w:snapToGrid w:val="0"/>
        </w:rPr>
        <w:t>.</w:t>
      </w:r>
      <w:r>
        <w:rPr>
          <w:snapToGrid w:val="0"/>
        </w:rPr>
        <w:tab/>
        <w:t>Regulations for this Division</w:t>
      </w:r>
      <w:bookmarkEnd w:id="134"/>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as to the requirements for the keeping of accounts and the furnishings of reports by persons conducting lotteries; and</w:t>
      </w:r>
    </w:p>
    <w:p>
      <w:pPr>
        <w:pStyle w:val="Indenta"/>
        <w:rPr>
          <w:snapToGrid w:val="0"/>
        </w:rPr>
      </w:pPr>
      <w:r>
        <w:rPr>
          <w:snapToGrid w:val="0"/>
        </w:rPr>
        <w:tab/>
        <w:t>(aa)</w:t>
      </w:r>
      <w:r>
        <w:rPr>
          <w:snapToGrid w:val="0"/>
        </w:rPr>
        <w:tab/>
        <w:t>in respect of the records to be maintained by licensed suppliers and the manner in which those records are to be kept; and</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 and</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 and</w:t>
      </w:r>
    </w:p>
    <w:p>
      <w:pPr>
        <w:pStyle w:val="Indenta"/>
        <w:rPr>
          <w:snapToGrid w:val="0"/>
        </w:rPr>
      </w:pPr>
      <w:r>
        <w:rPr>
          <w:snapToGrid w:val="0"/>
        </w:rPr>
        <w:tab/>
        <w:t>(d)</w:t>
      </w:r>
      <w:r>
        <w:rPr>
          <w:snapToGrid w:val="0"/>
        </w:rPr>
        <w:tab/>
        <w:t>as to the relation between the time of opening, closing, and drawing of a standard lottery; and</w:t>
      </w:r>
    </w:p>
    <w:p>
      <w:pPr>
        <w:pStyle w:val="Indenta"/>
        <w:spacing w:before="60"/>
        <w:rPr>
          <w:snapToGrid w:val="0"/>
        </w:rPr>
      </w:pPr>
      <w:r>
        <w:rPr>
          <w:snapToGrid w:val="0"/>
        </w:rPr>
        <w:tab/>
        <w:t>(e)</w:t>
      </w:r>
      <w:r>
        <w:rPr>
          <w:snapToGrid w:val="0"/>
        </w:rPr>
        <w:tab/>
        <w:t>as to the conduct of continuing lotteries; and</w:t>
      </w:r>
    </w:p>
    <w:p>
      <w:pPr>
        <w:pStyle w:val="Indenta"/>
        <w:spacing w:before="60"/>
        <w:rPr>
          <w:snapToGrid w:val="0"/>
        </w:rPr>
      </w:pPr>
      <w:r>
        <w:rPr>
          <w:snapToGrid w:val="0"/>
        </w:rPr>
        <w:tab/>
        <w:t>(f)</w:t>
      </w:r>
      <w:r>
        <w:rPr>
          <w:snapToGrid w:val="0"/>
        </w:rPr>
        <w:tab/>
        <w:t>as to the use of vending machines in relation to lotteries; and</w:t>
      </w:r>
    </w:p>
    <w:p>
      <w:pPr>
        <w:pStyle w:val="Indenta"/>
        <w:spacing w:before="60"/>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 and</w:t>
      </w:r>
    </w:p>
    <w:p>
      <w:pPr>
        <w:pStyle w:val="Indenta"/>
        <w:spacing w:before="60"/>
        <w:rPr>
          <w:snapToGrid w:val="0"/>
        </w:rPr>
      </w:pPr>
      <w:r>
        <w:rPr>
          <w:snapToGrid w:val="0"/>
        </w:rPr>
        <w:tab/>
        <w:t>(h)</w:t>
      </w:r>
      <w:r>
        <w:rPr>
          <w:snapToGrid w:val="0"/>
        </w:rPr>
        <w:tab/>
        <w:t>as to the printing of tickets and the security of printing arrangements or of tickets, and as to the information which must, or must not, appear on a ticket; and</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 and</w:t>
      </w:r>
    </w:p>
    <w:p>
      <w:pPr>
        <w:pStyle w:val="Indenta"/>
        <w:spacing w:before="60"/>
        <w:rPr>
          <w:snapToGrid w:val="0"/>
        </w:rPr>
      </w:pPr>
      <w:r>
        <w:rPr>
          <w:snapToGrid w:val="0"/>
        </w:rPr>
        <w:tab/>
        <w:t>(k)</w:t>
      </w:r>
      <w:r>
        <w:rPr>
          <w:snapToGrid w:val="0"/>
        </w:rPr>
        <w:tab/>
        <w:t>prescribing the conditions governing the employment of agents; and</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spacing w:before="60"/>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No. 24 of 1998 s. 67; No. 6 of 2000 s. 16.]</w:t>
      </w:r>
    </w:p>
    <w:p>
      <w:pPr>
        <w:pStyle w:val="Heading3"/>
        <w:rPr>
          <w:snapToGrid w:val="0"/>
        </w:rPr>
      </w:pPr>
      <w:bookmarkStart w:id="135" w:name="_Toc32497149"/>
      <w:r>
        <w:rPr>
          <w:rStyle w:val="CharDivNo"/>
        </w:rPr>
        <w:t>Division 8</w:t>
      </w:r>
      <w:r>
        <w:rPr>
          <w:snapToGrid w:val="0"/>
        </w:rPr>
        <w:t> — </w:t>
      </w:r>
      <w:r>
        <w:rPr>
          <w:rStyle w:val="CharDivText"/>
        </w:rPr>
        <w:t>Unclaimed winnings</w:t>
      </w:r>
      <w:bookmarkEnd w:id="135"/>
    </w:p>
    <w:p>
      <w:pPr>
        <w:pStyle w:val="Footnoteheading"/>
        <w:tabs>
          <w:tab w:val="left" w:pos="910"/>
        </w:tabs>
      </w:pPr>
      <w:r>
        <w:tab/>
        <w:t>[Heading inserted: No. 24 of 1998 s. 68(1).]</w:t>
      </w:r>
    </w:p>
    <w:p>
      <w:pPr>
        <w:pStyle w:val="Heading5"/>
      </w:pPr>
      <w:bookmarkStart w:id="136" w:name="_Toc32497150"/>
      <w:r>
        <w:rPr>
          <w:rStyle w:val="CharSectno"/>
        </w:rPr>
        <w:t>109A</w:t>
      </w:r>
      <w:r>
        <w:t>.</w:t>
      </w:r>
      <w:r>
        <w:tab/>
        <w:t>Terms used</w:t>
      </w:r>
      <w:bookmarkEnd w:id="136"/>
    </w:p>
    <w:p>
      <w:pPr>
        <w:pStyle w:val="Subsection"/>
      </w:pPr>
      <w:r>
        <w:tab/>
      </w:r>
      <w:r>
        <w:tab/>
        <w:t>In this Division —</w:t>
      </w:r>
    </w:p>
    <w:p>
      <w:pPr>
        <w:pStyle w:val="Defstart"/>
      </w:pPr>
      <w:r>
        <w:tab/>
      </w:r>
      <w:r>
        <w:rPr>
          <w:rStyle w:val="CharDefText"/>
        </w:rPr>
        <w:t>Trust</w:t>
      </w:r>
      <w:r>
        <w:t xml:space="preserve"> means the Gaming Community Trust established under section 109D;</w:t>
      </w:r>
    </w:p>
    <w:p>
      <w:pPr>
        <w:pStyle w:val="Defstart"/>
      </w:pPr>
      <w:r>
        <w:rPr>
          <w:b/>
        </w:rPr>
        <w:tab/>
      </w:r>
      <w:r>
        <w:rPr>
          <w:rStyle w:val="CharDefText"/>
        </w:rPr>
        <w:t>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No. 24 of 1998 s. 68(1); amended: No. 77 of 2006 Sch. 1 cl. 71(3).]</w:t>
      </w:r>
    </w:p>
    <w:p>
      <w:pPr>
        <w:pStyle w:val="Heading5"/>
      </w:pPr>
      <w:bookmarkStart w:id="137" w:name="_Toc32497151"/>
      <w:r>
        <w:rPr>
          <w:rStyle w:val="CharSectno"/>
        </w:rPr>
        <w:t>109B</w:t>
      </w:r>
      <w:r>
        <w:t>.</w:t>
      </w:r>
      <w:r>
        <w:tab/>
        <w:t>Unclaimed winnings, Commission to be notified of etc.</w:t>
      </w:r>
      <w:bookmarkEnd w:id="137"/>
    </w:p>
    <w:p>
      <w:pPr>
        <w:pStyle w:val="Subsection"/>
      </w:pPr>
      <w:r>
        <w:tab/>
        <w:t>(1)</w:t>
      </w:r>
      <w:r>
        <w:tab/>
        <w:t>If any winnings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xml:space="preserve">), the permit holder, or the person responsible for the conduct of the gaming authorised by the permit or the game (the </w:t>
      </w:r>
      <w:r>
        <w:rPr>
          <w:rStyle w:val="CharDefText"/>
        </w:rPr>
        <w:t>responsible person</w:t>
      </w:r>
      <w:r>
        <w:t>), shall notify the Commission in writing of —</w:t>
      </w:r>
    </w:p>
    <w:p>
      <w:pPr>
        <w:pStyle w:val="Indenta"/>
      </w:pPr>
      <w:r>
        <w:tab/>
        <w:t>(c)</w:t>
      </w:r>
      <w:r>
        <w:tab/>
        <w:t>details of the unclaimed winnings; and</w:t>
      </w:r>
    </w:p>
    <w:p>
      <w:pPr>
        <w:pStyle w:val="Indenta"/>
      </w:pPr>
      <w:r>
        <w:tab/>
        <w:t>(d)</w:t>
      </w:r>
      <w:r>
        <w:tab/>
        <w:t xml:space="preserve">the name, and any known address, of the person entitled to be paid the unclaimed winnings (the </w:t>
      </w:r>
      <w:r>
        <w:rPr>
          <w:rStyle w:val="CharDefText"/>
        </w:rPr>
        <w:t>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If, on the expiry of 2 months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the unclaimed winnings have not been claimed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spacing w:before="140"/>
      </w:pPr>
      <w:r>
        <w:tab/>
        <w:t>(4)</w:t>
      </w:r>
      <w:r>
        <w:tab/>
        <w:t>The Commission may give directions to the permit holder or the responsible person as to the disposal of any unclaimed winnings where —</w:t>
      </w:r>
    </w:p>
    <w:p>
      <w:pPr>
        <w:pStyle w:val="Indenta"/>
        <w:spacing w:before="60"/>
      </w:pPr>
      <w:r>
        <w:tab/>
        <w:t>(a)</w:t>
      </w:r>
      <w:r>
        <w:tab/>
        <w:t>the right of the winner to be paid the winnings has been extinguished under subsection (3); and</w:t>
      </w:r>
    </w:p>
    <w:p>
      <w:pPr>
        <w:pStyle w:val="Indenta"/>
        <w:keepNext/>
        <w:spacing w:before="60"/>
      </w:pPr>
      <w:r>
        <w:tab/>
        <w:t>(b)</w:t>
      </w:r>
      <w:r>
        <w:tab/>
        <w:t>the winnings are in a form other than money,</w:t>
      </w:r>
    </w:p>
    <w:p>
      <w:pPr>
        <w:pStyle w:val="Subsection"/>
        <w:spacing w:before="140"/>
      </w:pPr>
      <w:r>
        <w:tab/>
      </w:r>
      <w:r>
        <w:tab/>
        <w:t>and any proceeds of that disposal shall be taken to be unclaimed winnings to be dealt with under section 109C.</w:t>
      </w:r>
    </w:p>
    <w:p>
      <w:pPr>
        <w:pStyle w:val="Subsection"/>
        <w:spacing w:before="140"/>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spacing w:before="100"/>
        <w:ind w:left="890" w:hanging="890"/>
      </w:pPr>
      <w:r>
        <w:tab/>
        <w:t>[Section 109B inserted: No. 24 of 1998 s. 68(1); amended: No. 35 of 2003 s. 167.]</w:t>
      </w:r>
    </w:p>
    <w:p>
      <w:pPr>
        <w:pStyle w:val="Heading5"/>
        <w:spacing w:before="180"/>
      </w:pPr>
      <w:bookmarkStart w:id="138" w:name="_Toc32497152"/>
      <w:r>
        <w:rPr>
          <w:rStyle w:val="CharSectno"/>
        </w:rPr>
        <w:t>109C</w:t>
      </w:r>
      <w:r>
        <w:t>.</w:t>
      </w:r>
      <w:r>
        <w:tab/>
        <w:t>Gaming Community Trust Account</w:t>
      </w:r>
      <w:bookmarkEnd w:id="138"/>
    </w:p>
    <w:p>
      <w:pPr>
        <w:pStyle w:val="Subsection"/>
        <w:spacing w:before="10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that are unclaimed winnings —</w:t>
      </w:r>
    </w:p>
    <w:p>
      <w:pPr>
        <w:pStyle w:val="Indenta"/>
        <w:spacing w:before="60"/>
        <w:rPr>
          <w:rFonts w:eastAsia="Arial Unicode MS"/>
        </w:rPr>
      </w:pPr>
      <w:r>
        <w:rPr>
          <w:rFonts w:eastAsia="Arial Unicode MS"/>
        </w:rPr>
        <w:tab/>
        <w:t>(a)</w:t>
      </w:r>
      <w:r>
        <w:rPr>
          <w:rFonts w:eastAsia="Arial Unicode MS"/>
        </w:rPr>
        <w:tab/>
        <w:t>to which section 109B(3) or (4) applies; or</w:t>
      </w:r>
    </w:p>
    <w:p>
      <w:pPr>
        <w:pStyle w:val="Indenta"/>
        <w:spacing w:before="60"/>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00"/>
      </w:pPr>
      <w:r>
        <w:tab/>
        <w:t>(2)</w:t>
      </w:r>
      <w:r>
        <w:tab/>
        <w:t>The Trust Account shall be applied to purposes recommended by the Trust and approved by the Minister for the benefit of the community.</w:t>
      </w:r>
    </w:p>
    <w:p>
      <w:pPr>
        <w:pStyle w:val="Subsection"/>
        <w:spacing w:before="100"/>
      </w:pPr>
      <w:r>
        <w:tab/>
        <w:t>(3)</w:t>
      </w:r>
      <w:r>
        <w:tab/>
        <w:t>The operation of the Trust Account shall be regarded as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No. 24 of 1998 s. 68(1); amended: No. 77 of 2006 Sch. 1 cl. 71(4)-(6).]</w:t>
      </w:r>
    </w:p>
    <w:p>
      <w:pPr>
        <w:pStyle w:val="Heading5"/>
      </w:pPr>
      <w:bookmarkStart w:id="139" w:name="_Toc32497153"/>
      <w:r>
        <w:rPr>
          <w:rStyle w:val="CharSectno"/>
        </w:rPr>
        <w:t>109D</w:t>
      </w:r>
      <w:r>
        <w:t>.</w:t>
      </w:r>
      <w:r>
        <w:tab/>
        <w:t>Gaming Community Trust</w:t>
      </w:r>
      <w:bookmarkEnd w:id="139"/>
    </w:p>
    <w:p>
      <w:pPr>
        <w:pStyle w:val="Subsection"/>
        <w:spacing w:before="100"/>
      </w:pPr>
      <w:r>
        <w:tab/>
        <w:t>(1)</w:t>
      </w:r>
      <w:r>
        <w:tab/>
        <w:t>A body called the Gaming Community Trust is established.</w:t>
      </w:r>
    </w:p>
    <w:p>
      <w:pPr>
        <w:pStyle w:val="Subsection"/>
        <w:spacing w:before="100"/>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The Trust shall consist of 5 members as follows —</w:t>
      </w:r>
    </w:p>
    <w:p>
      <w:pPr>
        <w:pStyle w:val="Indenta"/>
      </w:pPr>
      <w:r>
        <w:tab/>
        <w:t>(a)</w:t>
      </w:r>
      <w:r>
        <w:tab/>
        <w:t>the person holding or acting in the office of chairperson of the Commission, who shall be</w:t>
      </w:r>
      <w:r>
        <w:rPr>
          <w:iCs/>
        </w:rPr>
        <w:t xml:space="preserve"> ex officio </w:t>
      </w:r>
      <w:r>
        <w:t>chairman of the Trust; and</w:t>
      </w:r>
    </w:p>
    <w:p>
      <w:pPr>
        <w:pStyle w:val="Indenta"/>
      </w:pPr>
      <w:r>
        <w:tab/>
        <w:t>(b)</w:t>
      </w:r>
      <w:r>
        <w:tab/>
        <w:t xml:space="preserve">one person appointed by the Minister on the nomination of the casino licensee as defined in the </w:t>
      </w:r>
      <w:r>
        <w:rPr>
          <w:i/>
        </w:rPr>
        <w:t>Casino Control Act 1984</w:t>
      </w:r>
      <w:r>
        <w:t xml:space="preserve"> section 3(1);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The Minister may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Public Sector Commissioner.</w:t>
      </w:r>
    </w:p>
    <w:p>
      <w:pPr>
        <w:pStyle w:val="Subsection"/>
        <w:keepNext/>
      </w:pPr>
      <w:r>
        <w:tab/>
        <w:t>(9)</w:t>
      </w:r>
      <w:r>
        <w:tab/>
        <w:t>In this section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No. 24 of 1998 s. 68(1); amended: No. 35 of 2003 s. 168; No. 77 of 2006 Sch. 1 cl. 71(7); No. 39 of 2010 s. 89; No. 41 of 2018 s. 24.]</w:t>
      </w:r>
    </w:p>
    <w:p>
      <w:pPr>
        <w:pStyle w:val="Heading2"/>
      </w:pPr>
      <w:bookmarkStart w:id="140" w:name="_Toc32497154"/>
      <w:r>
        <w:rPr>
          <w:rStyle w:val="CharPartNo"/>
        </w:rPr>
        <w:t>Part VA</w:t>
      </w:r>
      <w:r>
        <w:rPr>
          <w:rStyle w:val="CharDivNo"/>
        </w:rPr>
        <w:t> </w:t>
      </w:r>
      <w:r>
        <w:t>—</w:t>
      </w:r>
      <w:r>
        <w:rPr>
          <w:rStyle w:val="CharDivText"/>
        </w:rPr>
        <w:t> </w:t>
      </w:r>
      <w:r>
        <w:rPr>
          <w:rStyle w:val="CharPartText"/>
        </w:rPr>
        <w:t>Supervision of RWWA</w:t>
      </w:r>
      <w:bookmarkEnd w:id="140"/>
    </w:p>
    <w:p>
      <w:pPr>
        <w:pStyle w:val="Footnoteheading"/>
        <w:tabs>
          <w:tab w:val="left" w:pos="910"/>
        </w:tabs>
      </w:pPr>
      <w:r>
        <w:tab/>
        <w:t>[Heading inserted: No. 35 of 2003 s. 161.]</w:t>
      </w:r>
    </w:p>
    <w:p>
      <w:pPr>
        <w:pStyle w:val="Heading5"/>
      </w:pPr>
      <w:bookmarkStart w:id="141" w:name="_Toc32497155"/>
      <w:r>
        <w:rPr>
          <w:rStyle w:val="CharSectno"/>
        </w:rPr>
        <w:t>109E</w:t>
      </w:r>
      <w:r>
        <w:t>.</w:t>
      </w:r>
      <w:r>
        <w:tab/>
        <w:t>Gambling operations of RWWA, meaning of</w:t>
      </w:r>
      <w:bookmarkEnd w:id="141"/>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No. 35 of 2003 s. 161.]</w:t>
      </w:r>
    </w:p>
    <w:p>
      <w:pPr>
        <w:pStyle w:val="Heading5"/>
      </w:pPr>
      <w:bookmarkStart w:id="142" w:name="_Toc32497156"/>
      <w:r>
        <w:rPr>
          <w:rStyle w:val="CharSectno"/>
        </w:rPr>
        <w:t>109F</w:t>
      </w:r>
      <w:r>
        <w:t>.</w:t>
      </w:r>
      <w:r>
        <w:tab/>
        <w:t>Supervision of RWWA by Commission etc.</w:t>
      </w:r>
      <w:bookmarkEnd w:id="142"/>
    </w:p>
    <w:p>
      <w:pPr>
        <w:pStyle w:val="Subsection"/>
      </w:pPr>
      <w:r>
        <w:tab/>
        <w:t>(1)</w:t>
      </w:r>
      <w:r>
        <w:tab/>
        <w:t xml:space="preserve">Without limiting sections 20 to 20C of the </w:t>
      </w:r>
      <w:r>
        <w:rPr>
          <w:i/>
        </w:rPr>
        <w:t>Betting Control Act 1954</w:t>
      </w:r>
      <w:r>
        <w:t>, the Commission and an authorised officer have and may exercise in relation to —</w:t>
      </w:r>
    </w:p>
    <w:p>
      <w:pPr>
        <w:pStyle w:val="Indenta"/>
      </w:pPr>
      <w:r>
        <w:tab/>
        <w:t>(a)</w:t>
      </w:r>
      <w:r>
        <w:tab/>
        <w:t>RWWA, the directors of the board of RWWA, the employees, officers and agents of RWWA, and the premises and property of RWWA; and</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No. 35 of 2003 s. 161.]</w:t>
      </w:r>
    </w:p>
    <w:p>
      <w:pPr>
        <w:pStyle w:val="Heading5"/>
      </w:pPr>
      <w:bookmarkStart w:id="143" w:name="_Toc32497157"/>
      <w:r>
        <w:rPr>
          <w:rStyle w:val="CharSectno"/>
        </w:rPr>
        <w:t>109G</w:t>
      </w:r>
      <w:r>
        <w:t>.</w:t>
      </w:r>
      <w:r>
        <w:tab/>
        <w:t>Directions to RWWA, Commission may give</w:t>
      </w:r>
      <w:bookmarkEnd w:id="143"/>
    </w:p>
    <w:p>
      <w:pPr>
        <w:pStyle w:val="Subsection"/>
      </w:pPr>
      <w:r>
        <w:tab/>
        <w:t>(1)</w:t>
      </w:r>
      <w:r>
        <w:tab/>
        <w:t>The Commission may give directions to RWWA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No. 35 of 2003 s. 161.]</w:t>
      </w:r>
    </w:p>
    <w:p>
      <w:pPr>
        <w:pStyle w:val="Heading5"/>
      </w:pPr>
      <w:bookmarkStart w:id="144" w:name="_Toc32497158"/>
      <w:r>
        <w:rPr>
          <w:rStyle w:val="CharSectno"/>
        </w:rPr>
        <w:t>109H</w:t>
      </w:r>
      <w:r>
        <w:t>.</w:t>
      </w:r>
      <w:r>
        <w:tab/>
        <w:t>RWWA must comply with directions</w:t>
      </w:r>
      <w:bookmarkEnd w:id="144"/>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If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for this subsection: a fine of $5 000.</w:t>
      </w:r>
    </w:p>
    <w:p>
      <w:pPr>
        <w:pStyle w:val="Footnotesection"/>
      </w:pPr>
      <w:r>
        <w:tab/>
        <w:t>[Section 109H inserted: No. 35 of 2003 s. 161; amended: No. 41 of 2018 s. 25(1).]</w:t>
      </w:r>
    </w:p>
    <w:p>
      <w:pPr>
        <w:pStyle w:val="Heading5"/>
      </w:pPr>
      <w:bookmarkStart w:id="145" w:name="_Toc32497159"/>
      <w:r>
        <w:rPr>
          <w:rStyle w:val="CharSectno"/>
        </w:rPr>
        <w:t>109I</w:t>
      </w:r>
      <w:r>
        <w:t>.</w:t>
      </w:r>
      <w:r>
        <w:tab/>
        <w:t>Complaints about RWWA, Commission’s functions as to</w:t>
      </w:r>
      <w:bookmarkEnd w:id="145"/>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No. 35 of 2003 s. 161.]</w:t>
      </w:r>
    </w:p>
    <w:p>
      <w:pPr>
        <w:pStyle w:val="Heading5"/>
      </w:pPr>
      <w:bookmarkStart w:id="146" w:name="_Toc32497160"/>
      <w:r>
        <w:rPr>
          <w:rStyle w:val="CharSectno"/>
        </w:rPr>
        <w:t>109J</w:t>
      </w:r>
      <w:r>
        <w:t>.</w:t>
      </w:r>
      <w:r>
        <w:tab/>
        <w:t>Reports on and inquiries into RWWA</w:t>
      </w:r>
      <w:bookmarkEnd w:id="146"/>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Related matters that may be made the subject of an inquiry include —</w:t>
      </w:r>
    </w:p>
    <w:p>
      <w:pPr>
        <w:pStyle w:val="Indenta"/>
      </w:pPr>
      <w:r>
        <w:tab/>
        <w:t>(a)</w:t>
      </w:r>
      <w:r>
        <w:tab/>
        <w:t>gambling operations of RWWA; and</w:t>
      </w:r>
    </w:p>
    <w:p>
      <w:pPr>
        <w:pStyle w:val="Indenta"/>
      </w:pPr>
      <w:r>
        <w:tab/>
        <w:t>(b)</w:t>
      </w:r>
      <w:r>
        <w:tab/>
        <w:t>RWWA’s compliance with the RWWA Act, this Act and other written laws; and</w:t>
      </w:r>
    </w:p>
    <w:p>
      <w:pPr>
        <w:pStyle w:val="Indenta"/>
      </w:pPr>
      <w:r>
        <w:tab/>
        <w:t>(c)</w:t>
      </w:r>
      <w:r>
        <w:tab/>
        <w:t>suspected corruption; and</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A direction given under subsection (2)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No. 35 of 2003 s. 161.]</w:t>
      </w:r>
    </w:p>
    <w:p>
      <w:pPr>
        <w:pStyle w:val="Heading5"/>
      </w:pPr>
      <w:bookmarkStart w:id="147" w:name="_Toc32497161"/>
      <w:r>
        <w:rPr>
          <w:rStyle w:val="CharSectno"/>
        </w:rPr>
        <w:t>109K</w:t>
      </w:r>
      <w:r>
        <w:t>.</w:t>
      </w:r>
      <w:r>
        <w:tab/>
        <w:t>Report or inquiry under s. 109J, Minister’s powers following</w:t>
      </w:r>
      <w:bookmarkEnd w:id="147"/>
    </w:p>
    <w:p>
      <w:pPr>
        <w:pStyle w:val="Subsection"/>
      </w:pPr>
      <w:r>
        <w:tab/>
        <w:t>(1)</w:t>
      </w:r>
      <w:r>
        <w:tab/>
        <w:t>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After receiving and considering each submission served under subsection (2) the Minister may, subject to subsection (4) and if the Minister considers it in the public interest to do so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No. 35 of 2003 s. 161.]</w:t>
      </w:r>
    </w:p>
    <w:p>
      <w:pPr>
        <w:pStyle w:val="Heading2"/>
      </w:pPr>
      <w:bookmarkStart w:id="148" w:name="_Toc32497162"/>
      <w:r>
        <w:rPr>
          <w:rStyle w:val="CharPartNo"/>
        </w:rPr>
        <w:t>Part VI</w:t>
      </w:r>
      <w:r>
        <w:rPr>
          <w:rStyle w:val="CharDivNo"/>
        </w:rPr>
        <w:t> </w:t>
      </w:r>
      <w:r>
        <w:t>—</w:t>
      </w:r>
      <w:r>
        <w:rPr>
          <w:rStyle w:val="CharDivText"/>
        </w:rPr>
        <w:t> </w:t>
      </w:r>
      <w:r>
        <w:rPr>
          <w:rStyle w:val="CharPartText"/>
        </w:rPr>
        <w:t>Ancillary</w:t>
      </w:r>
      <w:bookmarkEnd w:id="148"/>
    </w:p>
    <w:p>
      <w:pPr>
        <w:pStyle w:val="Heading5"/>
        <w:rPr>
          <w:snapToGrid w:val="0"/>
        </w:rPr>
      </w:pPr>
      <w:bookmarkStart w:id="149" w:name="_Toc32497163"/>
      <w:r>
        <w:rPr>
          <w:rStyle w:val="CharSectno"/>
        </w:rPr>
        <w:t>110</w:t>
      </w:r>
      <w:r>
        <w:rPr>
          <w:snapToGrid w:val="0"/>
        </w:rPr>
        <w:t>.</w:t>
      </w:r>
      <w:r>
        <w:rPr>
          <w:snapToGrid w:val="0"/>
        </w:rPr>
        <w:tab/>
        <w:t>Gambling on premises licensed for retail sale of liquor</w:t>
      </w:r>
      <w:bookmarkEnd w:id="149"/>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 or</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[Section 110 amended: No. 125 of 1987 s. 33; No. 16 of 1990 s. 33; No. 24 of 1998 s. 69; No. 35 of 2003 s. 162 and 166; No. 73 of 2006 s. 114.]</w:t>
      </w:r>
    </w:p>
    <w:p>
      <w:pPr>
        <w:pStyle w:val="Heading5"/>
      </w:pPr>
      <w:bookmarkStart w:id="150" w:name="_Toc32497164"/>
      <w:r>
        <w:rPr>
          <w:rStyle w:val="CharSectno"/>
        </w:rPr>
        <w:t>110A</w:t>
      </w:r>
      <w:r>
        <w:t>.</w:t>
      </w:r>
      <w:r>
        <w:tab/>
        <w:t>Sports Wagering Account</w:t>
      </w:r>
      <w:bookmarkEnd w:id="150"/>
    </w:p>
    <w:p>
      <w:pPr>
        <w:pStyle w:val="Subsection"/>
      </w:pPr>
      <w:r>
        <w:tab/>
        <w:t>(1)</w:t>
      </w:r>
      <w:r>
        <w:tab/>
        <w:t>An account called the Sports Wagering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of the RWWA Act are to be credited.</w:t>
      </w:r>
    </w:p>
    <w:p>
      <w:pPr>
        <w:pStyle w:val="Ednotesubsection"/>
      </w:pPr>
      <w:r>
        <w:tab/>
        <w:t>[(2)</w:t>
      </w:r>
      <w:r>
        <w:tab/>
        <w:t>deleted]</w:t>
      </w:r>
    </w:p>
    <w:p>
      <w:pPr>
        <w:pStyle w:val="Subsection"/>
      </w:pPr>
      <w:r>
        <w:tab/>
        <w:t>(3)</w:t>
      </w:r>
      <w:r>
        <w:tab/>
        <w:t>The Sports Wagering Account shall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The Commission shall, at quarterly intervals, notify the Minister of the Crown responsible for sport and recreation of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The Commission on being directed by the Minister of the Crown responsible for sport and recreation, shall distribute the moneys referred to in subsection (1) and the moneys from time to time standing to the credit of the Sports Wagering Account —</w:t>
      </w:r>
    </w:p>
    <w:p>
      <w:pPr>
        <w:pStyle w:val="Indenta"/>
      </w:pPr>
      <w:r>
        <w:tab/>
        <w:t>(a)</w:t>
      </w:r>
      <w:r>
        <w:tab/>
        <w:t>to the persons or bodies of persons; and</w:t>
      </w:r>
    </w:p>
    <w:p>
      <w:pPr>
        <w:pStyle w:val="Indenta"/>
      </w:pPr>
      <w:r>
        <w:tab/>
        <w:t>(b)</w:t>
      </w:r>
      <w:r>
        <w:tab/>
        <w:t>for the purposes; and</w:t>
      </w:r>
    </w:p>
    <w:p>
      <w:pPr>
        <w:pStyle w:val="Indenta"/>
        <w:keepNext/>
      </w:pPr>
      <w:r>
        <w:tab/>
        <w:t>(c)</w:t>
      </w:r>
      <w:r>
        <w:tab/>
        <w:t>in the respective amounts,</w:t>
      </w:r>
    </w:p>
    <w:p>
      <w:pPr>
        <w:pStyle w:val="Subsection"/>
      </w:pPr>
      <w:r>
        <w:tab/>
      </w:r>
      <w:r>
        <w:tab/>
        <w:t>directed by that Minister.</w:t>
      </w:r>
    </w:p>
    <w:p>
      <w:pPr>
        <w:pStyle w:val="Footnotesection"/>
      </w:pPr>
      <w:r>
        <w:tab/>
        <w:t>[Section 110A inserted: No. 35 of 2003 s. 163; amended: No. 28 of 2006 s. 403; No. 77 of 2006 Sch. 1 cl. 71(8); No. 37 of 2018 s. 66.]</w:t>
      </w:r>
    </w:p>
    <w:p>
      <w:pPr>
        <w:pStyle w:val="Heading5"/>
      </w:pPr>
      <w:bookmarkStart w:id="151" w:name="_Toc32497165"/>
      <w:r>
        <w:rPr>
          <w:rStyle w:val="CharSectno"/>
        </w:rPr>
        <w:t>110B</w:t>
      </w:r>
      <w:r>
        <w:t>.</w:t>
      </w:r>
      <w:r>
        <w:tab/>
        <w:t>Racing Bets Levy Account</w:t>
      </w:r>
      <w:bookmarkEnd w:id="151"/>
    </w:p>
    <w:p>
      <w:pPr>
        <w:pStyle w:val="Subsection"/>
      </w:pPr>
      <w:r>
        <w:tab/>
        <w:t>(1)</w:t>
      </w:r>
      <w:r>
        <w:tab/>
        <w:t>An account called the Racing Bets Levy Account is to be established —</w:t>
      </w:r>
    </w:p>
    <w:p>
      <w:pPr>
        <w:pStyle w:val="Indenta"/>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 xml:space="preserve">to which the Commission must credit moneys paid to or recovered by the Commission under the </w:t>
      </w:r>
      <w:r>
        <w:rPr>
          <w:i/>
        </w:rPr>
        <w:t>Betting Control Act 1954</w:t>
      </w:r>
      <w:r>
        <w:t xml:space="preserve"> section 14A.</w:t>
      </w:r>
    </w:p>
    <w:p>
      <w:pPr>
        <w:pStyle w:val="Subsection"/>
      </w:pPr>
      <w:r>
        <w:tab/>
        <w:t>(2)</w:t>
      </w:r>
      <w:r>
        <w:tab/>
        <w:t>The Racing Bets Levy Account is to be administered by the Commission.</w:t>
      </w:r>
    </w:p>
    <w:p>
      <w:pPr>
        <w:pStyle w:val="Subsection"/>
      </w:pPr>
      <w:r>
        <w:tab/>
        <w:t>(3)</w:t>
      </w:r>
      <w:r>
        <w:tab/>
        <w:t>The Racing Bets Levy Account is to be applied for the purpose of the payment of the outgoings and expenses referred to in subsection (4)(a).</w:t>
      </w:r>
    </w:p>
    <w:p>
      <w:pPr>
        <w:pStyle w:val="Subsection"/>
      </w:pPr>
      <w:r>
        <w:tab/>
        <w:t>(4)</w:t>
      </w:r>
      <w:r>
        <w:tab/>
        <w:t>The Commission is to —</w:t>
      </w:r>
    </w:p>
    <w:p>
      <w:pPr>
        <w:pStyle w:val="Indenta"/>
      </w:pPr>
      <w:r>
        <w:tab/>
        <w:t>(a)</w:t>
      </w:r>
      <w:r>
        <w:tab/>
        <w:t>withdraw from the Racing Bets Levy Account, at monthly intervals, a sum approved by the Minister for outgoings and expenses incurred by the Commission in administering the Account; and</w:t>
      </w:r>
    </w:p>
    <w:p>
      <w:pPr>
        <w:pStyle w:val="Indenta"/>
      </w:pPr>
      <w:r>
        <w:tab/>
        <w:t>(b)</w:t>
      </w:r>
      <w:r>
        <w:tab/>
        <w:t>pay or credit, at prescribed intervals, the balance of that Account in accordance with this section.</w:t>
      </w:r>
    </w:p>
    <w:p>
      <w:pPr>
        <w:pStyle w:val="Subsection"/>
      </w:pPr>
      <w:r>
        <w:tab/>
        <w:t>(5)</w:t>
      </w:r>
      <w:r>
        <w:tab/>
        <w:t>The balance of the Racing Bets Levy Account is to be paid or credited to RWWA or paid or credited by the Commission, in such amounts as it determines, to the following —</w:t>
      </w:r>
    </w:p>
    <w:p>
      <w:pPr>
        <w:pStyle w:val="Indenta"/>
        <w:spacing w:before="60"/>
      </w:pPr>
      <w:r>
        <w:tab/>
        <w:t>(a)</w:t>
      </w:r>
      <w:r>
        <w:tab/>
        <w:t>thoroughbred racing clubs registered with RWWA;</w:t>
      </w:r>
    </w:p>
    <w:p>
      <w:pPr>
        <w:pStyle w:val="Indenta"/>
        <w:spacing w:before="60"/>
      </w:pPr>
      <w:r>
        <w:tab/>
        <w:t>(b)</w:t>
      </w:r>
      <w:r>
        <w:tab/>
        <w:t>harness racing clubs registered with RWWA;</w:t>
      </w:r>
    </w:p>
    <w:p>
      <w:pPr>
        <w:pStyle w:val="Indenta"/>
        <w:spacing w:before="60"/>
      </w:pPr>
      <w:r>
        <w:tab/>
        <w:t>(c)</w:t>
      </w:r>
      <w:r>
        <w:tab/>
        <w:t>greyhound racing clubs registered with RWWA.</w:t>
      </w:r>
    </w:p>
    <w:p>
      <w:pPr>
        <w:pStyle w:val="Footnotesection"/>
      </w:pPr>
      <w:r>
        <w:tab/>
        <w:t>[Section 110B inserted: No. 29 of 2009 s. 20.]</w:t>
      </w:r>
    </w:p>
    <w:p>
      <w:pPr>
        <w:pStyle w:val="Heading5"/>
        <w:spacing w:before="200"/>
        <w:rPr>
          <w:snapToGrid w:val="0"/>
        </w:rPr>
      </w:pPr>
      <w:bookmarkStart w:id="152" w:name="_Toc32497166"/>
      <w:r>
        <w:rPr>
          <w:rStyle w:val="CharSectno"/>
        </w:rPr>
        <w:t>111</w:t>
      </w:r>
      <w:r>
        <w:rPr>
          <w:snapToGrid w:val="0"/>
        </w:rPr>
        <w:t>.</w:t>
      </w:r>
      <w:r>
        <w:rPr>
          <w:snapToGrid w:val="0"/>
        </w:rPr>
        <w:tab/>
        <w:t>Burswood Casino Agreement cl. 22, when Commission may decide questions as to</w:t>
      </w:r>
      <w:bookmarkEnd w:id="152"/>
    </w:p>
    <w:p>
      <w:pPr>
        <w:pStyle w:val="Subsection"/>
        <w:spacing w:before="100"/>
        <w:rPr>
          <w:snapToGrid w:val="0"/>
        </w:rPr>
      </w:pPr>
      <w:r>
        <w:rPr>
          <w:snapToGrid w:val="0"/>
        </w:rPr>
        <w:tab/>
      </w:r>
      <w:r>
        <w:rPr>
          <w:snapToGrid w:val="0"/>
        </w:rPr>
        <w:tab/>
        <w:t xml:space="preserve">In </w:t>
      </w:r>
      <w:r>
        <w:t>relation</w:t>
      </w:r>
      <w:r>
        <w:rPr>
          <w:snapToGrid w:val="0"/>
        </w:rPr>
        <w:t xml:space="preserve">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w:t>
      </w:r>
    </w:p>
    <w:p>
      <w:pPr>
        <w:pStyle w:val="Indenta"/>
        <w:spacing w:before="60"/>
        <w:rPr>
          <w:snapToGrid w:val="0"/>
        </w:rPr>
      </w:pPr>
      <w:r>
        <w:rPr>
          <w:snapToGrid w:val="0"/>
        </w:rPr>
        <w:tab/>
        <w:t>(a)</w:t>
      </w:r>
      <w:r>
        <w:rPr>
          <w:snapToGrid w:val="0"/>
        </w:rPr>
        <w:tab/>
        <w:t>the Trustee referred to in that Agreement; or</w:t>
      </w:r>
    </w:p>
    <w:p>
      <w:pPr>
        <w:pStyle w:val="Indenta"/>
        <w:spacing w:before="60"/>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spacing w:before="200"/>
        <w:rPr>
          <w:snapToGrid w:val="0"/>
        </w:rPr>
      </w:pPr>
      <w:bookmarkStart w:id="153" w:name="_Toc32497167"/>
      <w:r>
        <w:rPr>
          <w:rStyle w:val="CharSectno"/>
        </w:rPr>
        <w:t>112</w:t>
      </w:r>
      <w:r>
        <w:rPr>
          <w:snapToGrid w:val="0"/>
        </w:rPr>
        <w:t>.</w:t>
      </w:r>
      <w:r>
        <w:rPr>
          <w:snapToGrid w:val="0"/>
        </w:rPr>
        <w:tab/>
        <w:t xml:space="preserve">Transitional provisions as to </w:t>
      </w:r>
      <w:r>
        <w:rPr>
          <w:i/>
          <w:snapToGrid w:val="0"/>
        </w:rPr>
        <w:t>Casino Control Act 1984</w:t>
      </w:r>
      <w:bookmarkEnd w:id="153"/>
    </w:p>
    <w:p>
      <w:pPr>
        <w:pStyle w:val="Subsection"/>
        <w:spacing w:before="100"/>
        <w:rPr>
          <w:snapToGrid w:val="0"/>
        </w:rPr>
      </w:pPr>
      <w:r>
        <w:rPr>
          <w:snapToGrid w:val="0"/>
        </w:rPr>
        <w:tab/>
        <w:t>(1)</w:t>
      </w:r>
      <w:r>
        <w:rPr>
          <w:snapToGrid w:val="0"/>
        </w:rPr>
        <w:tab/>
        <w:t xml:space="preserve">On and </w:t>
      </w:r>
      <w:r>
        <w:t>after</w:t>
      </w:r>
      <w:r>
        <w:rPr>
          <w:snapToGrid w:val="0"/>
        </w:rPr>
        <w:t xml:space="preserve">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spacing w:before="100"/>
        <w:rPr>
          <w:snapToGrid w:val="0"/>
        </w:rPr>
      </w:pPr>
      <w:r>
        <w:rPr>
          <w:snapToGrid w:val="0"/>
        </w:rPr>
        <w:tab/>
        <w:t>(2)</w:t>
      </w:r>
      <w:r>
        <w:rPr>
          <w:snapToGrid w:val="0"/>
        </w:rPr>
        <w:tab/>
        <w:t xml:space="preserve">A </w:t>
      </w:r>
      <w:r>
        <w:t>reference</w:t>
      </w:r>
      <w:r>
        <w:rPr>
          <w:snapToGrid w:val="0"/>
        </w:rPr>
        <w:t xml:space="preserve"> to the Casino Control Committee —</w:t>
      </w:r>
    </w:p>
    <w:p>
      <w:pPr>
        <w:pStyle w:val="Indenta"/>
        <w:spacing w:before="60"/>
        <w:rPr>
          <w:snapToGrid w:val="0"/>
        </w:rPr>
      </w:pPr>
      <w:r>
        <w:rPr>
          <w:snapToGrid w:val="0"/>
        </w:rPr>
        <w:tab/>
        <w:t>(a)</w:t>
      </w:r>
      <w:r>
        <w:rPr>
          <w:snapToGrid w:val="0"/>
        </w:rPr>
        <w:tab/>
        <w:t>in any written law passed or made; or</w:t>
      </w:r>
    </w:p>
    <w:p>
      <w:pPr>
        <w:pStyle w:val="Indenta"/>
        <w:spacing w:before="60"/>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keepNext/>
        <w:spacing w:before="100"/>
        <w:rPr>
          <w:snapToGrid w:val="0"/>
        </w:rPr>
      </w:pPr>
      <w:r>
        <w:rPr>
          <w:snapToGrid w:val="0"/>
        </w:rPr>
        <w:tab/>
      </w:r>
      <w:r>
        <w:rPr>
          <w:snapToGrid w:val="0"/>
        </w:rPr>
        <w:tab/>
        <w:t xml:space="preserve">before the </w:t>
      </w:r>
      <w:r>
        <w:t>coming</w:t>
      </w:r>
      <w:r>
        <w:rPr>
          <w:snapToGrid w:val="0"/>
        </w:rPr>
        <w:t xml:space="preserve"> into operation of section 4 shall, unless the context is such that it would be inappropriate so to do, be read and construed as a reference to the Commission.</w:t>
      </w:r>
    </w:p>
    <w:p>
      <w:pPr>
        <w:pStyle w:val="Footnotesection"/>
      </w:pPr>
      <w:r>
        <w:tab/>
        <w:t>[Section 112 amended: No. 24 of 1998 s. 70.]</w:t>
      </w:r>
    </w:p>
    <w:p>
      <w:pPr>
        <w:pStyle w:val="Ednotesection"/>
      </w:pPr>
      <w:r>
        <w:t>[</w:t>
      </w:r>
      <w:r>
        <w:rPr>
          <w:b/>
        </w:rPr>
        <w:t>113.</w:t>
      </w:r>
      <w:r>
        <w:tab/>
        <w:t>Deleted: No. 16 of 1990 s. 33.]</w:t>
      </w:r>
    </w:p>
    <w:p>
      <w:pPr>
        <w:pStyle w:val="Ednotesection"/>
        <w:keepNext/>
      </w:pPr>
      <w:r>
        <w:t>[</w:t>
      </w:r>
      <w:r>
        <w:rPr>
          <w:b/>
        </w:rPr>
        <w:t>114.</w:t>
      </w:r>
      <w:r>
        <w:tab/>
        <w:t>Deleted: No. 24 of 1998 s. 71.]</w:t>
      </w:r>
    </w:p>
    <w:p>
      <w:pPr>
        <w:pStyle w:val="Ednotesection"/>
        <w:keepNext/>
      </w:pPr>
      <w:r>
        <w:t>[</w:t>
      </w:r>
      <w:r>
        <w:rPr>
          <w:b/>
        </w:rPr>
        <w:t>115.</w:t>
      </w:r>
      <w:r>
        <w:tab/>
        <w:t>Deleted: No. 35 of 2003 s. 164.]</w:t>
      </w:r>
    </w:p>
    <w:p>
      <w:pPr>
        <w:pStyle w:val="Ednotesection"/>
      </w:pPr>
      <w:r>
        <w:t>[</w:t>
      </w:r>
      <w:r>
        <w:rPr>
          <w:b/>
          <w:bCs/>
        </w:rPr>
        <w:t>116.</w:t>
      </w:r>
      <w:r>
        <w:tab/>
        <w:t>Omitted under the Reprints Act 1984 s. 7(4)(e).]</w:t>
      </w:r>
    </w:p>
    <w:p>
      <w:pPr>
        <w:pStyle w:val="Heading5"/>
        <w:rPr>
          <w:snapToGrid w:val="0"/>
        </w:rPr>
      </w:pPr>
      <w:bookmarkStart w:id="154" w:name="_Toc32497168"/>
      <w:r>
        <w:rPr>
          <w:rStyle w:val="CharSectno"/>
        </w:rPr>
        <w:t>117</w:t>
      </w:r>
      <w:r>
        <w:rPr>
          <w:snapToGrid w:val="0"/>
        </w:rPr>
        <w:t>.</w:t>
      </w:r>
      <w:r>
        <w:rPr>
          <w:snapToGrid w:val="0"/>
        </w:rPr>
        <w:tab/>
        <w:t>Regulations</w:t>
      </w:r>
      <w:bookmarkEnd w:id="154"/>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for securing that gaming in respect of which a permit is for the time being in force is fairly and properly conducted; and</w:t>
      </w:r>
    </w:p>
    <w:p>
      <w:pPr>
        <w:pStyle w:val="Indenta"/>
        <w:rPr>
          <w:snapToGrid w:val="0"/>
        </w:rPr>
      </w:pPr>
      <w:r>
        <w:rPr>
          <w:snapToGrid w:val="0"/>
        </w:rPr>
        <w:tab/>
        <w:t>(b)</w:t>
      </w:r>
      <w:r>
        <w:rPr>
          <w:snapToGrid w:val="0"/>
        </w:rPr>
        <w:tab/>
        <w:t>for the prevention of fraud, cheating or corruption; and</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 and</w:t>
      </w:r>
    </w:p>
    <w:p>
      <w:pPr>
        <w:pStyle w:val="Indenta"/>
      </w:pPr>
      <w:r>
        <w:tab/>
        <w:t>(e)</w:t>
      </w:r>
      <w:r>
        <w:tab/>
        <w:t>for regulating (including prohibiting advertisements of a type that are not in the public interest) the content of advertisements that convey, or are likely to be understood as conveying, the existence (in this State or elsewhere) of —</w:t>
      </w:r>
    </w:p>
    <w:p>
      <w:pPr>
        <w:pStyle w:val="Indenti"/>
      </w:pPr>
      <w:r>
        <w:tab/>
        <w:t>(i)</w:t>
      </w:r>
      <w:r>
        <w:tab/>
        <w:t>a person referred to in section 43A(3)(a) to (da); or</w:t>
      </w:r>
    </w:p>
    <w:p>
      <w:pPr>
        <w:pStyle w:val="Indenti"/>
        <w:keepNext/>
      </w:pPr>
      <w:r>
        <w:tab/>
        <w:t>(ii)</w:t>
      </w:r>
      <w:r>
        <w:tab/>
        <w:t>a person or class of person prescribed under section 43A(3)(d).</w:t>
      </w:r>
    </w:p>
    <w:p>
      <w:pPr>
        <w:pStyle w:val="Footnotesection"/>
      </w:pPr>
      <w:r>
        <w:tab/>
        <w:t>[Section 117 amended: No. 35 of 2003 s. 165; No. 29 of 2009 s. 21.]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55" w:name="_Toc32497169"/>
      <w:r>
        <w:t>Notes</w:t>
      </w:r>
      <w:bookmarkEnd w:id="155"/>
    </w:p>
    <w:p>
      <w:pPr>
        <w:pStyle w:val="nStatement"/>
      </w:pPr>
      <w:r>
        <w:t xml:space="preserve">This is a compilation of the </w:t>
      </w:r>
      <w:r>
        <w:rPr>
          <w:i/>
          <w:noProof/>
        </w:rPr>
        <w:t>Gaming and Wagering Commission Act 1987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56" w:name="_Toc32497170"/>
      <w:r>
        <w:t>Compilation table</w:t>
      </w:r>
      <w:bookmarkEnd w:id="15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1134"/>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pPr>
            <w:r>
              <w:rPr>
                <w:i/>
              </w:rPr>
              <w:t>Gaming Commission Act 1987</w:t>
            </w:r>
            <w:r>
              <w:rPr>
                <w:vertAlign w:val="superscript"/>
              </w:rPr>
              <w:t> 1</w:t>
            </w:r>
          </w:p>
        </w:tc>
        <w:tc>
          <w:tcPr>
            <w:tcW w:w="1134" w:type="dxa"/>
            <w:gridSpan w:val="2"/>
            <w:tcBorders>
              <w:top w:val="single" w:sz="8" w:space="0" w:color="auto"/>
            </w:tcBorders>
          </w:tcPr>
          <w:p>
            <w:pPr>
              <w:pStyle w:val="nTable"/>
              <w:spacing w:after="40"/>
            </w:pPr>
            <w:r>
              <w:t>50 of 1987</w:t>
            </w:r>
          </w:p>
        </w:tc>
        <w:tc>
          <w:tcPr>
            <w:tcW w:w="1134" w:type="dxa"/>
            <w:tcBorders>
              <w:top w:val="single" w:sz="8" w:space="0" w:color="auto"/>
            </w:tcBorders>
          </w:tcPr>
          <w:p>
            <w:pPr>
              <w:pStyle w:val="nTable"/>
              <w:spacing w:after="40"/>
            </w:pPr>
            <w:r>
              <w:t>8 Oct 1987</w:t>
            </w:r>
          </w:p>
        </w:tc>
        <w:tc>
          <w:tcPr>
            <w:tcW w:w="2552" w:type="dxa"/>
            <w:tcBorders>
              <w:top w:val="single" w:sz="8" w:space="0" w:color="auto"/>
            </w:tcBorders>
          </w:tcPr>
          <w:p>
            <w:pPr>
              <w:pStyle w:val="nTable"/>
              <w:spacing w:after="40"/>
            </w:pPr>
            <w:r>
              <w:rPr>
                <w:color w:val="000000"/>
              </w:rPr>
              <w:t>s. 1 and 2: 8 Oct 1987;</w:t>
            </w:r>
            <w:r>
              <w:rPr>
                <w:color w:val="000000"/>
              </w:rPr>
              <w:br/>
              <w:t xml:space="preserve">s. 3, Pt. II, V Div. 2 and s. 111, 112, 115-117: 4 Mar 1988 (see s. 2 and </w:t>
            </w:r>
            <w:r>
              <w:rPr>
                <w:i/>
                <w:iCs/>
                <w:color w:val="000000"/>
              </w:rPr>
              <w:t>Gazette</w:t>
            </w:r>
            <w:r>
              <w:rPr>
                <w:color w:val="000000"/>
              </w:rPr>
              <w:t xml:space="preserve"> 4 Mar 1988 p. 665);</w:t>
            </w:r>
            <w:r>
              <w:rPr>
                <w:color w:val="000000"/>
              </w:rPr>
              <w:br/>
              <w:t>Act other than Pt. I,  II, V Div. 2 and s. 111, 112 and</w:t>
            </w:r>
            <w:r>
              <w:rPr>
                <w:color w:val="000000"/>
              </w:rPr>
              <w:br/>
              <w:t xml:space="preserve">115-117: 2 May 1988 (see s. 2 and </w:t>
            </w:r>
            <w:r>
              <w:rPr>
                <w:i/>
                <w:iCs/>
                <w:color w:val="000000"/>
              </w:rPr>
              <w:t>Gazette</w:t>
            </w:r>
            <w:r>
              <w:rPr>
                <w:color w:val="000000"/>
              </w:rPr>
              <w:t xml:space="preserve"> 29 Apr 1988 p. 1291)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(Totalisator Agency Board Betting) Act 1987 </w:t>
            </w:r>
            <w:r>
              <w:t>Pt. III</w:t>
            </w:r>
          </w:p>
        </w:tc>
        <w:tc>
          <w:tcPr>
            <w:tcW w:w="1134" w:type="dxa"/>
            <w:gridSpan w:val="2"/>
          </w:tcPr>
          <w:p>
            <w:pPr>
              <w:pStyle w:val="nTable"/>
              <w:spacing w:after="40"/>
            </w:pPr>
            <w:r>
              <w:t>125 of 1987</w:t>
            </w:r>
          </w:p>
        </w:tc>
        <w:tc>
          <w:tcPr>
            <w:tcW w:w="1134" w:type="dxa"/>
          </w:tcPr>
          <w:p>
            <w:pPr>
              <w:pStyle w:val="nTable"/>
              <w:spacing w:after="40"/>
            </w:pPr>
            <w:r>
              <w:t>31 Dec 1987</w:t>
            </w:r>
          </w:p>
        </w:tc>
        <w:tc>
          <w:tcPr>
            <w:tcW w:w="2552" w:type="dxa"/>
          </w:tcPr>
          <w:p>
            <w:pPr>
              <w:pStyle w:val="nTable"/>
              <w:spacing w:after="40"/>
            </w:pPr>
            <w:r>
              <w:t xml:space="preserve">25 Mar 1988 (see s. 2 and </w:t>
            </w:r>
            <w:r>
              <w:rPr>
                <w:i/>
              </w:rPr>
              <w:t>Gazette</w:t>
            </w:r>
            <w:r>
              <w:t xml:space="preserve"> 25 Mar 1988 p. 933)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Lotteries Commission Act 1990 </w:t>
            </w:r>
            <w:r>
              <w:t>s. 31(3) and 33</w:t>
            </w:r>
          </w:p>
        </w:tc>
        <w:tc>
          <w:tcPr>
            <w:tcW w:w="1134" w:type="dxa"/>
            <w:gridSpan w:val="2"/>
          </w:tcPr>
          <w:p>
            <w:pPr>
              <w:pStyle w:val="nTable"/>
              <w:spacing w:after="40"/>
            </w:pPr>
            <w:r>
              <w:t>16 of 1990</w:t>
            </w:r>
          </w:p>
        </w:tc>
        <w:tc>
          <w:tcPr>
            <w:tcW w:w="1134" w:type="dxa"/>
          </w:tcPr>
          <w:p>
            <w:pPr>
              <w:pStyle w:val="nTable"/>
              <w:spacing w:after="40"/>
            </w:pPr>
            <w:r>
              <w:t>31 Jul 1990</w:t>
            </w:r>
          </w:p>
        </w:tc>
        <w:tc>
          <w:tcPr>
            <w:tcW w:w="2552" w:type="dxa"/>
          </w:tcPr>
          <w:p>
            <w:pPr>
              <w:pStyle w:val="nTable"/>
              <w:spacing w:after="40"/>
            </w:pPr>
            <w:r>
              <w:t xml:space="preserve">1 Jan 1991 (see s. 2 and </w:t>
            </w:r>
            <w:r>
              <w:rPr>
                <w:i/>
              </w:rPr>
              <w:t>Gazette</w:t>
            </w:r>
            <w:r>
              <w:t xml:space="preserve"> 28 Dec 1990 p. 6369)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Financial Administration Legislation Amendment Act 1993 </w:t>
            </w:r>
            <w:r>
              <w:t>s. 11 and 15</w:t>
            </w:r>
          </w:p>
        </w:tc>
        <w:tc>
          <w:tcPr>
            <w:tcW w:w="1134" w:type="dxa"/>
            <w:gridSpan w:val="2"/>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(Public Sector Management) Act 1994 </w:t>
            </w:r>
            <w:r>
              <w:t>s. 19</w:t>
            </w:r>
          </w:p>
        </w:tc>
        <w:tc>
          <w:tcPr>
            <w:tcW w:w="1134" w:type="dxa"/>
            <w:gridSpan w:val="2"/>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Sentencing (Consequential Provisions) Act 1995 </w:t>
            </w:r>
            <w:r>
              <w:t>s. 147</w:t>
            </w:r>
          </w:p>
        </w:tc>
        <w:tc>
          <w:tcPr>
            <w:tcW w:w="1134" w:type="dxa"/>
            <w:gridSpan w:val="2"/>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Financial Legislation Amendment Act 1996 </w:t>
            </w:r>
            <w:r>
              <w:t>s. 55 and 64</w:t>
            </w:r>
          </w:p>
        </w:tc>
        <w:tc>
          <w:tcPr>
            <w:tcW w:w="1134" w:type="dxa"/>
            <w:gridSpan w:val="2"/>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of the </w:t>
            </w:r>
            <w:r>
              <w:rPr>
                <w:b/>
                <w:bCs/>
                <w:i/>
                <w:iCs/>
              </w:rPr>
              <w:t>Gaming Commission Act 1987</w:t>
            </w:r>
            <w:r>
              <w:rPr>
                <w:b/>
                <w:bCs/>
              </w:rPr>
              <w:t xml:space="preserve"> as at 5 May 1997</w:t>
            </w:r>
            <w:r>
              <w:t xml:space="preserve"> (includes amendments listed above) (correction in </w:t>
            </w:r>
            <w:r>
              <w:rPr>
                <w:i/>
                <w:iCs/>
              </w:rPr>
              <w:t>Gazette</w:t>
            </w:r>
            <w:r>
              <w:t xml:space="preserve"> 6 Jun 1997 p. 2644)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 xml:space="preserve">Acts Amendment (Gaming) Act 1998 </w:t>
            </w:r>
            <w:r>
              <w:t>Pt. 3</w:t>
            </w:r>
            <w:r>
              <w:rPr>
                <w:vertAlign w:val="superscript"/>
              </w:rPr>
              <w:t> </w:t>
            </w:r>
          </w:p>
        </w:tc>
        <w:tc>
          <w:tcPr>
            <w:tcW w:w="1134" w:type="dxa"/>
            <w:gridSpan w:val="2"/>
          </w:tcPr>
          <w:p>
            <w:pPr>
              <w:pStyle w:val="nTable"/>
              <w:spacing w:after="40"/>
            </w:pPr>
            <w:r>
              <w:t>24 of 1998</w:t>
            </w:r>
          </w:p>
        </w:tc>
        <w:tc>
          <w:tcPr>
            <w:tcW w:w="1134" w:type="dxa"/>
          </w:tcPr>
          <w:p>
            <w:pPr>
              <w:pStyle w:val="nTable"/>
              <w:spacing w:after="40"/>
            </w:pPr>
            <w:r>
              <w:t>30 Jun 1998</w:t>
            </w:r>
          </w:p>
        </w:tc>
        <w:tc>
          <w:tcPr>
            <w:tcW w:w="2552" w:type="dxa"/>
          </w:tcPr>
          <w:p>
            <w:pPr>
              <w:pStyle w:val="nTable"/>
              <w:spacing w:after="40"/>
            </w:pPr>
            <w:r>
              <w:t xml:space="preserve">5 Aug 1998 (see s. 2 and </w:t>
            </w:r>
            <w:r>
              <w:rPr>
                <w:i/>
              </w:rPr>
              <w:t>Gazette</w:t>
            </w:r>
            <w:r>
              <w:t xml:space="preserve"> 4 Aug 1998 p. 3981)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Lotteries Commission Amendment Act 1998 </w:t>
            </w:r>
            <w:r>
              <w:t>s. 23</w:t>
            </w:r>
          </w:p>
        </w:tc>
        <w:tc>
          <w:tcPr>
            <w:tcW w:w="1134" w:type="dxa"/>
            <w:gridSpan w:val="2"/>
          </w:tcPr>
          <w:p>
            <w:pPr>
              <w:pStyle w:val="nTable"/>
              <w:spacing w:after="40"/>
            </w:pPr>
            <w:r>
              <w:t>26 of 1998</w:t>
            </w:r>
          </w:p>
        </w:tc>
        <w:tc>
          <w:tcPr>
            <w:tcW w:w="1134" w:type="dxa"/>
          </w:tcPr>
          <w:p>
            <w:pPr>
              <w:pStyle w:val="nTable"/>
              <w:spacing w:after="40"/>
            </w:pPr>
            <w:r>
              <w:t>30 Jun 1998</w:t>
            </w:r>
          </w:p>
        </w:tc>
        <w:tc>
          <w:tcPr>
            <w:tcW w:w="2552" w:type="dxa"/>
          </w:tcPr>
          <w:p>
            <w:pPr>
              <w:pStyle w:val="nTable"/>
              <w:spacing w:after="40"/>
            </w:pPr>
            <w:r>
              <w:t xml:space="preserve">22 Jul 1998 (see s. 2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of the </w:t>
            </w:r>
            <w:r>
              <w:rPr>
                <w:b/>
                <w:bCs/>
                <w:i/>
                <w:iCs/>
              </w:rPr>
              <w:t>Gaming Commission Act 1987</w:t>
            </w:r>
            <w:r>
              <w:rPr>
                <w:b/>
                <w:bCs/>
              </w:rPr>
              <w:t xml:space="preserve"> as at 30 Oct 1998</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tabs>
                <w:tab w:val="left" w:pos="1535"/>
              </w:tabs>
              <w:spacing w:after="40"/>
              <w:rPr>
                <w:vertAlign w:val="superscript"/>
              </w:rPr>
            </w:pPr>
            <w:r>
              <w:rPr>
                <w:i/>
              </w:rPr>
              <w:t xml:space="preserve">Acts Amendment (Continuing Lotteries) Act 2000 </w:t>
            </w:r>
            <w:r>
              <w:t>Pt. 3</w:t>
            </w:r>
            <w:r>
              <w:rPr>
                <w:vertAlign w:val="superscript"/>
              </w:rPr>
              <w:t> 2</w:t>
            </w:r>
          </w:p>
        </w:tc>
        <w:tc>
          <w:tcPr>
            <w:tcW w:w="1134" w:type="dxa"/>
            <w:gridSpan w:val="2"/>
          </w:tcPr>
          <w:p>
            <w:pPr>
              <w:pStyle w:val="nTable"/>
              <w:spacing w:after="40"/>
            </w:pPr>
            <w:r>
              <w:t>6 of 2000</w:t>
            </w:r>
            <w:r>
              <w:br/>
              <w:t>(as amended by No. 45 of 2002 s. 6)</w:t>
            </w:r>
          </w:p>
        </w:tc>
        <w:tc>
          <w:tcPr>
            <w:tcW w:w="1134" w:type="dxa"/>
          </w:tcPr>
          <w:p>
            <w:pPr>
              <w:pStyle w:val="nTable"/>
              <w:spacing w:after="40"/>
            </w:pPr>
            <w:r>
              <w:t>11 Apr 2000</w:t>
            </w:r>
          </w:p>
        </w:tc>
        <w:tc>
          <w:tcPr>
            <w:tcW w:w="2552" w:type="dxa"/>
          </w:tcPr>
          <w:p>
            <w:pPr>
              <w:pStyle w:val="nTable"/>
              <w:spacing w:after="40"/>
            </w:pPr>
            <w:r>
              <w:t xml:space="preserve">1 Jul 2000 (see s. 2 and </w:t>
            </w:r>
            <w:r>
              <w:rPr>
                <w:i/>
              </w:rPr>
              <w:t>Gazette</w:t>
            </w:r>
            <w:r>
              <w:t xml:space="preserve"> 23 Jun 2000 p. 3191)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Statutes (Repeals and Minor Amendments) Act 2000 </w:t>
            </w:r>
            <w:r>
              <w:t>s. 52</w:t>
            </w:r>
          </w:p>
        </w:tc>
        <w:tc>
          <w:tcPr>
            <w:tcW w:w="1134" w:type="dxa"/>
            <w:gridSpan w:val="2"/>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Corporations (Consequential Amendments) Act 2001</w:t>
            </w:r>
            <w:r>
              <w:t xml:space="preserve"> Pt. 27</w:t>
            </w:r>
          </w:p>
        </w:tc>
        <w:tc>
          <w:tcPr>
            <w:tcW w:w="1134" w:type="dxa"/>
            <w:gridSpan w:val="2"/>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Taxation Administration (Consequential Provisions) Act 2002 </w:t>
            </w:r>
            <w:r>
              <w:t>s. 13</w:t>
            </w:r>
          </w:p>
        </w:tc>
        <w:tc>
          <w:tcPr>
            <w:tcW w:w="1134" w:type="dxa"/>
            <w:gridSpan w:val="2"/>
          </w:tcPr>
          <w:p>
            <w:pPr>
              <w:pStyle w:val="nTable"/>
              <w:spacing w:after="40"/>
            </w:pPr>
            <w:r>
              <w:t>45 of 2002</w:t>
            </w:r>
          </w:p>
        </w:tc>
        <w:tc>
          <w:tcPr>
            <w:tcW w:w="1134"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Racing and Gambling Legislation Amendment and Repeal Act 2003</w:t>
            </w:r>
            <w:r>
              <w:t xml:space="preserve"> Pt. 9 Div. 1</w:t>
            </w:r>
            <w:r>
              <w:rPr>
                <w:vertAlign w:val="superscript"/>
              </w:rPr>
              <w:t> 3</w:t>
            </w:r>
          </w:p>
        </w:tc>
        <w:tc>
          <w:tcPr>
            <w:tcW w:w="1134" w:type="dxa"/>
            <w:gridSpan w:val="2"/>
          </w:tcPr>
          <w:p>
            <w:pPr>
              <w:pStyle w:val="nTable"/>
              <w:spacing w:after="40"/>
            </w:pPr>
            <w:r>
              <w:t>35 of 2003</w:t>
            </w:r>
          </w:p>
        </w:tc>
        <w:tc>
          <w:tcPr>
            <w:tcW w:w="1134" w:type="dxa"/>
          </w:tcPr>
          <w:p>
            <w:pPr>
              <w:pStyle w:val="nTable"/>
              <w:spacing w:after="40"/>
            </w:pPr>
            <w:r>
              <w:t>26 Jun 2003</w:t>
            </w:r>
          </w:p>
        </w:tc>
        <w:tc>
          <w:tcPr>
            <w:tcW w:w="2552" w:type="dxa"/>
          </w:tcPr>
          <w:p>
            <w:pPr>
              <w:pStyle w:val="nTable"/>
              <w:spacing w:after="40"/>
            </w:pPr>
            <w:r>
              <w:t>s. 132(1) and (2), 151</w:t>
            </w:r>
            <w:r>
              <w:noBreakHyphen/>
              <w:t>154, 163</w:t>
            </w:r>
            <w:r>
              <w:noBreakHyphen/>
              <w:t xml:space="preserve">164: 1 Aug 2003 (see s. 2 and </w:t>
            </w:r>
            <w:r>
              <w:rPr>
                <w:i/>
              </w:rPr>
              <w:t>Gazette</w:t>
            </w:r>
            <w:r>
              <w:t xml:space="preserve"> 29 Jul 2003 p. 3259);</w:t>
            </w:r>
            <w:r>
              <w:br/>
              <w:t>s. 120</w:t>
            </w:r>
            <w:r>
              <w:noBreakHyphen/>
              <w:t>131, 132(3), 133</w:t>
            </w:r>
            <w:r>
              <w:noBreakHyphen/>
              <w:t>150, 155</w:t>
            </w:r>
            <w:r>
              <w:noBreakHyphen/>
              <w:t>162 and 165</w:t>
            </w:r>
            <w:r>
              <w:noBreakHyphen/>
              <w:t xml:space="preserve">168: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Sentencing Legislation Amendment and Repeal Act 2003 </w:t>
            </w:r>
            <w:r>
              <w:t>s. 66</w:t>
            </w:r>
          </w:p>
        </w:tc>
        <w:tc>
          <w:tcPr>
            <w:tcW w:w="1134" w:type="dxa"/>
            <w:gridSpan w:val="2"/>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3: The </w:t>
            </w:r>
            <w:r>
              <w:rPr>
                <w:b/>
                <w:bCs/>
                <w:i/>
                <w:iCs/>
              </w:rPr>
              <w:t>Gaming and Wagering Commission Act 1987</w:t>
            </w:r>
            <w:r>
              <w:rPr>
                <w:b/>
                <w:bCs/>
              </w:rPr>
              <w:t xml:space="preserve"> as at 3 Sep 2004</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Courts Legislation Amendment and Repeal Act 2004</w:t>
            </w:r>
            <w:r>
              <w:rPr>
                <w:snapToGrid w:val="0"/>
              </w:rPr>
              <w:t xml:space="preserve"> s. 141</w:t>
            </w:r>
          </w:p>
        </w:tc>
        <w:tc>
          <w:tcPr>
            <w:tcW w:w="1134" w:type="dxa"/>
            <w:gridSpan w:val="2"/>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rPr>
                <w:snapToGrid w:val="0"/>
              </w:rPr>
              <w:t>23 Nov 2004</w:t>
            </w:r>
          </w:p>
        </w:tc>
        <w:tc>
          <w:tcPr>
            <w:tcW w:w="2552"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Borders>
              <w:top w:val="nil"/>
              <w:bottom w:val="nil"/>
            </w:tcBorders>
          </w:tcPr>
          <w:p>
            <w:pPr>
              <w:pStyle w:val="nTable"/>
              <w:spacing w:after="40"/>
              <w:rPr>
                <w:snapToGrid w:val="0"/>
              </w:rPr>
            </w:pPr>
            <w:r>
              <w:rPr>
                <w:snapToGrid w:val="0"/>
              </w:rPr>
              <w:t>70 of 2004</w:t>
            </w:r>
          </w:p>
        </w:tc>
        <w:tc>
          <w:tcPr>
            <w:tcW w:w="1134" w:type="dxa"/>
            <w:tcBorders>
              <w:top w:val="nil"/>
              <w:bottom w:val="nil"/>
            </w:tcBorders>
          </w:tcPr>
          <w:p>
            <w:pPr>
              <w:pStyle w:val="nTable"/>
              <w:spacing w:after="40"/>
              <w:rPr>
                <w:snapToGrid w:val="0"/>
              </w:rPr>
            </w:pPr>
            <w:r>
              <w:rPr>
                <w:snapToGrid w:val="0"/>
              </w:rPr>
              <w:t>8 Dec 2004</w:t>
            </w:r>
          </w:p>
        </w:tc>
        <w:tc>
          <w:tcPr>
            <w:tcW w:w="2552" w:type="dxa"/>
            <w:tcBorders>
              <w:top w:val="nil"/>
              <w:bottom w:val="nil"/>
            </w:tcBorders>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4" w:type="dxa"/>
            <w:gridSpan w:val="2"/>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gridSpan w:val="2"/>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 xml:space="preserve">Machinery of Government (Miscellaneous Amendments) Act 2006 </w:t>
            </w:r>
            <w:r>
              <w:rPr>
                <w:snapToGrid w:val="0"/>
              </w:rPr>
              <w:t>Pt. 16 Div. 1</w:t>
            </w:r>
          </w:p>
        </w:tc>
        <w:tc>
          <w:tcPr>
            <w:tcW w:w="1134" w:type="dxa"/>
            <w:gridSpan w:val="2"/>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rPr>
              <w:t xml:space="preserve">Reprint 4: The </w:t>
            </w:r>
            <w:r>
              <w:rPr>
                <w:b/>
                <w:bCs/>
                <w:i/>
                <w:iCs/>
              </w:rPr>
              <w:t>Gaming and Wagering Commission Act 1987</w:t>
            </w:r>
            <w:r>
              <w:rPr>
                <w:b/>
                <w:bCs/>
              </w:rPr>
              <w:t xml:space="preserve"> as at 18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Pt. 9</w:t>
            </w:r>
          </w:p>
        </w:tc>
        <w:tc>
          <w:tcPr>
            <w:tcW w:w="1134" w:type="dxa"/>
            <w:gridSpan w:val="2"/>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Betting and Racing Legislation Amendment Act 2006</w:t>
            </w:r>
            <w:r>
              <w:rPr>
                <w:iCs/>
                <w:snapToGrid w:val="0"/>
              </w:rPr>
              <w:t xml:space="preserve"> s. 9(2)</w:t>
            </w:r>
          </w:p>
        </w:tc>
        <w:tc>
          <w:tcPr>
            <w:tcW w:w="1134" w:type="dxa"/>
            <w:gridSpan w:val="2"/>
          </w:tcPr>
          <w:p>
            <w:pPr>
              <w:pStyle w:val="nTable"/>
              <w:spacing w:after="40"/>
              <w:rPr>
                <w:snapToGrid w:val="0"/>
              </w:rPr>
            </w:pPr>
            <w:r>
              <w:rPr>
                <w:snapToGrid w:val="0"/>
              </w:rPr>
              <w:t>70 of 2006</w:t>
            </w:r>
          </w:p>
        </w:tc>
        <w:tc>
          <w:tcPr>
            <w:tcW w:w="1134" w:type="dxa"/>
          </w:tcPr>
          <w:p>
            <w:pPr>
              <w:pStyle w:val="nTable"/>
              <w:spacing w:after="40"/>
            </w:pPr>
            <w:r>
              <w:t>13 Dec 2006</w:t>
            </w:r>
          </w:p>
        </w:tc>
        <w:tc>
          <w:tcPr>
            <w:tcW w:w="2552" w:type="dxa"/>
          </w:tcPr>
          <w:p>
            <w:pPr>
              <w:pStyle w:val="nTable"/>
              <w:spacing w:after="40"/>
              <w:rPr>
                <w:snapToGrid w:val="0"/>
              </w:rPr>
            </w:pPr>
            <w:r>
              <w:rPr>
                <w:snapToGrid w:val="0"/>
              </w:rPr>
              <w:t xml:space="preserve">9 Jul 2007 (see s. 2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 xml:space="preserve">Liquor and Gaming Legislation Amendment Act 2006 </w:t>
            </w:r>
            <w:r>
              <w:rPr>
                <w:snapToGrid w:val="0"/>
              </w:rPr>
              <w:t>Pt. 3 and s. 114</w:t>
            </w:r>
          </w:p>
        </w:tc>
        <w:tc>
          <w:tcPr>
            <w:tcW w:w="1134" w:type="dxa"/>
            <w:gridSpan w:val="2"/>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s. 114: 7 May 2007 (see s. 2(2) and </w:t>
            </w:r>
            <w:r>
              <w:rPr>
                <w:i/>
                <w:iCs/>
                <w:snapToGrid w:val="0"/>
              </w:rPr>
              <w:t xml:space="preserve">Gazette </w:t>
            </w:r>
            <w:r>
              <w:rPr>
                <w:snapToGrid w:val="0"/>
              </w:rPr>
              <w:t>1 May 2007 p. 1893);</w:t>
            </w:r>
            <w:r>
              <w:rPr>
                <w:snapToGrid w:val="0"/>
              </w:rPr>
              <w:br/>
              <w:t xml:space="preserve">Pt. 3: 14 Jun 2008 (see s. 2(2) and </w:t>
            </w:r>
            <w:r>
              <w:rPr>
                <w:i/>
                <w:iCs/>
                <w:snapToGrid w:val="0"/>
              </w:rPr>
              <w:t>Gazette</w:t>
            </w:r>
            <w:r>
              <w:rPr>
                <w:snapToGrid w:val="0"/>
              </w:rPr>
              <w:t xml:space="preserve"> 13 Jun 2008 p. 2515)</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and </w:t>
            </w:r>
            <w:r>
              <w:t>Sch. 1 cl. 71</w:t>
            </w:r>
          </w:p>
        </w:tc>
        <w:tc>
          <w:tcPr>
            <w:tcW w:w="1134" w:type="dxa"/>
            <w:gridSpan w:val="2"/>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Racing, Wagering and Betting Legislation Amendment and Repeal Act 2007 </w:t>
            </w:r>
            <w:r>
              <w:rPr>
                <w:iCs/>
                <w:snapToGrid w:val="0"/>
              </w:rPr>
              <w:t>Pt. 3</w:t>
            </w:r>
          </w:p>
        </w:tc>
        <w:tc>
          <w:tcPr>
            <w:tcW w:w="1134" w:type="dxa"/>
            <w:gridSpan w:val="2"/>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2" w:type="dxa"/>
          </w:tcPr>
          <w:p>
            <w:pPr>
              <w:pStyle w:val="nTable"/>
              <w:spacing w:after="40"/>
              <w:rPr>
                <w:snapToGrid w:val="0"/>
              </w:rPr>
            </w:pPr>
            <w:r>
              <w:rPr>
                <w:snapToGrid w:val="0"/>
              </w:rPr>
              <w:t>14 Jun 2007 (see s. 2)</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rPr>
              <w:t xml:space="preserve">Reprint 5: The </w:t>
            </w:r>
            <w:r>
              <w:rPr>
                <w:b/>
                <w:bCs/>
                <w:i/>
                <w:iCs/>
              </w:rPr>
              <w:t>Gaming and Wagering Commission Act 1987</w:t>
            </w:r>
            <w:r>
              <w:rPr>
                <w:b/>
                <w:bCs/>
              </w:rPr>
              <w:t xml:space="preserve"> as at 2 Nov 2007</w:t>
            </w:r>
            <w:r>
              <w:rPr>
                <w:b/>
                <w:bCs/>
              </w:rPr>
              <w:br/>
            </w:r>
            <w:r>
              <w:t xml:space="preserve">(includes amendments listed above except those in the </w:t>
            </w:r>
            <w:r>
              <w:rPr>
                <w:i/>
                <w:iCs/>
                <w:snapToGrid w:val="0"/>
              </w:rPr>
              <w:t xml:space="preserve">Liquor and Gaming Legislation Amendment Act 2006 </w:t>
            </w:r>
            <w:r>
              <w:rPr>
                <w:snapToGrid w:val="0"/>
              </w:rPr>
              <w:t>Pt. 3</w:t>
            </w:r>
            <w:r>
              <w:t>)</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rPr>
                <w:iCs/>
                <w:vertAlign w:val="superscript"/>
              </w:rPr>
            </w:pPr>
            <w:r>
              <w:rPr>
                <w:i/>
              </w:rPr>
              <w:t>Duties Legislation Amendment Act 2008</w:t>
            </w:r>
            <w:r>
              <w:rPr>
                <w:iCs/>
              </w:rPr>
              <w:t xml:space="preserve"> Sch. 1 cl. 9</w:t>
            </w:r>
          </w:p>
        </w:tc>
        <w:tc>
          <w:tcPr>
            <w:tcW w:w="1106"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iCs/>
              </w:rPr>
            </w:pPr>
            <w:r>
              <w:rPr>
                <w:i/>
              </w:rPr>
              <w:t>Statutes (Repeals and Miscellaneous Amendments) Act 2009</w:t>
            </w:r>
            <w:r>
              <w:rPr>
                <w:iCs/>
              </w:rPr>
              <w:t xml:space="preserve"> s. 63</w:t>
            </w:r>
          </w:p>
        </w:tc>
        <w:tc>
          <w:tcPr>
            <w:tcW w:w="1106"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i/>
              </w:rPr>
            </w:pPr>
            <w:r>
              <w:rPr>
                <w:i/>
                <w:iCs/>
                <w:snapToGrid w:val="0"/>
              </w:rPr>
              <w:t>Racing and Wagering Legislation Amendment Act 2009</w:t>
            </w:r>
            <w:r>
              <w:rPr>
                <w:iCs/>
                <w:snapToGrid w:val="0"/>
              </w:rPr>
              <w:t xml:space="preserve"> Pt. 3</w:t>
            </w:r>
          </w:p>
        </w:tc>
        <w:tc>
          <w:tcPr>
            <w:tcW w:w="1106" w:type="dxa"/>
          </w:tcPr>
          <w:p>
            <w:pPr>
              <w:pStyle w:val="nTable"/>
              <w:spacing w:after="40"/>
            </w:pPr>
            <w:r>
              <w:t>29 of 2009</w:t>
            </w:r>
          </w:p>
        </w:tc>
        <w:tc>
          <w:tcPr>
            <w:tcW w:w="1134" w:type="dxa"/>
          </w:tcPr>
          <w:p>
            <w:pPr>
              <w:pStyle w:val="nTable"/>
              <w:spacing w:after="40"/>
            </w:pPr>
            <w:r>
              <w:rPr>
                <w:snapToGrid w:val="0"/>
              </w:rPr>
              <w:t>23 Nov 2009</w:t>
            </w:r>
          </w:p>
        </w:tc>
        <w:tc>
          <w:tcPr>
            <w:tcW w:w="2552" w:type="dxa"/>
          </w:tcPr>
          <w:p>
            <w:pPr>
              <w:pStyle w:val="nTable"/>
              <w:spacing w:after="40"/>
            </w:pPr>
            <w:r>
              <w:t xml:space="preserve">11 Jan 2010 (see s. 2(b) and </w:t>
            </w:r>
            <w:r>
              <w:rPr>
                <w:i/>
                <w:iCs/>
              </w:rPr>
              <w:t>Gazette</w:t>
            </w:r>
            <w:r>
              <w:t xml:space="preserve"> 8 Jan 2010 p. 9-10)</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snapToGrid w:val="0"/>
              </w:rPr>
            </w:pPr>
            <w:r>
              <w:rPr>
                <w:i/>
                <w:snapToGrid w:val="0"/>
              </w:rPr>
              <w:t>Public Sector Reform Act 2010</w:t>
            </w:r>
            <w:r>
              <w:rPr>
                <w:iCs/>
                <w:snapToGrid w:val="0"/>
              </w:rPr>
              <w:t xml:space="preserve"> s. 89</w:t>
            </w:r>
          </w:p>
        </w:tc>
        <w:tc>
          <w:tcPr>
            <w:tcW w:w="1106" w:type="dxa"/>
          </w:tcPr>
          <w:p>
            <w:pPr>
              <w:pStyle w:val="nTable"/>
              <w:spacing w:after="40"/>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snapToGrid w:val="0"/>
              </w:rPr>
            </w:pPr>
            <w:r>
              <w:rPr>
                <w:i/>
                <w:snapToGrid w:val="0"/>
              </w:rPr>
              <w:t>Casino (Burswood Island) Agreement Amendment Act 2011</w:t>
            </w:r>
            <w:r>
              <w:rPr>
                <w:snapToGrid w:val="0"/>
              </w:rPr>
              <w:t xml:space="preserve"> Pt. 3</w:t>
            </w:r>
          </w:p>
        </w:tc>
        <w:tc>
          <w:tcPr>
            <w:tcW w:w="1106" w:type="dxa"/>
            <w:shd w:val="clear" w:color="auto" w:fill="auto"/>
          </w:tcPr>
          <w:p>
            <w:pPr>
              <w:pStyle w:val="nTable"/>
              <w:spacing w:after="40"/>
              <w:rPr>
                <w:snapToGrid w:val="0"/>
              </w:rPr>
            </w:pPr>
            <w:r>
              <w:rPr>
                <w:snapToGrid w:val="0"/>
              </w:rPr>
              <w:t>25 of 2011</w:t>
            </w:r>
          </w:p>
        </w:tc>
        <w:tc>
          <w:tcPr>
            <w:tcW w:w="1134" w:type="dxa"/>
            <w:shd w:val="clear" w:color="auto" w:fill="auto"/>
          </w:tcPr>
          <w:p>
            <w:pPr>
              <w:pStyle w:val="nTable"/>
              <w:spacing w:after="40"/>
              <w:rPr>
                <w:snapToGrid w:val="0"/>
              </w:rPr>
            </w:pPr>
            <w:r>
              <w:rPr>
                <w:snapToGrid w:val="0"/>
              </w:rPr>
              <w:t>11 Jul 2011</w:t>
            </w:r>
          </w:p>
        </w:tc>
        <w:tc>
          <w:tcPr>
            <w:tcW w:w="2552" w:type="dxa"/>
            <w:shd w:val="clear" w:color="auto" w:fill="auto"/>
          </w:tcPr>
          <w:p>
            <w:pPr>
              <w:pStyle w:val="nTable"/>
              <w:spacing w:after="40"/>
              <w:rPr>
                <w:snapToGrid w:val="0"/>
              </w:rPr>
            </w:pPr>
            <w:r>
              <w:rPr>
                <w:snapToGrid w:val="0"/>
              </w:rPr>
              <w:t>12 Jul 2011 (see s. 2(b))</w:t>
            </w:r>
          </w:p>
        </w:tc>
      </w:tr>
      <w:tr>
        <w:tblPrEx>
          <w:tblBorders>
            <w:top w:val="none" w:sz="0" w:space="0" w:color="auto"/>
            <w:bottom w:val="none" w:sz="0" w:space="0" w:color="auto"/>
            <w:insideH w:val="none" w:sz="0" w:space="0" w:color="auto"/>
          </w:tblBorders>
        </w:tblPrEx>
        <w:trPr>
          <w:cantSplit/>
        </w:trPr>
        <w:tc>
          <w:tcPr>
            <w:tcW w:w="7088" w:type="dxa"/>
            <w:gridSpan w:val="5"/>
            <w:shd w:val="clear" w:color="auto" w:fill="auto"/>
          </w:tcPr>
          <w:p>
            <w:pPr>
              <w:pStyle w:val="nTable"/>
              <w:spacing w:after="40"/>
              <w:rPr>
                <w:snapToGrid w:val="0"/>
              </w:rPr>
            </w:pPr>
            <w:r>
              <w:rPr>
                <w:b/>
                <w:bCs/>
              </w:rPr>
              <w:t xml:space="preserve">Reprint 6: The </w:t>
            </w:r>
            <w:r>
              <w:rPr>
                <w:b/>
                <w:bCs/>
                <w:i/>
                <w:iCs/>
              </w:rPr>
              <w:t>Gaming and Wagering Commission Act 1987</w:t>
            </w:r>
            <w:r>
              <w:rPr>
                <w:b/>
                <w:bCs/>
              </w:rPr>
              <w:t xml:space="preserve"> as at 16 Dec 2011</w:t>
            </w:r>
            <w:r>
              <w:rPr>
                <w:b/>
                <w:bCs/>
              </w:rPr>
              <w:br/>
            </w:r>
            <w:r>
              <w:t>(includes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296" w:type="dxa"/>
            <w:gridSpan w:val="2"/>
            <w:tcBorders>
              <w:top w:val="nil"/>
              <w:bottom w:val="nil"/>
            </w:tcBorders>
          </w:tcPr>
          <w:p>
            <w:pPr>
              <w:pStyle w:val="nTable"/>
              <w:spacing w:after="40"/>
              <w:rPr>
                <w:vertAlign w:val="superscript"/>
              </w:rPr>
            </w:pPr>
            <w:r>
              <w:rPr>
                <w:i/>
              </w:rPr>
              <w:t>Mental Health Legislation Amendment Act 2014</w:t>
            </w:r>
            <w:r>
              <w:t xml:space="preserve"> Pt. 4 Div. 4 Subdiv. 12</w:t>
            </w:r>
          </w:p>
        </w:tc>
        <w:tc>
          <w:tcPr>
            <w:tcW w:w="1106" w:type="dxa"/>
            <w:tcBorders>
              <w:top w:val="nil"/>
              <w:bottom w:val="nil"/>
            </w:tcBorders>
          </w:tcPr>
          <w:p>
            <w:pPr>
              <w:pStyle w:val="nTable"/>
              <w:spacing w:after="40"/>
              <w:rPr>
                <w:snapToGrid w:val="0"/>
              </w:rPr>
            </w:pPr>
            <w:r>
              <w:rPr>
                <w:snapToGrid w:val="0"/>
              </w:rPr>
              <w:t>25 of 2014</w:t>
            </w:r>
          </w:p>
        </w:tc>
        <w:tc>
          <w:tcPr>
            <w:tcW w:w="1134" w:type="dxa"/>
            <w:tcBorders>
              <w:top w:val="nil"/>
              <w:bottom w:val="nil"/>
            </w:tcBorders>
          </w:tcPr>
          <w:p>
            <w:pPr>
              <w:pStyle w:val="nTable"/>
              <w:spacing w:after="40"/>
              <w:rPr>
                <w:snapToGrid w:val="0"/>
              </w:rPr>
            </w:pPr>
            <w:r>
              <w:t>3 Nov 2014</w:t>
            </w:r>
          </w:p>
        </w:tc>
        <w:tc>
          <w:tcPr>
            <w:tcW w:w="2552"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snapToGrid w:val="0"/>
              </w:rPr>
            </w:pPr>
            <w:r>
              <w:rPr>
                <w:i/>
                <w:snapToGrid w:val="0"/>
              </w:rPr>
              <w:t>Corruption and Crime Commission Amendment (Misconduct) Act 2014</w:t>
            </w:r>
            <w:r>
              <w:rPr>
                <w:snapToGrid w:val="0"/>
              </w:rPr>
              <w:t xml:space="preserve"> s. 39</w:t>
            </w:r>
          </w:p>
        </w:tc>
        <w:tc>
          <w:tcPr>
            <w:tcW w:w="1106" w:type="dxa"/>
            <w:shd w:val="clear" w:color="auto" w:fill="auto"/>
          </w:tcPr>
          <w:p>
            <w:pPr>
              <w:pStyle w:val="nTable"/>
              <w:spacing w:after="40"/>
              <w:rPr>
                <w:snapToGrid w:val="0"/>
              </w:rPr>
            </w:pPr>
            <w:r>
              <w:rPr>
                <w:snapToGrid w:val="0"/>
              </w:rPr>
              <w:t>35 of 2014</w:t>
            </w:r>
          </w:p>
        </w:tc>
        <w:tc>
          <w:tcPr>
            <w:tcW w:w="1134" w:type="dxa"/>
            <w:shd w:val="clear" w:color="auto" w:fill="auto"/>
          </w:tcPr>
          <w:p>
            <w:pPr>
              <w:pStyle w:val="nTable"/>
              <w:spacing w:after="40"/>
              <w:rPr>
                <w:snapToGrid w:val="0"/>
              </w:rPr>
            </w:pPr>
            <w:r>
              <w:t>9 Dec 2014</w:t>
            </w:r>
          </w:p>
        </w:tc>
        <w:tc>
          <w:tcPr>
            <w:tcW w:w="2552"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snapToGrid w:val="0"/>
              </w:rPr>
            </w:pPr>
            <w:r>
              <w:rPr>
                <w:i/>
                <w:noProof/>
              </w:rPr>
              <w:t xml:space="preserve">Associations Incorporation Act 2015 </w:t>
            </w:r>
            <w:r>
              <w:rPr>
                <w:noProof/>
              </w:rPr>
              <w:t>s. 217</w:t>
            </w:r>
          </w:p>
        </w:tc>
        <w:tc>
          <w:tcPr>
            <w:tcW w:w="1106" w:type="dxa"/>
            <w:shd w:val="clear" w:color="auto" w:fill="auto"/>
          </w:tcPr>
          <w:p>
            <w:pPr>
              <w:pStyle w:val="nTable"/>
              <w:spacing w:after="40"/>
              <w:rPr>
                <w:snapToGrid w:val="0"/>
              </w:rPr>
            </w:pPr>
            <w:r>
              <w:t>30 of 2015</w:t>
            </w:r>
          </w:p>
        </w:tc>
        <w:tc>
          <w:tcPr>
            <w:tcW w:w="1134" w:type="dxa"/>
            <w:shd w:val="clear" w:color="auto" w:fill="auto"/>
          </w:tcPr>
          <w:p>
            <w:pPr>
              <w:pStyle w:val="nTable"/>
              <w:spacing w:after="40"/>
            </w:pPr>
            <w:r>
              <w:t>2 Nov 2015</w:t>
            </w:r>
          </w:p>
        </w:tc>
        <w:tc>
          <w:tcPr>
            <w:tcW w:w="2552" w:type="dxa"/>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r>
              <w:rPr>
                <w:snapToGrid w:val="0"/>
              </w:rPr>
              <w:noBreakHyphen/>
              <w:t>2)</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noProof/>
              </w:rPr>
            </w:pPr>
            <w:r>
              <w:rPr>
                <w:i/>
              </w:rPr>
              <w:t>Public Health (Consequential Provisions) Act 2016</w:t>
            </w:r>
            <w:r>
              <w:t xml:space="preserve"> s. 101</w:t>
            </w:r>
          </w:p>
        </w:tc>
        <w:tc>
          <w:tcPr>
            <w:tcW w:w="1106"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rPr>
            </w:pPr>
            <w:r>
              <w:rPr>
                <w:i/>
              </w:rPr>
              <w:t>Betting Tax Assessment Act 2018</w:t>
            </w:r>
            <w:r>
              <w:t xml:space="preserve"> Pt. 8 Div. 2 Subdiv. 2</w:t>
            </w:r>
          </w:p>
        </w:tc>
        <w:tc>
          <w:tcPr>
            <w:tcW w:w="1106" w:type="dxa"/>
            <w:shd w:val="clear" w:color="auto" w:fill="auto"/>
          </w:tcPr>
          <w:p>
            <w:pPr>
              <w:pStyle w:val="nTable"/>
              <w:spacing w:after="40"/>
            </w:pPr>
            <w:r>
              <w:t>37 of 2018</w:t>
            </w:r>
          </w:p>
        </w:tc>
        <w:tc>
          <w:tcPr>
            <w:tcW w:w="1134" w:type="dxa"/>
            <w:shd w:val="clear" w:color="auto" w:fill="auto"/>
          </w:tcPr>
          <w:p>
            <w:pPr>
              <w:pStyle w:val="nTable"/>
              <w:spacing w:after="40"/>
            </w:pPr>
            <w:r>
              <w:t>12 Dec 2018</w:t>
            </w:r>
          </w:p>
        </w:tc>
        <w:tc>
          <w:tcPr>
            <w:tcW w:w="2552" w:type="dxa"/>
            <w:shd w:val="clear" w:color="auto" w:fill="auto"/>
          </w:tcPr>
          <w:p>
            <w:pPr>
              <w:pStyle w:val="nTable"/>
              <w:spacing w:after="40"/>
              <w:rPr>
                <w:snapToGrid w:val="0"/>
              </w:rPr>
            </w:pPr>
            <w:r>
              <w:t xml:space="preserve">1 Feb 2019 (see s. 2(b) and </w:t>
            </w:r>
            <w:r>
              <w:rPr>
                <w:i/>
              </w:rPr>
              <w:t>Gazette</w:t>
            </w:r>
            <w:r>
              <w:t xml:space="preserve"> 25 Jan 2019 p. 193)</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rPr>
            </w:pPr>
            <w:r>
              <w:rPr>
                <w:i/>
              </w:rPr>
              <w:t>Gaming and Wagering Legislation Amendment Act 2018</w:t>
            </w:r>
            <w:r>
              <w:t xml:space="preserve"> Pt. 3</w:t>
            </w:r>
          </w:p>
        </w:tc>
        <w:tc>
          <w:tcPr>
            <w:tcW w:w="1106" w:type="dxa"/>
            <w:shd w:val="clear" w:color="auto" w:fill="auto"/>
          </w:tcPr>
          <w:p>
            <w:pPr>
              <w:pStyle w:val="nTable"/>
              <w:spacing w:after="40"/>
            </w:pPr>
            <w:r>
              <w:t>41 of 2018</w:t>
            </w:r>
          </w:p>
        </w:tc>
        <w:tc>
          <w:tcPr>
            <w:tcW w:w="1134" w:type="dxa"/>
            <w:shd w:val="clear" w:color="auto" w:fill="auto"/>
          </w:tcPr>
          <w:p>
            <w:pPr>
              <w:pStyle w:val="nTable"/>
              <w:spacing w:after="40"/>
            </w:pPr>
            <w:r>
              <w:t>12 Dec 2018</w:t>
            </w:r>
          </w:p>
        </w:tc>
        <w:tc>
          <w:tcPr>
            <w:tcW w:w="2552" w:type="dxa"/>
            <w:shd w:val="clear" w:color="auto" w:fill="auto"/>
          </w:tcPr>
          <w:p>
            <w:pPr>
              <w:pStyle w:val="nTable"/>
              <w:spacing w:after="40"/>
              <w:rPr>
                <w:b/>
                <w:snapToGrid w:val="0"/>
              </w:rPr>
            </w:pPr>
            <w:r>
              <w:t xml:space="preserve">1 Feb 2019 (see s. 2(b) and </w:t>
            </w:r>
            <w:r>
              <w:rPr>
                <w:i/>
              </w:rPr>
              <w:t>Gazette</w:t>
            </w:r>
            <w:r>
              <w:t xml:space="preserve"> 25 Jan 2019 p. 193</w:t>
            </w:r>
            <w:r>
              <w:noBreakHyphen/>
              <w:t>4)</w:t>
            </w:r>
          </w:p>
        </w:tc>
      </w:tr>
      <w:tr>
        <w:tblPrEx>
          <w:tblBorders>
            <w:top w:val="none" w:sz="0" w:space="0" w:color="auto"/>
            <w:bottom w:val="none" w:sz="0" w:space="0" w:color="auto"/>
            <w:insideH w:val="none" w:sz="0" w:space="0" w:color="auto"/>
          </w:tblBorders>
        </w:tblPrEx>
        <w:trPr>
          <w:cantSplit/>
        </w:trPr>
        <w:tc>
          <w:tcPr>
            <w:tcW w:w="2296" w:type="dxa"/>
            <w:gridSpan w:val="2"/>
            <w:tcBorders>
              <w:bottom w:val="single" w:sz="4" w:space="0" w:color="auto"/>
            </w:tcBorders>
            <w:shd w:val="clear" w:color="auto" w:fill="auto"/>
          </w:tcPr>
          <w:p>
            <w:pPr>
              <w:pStyle w:val="nTable"/>
              <w:spacing w:after="40"/>
              <w:ind w:right="113"/>
            </w:pPr>
            <w:r>
              <w:rPr>
                <w:i/>
              </w:rPr>
              <w:t xml:space="preserve">TAB (Disposal) Act 2019 </w:t>
            </w:r>
            <w:r>
              <w:t>s. 89(2) and 93</w:t>
            </w:r>
          </w:p>
        </w:tc>
        <w:tc>
          <w:tcPr>
            <w:tcW w:w="1106" w:type="dxa"/>
            <w:tcBorders>
              <w:bottom w:val="single" w:sz="4" w:space="0" w:color="auto"/>
            </w:tcBorders>
            <w:shd w:val="clear" w:color="auto" w:fill="auto"/>
          </w:tcPr>
          <w:p>
            <w:pPr>
              <w:pStyle w:val="nTable"/>
              <w:spacing w:after="40"/>
            </w:pPr>
            <w:r>
              <w:t>21 of 2019</w:t>
            </w:r>
          </w:p>
        </w:tc>
        <w:tc>
          <w:tcPr>
            <w:tcW w:w="1134" w:type="dxa"/>
            <w:tcBorders>
              <w:bottom w:val="single" w:sz="4" w:space="0" w:color="auto"/>
            </w:tcBorders>
            <w:shd w:val="clear" w:color="auto" w:fill="auto"/>
          </w:tcPr>
          <w:p>
            <w:pPr>
              <w:pStyle w:val="nTable"/>
              <w:spacing w:after="40"/>
            </w:pPr>
            <w:r>
              <w:t>18 Sep 2019</w:t>
            </w:r>
          </w:p>
        </w:tc>
        <w:tc>
          <w:tcPr>
            <w:tcW w:w="2552" w:type="dxa"/>
            <w:tcBorders>
              <w:bottom w:val="single" w:sz="4" w:space="0" w:color="auto"/>
            </w:tcBorders>
            <w:shd w:val="clear" w:color="auto" w:fill="auto"/>
          </w:tcPr>
          <w:p>
            <w:pPr>
              <w:pStyle w:val="nTable"/>
              <w:spacing w:after="40"/>
            </w:pPr>
            <w:r>
              <w:t>19 Sep 2019 (see s. 2(1)(c))</w:t>
            </w:r>
          </w:p>
        </w:tc>
      </w:tr>
    </w:tbl>
    <w:p>
      <w:pPr>
        <w:pStyle w:val="nHeading3"/>
      </w:pPr>
      <w:bookmarkStart w:id="157" w:name="_Toc32497171"/>
      <w:r>
        <w:t>Uncommenced provisions table</w:t>
      </w:r>
      <w:bookmarkEnd w:id="15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9"/>
        <w:gridCol w:w="1134"/>
        <w:gridCol w:w="9"/>
        <w:gridCol w:w="2543"/>
      </w:tblGrid>
      <w:tr>
        <w:trPr>
          <w:tblHeader/>
        </w:trPr>
        <w:tc>
          <w:tcPr>
            <w:tcW w:w="2268"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CellMar>
            <w:left w:w="57" w:type="dxa"/>
            <w:right w:w="57" w:type="dxa"/>
          </w:tblCellMar>
        </w:tblPrEx>
        <w:tc>
          <w:tcPr>
            <w:tcW w:w="2268" w:type="dxa"/>
            <w:tcBorders>
              <w:top w:val="single" w:sz="4" w:space="0" w:color="auto"/>
              <w:bottom w:val="nil"/>
            </w:tcBorders>
          </w:tcPr>
          <w:p>
            <w:pPr>
              <w:pStyle w:val="nTable"/>
              <w:spacing w:after="40"/>
              <w:rPr>
                <w:noProof/>
                <w:snapToGrid w:val="0"/>
              </w:rPr>
            </w:pPr>
            <w:r>
              <w:rPr>
                <w:i/>
              </w:rPr>
              <w:t>Public Health (Consequential Provisions) Act 2016</w:t>
            </w:r>
            <w:r>
              <w:t xml:space="preserve"> Pt. 5 Div. 8</w:t>
            </w:r>
          </w:p>
        </w:tc>
        <w:tc>
          <w:tcPr>
            <w:tcW w:w="1139" w:type="dxa"/>
            <w:tcBorders>
              <w:top w:val="single" w:sz="4" w:space="0" w:color="auto"/>
              <w:bottom w:val="nil"/>
            </w:tcBorders>
          </w:tcPr>
          <w:p>
            <w:pPr>
              <w:pStyle w:val="nTable"/>
              <w:spacing w:after="40"/>
            </w:pPr>
            <w:r>
              <w:t>19 of 2016</w:t>
            </w:r>
          </w:p>
        </w:tc>
        <w:tc>
          <w:tcPr>
            <w:tcW w:w="1143" w:type="dxa"/>
            <w:gridSpan w:val="2"/>
            <w:tcBorders>
              <w:top w:val="single" w:sz="4" w:space="0" w:color="auto"/>
              <w:bottom w:val="nil"/>
            </w:tcBorders>
          </w:tcPr>
          <w:p>
            <w:pPr>
              <w:pStyle w:val="nTable"/>
              <w:spacing w:after="40"/>
            </w:pPr>
            <w:r>
              <w:t>25 Jul 2016</w:t>
            </w:r>
          </w:p>
        </w:tc>
        <w:tc>
          <w:tcPr>
            <w:tcW w:w="2543" w:type="dxa"/>
            <w:tcBorders>
              <w:top w:val="single" w:sz="4" w:space="0" w:color="auto"/>
              <w:bottom w:val="nil"/>
            </w:tcBorders>
          </w:tcPr>
          <w:p>
            <w:pPr>
              <w:pStyle w:val="nTable"/>
              <w:spacing w:after="40"/>
              <w:rPr>
                <w:snapToGrid w:val="0"/>
              </w:rPr>
            </w:pPr>
            <w:r>
              <w:rPr>
                <w:snapToGrid w:val="0"/>
              </w:rPr>
              <w:t>To be proclaimed (see s. 2(1)(c))</w:t>
            </w:r>
          </w:p>
        </w:tc>
      </w:tr>
      <w:tr>
        <w:tblPrEx>
          <w:tblCellMar>
            <w:left w:w="57" w:type="dxa"/>
            <w:right w:w="57" w:type="dxa"/>
          </w:tblCellMar>
        </w:tblPrEx>
        <w:tc>
          <w:tcPr>
            <w:tcW w:w="2268" w:type="dxa"/>
            <w:tcBorders>
              <w:top w:val="nil"/>
              <w:bottom w:val="single" w:sz="4" w:space="0" w:color="auto"/>
            </w:tcBorders>
          </w:tcPr>
          <w:p>
            <w:pPr>
              <w:pStyle w:val="nTable"/>
              <w:spacing w:after="40"/>
              <w:rPr>
                <w:i/>
              </w:rPr>
            </w:pPr>
            <w:r>
              <w:rPr>
                <w:i/>
              </w:rPr>
              <w:t xml:space="preserve">TAB (Disposal) Act 2019 </w:t>
            </w:r>
            <w:r>
              <w:t>s. 86-88, 89(1), 90-92 and 94-104</w:t>
            </w:r>
          </w:p>
        </w:tc>
        <w:tc>
          <w:tcPr>
            <w:tcW w:w="1139" w:type="dxa"/>
            <w:tcBorders>
              <w:top w:val="nil"/>
              <w:bottom w:val="single" w:sz="4" w:space="0" w:color="auto"/>
            </w:tcBorders>
          </w:tcPr>
          <w:p>
            <w:pPr>
              <w:pStyle w:val="nTable"/>
              <w:spacing w:after="40"/>
            </w:pPr>
            <w:r>
              <w:t>21 of 2019</w:t>
            </w:r>
          </w:p>
        </w:tc>
        <w:tc>
          <w:tcPr>
            <w:tcW w:w="1143" w:type="dxa"/>
            <w:gridSpan w:val="2"/>
            <w:tcBorders>
              <w:top w:val="nil"/>
              <w:bottom w:val="single" w:sz="4" w:space="0" w:color="auto"/>
            </w:tcBorders>
          </w:tcPr>
          <w:p>
            <w:pPr>
              <w:pStyle w:val="nTable"/>
              <w:spacing w:after="40"/>
            </w:pPr>
            <w:r>
              <w:t>18 Sep 2019</w:t>
            </w:r>
          </w:p>
        </w:tc>
        <w:tc>
          <w:tcPr>
            <w:tcW w:w="2543" w:type="dxa"/>
            <w:tcBorders>
              <w:top w:val="nil"/>
              <w:bottom w:val="single" w:sz="4" w:space="0" w:color="auto"/>
            </w:tcBorders>
          </w:tcPr>
          <w:p>
            <w:pPr>
              <w:pStyle w:val="nTable"/>
              <w:spacing w:after="40"/>
              <w:rPr>
                <w:snapToGrid w:val="0"/>
              </w:rPr>
            </w:pPr>
            <w:r>
              <w:rPr>
                <w:snapToGrid w:val="0"/>
              </w:rPr>
              <w:t>To be proclaimed (see s. 2(1)(b) and (2))</w:t>
            </w:r>
          </w:p>
        </w:tc>
      </w:tr>
    </w:tbl>
    <w:p>
      <w:pPr>
        <w:pStyle w:val="nHeading3"/>
      </w:pPr>
      <w:bookmarkStart w:id="158" w:name="_Toc32497172"/>
      <w:r>
        <w:t>Other notes</w:t>
      </w:r>
      <w:bookmarkEnd w:id="158"/>
    </w:p>
    <w:p>
      <w:pPr>
        <w:pStyle w:val="nNote"/>
        <w:spacing w:before="140"/>
        <w:rPr>
          <w:snapToGrid w:val="0"/>
        </w:rPr>
      </w:pPr>
      <w:r>
        <w:rPr>
          <w:snapToGrid w:val="0"/>
          <w:vertAlign w:val="superscript"/>
        </w:rPr>
        <w:t>1</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Note"/>
        <w:spacing w:before="140"/>
        <w:ind w:left="426" w:hanging="426"/>
        <w:rPr>
          <w:snapToGrid w:val="0"/>
        </w:rPr>
      </w:pPr>
      <w:r>
        <w:rPr>
          <w:snapToGrid w:val="0"/>
          <w:vertAlign w:val="superscript"/>
        </w:rPr>
        <w:t>2</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i/>
          <w:snapToGrid w:val="0"/>
        </w:rPr>
        <w:t xml:space="preserve"> </w:t>
      </w:r>
      <w:r>
        <w:rPr>
          <w:i/>
          <w:iCs/>
          <w:snapToGrid w:val="0"/>
        </w:rPr>
        <w:t>Administration (Consequential Provisions) Act 2002</w:t>
      </w:r>
      <w:r>
        <w:rPr>
          <w:snapToGrid w:val="0"/>
        </w:rPr>
        <w:t xml:space="preserve"> s. 6) contains savings and transitional provisions.</w:t>
      </w:r>
    </w:p>
    <w:p>
      <w:pPr>
        <w:pStyle w:val="nNote"/>
        <w:keepNext/>
        <w:spacing w:before="140"/>
      </w:pPr>
      <w:r>
        <w:rPr>
          <w:vertAlign w:val="superscript"/>
        </w:rPr>
        <w:t>3</w:t>
      </w:r>
      <w:r>
        <w:tab/>
        <w:t xml:space="preserve">The </w:t>
      </w:r>
      <w:r>
        <w:rPr>
          <w:i/>
        </w:rPr>
        <w:t>Racing and Gambling Legislation Amendment and Repeal Act 2003</w:t>
      </w:r>
      <w:r>
        <w:t xml:space="preserve"> Pt. 9 Div. 2 reads as follows:</w:t>
      </w:r>
    </w:p>
    <w:p>
      <w:pPr>
        <w:pStyle w:val="BlankOpen"/>
      </w:pP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160"/>
      </w:pPr>
      <w:r>
        <w:rPr>
          <w:rStyle w:val="CharSectno"/>
        </w:rPr>
        <w:t>169</w:t>
      </w:r>
      <w:r>
        <w:t>.</w:t>
      </w:r>
      <w:r>
        <w:tab/>
        <w:t>Gaming and Wagering Commission</w:t>
      </w:r>
    </w:p>
    <w:p>
      <w:pPr>
        <w:pStyle w:val="nzSubsection"/>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keepNext/>
        <w:keepLines/>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BlankClose"/>
      </w:pP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160" w:name="_Toc32497173"/>
      <w:r>
        <w:rPr>
          <w:sz w:val="28"/>
        </w:rPr>
        <w:t>Defined terms</w:t>
      </w:r>
      <w:bookmarkEnd w:id="1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member</w:t>
      </w:r>
      <w:r>
        <w:tab/>
        <w:t>109D(9)</w:t>
      </w:r>
    </w:p>
    <w:p>
      <w:pPr>
        <w:pStyle w:val="DefinedTerms"/>
      </w:pPr>
      <w:r>
        <w:t>approval</w:t>
      </w:r>
      <w:r>
        <w:tab/>
        <w:t>43A(4)</w:t>
      </w:r>
    </w:p>
    <w:p>
      <w:pPr>
        <w:pStyle w:val="DefinedTerms"/>
      </w:pPr>
      <w:r>
        <w:t>approved</w:t>
      </w:r>
      <w:r>
        <w:tab/>
        <w:t>3(1)</w:t>
      </w:r>
    </w:p>
    <w:p>
      <w:pPr>
        <w:pStyle w:val="DefinedTerms"/>
      </w:pPr>
      <w:r>
        <w:t>approved premises</w:t>
      </w:r>
      <w:r>
        <w:tab/>
        <w:t>3(1)</w:t>
      </w:r>
    </w:p>
    <w:p>
      <w:pPr>
        <w:pStyle w:val="DefinedTerms"/>
      </w:pPr>
      <w:r>
        <w:t>authorised officer</w:t>
      </w:r>
      <w:r>
        <w:tab/>
        <w:t>3(1)</w:t>
      </w:r>
    </w:p>
    <w:p>
      <w:pPr>
        <w:pStyle w:val="DefinedTerms"/>
      </w:pPr>
      <w:r>
        <w:t>authorised person</w:t>
      </w:r>
      <w:r>
        <w:tab/>
        <w:t>85(6)</w:t>
      </w:r>
    </w:p>
    <w:p>
      <w:pPr>
        <w:pStyle w:val="DefinedTerms"/>
      </w:pPr>
      <w:r>
        <w:t>banking day</w:t>
      </w:r>
      <w:r>
        <w:tab/>
        <w:t>63(4)</w:t>
      </w:r>
    </w:p>
    <w:p>
      <w:pPr>
        <w:pStyle w:val="DefinedTerms"/>
      </w:pPr>
      <w:r>
        <w:t>batch</w:t>
      </w:r>
      <w:r>
        <w:tab/>
        <w:t>101(1)</w:t>
      </w:r>
    </w:p>
    <w:p>
      <w:pPr>
        <w:pStyle w:val="DefinedTerms"/>
      </w:pPr>
      <w:r>
        <w:t>bingo</w:t>
      </w:r>
      <w:r>
        <w:tab/>
        <w:t>94(1)</w:t>
      </w:r>
    </w:p>
    <w:p>
      <w:pPr>
        <w:pStyle w:val="DefinedTerms"/>
      </w:pPr>
      <w:r>
        <w:t>books</w:t>
      </w:r>
      <w:r>
        <w:tab/>
        <w:t>3(1)</w:t>
      </w:r>
    </w:p>
    <w:p>
      <w:pPr>
        <w:pStyle w:val="DefinedTerms"/>
      </w:pPr>
      <w:r>
        <w:t>cards</w:t>
      </w:r>
      <w:r>
        <w:tab/>
        <w:t>94(2)</w:t>
      </w:r>
    </w:p>
    <w:p>
      <w:pPr>
        <w:pStyle w:val="DefinedTerms"/>
      </w:pPr>
      <w:r>
        <w:t>casino</w:t>
      </w:r>
      <w:r>
        <w:tab/>
        <w:t>3(1)</w:t>
      </w:r>
    </w:p>
    <w:p>
      <w:pPr>
        <w:pStyle w:val="DefinedTerms"/>
      </w:pPr>
      <w:r>
        <w:t>casino complex agreement</w:t>
      </w:r>
      <w:r>
        <w:tab/>
        <w:t>3(1)</w:t>
      </w:r>
    </w:p>
    <w:p>
      <w:pPr>
        <w:pStyle w:val="DefinedTerms"/>
      </w:pPr>
      <w:r>
        <w:t>certificate</w:t>
      </w:r>
      <w:r>
        <w:tab/>
        <w:t>3(1)</w:t>
      </w:r>
    </w:p>
    <w:p>
      <w:pPr>
        <w:pStyle w:val="DefinedTerms"/>
      </w:pPr>
      <w:r>
        <w:t>charitable organisation</w:t>
      </w:r>
      <w:r>
        <w:tab/>
        <w:t>94(1)</w:t>
      </w:r>
    </w:p>
    <w:p>
      <w:pPr>
        <w:pStyle w:val="DefinedTerms"/>
      </w:pPr>
      <w:r>
        <w:t>Chief Casino Officer</w:t>
      </w:r>
      <w:r>
        <w:tab/>
        <w:t>16(4)</w:t>
      </w:r>
    </w:p>
    <w:p>
      <w:pPr>
        <w:pStyle w:val="DefinedTerms"/>
      </w:pPr>
      <w:r>
        <w:t>closing date</w:t>
      </w:r>
      <w:r>
        <w:tab/>
        <w:t>101(1)</w:t>
      </w:r>
    </w:p>
    <w:p>
      <w:pPr>
        <w:pStyle w:val="DefinedTerms"/>
      </w:pPr>
      <w:r>
        <w:t>club</w:t>
      </w:r>
      <w:r>
        <w:tab/>
        <w:t>94(1)</w:t>
      </w:r>
    </w:p>
    <w:p>
      <w:pPr>
        <w:pStyle w:val="DefinedTerms"/>
      </w:pPr>
      <w:r>
        <w:t>Commission</w:t>
      </w:r>
      <w:r>
        <w:tab/>
        <w:t>3(1)</w:t>
      </w:r>
    </w:p>
    <w:p>
      <w:pPr>
        <w:pStyle w:val="DefinedTerms"/>
      </w:pPr>
      <w:r>
        <w:t>condition</w:t>
      </w:r>
      <w:r>
        <w:tab/>
        <w:t>3(1)</w:t>
      </w:r>
    </w:p>
    <w:p>
      <w:pPr>
        <w:pStyle w:val="DefinedTerms"/>
      </w:pPr>
      <w:r>
        <w:t>conduct</w:t>
      </w:r>
      <w:r>
        <w:tab/>
        <w:t>3(1)</w:t>
      </w:r>
    </w:p>
    <w:p>
      <w:pPr>
        <w:pStyle w:val="DefinedTerms"/>
      </w:pPr>
      <w:r>
        <w:t>conducting</w:t>
      </w:r>
      <w:r>
        <w:tab/>
        <w:t>101(1)</w:t>
      </w:r>
    </w:p>
    <w:p>
      <w:pPr>
        <w:pStyle w:val="DefinedTerms"/>
      </w:pPr>
      <w:r>
        <w:t>confidential police information</w:t>
      </w:r>
      <w:r>
        <w:tab/>
        <w:t>20A(1)</w:t>
      </w:r>
    </w:p>
    <w:p>
      <w:pPr>
        <w:pStyle w:val="DefinedTerms"/>
      </w:pPr>
      <w:r>
        <w:t>continuing lotteries levy</w:t>
      </w:r>
      <w:r>
        <w:tab/>
        <w:t>3(1)</w:t>
      </w:r>
    </w:p>
    <w:p>
      <w:pPr>
        <w:pStyle w:val="DefinedTerms"/>
      </w:pPr>
      <w:r>
        <w:t>continuing lottery</w:t>
      </w:r>
      <w:r>
        <w:tab/>
        <w:t>101(1)</w:t>
      </w:r>
    </w:p>
    <w:p>
      <w:pPr>
        <w:pStyle w:val="DefinedTerms"/>
      </w:pPr>
      <w:r>
        <w:t>credit card</w:t>
      </w:r>
      <w:r>
        <w:tab/>
        <w:t>3(1)</w:t>
      </w:r>
    </w:p>
    <w:p>
      <w:pPr>
        <w:pStyle w:val="DefinedTerms"/>
      </w:pPr>
      <w:r>
        <w:t>date of drawing</w:t>
      </w:r>
      <w:r>
        <w:tab/>
        <w:t>101(1)</w:t>
      </w:r>
    </w:p>
    <w:p>
      <w:pPr>
        <w:pStyle w:val="DefinedTerms"/>
      </w:pPr>
      <w:r>
        <w:t>debit card</w:t>
      </w:r>
      <w:r>
        <w:tab/>
        <w:t>3(1)</w:t>
      </w:r>
    </w:p>
    <w:p>
      <w:pPr>
        <w:pStyle w:val="DefinedTerms"/>
      </w:pPr>
      <w:r>
        <w:t>Department</w:t>
      </w:r>
      <w:r>
        <w:tab/>
        <w:t>3(1)</w:t>
      </w:r>
    </w:p>
    <w:p>
      <w:pPr>
        <w:pStyle w:val="DefinedTerms"/>
      </w:pPr>
      <w:r>
        <w:t>drawing</w:t>
      </w:r>
      <w:r>
        <w:tab/>
        <w:t>101(1)</w:t>
      </w:r>
    </w:p>
    <w:p>
      <w:pPr>
        <w:pStyle w:val="DefinedTerms"/>
      </w:pPr>
      <w:r>
        <w:t>employing authority</w:t>
      </w:r>
      <w:r>
        <w:tab/>
        <w:t>18(2a)</w:t>
      </w:r>
    </w:p>
    <w:p>
      <w:pPr>
        <w:pStyle w:val="DefinedTerms"/>
      </w:pPr>
      <w:r>
        <w:t>event</w:t>
      </w:r>
      <w:r>
        <w:tab/>
        <w:t>3(1)</w:t>
      </w:r>
    </w:p>
    <w:p>
      <w:pPr>
        <w:pStyle w:val="DefinedTerms"/>
      </w:pPr>
      <w:r>
        <w:t>face value</w:t>
      </w:r>
      <w:r>
        <w:tab/>
        <w:t>101(1)</w:t>
      </w:r>
    </w:p>
    <w:p>
      <w:pPr>
        <w:pStyle w:val="DefinedTerms"/>
      </w:pPr>
      <w:r>
        <w:t>foreign lottery</w:t>
      </w:r>
      <w:r>
        <w:tab/>
        <w:t>101(1)</w:t>
      </w:r>
    </w:p>
    <w:p>
      <w:pPr>
        <w:pStyle w:val="DefinedTerms"/>
      </w:pPr>
      <w:r>
        <w:t>gambling</w:t>
      </w:r>
      <w:r>
        <w:tab/>
        <w:t>3(1), 40A</w:t>
      </w:r>
    </w:p>
    <w:p>
      <w:pPr>
        <w:pStyle w:val="DefinedTerms"/>
      </w:pPr>
      <w:r>
        <w:t>game of chance</w:t>
      </w:r>
      <w:r>
        <w:tab/>
        <w:t>3(1)</w:t>
      </w:r>
    </w:p>
    <w:p>
      <w:pPr>
        <w:pStyle w:val="DefinedTerms"/>
      </w:pPr>
      <w:r>
        <w:t>gaming</w:t>
      </w:r>
      <w:r>
        <w:tab/>
        <w:t>3(1)</w:t>
      </w:r>
    </w:p>
    <w:p>
      <w:pPr>
        <w:pStyle w:val="DefinedTerms"/>
      </w:pPr>
      <w:r>
        <w:t>gaming equipment</w:t>
      </w:r>
      <w:r>
        <w:tab/>
        <w:t>3(1)</w:t>
      </w:r>
    </w:p>
    <w:p>
      <w:pPr>
        <w:pStyle w:val="DefinedTerms"/>
      </w:pPr>
      <w:r>
        <w:t>gaming machine</w:t>
      </w:r>
      <w:r>
        <w:tab/>
        <w:t>84(1)</w:t>
      </w:r>
    </w:p>
    <w:p>
      <w:pPr>
        <w:pStyle w:val="DefinedTerms"/>
      </w:pPr>
      <w:r>
        <w:t>gaming permit</w:t>
      </w:r>
      <w:r>
        <w:tab/>
        <w:t>3(1)</w:t>
      </w:r>
    </w:p>
    <w:p>
      <w:pPr>
        <w:pStyle w:val="DefinedTerms"/>
      </w:pPr>
      <w:r>
        <w:t>government inspector</w:t>
      </w:r>
      <w:r>
        <w:tab/>
        <w:t>16(4)</w:t>
      </w:r>
    </w:p>
    <w:p>
      <w:pPr>
        <w:pStyle w:val="DefinedTerms"/>
      </w:pPr>
      <w:r>
        <w:t>house</w:t>
      </w:r>
      <w:r>
        <w:tab/>
        <w:t>3(1)</w:t>
      </w:r>
    </w:p>
    <w:p>
      <w:pPr>
        <w:pStyle w:val="DefinedTerms"/>
      </w:pPr>
      <w:r>
        <w:t>imposed</w:t>
      </w:r>
      <w:r>
        <w:tab/>
        <w:t>3(1)</w:t>
      </w:r>
    </w:p>
    <w:p>
      <w:pPr>
        <w:pStyle w:val="DefinedTerms"/>
      </w:pPr>
      <w:r>
        <w:t>instruments of gaming</w:t>
      </w:r>
      <w:r>
        <w:tab/>
        <w:t>3(1)</w:t>
      </w:r>
    </w:p>
    <w:p>
      <w:pPr>
        <w:pStyle w:val="DefinedTerms"/>
      </w:pPr>
      <w:r>
        <w:t>licence</w:t>
      </w:r>
      <w:r>
        <w:tab/>
        <w:t>3(1)</w:t>
      </w:r>
    </w:p>
    <w:p>
      <w:pPr>
        <w:pStyle w:val="DefinedTerms"/>
      </w:pPr>
      <w:r>
        <w:t>licensed supplier</w:t>
      </w:r>
      <w:r>
        <w:tab/>
        <w:t>3(1)</w:t>
      </w:r>
    </w:p>
    <w:p>
      <w:pPr>
        <w:pStyle w:val="DefinedTerms"/>
      </w:pPr>
      <w:r>
        <w:t>lottery</w:t>
      </w:r>
      <w:r>
        <w:tab/>
        <w:t>3(1)</w:t>
      </w:r>
    </w:p>
    <w:p>
      <w:pPr>
        <w:pStyle w:val="DefinedTerms"/>
      </w:pPr>
      <w:r>
        <w:t>machine</w:t>
      </w:r>
      <w:r>
        <w:tab/>
        <w:t>3(1)</w:t>
      </w:r>
    </w:p>
    <w:p>
      <w:pPr>
        <w:pStyle w:val="DefinedTerms"/>
      </w:pPr>
      <w:r>
        <w:t>material evidence</w:t>
      </w:r>
      <w:r>
        <w:tab/>
        <w:t>26(2)</w:t>
      </w:r>
    </w:p>
    <w:p>
      <w:pPr>
        <w:pStyle w:val="DefinedTerms"/>
      </w:pPr>
      <w:r>
        <w:t>minor fund raising activity</w:t>
      </w:r>
      <w:r>
        <w:tab/>
        <w:t>3(1)</w:t>
      </w:r>
    </w:p>
    <w:p>
      <w:pPr>
        <w:pStyle w:val="DefinedTerms"/>
      </w:pPr>
      <w:r>
        <w:t>money</w:t>
      </w:r>
      <w:r>
        <w:tab/>
        <w:t>3(1), 94(1)</w:t>
      </w:r>
    </w:p>
    <w:p>
      <w:pPr>
        <w:pStyle w:val="DefinedTerms"/>
      </w:pPr>
      <w:r>
        <w:t>multiple bingo</w:t>
      </w:r>
      <w:r>
        <w:tab/>
        <w:t>3(1), 94(1), 96(4)</w:t>
      </w:r>
    </w:p>
    <w:p>
      <w:pPr>
        <w:pStyle w:val="DefinedTerms"/>
      </w:pPr>
      <w:r>
        <w:t>object</w:t>
      </w:r>
      <w:r>
        <w:tab/>
        <w:t>58(2)</w:t>
      </w:r>
    </w:p>
    <w:p>
      <w:pPr>
        <w:pStyle w:val="DefinedTerms"/>
      </w:pPr>
      <w:r>
        <w:t>occupier</w:t>
      </w:r>
      <w:r>
        <w:tab/>
        <w:t>3(1)</w:t>
      </w:r>
    </w:p>
    <w:p>
      <w:pPr>
        <w:pStyle w:val="DefinedTerms"/>
      </w:pPr>
      <w:r>
        <w:t>opening date</w:t>
      </w:r>
      <w:r>
        <w:tab/>
        <w:t>101(1)</w:t>
      </w:r>
    </w:p>
    <w:p>
      <w:pPr>
        <w:pStyle w:val="DefinedTerms"/>
      </w:pPr>
      <w:r>
        <w:t>organiser</w:t>
      </w:r>
      <w:r>
        <w:tab/>
        <w:t>94(1)</w:t>
      </w:r>
    </w:p>
    <w:p>
      <w:pPr>
        <w:pStyle w:val="DefinedTerms"/>
      </w:pPr>
      <w:r>
        <w:t>owner</w:t>
      </w:r>
      <w:r>
        <w:tab/>
        <w:t>3(1)</w:t>
      </w:r>
    </w:p>
    <w:p>
      <w:pPr>
        <w:pStyle w:val="DefinedTerms"/>
      </w:pPr>
      <w:r>
        <w:t>paid</w:t>
      </w:r>
      <w:r>
        <w:tab/>
        <w:t>94(1)</w:t>
      </w:r>
    </w:p>
    <w:p>
      <w:pPr>
        <w:pStyle w:val="DefinedTerms"/>
      </w:pPr>
      <w:r>
        <w:t>permit</w:t>
      </w:r>
      <w:r>
        <w:tab/>
        <w:t>3(1)</w:t>
      </w:r>
    </w:p>
    <w:p>
      <w:pPr>
        <w:pStyle w:val="DefinedTerms"/>
      </w:pPr>
      <w:r>
        <w:t>permit holder</w:t>
      </w:r>
      <w:r>
        <w:tab/>
        <w:t>3(1)</w:t>
      </w:r>
    </w:p>
    <w:p>
      <w:pPr>
        <w:pStyle w:val="DefinedTerms"/>
      </w:pPr>
      <w:r>
        <w:t>permitted amusement with prizes</w:t>
      </w:r>
      <w:r>
        <w:tab/>
        <w:t>3(1)</w:t>
      </w:r>
    </w:p>
    <w:p>
      <w:pPr>
        <w:pStyle w:val="DefinedTerms"/>
      </w:pPr>
      <w:r>
        <w:t>permitted bingo</w:t>
      </w:r>
      <w:r>
        <w:tab/>
        <w:t>3(1)</w:t>
      </w:r>
    </w:p>
    <w:p>
      <w:pPr>
        <w:pStyle w:val="DefinedTerms"/>
      </w:pPr>
      <w:r>
        <w:t>permitted gaming</w:t>
      </w:r>
      <w:r>
        <w:tab/>
        <w:t>3(1)</w:t>
      </w:r>
    </w:p>
    <w:p>
      <w:pPr>
        <w:pStyle w:val="DefinedTerms"/>
      </w:pPr>
      <w:r>
        <w:t>permitted lottery</w:t>
      </w:r>
      <w:r>
        <w:tab/>
        <w:t>3(1)</w:t>
      </w:r>
    </w:p>
    <w:p>
      <w:pPr>
        <w:pStyle w:val="DefinedTerms"/>
      </w:pPr>
      <w:r>
        <w:t>permitted two</w:t>
      </w:r>
      <w:r>
        <w:noBreakHyphen/>
        <w:t>up</w:t>
      </w:r>
      <w:r>
        <w:tab/>
        <w:t>3(1)</w:t>
      </w:r>
    </w:p>
    <w:p>
      <w:pPr>
        <w:pStyle w:val="DefinedTerms"/>
      </w:pPr>
      <w:r>
        <w:t>player</w:t>
      </w:r>
      <w:r>
        <w:tab/>
        <w:t>3(1)</w:t>
      </w:r>
    </w:p>
    <w:p>
      <w:pPr>
        <w:pStyle w:val="DefinedTerms"/>
      </w:pPr>
      <w:r>
        <w:t>playing</w:t>
      </w:r>
      <w:r>
        <w:tab/>
        <w:t>3(1)</w:t>
      </w:r>
    </w:p>
    <w:p>
      <w:pPr>
        <w:pStyle w:val="DefinedTerms"/>
      </w:pPr>
      <w:r>
        <w:t>possession</w:t>
      </w:r>
      <w:r>
        <w:tab/>
        <w:t>3(1)</w:t>
      </w:r>
    </w:p>
    <w:p>
      <w:pPr>
        <w:pStyle w:val="DefinedTerms"/>
      </w:pPr>
      <w:r>
        <w:t>premises</w:t>
      </w:r>
      <w:r>
        <w:tab/>
        <w:t>3(1)</w:t>
      </w:r>
    </w:p>
    <w:p>
      <w:pPr>
        <w:pStyle w:val="DefinedTerms"/>
      </w:pPr>
      <w:r>
        <w:t>prescribed gaming equipment</w:t>
      </w:r>
      <w:r>
        <w:tab/>
        <w:t>84(1)</w:t>
      </w:r>
    </w:p>
    <w:p>
      <w:pPr>
        <w:pStyle w:val="DefinedTerms"/>
      </w:pPr>
      <w:r>
        <w:t>prize</w:t>
      </w:r>
      <w:r>
        <w:tab/>
        <w:t>94(1)</w:t>
      </w:r>
    </w:p>
    <w:p>
      <w:pPr>
        <w:pStyle w:val="DefinedTerms"/>
      </w:pPr>
      <w:r>
        <w:t>prohibited advertisement</w:t>
      </w:r>
      <w:r>
        <w:tab/>
        <w:t>43A(1)</w:t>
      </w:r>
    </w:p>
    <w:p>
      <w:pPr>
        <w:pStyle w:val="DefinedTerms"/>
      </w:pPr>
      <w:r>
        <w:t>promoter</w:t>
      </w:r>
      <w:r>
        <w:tab/>
        <w:t>94(1)</w:t>
      </w:r>
    </w:p>
    <w:p>
      <w:pPr>
        <w:pStyle w:val="DefinedTerms"/>
      </w:pPr>
      <w:r>
        <w:t>public place</w:t>
      </w:r>
      <w:r>
        <w:tab/>
        <w:t>3(1)</w:t>
      </w:r>
    </w:p>
    <w:p>
      <w:pPr>
        <w:pStyle w:val="DefinedTerms"/>
      </w:pPr>
      <w:r>
        <w:t>public premises</w:t>
      </w:r>
      <w:r>
        <w:tab/>
        <w:t>93A</w:t>
      </w:r>
    </w:p>
    <w:p>
      <w:pPr>
        <w:pStyle w:val="DefinedTerms"/>
      </w:pPr>
      <w:r>
        <w:t>Public Service</w:t>
      </w:r>
      <w:r>
        <w:tab/>
        <w:t>18(2a)</w:t>
      </w:r>
    </w:p>
    <w:p>
      <w:pPr>
        <w:pStyle w:val="DefinedTerms"/>
      </w:pPr>
      <w:r>
        <w:t>quarter</w:t>
      </w:r>
      <w:r>
        <w:tab/>
        <w:t>101(1)</w:t>
      </w:r>
    </w:p>
    <w:p>
      <w:pPr>
        <w:pStyle w:val="DefinedTerms"/>
      </w:pPr>
      <w:r>
        <w:t>race</w:t>
      </w:r>
      <w:r>
        <w:tab/>
        <w:t>3(1)</w:t>
      </w:r>
    </w:p>
    <w:p>
      <w:pPr>
        <w:pStyle w:val="DefinedTerms"/>
      </w:pPr>
      <w:r>
        <w:t>race club</w:t>
      </w:r>
      <w:r>
        <w:tab/>
        <w:t>3(1)</w:t>
      </w:r>
    </w:p>
    <w:p>
      <w:pPr>
        <w:pStyle w:val="DefinedTerms"/>
      </w:pPr>
      <w:r>
        <w:t>race day</w:t>
      </w:r>
      <w:r>
        <w:tab/>
        <w:t>80(1a)</w:t>
      </w:r>
    </w:p>
    <w:p>
      <w:pPr>
        <w:pStyle w:val="DefinedTerms"/>
      </w:pPr>
      <w:r>
        <w:t>race meeting</w:t>
      </w:r>
      <w:r>
        <w:tab/>
        <w:t>3(1)</w:t>
      </w:r>
    </w:p>
    <w:p>
      <w:pPr>
        <w:pStyle w:val="DefinedTerms"/>
      </w:pPr>
      <w:r>
        <w:t>related furnishings</w:t>
      </w:r>
      <w:r>
        <w:tab/>
        <w:t>3(1)</w:t>
      </w:r>
    </w:p>
    <w:p>
      <w:pPr>
        <w:pStyle w:val="DefinedTerms"/>
      </w:pPr>
      <w:r>
        <w:t>relevant Act</w:t>
      </w:r>
      <w:r>
        <w:tab/>
        <w:t>20A(1)</w:t>
      </w:r>
    </w:p>
    <w:p>
      <w:pPr>
        <w:pStyle w:val="DefinedTerms"/>
      </w:pPr>
      <w:r>
        <w:t>remote gambling device</w:t>
      </w:r>
      <w:r>
        <w:tab/>
        <w:t>93A</w:t>
      </w:r>
    </w:p>
    <w:p>
      <w:pPr>
        <w:pStyle w:val="DefinedTerms"/>
      </w:pPr>
      <w:r>
        <w:t>responsible person</w:t>
      </w:r>
      <w:r>
        <w:tab/>
        <w:t>109B(1)</w:t>
      </w:r>
    </w:p>
    <w:p>
      <w:pPr>
        <w:pStyle w:val="DefinedTerms"/>
      </w:pPr>
      <w:r>
        <w:t>RWWA</w:t>
      </w:r>
      <w:r>
        <w:tab/>
        <w:t>3(1)</w:t>
      </w:r>
    </w:p>
    <w:p>
      <w:pPr>
        <w:pStyle w:val="DefinedTerms"/>
      </w:pPr>
      <w:r>
        <w:t>RWWA Act</w:t>
      </w:r>
      <w:r>
        <w:tab/>
        <w:t>3(1)</w:t>
      </w:r>
    </w:p>
    <w:p>
      <w:pPr>
        <w:pStyle w:val="DefinedTerms"/>
      </w:pPr>
      <w:r>
        <w:t>seized thing</w:t>
      </w:r>
      <w:r>
        <w:tab/>
        <w:t>32A(1)</w:t>
      </w:r>
    </w:p>
    <w:p>
      <w:pPr>
        <w:pStyle w:val="DefinedTerms"/>
      </w:pPr>
      <w:r>
        <w:t>service agreement</w:t>
      </w:r>
      <w:r>
        <w:tab/>
        <w:t>91(5)</w:t>
      </w:r>
    </w:p>
    <w:p>
      <w:pPr>
        <w:pStyle w:val="DefinedTerms"/>
      </w:pPr>
      <w:r>
        <w:t>simultaneous bingo</w:t>
      </w:r>
      <w:r>
        <w:tab/>
        <w:t>3(1), 94(1)</w:t>
      </w:r>
    </w:p>
    <w:p>
      <w:pPr>
        <w:pStyle w:val="DefinedTerms"/>
      </w:pPr>
      <w:r>
        <w:t>slot machine</w:t>
      </w:r>
      <w:r>
        <w:tab/>
        <w:t>84(1)</w:t>
      </w:r>
    </w:p>
    <w:p>
      <w:pPr>
        <w:pStyle w:val="DefinedTerms"/>
      </w:pPr>
      <w:r>
        <w:t>social gambling</w:t>
      </w:r>
      <w:r>
        <w:tab/>
        <w:t>3(1)</w:t>
      </w:r>
    </w:p>
    <w:p>
      <w:pPr>
        <w:pStyle w:val="DefinedTerms"/>
      </w:pPr>
      <w:r>
        <w:t>specified</w:t>
      </w:r>
      <w:r>
        <w:tab/>
        <w:t>48(2), 87(2), 91(8)</w:t>
      </w:r>
    </w:p>
    <w:p>
      <w:pPr>
        <w:pStyle w:val="DefinedTerms"/>
      </w:pPr>
      <w:r>
        <w:t>standard lottery</w:t>
      </w:r>
      <w:r>
        <w:tab/>
        <w:t>101(1)</w:t>
      </w:r>
    </w:p>
    <w:p>
      <w:pPr>
        <w:pStyle w:val="DefinedTerms"/>
      </w:pPr>
      <w:r>
        <w:t>telecommunication device</w:t>
      </w:r>
      <w:r>
        <w:tab/>
        <w:t>3(1)</w:t>
      </w:r>
    </w:p>
    <w:p>
      <w:pPr>
        <w:pStyle w:val="DefinedTerms"/>
      </w:pPr>
      <w:r>
        <w:t>terms</w:t>
      </w:r>
      <w:r>
        <w:tab/>
        <w:t>89(3)</w:t>
      </w:r>
    </w:p>
    <w:p>
      <w:pPr>
        <w:pStyle w:val="DefinedTerms"/>
      </w:pPr>
      <w:r>
        <w:t>ticket</w:t>
      </w:r>
      <w:r>
        <w:tab/>
        <w:t>101(1), 101(1)</w:t>
      </w:r>
    </w:p>
    <w:p>
      <w:pPr>
        <w:pStyle w:val="DefinedTerms"/>
      </w:pPr>
      <w:r>
        <w:t>token</w:t>
      </w:r>
      <w:r>
        <w:tab/>
        <w:t>3(1)</w:t>
      </w:r>
    </w:p>
    <w:p>
      <w:pPr>
        <w:pStyle w:val="DefinedTerms"/>
      </w:pPr>
      <w:r>
        <w:t>trade promotion lottery</w:t>
      </w:r>
      <w:r>
        <w:tab/>
        <w:t>3(1)</w:t>
      </w:r>
    </w:p>
    <w:p>
      <w:pPr>
        <w:pStyle w:val="DefinedTerms"/>
      </w:pPr>
      <w:r>
        <w:t>Trust</w:t>
      </w:r>
      <w:r>
        <w:tab/>
        <w:t>109A</w:t>
      </w:r>
    </w:p>
    <w:p>
      <w:pPr>
        <w:pStyle w:val="DefinedTerms"/>
      </w:pPr>
      <w:r>
        <w:t>Trust Account</w:t>
      </w:r>
      <w:r>
        <w:tab/>
        <w:t>109A</w:t>
      </w:r>
    </w:p>
    <w:p>
      <w:pPr>
        <w:pStyle w:val="DefinedTerms"/>
      </w:pPr>
      <w:r>
        <w:t>two</w:t>
      </w:r>
      <w:r>
        <w:noBreakHyphen/>
        <w:t>up</w:t>
      </w:r>
      <w:r>
        <w:tab/>
        <w:t>3(1)</w:t>
      </w:r>
    </w:p>
    <w:p>
      <w:pPr>
        <w:pStyle w:val="DefinedTerms"/>
      </w:pPr>
      <w:r>
        <w:t>unclaimed winnings</w:t>
      </w:r>
      <w:r>
        <w:tab/>
        <w:t>109A, 109B(1)</w:t>
      </w:r>
    </w:p>
    <w:p>
      <w:pPr>
        <w:pStyle w:val="DefinedTerms"/>
      </w:pPr>
      <w:r>
        <w:t>unlawful game</w:t>
      </w:r>
      <w:r>
        <w:tab/>
        <w:t>3(1)</w:t>
      </w:r>
    </w:p>
    <w:p>
      <w:pPr>
        <w:pStyle w:val="DefinedTerms"/>
      </w:pPr>
      <w:r>
        <w:t>unlawful gaming</w:t>
      </w:r>
      <w:r>
        <w:tab/>
        <w:t>43A(1)</w:t>
      </w:r>
    </w:p>
    <w:p>
      <w:pPr>
        <w:pStyle w:val="DefinedTerms"/>
      </w:pPr>
      <w:r>
        <w:t>unlawful gaming equipment</w:t>
      </w:r>
      <w:r>
        <w:tab/>
        <w:t>84(1)</w:t>
      </w:r>
    </w:p>
    <w:p>
      <w:pPr>
        <w:pStyle w:val="DefinedTerms"/>
      </w:pPr>
      <w:r>
        <w:t>unlawful gaming machine</w:t>
      </w:r>
      <w:r>
        <w:tab/>
        <w:t>84(1)</w:t>
      </w:r>
    </w:p>
    <w:p>
      <w:pPr>
        <w:pStyle w:val="DefinedTerms"/>
      </w:pPr>
      <w:r>
        <w:t>unlawful lottery</w:t>
      </w:r>
      <w:r>
        <w:tab/>
        <w:t>101(1)</w:t>
      </w:r>
    </w:p>
    <w:p>
      <w:pPr>
        <w:pStyle w:val="DefinedTerms"/>
      </w:pPr>
      <w:r>
        <w:t>unlawful wagering</w:t>
      </w:r>
      <w:r>
        <w:tab/>
        <w:t>43A(1)</w:t>
      </w:r>
    </w:p>
    <w:p>
      <w:pPr>
        <w:pStyle w:val="DefinedTerms"/>
      </w:pPr>
      <w:r>
        <w:t>value</w:t>
      </w:r>
      <w:r>
        <w:tab/>
        <w:t>94(1)</w:t>
      </w:r>
    </w:p>
    <w:p>
      <w:pPr>
        <w:pStyle w:val="DefinedTerms"/>
      </w:pPr>
      <w:r>
        <w:t>vehicle</w:t>
      </w:r>
      <w:r>
        <w:tab/>
        <w:t>3(1)</w:t>
      </w:r>
    </w:p>
    <w:p>
      <w:pPr>
        <w:pStyle w:val="DefinedTerms"/>
      </w:pPr>
      <w:r>
        <w:t>vessel</w:t>
      </w:r>
      <w:r>
        <w:tab/>
        <w:t>3(1)</w:t>
      </w:r>
    </w:p>
    <w:p>
      <w:pPr>
        <w:pStyle w:val="DefinedTerms"/>
      </w:pPr>
      <w:r>
        <w:t>wagering</w:t>
      </w:r>
      <w:r>
        <w:tab/>
        <w:t>3(1), 40A</w:t>
      </w:r>
    </w:p>
    <w:p>
      <w:pPr>
        <w:pStyle w:val="DefinedTerms"/>
      </w:pPr>
      <w:r>
        <w:t>winner</w:t>
      </w:r>
      <w:r>
        <w:tab/>
        <w:t>109B(1)</w:t>
      </w:r>
    </w:p>
    <w:p>
      <w:pPr>
        <w:pStyle w:val="DefinedTerms"/>
      </w:pPr>
      <w:r>
        <w:t>winnings</w:t>
      </w:r>
      <w:r>
        <w:tab/>
        <w:t>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Sep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Sep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167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9" w:name="Compilation"/>
    <w:bookmarkEnd w:id="1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1" w:name="DefinedTerms"/>
    <w:bookmarkEnd w:id="16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2" w:name="Coversheet"/>
    <w:bookmarkEnd w:id="1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lvlText w:val="%1."/>
      <w:lvlJc w:val="left"/>
      <w:pPr>
        <w:tabs>
          <w:tab w:val="num" w:pos="1492"/>
        </w:tabs>
        <w:ind w:left="1492" w:hanging="360"/>
      </w:pPr>
    </w:lvl>
  </w:abstractNum>
  <w:abstractNum w:abstractNumId="1">
    <w:nsid w:val="FFFFFF7D"/>
    <w:multiLevelType w:val="singleLevel"/>
    <w:tmpl w:val="E2A44182"/>
    <w:lvl w:ilvl="0">
      <w:start w:val="1"/>
      <w:numFmt w:val="decimal"/>
      <w:lvlText w:val="%1."/>
      <w:lvlJc w:val="left"/>
      <w:pPr>
        <w:tabs>
          <w:tab w:val="num" w:pos="1209"/>
        </w:tabs>
        <w:ind w:left="1209" w:hanging="360"/>
      </w:pPr>
    </w:lvl>
  </w:abstractNum>
  <w:abstractNum w:abstractNumId="2">
    <w:nsid w:val="FFFFFF7E"/>
    <w:multiLevelType w:val="singleLevel"/>
    <w:tmpl w:val="78F616E0"/>
    <w:lvl w:ilvl="0">
      <w:start w:val="1"/>
      <w:numFmt w:val="decimal"/>
      <w:lvlText w:val="%1."/>
      <w:lvlJc w:val="left"/>
      <w:pPr>
        <w:tabs>
          <w:tab w:val="num" w:pos="926"/>
        </w:tabs>
        <w:ind w:left="926" w:hanging="360"/>
      </w:pPr>
    </w:lvl>
  </w:abstractNum>
  <w:abstractNum w:abstractNumId="3">
    <w:nsid w:val="FFFFFF7F"/>
    <w:multiLevelType w:val="singleLevel"/>
    <w:tmpl w:val="C51C5FA4"/>
    <w:lvl w:ilvl="0">
      <w:start w:val="1"/>
      <w:numFmt w:val="decimal"/>
      <w:lvlText w:val="%1."/>
      <w:lvlJc w:val="left"/>
      <w:pPr>
        <w:tabs>
          <w:tab w:val="num" w:pos="643"/>
        </w:tabs>
        <w:ind w:left="643" w:hanging="360"/>
      </w:pPr>
    </w:lvl>
  </w:abstractNum>
  <w:abstractNum w:abstractNumId="4">
    <w:nsid w:val="FFFFFF80"/>
    <w:multiLevelType w:val="singleLevel"/>
    <w:tmpl w:val="087835C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lvlText w:val="%1."/>
      <w:lvlJc w:val="left"/>
      <w:pPr>
        <w:tabs>
          <w:tab w:val="num" w:pos="360"/>
        </w:tabs>
        <w:ind w:left="360" w:hanging="360"/>
      </w:pPr>
    </w:lvl>
  </w:abstractNum>
  <w:abstractNum w:abstractNumId="9">
    <w:nsid w:val="FFFFFF89"/>
    <w:multiLevelType w:val="singleLevel"/>
    <w:tmpl w:val="7ECA888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2F4C2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43319"/>
    <w:docVar w:name="WAFER_20140123160344" w:val="RemoveTocBookmarks,RemoveUnusedBookmarks,RemoveLanguageTags,UsedStyles,ResetPageSize,UpdateArrangement"/>
    <w:docVar w:name="WAFER_20140123160344_GUID" w:val="2e5daf11-eae3-4b2f-8827-029c904dc2ef"/>
    <w:docVar w:name="WAFER_20140123160356" w:val="RemoveTocBookmarks,RunningHeaders"/>
    <w:docVar w:name="WAFER_20140123160356_GUID" w:val="92e22a0d-0a40-4690-86ba-0e2b82a9e33a"/>
    <w:docVar w:name="WAFER_20141104172558" w:val="RemoveTocBookmarks,RemoveUnusedBookmarks,RemoveLanguageTags,UsedStyles,ResetPageSize,UpdateArrangement"/>
    <w:docVar w:name="WAFER_20141104172558_GUID" w:val="5a4be81d-7c04-4ed2-baeb-49c888184271"/>
    <w:docVar w:name="WAFER_20150506114414" w:val="ResetPageSize,UpdateArrangement,UpdateNTable"/>
    <w:docVar w:name="WAFER_20150506114414_GUID" w:val="63f23cb0-3b99-47d6-91b3-c23b4c055dd2"/>
    <w:docVar w:name="WAFER_20151104142640" w:val="UpdateStyles,UsedStyles"/>
    <w:docVar w:name="WAFER_20151104142640_GUID" w:val="0b5d45da-e0f4-499a-9354-ea01e6d40f66"/>
    <w:docVar w:name="WAFER_20170111123255" w:val="RemoveTocBookmarks,RemoveUnusedBookmarks,RemoveLanguageTags,UsedStyles,ResetPageSize"/>
    <w:docVar w:name="WAFER_20170111123255_GUID" w:val="1dd3edcc-92b9-45b4-a6d5-cfb042119d2a"/>
    <w:docVar w:name="WAFER_20190919112320" w:val="RemoveTocBookmarks,RemoveUnusedBookmarks,RemoveLanguageTags,ResetPageSize,RunningHeaders,UpdateStyles,UsedStyles"/>
    <w:docVar w:name="WAFER_20190919112320_GUID" w:val="4285692c-dae8-4465-a1b4-0fc263346761"/>
    <w:docVar w:name="WAFER_202002131433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3319_GUID" w:val="1891f3fc-21ef-4232-9559-ad57ae98df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5603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176</Pages>
  <Words>45884</Words>
  <Characters>215198</Characters>
  <Application>Microsoft Office Word</Application>
  <DocSecurity>0</DocSecurity>
  <Lines>5816</Lines>
  <Paragraphs>2869</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258213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1987 - 06-l0-01</dc:title>
  <dc:subject/>
  <dc:creator/>
  <cp:keywords/>
  <dc:description/>
  <cp:lastModifiedBy>svcMRProcess</cp:lastModifiedBy>
  <cp:revision>4</cp:revision>
  <cp:lastPrinted>2019-01-30T08:13:00Z</cp:lastPrinted>
  <dcterms:created xsi:type="dcterms:W3CDTF">2020-02-24T07:24:00Z</dcterms:created>
  <dcterms:modified xsi:type="dcterms:W3CDTF">2020-02-24T07:24:00Z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DocumentType">
    <vt:lpwstr>Act</vt:lpwstr>
  </property>
  <property fmtid="{D5CDD505-2E9C-101B-9397-08002B2CF9AE}" pid="4" name="OwlsUID">
    <vt:i4>311</vt:i4>
  </property>
  <property fmtid="{D5CDD505-2E9C-101B-9397-08002B2CF9AE}" pid="5" name="ReprintNo">
    <vt:lpwstr>6</vt:lpwstr>
  </property>
  <property fmtid="{D5CDD505-2E9C-101B-9397-08002B2CF9AE}" pid="6" name="ReprintedAsAt">
    <vt:filetime>2011-12-15T16:00:00Z</vt:filetime>
  </property>
  <property fmtid="{D5CDD505-2E9C-101B-9397-08002B2CF9AE}" pid="7" name="CommencementDate">
    <vt:lpwstr>20190919</vt:lpwstr>
  </property>
  <property fmtid="{D5CDD505-2E9C-101B-9397-08002B2CF9AE}" pid="8" name="AsAtDate">
    <vt:lpwstr>19 Sep 2019</vt:lpwstr>
  </property>
  <property fmtid="{D5CDD505-2E9C-101B-9397-08002B2CF9AE}" pid="9" name="Suffix">
    <vt:lpwstr>06-l0-01</vt:lpwstr>
  </property>
</Properties>
</file>