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 nHeading 1,2,nHeading 2,4,nHeading 3,4"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_Toc33534159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_Toc33534160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Purposes</w:t>
      </w:r>
      <w:r>
        <w:tab/>
      </w:r>
      <w:r>
        <w:fldChar w:fldCharType="begin"/>
      </w:r>
      <w:r>
        <w:instrText xml:space="preserve"> PAGEREF _Toc33534161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 generally</w:t>
      </w:r>
      <w:r>
        <w:tab/>
      </w:r>
      <w:r>
        <w:fldChar w:fldCharType="begin"/>
      </w:r>
      <w:r>
        <w:instrText xml:space="preserve"> PAGEREF _Toc33534162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_Toc33534163 \h </w:instrText>
      </w:r>
      <w:r>
        <w:fldChar w:fldCharType="separate"/>
      </w:r>
      <w:r>
        <w:t>5</w:t>
      </w:r>
      <w:r>
        <w:fldChar w:fldCharType="end"/>
      </w:r>
    </w:p>
    <w:p>
      <w:pPr>
        <w:pStyle w:val="TOC8"/>
        <w:rPr>
          <w:rFonts w:asciiTheme="minorHAnsi" w:eastAsiaTheme="minorEastAsia" w:hAnsiTheme="minorHAnsi" w:cstheme="minorBidi"/>
          <w:szCs w:val="22"/>
        </w:rPr>
      </w:pPr>
      <w:r>
        <w:t>5A.</w:t>
      </w:r>
      <w:r>
        <w:tab/>
        <w:t>Indexation of certain amounts</w:t>
      </w:r>
      <w:r>
        <w:tab/>
      </w:r>
      <w:r>
        <w:fldChar w:fldCharType="begin"/>
      </w:r>
      <w:r>
        <w:instrText xml:space="preserve"> PAGEREF _Toc33534164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 — Application of this Act in respect of certain persons and bodies</w:t>
      </w:r>
    </w:p>
    <w:p>
      <w:pPr>
        <w:pStyle w:val="TOC8"/>
        <w:rPr>
          <w:rFonts w:asciiTheme="minorHAnsi" w:eastAsiaTheme="minorEastAsia" w:hAnsiTheme="minorHAnsi" w:cstheme="minorBidi"/>
          <w:szCs w:val="22"/>
        </w:rPr>
      </w:pPr>
      <w:r>
        <w:t>6</w:t>
      </w:r>
      <w:r>
        <w:rPr>
          <w:snapToGrid w:val="0"/>
        </w:rPr>
        <w:t>.</w:t>
      </w:r>
      <w:r>
        <w:rPr>
          <w:snapToGrid w:val="0"/>
        </w:rPr>
        <w:tab/>
        <w:t>Local governments and other authorities</w:t>
      </w:r>
      <w:r>
        <w:tab/>
      </w:r>
      <w:r>
        <w:fldChar w:fldCharType="begin"/>
      </w:r>
      <w:r>
        <w:instrText xml:space="preserve"> PAGEREF _Toc33534166 \h </w:instrText>
      </w:r>
      <w:r>
        <w:fldChar w:fldCharType="separate"/>
      </w:r>
      <w:r>
        <w:t>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Tributers</w:t>
      </w:r>
      <w:r>
        <w:tab/>
      </w:r>
      <w:r>
        <w:fldChar w:fldCharType="begin"/>
      </w:r>
      <w:r>
        <w:instrText xml:space="preserve"> PAGEREF _Toc33534167 \h </w:instrText>
      </w:r>
      <w:r>
        <w:fldChar w:fldCharType="separate"/>
      </w:r>
      <w:r>
        <w:t>17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Baptist clergymen</w:t>
      </w:r>
      <w:r>
        <w:tab/>
      </w:r>
      <w:r>
        <w:fldChar w:fldCharType="begin"/>
      </w:r>
      <w:r>
        <w:instrText xml:space="preserve"> PAGEREF _Toc33534168 \h </w:instrText>
      </w:r>
      <w:r>
        <w:fldChar w:fldCharType="separate"/>
      </w:r>
      <w:r>
        <w:t>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Anglican clergy</w:t>
      </w:r>
      <w:r>
        <w:tab/>
      </w:r>
      <w:r>
        <w:fldChar w:fldCharType="begin"/>
      </w:r>
      <w:r>
        <w:instrText xml:space="preserve"> PAGEREF _Toc33534169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clergymen</w:t>
      </w:r>
      <w:r>
        <w:tab/>
      </w:r>
      <w:r>
        <w:fldChar w:fldCharType="begin"/>
      </w:r>
      <w:r>
        <w:instrText xml:space="preserve"> PAGEREF _Toc33534170 \h </w:instrText>
      </w:r>
      <w:r>
        <w:fldChar w:fldCharType="separate"/>
      </w:r>
      <w:r>
        <w:t>18</w:t>
      </w:r>
      <w:r>
        <w:fldChar w:fldCharType="end"/>
      </w:r>
    </w:p>
    <w:p>
      <w:pPr>
        <w:pStyle w:val="TOC8"/>
        <w:rPr>
          <w:rFonts w:asciiTheme="minorHAnsi" w:eastAsiaTheme="minorEastAsia" w:hAnsiTheme="minorHAnsi" w:cstheme="minorBidi"/>
          <w:szCs w:val="22"/>
        </w:rPr>
      </w:pPr>
      <w:r>
        <w:t>10A.</w:t>
      </w:r>
      <w:r>
        <w:tab/>
        <w:t>Working directors</w:t>
      </w:r>
      <w:r>
        <w:tab/>
      </w:r>
      <w:r>
        <w:fldChar w:fldCharType="begin"/>
      </w:r>
      <w:r>
        <w:instrText xml:space="preserve"> PAGEREF _Toc33534171 \h </w:instrText>
      </w:r>
      <w:r>
        <w:fldChar w:fldCharType="separate"/>
      </w:r>
      <w:r>
        <w:t>18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Contracted sporting contestants are not workers</w:t>
      </w:r>
      <w:r>
        <w:tab/>
      </w:r>
      <w:r>
        <w:fldChar w:fldCharType="begin"/>
      </w:r>
      <w:r>
        <w:instrText xml:space="preserve"> PAGEREF _Toc33534172 \h </w:instrText>
      </w:r>
      <w:r>
        <w:fldChar w:fldCharType="separate"/>
      </w:r>
      <w:r>
        <w:t>20</w:t>
      </w:r>
      <w:r>
        <w:fldChar w:fldCharType="end"/>
      </w:r>
    </w:p>
    <w:p>
      <w:pPr>
        <w:pStyle w:val="TOC8"/>
        <w:rPr>
          <w:rFonts w:asciiTheme="minorHAnsi" w:eastAsiaTheme="minorEastAsia" w:hAnsiTheme="minorHAnsi" w:cstheme="minorBidi"/>
          <w:szCs w:val="22"/>
        </w:rPr>
      </w:pPr>
      <w:r>
        <w:t>11A.</w:t>
      </w:r>
      <w:r>
        <w:tab/>
        <w:t>Jockeys</w:t>
      </w:r>
      <w:r>
        <w:tab/>
      </w:r>
      <w:r>
        <w:fldChar w:fldCharType="begin"/>
      </w:r>
      <w:r>
        <w:instrText xml:space="preserve"> PAGEREF _Toc33534173 \h </w:instrText>
      </w:r>
      <w:r>
        <w:fldChar w:fldCharType="separate"/>
      </w:r>
      <w:r>
        <w:t>20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Compensation not payable in some cases for injury or death before 28 Nov 1977</w:t>
      </w:r>
      <w:r>
        <w:tab/>
      </w:r>
      <w:r>
        <w:fldChar w:fldCharType="begin"/>
      </w:r>
      <w:r>
        <w:instrText xml:space="preserve"> PAGEREF _Toc33534174 \h </w:instrText>
      </w:r>
      <w:r>
        <w:fldChar w:fldCharType="separate"/>
      </w:r>
      <w:r>
        <w:t>22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Act s. 11 and 12 do not affect case where compensation paid before 28 Nov 1977</w:t>
      </w:r>
      <w:r>
        <w:tab/>
      </w:r>
      <w:r>
        <w:fldChar w:fldCharType="begin"/>
      </w:r>
      <w:r>
        <w:instrText xml:space="preserve"> PAGEREF _Toc33534175 \h </w:instrText>
      </w:r>
      <w:r>
        <w:fldChar w:fldCharType="separate"/>
      </w:r>
      <w:r>
        <w:t>22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Workers employed by Crown</w:t>
      </w:r>
      <w:r>
        <w:tab/>
      </w:r>
      <w:r>
        <w:fldChar w:fldCharType="begin"/>
      </w:r>
      <w:r>
        <w:instrText xml:space="preserve"> PAGEREF _Toc33534176 \h </w:instrText>
      </w:r>
      <w:r>
        <w:fldChar w:fldCharType="separate"/>
      </w:r>
      <w:r>
        <w:t>22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Workers employed on some ships</w:t>
      </w:r>
      <w:r>
        <w:tab/>
      </w:r>
      <w:r>
        <w:fldChar w:fldCharType="begin"/>
      </w:r>
      <w:r>
        <w:instrText xml:space="preserve"> PAGEREF _Toc33534177 \h </w:instrText>
      </w:r>
      <w:r>
        <w:fldChar w:fldCharType="separate"/>
      </w:r>
      <w:r>
        <w:t>23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Crew of fishing vessel</w:t>
      </w:r>
      <w:r>
        <w:tab/>
      </w:r>
      <w:r>
        <w:fldChar w:fldCharType="begin"/>
      </w:r>
      <w:r>
        <w:instrText xml:space="preserve"> PAGEREF _Toc33534178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III — Compensation</w:t>
      </w:r>
    </w:p>
    <w:p>
      <w:pPr>
        <w:pStyle w:val="TOC4"/>
        <w:tabs>
          <w:tab w:val="right" w:leader="dot" w:pos="7077"/>
        </w:tabs>
        <w:rPr>
          <w:rFonts w:asciiTheme="minorHAnsi" w:eastAsiaTheme="minorEastAsia" w:hAnsiTheme="minorHAnsi" w:cstheme="minorBidi"/>
          <w:b w:val="0"/>
          <w:szCs w:val="22"/>
        </w:rPr>
      </w:pPr>
      <w:r>
        <w:t>Division 1 — Injury: general</w:t>
      </w:r>
    </w:p>
    <w:p>
      <w:pPr>
        <w:pStyle w:val="TOC8"/>
        <w:rPr>
          <w:rFonts w:asciiTheme="minorHAnsi" w:eastAsiaTheme="minorEastAsia" w:hAnsiTheme="minorHAnsi" w:cstheme="minorBidi"/>
          <w:szCs w:val="22"/>
        </w:rPr>
      </w:pPr>
      <w:r>
        <w:t>18</w:t>
      </w:r>
      <w:r>
        <w:rPr>
          <w:snapToGrid w:val="0"/>
        </w:rPr>
        <w:t>.</w:t>
      </w:r>
      <w:r>
        <w:rPr>
          <w:snapToGrid w:val="0"/>
        </w:rPr>
        <w:tab/>
        <w:t>Employers liable to pay compensation for injuries to workers</w:t>
      </w:r>
      <w:r>
        <w:tab/>
      </w:r>
      <w:r>
        <w:fldChar w:fldCharType="begin"/>
      </w:r>
      <w:r>
        <w:instrText xml:space="preserve"> PAGEREF _Toc33534181 \h </w:instrText>
      </w:r>
      <w:r>
        <w:fldChar w:fldCharType="separate"/>
      </w:r>
      <w:r>
        <w:t>26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Personal injury by accident arising out of or in course of employment, meaning of</w:t>
      </w:r>
      <w:r>
        <w:tab/>
      </w:r>
      <w:r>
        <w:fldChar w:fldCharType="begin"/>
      </w:r>
      <w:r>
        <w:instrText xml:space="preserve"> PAGEREF _Toc33534182 \h </w:instrText>
      </w:r>
      <w:r>
        <w:fldChar w:fldCharType="separate"/>
      </w:r>
      <w:r>
        <w:t>26</w:t>
      </w:r>
      <w:r>
        <w:fldChar w:fldCharType="end"/>
      </w:r>
    </w:p>
    <w:p>
      <w:pPr>
        <w:pStyle w:val="TOC8"/>
        <w:rPr>
          <w:rFonts w:asciiTheme="minorHAnsi" w:eastAsiaTheme="minorEastAsia" w:hAnsiTheme="minorHAnsi" w:cstheme="minorBidi"/>
          <w:szCs w:val="22"/>
        </w:rPr>
      </w:pPr>
      <w:r>
        <w:t>20.</w:t>
      </w:r>
      <w:r>
        <w:tab/>
        <w:t>Compensation not payable unless worker’s employment connected with WA</w:t>
      </w:r>
      <w:r>
        <w:tab/>
      </w:r>
      <w:r>
        <w:fldChar w:fldCharType="begin"/>
      </w:r>
      <w:r>
        <w:instrText xml:space="preserve"> PAGEREF _Toc33534183 \h </w:instrText>
      </w:r>
      <w:r>
        <w:fldChar w:fldCharType="separate"/>
      </w:r>
      <w:r>
        <w:t>27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payable from date of incapacity</w:t>
      </w:r>
      <w:r>
        <w:tab/>
      </w:r>
      <w:r>
        <w:fldChar w:fldCharType="begin"/>
      </w:r>
      <w:r>
        <w:instrText xml:space="preserve"> PAGEREF _Toc33534184 \h </w:instrText>
      </w:r>
      <w:r>
        <w:fldChar w:fldCharType="separate"/>
      </w:r>
      <w:r>
        <w:t>29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Serious and wilful misconduct by worker, effect of</w:t>
      </w:r>
      <w:r>
        <w:tab/>
      </w:r>
      <w:r>
        <w:fldChar w:fldCharType="begin"/>
      </w:r>
      <w:r>
        <w:instrText xml:space="preserve"> PAGEREF _Toc33534185 \h </w:instrText>
      </w:r>
      <w:r>
        <w:fldChar w:fldCharType="separate"/>
      </w:r>
      <w:r>
        <w:t>29</w:t>
      </w:r>
      <w:r>
        <w:fldChar w:fldCharType="end"/>
      </w:r>
    </w:p>
    <w:p>
      <w:pPr>
        <w:pStyle w:val="TOC8"/>
        <w:rPr>
          <w:rFonts w:asciiTheme="minorHAnsi" w:eastAsiaTheme="minorEastAsia" w:hAnsiTheme="minorHAnsi" w:cstheme="minorBidi"/>
          <w:szCs w:val="22"/>
        </w:rPr>
      </w:pPr>
      <w:r>
        <w:t>23.</w:t>
      </w:r>
      <w:r>
        <w:tab/>
        <w:t>Person not to be compensated twice</w:t>
      </w:r>
      <w:r>
        <w:tab/>
      </w:r>
      <w:r>
        <w:fldChar w:fldCharType="begin"/>
      </w:r>
      <w:r>
        <w:instrText xml:space="preserve"> PAGEREF _Toc33534186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1a — Determination by courts and recognition of determination</w:t>
      </w:r>
    </w:p>
    <w:p>
      <w:pPr>
        <w:pStyle w:val="TOC8"/>
        <w:rPr>
          <w:rFonts w:asciiTheme="minorHAnsi" w:eastAsiaTheme="minorEastAsia" w:hAnsiTheme="minorHAnsi" w:cstheme="minorBidi"/>
          <w:szCs w:val="22"/>
        </w:rPr>
      </w:pPr>
      <w:r>
        <w:t>23A.</w:t>
      </w:r>
      <w:r>
        <w:tab/>
        <w:t>Term used: court</w:t>
      </w:r>
      <w:r>
        <w:tab/>
      </w:r>
      <w:r>
        <w:fldChar w:fldCharType="begin"/>
      </w:r>
      <w:r>
        <w:instrText xml:space="preserve"> PAGEREF _Toc33534188 \h </w:instrText>
      </w:r>
      <w:r>
        <w:fldChar w:fldCharType="separate"/>
      </w:r>
      <w:r>
        <w:t>31</w:t>
      </w:r>
      <w:r>
        <w:fldChar w:fldCharType="end"/>
      </w:r>
    </w:p>
    <w:p>
      <w:pPr>
        <w:pStyle w:val="TOC8"/>
        <w:rPr>
          <w:rFonts w:asciiTheme="minorHAnsi" w:eastAsiaTheme="minorEastAsia" w:hAnsiTheme="minorHAnsi" w:cstheme="minorBidi"/>
          <w:szCs w:val="22"/>
        </w:rPr>
      </w:pPr>
      <w:r>
        <w:t>23B.</w:t>
      </w:r>
      <w:r>
        <w:tab/>
        <w:t>Determining if WA is connected with worker’s employment</w:t>
      </w:r>
      <w:r>
        <w:tab/>
      </w:r>
      <w:r>
        <w:fldChar w:fldCharType="begin"/>
      </w:r>
      <w:r>
        <w:instrText xml:space="preserve"> PAGEREF _Toc33534189 \h </w:instrText>
      </w:r>
      <w:r>
        <w:fldChar w:fldCharType="separate"/>
      </w:r>
      <w:r>
        <w:t>31</w:t>
      </w:r>
      <w:r>
        <w:fldChar w:fldCharType="end"/>
      </w:r>
    </w:p>
    <w:p>
      <w:pPr>
        <w:pStyle w:val="TOC8"/>
        <w:rPr>
          <w:rFonts w:asciiTheme="minorHAnsi" w:eastAsiaTheme="minorEastAsia" w:hAnsiTheme="minorHAnsi" w:cstheme="minorBidi"/>
          <w:szCs w:val="22"/>
        </w:rPr>
      </w:pPr>
      <w:r>
        <w:t>23C.</w:t>
      </w:r>
      <w:r>
        <w:tab/>
        <w:t>Application to District Court to determine which State is connected with worker’s employment</w:t>
      </w:r>
      <w:r>
        <w:tab/>
      </w:r>
      <w:r>
        <w:fldChar w:fldCharType="begin"/>
      </w:r>
      <w:r>
        <w:instrText xml:space="preserve"> PAGEREF _Toc33534190 \h </w:instrText>
      </w:r>
      <w:r>
        <w:fldChar w:fldCharType="separate"/>
      </w:r>
      <w:r>
        <w:t>31</w:t>
      </w:r>
      <w:r>
        <w:fldChar w:fldCharType="end"/>
      </w:r>
    </w:p>
    <w:p>
      <w:pPr>
        <w:pStyle w:val="TOC8"/>
        <w:rPr>
          <w:rFonts w:asciiTheme="minorHAnsi" w:eastAsiaTheme="minorEastAsia" w:hAnsiTheme="minorHAnsi" w:cstheme="minorBidi"/>
          <w:szCs w:val="22"/>
        </w:rPr>
      </w:pPr>
      <w:r>
        <w:t>23D.</w:t>
      </w:r>
      <w:r>
        <w:tab/>
        <w:t>Recognition of previous determinations</w:t>
      </w:r>
      <w:r>
        <w:tab/>
      </w:r>
      <w:r>
        <w:fldChar w:fldCharType="begin"/>
      </w:r>
      <w:r>
        <w:instrText xml:space="preserve"> PAGEREF _Toc33534191 \h </w:instrText>
      </w:r>
      <w:r>
        <w:fldChar w:fldCharType="separate"/>
      </w:r>
      <w:r>
        <w:t>32</w:t>
      </w:r>
      <w:r>
        <w:fldChar w:fldCharType="end"/>
      </w:r>
    </w:p>
    <w:p>
      <w:pPr>
        <w:pStyle w:val="TOC8"/>
        <w:rPr>
          <w:rFonts w:asciiTheme="minorHAnsi" w:eastAsiaTheme="minorEastAsia" w:hAnsiTheme="minorHAnsi" w:cstheme="minorBidi"/>
          <w:szCs w:val="22"/>
        </w:rPr>
      </w:pPr>
      <w:r>
        <w:t>23E.</w:t>
      </w:r>
      <w:r>
        <w:tab/>
        <w:t>Determination may be made by consent</w:t>
      </w:r>
      <w:r>
        <w:tab/>
      </w:r>
      <w:r>
        <w:fldChar w:fldCharType="begin"/>
      </w:r>
      <w:r>
        <w:instrText xml:space="preserve"> PAGEREF _Toc33534192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Discontinued regime for lump sum payments for specified injuries</w:t>
      </w:r>
    </w:p>
    <w:p>
      <w:pPr>
        <w:pStyle w:val="TOC8"/>
        <w:rPr>
          <w:rFonts w:asciiTheme="minorHAnsi" w:eastAsiaTheme="minorEastAsia" w:hAnsiTheme="minorHAnsi" w:cstheme="minorBidi"/>
          <w:szCs w:val="22"/>
        </w:rPr>
      </w:pPr>
      <w:r>
        <w:t>24</w:t>
      </w:r>
      <w:r>
        <w:rPr>
          <w:snapToGrid w:val="0"/>
        </w:rPr>
        <w:t>.</w:t>
      </w:r>
      <w:r>
        <w:rPr>
          <w:snapToGrid w:val="0"/>
        </w:rPr>
        <w:tab/>
        <w:t>Injuries in Sch. 2 occurring before 14 Nov 2005, worker may elect to get lump sum for</w:t>
      </w:r>
      <w:r>
        <w:tab/>
      </w:r>
      <w:r>
        <w:fldChar w:fldCharType="begin"/>
      </w:r>
      <w:r>
        <w:instrText xml:space="preserve"> PAGEREF _Toc33534194 \h </w:instrText>
      </w:r>
      <w:r>
        <w:fldChar w:fldCharType="separate"/>
      </w:r>
      <w:r>
        <w:t>33</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Noise induced hearing loss, worker may elect to get lump sum for in some cases</w:t>
      </w:r>
      <w:r>
        <w:tab/>
      </w:r>
      <w:r>
        <w:fldChar w:fldCharType="begin"/>
      </w:r>
      <w:r>
        <w:instrText xml:space="preserve"> PAGEREF _Toc33534195 \h </w:instrText>
      </w:r>
      <w:r>
        <w:fldChar w:fldCharType="separate"/>
      </w:r>
      <w:r>
        <w:t>33</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Election under s. 24 or 24A</w:t>
      </w:r>
      <w:r>
        <w:tab/>
      </w:r>
      <w:r>
        <w:fldChar w:fldCharType="begin"/>
      </w:r>
      <w:r>
        <w:instrText xml:space="preserve"> PAGEREF _Toc33534196 \h </w:instrText>
      </w:r>
      <w:r>
        <w:fldChar w:fldCharType="separate"/>
      </w:r>
      <w:r>
        <w:t>35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Term used: loss of</w:t>
      </w:r>
      <w:r>
        <w:tab/>
      </w:r>
      <w:r>
        <w:fldChar w:fldCharType="begin"/>
      </w:r>
      <w:r>
        <w:instrText xml:space="preserve"> PAGEREF _Toc33534197 \h </w:instrText>
      </w:r>
      <w:r>
        <w:fldChar w:fldCharType="separate"/>
      </w:r>
      <w:r>
        <w:t>36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Further loss of use of part or faculty of body due to subsequent injury, compensation for</w:t>
      </w:r>
      <w:r>
        <w:tab/>
      </w:r>
      <w:r>
        <w:fldChar w:fldCharType="begin"/>
      </w:r>
      <w:r>
        <w:instrText xml:space="preserve"> PAGEREF _Toc33534198 \h </w:instrText>
      </w:r>
      <w:r>
        <w:fldChar w:fldCharType="separate"/>
      </w:r>
      <w:r>
        <w:t>37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Compensation decisions etc. made before 18 May 1978, on basis of Sch. 2, effect of</w:t>
      </w:r>
      <w:r>
        <w:tab/>
      </w:r>
      <w:r>
        <w:fldChar w:fldCharType="begin"/>
      </w:r>
      <w:r>
        <w:instrText xml:space="preserve"> PAGEREF _Toc33534199 \h </w:instrText>
      </w:r>
      <w:r>
        <w:fldChar w:fldCharType="separate"/>
      </w:r>
      <w:r>
        <w:t>38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Limit on compensation for worker electing under s. 24B</w:t>
      </w:r>
      <w:r>
        <w:tab/>
      </w:r>
      <w:r>
        <w:fldChar w:fldCharType="begin"/>
      </w:r>
      <w:r>
        <w:instrText xml:space="preserve"> PAGEREF _Toc33534200 \h </w:instrText>
      </w:r>
      <w:r>
        <w:fldChar w:fldCharType="separate"/>
      </w:r>
      <w:r>
        <w:t>38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Effect of s. 24 and 24A on compensation for incapacity</w:t>
      </w:r>
      <w:r>
        <w:tab/>
      </w:r>
      <w:r>
        <w:fldChar w:fldCharType="begin"/>
      </w:r>
      <w:r>
        <w:instrText xml:space="preserve"> PAGEREF _Toc33534201 \h </w:instrText>
      </w:r>
      <w:r>
        <w:fldChar w:fldCharType="separate"/>
      </w:r>
      <w:r>
        <w:t>38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Compensation payable before election under s. 24B</w:t>
      </w:r>
      <w:r>
        <w:tab/>
      </w:r>
      <w:r>
        <w:fldChar w:fldCharType="begin"/>
      </w:r>
      <w:r>
        <w:instrText xml:space="preserve"> PAGEREF _Toc33534202 \h </w:instrText>
      </w:r>
      <w:r>
        <w:fldChar w:fldCharType="separate"/>
      </w:r>
      <w:r>
        <w:t>39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Sch. 2 Part 1, interpretation of</w:t>
      </w:r>
      <w:r>
        <w:tab/>
      </w:r>
      <w:r>
        <w:fldChar w:fldCharType="begin"/>
      </w:r>
      <w:r>
        <w:instrText xml:space="preserve"> PAGEREF _Toc33534203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2A — New regime for lump sum payments for specified injuries</w:t>
      </w:r>
    </w:p>
    <w:p>
      <w:pPr>
        <w:pStyle w:val="TOC8"/>
        <w:rPr>
          <w:rFonts w:asciiTheme="minorHAnsi" w:eastAsiaTheme="minorEastAsia" w:hAnsiTheme="minorHAnsi" w:cstheme="minorBidi"/>
          <w:szCs w:val="22"/>
        </w:rPr>
      </w:pPr>
      <w:r>
        <w:t>31A.</w:t>
      </w:r>
      <w:r>
        <w:tab/>
        <w:t>Application of Division</w:t>
      </w:r>
      <w:r>
        <w:tab/>
      </w:r>
      <w:r>
        <w:fldChar w:fldCharType="begin"/>
      </w:r>
      <w:r>
        <w:instrText xml:space="preserve"> PAGEREF _Toc33534205 \h </w:instrText>
      </w:r>
      <w:r>
        <w:fldChar w:fldCharType="separate"/>
      </w:r>
      <w:r>
        <w:t>40</w:t>
      </w:r>
      <w:r>
        <w:fldChar w:fldCharType="end"/>
      </w:r>
    </w:p>
    <w:p>
      <w:pPr>
        <w:pStyle w:val="TOC8"/>
        <w:rPr>
          <w:rFonts w:asciiTheme="minorHAnsi" w:eastAsiaTheme="minorEastAsia" w:hAnsiTheme="minorHAnsi" w:cstheme="minorBidi"/>
          <w:szCs w:val="22"/>
        </w:rPr>
      </w:pPr>
      <w:r>
        <w:t>31B.</w:t>
      </w:r>
      <w:r>
        <w:tab/>
        <w:t>Term used: degree of permanent impairment</w:t>
      </w:r>
      <w:r>
        <w:tab/>
      </w:r>
      <w:r>
        <w:fldChar w:fldCharType="begin"/>
      </w:r>
      <w:r>
        <w:instrText xml:space="preserve"> PAGEREF _Toc33534206 \h </w:instrText>
      </w:r>
      <w:r>
        <w:fldChar w:fldCharType="separate"/>
      </w:r>
      <w:r>
        <w:t>40</w:t>
      </w:r>
      <w:r>
        <w:fldChar w:fldCharType="end"/>
      </w:r>
    </w:p>
    <w:p>
      <w:pPr>
        <w:pStyle w:val="TOC8"/>
        <w:rPr>
          <w:rFonts w:asciiTheme="minorHAnsi" w:eastAsiaTheme="minorEastAsia" w:hAnsiTheme="minorHAnsi" w:cstheme="minorBidi"/>
          <w:szCs w:val="22"/>
        </w:rPr>
      </w:pPr>
      <w:r>
        <w:t>31C.</w:t>
      </w:r>
      <w:r>
        <w:tab/>
        <w:t>Permanent impairments in Sch. 2, worker may elect to get lump sum for</w:t>
      </w:r>
      <w:r>
        <w:tab/>
      </w:r>
      <w:r>
        <w:fldChar w:fldCharType="begin"/>
      </w:r>
      <w:r>
        <w:instrText xml:space="preserve"> PAGEREF _Toc33534207 \h </w:instrText>
      </w:r>
      <w:r>
        <w:fldChar w:fldCharType="separate"/>
      </w:r>
      <w:r>
        <w:t>41</w:t>
      </w:r>
      <w:r>
        <w:fldChar w:fldCharType="end"/>
      </w:r>
    </w:p>
    <w:p>
      <w:pPr>
        <w:pStyle w:val="TOC8"/>
        <w:rPr>
          <w:rFonts w:asciiTheme="minorHAnsi" w:eastAsiaTheme="minorEastAsia" w:hAnsiTheme="minorHAnsi" w:cstheme="minorBidi"/>
          <w:szCs w:val="22"/>
        </w:rPr>
      </w:pPr>
      <w:r>
        <w:t>31D.</w:t>
      </w:r>
      <w:r>
        <w:tab/>
        <w:t>Permanent impairments in Sch. 2, assessment of degree of</w:t>
      </w:r>
      <w:r>
        <w:tab/>
      </w:r>
      <w:r>
        <w:fldChar w:fldCharType="begin"/>
      </w:r>
      <w:r>
        <w:instrText xml:space="preserve"> PAGEREF _Toc33534208 \h </w:instrText>
      </w:r>
      <w:r>
        <w:fldChar w:fldCharType="separate"/>
      </w:r>
      <w:r>
        <w:t>41</w:t>
      </w:r>
      <w:r>
        <w:fldChar w:fldCharType="end"/>
      </w:r>
    </w:p>
    <w:p>
      <w:pPr>
        <w:pStyle w:val="TOC8"/>
        <w:rPr>
          <w:rFonts w:asciiTheme="minorHAnsi" w:eastAsiaTheme="minorEastAsia" w:hAnsiTheme="minorHAnsi" w:cstheme="minorBidi"/>
          <w:szCs w:val="22"/>
        </w:rPr>
      </w:pPr>
      <w:r>
        <w:t>31E.</w:t>
      </w:r>
      <w:r>
        <w:tab/>
        <w:t>Noise induced hearing loss, worker may elect to get lump sum for in some cases</w:t>
      </w:r>
      <w:r>
        <w:tab/>
      </w:r>
      <w:r>
        <w:fldChar w:fldCharType="begin"/>
      </w:r>
      <w:r>
        <w:instrText xml:space="preserve"> PAGEREF _Toc33534209 \h </w:instrText>
      </w:r>
      <w:r>
        <w:fldChar w:fldCharType="separate"/>
      </w:r>
      <w:r>
        <w:t>42</w:t>
      </w:r>
      <w:r>
        <w:fldChar w:fldCharType="end"/>
      </w:r>
    </w:p>
    <w:p>
      <w:pPr>
        <w:pStyle w:val="TOC8"/>
        <w:rPr>
          <w:rFonts w:asciiTheme="minorHAnsi" w:eastAsiaTheme="minorEastAsia" w:hAnsiTheme="minorHAnsi" w:cstheme="minorBidi"/>
          <w:szCs w:val="22"/>
        </w:rPr>
      </w:pPr>
      <w:r>
        <w:t>31F.</w:t>
      </w:r>
      <w:r>
        <w:tab/>
        <w:t>AIDS, compensation for</w:t>
      </w:r>
      <w:r>
        <w:tab/>
      </w:r>
      <w:r>
        <w:fldChar w:fldCharType="begin"/>
      </w:r>
      <w:r>
        <w:instrText xml:space="preserve"> PAGEREF _Toc33534210 \h </w:instrText>
      </w:r>
      <w:r>
        <w:fldChar w:fldCharType="separate"/>
      </w:r>
      <w:r>
        <w:t>44</w:t>
      </w:r>
      <w:r>
        <w:fldChar w:fldCharType="end"/>
      </w:r>
    </w:p>
    <w:p>
      <w:pPr>
        <w:pStyle w:val="TOC8"/>
        <w:rPr>
          <w:rFonts w:asciiTheme="minorHAnsi" w:eastAsiaTheme="minorEastAsia" w:hAnsiTheme="minorHAnsi" w:cstheme="minorBidi"/>
          <w:szCs w:val="22"/>
        </w:rPr>
      </w:pPr>
      <w:r>
        <w:t>31G.</w:t>
      </w:r>
      <w:r>
        <w:tab/>
      </w:r>
      <w:r>
        <w:rPr>
          <w:snapToGrid w:val="0"/>
        </w:rPr>
        <w:t>Further loss of use of part or faculty of body due to subsequent injury, compensation for</w:t>
      </w:r>
      <w:r>
        <w:tab/>
      </w:r>
      <w:r>
        <w:fldChar w:fldCharType="begin"/>
      </w:r>
      <w:r>
        <w:instrText xml:space="preserve"> PAGEREF _Toc33534211 \h </w:instrText>
      </w:r>
      <w:r>
        <w:fldChar w:fldCharType="separate"/>
      </w:r>
      <w:r>
        <w:t>45</w:t>
      </w:r>
      <w:r>
        <w:fldChar w:fldCharType="end"/>
      </w:r>
    </w:p>
    <w:p>
      <w:pPr>
        <w:pStyle w:val="TOC8"/>
        <w:rPr>
          <w:rFonts w:asciiTheme="minorHAnsi" w:eastAsiaTheme="minorEastAsia" w:hAnsiTheme="minorHAnsi" w:cstheme="minorBidi"/>
          <w:szCs w:val="22"/>
        </w:rPr>
      </w:pPr>
      <w:r>
        <w:t>31H.</w:t>
      </w:r>
      <w:r>
        <w:tab/>
        <w:t>Election under s. 31C or 31E</w:t>
      </w:r>
      <w:r>
        <w:tab/>
      </w:r>
      <w:r>
        <w:fldChar w:fldCharType="begin"/>
      </w:r>
      <w:r>
        <w:instrText xml:space="preserve"> PAGEREF _Toc33534212 \h </w:instrText>
      </w:r>
      <w:r>
        <w:fldChar w:fldCharType="separate"/>
      </w:r>
      <w:r>
        <w:t>46</w:t>
      </w:r>
      <w:r>
        <w:fldChar w:fldCharType="end"/>
      </w:r>
    </w:p>
    <w:p>
      <w:pPr>
        <w:pStyle w:val="TOC8"/>
        <w:rPr>
          <w:rFonts w:asciiTheme="minorHAnsi" w:eastAsiaTheme="minorEastAsia" w:hAnsiTheme="minorHAnsi" w:cstheme="minorBidi"/>
          <w:szCs w:val="22"/>
        </w:rPr>
      </w:pPr>
      <w:r>
        <w:t>31I.</w:t>
      </w:r>
      <w:r>
        <w:tab/>
        <w:t>Effect of election under s. 31H</w:t>
      </w:r>
      <w:r>
        <w:tab/>
      </w:r>
      <w:r>
        <w:fldChar w:fldCharType="begin"/>
      </w:r>
      <w:r>
        <w:instrText xml:space="preserve"> PAGEREF _Toc33534213 \h </w:instrText>
      </w:r>
      <w:r>
        <w:fldChar w:fldCharType="separate"/>
      </w:r>
      <w:r>
        <w:t>47</w:t>
      </w:r>
      <w:r>
        <w:fldChar w:fldCharType="end"/>
      </w:r>
    </w:p>
    <w:p>
      <w:pPr>
        <w:pStyle w:val="TOC8"/>
        <w:rPr>
          <w:rFonts w:asciiTheme="minorHAnsi" w:eastAsiaTheme="minorEastAsia" w:hAnsiTheme="minorHAnsi" w:cstheme="minorBidi"/>
          <w:szCs w:val="22"/>
        </w:rPr>
      </w:pPr>
      <w:r>
        <w:t>31J.</w:t>
      </w:r>
      <w:r>
        <w:tab/>
        <w:t>Limit on compensation for worker electing under s. 31H</w:t>
      </w:r>
      <w:r>
        <w:tab/>
      </w:r>
      <w:r>
        <w:fldChar w:fldCharType="begin"/>
      </w:r>
      <w:r>
        <w:instrText xml:space="preserve"> PAGEREF _Toc33534214 \h </w:instrText>
      </w:r>
      <w:r>
        <w:fldChar w:fldCharType="separate"/>
      </w:r>
      <w:r>
        <w:t>48</w:t>
      </w:r>
      <w:r>
        <w:fldChar w:fldCharType="end"/>
      </w:r>
    </w:p>
    <w:p>
      <w:pPr>
        <w:pStyle w:val="TOC8"/>
        <w:rPr>
          <w:rFonts w:asciiTheme="minorHAnsi" w:eastAsiaTheme="minorEastAsia" w:hAnsiTheme="minorHAnsi" w:cstheme="minorBidi"/>
          <w:szCs w:val="22"/>
        </w:rPr>
      </w:pPr>
      <w:r>
        <w:t>31K.</w:t>
      </w:r>
      <w:r>
        <w:tab/>
        <w:t>Compensation payable before election under s. 31H</w:t>
      </w:r>
      <w:r>
        <w:tab/>
      </w:r>
      <w:r>
        <w:fldChar w:fldCharType="begin"/>
      </w:r>
      <w:r>
        <w:instrText xml:space="preserve"> PAGEREF _Toc33534215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Injury: specified industrial diseases</w:t>
      </w:r>
    </w:p>
    <w:p>
      <w:pPr>
        <w:pStyle w:val="TOC8"/>
        <w:rPr>
          <w:rFonts w:asciiTheme="minorHAnsi" w:eastAsiaTheme="minorEastAsia" w:hAnsiTheme="minorHAnsi" w:cstheme="minorBidi"/>
          <w:szCs w:val="22"/>
        </w:rPr>
      </w:pPr>
      <w:r>
        <w:t>32</w:t>
      </w:r>
      <w:r>
        <w:rPr>
          <w:snapToGrid w:val="0"/>
        </w:rPr>
        <w:t>.</w:t>
      </w:r>
      <w:r>
        <w:rPr>
          <w:snapToGrid w:val="0"/>
        </w:rPr>
        <w:tab/>
        <w:t>Some industrial diseases in Sch. 3, compensation for</w:t>
      </w:r>
      <w:r>
        <w:tab/>
      </w:r>
      <w:r>
        <w:fldChar w:fldCharType="begin"/>
      </w:r>
      <w:r>
        <w:instrText xml:space="preserve"> PAGEREF _Toc33534217 \h </w:instrText>
      </w:r>
      <w:r>
        <w:fldChar w:fldCharType="separate"/>
      </w:r>
      <w:r>
        <w:t>49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r>
      <w:r>
        <w:rPr>
          <w:bCs/>
        </w:rPr>
        <w:t>Pneumoconiosis, mesothelioma, lung cancer or diffuse pleural fibrosis</w:t>
      </w:r>
      <w:r>
        <w:tab/>
      </w:r>
      <w:r>
        <w:fldChar w:fldCharType="begin"/>
      </w:r>
      <w:r>
        <w:instrText xml:space="preserve"> PAGEREF _Toc33534218 \h </w:instrText>
      </w:r>
      <w:r>
        <w:fldChar w:fldCharType="separate"/>
      </w:r>
      <w:r>
        <w:t>49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Chronic bronchitis and pneumoconiosis, limit on compensation for</w:t>
      </w:r>
      <w:r>
        <w:tab/>
      </w:r>
      <w:r>
        <w:fldChar w:fldCharType="begin"/>
      </w:r>
      <w:r>
        <w:instrText xml:space="preserve"> PAGEREF _Toc33534219 \h </w:instrText>
      </w:r>
      <w:r>
        <w:fldChar w:fldCharType="separate"/>
      </w:r>
      <w:r>
        <w:t>50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Lung cancer and asbestosis, limit on compensation for</w:t>
      </w:r>
      <w:r>
        <w:tab/>
      </w:r>
      <w:r>
        <w:fldChar w:fldCharType="begin"/>
      </w:r>
      <w:r>
        <w:instrText xml:space="preserve"> PAGEREF _Toc33534220 \h </w:instrText>
      </w:r>
      <w:r>
        <w:fldChar w:fldCharType="separate"/>
      </w:r>
      <w:r>
        <w:t>51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 under s. 33 or 34, referring worker to medical panel</w:t>
      </w:r>
      <w:r>
        <w:tab/>
      </w:r>
      <w:r>
        <w:fldChar w:fldCharType="begin"/>
      </w:r>
      <w:r>
        <w:instrText xml:space="preserve"> PAGEREF _Toc33534221 \h </w:instrText>
      </w:r>
      <w:r>
        <w:fldChar w:fldCharType="separate"/>
      </w:r>
      <w:r>
        <w:t>51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Oral submission to medical panel by medical practitioner</w:t>
      </w:r>
      <w:r>
        <w:tab/>
      </w:r>
      <w:r>
        <w:fldChar w:fldCharType="begin"/>
      </w:r>
      <w:r>
        <w:instrText xml:space="preserve"> PAGEREF _Toc33534222 \h </w:instrText>
      </w:r>
      <w:r>
        <w:fldChar w:fldCharType="separate"/>
      </w:r>
      <w:r>
        <w:t>52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Questions to be determined by medical panel</w:t>
      </w:r>
      <w:r>
        <w:tab/>
      </w:r>
      <w:r>
        <w:fldChar w:fldCharType="begin"/>
      </w:r>
      <w:r>
        <w:instrText xml:space="preserve"> PAGEREF _Toc33534223 \h </w:instrText>
      </w:r>
      <w:r>
        <w:fldChar w:fldCharType="separate"/>
      </w:r>
      <w:r>
        <w:t>52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Tuberculosis and pneumoconiosis, compensation for</w:t>
      </w:r>
      <w:r>
        <w:tab/>
      </w:r>
      <w:r>
        <w:fldChar w:fldCharType="begin"/>
      </w:r>
      <w:r>
        <w:instrText xml:space="preserve"> PAGEREF _Toc33534224 \h </w:instrText>
      </w:r>
      <w:r>
        <w:fldChar w:fldCharType="separate"/>
      </w:r>
      <w:r>
        <w:t>53</w:t>
      </w:r>
      <w:r>
        <w:fldChar w:fldCharType="end"/>
      </w:r>
    </w:p>
    <w:p>
      <w:pPr>
        <w:pStyle w:val="TOC8"/>
        <w:rPr>
          <w:rFonts w:asciiTheme="minorHAnsi" w:eastAsiaTheme="minorEastAsia" w:hAnsiTheme="minorHAnsi" w:cstheme="minorBidi"/>
          <w:szCs w:val="22"/>
        </w:rPr>
      </w:pPr>
      <w:r>
        <w:t>40.</w:t>
      </w:r>
      <w:r>
        <w:tab/>
        <w:t>Death without prior incapacity, effect of for this Division</w:t>
      </w:r>
      <w:r>
        <w:tab/>
      </w:r>
      <w:r>
        <w:fldChar w:fldCharType="begin"/>
      </w:r>
      <w:r>
        <w:instrText xml:space="preserve"> PAGEREF _Toc33534225 \h </w:instrText>
      </w:r>
      <w:r>
        <w:fldChar w:fldCharType="separate"/>
      </w:r>
      <w:r>
        <w:t>54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Last employer liable but may join others</w:t>
      </w:r>
      <w:r>
        <w:tab/>
      </w:r>
      <w:r>
        <w:fldChar w:fldCharType="begin"/>
      </w:r>
      <w:r>
        <w:instrText xml:space="preserve"> PAGEREF _Toc33534226 \h </w:instrText>
      </w:r>
      <w:r>
        <w:fldChar w:fldCharType="separate"/>
      </w:r>
      <w:r>
        <w:t>54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compensation calculated</w:t>
      </w:r>
      <w:r>
        <w:tab/>
      </w:r>
      <w:r>
        <w:fldChar w:fldCharType="begin"/>
      </w:r>
      <w:r>
        <w:instrText xml:space="preserve"> PAGEREF _Toc33534227 \h </w:instrText>
      </w:r>
      <w:r>
        <w:fldChar w:fldCharType="separate"/>
      </w:r>
      <w:r>
        <w:t>55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Employer to whom notice to be given</w:t>
      </w:r>
      <w:r>
        <w:tab/>
      </w:r>
      <w:r>
        <w:fldChar w:fldCharType="begin"/>
      </w:r>
      <w:r>
        <w:instrText xml:space="preserve"> PAGEREF _Toc33534228 \h </w:instrText>
      </w:r>
      <w:r>
        <w:fldChar w:fldCharType="separate"/>
      </w:r>
      <w:r>
        <w:t>55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Diseases in Sch. 3 deemed due to employment in process in Sch. 3</w:t>
      </w:r>
      <w:r>
        <w:tab/>
      </w:r>
      <w:r>
        <w:fldChar w:fldCharType="begin"/>
      </w:r>
      <w:r>
        <w:instrText xml:space="preserve"> PAGEREF _Toc33534229 \h </w:instrText>
      </w:r>
      <w:r>
        <w:fldChar w:fldCharType="separate"/>
      </w:r>
      <w:r>
        <w:t>56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Additions to Sch. 3</w:t>
      </w:r>
      <w:r>
        <w:tab/>
      </w:r>
      <w:r>
        <w:fldChar w:fldCharType="begin"/>
      </w:r>
      <w:r>
        <w:instrText xml:space="preserve"> PAGEREF _Toc33534230 \h </w:instrText>
      </w:r>
      <w:r>
        <w:fldChar w:fldCharType="separate"/>
      </w:r>
      <w:r>
        <w:t>56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Compensation limited to prescribed amount</w:t>
      </w:r>
      <w:r>
        <w:tab/>
      </w:r>
      <w:r>
        <w:fldChar w:fldCharType="begin"/>
      </w:r>
      <w:r>
        <w:instrText xml:space="preserve"> PAGEREF _Toc33534231 \h </w:instrText>
      </w:r>
      <w:r>
        <w:fldChar w:fldCharType="separate"/>
      </w:r>
      <w:r>
        <w:t>57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Some workers not entitled to compensation</w:t>
      </w:r>
      <w:r>
        <w:tab/>
      </w:r>
      <w:r>
        <w:fldChar w:fldCharType="begin"/>
      </w:r>
      <w:r>
        <w:instrText xml:space="preserve"> PAGEREF _Toc33534232 \h </w:instrText>
      </w:r>
      <w:r>
        <w:fldChar w:fldCharType="separate"/>
      </w:r>
      <w:r>
        <w:t>57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Sch. 3 diseases to be notified by employer etc.</w:t>
      </w:r>
      <w:r>
        <w:tab/>
      </w:r>
      <w:r>
        <w:fldChar w:fldCharType="begin"/>
      </w:r>
      <w:r>
        <w:instrText xml:space="preserve"> PAGEREF _Toc33534233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4A — Injury: specified diseases contracted by firefighters</w:t>
      </w:r>
    </w:p>
    <w:p>
      <w:pPr>
        <w:pStyle w:val="TOC8"/>
        <w:rPr>
          <w:rFonts w:asciiTheme="minorHAnsi" w:eastAsiaTheme="minorEastAsia" w:hAnsiTheme="minorHAnsi" w:cstheme="minorBidi"/>
          <w:szCs w:val="22"/>
        </w:rPr>
      </w:pPr>
      <w:r>
        <w:t>49A.</w:t>
      </w:r>
      <w:r>
        <w:tab/>
        <w:t>Terms used</w:t>
      </w:r>
      <w:r>
        <w:tab/>
      </w:r>
      <w:r>
        <w:fldChar w:fldCharType="begin"/>
      </w:r>
      <w:r>
        <w:instrText xml:space="preserve"> PAGEREF _Toc33534235 \h </w:instrText>
      </w:r>
      <w:r>
        <w:fldChar w:fldCharType="separate"/>
      </w:r>
      <w:r>
        <w:t>59</w:t>
      </w:r>
      <w:r>
        <w:fldChar w:fldCharType="end"/>
      </w:r>
    </w:p>
    <w:p>
      <w:pPr>
        <w:pStyle w:val="TOC8"/>
        <w:rPr>
          <w:rFonts w:asciiTheme="minorHAnsi" w:eastAsiaTheme="minorEastAsia" w:hAnsiTheme="minorHAnsi" w:cstheme="minorBidi"/>
          <w:szCs w:val="22"/>
        </w:rPr>
      </w:pPr>
      <w:r>
        <w:t>49B.</w:t>
      </w:r>
      <w:r>
        <w:tab/>
        <w:t>Application of Division</w:t>
      </w:r>
      <w:r>
        <w:tab/>
      </w:r>
      <w:r>
        <w:fldChar w:fldCharType="begin"/>
      </w:r>
      <w:r>
        <w:instrText xml:space="preserve"> PAGEREF _Toc33534236 \h </w:instrText>
      </w:r>
      <w:r>
        <w:fldChar w:fldCharType="separate"/>
      </w:r>
      <w:r>
        <w:t>61</w:t>
      </w:r>
      <w:r>
        <w:fldChar w:fldCharType="end"/>
      </w:r>
    </w:p>
    <w:p>
      <w:pPr>
        <w:pStyle w:val="TOC8"/>
        <w:rPr>
          <w:rFonts w:asciiTheme="minorHAnsi" w:eastAsiaTheme="minorEastAsia" w:hAnsiTheme="minorHAnsi" w:cstheme="minorBidi"/>
          <w:szCs w:val="22"/>
        </w:rPr>
      </w:pPr>
      <w:r>
        <w:t>49C.</w:t>
      </w:r>
      <w:r>
        <w:tab/>
        <w:t>When firefighting employment taken to contribute to specified disease</w:t>
      </w:r>
      <w:r>
        <w:tab/>
      </w:r>
      <w:r>
        <w:fldChar w:fldCharType="begin"/>
      </w:r>
      <w:r>
        <w:instrText xml:space="preserve"> PAGEREF _Toc33534237 \h </w:instrText>
      </w:r>
      <w:r>
        <w:fldChar w:fldCharType="separate"/>
      </w:r>
      <w:r>
        <w:t>61</w:t>
      </w:r>
      <w:r>
        <w:fldChar w:fldCharType="end"/>
      </w:r>
    </w:p>
    <w:p>
      <w:pPr>
        <w:pStyle w:val="TOC8"/>
        <w:rPr>
          <w:rFonts w:asciiTheme="minorHAnsi" w:eastAsiaTheme="minorEastAsia" w:hAnsiTheme="minorHAnsi" w:cstheme="minorBidi"/>
          <w:szCs w:val="22"/>
        </w:rPr>
      </w:pPr>
      <w:r>
        <w:t>49D.</w:t>
      </w:r>
      <w:r>
        <w:tab/>
        <w:t>Date of injury</w:t>
      </w:r>
      <w:r>
        <w:tab/>
      </w:r>
      <w:r>
        <w:fldChar w:fldCharType="begin"/>
      </w:r>
      <w:r>
        <w:instrText xml:space="preserve"> PAGEREF _Toc33534238 \h </w:instrText>
      </w:r>
      <w:r>
        <w:fldChar w:fldCharType="separate"/>
      </w:r>
      <w:r>
        <w:t>62</w:t>
      </w:r>
      <w:r>
        <w:fldChar w:fldCharType="end"/>
      </w:r>
    </w:p>
    <w:p>
      <w:pPr>
        <w:pStyle w:val="TOC8"/>
        <w:rPr>
          <w:rFonts w:asciiTheme="minorHAnsi" w:eastAsiaTheme="minorEastAsia" w:hAnsiTheme="minorHAnsi" w:cstheme="minorBidi"/>
          <w:szCs w:val="22"/>
        </w:rPr>
      </w:pPr>
      <w:r>
        <w:t>49E.</w:t>
      </w:r>
      <w:r>
        <w:tab/>
        <w:t>Review of Division</w:t>
      </w:r>
      <w:r>
        <w:tab/>
      </w:r>
      <w:r>
        <w:fldChar w:fldCharType="begin"/>
      </w:r>
      <w:r>
        <w:instrText xml:space="preserve"> PAGEREF _Toc33534239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 — Injury: specified losses of functions</w:t>
      </w:r>
    </w:p>
    <w:p>
      <w:pPr>
        <w:pStyle w:val="TOC8"/>
        <w:rPr>
          <w:rFonts w:asciiTheme="minorHAnsi" w:eastAsiaTheme="minorEastAsia" w:hAnsiTheme="minorHAnsi" w:cstheme="minorBidi"/>
          <w:szCs w:val="22"/>
        </w:rPr>
      </w:pPr>
      <w:r>
        <w:t>49.</w:t>
      </w:r>
      <w:r>
        <w:tab/>
        <w:t>Loss of function in Sch. 4, when injury occurs as a result of</w:t>
      </w:r>
      <w:r>
        <w:tab/>
      </w:r>
      <w:r>
        <w:fldChar w:fldCharType="begin"/>
      </w:r>
      <w:r>
        <w:instrText xml:space="preserve"> PAGEREF _Toc33534241 \h </w:instrText>
      </w:r>
      <w:r>
        <w:fldChar w:fldCharType="separate"/>
      </w:r>
      <w:r>
        <w:t>63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Last employer liable but may join others</w:t>
      </w:r>
      <w:r>
        <w:tab/>
      </w:r>
      <w:r>
        <w:fldChar w:fldCharType="begin"/>
      </w:r>
      <w:r>
        <w:instrText xml:space="preserve"> PAGEREF _Toc33534242 \h </w:instrText>
      </w:r>
      <w:r>
        <w:fldChar w:fldCharType="separate"/>
      </w:r>
      <w:r>
        <w:t>63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compensation calculated</w:t>
      </w:r>
      <w:r>
        <w:tab/>
      </w:r>
      <w:r>
        <w:fldChar w:fldCharType="begin"/>
      </w:r>
      <w:r>
        <w:instrText xml:space="preserve"> PAGEREF _Toc33534243 \h </w:instrText>
      </w:r>
      <w:r>
        <w:fldChar w:fldCharType="separate"/>
      </w:r>
      <w:r>
        <w:t>64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Employer to whom notice given</w:t>
      </w:r>
      <w:r>
        <w:tab/>
      </w:r>
      <w:r>
        <w:fldChar w:fldCharType="begin"/>
      </w:r>
      <w:r>
        <w:instrText xml:space="preserve"> PAGEREF _Toc33534244 \h </w:instrText>
      </w:r>
      <w:r>
        <w:fldChar w:fldCharType="separate"/>
      </w:r>
      <w:r>
        <w:t>64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Loss of function in Sch. 4 deemed due to employment in process in Sch. 4</w:t>
      </w:r>
      <w:r>
        <w:tab/>
      </w:r>
      <w:r>
        <w:fldChar w:fldCharType="begin"/>
      </w:r>
      <w:r>
        <w:instrText xml:space="preserve"> PAGEREF _Toc33534245 \h </w:instrText>
      </w:r>
      <w:r>
        <w:fldChar w:fldCharType="separate"/>
      </w:r>
      <w:r>
        <w:t>64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Additions to Sch. 4</w:t>
      </w:r>
      <w:r>
        <w:tab/>
      </w:r>
      <w:r>
        <w:fldChar w:fldCharType="begin"/>
      </w:r>
      <w:r>
        <w:instrText xml:space="preserve"> PAGEREF _Toc33534246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Commencement, review, suspension, and cessation of payments</w:t>
      </w:r>
    </w:p>
    <w:p>
      <w:pPr>
        <w:pStyle w:val="TOC8"/>
        <w:rPr>
          <w:rFonts w:asciiTheme="minorHAnsi" w:eastAsiaTheme="minorEastAsia" w:hAnsiTheme="minorHAnsi" w:cstheme="minorBidi"/>
          <w:szCs w:val="22"/>
        </w:rPr>
      </w:pPr>
      <w:r>
        <w:t>56</w:t>
      </w:r>
      <w:r>
        <w:rPr>
          <w:snapToGrid w:val="0"/>
        </w:rPr>
        <w:t>.</w:t>
      </w:r>
      <w:r>
        <w:rPr>
          <w:snapToGrid w:val="0"/>
        </w:rPr>
        <w:tab/>
        <w:t>When entitlement to weekly payments ceases due to age</w:t>
      </w:r>
      <w:r>
        <w:tab/>
      </w:r>
      <w:r>
        <w:fldChar w:fldCharType="begin"/>
      </w:r>
      <w:r>
        <w:instrText xml:space="preserve"> PAGEREF _Toc33534248 \h </w:instrText>
      </w:r>
      <w:r>
        <w:fldChar w:fldCharType="separate"/>
      </w:r>
      <w:r>
        <w:t>65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Effect of s. 56 on Sch. 2 and expenses</w:t>
      </w:r>
      <w:r>
        <w:tab/>
      </w:r>
      <w:r>
        <w:fldChar w:fldCharType="begin"/>
      </w:r>
      <w:r>
        <w:instrText xml:space="preserve"> PAGEREF _Toc33534249 \h </w:instrText>
      </w:r>
      <w:r>
        <w:fldChar w:fldCharType="separate"/>
      </w:r>
      <w:r>
        <w:t>66</w:t>
      </w:r>
      <w:r>
        <w:fldChar w:fldCharType="end"/>
      </w:r>
    </w:p>
    <w:p>
      <w:pPr>
        <w:pStyle w:val="TOC8"/>
        <w:rPr>
          <w:rFonts w:asciiTheme="minorHAnsi" w:eastAsiaTheme="minorEastAsia" w:hAnsiTheme="minorHAnsi" w:cstheme="minorBidi"/>
          <w:szCs w:val="22"/>
        </w:rPr>
      </w:pPr>
      <w:r>
        <w:t>57A</w:t>
      </w:r>
      <w:r>
        <w:rPr>
          <w:snapToGrid w:val="0"/>
        </w:rPr>
        <w:t>.</w:t>
      </w:r>
      <w:r>
        <w:rPr>
          <w:snapToGrid w:val="0"/>
        </w:rPr>
        <w:tab/>
        <w:t>Claims procedure where employer insured</w:t>
      </w:r>
      <w:r>
        <w:tab/>
      </w:r>
      <w:r>
        <w:fldChar w:fldCharType="begin"/>
      </w:r>
      <w:r>
        <w:instrText xml:space="preserve"> PAGEREF _Toc33534250 \h </w:instrText>
      </w:r>
      <w:r>
        <w:fldChar w:fldCharType="separate"/>
      </w:r>
      <w:r>
        <w:t>66</w:t>
      </w:r>
      <w:r>
        <w:fldChar w:fldCharType="end"/>
      </w:r>
    </w:p>
    <w:p>
      <w:pPr>
        <w:pStyle w:val="TOC8"/>
        <w:rPr>
          <w:rFonts w:asciiTheme="minorHAnsi" w:eastAsiaTheme="minorEastAsia" w:hAnsiTheme="minorHAnsi" w:cstheme="minorBidi"/>
          <w:szCs w:val="22"/>
        </w:rPr>
      </w:pPr>
      <w:r>
        <w:t>57B</w:t>
      </w:r>
      <w:r>
        <w:rPr>
          <w:snapToGrid w:val="0"/>
        </w:rPr>
        <w:t>.</w:t>
      </w:r>
      <w:r>
        <w:rPr>
          <w:snapToGrid w:val="0"/>
        </w:rPr>
        <w:tab/>
        <w:t>Claims procedure where employer is self</w:t>
      </w:r>
      <w:r>
        <w:rPr>
          <w:snapToGrid w:val="0"/>
        </w:rPr>
        <w:noBreakHyphen/>
        <w:t>insured or uninsured</w:t>
      </w:r>
      <w:r>
        <w:tab/>
      </w:r>
      <w:r>
        <w:fldChar w:fldCharType="begin"/>
      </w:r>
      <w:r>
        <w:instrText xml:space="preserve"> PAGEREF _Toc33534251 \h </w:instrText>
      </w:r>
      <w:r>
        <w:fldChar w:fldCharType="separate"/>
      </w:r>
      <w:r>
        <w:t>69</w:t>
      </w:r>
      <w:r>
        <w:fldChar w:fldCharType="end"/>
      </w:r>
    </w:p>
    <w:p>
      <w:pPr>
        <w:pStyle w:val="TOC8"/>
        <w:rPr>
          <w:rFonts w:asciiTheme="minorHAnsi" w:eastAsiaTheme="minorEastAsia" w:hAnsiTheme="minorHAnsi" w:cstheme="minorBidi"/>
          <w:szCs w:val="22"/>
        </w:rPr>
      </w:pPr>
      <w:r>
        <w:t>57BA.</w:t>
      </w:r>
      <w:r>
        <w:tab/>
        <w:t>Notices under s. 57A and 57B, form and content of</w:t>
      </w:r>
      <w:r>
        <w:tab/>
      </w:r>
      <w:r>
        <w:fldChar w:fldCharType="begin"/>
      </w:r>
      <w:r>
        <w:instrText xml:space="preserve"> PAGEREF _Toc33534252 \h </w:instrText>
      </w:r>
      <w:r>
        <w:fldChar w:fldCharType="separate"/>
      </w:r>
      <w:r>
        <w:t>72</w:t>
      </w:r>
      <w:r>
        <w:fldChar w:fldCharType="end"/>
      </w:r>
    </w:p>
    <w:p>
      <w:pPr>
        <w:pStyle w:val="TOC8"/>
        <w:rPr>
          <w:rFonts w:asciiTheme="minorHAnsi" w:eastAsiaTheme="minorEastAsia" w:hAnsiTheme="minorHAnsi" w:cstheme="minorBidi"/>
          <w:szCs w:val="22"/>
        </w:rPr>
      </w:pPr>
      <w:r>
        <w:t>57C</w:t>
      </w:r>
      <w:r>
        <w:rPr>
          <w:snapToGrid w:val="0"/>
        </w:rPr>
        <w:t>.</w:t>
      </w:r>
      <w:r>
        <w:rPr>
          <w:snapToGrid w:val="0"/>
        </w:rPr>
        <w:tab/>
        <w:t>Weekly payments, WorkCover WA to be notified about</w:t>
      </w:r>
      <w:r>
        <w:tab/>
      </w:r>
      <w:r>
        <w:fldChar w:fldCharType="begin"/>
      </w:r>
      <w:r>
        <w:instrText xml:space="preserve"> PAGEREF _Toc33534253 \h </w:instrText>
      </w:r>
      <w:r>
        <w:fldChar w:fldCharType="separate"/>
      </w:r>
      <w:r>
        <w:t>74</w:t>
      </w:r>
      <w:r>
        <w:fldChar w:fldCharType="end"/>
      </w:r>
    </w:p>
    <w:p>
      <w:pPr>
        <w:pStyle w:val="TOC8"/>
        <w:rPr>
          <w:rFonts w:asciiTheme="minorHAnsi" w:eastAsiaTheme="minorEastAsia" w:hAnsiTheme="minorHAnsi" w:cstheme="minorBidi"/>
          <w:szCs w:val="22"/>
        </w:rPr>
      </w:pPr>
      <w:r>
        <w:t>57D</w:t>
      </w:r>
      <w:r>
        <w:rPr>
          <w:snapToGrid w:val="0"/>
        </w:rPr>
        <w:t>.</w:t>
      </w:r>
      <w:r>
        <w:rPr>
          <w:snapToGrid w:val="0"/>
        </w:rPr>
        <w:tab/>
        <w:t>Confidentiality of information given under s. 57C</w:t>
      </w:r>
      <w:r>
        <w:tab/>
      </w:r>
      <w:r>
        <w:fldChar w:fldCharType="begin"/>
      </w:r>
      <w:r>
        <w:instrText xml:space="preserve"> PAGEREF _Toc33534254 \h </w:instrText>
      </w:r>
      <w:r>
        <w:fldChar w:fldCharType="separate"/>
      </w:r>
      <w:r>
        <w:t>75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Liability for weekly payments, arbitrator may determine</w:t>
      </w:r>
      <w:r>
        <w:tab/>
      </w:r>
      <w:r>
        <w:fldChar w:fldCharType="begin"/>
      </w:r>
      <w:r>
        <w:instrText xml:space="preserve"> PAGEREF _Toc33534255 \h </w:instrText>
      </w:r>
      <w:r>
        <w:fldChar w:fldCharType="separate"/>
      </w:r>
      <w:r>
        <w:t>76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Workers who claim compensation to notify employers as to remunerated work</w:t>
      </w:r>
      <w:r>
        <w:tab/>
      </w:r>
      <w:r>
        <w:fldChar w:fldCharType="begin"/>
      </w:r>
      <w:r>
        <w:instrText xml:space="preserve"> PAGEREF _Toc33534256 \h </w:instrText>
      </w:r>
      <w:r>
        <w:fldChar w:fldCharType="separate"/>
      </w:r>
      <w:r>
        <w:t>78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Discontinuing or reducing weekly payments, order as to</w:t>
      </w:r>
      <w:r>
        <w:tab/>
      </w:r>
      <w:r>
        <w:fldChar w:fldCharType="begin"/>
      </w:r>
      <w:r>
        <w:instrText xml:space="preserve"> PAGEREF _Toc33534257 \h </w:instrText>
      </w:r>
      <w:r>
        <w:fldChar w:fldCharType="separate"/>
      </w:r>
      <w:r>
        <w:t>80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Discontinuing or reducing weekly payments without order</w:t>
      </w:r>
      <w:r>
        <w:tab/>
      </w:r>
      <w:r>
        <w:fldChar w:fldCharType="begin"/>
      </w:r>
      <w:r>
        <w:instrText xml:space="preserve"> PAGEREF _Toc33534258 \h </w:instrText>
      </w:r>
      <w:r>
        <w:fldChar w:fldCharType="separate"/>
      </w:r>
      <w:r>
        <w:t>80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Reviewing and discontinuing, suspending or changing weekly payments</w:t>
      </w:r>
      <w:r>
        <w:tab/>
      </w:r>
      <w:r>
        <w:fldChar w:fldCharType="begin"/>
      </w:r>
      <w:r>
        <w:instrText xml:space="preserve"> PAGEREF _Toc33534259 \h </w:instrText>
      </w:r>
      <w:r>
        <w:fldChar w:fldCharType="separate"/>
      </w:r>
      <w:r>
        <w:t>83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compensation if right to compensation suspended</w:t>
      </w:r>
      <w:r>
        <w:tab/>
      </w:r>
      <w:r>
        <w:fldChar w:fldCharType="begin"/>
      </w:r>
      <w:r>
        <w:instrText xml:space="preserve"> PAGEREF _Toc33534260 \h </w:instrText>
      </w:r>
      <w:r>
        <w:fldChar w:fldCharType="separate"/>
      </w:r>
      <w:r>
        <w:t>84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Medical examination, worker claiming injury may be required to attend</w:t>
      </w:r>
      <w:r>
        <w:tab/>
      </w:r>
      <w:r>
        <w:fldChar w:fldCharType="begin"/>
      </w:r>
      <w:r>
        <w:instrText xml:space="preserve"> PAGEREF _Toc33534261 \h </w:instrText>
      </w:r>
      <w:r>
        <w:fldChar w:fldCharType="separate"/>
      </w:r>
      <w:r>
        <w:t>84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Periodical medical examination, workers on weekly payments may be required to attend</w:t>
      </w:r>
      <w:r>
        <w:tab/>
      </w:r>
      <w:r>
        <w:fldChar w:fldCharType="begin"/>
      </w:r>
      <w:r>
        <w:instrText xml:space="preserve"> PAGEREF _Toc33534262 \h </w:instrText>
      </w:r>
      <w:r>
        <w:fldChar w:fldCharType="separate"/>
      </w:r>
      <w:r>
        <w:t>84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Regulations as to medical examinations</w:t>
      </w:r>
      <w:r>
        <w:tab/>
      </w:r>
      <w:r>
        <w:fldChar w:fldCharType="begin"/>
      </w:r>
      <w:r>
        <w:instrText xml:space="preserve"> PAGEREF _Toc33534263 \h </w:instrText>
      </w:r>
      <w:r>
        <w:fldChar w:fldCharType="separate"/>
      </w:r>
      <w:r>
        <w:t>85</w:t>
      </w:r>
      <w:r>
        <w:fldChar w:fldCharType="end"/>
      </w:r>
    </w:p>
    <w:p>
      <w:pPr>
        <w:pStyle w:val="TOC8"/>
        <w:rPr>
          <w:rFonts w:asciiTheme="minorHAnsi" w:eastAsiaTheme="minorEastAsia" w:hAnsiTheme="minorHAnsi" w:cstheme="minorBidi"/>
          <w:szCs w:val="22"/>
        </w:rPr>
      </w:pPr>
      <w:r>
        <w:t>66A.</w:t>
      </w:r>
      <w:r>
        <w:tab/>
        <w:t>Additional medical examinations</w:t>
      </w:r>
      <w:r>
        <w:tab/>
      </w:r>
      <w:r>
        <w:fldChar w:fldCharType="begin"/>
      </w:r>
      <w:r>
        <w:instrText xml:space="preserve"> PAGEREF _Toc33534264 \h </w:instrText>
      </w:r>
      <w:r>
        <w:fldChar w:fldCharType="separate"/>
      </w:r>
      <w:r>
        <w:t>85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Lump sum in redemption of weekly payments</w:t>
      </w:r>
      <w:r>
        <w:tab/>
      </w:r>
      <w:r>
        <w:fldChar w:fldCharType="begin"/>
      </w:r>
      <w:r>
        <w:instrText xml:space="preserve"> PAGEREF _Toc33534265 \h </w:instrText>
      </w:r>
      <w:r>
        <w:fldChar w:fldCharType="separate"/>
      </w:r>
      <w:r>
        <w:t>86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Calculation of lump sum for s. 67(4)</w:t>
      </w:r>
      <w:r>
        <w:tab/>
      </w:r>
      <w:r>
        <w:fldChar w:fldCharType="begin"/>
      </w:r>
      <w:r>
        <w:instrText xml:space="preserve"> PAGEREF _Toc33534266 \h </w:instrText>
      </w:r>
      <w:r>
        <w:fldChar w:fldCharType="separate"/>
      </w:r>
      <w:r>
        <w:t>87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Worker not residing in WA, continuance of weekly payments to</w:t>
      </w:r>
      <w:r>
        <w:tab/>
      </w:r>
      <w:r>
        <w:fldChar w:fldCharType="begin"/>
      </w:r>
      <w:r>
        <w:instrText xml:space="preserve"> PAGEREF _Toc33534267 \h </w:instrText>
      </w:r>
      <w:r>
        <w:fldChar w:fldCharType="separate"/>
      </w:r>
      <w:r>
        <w:t>88</w:t>
      </w:r>
      <w:r>
        <w:fldChar w:fldCharType="end"/>
      </w:r>
    </w:p>
    <w:p>
      <w:pPr>
        <w:pStyle w:val="TOC8"/>
        <w:rPr>
          <w:rFonts w:asciiTheme="minorHAnsi" w:eastAsiaTheme="minorEastAsia" w:hAnsiTheme="minorHAnsi" w:cstheme="minorBidi"/>
          <w:szCs w:val="22"/>
        </w:rPr>
      </w:pPr>
      <w:r>
        <w:t>70.</w:t>
      </w:r>
      <w:r>
        <w:tab/>
        <w:t>Medical reports, provision of to worker or employer</w:t>
      </w:r>
      <w:r>
        <w:tab/>
      </w:r>
      <w:r>
        <w:fldChar w:fldCharType="begin"/>
      </w:r>
      <w:r>
        <w:instrText xml:space="preserve"> PAGEREF _Toc33534268 \h </w:instrText>
      </w:r>
      <w:r>
        <w:fldChar w:fldCharType="separate"/>
      </w:r>
      <w:r>
        <w:t>88</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Payments to unentitled person, recovery of</w:t>
      </w:r>
      <w:r>
        <w:tab/>
      </w:r>
      <w:r>
        <w:fldChar w:fldCharType="begin"/>
      </w:r>
      <w:r>
        <w:instrText xml:space="preserve"> PAGEREF _Toc33534269 \h </w:instrText>
      </w:r>
      <w:r>
        <w:fldChar w:fldCharType="separate"/>
      </w:r>
      <w:r>
        <w:t>89</w:t>
      </w:r>
      <w:r>
        <w:fldChar w:fldCharType="end"/>
      </w:r>
    </w:p>
    <w:p>
      <w:pPr>
        <w:pStyle w:val="TOC8"/>
        <w:rPr>
          <w:rFonts w:asciiTheme="minorHAnsi" w:eastAsiaTheme="minorEastAsia" w:hAnsiTheme="minorHAnsi" w:cstheme="minorBidi"/>
          <w:szCs w:val="22"/>
        </w:rPr>
      </w:pPr>
      <w:r>
        <w:t>72.</w:t>
      </w:r>
      <w:r>
        <w:tab/>
        <w:t>Suspending entitlement while worker in prison</w:t>
      </w:r>
      <w:r>
        <w:tab/>
      </w:r>
      <w:r>
        <w:fldChar w:fldCharType="begin"/>
      </w:r>
      <w:r>
        <w:instrText xml:space="preserve"> PAGEREF _Toc33534270 \h </w:instrText>
      </w:r>
      <w:r>
        <w:fldChar w:fldCharType="separate"/>
      </w:r>
      <w:r>
        <w:t>90</w:t>
      </w:r>
      <w:r>
        <w:fldChar w:fldCharType="end"/>
      </w:r>
    </w:p>
    <w:p>
      <w:pPr>
        <w:pStyle w:val="TOC8"/>
        <w:rPr>
          <w:rFonts w:asciiTheme="minorHAnsi" w:eastAsiaTheme="minorEastAsia" w:hAnsiTheme="minorHAnsi" w:cstheme="minorBidi"/>
          <w:szCs w:val="22"/>
        </w:rPr>
      </w:pPr>
      <w:r>
        <w:t>72A.</w:t>
      </w:r>
      <w:r>
        <w:tab/>
        <w:t>Suspending etc. entitlement for not undergoing medical examination</w:t>
      </w:r>
      <w:r>
        <w:tab/>
      </w:r>
      <w:r>
        <w:fldChar w:fldCharType="begin"/>
      </w:r>
      <w:r>
        <w:instrText xml:space="preserve"> PAGEREF _Toc33534271 \h </w:instrText>
      </w:r>
      <w:r>
        <w:fldChar w:fldCharType="separate"/>
      </w:r>
      <w:r>
        <w:t>91</w:t>
      </w:r>
      <w:r>
        <w:fldChar w:fldCharType="end"/>
      </w:r>
    </w:p>
    <w:p>
      <w:pPr>
        <w:pStyle w:val="TOC8"/>
        <w:rPr>
          <w:rFonts w:asciiTheme="minorHAnsi" w:eastAsiaTheme="minorEastAsia" w:hAnsiTheme="minorHAnsi" w:cstheme="minorBidi"/>
          <w:szCs w:val="22"/>
        </w:rPr>
      </w:pPr>
      <w:r>
        <w:t>72B.</w:t>
      </w:r>
      <w:r>
        <w:tab/>
        <w:t>Suspending etc. entitlement for not participating in return to work program</w:t>
      </w:r>
      <w:r>
        <w:tab/>
      </w:r>
      <w:r>
        <w:fldChar w:fldCharType="begin"/>
      </w:r>
      <w:r>
        <w:instrText xml:space="preserve"> PAGEREF _Toc33534272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5A — Claims by dependants and others for compensation</w:t>
      </w:r>
    </w:p>
    <w:p>
      <w:pPr>
        <w:pStyle w:val="TOC8"/>
        <w:rPr>
          <w:rFonts w:asciiTheme="minorHAnsi" w:eastAsiaTheme="minorEastAsia" w:hAnsiTheme="minorHAnsi" w:cstheme="minorBidi"/>
          <w:szCs w:val="22"/>
        </w:rPr>
      </w:pPr>
      <w:r>
        <w:t>72C.</w:t>
      </w:r>
      <w:r>
        <w:tab/>
        <w:t>Terms used</w:t>
      </w:r>
      <w:r>
        <w:tab/>
      </w:r>
      <w:r>
        <w:fldChar w:fldCharType="begin"/>
      </w:r>
      <w:r>
        <w:instrText xml:space="preserve"> PAGEREF _Toc33534274 \h </w:instrText>
      </w:r>
      <w:r>
        <w:fldChar w:fldCharType="separate"/>
      </w:r>
      <w:r>
        <w:t>93</w:t>
      </w:r>
      <w:r>
        <w:fldChar w:fldCharType="end"/>
      </w:r>
    </w:p>
    <w:p>
      <w:pPr>
        <w:pStyle w:val="TOC8"/>
        <w:rPr>
          <w:rFonts w:asciiTheme="minorHAnsi" w:eastAsiaTheme="minorEastAsia" w:hAnsiTheme="minorHAnsi" w:cstheme="minorBidi"/>
          <w:szCs w:val="22"/>
        </w:rPr>
      </w:pPr>
      <w:r>
        <w:t>72D.</w:t>
      </w:r>
      <w:r>
        <w:tab/>
        <w:t>Application of this Division</w:t>
      </w:r>
      <w:r>
        <w:tab/>
      </w:r>
      <w:r>
        <w:fldChar w:fldCharType="begin"/>
      </w:r>
      <w:r>
        <w:instrText xml:space="preserve"> PAGEREF _Toc33534275 \h </w:instrText>
      </w:r>
      <w:r>
        <w:fldChar w:fldCharType="separate"/>
      </w:r>
      <w:r>
        <w:t>94</w:t>
      </w:r>
      <w:r>
        <w:fldChar w:fldCharType="end"/>
      </w:r>
    </w:p>
    <w:p>
      <w:pPr>
        <w:pStyle w:val="TOC8"/>
        <w:rPr>
          <w:rFonts w:asciiTheme="minorHAnsi" w:eastAsiaTheme="minorEastAsia" w:hAnsiTheme="minorHAnsi" w:cstheme="minorBidi"/>
          <w:szCs w:val="22"/>
        </w:rPr>
      </w:pPr>
      <w:r>
        <w:t>72E.</w:t>
      </w:r>
      <w:r>
        <w:tab/>
        <w:t>Claims for compensation for dependants and others</w:t>
      </w:r>
      <w:r>
        <w:tab/>
      </w:r>
      <w:r>
        <w:fldChar w:fldCharType="begin"/>
      </w:r>
      <w:r>
        <w:instrText xml:space="preserve"> PAGEREF _Toc33534276 \h </w:instrText>
      </w:r>
      <w:r>
        <w:fldChar w:fldCharType="separate"/>
      </w:r>
      <w:r>
        <w:t>94</w:t>
      </w:r>
      <w:r>
        <w:fldChar w:fldCharType="end"/>
      </w:r>
    </w:p>
    <w:p>
      <w:pPr>
        <w:pStyle w:val="TOC8"/>
        <w:rPr>
          <w:rFonts w:asciiTheme="minorHAnsi" w:eastAsiaTheme="minorEastAsia" w:hAnsiTheme="minorHAnsi" w:cstheme="minorBidi"/>
          <w:szCs w:val="22"/>
        </w:rPr>
      </w:pPr>
      <w:r>
        <w:t>72F.</w:t>
      </w:r>
      <w:r>
        <w:tab/>
        <w:t>Claims procedure where employer insured</w:t>
      </w:r>
      <w:r>
        <w:tab/>
      </w:r>
      <w:r>
        <w:fldChar w:fldCharType="begin"/>
      </w:r>
      <w:r>
        <w:instrText xml:space="preserve"> PAGEREF _Toc33534277 \h </w:instrText>
      </w:r>
      <w:r>
        <w:fldChar w:fldCharType="separate"/>
      </w:r>
      <w:r>
        <w:t>94</w:t>
      </w:r>
      <w:r>
        <w:fldChar w:fldCharType="end"/>
      </w:r>
    </w:p>
    <w:p>
      <w:pPr>
        <w:pStyle w:val="TOC8"/>
        <w:rPr>
          <w:rFonts w:asciiTheme="minorHAnsi" w:eastAsiaTheme="minorEastAsia" w:hAnsiTheme="minorHAnsi" w:cstheme="minorBidi"/>
          <w:szCs w:val="22"/>
        </w:rPr>
      </w:pPr>
      <w:r>
        <w:t>72G.</w:t>
      </w:r>
      <w:r>
        <w:tab/>
        <w:t>Claims procedure where employer is self</w:t>
      </w:r>
      <w:r>
        <w:noBreakHyphen/>
        <w:t>insured or uninsured</w:t>
      </w:r>
      <w:r>
        <w:tab/>
      </w:r>
      <w:r>
        <w:fldChar w:fldCharType="begin"/>
      </w:r>
      <w:r>
        <w:instrText xml:space="preserve"> PAGEREF _Toc33534278 \h </w:instrText>
      </w:r>
      <w:r>
        <w:fldChar w:fldCharType="separate"/>
      </w:r>
      <w:r>
        <w:t>95</w:t>
      </w:r>
      <w:r>
        <w:fldChar w:fldCharType="end"/>
      </w:r>
    </w:p>
    <w:p>
      <w:pPr>
        <w:pStyle w:val="TOC8"/>
        <w:rPr>
          <w:rFonts w:asciiTheme="minorHAnsi" w:eastAsiaTheme="minorEastAsia" w:hAnsiTheme="minorHAnsi" w:cstheme="minorBidi"/>
          <w:szCs w:val="22"/>
        </w:rPr>
      </w:pPr>
      <w:r>
        <w:t>72H.</w:t>
      </w:r>
      <w:r>
        <w:tab/>
        <w:t>Resolution of claim</w:t>
      </w:r>
      <w:r>
        <w:tab/>
      </w:r>
      <w:r>
        <w:fldChar w:fldCharType="begin"/>
      </w:r>
      <w:r>
        <w:instrText xml:space="preserve"> PAGEREF _Toc33534279 \h </w:instrText>
      </w:r>
      <w:r>
        <w:fldChar w:fldCharType="separate"/>
      </w:r>
      <w:r>
        <w:t>96</w:t>
      </w:r>
      <w:r>
        <w:fldChar w:fldCharType="end"/>
      </w:r>
    </w:p>
    <w:p>
      <w:pPr>
        <w:pStyle w:val="TOC8"/>
        <w:rPr>
          <w:rFonts w:asciiTheme="minorHAnsi" w:eastAsiaTheme="minorEastAsia" w:hAnsiTheme="minorHAnsi" w:cstheme="minorBidi"/>
          <w:szCs w:val="22"/>
        </w:rPr>
      </w:pPr>
      <w:r>
        <w:t>72I.</w:t>
      </w:r>
      <w:r>
        <w:tab/>
        <w:t>Manner of payment of lump sum compensation</w:t>
      </w:r>
      <w:r>
        <w:tab/>
      </w:r>
      <w:r>
        <w:fldChar w:fldCharType="begin"/>
      </w:r>
      <w:r>
        <w:instrText xml:space="preserve"> PAGEREF _Toc33534280 \h </w:instrText>
      </w:r>
      <w:r>
        <w:fldChar w:fldCharType="separate"/>
      </w:r>
      <w:r>
        <w:t>97</w:t>
      </w:r>
      <w:r>
        <w:fldChar w:fldCharType="end"/>
      </w:r>
    </w:p>
    <w:p>
      <w:pPr>
        <w:pStyle w:val="TOC8"/>
        <w:rPr>
          <w:rFonts w:asciiTheme="minorHAnsi" w:eastAsiaTheme="minorEastAsia" w:hAnsiTheme="minorHAnsi" w:cstheme="minorBidi"/>
          <w:szCs w:val="22"/>
        </w:rPr>
      </w:pPr>
      <w:r>
        <w:t>72J.</w:t>
      </w:r>
      <w:r>
        <w:tab/>
        <w:t>Manner of payment of child’s allowance</w:t>
      </w:r>
      <w:r>
        <w:tab/>
      </w:r>
      <w:r>
        <w:fldChar w:fldCharType="begin"/>
      </w:r>
      <w:r>
        <w:instrText xml:space="preserve"> PAGEREF _Toc33534281 \h </w:instrText>
      </w:r>
      <w:r>
        <w:fldChar w:fldCharType="separate"/>
      </w:r>
      <w:r>
        <w:t>98</w:t>
      </w:r>
      <w:r>
        <w:fldChar w:fldCharType="end"/>
      </w:r>
    </w:p>
    <w:p>
      <w:pPr>
        <w:pStyle w:val="TOC8"/>
        <w:rPr>
          <w:rFonts w:asciiTheme="minorHAnsi" w:eastAsiaTheme="minorEastAsia" w:hAnsiTheme="minorHAnsi" w:cstheme="minorBidi"/>
          <w:szCs w:val="22"/>
        </w:rPr>
      </w:pPr>
      <w:r>
        <w:t>72K.</w:t>
      </w:r>
      <w:r>
        <w:tab/>
        <w:t>Effect of recovery of damages on moneys held in Trust Account</w:t>
      </w:r>
      <w:r>
        <w:tab/>
      </w:r>
      <w:r>
        <w:fldChar w:fldCharType="begin"/>
      </w:r>
      <w:r>
        <w:instrText xml:space="preserve"> PAGEREF _Toc33534282 \h </w:instrText>
      </w:r>
      <w:r>
        <w:fldChar w:fldCharType="separate"/>
      </w:r>
      <w:r>
        <w:t>99</w:t>
      </w:r>
      <w:r>
        <w:fldChar w:fldCharType="end"/>
      </w:r>
    </w:p>
    <w:p>
      <w:pPr>
        <w:pStyle w:val="TOC8"/>
        <w:rPr>
          <w:rFonts w:asciiTheme="minorHAnsi" w:eastAsiaTheme="minorEastAsia" w:hAnsiTheme="minorHAnsi" w:cstheme="minorBidi"/>
          <w:szCs w:val="22"/>
        </w:rPr>
      </w:pPr>
      <w:r>
        <w:t>72L.</w:t>
      </w:r>
      <w:r>
        <w:tab/>
        <w:t>Application of Part XI to matters under this Division</w:t>
      </w:r>
      <w:r>
        <w:tab/>
      </w:r>
      <w:r>
        <w:fldChar w:fldCharType="begin"/>
      </w:r>
      <w:r>
        <w:instrText xml:space="preserve"> PAGEREF _Toc33534283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Disputes between employers</w:t>
      </w:r>
    </w:p>
    <w:p>
      <w:pPr>
        <w:pStyle w:val="TOC8"/>
        <w:rPr>
          <w:rFonts w:asciiTheme="minorHAnsi" w:eastAsiaTheme="minorEastAsia" w:hAnsiTheme="minorHAnsi" w:cstheme="minorBidi"/>
          <w:szCs w:val="22"/>
        </w:rPr>
      </w:pPr>
      <w:r>
        <w:t>73</w:t>
      </w:r>
      <w:r>
        <w:rPr>
          <w:snapToGrid w:val="0"/>
        </w:rPr>
        <w:t>.</w:t>
      </w:r>
      <w:r>
        <w:rPr>
          <w:snapToGrid w:val="0"/>
        </w:rPr>
        <w:tab/>
        <w:t>Worker entitled but dispute between employers</w:t>
      </w:r>
      <w:r>
        <w:tab/>
      </w:r>
      <w:r>
        <w:fldChar w:fldCharType="begin"/>
      </w:r>
      <w:r>
        <w:instrText xml:space="preserve"> PAGEREF _Toc33534285 \h </w:instrText>
      </w:r>
      <w:r>
        <w:fldChar w:fldCharType="separate"/>
      </w:r>
      <w:r>
        <w:t>101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Worker entitled but dispute between insurers</w:t>
      </w:r>
      <w:r>
        <w:tab/>
      </w:r>
      <w:r>
        <w:fldChar w:fldCharType="begin"/>
      </w:r>
      <w:r>
        <w:instrText xml:space="preserve"> PAGEREF _Toc33534286 \h </w:instrText>
      </w:r>
      <w:r>
        <w:fldChar w:fldCharType="separate"/>
      </w:r>
      <w:r>
        <w:t>102</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No apportionment under s. 73 or 74 for injuries before 8 Mar 1991</w:t>
      </w:r>
      <w:r>
        <w:tab/>
      </w:r>
      <w:r>
        <w:fldChar w:fldCharType="begin"/>
      </w:r>
      <w:r>
        <w:instrText xml:space="preserve"> PAGEREF _Toc33534287 \h </w:instrText>
      </w:r>
      <w:r>
        <w:fldChar w:fldCharType="separate"/>
      </w:r>
      <w:r>
        <w:t>103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Obligation to make weekly payments preserved</w:t>
      </w:r>
      <w:r>
        <w:tab/>
      </w:r>
      <w:r>
        <w:fldChar w:fldCharType="begin"/>
      </w:r>
      <w:r>
        <w:instrText xml:space="preserve"> PAGEREF _Toc33534288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Agreements</w:t>
      </w:r>
    </w:p>
    <w:p>
      <w:pPr>
        <w:pStyle w:val="TOC8"/>
        <w:rPr>
          <w:rFonts w:asciiTheme="minorHAnsi" w:eastAsiaTheme="minorEastAsia" w:hAnsiTheme="minorHAnsi" w:cstheme="minorBidi"/>
          <w:szCs w:val="22"/>
        </w:rPr>
      </w:pPr>
      <w:r>
        <w:t>76</w:t>
      </w:r>
      <w:r>
        <w:rPr>
          <w:snapToGrid w:val="0"/>
        </w:rPr>
        <w:t>.</w:t>
      </w:r>
      <w:r>
        <w:rPr>
          <w:snapToGrid w:val="0"/>
        </w:rPr>
        <w:tab/>
        <w:t>Agreement as to compensation etc., registration and effect of memorandum of</w:t>
      </w:r>
      <w:r>
        <w:tab/>
      </w:r>
      <w:r>
        <w:fldChar w:fldCharType="begin"/>
      </w:r>
      <w:r>
        <w:instrText xml:space="preserve"> PAGEREF _Toc33534290 \h </w:instrText>
      </w:r>
      <w:r>
        <w:fldChar w:fldCharType="separate"/>
      </w:r>
      <w:r>
        <w:t>104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Agreements unenforceable unless registered under s. 76</w:t>
      </w:r>
      <w:r>
        <w:tab/>
      </w:r>
      <w:r>
        <w:fldChar w:fldCharType="begin"/>
      </w:r>
      <w:r>
        <w:instrText xml:space="preserve"> PAGEREF _Toc33534291 \h </w:instrText>
      </w:r>
      <w:r>
        <w:fldChar w:fldCharType="separate"/>
      </w:r>
      <w:r>
        <w:t>107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_Toc33534292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Other matters affecting compensation</w:t>
      </w:r>
    </w:p>
    <w:p>
      <w:pPr>
        <w:pStyle w:val="TOC8"/>
        <w:rPr>
          <w:rFonts w:asciiTheme="minorHAnsi" w:eastAsiaTheme="minorEastAsia" w:hAnsiTheme="minorHAnsi" w:cstheme="minorBidi"/>
          <w:szCs w:val="22"/>
        </w:rPr>
      </w:pPr>
      <w:r>
        <w:t>79</w:t>
      </w:r>
      <w:r>
        <w:rPr>
          <w:snapToGrid w:val="0"/>
        </w:rPr>
        <w:t>.</w:t>
      </w:r>
      <w:r>
        <w:rPr>
          <w:snapToGrid w:val="0"/>
        </w:rPr>
        <w:tab/>
        <w:t>Wilful and false representation by worker</w:t>
      </w:r>
      <w:r>
        <w:tab/>
      </w:r>
      <w:r>
        <w:fldChar w:fldCharType="begin"/>
      </w:r>
      <w:r>
        <w:instrText xml:space="preserve"> PAGEREF _Toc33534294 \h </w:instrText>
      </w:r>
      <w:r>
        <w:fldChar w:fldCharType="separate"/>
      </w:r>
      <w:r>
        <w:t>107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Effect of leave entitlements; effect on sick leave</w:t>
      </w:r>
      <w:r>
        <w:tab/>
      </w:r>
      <w:r>
        <w:fldChar w:fldCharType="begin"/>
      </w:r>
      <w:r>
        <w:instrText xml:space="preserve"> PAGEREF _Toc33534295 \h </w:instrText>
      </w:r>
      <w:r>
        <w:fldChar w:fldCharType="separate"/>
      </w:r>
      <w:r>
        <w:t>108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Effect on public holidays pay</w:t>
      </w:r>
      <w:r>
        <w:tab/>
      </w:r>
      <w:r>
        <w:fldChar w:fldCharType="begin"/>
      </w:r>
      <w:r>
        <w:instrText xml:space="preserve"> PAGEREF _Toc33534296 \h </w:instrText>
      </w:r>
      <w:r>
        <w:fldChar w:fldCharType="separate"/>
      </w:r>
      <w:r>
        <w:t>109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Services rendered to worker for which employer liable, payment for</w:t>
      </w:r>
      <w:r>
        <w:tab/>
      </w:r>
      <w:r>
        <w:fldChar w:fldCharType="begin"/>
      </w:r>
      <w:r>
        <w:instrText xml:space="preserve"> PAGEREF _Toc33534297 \h </w:instrText>
      </w:r>
      <w:r>
        <w:fldChar w:fldCharType="separate"/>
      </w:r>
      <w:r>
        <w:t>109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Partially incapacitated workers, employment of</w:t>
      </w:r>
      <w:r>
        <w:tab/>
      </w:r>
      <w:r>
        <w:fldChar w:fldCharType="begin"/>
      </w:r>
      <w:r>
        <w:instrText xml:space="preserve"> PAGEREF _Toc33534298 \h </w:instrText>
      </w:r>
      <w:r>
        <w:fldChar w:fldCharType="separate"/>
      </w:r>
      <w:r>
        <w:t>109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Worker not to be prejudiced by resuming work</w:t>
      </w:r>
      <w:r>
        <w:tab/>
      </w:r>
      <w:r>
        <w:fldChar w:fldCharType="begin"/>
      </w:r>
      <w:r>
        <w:instrText xml:space="preserve"> PAGEREF _Toc33534299 \h </w:instrText>
      </w:r>
      <w:r>
        <w:fldChar w:fldCharType="separate"/>
      </w:r>
      <w:r>
        <w:t>110</w:t>
      </w:r>
      <w:r>
        <w:fldChar w:fldCharType="end"/>
      </w:r>
    </w:p>
    <w:p>
      <w:pPr>
        <w:pStyle w:val="TOC8"/>
        <w:rPr>
          <w:rFonts w:asciiTheme="minorHAnsi" w:eastAsiaTheme="minorEastAsia" w:hAnsiTheme="minorHAnsi" w:cstheme="minorBidi"/>
          <w:szCs w:val="22"/>
        </w:rPr>
      </w:pPr>
      <w:r>
        <w:t>84AA</w:t>
      </w:r>
      <w:r>
        <w:rPr>
          <w:snapToGrid w:val="0"/>
        </w:rPr>
        <w:t>.</w:t>
      </w:r>
      <w:r>
        <w:rPr>
          <w:snapToGrid w:val="0"/>
        </w:rPr>
        <w:tab/>
        <w:t>Employer to keep position available during worker’s incapacity</w:t>
      </w:r>
      <w:r>
        <w:tab/>
      </w:r>
      <w:r>
        <w:fldChar w:fldCharType="begin"/>
      </w:r>
      <w:r>
        <w:instrText xml:space="preserve"> PAGEREF _Toc33534300 \h </w:instrText>
      </w:r>
      <w:r>
        <w:fldChar w:fldCharType="separate"/>
      </w:r>
      <w:r>
        <w:t>110</w:t>
      </w:r>
      <w:r>
        <w:fldChar w:fldCharType="end"/>
      </w:r>
    </w:p>
    <w:p>
      <w:pPr>
        <w:pStyle w:val="TOC8"/>
        <w:rPr>
          <w:rFonts w:asciiTheme="minorHAnsi" w:eastAsiaTheme="minorEastAsia" w:hAnsiTheme="minorHAnsi" w:cstheme="minorBidi"/>
          <w:szCs w:val="22"/>
        </w:rPr>
      </w:pPr>
      <w:r>
        <w:t>84AB.</w:t>
      </w:r>
      <w:r>
        <w:tab/>
        <w:t>Employer to notify worker and WorkCover WA of intention to dismiss worker</w:t>
      </w:r>
      <w:r>
        <w:tab/>
      </w:r>
      <w:r>
        <w:fldChar w:fldCharType="begin"/>
      </w:r>
      <w:r>
        <w:instrText xml:space="preserve"> PAGEREF _Toc33534301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IV — Civil proceedings in addition to or independent of this Act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85</w:t>
      </w:r>
      <w:r>
        <w:rPr>
          <w:snapToGrid w:val="0"/>
        </w:rPr>
        <w:t>.</w:t>
      </w:r>
      <w:r>
        <w:rPr>
          <w:snapToGrid w:val="0"/>
        </w:rPr>
        <w:tab/>
        <w:t>Motor vehicle cases not affected by this Part</w:t>
      </w:r>
      <w:r>
        <w:tab/>
      </w:r>
      <w:r>
        <w:fldChar w:fldCharType="begin"/>
      </w:r>
      <w:r>
        <w:instrText xml:space="preserve"> PAGEREF _Toc33534304 \h </w:instrText>
      </w:r>
      <w:r>
        <w:fldChar w:fldCharType="separate"/>
      </w:r>
      <w:r>
        <w:t>113</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Liability independent of this Act not affected by this Part</w:t>
      </w:r>
      <w:r>
        <w:tab/>
      </w:r>
      <w:r>
        <w:fldChar w:fldCharType="begin"/>
      </w:r>
      <w:r>
        <w:instrText xml:space="preserve"> PAGEREF _Toc33534305 \h </w:instrText>
      </w:r>
      <w:r>
        <w:fldChar w:fldCharType="separate"/>
      </w:r>
      <w:r>
        <w:t>113</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Solicitor-client costs, limits on agreements as to</w:t>
      </w:r>
      <w:r>
        <w:tab/>
      </w:r>
      <w:r>
        <w:fldChar w:fldCharType="begin"/>
      </w:r>
      <w:r>
        <w:instrText xml:space="preserve"> PAGEREF _Toc33534306 \h </w:instrText>
      </w:r>
      <w:r>
        <w:fldChar w:fldCharType="separate"/>
      </w:r>
      <w:r>
        <w:t>113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Court’s duties where action for damages unsuccessful but workers’ compensation is payable</w:t>
      </w:r>
      <w:r>
        <w:tab/>
      </w:r>
      <w:r>
        <w:fldChar w:fldCharType="begin"/>
      </w:r>
      <w:r>
        <w:instrText xml:space="preserve"> PAGEREF _Toc33534307 \h </w:instrText>
      </w:r>
      <w:r>
        <w:fldChar w:fldCharType="separate"/>
      </w:r>
      <w:r>
        <w:t>114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Both damages and workers’ compensation not recoverable</w:t>
      </w:r>
      <w:r>
        <w:tab/>
      </w:r>
      <w:r>
        <w:fldChar w:fldCharType="begin"/>
      </w:r>
      <w:r>
        <w:instrText xml:space="preserve"> PAGEREF _Toc33534308 \h </w:instrText>
      </w:r>
      <w:r>
        <w:fldChar w:fldCharType="separate"/>
      </w:r>
      <w:r>
        <w:t>114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Remedies against non-employers</w:t>
      </w:r>
      <w:r>
        <w:tab/>
      </w:r>
      <w:r>
        <w:fldChar w:fldCharType="begin"/>
      </w:r>
      <w:r>
        <w:instrText xml:space="preserve"> PAGEREF _Toc33534309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1a — Choice of law</w:t>
      </w:r>
    </w:p>
    <w:p>
      <w:pPr>
        <w:pStyle w:val="TOC8"/>
        <w:rPr>
          <w:rFonts w:asciiTheme="minorHAnsi" w:eastAsiaTheme="minorEastAsia" w:hAnsiTheme="minorHAnsi" w:cstheme="minorBidi"/>
          <w:szCs w:val="22"/>
        </w:rPr>
      </w:pPr>
      <w:r>
        <w:t>93AA.</w:t>
      </w:r>
      <w:r>
        <w:tab/>
        <w:t>Applicable substantive law for work injury claims</w:t>
      </w:r>
      <w:r>
        <w:tab/>
      </w:r>
      <w:r>
        <w:fldChar w:fldCharType="begin"/>
      </w:r>
      <w:r>
        <w:instrText xml:space="preserve"> PAGEREF _Toc33534311 \h </w:instrText>
      </w:r>
      <w:r>
        <w:fldChar w:fldCharType="separate"/>
      </w:r>
      <w:r>
        <w:t>118</w:t>
      </w:r>
      <w:r>
        <w:fldChar w:fldCharType="end"/>
      </w:r>
    </w:p>
    <w:p>
      <w:pPr>
        <w:pStyle w:val="TOC8"/>
        <w:rPr>
          <w:rFonts w:asciiTheme="minorHAnsi" w:eastAsiaTheme="minorEastAsia" w:hAnsiTheme="minorHAnsi" w:cstheme="minorBidi"/>
          <w:szCs w:val="22"/>
        </w:rPr>
      </w:pPr>
      <w:r>
        <w:t>93AB.</w:t>
      </w:r>
      <w:r>
        <w:tab/>
        <w:t>Claims to which Division applies</w:t>
      </w:r>
      <w:r>
        <w:tab/>
      </w:r>
      <w:r>
        <w:fldChar w:fldCharType="begin"/>
      </w:r>
      <w:r>
        <w:instrText xml:space="preserve"> PAGEREF _Toc33534312 \h </w:instrText>
      </w:r>
      <w:r>
        <w:fldChar w:fldCharType="separate"/>
      </w:r>
      <w:r>
        <w:t>119</w:t>
      </w:r>
      <w:r>
        <w:fldChar w:fldCharType="end"/>
      </w:r>
    </w:p>
    <w:p>
      <w:pPr>
        <w:pStyle w:val="TOC8"/>
        <w:rPr>
          <w:rFonts w:asciiTheme="minorHAnsi" w:eastAsiaTheme="minorEastAsia" w:hAnsiTheme="minorHAnsi" w:cstheme="minorBidi"/>
          <w:szCs w:val="22"/>
        </w:rPr>
      </w:pPr>
      <w:r>
        <w:t>93AC.</w:t>
      </w:r>
      <w:r>
        <w:tab/>
        <w:t>Terms used</w:t>
      </w:r>
      <w:r>
        <w:tab/>
      </w:r>
      <w:r>
        <w:fldChar w:fldCharType="begin"/>
      </w:r>
      <w:r>
        <w:instrText xml:space="preserve"> PAGEREF _Toc33534313 \h </w:instrText>
      </w:r>
      <w:r>
        <w:fldChar w:fldCharType="separate"/>
      </w:r>
      <w:r>
        <w:t>120</w:t>
      </w:r>
      <w:r>
        <w:fldChar w:fldCharType="end"/>
      </w:r>
    </w:p>
    <w:p>
      <w:pPr>
        <w:pStyle w:val="TOC8"/>
        <w:rPr>
          <w:rFonts w:asciiTheme="minorHAnsi" w:eastAsiaTheme="minorEastAsia" w:hAnsiTheme="minorHAnsi" w:cstheme="minorBidi"/>
          <w:szCs w:val="22"/>
        </w:rPr>
      </w:pPr>
      <w:r>
        <w:t>93AD.</w:t>
      </w:r>
      <w:r>
        <w:tab/>
        <w:t>Claim in respect of death included</w:t>
      </w:r>
      <w:r>
        <w:tab/>
      </w:r>
      <w:r>
        <w:fldChar w:fldCharType="begin"/>
      </w:r>
      <w:r>
        <w:instrText xml:space="preserve"> PAGEREF _Toc33534314 \h </w:instrText>
      </w:r>
      <w:r>
        <w:fldChar w:fldCharType="separate"/>
      </w:r>
      <w:r>
        <w:t>121</w:t>
      </w:r>
      <w:r>
        <w:fldChar w:fldCharType="end"/>
      </w:r>
    </w:p>
    <w:p>
      <w:pPr>
        <w:pStyle w:val="TOC8"/>
        <w:rPr>
          <w:rFonts w:asciiTheme="minorHAnsi" w:eastAsiaTheme="minorEastAsia" w:hAnsiTheme="minorHAnsi" w:cstheme="minorBidi"/>
          <w:szCs w:val="22"/>
        </w:rPr>
      </w:pPr>
      <w:r>
        <w:t>93AE.</w:t>
      </w:r>
      <w:r>
        <w:tab/>
        <w:t>Terms used</w:t>
      </w:r>
      <w:r>
        <w:tab/>
      </w:r>
      <w:r>
        <w:fldChar w:fldCharType="begin"/>
      </w:r>
      <w:r>
        <w:instrText xml:space="preserve"> PAGEREF _Toc33534315 \h </w:instrText>
      </w:r>
      <w:r>
        <w:fldChar w:fldCharType="separate"/>
      </w:r>
      <w:r>
        <w:t>121</w:t>
      </w:r>
      <w:r>
        <w:fldChar w:fldCharType="end"/>
      </w:r>
    </w:p>
    <w:p>
      <w:pPr>
        <w:pStyle w:val="TOC8"/>
        <w:rPr>
          <w:rFonts w:asciiTheme="minorHAnsi" w:eastAsiaTheme="minorEastAsia" w:hAnsiTheme="minorHAnsi" w:cstheme="minorBidi"/>
          <w:szCs w:val="22"/>
        </w:rPr>
      </w:pPr>
      <w:r>
        <w:t>93AF.</w:t>
      </w:r>
      <w:r>
        <w:tab/>
        <w:t>Availability of action in another State not relevant</w:t>
      </w:r>
      <w:r>
        <w:tab/>
      </w:r>
      <w:r>
        <w:fldChar w:fldCharType="begin"/>
      </w:r>
      <w:r>
        <w:instrText xml:space="preserve"> PAGEREF _Toc33534316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Constraints on awards of common law damages</w:t>
      </w:r>
    </w:p>
    <w:p>
      <w:pPr>
        <w:pStyle w:val="TOC6"/>
        <w:tabs>
          <w:tab w:val="right" w:leader="dot" w:pos="7077"/>
        </w:tabs>
        <w:rPr>
          <w:rFonts w:asciiTheme="minorHAnsi" w:eastAsiaTheme="minorEastAsia" w:hAnsiTheme="minorHAnsi" w:cstheme="minorBidi"/>
          <w:b w:val="0"/>
          <w:sz w:val="22"/>
          <w:szCs w:val="22"/>
        </w:rPr>
      </w:pPr>
      <w:r>
        <w:t>Subdivision 1 — Preliminary provisions</w:t>
      </w:r>
    </w:p>
    <w:p>
      <w:pPr>
        <w:pStyle w:val="TOC8"/>
        <w:rPr>
          <w:rFonts w:asciiTheme="minorHAnsi" w:eastAsiaTheme="minorEastAsia" w:hAnsiTheme="minorHAnsi" w:cstheme="minorBidi"/>
          <w:szCs w:val="22"/>
        </w:rPr>
      </w:pPr>
      <w:r>
        <w:t>93A</w:t>
      </w:r>
      <w:r>
        <w:rPr>
          <w:snapToGrid w:val="0"/>
        </w:rPr>
        <w:t>.</w:t>
      </w:r>
      <w:r>
        <w:rPr>
          <w:snapToGrid w:val="0"/>
        </w:rPr>
        <w:tab/>
        <w:t>Term used: damages</w:t>
      </w:r>
      <w:r>
        <w:tab/>
      </w:r>
      <w:r>
        <w:fldChar w:fldCharType="begin"/>
      </w:r>
      <w:r>
        <w:instrText xml:space="preserve"> PAGEREF _Toc33534319 \h </w:instrText>
      </w:r>
      <w:r>
        <w:fldChar w:fldCharType="separate"/>
      </w:r>
      <w:r>
        <w:t>122</w:t>
      </w:r>
      <w:r>
        <w:fldChar w:fldCharType="end"/>
      </w:r>
    </w:p>
    <w:p>
      <w:pPr>
        <w:pStyle w:val="TOC8"/>
        <w:rPr>
          <w:rFonts w:asciiTheme="minorHAnsi" w:eastAsiaTheme="minorEastAsia" w:hAnsiTheme="minorHAnsi" w:cstheme="minorBidi"/>
          <w:szCs w:val="22"/>
        </w:rPr>
      </w:pPr>
      <w:r>
        <w:t>93B</w:t>
      </w:r>
      <w:r>
        <w:rPr>
          <w:snapToGrid w:val="0"/>
        </w:rPr>
        <w:t>.</w:t>
      </w:r>
      <w:r>
        <w:rPr>
          <w:snapToGrid w:val="0"/>
        </w:rPr>
        <w:tab/>
        <w:t>Application of this Division</w:t>
      </w:r>
      <w:r>
        <w:tab/>
      </w:r>
      <w:r>
        <w:fldChar w:fldCharType="begin"/>
      </w:r>
      <w:r>
        <w:instrText xml:space="preserve"> PAGEREF _Toc33534320 \h </w:instrText>
      </w:r>
      <w:r>
        <w:fldChar w:fldCharType="separate"/>
      </w:r>
      <w:r>
        <w:t>123</w:t>
      </w:r>
      <w:r>
        <w:fldChar w:fldCharType="end"/>
      </w:r>
    </w:p>
    <w:p>
      <w:pPr>
        <w:pStyle w:val="TOC8"/>
        <w:rPr>
          <w:rFonts w:asciiTheme="minorHAnsi" w:eastAsiaTheme="minorEastAsia" w:hAnsiTheme="minorHAnsi" w:cstheme="minorBidi"/>
          <w:szCs w:val="22"/>
        </w:rPr>
      </w:pPr>
      <w:r>
        <w:t>93C</w:t>
      </w:r>
      <w:r>
        <w:rPr>
          <w:snapToGrid w:val="0"/>
        </w:rPr>
        <w:t>.</w:t>
      </w:r>
      <w:r>
        <w:rPr>
          <w:snapToGrid w:val="0"/>
        </w:rPr>
        <w:tab/>
        <w:t>Limit on powers of courts to award damages</w:t>
      </w:r>
      <w:r>
        <w:tab/>
      </w:r>
      <w:r>
        <w:fldChar w:fldCharType="begin"/>
      </w:r>
      <w:r>
        <w:instrText xml:space="preserve"> PAGEREF _Toc33534321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1993 scheme</w:t>
      </w:r>
    </w:p>
    <w:p>
      <w:pPr>
        <w:pStyle w:val="TOC8"/>
        <w:rPr>
          <w:rFonts w:asciiTheme="minorHAnsi" w:eastAsiaTheme="minorEastAsia" w:hAnsiTheme="minorHAnsi" w:cstheme="minorBidi"/>
          <w:szCs w:val="22"/>
        </w:rPr>
      </w:pPr>
      <w:r>
        <w:t>93CA.</w:t>
      </w:r>
      <w:r>
        <w:tab/>
        <w:t>Term used: AMA Guides</w:t>
      </w:r>
      <w:r>
        <w:tab/>
      </w:r>
      <w:r>
        <w:fldChar w:fldCharType="begin"/>
      </w:r>
      <w:r>
        <w:instrText xml:space="preserve"> PAGEREF _Toc33534323 \h </w:instrText>
      </w:r>
      <w:r>
        <w:fldChar w:fldCharType="separate"/>
      </w:r>
      <w:r>
        <w:t>124</w:t>
      </w:r>
      <w:r>
        <w:fldChar w:fldCharType="end"/>
      </w:r>
    </w:p>
    <w:p>
      <w:pPr>
        <w:pStyle w:val="TOC8"/>
        <w:rPr>
          <w:rFonts w:asciiTheme="minorHAnsi" w:eastAsiaTheme="minorEastAsia" w:hAnsiTheme="minorHAnsi" w:cstheme="minorBidi"/>
          <w:szCs w:val="22"/>
        </w:rPr>
      </w:pPr>
      <w:r>
        <w:t>93CB.</w:t>
      </w:r>
      <w:r>
        <w:tab/>
        <w:t>Limits on application of this Subdivision</w:t>
      </w:r>
      <w:r>
        <w:tab/>
      </w:r>
      <w:r>
        <w:fldChar w:fldCharType="begin"/>
      </w:r>
      <w:r>
        <w:instrText xml:space="preserve"> PAGEREF _Toc33534324 \h </w:instrText>
      </w:r>
      <w:r>
        <w:fldChar w:fldCharType="separate"/>
      </w:r>
      <w:r>
        <w:t>124</w:t>
      </w:r>
      <w:r>
        <w:fldChar w:fldCharType="end"/>
      </w:r>
    </w:p>
    <w:p>
      <w:pPr>
        <w:pStyle w:val="TOC8"/>
        <w:rPr>
          <w:rFonts w:asciiTheme="minorHAnsi" w:eastAsiaTheme="minorEastAsia" w:hAnsiTheme="minorHAnsi" w:cstheme="minorBidi"/>
          <w:szCs w:val="22"/>
        </w:rPr>
      </w:pPr>
      <w:r>
        <w:t>93CC.</w:t>
      </w:r>
      <w:r>
        <w:tab/>
        <w:t>Application of this Subdivision</w:t>
      </w:r>
      <w:r>
        <w:tab/>
      </w:r>
      <w:r>
        <w:fldChar w:fldCharType="begin"/>
      </w:r>
      <w:r>
        <w:instrText xml:space="preserve"> PAGEREF _Toc33534325 \h </w:instrText>
      </w:r>
      <w:r>
        <w:fldChar w:fldCharType="separate"/>
      </w:r>
      <w:r>
        <w:t>125</w:t>
      </w:r>
      <w:r>
        <w:fldChar w:fldCharType="end"/>
      </w:r>
    </w:p>
    <w:p>
      <w:pPr>
        <w:pStyle w:val="TOC8"/>
        <w:rPr>
          <w:rFonts w:asciiTheme="minorHAnsi" w:eastAsiaTheme="minorEastAsia" w:hAnsiTheme="minorHAnsi" w:cstheme="minorBidi"/>
          <w:szCs w:val="22"/>
        </w:rPr>
      </w:pPr>
      <w:r>
        <w:t>93D.</w:t>
      </w:r>
      <w:r>
        <w:tab/>
        <w:t>Degree of disability, assessing</w:t>
      </w:r>
      <w:r>
        <w:tab/>
      </w:r>
      <w:r>
        <w:fldChar w:fldCharType="begin"/>
      </w:r>
      <w:r>
        <w:instrText xml:space="preserve"> PAGEREF _Toc33534326 \h </w:instrText>
      </w:r>
      <w:r>
        <w:fldChar w:fldCharType="separate"/>
      </w:r>
      <w:r>
        <w:t>125</w:t>
      </w:r>
      <w:r>
        <w:fldChar w:fldCharType="end"/>
      </w:r>
    </w:p>
    <w:p>
      <w:pPr>
        <w:pStyle w:val="TOC8"/>
        <w:rPr>
          <w:rFonts w:asciiTheme="minorHAnsi" w:eastAsiaTheme="minorEastAsia" w:hAnsiTheme="minorHAnsi" w:cstheme="minorBidi"/>
          <w:szCs w:val="22"/>
        </w:rPr>
      </w:pPr>
      <w:r>
        <w:t>93E.</w:t>
      </w:r>
      <w:r>
        <w:tab/>
        <w:t>Constraints on awards and paying compensation</w:t>
      </w:r>
      <w:r>
        <w:tab/>
      </w:r>
      <w:r>
        <w:fldChar w:fldCharType="begin"/>
      </w:r>
      <w:r>
        <w:instrText xml:space="preserve"> PAGEREF _Toc33534327 \h </w:instrText>
      </w:r>
      <w:r>
        <w:fldChar w:fldCharType="separate"/>
      </w:r>
      <w:r>
        <w:t>128</w:t>
      </w:r>
      <w:r>
        <w:fldChar w:fldCharType="end"/>
      </w:r>
    </w:p>
    <w:p>
      <w:pPr>
        <w:pStyle w:val="TOC8"/>
        <w:rPr>
          <w:rFonts w:asciiTheme="minorHAnsi" w:eastAsiaTheme="minorEastAsia" w:hAnsiTheme="minorHAnsi" w:cstheme="minorBidi"/>
          <w:szCs w:val="22"/>
        </w:rPr>
      </w:pPr>
      <w:r>
        <w:t>93EA.</w:t>
      </w:r>
      <w:r>
        <w:tab/>
        <w:t>Questions as to degree of disability, referral of to Director in some cases due to new evidence</w:t>
      </w:r>
      <w:r>
        <w:tab/>
      </w:r>
      <w:r>
        <w:fldChar w:fldCharType="begin"/>
      </w:r>
      <w:r>
        <w:instrText xml:space="preserve"> PAGEREF _Toc33534328 \h </w:instrText>
      </w:r>
      <w:r>
        <w:fldChar w:fldCharType="separate"/>
      </w:r>
      <w:r>
        <w:t>131</w:t>
      </w:r>
      <w:r>
        <w:fldChar w:fldCharType="end"/>
      </w:r>
    </w:p>
    <w:p>
      <w:pPr>
        <w:pStyle w:val="TOC8"/>
        <w:rPr>
          <w:rFonts w:asciiTheme="minorHAnsi" w:eastAsiaTheme="minorEastAsia" w:hAnsiTheme="minorHAnsi" w:cstheme="minorBidi"/>
          <w:szCs w:val="22"/>
        </w:rPr>
      </w:pPr>
      <w:r>
        <w:t>93EB.</w:t>
      </w:r>
      <w:r>
        <w:tab/>
        <w:t>Questions as to degree of disability, referral of to Director in some other cases</w:t>
      </w:r>
      <w:r>
        <w:tab/>
      </w:r>
      <w:r>
        <w:fldChar w:fldCharType="begin"/>
      </w:r>
      <w:r>
        <w:instrText xml:space="preserve"> PAGEREF _Toc33534329 \h </w:instrText>
      </w:r>
      <w:r>
        <w:fldChar w:fldCharType="separate"/>
      </w:r>
      <w:r>
        <w:t>133</w:t>
      </w:r>
      <w:r>
        <w:fldChar w:fldCharType="end"/>
      </w:r>
    </w:p>
    <w:p>
      <w:pPr>
        <w:pStyle w:val="TOC8"/>
        <w:rPr>
          <w:rFonts w:asciiTheme="minorHAnsi" w:eastAsiaTheme="minorEastAsia" w:hAnsiTheme="minorHAnsi" w:cstheme="minorBidi"/>
          <w:szCs w:val="22"/>
        </w:rPr>
      </w:pPr>
      <w:r>
        <w:t>93EC.</w:t>
      </w:r>
      <w:r>
        <w:tab/>
        <w:t>Time for commencing action for damages extended in some cases</w:t>
      </w:r>
      <w:r>
        <w:tab/>
      </w:r>
      <w:r>
        <w:fldChar w:fldCharType="begin"/>
      </w:r>
      <w:r>
        <w:instrText xml:space="preserve"> PAGEREF _Toc33534330 \h </w:instrText>
      </w:r>
      <w:r>
        <w:fldChar w:fldCharType="separate"/>
      </w:r>
      <w:r>
        <w:t>135</w:t>
      </w:r>
      <w:r>
        <w:fldChar w:fldCharType="end"/>
      </w:r>
    </w:p>
    <w:p>
      <w:pPr>
        <w:pStyle w:val="TOC8"/>
        <w:rPr>
          <w:rFonts w:asciiTheme="minorHAnsi" w:eastAsiaTheme="minorEastAsia" w:hAnsiTheme="minorHAnsi" w:cstheme="minorBidi"/>
          <w:szCs w:val="22"/>
        </w:rPr>
      </w:pPr>
      <w:r>
        <w:t>93F.</w:t>
      </w:r>
      <w:r>
        <w:tab/>
        <w:t>Degree of disability less than 30%, constraints on awards</w:t>
      </w:r>
      <w:r>
        <w:tab/>
      </w:r>
      <w:r>
        <w:fldChar w:fldCharType="begin"/>
      </w:r>
      <w:r>
        <w:instrText xml:space="preserve"> PAGEREF _Toc33534331 \h </w:instrText>
      </w:r>
      <w:r>
        <w:fldChar w:fldCharType="separate"/>
      </w:r>
      <w:r>
        <w:t>136</w:t>
      </w:r>
      <w:r>
        <w:fldChar w:fldCharType="end"/>
      </w:r>
    </w:p>
    <w:p>
      <w:pPr>
        <w:pStyle w:val="TOC8"/>
        <w:rPr>
          <w:rFonts w:asciiTheme="minorHAnsi" w:eastAsiaTheme="minorEastAsia" w:hAnsiTheme="minorHAnsi" w:cstheme="minorBidi"/>
          <w:szCs w:val="22"/>
        </w:rPr>
      </w:pPr>
      <w:r>
        <w:t>93G.</w:t>
      </w:r>
      <w:r>
        <w:tab/>
        <w:t>Regulations for this Subdivision</w:t>
      </w:r>
      <w:r>
        <w:tab/>
      </w:r>
      <w:r>
        <w:fldChar w:fldCharType="begin"/>
      </w:r>
      <w:r>
        <w:instrText xml:space="preserve"> PAGEREF _Toc33534332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3 — 2004 scheme</w:t>
      </w:r>
    </w:p>
    <w:p>
      <w:pPr>
        <w:pStyle w:val="TOC8"/>
        <w:rPr>
          <w:rFonts w:asciiTheme="minorHAnsi" w:eastAsiaTheme="minorEastAsia" w:hAnsiTheme="minorHAnsi" w:cstheme="minorBidi"/>
          <w:szCs w:val="22"/>
        </w:rPr>
      </w:pPr>
      <w:r>
        <w:t>93H.</w:t>
      </w:r>
      <w:r>
        <w:tab/>
        <w:t>Terms used</w:t>
      </w:r>
      <w:r>
        <w:tab/>
      </w:r>
      <w:r>
        <w:fldChar w:fldCharType="begin"/>
      </w:r>
      <w:r>
        <w:instrText xml:space="preserve"> PAGEREF _Toc33534334 \h </w:instrText>
      </w:r>
      <w:r>
        <w:fldChar w:fldCharType="separate"/>
      </w:r>
      <w:r>
        <w:t>139</w:t>
      </w:r>
      <w:r>
        <w:fldChar w:fldCharType="end"/>
      </w:r>
    </w:p>
    <w:p>
      <w:pPr>
        <w:pStyle w:val="TOC8"/>
        <w:rPr>
          <w:rFonts w:asciiTheme="minorHAnsi" w:eastAsiaTheme="minorEastAsia" w:hAnsiTheme="minorHAnsi" w:cstheme="minorBidi"/>
          <w:szCs w:val="22"/>
        </w:rPr>
      </w:pPr>
      <w:r>
        <w:t>93I.</w:t>
      </w:r>
      <w:r>
        <w:tab/>
        <w:t>Application of this Subdivision</w:t>
      </w:r>
      <w:r>
        <w:tab/>
      </w:r>
      <w:r>
        <w:fldChar w:fldCharType="begin"/>
      </w:r>
      <w:r>
        <w:instrText xml:space="preserve"> PAGEREF _Toc33534335 \h </w:instrText>
      </w:r>
      <w:r>
        <w:fldChar w:fldCharType="separate"/>
      </w:r>
      <w:r>
        <w:t>140</w:t>
      </w:r>
      <w:r>
        <w:fldChar w:fldCharType="end"/>
      </w:r>
    </w:p>
    <w:p>
      <w:pPr>
        <w:pStyle w:val="TOC8"/>
        <w:rPr>
          <w:rFonts w:asciiTheme="minorHAnsi" w:eastAsiaTheme="minorEastAsia" w:hAnsiTheme="minorHAnsi" w:cstheme="minorBidi"/>
          <w:szCs w:val="22"/>
        </w:rPr>
      </w:pPr>
      <w:r>
        <w:t>93J.</w:t>
      </w:r>
      <w:r>
        <w:tab/>
        <w:t>No damages for noise induced hearing loss if not an injury</w:t>
      </w:r>
      <w:r>
        <w:tab/>
      </w:r>
      <w:r>
        <w:fldChar w:fldCharType="begin"/>
      </w:r>
      <w:r>
        <w:instrText xml:space="preserve"> PAGEREF _Toc33534336 \h </w:instrText>
      </w:r>
      <w:r>
        <w:fldChar w:fldCharType="separate"/>
      </w:r>
      <w:r>
        <w:t>140</w:t>
      </w:r>
      <w:r>
        <w:fldChar w:fldCharType="end"/>
      </w:r>
    </w:p>
    <w:p>
      <w:pPr>
        <w:pStyle w:val="TOC8"/>
        <w:rPr>
          <w:rFonts w:asciiTheme="minorHAnsi" w:eastAsiaTheme="minorEastAsia" w:hAnsiTheme="minorHAnsi" w:cstheme="minorBidi"/>
          <w:szCs w:val="22"/>
        </w:rPr>
      </w:pPr>
      <w:r>
        <w:t>93K.</w:t>
      </w:r>
      <w:r>
        <w:tab/>
        <w:t>Constraints on awards</w:t>
      </w:r>
      <w:r>
        <w:tab/>
      </w:r>
      <w:r>
        <w:fldChar w:fldCharType="begin"/>
      </w:r>
      <w:r>
        <w:instrText xml:space="preserve"> PAGEREF _Toc33534337 \h </w:instrText>
      </w:r>
      <w:r>
        <w:fldChar w:fldCharType="separate"/>
      </w:r>
      <w:r>
        <w:t>140</w:t>
      </w:r>
      <w:r>
        <w:fldChar w:fldCharType="end"/>
      </w:r>
    </w:p>
    <w:p>
      <w:pPr>
        <w:pStyle w:val="TOC8"/>
        <w:rPr>
          <w:rFonts w:asciiTheme="minorHAnsi" w:eastAsiaTheme="minorEastAsia" w:hAnsiTheme="minorHAnsi" w:cstheme="minorBidi"/>
          <w:szCs w:val="22"/>
        </w:rPr>
      </w:pPr>
      <w:r>
        <w:t>93L.</w:t>
      </w:r>
      <w:r>
        <w:tab/>
        <w:t>Election under s. 93K to retain right to seek damages</w:t>
      </w:r>
      <w:r>
        <w:tab/>
      </w:r>
      <w:r>
        <w:fldChar w:fldCharType="begin"/>
      </w:r>
      <w:r>
        <w:instrText xml:space="preserve"> PAGEREF _Toc33534338 \h </w:instrText>
      </w:r>
      <w:r>
        <w:fldChar w:fldCharType="separate"/>
      </w:r>
      <w:r>
        <w:t>143</w:t>
      </w:r>
      <w:r>
        <w:fldChar w:fldCharType="end"/>
      </w:r>
    </w:p>
    <w:p>
      <w:pPr>
        <w:pStyle w:val="TOC8"/>
        <w:rPr>
          <w:rFonts w:asciiTheme="minorHAnsi" w:eastAsiaTheme="minorEastAsia" w:hAnsiTheme="minorHAnsi" w:cstheme="minorBidi"/>
          <w:szCs w:val="22"/>
        </w:rPr>
      </w:pPr>
      <w:r>
        <w:t>93M.</w:t>
      </w:r>
      <w:r>
        <w:tab/>
        <w:t>Termination day defined</w:t>
      </w:r>
      <w:r>
        <w:tab/>
      </w:r>
      <w:r>
        <w:fldChar w:fldCharType="begin"/>
      </w:r>
      <w:r>
        <w:instrText xml:space="preserve"> PAGEREF _Toc33534339 \h </w:instrText>
      </w:r>
      <w:r>
        <w:fldChar w:fldCharType="separate"/>
      </w:r>
      <w:r>
        <w:t>144</w:t>
      </w:r>
      <w:r>
        <w:fldChar w:fldCharType="end"/>
      </w:r>
    </w:p>
    <w:p>
      <w:pPr>
        <w:pStyle w:val="TOC8"/>
        <w:rPr>
          <w:rFonts w:asciiTheme="minorHAnsi" w:eastAsiaTheme="minorEastAsia" w:hAnsiTheme="minorHAnsi" w:cstheme="minorBidi"/>
          <w:szCs w:val="22"/>
        </w:rPr>
      </w:pPr>
      <w:r>
        <w:t>93N.</w:t>
      </w:r>
      <w:r>
        <w:tab/>
        <w:t>Special evaluation if worker’s condition has not stabilised sufficiently</w:t>
      </w:r>
      <w:r>
        <w:tab/>
      </w:r>
      <w:r>
        <w:fldChar w:fldCharType="begin"/>
      </w:r>
      <w:r>
        <w:instrText xml:space="preserve"> PAGEREF _Toc33534340 \h </w:instrText>
      </w:r>
      <w:r>
        <w:fldChar w:fldCharType="separate"/>
      </w:r>
      <w:r>
        <w:t>147</w:t>
      </w:r>
      <w:r>
        <w:fldChar w:fldCharType="end"/>
      </w:r>
    </w:p>
    <w:p>
      <w:pPr>
        <w:pStyle w:val="TOC8"/>
        <w:rPr>
          <w:rFonts w:asciiTheme="minorHAnsi" w:eastAsiaTheme="minorEastAsia" w:hAnsiTheme="minorHAnsi" w:cstheme="minorBidi"/>
          <w:szCs w:val="22"/>
        </w:rPr>
      </w:pPr>
      <w:r>
        <w:t>93O.</w:t>
      </w:r>
      <w:r>
        <w:tab/>
        <w:t>Employer to give worker notice of certain things</w:t>
      </w:r>
      <w:r>
        <w:tab/>
      </w:r>
      <w:r>
        <w:fldChar w:fldCharType="begin"/>
      </w:r>
      <w:r>
        <w:instrText xml:space="preserve"> PAGEREF _Toc33534341 \h </w:instrText>
      </w:r>
      <w:r>
        <w:fldChar w:fldCharType="separate"/>
      </w:r>
      <w:r>
        <w:t>148</w:t>
      </w:r>
      <w:r>
        <w:fldChar w:fldCharType="end"/>
      </w:r>
    </w:p>
    <w:p>
      <w:pPr>
        <w:pStyle w:val="TOC8"/>
        <w:rPr>
          <w:rFonts w:asciiTheme="minorHAnsi" w:eastAsiaTheme="minorEastAsia" w:hAnsiTheme="minorHAnsi" w:cstheme="minorBidi"/>
          <w:szCs w:val="22"/>
        </w:rPr>
      </w:pPr>
      <w:r>
        <w:t>93P.</w:t>
      </w:r>
      <w:r>
        <w:tab/>
        <w:t>Election under s. 93K, effect of on compensation</w:t>
      </w:r>
      <w:r>
        <w:tab/>
      </w:r>
      <w:r>
        <w:fldChar w:fldCharType="begin"/>
      </w:r>
      <w:r>
        <w:instrText xml:space="preserve"> PAGEREF _Toc33534342 \h </w:instrText>
      </w:r>
      <w:r>
        <w:fldChar w:fldCharType="separate"/>
      </w:r>
      <w:r>
        <w:t>148</w:t>
      </w:r>
      <w:r>
        <w:fldChar w:fldCharType="end"/>
      </w:r>
    </w:p>
    <w:p>
      <w:pPr>
        <w:pStyle w:val="TOC8"/>
        <w:rPr>
          <w:rFonts w:asciiTheme="minorHAnsi" w:eastAsiaTheme="minorEastAsia" w:hAnsiTheme="minorHAnsi" w:cstheme="minorBidi"/>
          <w:szCs w:val="22"/>
        </w:rPr>
      </w:pPr>
      <w:r>
        <w:t>93Q.</w:t>
      </w:r>
      <w:r>
        <w:tab/>
        <w:t>HIV and AIDS, special provisions about</w:t>
      </w:r>
      <w:r>
        <w:tab/>
      </w:r>
      <w:r>
        <w:fldChar w:fldCharType="begin"/>
      </w:r>
      <w:r>
        <w:instrText xml:space="preserve"> PAGEREF _Toc33534343 \h </w:instrText>
      </w:r>
      <w:r>
        <w:fldChar w:fldCharType="separate"/>
      </w:r>
      <w:r>
        <w:t>150</w:t>
      </w:r>
      <w:r>
        <w:fldChar w:fldCharType="end"/>
      </w:r>
    </w:p>
    <w:p>
      <w:pPr>
        <w:pStyle w:val="TOC8"/>
        <w:rPr>
          <w:rFonts w:asciiTheme="minorHAnsi" w:eastAsiaTheme="minorEastAsia" w:hAnsiTheme="minorHAnsi" w:cstheme="minorBidi"/>
          <w:szCs w:val="22"/>
        </w:rPr>
      </w:pPr>
      <w:r>
        <w:t>93R.</w:t>
      </w:r>
      <w:r>
        <w:tab/>
        <w:t>Some lung diseases, special provisions about</w:t>
      </w:r>
      <w:r>
        <w:tab/>
      </w:r>
      <w:r>
        <w:fldChar w:fldCharType="begin"/>
      </w:r>
      <w:r>
        <w:instrText xml:space="preserve"> PAGEREF _Toc33534344 \h </w:instrText>
      </w:r>
      <w:r>
        <w:fldChar w:fldCharType="separate"/>
      </w:r>
      <w:r>
        <w:t>151</w:t>
      </w:r>
      <w:r>
        <w:fldChar w:fldCharType="end"/>
      </w:r>
    </w:p>
    <w:p>
      <w:pPr>
        <w:pStyle w:val="TOC8"/>
        <w:rPr>
          <w:rFonts w:asciiTheme="minorHAnsi" w:eastAsiaTheme="minorEastAsia" w:hAnsiTheme="minorHAnsi" w:cstheme="minorBidi"/>
          <w:szCs w:val="22"/>
        </w:rPr>
      </w:pPr>
      <w:r>
        <w:t>93S.</w:t>
      </w:r>
      <w:r>
        <w:tab/>
        <w:t>Regulations for this Subdivision</w:t>
      </w:r>
      <w:r>
        <w:tab/>
      </w:r>
      <w:r>
        <w:fldChar w:fldCharType="begin"/>
      </w:r>
      <w:r>
        <w:instrText xml:space="preserve"> PAGEREF _Toc33534345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Part V —</w:t>
      </w:r>
      <w:r>
        <w:rPr>
          <w:b w:val="0"/>
        </w:rPr>
        <w:t> </w:t>
      </w:r>
      <w:r>
        <w:t>WorkCover Western Australia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purposes, and powers</w:t>
      </w:r>
    </w:p>
    <w:p>
      <w:pPr>
        <w:pStyle w:val="TOC8"/>
        <w:rPr>
          <w:rFonts w:asciiTheme="minorHAnsi" w:eastAsiaTheme="minorEastAsia" w:hAnsiTheme="minorHAnsi" w:cstheme="minorBidi"/>
          <w:szCs w:val="22"/>
        </w:rPr>
      </w:pPr>
      <w:r>
        <w:t>94</w:t>
      </w:r>
      <w:r>
        <w:rPr>
          <w:snapToGrid w:val="0"/>
        </w:rPr>
        <w:t>.</w:t>
      </w:r>
      <w:r>
        <w:rPr>
          <w:snapToGrid w:val="0"/>
        </w:rPr>
        <w:tab/>
        <w:t>WorkCover Western Australia Authority, nature of etc.</w:t>
      </w:r>
      <w:r>
        <w:tab/>
      </w:r>
      <w:r>
        <w:fldChar w:fldCharType="begin"/>
      </w:r>
      <w:r>
        <w:instrText xml:space="preserve"> PAGEREF _Toc33534348 \h </w:instrText>
      </w:r>
      <w:r>
        <w:fldChar w:fldCharType="separate"/>
      </w:r>
      <w:r>
        <w:t>154</w:t>
      </w:r>
      <w:r>
        <w:fldChar w:fldCharType="end"/>
      </w:r>
    </w:p>
    <w:p>
      <w:pPr>
        <w:pStyle w:val="TOC8"/>
        <w:rPr>
          <w:rFonts w:asciiTheme="minorHAnsi" w:eastAsiaTheme="minorEastAsia" w:hAnsiTheme="minorHAnsi" w:cstheme="minorBidi"/>
          <w:szCs w:val="22"/>
        </w:rPr>
      </w:pPr>
      <w:r>
        <w:t>95.</w:t>
      </w:r>
      <w:r>
        <w:tab/>
        <w:t>Governing body of WorkCover WA</w:t>
      </w:r>
      <w:r>
        <w:tab/>
      </w:r>
      <w:r>
        <w:fldChar w:fldCharType="begin"/>
      </w:r>
      <w:r>
        <w:instrText xml:space="preserve"> PAGEREF _Toc33534349 \h </w:instrText>
      </w:r>
      <w:r>
        <w:fldChar w:fldCharType="separate"/>
      </w:r>
      <w:r>
        <w:t>155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Term of office of governing body’s nominee members</w:t>
      </w:r>
      <w:r>
        <w:tab/>
      </w:r>
      <w:r>
        <w:fldChar w:fldCharType="begin"/>
      </w:r>
      <w:r>
        <w:instrText xml:space="preserve"> PAGEREF _Toc33534350 \h </w:instrText>
      </w:r>
      <w:r>
        <w:fldChar w:fldCharType="separate"/>
      </w:r>
      <w:r>
        <w:t>157</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Meetings</w:t>
      </w:r>
      <w:r>
        <w:tab/>
      </w:r>
      <w:r>
        <w:fldChar w:fldCharType="begin"/>
      </w:r>
      <w:r>
        <w:instrText xml:space="preserve"> PAGEREF _Toc33534351 \h </w:instrText>
      </w:r>
      <w:r>
        <w:fldChar w:fldCharType="separate"/>
      </w:r>
      <w:r>
        <w:t>158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Vacancies etc. not to invalidate proceedings</w:t>
      </w:r>
      <w:r>
        <w:tab/>
      </w:r>
      <w:r>
        <w:fldChar w:fldCharType="begin"/>
      </w:r>
      <w:r>
        <w:instrText xml:space="preserve"> PAGEREF _Toc33534352 \h </w:instrText>
      </w:r>
      <w:r>
        <w:fldChar w:fldCharType="separate"/>
      </w:r>
      <w:r>
        <w:t>159</w:t>
      </w:r>
      <w:r>
        <w:fldChar w:fldCharType="end"/>
      </w:r>
    </w:p>
    <w:p>
      <w:pPr>
        <w:pStyle w:val="TOC8"/>
        <w:rPr>
          <w:rFonts w:asciiTheme="minorHAnsi" w:eastAsiaTheme="minorEastAsia" w:hAnsiTheme="minorHAnsi" w:cstheme="minorBidi"/>
          <w:szCs w:val="22"/>
        </w:rPr>
      </w:pPr>
      <w:r>
        <w:t>99.</w:t>
      </w:r>
      <w:r>
        <w:tab/>
      </w:r>
      <w:r>
        <w:rPr>
          <w:snapToGrid w:val="0"/>
        </w:rPr>
        <w:t>Conditions of appointment</w:t>
      </w:r>
      <w:r>
        <w:tab/>
      </w:r>
      <w:r>
        <w:fldChar w:fldCharType="begin"/>
      </w:r>
      <w:r>
        <w:instrText xml:space="preserve"> PAGEREF _Toc33534353 \h </w:instrText>
      </w:r>
      <w:r>
        <w:fldChar w:fldCharType="separate"/>
      </w:r>
      <w:r>
        <w:t>159</w:t>
      </w:r>
      <w:r>
        <w:fldChar w:fldCharType="end"/>
      </w:r>
    </w:p>
    <w:p>
      <w:pPr>
        <w:pStyle w:val="TOC8"/>
        <w:rPr>
          <w:rFonts w:asciiTheme="minorHAnsi" w:eastAsiaTheme="minorEastAsia" w:hAnsiTheme="minorHAnsi" w:cstheme="minorBidi"/>
          <w:szCs w:val="22"/>
        </w:rPr>
      </w:pPr>
      <w:r>
        <w:t>100.</w:t>
      </w:r>
      <w:r>
        <w:tab/>
        <w:t>Functions</w:t>
      </w:r>
      <w:r>
        <w:tab/>
      </w:r>
      <w:r>
        <w:fldChar w:fldCharType="begin"/>
      </w:r>
      <w:r>
        <w:instrText xml:space="preserve"> PAGEREF _Toc33534354 \h </w:instrText>
      </w:r>
      <w:r>
        <w:fldChar w:fldCharType="separate"/>
      </w:r>
      <w:r>
        <w:t>159</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Advisory committees</w:t>
      </w:r>
      <w:r>
        <w:tab/>
      </w:r>
      <w:r>
        <w:fldChar w:fldCharType="begin"/>
      </w:r>
      <w:r>
        <w:instrText xml:space="preserve"> PAGEREF _Toc33534355 \h </w:instrText>
      </w:r>
      <w:r>
        <w:fldChar w:fldCharType="separate"/>
      </w:r>
      <w:r>
        <w:t>161</w:t>
      </w:r>
      <w:r>
        <w:fldChar w:fldCharType="end"/>
      </w:r>
    </w:p>
    <w:p>
      <w:pPr>
        <w:pStyle w:val="TOC8"/>
        <w:rPr>
          <w:rFonts w:asciiTheme="minorHAnsi" w:eastAsiaTheme="minorEastAsia" w:hAnsiTheme="minorHAnsi" w:cstheme="minorBidi"/>
          <w:szCs w:val="22"/>
        </w:rPr>
      </w:pPr>
      <w:r>
        <w:t>100B.</w:t>
      </w:r>
      <w:r>
        <w:tab/>
        <w:t>Disclosing information to occupational safety and health department</w:t>
      </w:r>
      <w:r>
        <w:tab/>
      </w:r>
      <w:r>
        <w:fldChar w:fldCharType="begin"/>
      </w:r>
      <w:r>
        <w:instrText xml:space="preserve"> PAGEREF _Toc33534356 \h </w:instrText>
      </w:r>
      <w:r>
        <w:fldChar w:fldCharType="separate"/>
      </w:r>
      <w:r>
        <w:t>162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Powers</w:t>
      </w:r>
      <w:r>
        <w:tab/>
      </w:r>
      <w:r>
        <w:fldChar w:fldCharType="begin"/>
      </w:r>
      <w:r>
        <w:instrText xml:space="preserve"> PAGEREF _Toc33534357 \h </w:instrText>
      </w:r>
      <w:r>
        <w:fldChar w:fldCharType="separate"/>
      </w:r>
      <w:r>
        <w:t>163</w:t>
      </w:r>
      <w:r>
        <w:fldChar w:fldCharType="end"/>
      </w:r>
    </w:p>
    <w:p>
      <w:pPr>
        <w:pStyle w:val="TOC8"/>
        <w:rPr>
          <w:rFonts w:asciiTheme="minorHAnsi" w:eastAsiaTheme="minorEastAsia" w:hAnsiTheme="minorHAnsi" w:cstheme="minorBidi"/>
          <w:szCs w:val="22"/>
        </w:rPr>
      </w:pPr>
      <w:r>
        <w:t>101AA.</w:t>
      </w:r>
      <w:r>
        <w:tab/>
        <w:t>Delegation by WorkCover WA</w:t>
      </w:r>
      <w:r>
        <w:tab/>
      </w:r>
      <w:r>
        <w:fldChar w:fldCharType="begin"/>
      </w:r>
      <w:r>
        <w:instrText xml:space="preserve"> PAGEREF _Toc33534358 \h </w:instrText>
      </w:r>
      <w:r>
        <w:fldChar w:fldCharType="separate"/>
      </w:r>
      <w:r>
        <w:t>164</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Borrowing powers</w:t>
      </w:r>
      <w:r>
        <w:tab/>
      </w:r>
      <w:r>
        <w:fldChar w:fldCharType="begin"/>
      </w:r>
      <w:r>
        <w:instrText xml:space="preserve"> PAGEREF _Toc33534359 \h </w:instrText>
      </w:r>
      <w:r>
        <w:fldChar w:fldCharType="separate"/>
      </w:r>
      <w:r>
        <w:t>164</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Guarantees by Treasurer of borrowings</w:t>
      </w:r>
      <w:r>
        <w:tab/>
      </w:r>
      <w:r>
        <w:fldChar w:fldCharType="begin"/>
      </w:r>
      <w:r>
        <w:instrText xml:space="preserve"> PAGEREF _Toc33534360 \h </w:instrText>
      </w:r>
      <w:r>
        <w:fldChar w:fldCharType="separate"/>
      </w:r>
      <w:r>
        <w:t>165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Limitation on powers under s. 100(e)</w:t>
      </w:r>
      <w:r>
        <w:tab/>
      </w:r>
      <w:r>
        <w:fldChar w:fldCharType="begin"/>
      </w:r>
      <w:r>
        <w:instrText xml:space="preserve"> PAGEREF _Toc33534361 \h </w:instrText>
      </w:r>
      <w:r>
        <w:fldChar w:fldCharType="separate"/>
      </w:r>
      <w:r>
        <w:t>166</w:t>
      </w:r>
      <w:r>
        <w:fldChar w:fldCharType="end"/>
      </w:r>
    </w:p>
    <w:p>
      <w:pPr>
        <w:pStyle w:val="TOC8"/>
        <w:rPr>
          <w:rFonts w:asciiTheme="minorHAnsi" w:eastAsiaTheme="minorEastAsia" w:hAnsiTheme="minorHAnsi" w:cstheme="minorBidi"/>
          <w:szCs w:val="22"/>
        </w:rPr>
      </w:pPr>
      <w:r>
        <w:t>103A</w:t>
      </w:r>
      <w:r>
        <w:rPr>
          <w:snapToGrid w:val="0"/>
        </w:rPr>
        <w:t>.</w:t>
      </w:r>
      <w:r>
        <w:rPr>
          <w:snapToGrid w:val="0"/>
        </w:rPr>
        <w:tab/>
        <w:t>Insurers etc. to give WorkCover WA information</w:t>
      </w:r>
      <w:r>
        <w:tab/>
      </w:r>
      <w:r>
        <w:fldChar w:fldCharType="begin"/>
      </w:r>
      <w:r>
        <w:instrText xml:space="preserve"> PAGEREF _Toc33534362 \h </w:instrText>
      </w:r>
      <w:r>
        <w:fldChar w:fldCharType="separate"/>
      </w:r>
      <w:r>
        <w:t>166</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Publishing and furnishing information</w:t>
      </w:r>
      <w:r>
        <w:tab/>
      </w:r>
      <w:r>
        <w:fldChar w:fldCharType="begin"/>
      </w:r>
      <w:r>
        <w:instrText xml:space="preserve"> PAGEREF _Toc33534363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1AA — Personal interest</w:t>
      </w:r>
    </w:p>
    <w:p>
      <w:pPr>
        <w:pStyle w:val="TOC8"/>
        <w:rPr>
          <w:rFonts w:asciiTheme="minorHAnsi" w:eastAsiaTheme="minorEastAsia" w:hAnsiTheme="minorHAnsi" w:cstheme="minorBidi"/>
          <w:szCs w:val="22"/>
        </w:rPr>
      </w:pPr>
      <w:r>
        <w:t>104AA.</w:t>
      </w:r>
      <w:r>
        <w:tab/>
        <w:t>D</w:t>
      </w:r>
      <w:r>
        <w:rPr>
          <w:snapToGrid w:val="0"/>
        </w:rPr>
        <w:t>isclosure of interests by governing body members</w:t>
      </w:r>
      <w:r>
        <w:tab/>
      </w:r>
      <w:r>
        <w:fldChar w:fldCharType="begin"/>
      </w:r>
      <w:r>
        <w:instrText xml:space="preserve"> PAGEREF _Toc33534365 \h </w:instrText>
      </w:r>
      <w:r>
        <w:fldChar w:fldCharType="separate"/>
      </w:r>
      <w:r>
        <w:t>167</w:t>
      </w:r>
      <w:r>
        <w:fldChar w:fldCharType="end"/>
      </w:r>
    </w:p>
    <w:p>
      <w:pPr>
        <w:pStyle w:val="TOC8"/>
        <w:rPr>
          <w:rFonts w:asciiTheme="minorHAnsi" w:eastAsiaTheme="minorEastAsia" w:hAnsiTheme="minorHAnsi" w:cstheme="minorBidi"/>
          <w:szCs w:val="22"/>
        </w:rPr>
      </w:pPr>
      <w:r>
        <w:t>104AB</w:t>
      </w:r>
      <w:r>
        <w:rPr>
          <w:snapToGrid w:val="0"/>
        </w:rPr>
        <w:t>.</w:t>
      </w:r>
      <w:r>
        <w:rPr>
          <w:snapToGrid w:val="0"/>
        </w:rPr>
        <w:tab/>
        <w:t>Exclusion of interested member</w:t>
      </w:r>
      <w:r>
        <w:tab/>
      </w:r>
      <w:r>
        <w:fldChar w:fldCharType="begin"/>
      </w:r>
      <w:r>
        <w:instrText xml:space="preserve"> PAGEREF _Toc33534366 \h </w:instrText>
      </w:r>
      <w:r>
        <w:fldChar w:fldCharType="separate"/>
      </w:r>
      <w:r>
        <w:t>167</w:t>
      </w:r>
      <w:r>
        <w:fldChar w:fldCharType="end"/>
      </w:r>
    </w:p>
    <w:p>
      <w:pPr>
        <w:pStyle w:val="TOC8"/>
        <w:rPr>
          <w:rFonts w:asciiTheme="minorHAnsi" w:eastAsiaTheme="minorEastAsia" w:hAnsiTheme="minorHAnsi" w:cstheme="minorBidi"/>
          <w:szCs w:val="22"/>
        </w:rPr>
      </w:pPr>
      <w:r>
        <w:t>104AC</w:t>
      </w:r>
      <w:r>
        <w:rPr>
          <w:snapToGrid w:val="0"/>
        </w:rPr>
        <w:t>.</w:t>
      </w:r>
      <w:r>
        <w:rPr>
          <w:snapToGrid w:val="0"/>
        </w:rPr>
        <w:tab/>
        <w:t>Resolution that s. 104AB inapplicable</w:t>
      </w:r>
      <w:r>
        <w:tab/>
      </w:r>
      <w:r>
        <w:fldChar w:fldCharType="begin"/>
      </w:r>
      <w:r>
        <w:instrText xml:space="preserve"> PAGEREF _Toc33534367 \h </w:instrText>
      </w:r>
      <w:r>
        <w:fldChar w:fldCharType="separate"/>
      </w:r>
      <w:r>
        <w:t>168</w:t>
      </w:r>
      <w:r>
        <w:fldChar w:fldCharType="end"/>
      </w:r>
    </w:p>
    <w:p>
      <w:pPr>
        <w:pStyle w:val="TOC8"/>
        <w:rPr>
          <w:rFonts w:asciiTheme="minorHAnsi" w:eastAsiaTheme="minorEastAsia" w:hAnsiTheme="minorHAnsi" w:cstheme="minorBidi"/>
          <w:szCs w:val="22"/>
        </w:rPr>
      </w:pPr>
      <w:r>
        <w:t>104AD</w:t>
      </w:r>
      <w:r>
        <w:rPr>
          <w:snapToGrid w:val="0"/>
        </w:rPr>
        <w:t>.</w:t>
      </w:r>
      <w:r>
        <w:rPr>
          <w:snapToGrid w:val="0"/>
        </w:rPr>
        <w:tab/>
        <w:t>Quorum where s. 104AB applies</w:t>
      </w:r>
      <w:r>
        <w:tab/>
      </w:r>
      <w:r>
        <w:fldChar w:fldCharType="begin"/>
      </w:r>
      <w:r>
        <w:instrText xml:space="preserve"> PAGEREF _Toc33534368 \h </w:instrText>
      </w:r>
      <w:r>
        <w:fldChar w:fldCharType="separate"/>
      </w:r>
      <w:r>
        <w:t>168</w:t>
      </w:r>
      <w:r>
        <w:fldChar w:fldCharType="end"/>
      </w:r>
    </w:p>
    <w:p>
      <w:pPr>
        <w:pStyle w:val="TOC8"/>
        <w:rPr>
          <w:rFonts w:asciiTheme="minorHAnsi" w:eastAsiaTheme="minorEastAsia" w:hAnsiTheme="minorHAnsi" w:cstheme="minorBidi"/>
          <w:szCs w:val="22"/>
        </w:rPr>
      </w:pPr>
      <w:r>
        <w:t>104AE</w:t>
      </w:r>
      <w:r>
        <w:rPr>
          <w:snapToGrid w:val="0"/>
        </w:rPr>
        <w:t>.</w:t>
      </w:r>
      <w:r>
        <w:rPr>
          <w:snapToGrid w:val="0"/>
        </w:rPr>
        <w:tab/>
        <w:t>Minister may declare s. 104AB and 104AD inapplicable</w:t>
      </w:r>
      <w:r>
        <w:tab/>
      </w:r>
      <w:r>
        <w:fldChar w:fldCharType="begin"/>
      </w:r>
      <w:r>
        <w:instrText xml:space="preserve"> PAGEREF _Toc33534369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Accounts and audit</w:t>
      </w:r>
    </w:p>
    <w:p>
      <w:pPr>
        <w:pStyle w:val="TOC8"/>
        <w:rPr>
          <w:rFonts w:asciiTheme="minorHAnsi" w:eastAsiaTheme="minorEastAsia" w:hAnsiTheme="minorHAnsi" w:cstheme="minorBidi"/>
          <w:szCs w:val="22"/>
        </w:rPr>
      </w:pPr>
      <w: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r>
        <w:tab/>
      </w:r>
      <w:r>
        <w:fldChar w:fldCharType="begin"/>
      </w:r>
      <w:r>
        <w:instrText xml:space="preserve"> PAGEREF _Toc33534371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Workers’ Compensation and Injury Management General Account</w:t>
      </w:r>
    </w:p>
    <w:p>
      <w:pPr>
        <w:pStyle w:val="TOC8"/>
        <w:rPr>
          <w:rFonts w:asciiTheme="minorHAnsi" w:eastAsiaTheme="minorEastAsia" w:hAnsiTheme="minorHAnsi" w:cstheme="minorBidi"/>
          <w:szCs w:val="22"/>
        </w:rPr>
      </w:pPr>
      <w:r>
        <w:t>106</w:t>
      </w:r>
      <w:r>
        <w:rPr>
          <w:snapToGrid w:val="0"/>
        </w:rPr>
        <w:t>.</w:t>
      </w:r>
      <w:r>
        <w:rPr>
          <w:snapToGrid w:val="0"/>
        </w:rPr>
        <w:tab/>
        <w:t xml:space="preserve">General </w:t>
      </w:r>
      <w:r>
        <w:t>Account, funds and purposes of</w:t>
      </w:r>
      <w:r>
        <w:tab/>
      </w:r>
      <w:r>
        <w:fldChar w:fldCharType="begin"/>
      </w:r>
      <w:r>
        <w:instrText xml:space="preserve"> PAGEREF _Toc33534373 \h </w:instrText>
      </w:r>
      <w:r>
        <w:fldChar w:fldCharType="separate"/>
      </w:r>
      <w:r>
        <w:t>169</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Estimates of funds needed for General Account</w:t>
      </w:r>
      <w:r>
        <w:tab/>
      </w:r>
      <w:r>
        <w:fldChar w:fldCharType="begin"/>
      </w:r>
      <w:r>
        <w:instrText xml:space="preserve"> PAGEREF _Toc33534374 \h </w:instrText>
      </w:r>
      <w:r>
        <w:fldChar w:fldCharType="separate"/>
      </w:r>
      <w:r>
        <w:t>171</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Levied contributions to General Account, amount of</w:t>
      </w:r>
      <w:r>
        <w:tab/>
      </w:r>
      <w:r>
        <w:fldChar w:fldCharType="begin"/>
      </w:r>
      <w:r>
        <w:instrText xml:space="preserve"> PAGEREF _Toc33534375 \h </w:instrText>
      </w:r>
      <w:r>
        <w:fldChar w:fldCharType="separate"/>
      </w:r>
      <w:r>
        <w:t>172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 xml:space="preserve">Insurers to contribute to General </w:t>
      </w:r>
      <w:r>
        <w:t>Account</w:t>
      </w:r>
      <w:r>
        <w:tab/>
      </w:r>
      <w:r>
        <w:fldChar w:fldCharType="begin"/>
      </w:r>
      <w:r>
        <w:instrText xml:space="preserve"> PAGEREF _Toc33534376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Workers’ Compensation and Injury Management Trust Account</w:t>
      </w:r>
    </w:p>
    <w:p>
      <w:pPr>
        <w:pStyle w:val="TOC8"/>
        <w:rPr>
          <w:rFonts w:asciiTheme="minorHAnsi" w:eastAsiaTheme="minorEastAsia" w:hAnsiTheme="minorHAnsi" w:cstheme="minorBidi"/>
          <w:szCs w:val="22"/>
        </w:rPr>
      </w:pPr>
      <w:r>
        <w:t>110</w:t>
      </w:r>
      <w:r>
        <w:rPr>
          <w:snapToGrid w:val="0"/>
        </w:rPr>
        <w:t>.</w:t>
      </w:r>
      <w:r>
        <w:rPr>
          <w:snapToGrid w:val="0"/>
        </w:rPr>
        <w:tab/>
        <w:t xml:space="preserve">Trust </w:t>
      </w:r>
      <w:r>
        <w:t>Account, funds and purposes of</w:t>
      </w:r>
      <w:r>
        <w:tab/>
      </w:r>
      <w:r>
        <w:fldChar w:fldCharType="begin"/>
      </w:r>
      <w:r>
        <w:instrText xml:space="preserve"> PAGEREF _Toc33534378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Ministerial control</w:t>
      </w:r>
    </w:p>
    <w:p>
      <w:pPr>
        <w:pStyle w:val="TOC8"/>
        <w:rPr>
          <w:rFonts w:asciiTheme="minorHAnsi" w:eastAsiaTheme="minorEastAsia" w:hAnsiTheme="minorHAnsi" w:cstheme="minorBidi"/>
          <w:szCs w:val="22"/>
        </w:rPr>
      </w:pPr>
      <w:r>
        <w:t>111</w:t>
      </w:r>
      <w:r>
        <w:rPr>
          <w:snapToGrid w:val="0"/>
        </w:rPr>
        <w:t>.</w:t>
      </w:r>
      <w:r>
        <w:rPr>
          <w:snapToGrid w:val="0"/>
        </w:rPr>
        <w:tab/>
        <w:t>Minister may give WorkCover WA directions</w:t>
      </w:r>
      <w:r>
        <w:tab/>
      </w:r>
      <w:r>
        <w:fldChar w:fldCharType="begin"/>
      </w:r>
      <w:r>
        <w:instrText xml:space="preserve"> PAGEREF _Toc33534380 \h </w:instrText>
      </w:r>
      <w:r>
        <w:fldChar w:fldCharType="separate"/>
      </w:r>
      <w:r>
        <w:t>177</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to have access to information</w:t>
      </w:r>
      <w:r>
        <w:tab/>
      </w:r>
      <w:r>
        <w:fldChar w:fldCharType="begin"/>
      </w:r>
      <w:r>
        <w:instrText xml:space="preserve"> PAGEREF _Toc33534381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Medical assessment and assessment for specialised retraining programs</w:t>
      </w:r>
    </w:p>
    <w:p>
      <w:pPr>
        <w:pStyle w:val="TOC4"/>
        <w:tabs>
          <w:tab w:val="right" w:leader="dot" w:pos="7077"/>
        </w:tabs>
        <w:rPr>
          <w:rFonts w:asciiTheme="minorHAnsi" w:eastAsiaTheme="minorEastAsia" w:hAnsiTheme="minorHAnsi" w:cstheme="minorBidi"/>
          <w:b w:val="0"/>
          <w:szCs w:val="22"/>
        </w:rPr>
      </w:pPr>
      <w:r>
        <w:t>Division 1 — Medical assessment panels</w:t>
      </w:r>
    </w:p>
    <w:p>
      <w:pPr>
        <w:pStyle w:val="TOC8"/>
        <w:rPr>
          <w:rFonts w:asciiTheme="minorHAnsi" w:eastAsiaTheme="minorEastAsia" w:hAnsiTheme="minorHAnsi" w:cstheme="minorBidi"/>
          <w:szCs w:val="22"/>
        </w:rPr>
      </w:pPr>
      <w:r>
        <w:t>144.</w:t>
      </w:r>
      <w:r>
        <w:tab/>
        <w:t>Term used: relevant authority</w:t>
      </w:r>
      <w:r>
        <w:tab/>
      </w:r>
      <w:r>
        <w:fldChar w:fldCharType="begin"/>
      </w:r>
      <w:r>
        <w:instrText xml:space="preserve"> PAGEREF _Toc33534384 \h </w:instrText>
      </w:r>
      <w:r>
        <w:fldChar w:fldCharType="separate"/>
      </w:r>
      <w:r>
        <w:t>179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Excluded jurisdiction of panels</w:t>
      </w:r>
      <w:r>
        <w:tab/>
      </w:r>
      <w:r>
        <w:fldChar w:fldCharType="begin"/>
      </w:r>
      <w:r>
        <w:instrText xml:space="preserve"> PAGEREF _Toc33534385 \h </w:instrText>
      </w:r>
      <w:r>
        <w:fldChar w:fldCharType="separate"/>
      </w:r>
      <w:r>
        <w:t>179</w:t>
      </w:r>
      <w:r>
        <w:fldChar w:fldCharType="end"/>
      </w:r>
    </w:p>
    <w:p>
      <w:pPr>
        <w:pStyle w:val="TOC8"/>
        <w:rPr>
          <w:rFonts w:asciiTheme="minorHAnsi" w:eastAsiaTheme="minorEastAsia" w:hAnsiTheme="minorHAnsi" w:cstheme="minorBidi"/>
          <w:szCs w:val="22"/>
        </w:rPr>
      </w:pPr>
      <w:r>
        <w:t>145A.</w:t>
      </w:r>
      <w:r>
        <w:tab/>
        <w:t>Questions that may be referred to panels</w:t>
      </w:r>
      <w:r>
        <w:tab/>
      </w:r>
      <w:r>
        <w:fldChar w:fldCharType="begin"/>
      </w:r>
      <w:r>
        <w:instrText xml:space="preserve"> PAGEREF _Toc33534386 \h </w:instrText>
      </w:r>
      <w:r>
        <w:fldChar w:fldCharType="separate"/>
      </w:r>
      <w:r>
        <w:t>179</w:t>
      </w:r>
      <w:r>
        <w:fldChar w:fldCharType="end"/>
      </w:r>
    </w:p>
    <w:p>
      <w:pPr>
        <w:pStyle w:val="TOC8"/>
        <w:rPr>
          <w:rFonts w:asciiTheme="minorHAnsi" w:eastAsiaTheme="minorEastAsia" w:hAnsiTheme="minorHAnsi" w:cstheme="minorBidi"/>
          <w:szCs w:val="22"/>
        </w:rPr>
      </w:pPr>
      <w:r>
        <w:t>145B</w:t>
      </w:r>
      <w:r>
        <w:rPr>
          <w:snapToGrid w:val="0"/>
        </w:rPr>
        <w:t>.</w:t>
      </w:r>
      <w:r>
        <w:rPr>
          <w:snapToGrid w:val="0"/>
        </w:rPr>
        <w:tab/>
        <w:t>Register of eligible members of panels</w:t>
      </w:r>
      <w:r>
        <w:tab/>
      </w:r>
      <w:r>
        <w:fldChar w:fldCharType="begin"/>
      </w:r>
      <w:r>
        <w:instrText xml:space="preserve"> PAGEREF _Toc33534387 \h </w:instrText>
      </w:r>
      <w:r>
        <w:fldChar w:fldCharType="separate"/>
      </w:r>
      <w:r>
        <w:t>180</w:t>
      </w:r>
      <w:r>
        <w:fldChar w:fldCharType="end"/>
      </w:r>
    </w:p>
    <w:p>
      <w:pPr>
        <w:pStyle w:val="TOC8"/>
        <w:rPr>
          <w:rFonts w:asciiTheme="minorHAnsi" w:eastAsiaTheme="minorEastAsia" w:hAnsiTheme="minorHAnsi" w:cstheme="minorBidi"/>
          <w:szCs w:val="22"/>
        </w:rPr>
      </w:pPr>
      <w:r>
        <w:t>145C</w:t>
      </w:r>
      <w:r>
        <w:rPr>
          <w:snapToGrid w:val="0"/>
        </w:rPr>
        <w:t>.</w:t>
      </w:r>
      <w:r>
        <w:rPr>
          <w:snapToGrid w:val="0"/>
        </w:rPr>
        <w:tab/>
        <w:t>Constituting panels</w:t>
      </w:r>
      <w:r>
        <w:tab/>
      </w:r>
      <w:r>
        <w:fldChar w:fldCharType="begin"/>
      </w:r>
      <w:r>
        <w:instrText xml:space="preserve"> PAGEREF _Toc33534388 \h </w:instrText>
      </w:r>
      <w:r>
        <w:fldChar w:fldCharType="separate"/>
      </w:r>
      <w:r>
        <w:t>180</w:t>
      </w:r>
      <w:r>
        <w:fldChar w:fldCharType="end"/>
      </w:r>
    </w:p>
    <w:p>
      <w:pPr>
        <w:pStyle w:val="TOC8"/>
        <w:rPr>
          <w:rFonts w:asciiTheme="minorHAnsi" w:eastAsiaTheme="minorEastAsia" w:hAnsiTheme="minorHAnsi" w:cstheme="minorBidi"/>
          <w:szCs w:val="22"/>
        </w:rPr>
      </w:pPr>
      <w:r>
        <w:t>145D</w:t>
      </w:r>
      <w:r>
        <w:rPr>
          <w:snapToGrid w:val="0"/>
        </w:rPr>
        <w:t>.</w:t>
      </w:r>
      <w:r>
        <w:rPr>
          <w:snapToGrid w:val="0"/>
        </w:rPr>
        <w:tab/>
        <w:t>Procedure and powers of panels</w:t>
      </w:r>
      <w:r>
        <w:tab/>
      </w:r>
      <w:r>
        <w:fldChar w:fldCharType="begin"/>
      </w:r>
      <w:r>
        <w:instrText xml:space="preserve"> PAGEREF _Toc33534389 \h </w:instrText>
      </w:r>
      <w:r>
        <w:fldChar w:fldCharType="separate"/>
      </w:r>
      <w:r>
        <w:t>181</w:t>
      </w:r>
      <w:r>
        <w:fldChar w:fldCharType="end"/>
      </w:r>
    </w:p>
    <w:p>
      <w:pPr>
        <w:pStyle w:val="TOC8"/>
        <w:rPr>
          <w:rFonts w:asciiTheme="minorHAnsi" w:eastAsiaTheme="minorEastAsia" w:hAnsiTheme="minorHAnsi" w:cstheme="minorBidi"/>
          <w:szCs w:val="22"/>
        </w:rPr>
      </w:pPr>
      <w:r>
        <w:t>145E</w:t>
      </w:r>
      <w:r>
        <w:rPr>
          <w:snapToGrid w:val="0"/>
        </w:rPr>
        <w:t>.</w:t>
      </w:r>
      <w:r>
        <w:rPr>
          <w:snapToGrid w:val="0"/>
        </w:rPr>
        <w:tab/>
        <w:t>Determinations</w:t>
      </w:r>
      <w:r>
        <w:tab/>
      </w:r>
      <w:r>
        <w:fldChar w:fldCharType="begin"/>
      </w:r>
      <w:r>
        <w:instrText xml:space="preserve"> PAGEREF _Toc33534390 \h </w:instrText>
      </w:r>
      <w:r>
        <w:fldChar w:fldCharType="separate"/>
      </w:r>
      <w:r>
        <w:t>182</w:t>
      </w:r>
      <w:r>
        <w:fldChar w:fldCharType="end"/>
      </w:r>
    </w:p>
    <w:p>
      <w:pPr>
        <w:pStyle w:val="TOC8"/>
        <w:rPr>
          <w:rFonts w:asciiTheme="minorHAnsi" w:eastAsiaTheme="minorEastAsia" w:hAnsiTheme="minorHAnsi" w:cstheme="minorBidi"/>
          <w:szCs w:val="22"/>
        </w:rPr>
      </w:pPr>
      <w:r>
        <w:t>145F</w:t>
      </w:r>
      <w:r>
        <w:rPr>
          <w:snapToGrid w:val="0"/>
        </w:rPr>
        <w:t>.</w:t>
      </w:r>
      <w:r>
        <w:rPr>
          <w:snapToGrid w:val="0"/>
        </w:rPr>
        <w:tab/>
        <w:t>Reconsidering determinations</w:t>
      </w:r>
      <w:r>
        <w:tab/>
      </w:r>
      <w:r>
        <w:fldChar w:fldCharType="begin"/>
      </w:r>
      <w:r>
        <w:instrText xml:space="preserve"> PAGEREF _Toc33534391 \h </w:instrText>
      </w:r>
      <w:r>
        <w:fldChar w:fldCharType="separate"/>
      </w:r>
      <w:r>
        <w:t>184</w:t>
      </w:r>
      <w:r>
        <w:fldChar w:fldCharType="end"/>
      </w:r>
    </w:p>
    <w:p>
      <w:pPr>
        <w:pStyle w:val="TOC8"/>
        <w:rPr>
          <w:rFonts w:asciiTheme="minorHAnsi" w:eastAsiaTheme="minorEastAsia" w:hAnsiTheme="minorHAnsi" w:cstheme="minorBidi"/>
          <w:szCs w:val="22"/>
        </w:rPr>
      </w:pPr>
      <w:r>
        <w:t>145G</w:t>
      </w:r>
      <w:r>
        <w:rPr>
          <w:snapToGrid w:val="0"/>
        </w:rPr>
        <w:t>.</w:t>
      </w:r>
      <w:r>
        <w:rPr>
          <w:snapToGrid w:val="0"/>
        </w:rPr>
        <w:tab/>
        <w:t>Remuneration</w:t>
      </w:r>
      <w:r>
        <w:tab/>
      </w:r>
      <w:r>
        <w:fldChar w:fldCharType="begin"/>
      </w:r>
      <w:r>
        <w:instrText xml:space="preserve"> PAGEREF _Toc33534392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2 — Assessing degree of impairment</w:t>
      </w:r>
    </w:p>
    <w:p>
      <w:pPr>
        <w:pStyle w:val="TOC8"/>
        <w:rPr>
          <w:rFonts w:asciiTheme="minorHAnsi" w:eastAsiaTheme="minorEastAsia" w:hAnsiTheme="minorHAnsi" w:cstheme="minorBidi"/>
          <w:szCs w:val="22"/>
        </w:rPr>
      </w:pPr>
      <w:r>
        <w:t>146.</w:t>
      </w:r>
      <w:r>
        <w:tab/>
        <w:t>Terms used</w:t>
      </w:r>
      <w:r>
        <w:tab/>
      </w:r>
      <w:r>
        <w:fldChar w:fldCharType="begin"/>
      </w:r>
      <w:r>
        <w:instrText xml:space="preserve"> PAGEREF _Toc33534394 \h </w:instrText>
      </w:r>
      <w:r>
        <w:fldChar w:fldCharType="separate"/>
      </w:r>
      <w:r>
        <w:t>185</w:t>
      </w:r>
      <w:r>
        <w:fldChar w:fldCharType="end"/>
      </w:r>
    </w:p>
    <w:p>
      <w:pPr>
        <w:pStyle w:val="TOC8"/>
        <w:rPr>
          <w:rFonts w:asciiTheme="minorHAnsi" w:eastAsiaTheme="minorEastAsia" w:hAnsiTheme="minorHAnsi" w:cstheme="minorBidi"/>
          <w:szCs w:val="22"/>
        </w:rPr>
      </w:pPr>
      <w:r>
        <w:t>146A.</w:t>
      </w:r>
      <w:r>
        <w:tab/>
        <w:t>Evaluating degree of impairment generally</w:t>
      </w:r>
      <w:r>
        <w:tab/>
      </w:r>
      <w:r>
        <w:fldChar w:fldCharType="begin"/>
      </w:r>
      <w:r>
        <w:instrText xml:space="preserve"> PAGEREF _Toc33534395 \h </w:instrText>
      </w:r>
      <w:r>
        <w:fldChar w:fldCharType="separate"/>
      </w:r>
      <w:r>
        <w:t>185</w:t>
      </w:r>
      <w:r>
        <w:fldChar w:fldCharType="end"/>
      </w:r>
    </w:p>
    <w:p>
      <w:pPr>
        <w:pStyle w:val="TOC8"/>
        <w:rPr>
          <w:rFonts w:asciiTheme="minorHAnsi" w:eastAsiaTheme="minorEastAsia" w:hAnsiTheme="minorHAnsi" w:cstheme="minorBidi"/>
          <w:szCs w:val="22"/>
        </w:rPr>
      </w:pPr>
      <w:r>
        <w:t>146B.</w:t>
      </w:r>
      <w:r>
        <w:tab/>
        <w:t>Evaluating degree of impairment for Part III Div. 2A</w:t>
      </w:r>
      <w:r>
        <w:tab/>
      </w:r>
      <w:r>
        <w:fldChar w:fldCharType="begin"/>
      </w:r>
      <w:r>
        <w:instrText xml:space="preserve"> PAGEREF _Toc33534396 \h </w:instrText>
      </w:r>
      <w:r>
        <w:fldChar w:fldCharType="separate"/>
      </w:r>
      <w:r>
        <w:t>186</w:t>
      </w:r>
      <w:r>
        <w:fldChar w:fldCharType="end"/>
      </w:r>
    </w:p>
    <w:p>
      <w:pPr>
        <w:pStyle w:val="TOC8"/>
        <w:rPr>
          <w:rFonts w:asciiTheme="minorHAnsi" w:eastAsiaTheme="minorEastAsia" w:hAnsiTheme="minorHAnsi" w:cstheme="minorBidi"/>
          <w:szCs w:val="22"/>
        </w:rPr>
      </w:pPr>
      <w:r>
        <w:t>146C.</w:t>
      </w:r>
      <w:r>
        <w:tab/>
        <w:t>Evaluating degree of impairment for Part IV Div. 2 Subdiv. 3</w:t>
      </w:r>
      <w:r>
        <w:tab/>
      </w:r>
      <w:r>
        <w:fldChar w:fldCharType="begin"/>
      </w:r>
      <w:r>
        <w:instrText xml:space="preserve"> PAGEREF _Toc33534397 \h </w:instrText>
      </w:r>
      <w:r>
        <w:fldChar w:fldCharType="separate"/>
      </w:r>
      <w:r>
        <w:t>186</w:t>
      </w:r>
      <w:r>
        <w:fldChar w:fldCharType="end"/>
      </w:r>
    </w:p>
    <w:p>
      <w:pPr>
        <w:pStyle w:val="TOC8"/>
        <w:rPr>
          <w:rFonts w:asciiTheme="minorHAnsi" w:eastAsiaTheme="minorEastAsia" w:hAnsiTheme="minorHAnsi" w:cstheme="minorBidi"/>
          <w:szCs w:val="22"/>
        </w:rPr>
      </w:pPr>
      <w:r>
        <w:t>146D.</w:t>
      </w:r>
      <w:r>
        <w:tab/>
        <w:t>Evaluating degree of impairment for Part IXA</w:t>
      </w:r>
      <w:r>
        <w:tab/>
      </w:r>
      <w:r>
        <w:fldChar w:fldCharType="begin"/>
      </w:r>
      <w:r>
        <w:instrText xml:space="preserve"> PAGEREF _Toc33534398 \h </w:instrText>
      </w:r>
      <w:r>
        <w:fldChar w:fldCharType="separate"/>
      </w:r>
      <w:r>
        <w:t>187</w:t>
      </w:r>
      <w:r>
        <w:fldChar w:fldCharType="end"/>
      </w:r>
    </w:p>
    <w:p>
      <w:pPr>
        <w:pStyle w:val="TOC8"/>
        <w:rPr>
          <w:rFonts w:asciiTheme="minorHAnsi" w:eastAsiaTheme="minorEastAsia" w:hAnsiTheme="minorHAnsi" w:cstheme="minorBidi"/>
          <w:szCs w:val="22"/>
        </w:rPr>
      </w:pPr>
      <w:r>
        <w:t>146E.</w:t>
      </w:r>
      <w:r>
        <w:tab/>
        <w:t>Evaluating degree of impairment for cl. 18A</w:t>
      </w:r>
      <w:r>
        <w:tab/>
      </w:r>
      <w:r>
        <w:fldChar w:fldCharType="begin"/>
      </w:r>
      <w:r>
        <w:instrText xml:space="preserve"> PAGEREF _Toc33534399 \h </w:instrText>
      </w:r>
      <w:r>
        <w:fldChar w:fldCharType="separate"/>
      </w:r>
      <w:r>
        <w:t>188</w:t>
      </w:r>
      <w:r>
        <w:fldChar w:fldCharType="end"/>
      </w:r>
    </w:p>
    <w:p>
      <w:pPr>
        <w:pStyle w:val="TOC8"/>
        <w:rPr>
          <w:rFonts w:asciiTheme="minorHAnsi" w:eastAsiaTheme="minorEastAsia" w:hAnsiTheme="minorHAnsi" w:cstheme="minorBidi"/>
          <w:szCs w:val="22"/>
        </w:rPr>
      </w:pPr>
      <w:r>
        <w:t>146F.</w:t>
      </w:r>
      <w:r>
        <w:tab/>
        <w:t>Approved medical specialists, designation of</w:t>
      </w:r>
      <w:r>
        <w:tab/>
      </w:r>
      <w:r>
        <w:fldChar w:fldCharType="begin"/>
      </w:r>
      <w:r>
        <w:instrText xml:space="preserve"> PAGEREF _Toc33534400 \h </w:instrText>
      </w:r>
      <w:r>
        <w:fldChar w:fldCharType="separate"/>
      </w:r>
      <w:r>
        <w:t>188</w:t>
      </w:r>
      <w:r>
        <w:fldChar w:fldCharType="end"/>
      </w:r>
    </w:p>
    <w:p>
      <w:pPr>
        <w:pStyle w:val="TOC8"/>
        <w:rPr>
          <w:rFonts w:asciiTheme="minorHAnsi" w:eastAsiaTheme="minorEastAsia" w:hAnsiTheme="minorHAnsi" w:cstheme="minorBidi"/>
          <w:szCs w:val="22"/>
        </w:rPr>
      </w:pPr>
      <w:r>
        <w:t>146G.</w:t>
      </w:r>
      <w:r>
        <w:tab/>
        <w:t>Approved medical specialist, powers of</w:t>
      </w:r>
      <w:r>
        <w:tab/>
      </w:r>
      <w:r>
        <w:fldChar w:fldCharType="begin"/>
      </w:r>
      <w:r>
        <w:instrText xml:space="preserve"> PAGEREF _Toc33534401 \h </w:instrText>
      </w:r>
      <w:r>
        <w:fldChar w:fldCharType="separate"/>
      </w:r>
      <w:r>
        <w:t>189</w:t>
      </w:r>
      <w:r>
        <w:fldChar w:fldCharType="end"/>
      </w:r>
    </w:p>
    <w:p>
      <w:pPr>
        <w:pStyle w:val="TOC8"/>
        <w:rPr>
          <w:rFonts w:asciiTheme="minorHAnsi" w:eastAsiaTheme="minorEastAsia" w:hAnsiTheme="minorHAnsi" w:cstheme="minorBidi"/>
          <w:szCs w:val="22"/>
        </w:rPr>
      </w:pPr>
      <w:r>
        <w:t>146H.</w:t>
      </w:r>
      <w:r>
        <w:tab/>
        <w:t>Approved medical specialist, duties of after making assessment</w:t>
      </w:r>
      <w:r>
        <w:tab/>
      </w:r>
      <w:r>
        <w:fldChar w:fldCharType="begin"/>
      </w:r>
      <w:r>
        <w:instrText xml:space="preserve"> PAGEREF _Toc33534402 \h </w:instrText>
      </w:r>
      <w:r>
        <w:fldChar w:fldCharType="separate"/>
      </w:r>
      <w:r>
        <w:t>191</w:t>
      </w:r>
      <w:r>
        <w:fldChar w:fldCharType="end"/>
      </w:r>
    </w:p>
    <w:p>
      <w:pPr>
        <w:pStyle w:val="TOC8"/>
        <w:rPr>
          <w:rFonts w:asciiTheme="minorHAnsi" w:eastAsiaTheme="minorEastAsia" w:hAnsiTheme="minorHAnsi" w:cstheme="minorBidi"/>
          <w:szCs w:val="22"/>
        </w:rPr>
      </w:pPr>
      <w:r>
        <w:t>146I.</w:t>
      </w:r>
      <w:r>
        <w:tab/>
        <w:t>WorkCover WA may give approved medical specialist information about worker</w:t>
      </w:r>
      <w:r>
        <w:tab/>
      </w:r>
      <w:r>
        <w:fldChar w:fldCharType="begin"/>
      </w:r>
      <w:r>
        <w:instrText xml:space="preserve"> PAGEREF _Toc33534403 \h </w:instrText>
      </w:r>
      <w:r>
        <w:fldChar w:fldCharType="separate"/>
      </w:r>
      <w:r>
        <w:t>192</w:t>
      </w:r>
      <w:r>
        <w:fldChar w:fldCharType="end"/>
      </w:r>
    </w:p>
    <w:p>
      <w:pPr>
        <w:pStyle w:val="TOC8"/>
        <w:rPr>
          <w:rFonts w:asciiTheme="minorHAnsi" w:eastAsiaTheme="minorEastAsia" w:hAnsiTheme="minorHAnsi" w:cstheme="minorBidi"/>
          <w:szCs w:val="22"/>
        </w:rPr>
      </w:pPr>
      <w:r>
        <w:t>146J.</w:t>
      </w:r>
      <w:r>
        <w:tab/>
        <w:t>Decisions of approved medical specialist not reviewable</w:t>
      </w:r>
      <w:r>
        <w:tab/>
      </w:r>
      <w:r>
        <w:fldChar w:fldCharType="begin"/>
      </w:r>
      <w:r>
        <w:instrText xml:space="preserve"> PAGEREF _Toc33534404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3 — Approved medical specialist panels</w:t>
      </w:r>
    </w:p>
    <w:p>
      <w:pPr>
        <w:pStyle w:val="TOC8"/>
        <w:rPr>
          <w:rFonts w:asciiTheme="minorHAnsi" w:eastAsiaTheme="minorEastAsia" w:hAnsiTheme="minorHAnsi" w:cstheme="minorBidi"/>
          <w:szCs w:val="22"/>
        </w:rPr>
      </w:pPr>
      <w:r>
        <w:t>146K.</w:t>
      </w:r>
      <w:r>
        <w:tab/>
        <w:t>Constituting panels</w:t>
      </w:r>
      <w:r>
        <w:tab/>
      </w:r>
      <w:r>
        <w:fldChar w:fldCharType="begin"/>
      </w:r>
      <w:r>
        <w:instrText xml:space="preserve"> PAGEREF _Toc33534406 \h </w:instrText>
      </w:r>
      <w:r>
        <w:fldChar w:fldCharType="separate"/>
      </w:r>
      <w:r>
        <w:t>193</w:t>
      </w:r>
      <w:r>
        <w:fldChar w:fldCharType="end"/>
      </w:r>
    </w:p>
    <w:p>
      <w:pPr>
        <w:pStyle w:val="TOC8"/>
        <w:rPr>
          <w:rFonts w:asciiTheme="minorHAnsi" w:eastAsiaTheme="minorEastAsia" w:hAnsiTheme="minorHAnsi" w:cstheme="minorBidi"/>
          <w:szCs w:val="22"/>
        </w:rPr>
      </w:pPr>
      <w:r>
        <w:t>146L.</w:t>
      </w:r>
      <w:r>
        <w:tab/>
        <w:t>Procedure and powers of panels</w:t>
      </w:r>
      <w:r>
        <w:tab/>
      </w:r>
      <w:r>
        <w:fldChar w:fldCharType="begin"/>
      </w:r>
      <w:r>
        <w:instrText xml:space="preserve"> PAGEREF _Toc33534407 \h </w:instrText>
      </w:r>
      <w:r>
        <w:fldChar w:fldCharType="separate"/>
      </w:r>
      <w:r>
        <w:t>193</w:t>
      </w:r>
      <w:r>
        <w:fldChar w:fldCharType="end"/>
      </w:r>
    </w:p>
    <w:p>
      <w:pPr>
        <w:pStyle w:val="TOC8"/>
        <w:rPr>
          <w:rFonts w:asciiTheme="minorHAnsi" w:eastAsiaTheme="minorEastAsia" w:hAnsiTheme="minorHAnsi" w:cstheme="minorBidi"/>
          <w:szCs w:val="22"/>
        </w:rPr>
      </w:pPr>
      <w:r>
        <w:t>146M.</w:t>
      </w:r>
      <w:r>
        <w:tab/>
        <w:t>Failure to comply with requirement of panel</w:t>
      </w:r>
      <w:r>
        <w:tab/>
      </w:r>
      <w:r>
        <w:fldChar w:fldCharType="begin"/>
      </w:r>
      <w:r>
        <w:instrText xml:space="preserve"> PAGEREF _Toc33534408 \h </w:instrText>
      </w:r>
      <w:r>
        <w:fldChar w:fldCharType="separate"/>
      </w:r>
      <w:r>
        <w:t>195</w:t>
      </w:r>
      <w:r>
        <w:fldChar w:fldCharType="end"/>
      </w:r>
    </w:p>
    <w:p>
      <w:pPr>
        <w:pStyle w:val="TOC8"/>
        <w:rPr>
          <w:rFonts w:asciiTheme="minorHAnsi" w:eastAsiaTheme="minorEastAsia" w:hAnsiTheme="minorHAnsi" w:cstheme="minorBidi"/>
          <w:szCs w:val="22"/>
        </w:rPr>
      </w:pPr>
      <w:r>
        <w:t>146N.</w:t>
      </w:r>
      <w:r>
        <w:tab/>
        <w:t>How panel to assess degree of impairment</w:t>
      </w:r>
      <w:r>
        <w:tab/>
      </w:r>
      <w:r>
        <w:fldChar w:fldCharType="begin"/>
      </w:r>
      <w:r>
        <w:instrText xml:space="preserve"> PAGEREF _Toc33534409 \h </w:instrText>
      </w:r>
      <w:r>
        <w:fldChar w:fldCharType="separate"/>
      </w:r>
      <w:r>
        <w:t>195</w:t>
      </w:r>
      <w:r>
        <w:fldChar w:fldCharType="end"/>
      </w:r>
    </w:p>
    <w:p>
      <w:pPr>
        <w:pStyle w:val="TOC8"/>
        <w:rPr>
          <w:rFonts w:asciiTheme="minorHAnsi" w:eastAsiaTheme="minorEastAsia" w:hAnsiTheme="minorHAnsi" w:cstheme="minorBidi"/>
          <w:szCs w:val="22"/>
        </w:rPr>
      </w:pPr>
      <w:r>
        <w:t>146O.</w:t>
      </w:r>
      <w:r>
        <w:tab/>
        <w:t>Duties of panel after making assessment</w:t>
      </w:r>
      <w:r>
        <w:tab/>
      </w:r>
      <w:r>
        <w:fldChar w:fldCharType="begin"/>
      </w:r>
      <w:r>
        <w:instrText xml:space="preserve"> PAGEREF _Toc33534410 \h </w:instrText>
      </w:r>
      <w:r>
        <w:fldChar w:fldCharType="separate"/>
      </w:r>
      <w:r>
        <w:t>196</w:t>
      </w:r>
      <w:r>
        <w:fldChar w:fldCharType="end"/>
      </w:r>
    </w:p>
    <w:p>
      <w:pPr>
        <w:pStyle w:val="TOC8"/>
        <w:rPr>
          <w:rFonts w:asciiTheme="minorHAnsi" w:eastAsiaTheme="minorEastAsia" w:hAnsiTheme="minorHAnsi" w:cstheme="minorBidi"/>
          <w:szCs w:val="22"/>
        </w:rPr>
      </w:pPr>
      <w:r>
        <w:t>146P.</w:t>
      </w:r>
      <w:r>
        <w:tab/>
        <w:t>No assessment without unanimous agreement</w:t>
      </w:r>
      <w:r>
        <w:tab/>
      </w:r>
      <w:r>
        <w:fldChar w:fldCharType="begin"/>
      </w:r>
      <w:r>
        <w:instrText xml:space="preserve"> PAGEREF _Toc33534411 \h </w:instrText>
      </w:r>
      <w:r>
        <w:fldChar w:fldCharType="separate"/>
      </w:r>
      <w:r>
        <w:t>197</w:t>
      </w:r>
      <w:r>
        <w:fldChar w:fldCharType="end"/>
      </w:r>
    </w:p>
    <w:p>
      <w:pPr>
        <w:pStyle w:val="TOC8"/>
        <w:rPr>
          <w:rFonts w:asciiTheme="minorHAnsi" w:eastAsiaTheme="minorEastAsia" w:hAnsiTheme="minorHAnsi" w:cstheme="minorBidi"/>
          <w:szCs w:val="22"/>
        </w:rPr>
      </w:pPr>
      <w:r>
        <w:t>146Q.</w:t>
      </w:r>
      <w:r>
        <w:tab/>
        <w:t>Remuneration</w:t>
      </w:r>
      <w:r>
        <w:tab/>
      </w:r>
      <w:r>
        <w:fldChar w:fldCharType="begin"/>
      </w:r>
      <w:r>
        <w:instrText xml:space="preserve"> PAGEREF _Toc33534412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4 — WorkCover Guides</w:t>
      </w:r>
    </w:p>
    <w:p>
      <w:pPr>
        <w:pStyle w:val="TOC8"/>
        <w:rPr>
          <w:rFonts w:asciiTheme="minorHAnsi" w:eastAsiaTheme="minorEastAsia" w:hAnsiTheme="minorHAnsi" w:cstheme="minorBidi"/>
          <w:szCs w:val="22"/>
        </w:rPr>
      </w:pPr>
      <w:r>
        <w:t>146R.</w:t>
      </w:r>
      <w:r>
        <w:tab/>
        <w:t>WorkCover Guides, issue of</w:t>
      </w:r>
      <w:r>
        <w:tab/>
      </w:r>
      <w:r>
        <w:fldChar w:fldCharType="begin"/>
      </w:r>
      <w:r>
        <w:instrText xml:space="preserve"> PAGEREF _Toc33534414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5 — Assessment for specialised retraining programs</w:t>
      </w:r>
    </w:p>
    <w:p>
      <w:pPr>
        <w:pStyle w:val="TOC8"/>
        <w:rPr>
          <w:rFonts w:asciiTheme="minorHAnsi" w:eastAsiaTheme="minorEastAsia" w:hAnsiTheme="minorHAnsi" w:cstheme="minorBidi"/>
          <w:szCs w:val="22"/>
        </w:rPr>
      </w:pPr>
      <w:r>
        <w:t>146S.</w:t>
      </w:r>
      <w:r>
        <w:tab/>
        <w:t>Register of eligible members of specialised retraining assessment panels</w:t>
      </w:r>
      <w:r>
        <w:tab/>
      </w:r>
      <w:r>
        <w:fldChar w:fldCharType="begin"/>
      </w:r>
      <w:r>
        <w:instrText xml:space="preserve"> PAGEREF _Toc33534416 \h </w:instrText>
      </w:r>
      <w:r>
        <w:fldChar w:fldCharType="separate"/>
      </w:r>
      <w:r>
        <w:t>198</w:t>
      </w:r>
      <w:r>
        <w:fldChar w:fldCharType="end"/>
      </w:r>
    </w:p>
    <w:p>
      <w:pPr>
        <w:pStyle w:val="TOC8"/>
        <w:rPr>
          <w:rFonts w:asciiTheme="minorHAnsi" w:eastAsiaTheme="minorEastAsia" w:hAnsiTheme="minorHAnsi" w:cstheme="minorBidi"/>
          <w:szCs w:val="22"/>
        </w:rPr>
      </w:pPr>
      <w:r>
        <w:t>146T.</w:t>
      </w:r>
      <w:r>
        <w:tab/>
        <w:t>Specialised retraining assessment panel, constituting</w:t>
      </w:r>
      <w:r>
        <w:tab/>
      </w:r>
      <w:r>
        <w:fldChar w:fldCharType="begin"/>
      </w:r>
      <w:r>
        <w:instrText xml:space="preserve"> PAGEREF _Toc33534417 \h </w:instrText>
      </w:r>
      <w:r>
        <w:fldChar w:fldCharType="separate"/>
      </w:r>
      <w:r>
        <w:t>199</w:t>
      </w:r>
      <w:r>
        <w:fldChar w:fldCharType="end"/>
      </w:r>
    </w:p>
    <w:p>
      <w:pPr>
        <w:pStyle w:val="TOC8"/>
        <w:rPr>
          <w:rFonts w:asciiTheme="minorHAnsi" w:eastAsiaTheme="minorEastAsia" w:hAnsiTheme="minorHAnsi" w:cstheme="minorBidi"/>
          <w:szCs w:val="22"/>
        </w:rPr>
      </w:pPr>
      <w:r>
        <w:t>146U.</w:t>
      </w:r>
      <w:r>
        <w:tab/>
        <w:t>Procedure and powers of panels</w:t>
      </w:r>
      <w:r>
        <w:tab/>
      </w:r>
      <w:r>
        <w:fldChar w:fldCharType="begin"/>
      </w:r>
      <w:r>
        <w:instrText xml:space="preserve"> PAGEREF _Toc33534418 \h </w:instrText>
      </w:r>
      <w:r>
        <w:fldChar w:fldCharType="separate"/>
      </w:r>
      <w:r>
        <w:t>199</w:t>
      </w:r>
      <w:r>
        <w:fldChar w:fldCharType="end"/>
      </w:r>
    </w:p>
    <w:p>
      <w:pPr>
        <w:pStyle w:val="TOC8"/>
        <w:rPr>
          <w:rFonts w:asciiTheme="minorHAnsi" w:eastAsiaTheme="minorEastAsia" w:hAnsiTheme="minorHAnsi" w:cstheme="minorBidi"/>
          <w:szCs w:val="22"/>
        </w:rPr>
      </w:pPr>
      <w:r>
        <w:t>146V.</w:t>
      </w:r>
      <w:r>
        <w:tab/>
        <w:t>Assessments by panels</w:t>
      </w:r>
      <w:r>
        <w:tab/>
      </w:r>
      <w:r>
        <w:fldChar w:fldCharType="begin"/>
      </w:r>
      <w:r>
        <w:instrText xml:space="preserve"> PAGEREF _Toc33534419 \h </w:instrText>
      </w:r>
      <w:r>
        <w:fldChar w:fldCharType="separate"/>
      </w:r>
      <w:r>
        <w:t>200</w:t>
      </w:r>
      <w:r>
        <w:fldChar w:fldCharType="end"/>
      </w:r>
    </w:p>
    <w:p>
      <w:pPr>
        <w:pStyle w:val="TOC8"/>
        <w:rPr>
          <w:rFonts w:asciiTheme="minorHAnsi" w:eastAsiaTheme="minorEastAsia" w:hAnsiTheme="minorHAnsi" w:cstheme="minorBidi"/>
          <w:szCs w:val="22"/>
        </w:rPr>
      </w:pPr>
      <w:r>
        <w:t>146W.</w:t>
      </w:r>
      <w:r>
        <w:tab/>
        <w:t>Remuneration</w:t>
      </w:r>
      <w:r>
        <w:tab/>
      </w:r>
      <w:r>
        <w:fldChar w:fldCharType="begin"/>
      </w:r>
      <w:r>
        <w:instrText xml:space="preserve"> PAGEREF _Toc33534420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Part VIII — Premium rates</w:t>
      </w:r>
    </w:p>
    <w:p>
      <w:pPr>
        <w:pStyle w:val="TOC8"/>
        <w:rPr>
          <w:rFonts w:asciiTheme="minorHAnsi" w:eastAsiaTheme="minorEastAsia" w:hAnsiTheme="minorHAnsi" w:cstheme="minorBidi"/>
          <w:szCs w:val="22"/>
        </w:rPr>
      </w:pPr>
      <w:r>
        <w:t>151</w:t>
      </w:r>
      <w:r>
        <w:rPr>
          <w:snapToGrid w:val="0"/>
        </w:rPr>
        <w:t>.</w:t>
      </w:r>
      <w:r>
        <w:rPr>
          <w:snapToGrid w:val="0"/>
        </w:rPr>
        <w:tab/>
        <w:t>Premium rates for insurance, fixing of</w:t>
      </w:r>
      <w:r>
        <w:tab/>
      </w:r>
      <w:r>
        <w:fldChar w:fldCharType="begin"/>
      </w:r>
      <w:r>
        <w:instrText xml:space="preserve"> PAGEREF _Toc33534422 \h </w:instrText>
      </w:r>
      <w:r>
        <w:fldChar w:fldCharType="separate"/>
      </w:r>
      <w:r>
        <w:t>203</w:t>
      </w:r>
      <w:r>
        <w:fldChar w:fldCharType="end"/>
      </w:r>
    </w:p>
    <w:p>
      <w:pPr>
        <w:pStyle w:val="TOC8"/>
        <w:rPr>
          <w:rFonts w:asciiTheme="minorHAnsi" w:eastAsiaTheme="minorEastAsia" w:hAnsiTheme="minorHAnsi" w:cstheme="minorBidi"/>
          <w:szCs w:val="22"/>
        </w:rPr>
      </w:pPr>
      <w:r>
        <w:t>151A</w:t>
      </w:r>
      <w:r>
        <w:rPr>
          <w:snapToGrid w:val="0"/>
        </w:rPr>
        <w:t>.</w:t>
      </w:r>
      <w:r>
        <w:rPr>
          <w:snapToGrid w:val="0"/>
        </w:rPr>
        <w:tab/>
        <w:t>Report as to premium rates</w:t>
      </w:r>
      <w:r>
        <w:tab/>
      </w:r>
      <w:r>
        <w:fldChar w:fldCharType="begin"/>
      </w:r>
      <w:r>
        <w:instrText xml:space="preserve"> PAGEREF _Toc33534423 \h </w:instrText>
      </w:r>
      <w:r>
        <w:fldChar w:fldCharType="separate"/>
      </w:r>
      <w:r>
        <w:t>204</w:t>
      </w:r>
      <w:r>
        <w:fldChar w:fldCharType="end"/>
      </w:r>
    </w:p>
    <w:p>
      <w:pPr>
        <w:pStyle w:val="TOC8"/>
        <w:rPr>
          <w:rFonts w:asciiTheme="minorHAnsi" w:eastAsiaTheme="minorEastAsia" w:hAnsiTheme="minorHAnsi" w:cstheme="minorBidi"/>
          <w:szCs w:val="22"/>
        </w:rPr>
      </w:pPr>
      <w:r>
        <w:t>152.</w:t>
      </w:r>
      <w:r>
        <w:tab/>
        <w:t>Loading not to exceed 75% unless WorkCover WA permits</w:t>
      </w:r>
      <w:r>
        <w:tab/>
      </w:r>
      <w:r>
        <w:fldChar w:fldCharType="begin"/>
      </w:r>
      <w:r>
        <w:instrText xml:space="preserve"> PAGEREF _Toc33534424 \h </w:instrText>
      </w:r>
      <w:r>
        <w:fldChar w:fldCharType="separate"/>
      </w:r>
      <w:r>
        <w:t>204</w:t>
      </w:r>
      <w:r>
        <w:fldChar w:fldCharType="end"/>
      </w:r>
    </w:p>
    <w:p>
      <w:pPr>
        <w:pStyle w:val="TOC8"/>
        <w:rPr>
          <w:rFonts w:asciiTheme="minorHAnsi" w:eastAsiaTheme="minorEastAsia" w:hAnsiTheme="minorHAnsi" w:cstheme="minorBidi"/>
          <w:szCs w:val="22"/>
        </w:rPr>
      </w:pPr>
      <w:r>
        <w:t>153.</w:t>
      </w:r>
      <w:r>
        <w:tab/>
      </w:r>
      <w:r>
        <w:rPr>
          <w:snapToGrid w:val="0"/>
        </w:rPr>
        <w:t>Setting maximum loading or discount</w:t>
      </w:r>
      <w:r>
        <w:tab/>
      </w:r>
      <w:r>
        <w:fldChar w:fldCharType="begin"/>
      </w:r>
      <w:r>
        <w:instrText xml:space="preserve"> PAGEREF _Toc33534425 \h </w:instrText>
      </w:r>
      <w:r>
        <w:fldChar w:fldCharType="separate"/>
      </w:r>
      <w:r>
        <w:t>204</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Minimum premiums</w:t>
      </w:r>
      <w:r>
        <w:tab/>
      </w:r>
      <w:r>
        <w:fldChar w:fldCharType="begin"/>
      </w:r>
      <w:r>
        <w:instrText xml:space="preserve"> PAGEREF _Toc33534426 \h </w:instrText>
      </w:r>
      <w:r>
        <w:fldChar w:fldCharType="separate"/>
      </w:r>
      <w:r>
        <w:t>205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Appeals by employers</w:t>
      </w:r>
      <w:r>
        <w:tab/>
      </w:r>
      <w:r>
        <w:fldChar w:fldCharType="begin"/>
      </w:r>
      <w:r>
        <w:instrText xml:space="preserve"> PAGEREF _Toc33534427 \h </w:instrText>
      </w:r>
      <w:r>
        <w:fldChar w:fldCharType="separate"/>
      </w:r>
      <w:r>
        <w:t>205</w:t>
      </w:r>
      <w:r>
        <w:fldChar w:fldCharType="end"/>
      </w:r>
    </w:p>
    <w:p>
      <w:pPr>
        <w:pStyle w:val="TOC8"/>
        <w:rPr>
          <w:rFonts w:asciiTheme="minorHAnsi" w:eastAsiaTheme="minorEastAsia" w:hAnsiTheme="minorHAnsi" w:cstheme="minorBidi"/>
          <w:szCs w:val="22"/>
        </w:rPr>
      </w:pPr>
      <w:r>
        <w:t>154A.</w:t>
      </w:r>
      <w:r>
        <w:tab/>
        <w:t>Regulations as to insurers informing employers</w:t>
      </w:r>
      <w:r>
        <w:tab/>
      </w:r>
      <w:r>
        <w:fldChar w:fldCharType="begin"/>
      </w:r>
      <w:r>
        <w:instrText xml:space="preserve"> PAGEREF _Toc33534428 \h </w:instrText>
      </w:r>
      <w:r>
        <w:fldChar w:fldCharType="separate"/>
      </w:r>
      <w:r>
        <w:t>206</w:t>
      </w:r>
      <w:r>
        <w:fldChar w:fldCharType="end"/>
      </w:r>
    </w:p>
    <w:p>
      <w:pPr>
        <w:pStyle w:val="TOC8"/>
        <w:rPr>
          <w:rFonts w:asciiTheme="minorHAnsi" w:eastAsiaTheme="minorEastAsia" w:hAnsiTheme="minorHAnsi" w:cstheme="minorBidi"/>
          <w:szCs w:val="22"/>
        </w:rPr>
      </w:pPr>
      <w:r>
        <w:t>154AB.</w:t>
      </w:r>
      <w:r>
        <w:tab/>
        <w:t>Minister may give directions as to fixing premium rates</w:t>
      </w:r>
      <w:r>
        <w:tab/>
      </w:r>
      <w:r>
        <w:fldChar w:fldCharType="begin"/>
      </w:r>
      <w:r>
        <w:instrText xml:space="preserve"> PAGEREF _Toc33534429 \h </w:instrText>
      </w:r>
      <w:r>
        <w:fldChar w:fldCharType="separate"/>
      </w:r>
      <w:r>
        <w:t>207</w:t>
      </w:r>
      <w:r>
        <w:fldChar w:fldCharType="end"/>
      </w:r>
    </w:p>
    <w:p>
      <w:pPr>
        <w:pStyle w:val="TOC8"/>
        <w:rPr>
          <w:rFonts w:asciiTheme="minorHAnsi" w:eastAsiaTheme="minorEastAsia" w:hAnsiTheme="minorHAnsi" w:cstheme="minorBidi"/>
          <w:szCs w:val="22"/>
        </w:rPr>
      </w:pPr>
      <w:r>
        <w:t>154AC.</w:t>
      </w:r>
      <w:r>
        <w:tab/>
        <w:t>Regulations for subsidy from Supplementation Fund</w:t>
      </w:r>
      <w:r>
        <w:tab/>
      </w:r>
      <w:r>
        <w:fldChar w:fldCharType="begin"/>
      </w:r>
      <w:r>
        <w:instrText xml:space="preserve"> PAGEREF _Toc33534430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Injury management</w:t>
      </w:r>
    </w:p>
    <w:p>
      <w:pPr>
        <w:pStyle w:val="TOC8"/>
        <w:rPr>
          <w:rFonts w:asciiTheme="minorHAnsi" w:eastAsiaTheme="minorEastAsia" w:hAnsiTheme="minorHAnsi" w:cstheme="minorBidi"/>
          <w:szCs w:val="22"/>
        </w:rPr>
      </w:pPr>
      <w:r>
        <w:t>155.</w:t>
      </w:r>
      <w:r>
        <w:tab/>
        <w:t>Terms used</w:t>
      </w:r>
      <w:r>
        <w:tab/>
      </w:r>
      <w:r>
        <w:fldChar w:fldCharType="begin"/>
      </w:r>
      <w:r>
        <w:instrText xml:space="preserve"> PAGEREF _Toc33534432 \h </w:instrText>
      </w:r>
      <w:r>
        <w:fldChar w:fldCharType="separate"/>
      </w:r>
      <w:r>
        <w:t>208</w:t>
      </w:r>
      <w:r>
        <w:fldChar w:fldCharType="end"/>
      </w:r>
    </w:p>
    <w:p>
      <w:pPr>
        <w:pStyle w:val="TOC8"/>
        <w:rPr>
          <w:rFonts w:asciiTheme="minorHAnsi" w:eastAsiaTheme="minorEastAsia" w:hAnsiTheme="minorHAnsi" w:cstheme="minorBidi"/>
          <w:szCs w:val="22"/>
        </w:rPr>
      </w:pPr>
      <w:r>
        <w:t>155A.</w:t>
      </w:r>
      <w:r>
        <w:tab/>
        <w:t>Code of practice (injury management)</w:t>
      </w:r>
      <w:r>
        <w:tab/>
      </w:r>
      <w:r>
        <w:fldChar w:fldCharType="begin"/>
      </w:r>
      <w:r>
        <w:instrText xml:space="preserve"> PAGEREF _Toc33534433 \h </w:instrText>
      </w:r>
      <w:r>
        <w:fldChar w:fldCharType="separate"/>
      </w:r>
      <w:r>
        <w:t>208</w:t>
      </w:r>
      <w:r>
        <w:fldChar w:fldCharType="end"/>
      </w:r>
    </w:p>
    <w:p>
      <w:pPr>
        <w:pStyle w:val="TOC8"/>
        <w:rPr>
          <w:rFonts w:asciiTheme="minorHAnsi" w:eastAsiaTheme="minorEastAsia" w:hAnsiTheme="minorHAnsi" w:cstheme="minorBidi"/>
          <w:szCs w:val="22"/>
        </w:rPr>
      </w:pPr>
      <w:r>
        <w:t>155B.</w:t>
      </w:r>
      <w:r>
        <w:tab/>
        <w:t>Injury management system, employers’ duties as to</w:t>
      </w:r>
      <w:r>
        <w:tab/>
      </w:r>
      <w:r>
        <w:fldChar w:fldCharType="begin"/>
      </w:r>
      <w:r>
        <w:instrText xml:space="preserve"> PAGEREF _Toc33534434 \h </w:instrText>
      </w:r>
      <w:r>
        <w:fldChar w:fldCharType="separate"/>
      </w:r>
      <w:r>
        <w:t>209</w:t>
      </w:r>
      <w:r>
        <w:fldChar w:fldCharType="end"/>
      </w:r>
    </w:p>
    <w:p>
      <w:pPr>
        <w:pStyle w:val="TOC8"/>
        <w:rPr>
          <w:rFonts w:asciiTheme="minorHAnsi" w:eastAsiaTheme="minorEastAsia" w:hAnsiTheme="minorHAnsi" w:cstheme="minorBidi"/>
          <w:szCs w:val="22"/>
        </w:rPr>
      </w:pPr>
      <w:r>
        <w:t>155C.</w:t>
      </w:r>
      <w:r>
        <w:tab/>
        <w:t>Return to work programs, employers’ duties as to</w:t>
      </w:r>
      <w:r>
        <w:tab/>
      </w:r>
      <w:r>
        <w:fldChar w:fldCharType="begin"/>
      </w:r>
      <w:r>
        <w:instrText xml:space="preserve"> PAGEREF _Toc33534435 \h </w:instrText>
      </w:r>
      <w:r>
        <w:fldChar w:fldCharType="separate"/>
      </w:r>
      <w:r>
        <w:t>209</w:t>
      </w:r>
      <w:r>
        <w:fldChar w:fldCharType="end"/>
      </w:r>
    </w:p>
    <w:p>
      <w:pPr>
        <w:pStyle w:val="TOC8"/>
        <w:rPr>
          <w:rFonts w:asciiTheme="minorHAnsi" w:eastAsiaTheme="minorEastAsia" w:hAnsiTheme="minorHAnsi" w:cstheme="minorBidi"/>
          <w:szCs w:val="22"/>
        </w:rPr>
      </w:pPr>
      <w:r>
        <w:t>155D.</w:t>
      </w:r>
      <w:r>
        <w:tab/>
        <w:t>Insurers’ duties</w:t>
      </w:r>
      <w:r>
        <w:tab/>
      </w:r>
      <w:r>
        <w:fldChar w:fldCharType="begin"/>
      </w:r>
      <w:r>
        <w:instrText xml:space="preserve"> PAGEREF _Toc33534436 \h </w:instrText>
      </w:r>
      <w:r>
        <w:fldChar w:fldCharType="separate"/>
      </w:r>
      <w:r>
        <w:t>210</w:t>
      </w:r>
      <w:r>
        <w:fldChar w:fldCharType="end"/>
      </w:r>
    </w:p>
    <w:p>
      <w:pPr>
        <w:pStyle w:val="TOC8"/>
        <w:rPr>
          <w:rFonts w:asciiTheme="minorHAnsi" w:eastAsiaTheme="minorEastAsia" w:hAnsiTheme="minorHAnsi" w:cstheme="minorBidi"/>
          <w:szCs w:val="22"/>
        </w:rPr>
      </w:pPr>
      <w:r>
        <w:t>155E.</w:t>
      </w:r>
      <w:r>
        <w:tab/>
        <w:t>Return to work programs, WorkCover WA’s powers as to</w:t>
      </w:r>
      <w:r>
        <w:tab/>
      </w:r>
      <w:r>
        <w:fldChar w:fldCharType="begin"/>
      </w:r>
      <w:r>
        <w:instrText xml:space="preserve"> PAGEREF _Toc33534437 \h </w:instrText>
      </w:r>
      <w:r>
        <w:fldChar w:fldCharType="separate"/>
      </w:r>
      <w:r>
        <w:t>211</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Vocational rehabilitation providers, approval of</w:t>
      </w:r>
      <w:r>
        <w:tab/>
      </w:r>
      <w:r>
        <w:fldChar w:fldCharType="begin"/>
      </w:r>
      <w:r>
        <w:instrText xml:space="preserve"> PAGEREF _Toc33534438 \h </w:instrText>
      </w:r>
      <w:r>
        <w:fldChar w:fldCharType="separate"/>
      </w:r>
      <w:r>
        <w:t>211</w:t>
      </w:r>
      <w:r>
        <w:fldChar w:fldCharType="end"/>
      </w:r>
    </w:p>
    <w:p>
      <w:pPr>
        <w:pStyle w:val="TOC8"/>
        <w:rPr>
          <w:rFonts w:asciiTheme="minorHAnsi" w:eastAsiaTheme="minorEastAsia" w:hAnsiTheme="minorHAnsi" w:cstheme="minorBidi"/>
          <w:szCs w:val="22"/>
        </w:rPr>
      </w:pPr>
      <w:r>
        <w:t>156A.</w:t>
      </w:r>
      <w:r>
        <w:tab/>
        <w:t>Vocational rehabilitation providers, information as to and fees of</w:t>
      </w:r>
      <w:r>
        <w:tab/>
      </w:r>
      <w:r>
        <w:fldChar w:fldCharType="begin"/>
      </w:r>
      <w:r>
        <w:instrText xml:space="preserve"> PAGEREF _Toc33534439 \h </w:instrText>
      </w:r>
      <w:r>
        <w:fldChar w:fldCharType="separate"/>
      </w:r>
      <w:r>
        <w:t>212</w:t>
      </w:r>
      <w:r>
        <w:fldChar w:fldCharType="end"/>
      </w:r>
    </w:p>
    <w:p>
      <w:pPr>
        <w:pStyle w:val="TOC8"/>
        <w:rPr>
          <w:rFonts w:asciiTheme="minorHAnsi" w:eastAsiaTheme="minorEastAsia" w:hAnsiTheme="minorHAnsi" w:cstheme="minorBidi"/>
          <w:szCs w:val="22"/>
        </w:rPr>
      </w:pPr>
      <w:r>
        <w:t>156B</w:t>
      </w:r>
      <w:r>
        <w:rPr>
          <w:snapToGrid w:val="0"/>
        </w:rPr>
        <w:t>.</w:t>
      </w:r>
      <w:r>
        <w:rPr>
          <w:snapToGrid w:val="0"/>
        </w:rPr>
        <w:tab/>
        <w:t>Arbitrators’ powers as to return to work programs</w:t>
      </w:r>
      <w:r>
        <w:tab/>
      </w:r>
      <w:r>
        <w:fldChar w:fldCharType="begin"/>
      </w:r>
      <w:r>
        <w:instrText xml:space="preserve"> PAGEREF _Toc33534440 \h </w:instrText>
      </w:r>
      <w:r>
        <w:fldChar w:fldCharType="separate"/>
      </w:r>
      <w:r>
        <w:t>213</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Information about injury management</w:t>
      </w:r>
      <w:r>
        <w:tab/>
      </w:r>
      <w:r>
        <w:fldChar w:fldCharType="begin"/>
      </w:r>
      <w:r>
        <w:instrText xml:space="preserve"> PAGEREF _Toc33534441 \h </w:instrText>
      </w:r>
      <w:r>
        <w:fldChar w:fldCharType="separate"/>
      </w:r>
      <w:r>
        <w:t>213</w:t>
      </w:r>
      <w:r>
        <w:fldChar w:fldCharType="end"/>
      </w:r>
    </w:p>
    <w:p>
      <w:pPr>
        <w:pStyle w:val="TOC8"/>
        <w:rPr>
          <w:rFonts w:asciiTheme="minorHAnsi" w:eastAsiaTheme="minorEastAsia" w:hAnsiTheme="minorHAnsi" w:cstheme="minorBidi"/>
          <w:szCs w:val="22"/>
        </w:rPr>
      </w:pPr>
      <w:r>
        <w:t>157B.</w:t>
      </w:r>
      <w:r>
        <w:tab/>
        <w:t>Mediation and assistance</w:t>
      </w:r>
      <w:r>
        <w:tab/>
      </w:r>
      <w:r>
        <w:fldChar w:fldCharType="begin"/>
      </w:r>
      <w:r>
        <w:instrText xml:space="preserve"> PAGEREF _Toc33534442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Part IXA</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158.</w:t>
      </w:r>
      <w:r>
        <w:tab/>
        <w:t>Terms used</w:t>
      </w:r>
      <w:r>
        <w:tab/>
      </w:r>
      <w:r>
        <w:fldChar w:fldCharType="begin"/>
      </w:r>
      <w:r>
        <w:instrText xml:space="preserve"> PAGEREF _Toc33534444 \h </w:instrText>
      </w:r>
      <w:r>
        <w:fldChar w:fldCharType="separate"/>
      </w:r>
      <w:r>
        <w:t>215</w:t>
      </w:r>
      <w:r>
        <w:fldChar w:fldCharType="end"/>
      </w:r>
    </w:p>
    <w:p>
      <w:pPr>
        <w:pStyle w:val="TOC8"/>
        <w:rPr>
          <w:rFonts w:asciiTheme="minorHAnsi" w:eastAsiaTheme="minorEastAsia" w:hAnsiTheme="minorHAnsi" w:cstheme="minorBidi"/>
          <w:szCs w:val="22"/>
        </w:rPr>
      </w:pPr>
      <w:r>
        <w:t>158A.</w:t>
      </w:r>
      <w:r>
        <w:tab/>
        <w:t>Eligibility to participate in programs</w:t>
      </w:r>
      <w:r>
        <w:tab/>
      </w:r>
      <w:r>
        <w:fldChar w:fldCharType="begin"/>
      </w:r>
      <w:r>
        <w:instrText xml:space="preserve"> PAGEREF _Toc33534445 \h </w:instrText>
      </w:r>
      <w:r>
        <w:fldChar w:fldCharType="separate"/>
      </w:r>
      <w:r>
        <w:t>216</w:t>
      </w:r>
      <w:r>
        <w:fldChar w:fldCharType="end"/>
      </w:r>
    </w:p>
    <w:p>
      <w:pPr>
        <w:pStyle w:val="TOC8"/>
        <w:rPr>
          <w:rFonts w:asciiTheme="minorHAnsi" w:eastAsiaTheme="minorEastAsia" w:hAnsiTheme="minorHAnsi" w:cstheme="minorBidi"/>
          <w:szCs w:val="22"/>
        </w:rPr>
      </w:pPr>
      <w:r>
        <w:t>158B.</w:t>
      </w:r>
      <w:r>
        <w:tab/>
        <w:t>Final day for recording agreed matters, referring disputed matters for determination</w:t>
      </w:r>
      <w:r>
        <w:tab/>
      </w:r>
      <w:r>
        <w:fldChar w:fldCharType="begin"/>
      </w:r>
      <w:r>
        <w:instrText xml:space="preserve"> PAGEREF _Toc33534446 \h </w:instrText>
      </w:r>
      <w:r>
        <w:fldChar w:fldCharType="separate"/>
      </w:r>
      <w:r>
        <w:t>217</w:t>
      </w:r>
      <w:r>
        <w:fldChar w:fldCharType="end"/>
      </w:r>
    </w:p>
    <w:p>
      <w:pPr>
        <w:pStyle w:val="TOC8"/>
        <w:rPr>
          <w:rFonts w:asciiTheme="minorHAnsi" w:eastAsiaTheme="minorEastAsia" w:hAnsiTheme="minorHAnsi" w:cstheme="minorBidi"/>
          <w:szCs w:val="22"/>
        </w:rPr>
      </w:pPr>
      <w:r>
        <w:t>158C.</w:t>
      </w:r>
      <w:r>
        <w:tab/>
        <w:t>Degree of permanent whole of person impairment, disputes as to</w:t>
      </w:r>
      <w:r>
        <w:tab/>
      </w:r>
      <w:r>
        <w:fldChar w:fldCharType="begin"/>
      </w:r>
      <w:r>
        <w:instrText xml:space="preserve"> PAGEREF _Toc33534447 \h </w:instrText>
      </w:r>
      <w:r>
        <w:fldChar w:fldCharType="separate"/>
      </w:r>
      <w:r>
        <w:t>219</w:t>
      </w:r>
      <w:r>
        <w:fldChar w:fldCharType="end"/>
      </w:r>
    </w:p>
    <w:p>
      <w:pPr>
        <w:pStyle w:val="TOC8"/>
        <w:rPr>
          <w:rFonts w:asciiTheme="minorHAnsi" w:eastAsiaTheme="minorEastAsia" w:hAnsiTheme="minorHAnsi" w:cstheme="minorBidi"/>
          <w:szCs w:val="22"/>
        </w:rPr>
      </w:pPr>
      <w:r>
        <w:t>158D.</w:t>
      </w:r>
      <w:r>
        <w:tab/>
        <w:t>Retraining criteria, disputes as to</w:t>
      </w:r>
      <w:r>
        <w:tab/>
      </w:r>
      <w:r>
        <w:fldChar w:fldCharType="begin"/>
      </w:r>
      <w:r>
        <w:instrText xml:space="preserve"> PAGEREF _Toc33534448 \h </w:instrText>
      </w:r>
      <w:r>
        <w:fldChar w:fldCharType="separate"/>
      </w:r>
      <w:r>
        <w:t>220</w:t>
      </w:r>
      <w:r>
        <w:fldChar w:fldCharType="end"/>
      </w:r>
    </w:p>
    <w:p>
      <w:pPr>
        <w:pStyle w:val="TOC8"/>
        <w:rPr>
          <w:rFonts w:asciiTheme="minorHAnsi" w:eastAsiaTheme="minorEastAsia" w:hAnsiTheme="minorHAnsi" w:cstheme="minorBidi"/>
          <w:szCs w:val="22"/>
        </w:rPr>
      </w:pPr>
      <w:r>
        <w:t>158E.</w:t>
      </w:r>
      <w:r>
        <w:tab/>
        <w:t>Agreements as to programs</w:t>
      </w:r>
      <w:r>
        <w:tab/>
      </w:r>
      <w:r>
        <w:fldChar w:fldCharType="begin"/>
      </w:r>
      <w:r>
        <w:instrText xml:space="preserve"> PAGEREF _Toc33534449 \h </w:instrText>
      </w:r>
      <w:r>
        <w:fldChar w:fldCharType="separate"/>
      </w:r>
      <w:r>
        <w:t>221</w:t>
      </w:r>
      <w:r>
        <w:fldChar w:fldCharType="end"/>
      </w:r>
    </w:p>
    <w:p>
      <w:pPr>
        <w:pStyle w:val="TOC8"/>
        <w:rPr>
          <w:rFonts w:asciiTheme="minorHAnsi" w:eastAsiaTheme="minorEastAsia" w:hAnsiTheme="minorHAnsi" w:cstheme="minorBidi"/>
          <w:szCs w:val="22"/>
        </w:rPr>
      </w:pPr>
      <w:r>
        <w:t>158F.</w:t>
      </w:r>
      <w:r>
        <w:tab/>
        <w:t>Programs, directions as to payments for etc.</w:t>
      </w:r>
      <w:r>
        <w:tab/>
      </w:r>
      <w:r>
        <w:fldChar w:fldCharType="begin"/>
      </w:r>
      <w:r>
        <w:instrText xml:space="preserve"> PAGEREF _Toc33534450 \h </w:instrText>
      </w:r>
      <w:r>
        <w:fldChar w:fldCharType="separate"/>
      </w:r>
      <w:r>
        <w:t>222</w:t>
      </w:r>
      <w:r>
        <w:fldChar w:fldCharType="end"/>
      </w:r>
    </w:p>
    <w:p>
      <w:pPr>
        <w:pStyle w:val="TOC8"/>
        <w:rPr>
          <w:rFonts w:asciiTheme="minorHAnsi" w:eastAsiaTheme="minorEastAsia" w:hAnsiTheme="minorHAnsi" w:cstheme="minorBidi"/>
          <w:szCs w:val="22"/>
        </w:rPr>
      </w:pPr>
      <w:r>
        <w:t>158G.</w:t>
      </w:r>
      <w:r>
        <w:tab/>
        <w:t>Directions given under s. 158F or 158I, duties of employers and insurers as to</w:t>
      </w:r>
      <w:r>
        <w:tab/>
      </w:r>
      <w:r>
        <w:fldChar w:fldCharType="begin"/>
      </w:r>
      <w:r>
        <w:instrText xml:space="preserve"> PAGEREF _Toc33534451 \h </w:instrText>
      </w:r>
      <w:r>
        <w:fldChar w:fldCharType="separate"/>
      </w:r>
      <w:r>
        <w:t>224</w:t>
      </w:r>
      <w:r>
        <w:fldChar w:fldCharType="end"/>
      </w:r>
    </w:p>
    <w:p>
      <w:pPr>
        <w:pStyle w:val="TOC8"/>
        <w:rPr>
          <w:rFonts w:asciiTheme="minorHAnsi" w:eastAsiaTheme="minorEastAsia" w:hAnsiTheme="minorHAnsi" w:cstheme="minorBidi"/>
          <w:szCs w:val="22"/>
        </w:rPr>
      </w:pPr>
      <w:r>
        <w:t>158H.</w:t>
      </w:r>
      <w:r>
        <w:tab/>
        <w:t>Reviews of programs</w:t>
      </w:r>
      <w:r>
        <w:tab/>
      </w:r>
      <w:r>
        <w:fldChar w:fldCharType="begin"/>
      </w:r>
      <w:r>
        <w:instrText xml:space="preserve"> PAGEREF _Toc33534452 \h </w:instrText>
      </w:r>
      <w:r>
        <w:fldChar w:fldCharType="separate"/>
      </w:r>
      <w:r>
        <w:t>224</w:t>
      </w:r>
      <w:r>
        <w:fldChar w:fldCharType="end"/>
      </w:r>
    </w:p>
    <w:p>
      <w:pPr>
        <w:pStyle w:val="TOC8"/>
        <w:rPr>
          <w:rFonts w:asciiTheme="minorHAnsi" w:eastAsiaTheme="minorEastAsia" w:hAnsiTheme="minorHAnsi" w:cstheme="minorBidi"/>
          <w:szCs w:val="22"/>
        </w:rPr>
      </w:pPr>
      <w:r>
        <w:t>158I.</w:t>
      </w:r>
      <w:r>
        <w:tab/>
        <w:t>WorkCover WA may direct modification etc. of programs</w:t>
      </w:r>
      <w:r>
        <w:tab/>
      </w:r>
      <w:r>
        <w:fldChar w:fldCharType="begin"/>
      </w:r>
      <w:r>
        <w:instrText xml:space="preserve"> PAGEREF _Toc33534453 \h </w:instrText>
      </w:r>
      <w:r>
        <w:fldChar w:fldCharType="separate"/>
      </w:r>
      <w:r>
        <w:t>225</w:t>
      </w:r>
      <w:r>
        <w:fldChar w:fldCharType="end"/>
      </w:r>
    </w:p>
    <w:p>
      <w:pPr>
        <w:pStyle w:val="TOC8"/>
        <w:rPr>
          <w:rFonts w:asciiTheme="minorHAnsi" w:eastAsiaTheme="minorEastAsia" w:hAnsiTheme="minorHAnsi" w:cstheme="minorBidi"/>
          <w:szCs w:val="22"/>
        </w:rPr>
      </w:pPr>
      <w:r>
        <w:t>158J.</w:t>
      </w:r>
      <w:r>
        <w:tab/>
        <w:t>When payments for programs cease</w:t>
      </w:r>
      <w:r>
        <w:tab/>
      </w:r>
      <w:r>
        <w:fldChar w:fldCharType="begin"/>
      </w:r>
      <w:r>
        <w:instrText xml:space="preserve"> PAGEREF _Toc33534454 \h </w:instrText>
      </w:r>
      <w:r>
        <w:fldChar w:fldCharType="separate"/>
      </w:r>
      <w:r>
        <w:t>225</w:t>
      </w:r>
      <w:r>
        <w:fldChar w:fldCharType="end"/>
      </w:r>
    </w:p>
    <w:p>
      <w:pPr>
        <w:pStyle w:val="TOC8"/>
        <w:rPr>
          <w:rFonts w:asciiTheme="minorHAnsi" w:eastAsiaTheme="minorEastAsia" w:hAnsiTheme="minorHAnsi" w:cstheme="minorBidi"/>
          <w:szCs w:val="22"/>
        </w:rPr>
      </w:pPr>
      <w:r>
        <w:t>158K.</w:t>
      </w:r>
      <w:r>
        <w:tab/>
        <w:t>Directions not open to challenge etc.</w:t>
      </w:r>
      <w:r>
        <w:tab/>
      </w:r>
      <w:r>
        <w:fldChar w:fldCharType="begin"/>
      </w:r>
      <w:r>
        <w:instrText xml:space="preserve"> PAGEREF _Toc33534455 \h </w:instrText>
      </w:r>
      <w:r>
        <w:fldChar w:fldCharType="separate"/>
      </w:r>
      <w:r>
        <w:t>226</w:t>
      </w:r>
      <w:r>
        <w:fldChar w:fldCharType="end"/>
      </w:r>
    </w:p>
    <w:p>
      <w:pPr>
        <w:pStyle w:val="TOC8"/>
        <w:rPr>
          <w:rFonts w:asciiTheme="minorHAnsi" w:eastAsiaTheme="minorEastAsia" w:hAnsiTheme="minorHAnsi" w:cstheme="minorBidi"/>
          <w:szCs w:val="22"/>
        </w:rPr>
      </w:pPr>
      <w:r>
        <w:t>158L.</w:t>
      </w:r>
      <w:r>
        <w:tab/>
        <w:t>Other effects of participating in program</w:t>
      </w:r>
      <w:r>
        <w:tab/>
      </w:r>
      <w:r>
        <w:fldChar w:fldCharType="begin"/>
      </w:r>
      <w:r>
        <w:instrText xml:space="preserve"> PAGEREF _Toc33534456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Part X — Insurance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Liability of employers and insurers</w:t>
      </w:r>
    </w:p>
    <w:p>
      <w:pPr>
        <w:pStyle w:val="TOC8"/>
        <w:rPr>
          <w:rFonts w:asciiTheme="minorHAnsi" w:eastAsiaTheme="minorEastAsia" w:hAnsiTheme="minorHAnsi" w:cstheme="minorBidi"/>
          <w:szCs w:val="22"/>
        </w:rPr>
      </w:pPr>
      <w:r>
        <w:t>159.</w:t>
      </w:r>
      <w:r>
        <w:tab/>
        <w:t>Terms used</w:t>
      </w:r>
      <w:r>
        <w:tab/>
      </w:r>
      <w:r>
        <w:fldChar w:fldCharType="begin"/>
      </w:r>
      <w:r>
        <w:instrText xml:space="preserve"> PAGEREF _Toc33534459 \h </w:instrText>
      </w:r>
      <w:r>
        <w:fldChar w:fldCharType="separate"/>
      </w:r>
      <w:r>
        <w:t>227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Employers’ duty to be insured etc.; insurers’ duties</w:t>
      </w:r>
      <w:r>
        <w:tab/>
      </w:r>
      <w:r>
        <w:fldChar w:fldCharType="begin"/>
      </w:r>
      <w:r>
        <w:instrText xml:space="preserve"> PAGEREF _Toc33534460 \h </w:instrText>
      </w:r>
      <w:r>
        <w:fldChar w:fldCharType="separate"/>
      </w:r>
      <w:r>
        <w:t>229</w:t>
      </w:r>
      <w:r>
        <w:fldChar w:fldCharType="end"/>
      </w:r>
    </w:p>
    <w:p>
      <w:pPr>
        <w:pStyle w:val="TOC8"/>
        <w:rPr>
          <w:rFonts w:asciiTheme="minorHAnsi" w:eastAsiaTheme="minorEastAsia" w:hAnsiTheme="minorHAnsi" w:cstheme="minorBidi"/>
          <w:szCs w:val="22"/>
        </w:rPr>
      </w:pPr>
      <w:r>
        <w:t>160A.</w:t>
      </w:r>
      <w:r>
        <w:tab/>
        <w:t>Insurance in respect of working directors</w:t>
      </w:r>
      <w:r>
        <w:tab/>
      </w:r>
      <w:r>
        <w:fldChar w:fldCharType="begin"/>
      </w:r>
      <w:r>
        <w:instrText xml:space="preserve"> PAGEREF _Toc33534461 \h </w:instrText>
      </w:r>
      <w:r>
        <w:fldChar w:fldCharType="separate"/>
      </w:r>
      <w:r>
        <w:t>231</w:t>
      </w:r>
      <w:r>
        <w:fldChar w:fldCharType="end"/>
      </w:r>
    </w:p>
    <w:p>
      <w:pPr>
        <w:pStyle w:val="TOC8"/>
        <w:rPr>
          <w:rFonts w:asciiTheme="minorHAnsi" w:eastAsiaTheme="minorEastAsia" w:hAnsiTheme="minorHAnsi" w:cstheme="minorBidi"/>
          <w:szCs w:val="22"/>
        </w:rPr>
      </w:pPr>
      <w:r>
        <w:t>161A</w:t>
      </w:r>
      <w:r>
        <w:rPr>
          <w:snapToGrid w:val="0"/>
        </w:rPr>
        <w:t>.</w:t>
      </w:r>
      <w:r>
        <w:rPr>
          <w:snapToGrid w:val="0"/>
        </w:rPr>
        <w:tab/>
        <w:t>Incorporated insurance offices not to issue or renew policies unless approved under s. 161</w:t>
      </w:r>
      <w:r>
        <w:tab/>
      </w:r>
      <w:r>
        <w:fldChar w:fldCharType="begin"/>
      </w:r>
      <w:r>
        <w:instrText xml:space="preserve"> PAGEREF _Toc33534462 \h </w:instrText>
      </w:r>
      <w:r>
        <w:fldChar w:fldCharType="separate"/>
      </w:r>
      <w:r>
        <w:t>232</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Incorporated insurance offices, approval of</w:t>
      </w:r>
      <w:r>
        <w:tab/>
      </w:r>
      <w:r>
        <w:fldChar w:fldCharType="begin"/>
      </w:r>
      <w:r>
        <w:instrText xml:space="preserve"> PAGEREF _Toc33534463 \h </w:instrText>
      </w:r>
      <w:r>
        <w:fldChar w:fldCharType="separate"/>
      </w:r>
      <w:r>
        <w:t>233</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Insurance Commission of Western Australia sole insurer as to some industrial diseases</w:t>
      </w:r>
      <w:r>
        <w:tab/>
      </w:r>
      <w:r>
        <w:fldChar w:fldCharType="begin"/>
      </w:r>
      <w:r>
        <w:instrText xml:space="preserve"> PAGEREF _Toc33534464 \h </w:instrText>
      </w:r>
      <w:r>
        <w:fldChar w:fldCharType="separate"/>
      </w:r>
      <w:r>
        <w:t>234</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Industrial disease premiums, payment of etc.</w:t>
      </w:r>
      <w:r>
        <w:tab/>
      </w:r>
      <w:r>
        <w:fldChar w:fldCharType="begin"/>
      </w:r>
      <w:r>
        <w:instrText xml:space="preserve"> PAGEREF _Toc33534465 \h </w:instrText>
      </w:r>
      <w:r>
        <w:fldChar w:fldCharType="separate"/>
      </w:r>
      <w:r>
        <w:t>235</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Exempting employers from duty to insure</w:t>
      </w:r>
      <w:r>
        <w:tab/>
      </w:r>
      <w:r>
        <w:fldChar w:fldCharType="begin"/>
      </w:r>
      <w:r>
        <w:instrText xml:space="preserve"> PAGEREF _Toc33534466 \h </w:instrText>
      </w:r>
      <w:r>
        <w:fldChar w:fldCharType="separate"/>
      </w:r>
      <w:r>
        <w:t>235</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Review of s. 164 exemptions</w:t>
      </w:r>
      <w:r>
        <w:tab/>
      </w:r>
      <w:r>
        <w:fldChar w:fldCharType="begin"/>
      </w:r>
      <w:r>
        <w:instrText xml:space="preserve"> PAGEREF _Toc33534467 \h </w:instrText>
      </w:r>
      <w:r>
        <w:fldChar w:fldCharType="separate"/>
      </w:r>
      <w:r>
        <w:t>236</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Cancelling s. 164 exemptions due to breach of law</w:t>
      </w:r>
      <w:r>
        <w:tab/>
      </w:r>
      <w:r>
        <w:fldChar w:fldCharType="begin"/>
      </w:r>
      <w:r>
        <w:instrText xml:space="preserve"> PAGEREF _Toc33534468 \h </w:instrText>
      </w:r>
      <w:r>
        <w:fldChar w:fldCharType="separate"/>
      </w:r>
      <w:r>
        <w:t>238</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cessation of s. 164 exemption</w:t>
      </w:r>
      <w:r>
        <w:tab/>
      </w:r>
      <w:r>
        <w:fldChar w:fldCharType="begin"/>
      </w:r>
      <w:r>
        <w:instrText xml:space="preserve"> PAGEREF _Toc33534469 \h </w:instrText>
      </w:r>
      <w:r>
        <w:fldChar w:fldCharType="separate"/>
      </w:r>
      <w:r>
        <w:t>238</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Revoking s. 164 exemptions on employers’ request</w:t>
      </w:r>
      <w:r>
        <w:tab/>
      </w:r>
      <w:r>
        <w:fldChar w:fldCharType="begin"/>
      </w:r>
      <w:r>
        <w:instrText xml:space="preserve"> PAGEREF _Toc33534470 \h </w:instrText>
      </w:r>
      <w:r>
        <w:fldChar w:fldCharType="separate"/>
      </w:r>
      <w:r>
        <w:t>238</w:t>
      </w:r>
      <w:r>
        <w:fldChar w:fldCharType="end"/>
      </w:r>
    </w:p>
    <w:p>
      <w:pPr>
        <w:pStyle w:val="TOC8"/>
        <w:rPr>
          <w:rFonts w:asciiTheme="minorHAnsi" w:eastAsiaTheme="minorEastAsia" w:hAnsiTheme="minorHAnsi" w:cstheme="minorBidi"/>
          <w:szCs w:val="22"/>
        </w:rPr>
      </w:pPr>
      <w:r>
        <w:t>169.</w:t>
      </w:r>
      <w:r>
        <w:tab/>
        <w:t>Terms of insurance and form of policies</w:t>
      </w:r>
      <w:r>
        <w:tab/>
      </w:r>
      <w:r>
        <w:fldChar w:fldCharType="begin"/>
      </w:r>
      <w:r>
        <w:instrText xml:space="preserve"> PAGEREF _Toc33534471 \h </w:instrText>
      </w:r>
      <w:r>
        <w:fldChar w:fldCharType="separate"/>
      </w:r>
      <w:r>
        <w:t>239</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Failure to insure</w:t>
      </w:r>
      <w:r>
        <w:tab/>
      </w:r>
      <w:r>
        <w:fldChar w:fldCharType="begin"/>
      </w:r>
      <w:r>
        <w:instrText xml:space="preserve"> PAGEREF _Toc33534472 \h </w:instrText>
      </w:r>
      <w:r>
        <w:fldChar w:fldCharType="separate"/>
      </w:r>
      <w:r>
        <w:t>240</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Insurance offices to give information to WorkCover WA</w:t>
      </w:r>
      <w:r>
        <w:tab/>
      </w:r>
      <w:r>
        <w:fldChar w:fldCharType="begin"/>
      </w:r>
      <w:r>
        <w:instrText xml:space="preserve"> PAGEREF _Toc33534473 \h </w:instrText>
      </w:r>
      <w:r>
        <w:fldChar w:fldCharType="separate"/>
      </w:r>
      <w:r>
        <w:t>243</w:t>
      </w:r>
      <w:r>
        <w:fldChar w:fldCharType="end"/>
      </w:r>
    </w:p>
    <w:p>
      <w:pPr>
        <w:pStyle w:val="TOC8"/>
        <w:rPr>
          <w:rFonts w:asciiTheme="minorHAnsi" w:eastAsiaTheme="minorEastAsia" w:hAnsiTheme="minorHAnsi" w:cstheme="minorBidi"/>
          <w:szCs w:val="22"/>
        </w:rPr>
      </w:pPr>
      <w:r>
        <w:t>172.</w:t>
      </w:r>
      <w:r>
        <w:tab/>
        <w:t>WorkCover WA may recover underpaid premiums from employers</w:t>
      </w:r>
      <w:r>
        <w:tab/>
      </w:r>
      <w:r>
        <w:fldChar w:fldCharType="begin"/>
      </w:r>
      <w:r>
        <w:instrText xml:space="preserve"> PAGEREF _Toc33534474 \h </w:instrText>
      </w:r>
      <w:r>
        <w:fldChar w:fldCharType="separate"/>
      </w:r>
      <w:r>
        <w:t>244</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Worker’s rights against insurer when employer ceases to exist etc.</w:t>
      </w:r>
      <w:r>
        <w:tab/>
      </w:r>
      <w:r>
        <w:fldChar w:fldCharType="begin"/>
      </w:r>
      <w:r>
        <w:instrText xml:space="preserve"> PAGEREF _Toc33534475 \h </w:instrText>
      </w:r>
      <w:r>
        <w:fldChar w:fldCharType="separate"/>
      </w:r>
      <w:r>
        <w:t>245</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 xml:space="preserve">Payment to worker from General </w:t>
      </w:r>
      <w:r>
        <w:t>Account</w:t>
      </w:r>
      <w:r>
        <w:tab/>
      </w:r>
      <w:r>
        <w:fldChar w:fldCharType="begin"/>
      </w:r>
      <w:r>
        <w:instrText xml:space="preserve"> PAGEREF _Toc33534476 \h </w:instrText>
      </w:r>
      <w:r>
        <w:fldChar w:fldCharType="separate"/>
      </w:r>
      <w:r>
        <w:t>245</w:t>
      </w:r>
      <w:r>
        <w:fldChar w:fldCharType="end"/>
      </w:r>
    </w:p>
    <w:p>
      <w:pPr>
        <w:pStyle w:val="TOC8"/>
        <w:rPr>
          <w:rFonts w:asciiTheme="minorHAnsi" w:eastAsiaTheme="minorEastAsia" w:hAnsiTheme="minorHAnsi" w:cstheme="minorBidi"/>
          <w:szCs w:val="22"/>
        </w:rPr>
      </w:pPr>
      <w:r>
        <w:t>174AAA. Setting aside certain judgments and agreements</w:t>
      </w:r>
      <w:r>
        <w:tab/>
      </w:r>
      <w:r>
        <w:fldChar w:fldCharType="begin"/>
      </w:r>
      <w:r>
        <w:instrText xml:space="preserve"> PAGEREF _Toc33534477 \h </w:instrText>
      </w:r>
      <w:r>
        <w:fldChar w:fldCharType="separate"/>
      </w:r>
      <w:r>
        <w:t>249</w:t>
      </w:r>
      <w:r>
        <w:fldChar w:fldCharType="end"/>
      </w:r>
    </w:p>
    <w:p>
      <w:pPr>
        <w:pStyle w:val="TOC8"/>
        <w:rPr>
          <w:rFonts w:asciiTheme="minorHAnsi" w:eastAsiaTheme="minorEastAsia" w:hAnsiTheme="minorHAnsi" w:cstheme="minorBidi"/>
          <w:szCs w:val="22"/>
        </w:rPr>
      </w:pPr>
      <w:r>
        <w:t>174AA.</w:t>
      </w:r>
      <w:r>
        <w:tab/>
        <w:t>Recovering s. 174 payments from officers of body corporate</w:t>
      </w:r>
      <w:r>
        <w:tab/>
      </w:r>
      <w:r>
        <w:fldChar w:fldCharType="begin"/>
      </w:r>
      <w:r>
        <w:instrText xml:space="preserve"> PAGEREF _Toc33534478 \h </w:instrText>
      </w:r>
      <w:r>
        <w:fldChar w:fldCharType="separate"/>
      </w:r>
      <w:r>
        <w:t>250</w:t>
      </w:r>
      <w:r>
        <w:fldChar w:fldCharType="end"/>
      </w:r>
    </w:p>
    <w:p>
      <w:pPr>
        <w:pStyle w:val="TOC8"/>
        <w:rPr>
          <w:rFonts w:asciiTheme="minorHAnsi" w:eastAsiaTheme="minorEastAsia" w:hAnsiTheme="minorHAnsi" w:cstheme="minorBidi"/>
          <w:szCs w:val="22"/>
        </w:rPr>
      </w:pPr>
      <w:r>
        <w:t>174AB.</w:t>
      </w:r>
      <w:r>
        <w:tab/>
        <w:t>WorkCover WA may exercise rights of employer in some cases</w:t>
      </w:r>
      <w:r>
        <w:tab/>
      </w:r>
      <w:r>
        <w:fldChar w:fldCharType="begin"/>
      </w:r>
      <w:r>
        <w:instrText xml:space="preserve"> PAGEREF _Toc33534479 \h </w:instrText>
      </w:r>
      <w:r>
        <w:fldChar w:fldCharType="separate"/>
      </w:r>
      <w:r>
        <w:t>251</w:t>
      </w:r>
      <w:r>
        <w:fldChar w:fldCharType="end"/>
      </w:r>
    </w:p>
    <w:p>
      <w:pPr>
        <w:pStyle w:val="TOC8"/>
        <w:rPr>
          <w:rFonts w:asciiTheme="minorHAnsi" w:eastAsiaTheme="minorEastAsia" w:hAnsiTheme="minorHAnsi" w:cstheme="minorBidi"/>
          <w:szCs w:val="22"/>
        </w:rPr>
      </w:pPr>
      <w:r>
        <w:t>174AC.</w:t>
      </w:r>
      <w:r>
        <w:tab/>
        <w:t>WorkCover WA’s rights of indemnity and subrogation</w:t>
      </w:r>
      <w:r>
        <w:tab/>
      </w:r>
      <w:r>
        <w:fldChar w:fldCharType="begin"/>
      </w:r>
      <w:r>
        <w:instrText xml:space="preserve"> PAGEREF _Toc33534480 \h </w:instrText>
      </w:r>
      <w:r>
        <w:fldChar w:fldCharType="separate"/>
      </w:r>
      <w:r>
        <w:t>252</w:t>
      </w:r>
      <w:r>
        <w:fldChar w:fldCharType="end"/>
      </w:r>
    </w:p>
    <w:p>
      <w:pPr>
        <w:pStyle w:val="TOC8"/>
        <w:rPr>
          <w:rFonts w:asciiTheme="minorHAnsi" w:eastAsiaTheme="minorEastAsia" w:hAnsiTheme="minorHAnsi" w:cstheme="minorBidi"/>
          <w:szCs w:val="22"/>
        </w:rPr>
      </w:pPr>
      <w:r>
        <w:t>174AD.</w:t>
      </w:r>
      <w:r>
        <w:tab/>
        <w:t>Employer’s duty to assist WorkCover WA</w:t>
      </w:r>
      <w:r>
        <w:tab/>
      </w:r>
      <w:r>
        <w:fldChar w:fldCharType="begin"/>
      </w:r>
      <w:r>
        <w:instrText xml:space="preserve"> PAGEREF _Toc33534481 \h </w:instrText>
      </w:r>
      <w:r>
        <w:fldChar w:fldCharType="separate"/>
      </w:r>
      <w:r>
        <w:t>253</w:t>
      </w:r>
      <w:r>
        <w:fldChar w:fldCharType="end"/>
      </w:r>
    </w:p>
    <w:p>
      <w:pPr>
        <w:pStyle w:val="TOC8"/>
        <w:rPr>
          <w:rFonts w:asciiTheme="minorHAnsi" w:eastAsiaTheme="minorEastAsia" w:hAnsiTheme="minorHAnsi" w:cstheme="minorBidi"/>
          <w:szCs w:val="22"/>
        </w:rPr>
      </w:pPr>
      <w:r>
        <w:t>174A</w:t>
      </w:r>
      <w:r>
        <w:rPr>
          <w:snapToGrid w:val="0"/>
        </w:rPr>
        <w:t>.</w:t>
      </w:r>
      <w:r>
        <w:rPr>
          <w:snapToGrid w:val="0"/>
        </w:rPr>
        <w:tab/>
        <w:t xml:space="preserve">Insurer may not refuse to indemnify </w:t>
      </w:r>
      <w:r>
        <w:t>in some cases</w:t>
      </w:r>
      <w:r>
        <w:tab/>
      </w:r>
      <w:r>
        <w:fldChar w:fldCharType="begin"/>
      </w:r>
      <w:r>
        <w:instrText xml:space="preserve"> PAGEREF _Toc33534482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Insurance by principals, contractors, and sub</w:t>
      </w:r>
      <w:r>
        <w:noBreakHyphen/>
        <w:t>contractors</w:t>
      </w:r>
    </w:p>
    <w:p>
      <w:pPr>
        <w:pStyle w:val="TOC8"/>
        <w:rPr>
          <w:rFonts w:asciiTheme="minorHAnsi" w:eastAsiaTheme="minorEastAsia" w:hAnsiTheme="minorHAnsi" w:cstheme="minorBidi"/>
          <w:szCs w:val="22"/>
        </w:rPr>
      </w:pPr>
      <w:r>
        <w:t>175</w:t>
      </w:r>
      <w:r>
        <w:rPr>
          <w:snapToGrid w:val="0"/>
        </w:rPr>
        <w:t>.</w:t>
      </w:r>
      <w:r>
        <w:rPr>
          <w:snapToGrid w:val="0"/>
        </w:rPr>
        <w:tab/>
        <w:t>When principal, contractor and sub</w:t>
      </w:r>
      <w:r>
        <w:rPr>
          <w:snapToGrid w:val="0"/>
        </w:rPr>
        <w:noBreakHyphen/>
        <w:t>contractor deemed employers</w:t>
      </w:r>
      <w:r>
        <w:tab/>
      </w:r>
      <w:r>
        <w:fldChar w:fldCharType="begin"/>
      </w:r>
      <w:r>
        <w:instrText xml:space="preserve"> PAGEREF _Toc33534484 \h </w:instrText>
      </w:r>
      <w:r>
        <w:fldChar w:fldCharType="separate"/>
      </w:r>
      <w:r>
        <w:t>254</w:t>
      </w:r>
      <w:r>
        <w:fldChar w:fldCharType="end"/>
      </w:r>
    </w:p>
    <w:p>
      <w:pPr>
        <w:pStyle w:val="TOC8"/>
        <w:rPr>
          <w:rFonts w:asciiTheme="minorHAnsi" w:eastAsiaTheme="minorEastAsia" w:hAnsiTheme="minorHAnsi" w:cstheme="minorBidi"/>
          <w:szCs w:val="22"/>
        </w:rPr>
      </w:pPr>
      <w:r>
        <w:t>175AA.</w:t>
      </w:r>
      <w:r>
        <w:tab/>
        <w:t>Certain persons deemed workers</w:t>
      </w:r>
      <w:r>
        <w:tab/>
      </w:r>
      <w:r>
        <w:fldChar w:fldCharType="begin"/>
      </w:r>
      <w:r>
        <w:instrText xml:space="preserve"> PAGEREF _Toc33534485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Inspectors</w:t>
      </w:r>
    </w:p>
    <w:p>
      <w:pPr>
        <w:pStyle w:val="TOC8"/>
        <w:rPr>
          <w:rFonts w:asciiTheme="minorHAnsi" w:eastAsiaTheme="minorEastAsia" w:hAnsiTheme="minorHAnsi" w:cstheme="minorBidi"/>
          <w:szCs w:val="22"/>
        </w:rPr>
      </w:pPr>
      <w:r>
        <w:t>175A</w:t>
      </w:r>
      <w:r>
        <w:rPr>
          <w:snapToGrid w:val="0"/>
        </w:rPr>
        <w:t>.</w:t>
      </w:r>
      <w:r>
        <w:rPr>
          <w:snapToGrid w:val="0"/>
        </w:rPr>
        <w:tab/>
        <w:t>Authorising etc. inspectors; oath etc. by inspectors</w:t>
      </w:r>
      <w:r>
        <w:tab/>
      </w:r>
      <w:r>
        <w:fldChar w:fldCharType="begin"/>
      </w:r>
      <w:r>
        <w:instrText xml:space="preserve"> PAGEREF _Toc33534487 \h </w:instrText>
      </w:r>
      <w:r>
        <w:fldChar w:fldCharType="separate"/>
      </w:r>
      <w:r>
        <w:t>258</w:t>
      </w:r>
      <w:r>
        <w:fldChar w:fldCharType="end"/>
      </w:r>
    </w:p>
    <w:p>
      <w:pPr>
        <w:pStyle w:val="TOC8"/>
        <w:rPr>
          <w:rFonts w:asciiTheme="minorHAnsi" w:eastAsiaTheme="minorEastAsia" w:hAnsiTheme="minorHAnsi" w:cstheme="minorBidi"/>
          <w:szCs w:val="22"/>
        </w:rPr>
      </w:pPr>
      <w:r>
        <w:t>175B</w:t>
      </w:r>
      <w:r>
        <w:rPr>
          <w:snapToGrid w:val="0"/>
        </w:rPr>
        <w:t>.</w:t>
      </w:r>
      <w:r>
        <w:rPr>
          <w:snapToGrid w:val="0"/>
        </w:rPr>
        <w:tab/>
        <w:t>Powers</w:t>
      </w:r>
      <w:r>
        <w:tab/>
      </w:r>
      <w:r>
        <w:fldChar w:fldCharType="begin"/>
      </w:r>
      <w:r>
        <w:instrText xml:space="preserve"> PAGEREF _Toc33534488 \h </w:instrText>
      </w:r>
      <w:r>
        <w:fldChar w:fldCharType="separate"/>
      </w:r>
      <w:r>
        <w:t>259</w:t>
      </w:r>
      <w:r>
        <w:fldChar w:fldCharType="end"/>
      </w:r>
    </w:p>
    <w:p>
      <w:pPr>
        <w:pStyle w:val="TOC8"/>
        <w:rPr>
          <w:rFonts w:asciiTheme="minorHAnsi" w:eastAsiaTheme="minorEastAsia" w:hAnsiTheme="minorHAnsi" w:cstheme="minorBidi"/>
          <w:szCs w:val="22"/>
        </w:rPr>
      </w:pPr>
      <w:r>
        <w:t>175C</w:t>
      </w:r>
      <w:r>
        <w:rPr>
          <w:snapToGrid w:val="0"/>
        </w:rPr>
        <w:t>.</w:t>
      </w:r>
      <w:r>
        <w:rPr>
          <w:snapToGrid w:val="0"/>
        </w:rPr>
        <w:tab/>
        <w:t>Interpreters</w:t>
      </w:r>
      <w:r>
        <w:tab/>
      </w:r>
      <w:r>
        <w:fldChar w:fldCharType="begin"/>
      </w:r>
      <w:r>
        <w:instrText xml:space="preserve"> PAGEREF _Toc33534489 \h </w:instrText>
      </w:r>
      <w:r>
        <w:fldChar w:fldCharType="separate"/>
      </w:r>
      <w:r>
        <w:t>261</w:t>
      </w:r>
      <w:r>
        <w:fldChar w:fldCharType="end"/>
      </w:r>
    </w:p>
    <w:p>
      <w:pPr>
        <w:pStyle w:val="TOC8"/>
        <w:rPr>
          <w:rFonts w:asciiTheme="minorHAnsi" w:eastAsiaTheme="minorEastAsia" w:hAnsiTheme="minorHAnsi" w:cstheme="minorBidi"/>
          <w:szCs w:val="22"/>
        </w:rPr>
      </w:pPr>
      <w:r>
        <w:t>175D</w:t>
      </w:r>
      <w:r>
        <w:rPr>
          <w:snapToGrid w:val="0"/>
        </w:rPr>
        <w:t>.</w:t>
      </w:r>
      <w:r>
        <w:rPr>
          <w:snapToGrid w:val="0"/>
        </w:rPr>
        <w:tab/>
        <w:t>Offences</w:t>
      </w:r>
      <w:r>
        <w:tab/>
      </w:r>
      <w:r>
        <w:fldChar w:fldCharType="begin"/>
      </w:r>
      <w:r>
        <w:instrText xml:space="preserve"> PAGEREF _Toc33534490 \h </w:instrText>
      </w:r>
      <w:r>
        <w:fldChar w:fldCharType="separate"/>
      </w:r>
      <w:r>
        <w:t>261</w:t>
      </w:r>
      <w:r>
        <w:fldChar w:fldCharType="end"/>
      </w:r>
    </w:p>
    <w:p>
      <w:pPr>
        <w:pStyle w:val="TOC2"/>
        <w:tabs>
          <w:tab w:val="right" w:leader="dot" w:pos="7077"/>
        </w:tabs>
        <w:rPr>
          <w:rFonts w:asciiTheme="minorHAnsi" w:eastAsiaTheme="minorEastAsia" w:hAnsiTheme="minorHAnsi" w:cstheme="minorBidi"/>
          <w:b w:val="0"/>
          <w:sz w:val="22"/>
          <w:szCs w:val="22"/>
        </w:rPr>
      </w:pPr>
      <w:r>
        <w:t>Part XA — Infringement notices and modified penalties</w:t>
      </w:r>
    </w:p>
    <w:p>
      <w:pPr>
        <w:pStyle w:val="TOC8"/>
        <w:rPr>
          <w:rFonts w:asciiTheme="minorHAnsi" w:eastAsiaTheme="minorEastAsia" w:hAnsiTheme="minorHAnsi" w:cstheme="minorBidi"/>
          <w:szCs w:val="22"/>
        </w:rPr>
      </w:pPr>
      <w:r>
        <w:t>175E.</w:t>
      </w:r>
      <w:r>
        <w:tab/>
        <w:t>Terms used</w:t>
      </w:r>
      <w:r>
        <w:tab/>
      </w:r>
      <w:r>
        <w:fldChar w:fldCharType="begin"/>
      </w:r>
      <w:r>
        <w:instrText xml:space="preserve"> PAGEREF _Toc33534492 \h </w:instrText>
      </w:r>
      <w:r>
        <w:fldChar w:fldCharType="separate"/>
      </w:r>
      <w:r>
        <w:t>263</w:t>
      </w:r>
      <w:r>
        <w:fldChar w:fldCharType="end"/>
      </w:r>
    </w:p>
    <w:p>
      <w:pPr>
        <w:pStyle w:val="TOC8"/>
        <w:rPr>
          <w:rFonts w:asciiTheme="minorHAnsi" w:eastAsiaTheme="minorEastAsia" w:hAnsiTheme="minorHAnsi" w:cstheme="minorBidi"/>
          <w:szCs w:val="22"/>
        </w:rPr>
      </w:pPr>
      <w:r>
        <w:t>175F.</w:t>
      </w:r>
      <w:r>
        <w:tab/>
        <w:t>Authorised officers, designation of etc.</w:t>
      </w:r>
      <w:r>
        <w:tab/>
      </w:r>
      <w:r>
        <w:fldChar w:fldCharType="begin"/>
      </w:r>
      <w:r>
        <w:instrText xml:space="preserve"> PAGEREF _Toc33534493 \h </w:instrText>
      </w:r>
      <w:r>
        <w:fldChar w:fldCharType="separate"/>
      </w:r>
      <w:r>
        <w:t>263</w:t>
      </w:r>
      <w:r>
        <w:fldChar w:fldCharType="end"/>
      </w:r>
    </w:p>
    <w:p>
      <w:pPr>
        <w:pStyle w:val="TOC8"/>
        <w:rPr>
          <w:rFonts w:asciiTheme="minorHAnsi" w:eastAsiaTheme="minorEastAsia" w:hAnsiTheme="minorHAnsi" w:cstheme="minorBidi"/>
          <w:szCs w:val="22"/>
        </w:rPr>
      </w:pPr>
      <w:r>
        <w:t>175G.</w:t>
      </w:r>
      <w:r>
        <w:tab/>
        <w:t>Infringement notices, giving of</w:t>
      </w:r>
      <w:r>
        <w:tab/>
      </w:r>
      <w:r>
        <w:fldChar w:fldCharType="begin"/>
      </w:r>
      <w:r>
        <w:instrText xml:space="preserve"> PAGEREF _Toc33534494 \h </w:instrText>
      </w:r>
      <w:r>
        <w:fldChar w:fldCharType="separate"/>
      </w:r>
      <w:r>
        <w:t>263</w:t>
      </w:r>
      <w:r>
        <w:fldChar w:fldCharType="end"/>
      </w:r>
    </w:p>
    <w:p>
      <w:pPr>
        <w:pStyle w:val="TOC8"/>
        <w:rPr>
          <w:rFonts w:asciiTheme="minorHAnsi" w:eastAsiaTheme="minorEastAsia" w:hAnsiTheme="minorHAnsi" w:cstheme="minorBidi"/>
          <w:szCs w:val="22"/>
        </w:rPr>
      </w:pPr>
      <w:r>
        <w:t>175H.</w:t>
      </w:r>
      <w:r>
        <w:tab/>
        <w:t>Infringement notices, content of</w:t>
      </w:r>
      <w:r>
        <w:tab/>
      </w:r>
      <w:r>
        <w:fldChar w:fldCharType="begin"/>
      </w:r>
      <w:r>
        <w:instrText xml:space="preserve"> PAGEREF _Toc33534495 \h </w:instrText>
      </w:r>
      <w:r>
        <w:fldChar w:fldCharType="separate"/>
      </w:r>
      <w:r>
        <w:t>264</w:t>
      </w:r>
      <w:r>
        <w:fldChar w:fldCharType="end"/>
      </w:r>
    </w:p>
    <w:p>
      <w:pPr>
        <w:pStyle w:val="TOC8"/>
        <w:rPr>
          <w:rFonts w:asciiTheme="minorHAnsi" w:eastAsiaTheme="minorEastAsia" w:hAnsiTheme="minorHAnsi" w:cstheme="minorBidi"/>
          <w:szCs w:val="22"/>
        </w:rPr>
      </w:pPr>
      <w:r>
        <w:t>175I.</w:t>
      </w:r>
      <w:r>
        <w:tab/>
        <w:t>Extending time for paying modified penalty</w:t>
      </w:r>
      <w:r>
        <w:tab/>
      </w:r>
      <w:r>
        <w:fldChar w:fldCharType="begin"/>
      </w:r>
      <w:r>
        <w:instrText xml:space="preserve"> PAGEREF _Toc33534496 \h </w:instrText>
      </w:r>
      <w:r>
        <w:fldChar w:fldCharType="separate"/>
      </w:r>
      <w:r>
        <w:t>264</w:t>
      </w:r>
      <w:r>
        <w:fldChar w:fldCharType="end"/>
      </w:r>
    </w:p>
    <w:p>
      <w:pPr>
        <w:pStyle w:val="TOC8"/>
        <w:rPr>
          <w:rFonts w:asciiTheme="minorHAnsi" w:eastAsiaTheme="minorEastAsia" w:hAnsiTheme="minorHAnsi" w:cstheme="minorBidi"/>
          <w:szCs w:val="22"/>
        </w:rPr>
      </w:pPr>
      <w:r>
        <w:t>175J.</w:t>
      </w:r>
      <w:r>
        <w:tab/>
        <w:t>Withdrawing infringement notices</w:t>
      </w:r>
      <w:r>
        <w:tab/>
      </w:r>
      <w:r>
        <w:fldChar w:fldCharType="begin"/>
      </w:r>
      <w:r>
        <w:instrText xml:space="preserve"> PAGEREF _Toc33534497 \h </w:instrText>
      </w:r>
      <w:r>
        <w:fldChar w:fldCharType="separate"/>
      </w:r>
      <w:r>
        <w:t>265</w:t>
      </w:r>
      <w:r>
        <w:fldChar w:fldCharType="end"/>
      </w:r>
    </w:p>
    <w:p>
      <w:pPr>
        <w:pStyle w:val="TOC8"/>
        <w:rPr>
          <w:rFonts w:asciiTheme="minorHAnsi" w:eastAsiaTheme="minorEastAsia" w:hAnsiTheme="minorHAnsi" w:cstheme="minorBidi"/>
          <w:szCs w:val="22"/>
        </w:rPr>
      </w:pPr>
      <w:r>
        <w:t>175K.</w:t>
      </w:r>
      <w:r>
        <w:tab/>
        <w:t>Benefit of paying modified penalty</w:t>
      </w:r>
      <w:r>
        <w:tab/>
      </w:r>
      <w:r>
        <w:fldChar w:fldCharType="begin"/>
      </w:r>
      <w:r>
        <w:instrText xml:space="preserve"> PAGEREF _Toc33534498 \h </w:instrText>
      </w:r>
      <w:r>
        <w:fldChar w:fldCharType="separate"/>
      </w:r>
      <w:r>
        <w:t>265</w:t>
      </w:r>
      <w:r>
        <w:fldChar w:fldCharType="end"/>
      </w:r>
    </w:p>
    <w:p>
      <w:pPr>
        <w:pStyle w:val="TOC8"/>
        <w:rPr>
          <w:rFonts w:asciiTheme="minorHAnsi" w:eastAsiaTheme="minorEastAsia" w:hAnsiTheme="minorHAnsi" w:cstheme="minorBidi"/>
          <w:szCs w:val="22"/>
        </w:rPr>
      </w:pPr>
      <w:r>
        <w:t>175L.</w:t>
      </w:r>
      <w:r>
        <w:tab/>
        <w:t>No admission implied by payment</w:t>
      </w:r>
      <w:r>
        <w:tab/>
      </w:r>
      <w:r>
        <w:fldChar w:fldCharType="begin"/>
      </w:r>
      <w:r>
        <w:instrText xml:space="preserve"> PAGEREF _Toc33534499 \h </w:instrText>
      </w:r>
      <w:r>
        <w:fldChar w:fldCharType="separate"/>
      </w:r>
      <w:r>
        <w:t>265</w:t>
      </w:r>
      <w:r>
        <w:fldChar w:fldCharType="end"/>
      </w:r>
    </w:p>
    <w:p>
      <w:pPr>
        <w:pStyle w:val="TOC8"/>
        <w:rPr>
          <w:rFonts w:asciiTheme="minorHAnsi" w:eastAsiaTheme="minorEastAsia" w:hAnsiTheme="minorHAnsi" w:cstheme="minorBidi"/>
          <w:szCs w:val="22"/>
        </w:rPr>
      </w:pPr>
      <w:r>
        <w:t>175M.</w:t>
      </w:r>
      <w:r>
        <w:tab/>
        <w:t>Application of penalties collected</w:t>
      </w:r>
      <w:r>
        <w:tab/>
      </w:r>
      <w:r>
        <w:fldChar w:fldCharType="begin"/>
      </w:r>
      <w:r>
        <w:instrText xml:space="preserve"> PAGEREF _Toc33534500 \h </w:instrText>
      </w:r>
      <w:r>
        <w:fldChar w:fldCharType="separate"/>
      </w:r>
      <w:r>
        <w:t>265</w:t>
      </w:r>
      <w:r>
        <w:fldChar w:fldCharType="end"/>
      </w:r>
    </w:p>
    <w:p>
      <w:pPr>
        <w:pStyle w:val="TOC2"/>
        <w:tabs>
          <w:tab w:val="right" w:leader="dot" w:pos="7077"/>
        </w:tabs>
        <w:rPr>
          <w:rFonts w:asciiTheme="minorHAnsi" w:eastAsiaTheme="minorEastAsia" w:hAnsiTheme="minorHAnsi" w:cstheme="minorBidi"/>
          <w:b w:val="0"/>
          <w:sz w:val="22"/>
          <w:szCs w:val="22"/>
        </w:rPr>
      </w:pPr>
      <w:r>
        <w:t>Part XI</w:t>
      </w:r>
      <w:r>
        <w:rPr>
          <w:b w:val="0"/>
        </w:rPr>
        <w:t> </w:t>
      </w:r>
      <w:r>
        <w:t>—</w:t>
      </w:r>
      <w:r>
        <w:rPr>
          <w:b w:val="0"/>
        </w:rPr>
        <w:t> </w:t>
      </w:r>
      <w:r>
        <w:t>Dispute resolution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176.</w:t>
      </w:r>
      <w:r>
        <w:tab/>
        <w:t>Exclusive jurisdiction of arbitrators</w:t>
      </w:r>
      <w:r>
        <w:tab/>
      </w:r>
      <w:r>
        <w:fldChar w:fldCharType="begin"/>
      </w:r>
      <w:r>
        <w:instrText xml:space="preserve"> PAGEREF _Toc33534503 \h </w:instrText>
      </w:r>
      <w:r>
        <w:fldChar w:fldCharType="separate"/>
      </w:r>
      <w:r>
        <w:t>266</w:t>
      </w:r>
      <w:r>
        <w:fldChar w:fldCharType="end"/>
      </w:r>
    </w:p>
    <w:p>
      <w:pPr>
        <w:pStyle w:val="TOC8"/>
        <w:rPr>
          <w:rFonts w:asciiTheme="minorHAnsi" w:eastAsiaTheme="minorEastAsia" w:hAnsiTheme="minorHAnsi" w:cstheme="minorBidi"/>
          <w:szCs w:val="22"/>
        </w:rPr>
      </w:pPr>
      <w:r>
        <w:t>177.</w:t>
      </w:r>
      <w:r>
        <w:tab/>
        <w:t>Object of this Part</w:t>
      </w:r>
      <w:r>
        <w:tab/>
      </w:r>
      <w:r>
        <w:fldChar w:fldCharType="begin"/>
      </w:r>
      <w:r>
        <w:instrText xml:space="preserve"> PAGEREF _Toc33534504 \h </w:instrText>
      </w:r>
      <w:r>
        <w:fldChar w:fldCharType="separate"/>
      </w:r>
      <w:r>
        <w:t>266</w:t>
      </w:r>
      <w:r>
        <w:fldChar w:fldCharType="end"/>
      </w:r>
    </w:p>
    <w:p>
      <w:pPr>
        <w:pStyle w:val="TOC4"/>
        <w:tabs>
          <w:tab w:val="right" w:leader="dot" w:pos="7077"/>
        </w:tabs>
        <w:rPr>
          <w:rFonts w:asciiTheme="minorHAnsi" w:eastAsiaTheme="minorEastAsia" w:hAnsiTheme="minorHAnsi" w:cstheme="minorBidi"/>
          <w:b w:val="0"/>
          <w:szCs w:val="22"/>
        </w:rPr>
      </w:pPr>
      <w:r>
        <w:t>Division 2 — Requirements before commencing proceeding</w:t>
      </w:r>
    </w:p>
    <w:p>
      <w:pPr>
        <w:pStyle w:val="TOC8"/>
        <w:rPr>
          <w:rFonts w:asciiTheme="minorHAnsi" w:eastAsiaTheme="minorEastAsia" w:hAnsiTheme="minorHAnsi" w:cstheme="minorBidi"/>
          <w:szCs w:val="22"/>
        </w:rPr>
      </w:pPr>
      <w:r>
        <w:t>178.</w:t>
      </w:r>
      <w:r>
        <w:tab/>
        <w:t>Notice of injury, and claim for compensation, requirements for</w:t>
      </w:r>
      <w:r>
        <w:tab/>
      </w:r>
      <w:r>
        <w:fldChar w:fldCharType="begin"/>
      </w:r>
      <w:r>
        <w:instrText xml:space="preserve"> PAGEREF _Toc33534506 \h </w:instrText>
      </w:r>
      <w:r>
        <w:fldChar w:fldCharType="separate"/>
      </w:r>
      <w:r>
        <w:t>267</w:t>
      </w:r>
      <w:r>
        <w:fldChar w:fldCharType="end"/>
      </w:r>
    </w:p>
    <w:p>
      <w:pPr>
        <w:pStyle w:val="TOC8"/>
        <w:rPr>
          <w:rFonts w:asciiTheme="minorHAnsi" w:eastAsiaTheme="minorEastAsia" w:hAnsiTheme="minorHAnsi" w:cstheme="minorBidi"/>
          <w:szCs w:val="22"/>
        </w:rPr>
      </w:pPr>
      <w:r>
        <w:t>179.</w:t>
      </w:r>
      <w:r>
        <w:tab/>
        <w:t>Notice of injury, service of</w:t>
      </w:r>
      <w:r>
        <w:tab/>
      </w:r>
      <w:r>
        <w:fldChar w:fldCharType="begin"/>
      </w:r>
      <w:r>
        <w:instrText xml:space="preserve"> PAGEREF _Toc33534507 \h </w:instrText>
      </w:r>
      <w:r>
        <w:fldChar w:fldCharType="separate"/>
      </w:r>
      <w:r>
        <w:t>268</w:t>
      </w:r>
      <w:r>
        <w:fldChar w:fldCharType="end"/>
      </w:r>
    </w:p>
    <w:p>
      <w:pPr>
        <w:pStyle w:val="TOC8"/>
        <w:rPr>
          <w:rFonts w:asciiTheme="minorHAnsi" w:eastAsiaTheme="minorEastAsia" w:hAnsiTheme="minorHAnsi" w:cstheme="minorBidi"/>
          <w:szCs w:val="22"/>
        </w:rPr>
      </w:pPr>
      <w:r>
        <w:t>180.</w:t>
      </w:r>
      <w:r>
        <w:tab/>
        <w:t>Relevant documents to be provided by parties</w:t>
      </w:r>
      <w:r>
        <w:tab/>
      </w:r>
      <w:r>
        <w:fldChar w:fldCharType="begin"/>
      </w:r>
      <w:r>
        <w:instrText xml:space="preserve"> PAGEREF _Toc33534508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Division 3 — Conciliation</w:t>
      </w:r>
    </w:p>
    <w:p>
      <w:pPr>
        <w:pStyle w:val="TOC6"/>
        <w:tabs>
          <w:tab w:val="right" w:leader="dot" w:pos="7077"/>
        </w:tabs>
        <w:rPr>
          <w:rFonts w:asciiTheme="minorHAnsi" w:eastAsiaTheme="minorEastAsia" w:hAnsiTheme="minorHAnsi" w:cstheme="minorBidi"/>
          <w:b w:val="0"/>
          <w:sz w:val="22"/>
          <w:szCs w:val="22"/>
        </w:rPr>
      </w:pPr>
      <w:r>
        <w:t>Subdivision 1 — Workers’ Compensation Conciliation Service</w:t>
      </w:r>
    </w:p>
    <w:p>
      <w:pPr>
        <w:pStyle w:val="TOC8"/>
        <w:rPr>
          <w:rFonts w:asciiTheme="minorHAnsi" w:eastAsiaTheme="minorEastAsia" w:hAnsiTheme="minorHAnsi" w:cstheme="minorBidi"/>
          <w:szCs w:val="22"/>
        </w:rPr>
      </w:pPr>
      <w:r>
        <w:t>181.</w:t>
      </w:r>
      <w:r>
        <w:tab/>
        <w:t>Workers’ Compensation Conciliation Service established</w:t>
      </w:r>
      <w:r>
        <w:tab/>
      </w:r>
      <w:r>
        <w:fldChar w:fldCharType="begin"/>
      </w:r>
      <w:r>
        <w:instrText xml:space="preserve"> PAGEREF _Toc33534511 \h </w:instrText>
      </w:r>
      <w:r>
        <w:fldChar w:fldCharType="separate"/>
      </w:r>
      <w:r>
        <w:t>272</w:t>
      </w:r>
      <w:r>
        <w:fldChar w:fldCharType="end"/>
      </w:r>
    </w:p>
    <w:p>
      <w:pPr>
        <w:pStyle w:val="TOC8"/>
        <w:rPr>
          <w:rFonts w:asciiTheme="minorHAnsi" w:eastAsiaTheme="minorEastAsia" w:hAnsiTheme="minorHAnsi" w:cstheme="minorBidi"/>
          <w:szCs w:val="22"/>
        </w:rPr>
      </w:pPr>
      <w:r>
        <w:t>182A.</w:t>
      </w:r>
      <w:r>
        <w:tab/>
        <w:t>Director, Conciliation, designation and functions of</w:t>
      </w:r>
      <w:r>
        <w:tab/>
      </w:r>
      <w:r>
        <w:fldChar w:fldCharType="begin"/>
      </w:r>
      <w:r>
        <w:instrText xml:space="preserve"> PAGEREF _Toc33534512 \h </w:instrText>
      </w:r>
      <w:r>
        <w:fldChar w:fldCharType="separate"/>
      </w:r>
      <w:r>
        <w:t>272</w:t>
      </w:r>
      <w:r>
        <w:fldChar w:fldCharType="end"/>
      </w:r>
    </w:p>
    <w:p>
      <w:pPr>
        <w:pStyle w:val="TOC8"/>
        <w:rPr>
          <w:rFonts w:asciiTheme="minorHAnsi" w:eastAsiaTheme="minorEastAsia" w:hAnsiTheme="minorHAnsi" w:cstheme="minorBidi"/>
          <w:szCs w:val="22"/>
        </w:rPr>
      </w:pPr>
      <w:r>
        <w:t>182B.</w:t>
      </w:r>
      <w:r>
        <w:tab/>
        <w:t>Conciliation officers, designation of etc.</w:t>
      </w:r>
      <w:r>
        <w:tab/>
      </w:r>
      <w:r>
        <w:fldChar w:fldCharType="begin"/>
      </w:r>
      <w:r>
        <w:instrText xml:space="preserve"> PAGEREF _Toc33534513 \h </w:instrText>
      </w:r>
      <w:r>
        <w:fldChar w:fldCharType="separate"/>
      </w:r>
      <w:r>
        <w:t>273</w:t>
      </w:r>
      <w:r>
        <w:fldChar w:fldCharType="end"/>
      </w:r>
    </w:p>
    <w:p>
      <w:pPr>
        <w:pStyle w:val="TOC8"/>
        <w:rPr>
          <w:rFonts w:asciiTheme="minorHAnsi" w:eastAsiaTheme="minorEastAsia" w:hAnsiTheme="minorHAnsi" w:cstheme="minorBidi"/>
          <w:szCs w:val="22"/>
        </w:rPr>
      </w:pPr>
      <w:r>
        <w:t>182C.</w:t>
      </w:r>
      <w:r>
        <w:tab/>
        <w:t>Provisions about designations</w:t>
      </w:r>
      <w:r>
        <w:tab/>
      </w:r>
      <w:r>
        <w:fldChar w:fldCharType="begin"/>
      </w:r>
      <w:r>
        <w:instrText xml:space="preserve"> PAGEREF _Toc33534514 \h </w:instrText>
      </w:r>
      <w:r>
        <w:fldChar w:fldCharType="separate"/>
      </w:r>
      <w:r>
        <w:t>273</w:t>
      </w:r>
      <w:r>
        <w:fldChar w:fldCharType="end"/>
      </w:r>
    </w:p>
    <w:p>
      <w:pPr>
        <w:pStyle w:val="TOC8"/>
        <w:rPr>
          <w:rFonts w:asciiTheme="minorHAnsi" w:eastAsiaTheme="minorEastAsia" w:hAnsiTheme="minorHAnsi" w:cstheme="minorBidi"/>
          <w:szCs w:val="22"/>
        </w:rPr>
      </w:pPr>
      <w:r>
        <w:t>182D.</w:t>
      </w:r>
      <w:r>
        <w:tab/>
        <w:t>Delegation by Director</w:t>
      </w:r>
      <w:r>
        <w:tab/>
      </w:r>
      <w:r>
        <w:fldChar w:fldCharType="begin"/>
      </w:r>
      <w:r>
        <w:instrText xml:space="preserve"> PAGEREF _Toc33534515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Resolution of disputes by conciliation</w:t>
      </w:r>
    </w:p>
    <w:p>
      <w:pPr>
        <w:pStyle w:val="TOC8"/>
        <w:rPr>
          <w:rFonts w:asciiTheme="minorHAnsi" w:eastAsiaTheme="minorEastAsia" w:hAnsiTheme="minorHAnsi" w:cstheme="minorBidi"/>
          <w:szCs w:val="22"/>
        </w:rPr>
      </w:pPr>
      <w:r>
        <w:t>182E.</w:t>
      </w:r>
      <w:r>
        <w:tab/>
        <w:t>Application for conciliation</w:t>
      </w:r>
      <w:r>
        <w:tab/>
      </w:r>
      <w:r>
        <w:fldChar w:fldCharType="begin"/>
      </w:r>
      <w:r>
        <w:instrText xml:space="preserve"> PAGEREF _Toc33534517 \h </w:instrText>
      </w:r>
      <w:r>
        <w:fldChar w:fldCharType="separate"/>
      </w:r>
      <w:r>
        <w:t>274</w:t>
      </w:r>
      <w:r>
        <w:fldChar w:fldCharType="end"/>
      </w:r>
    </w:p>
    <w:p>
      <w:pPr>
        <w:pStyle w:val="TOC8"/>
        <w:rPr>
          <w:rFonts w:asciiTheme="minorHAnsi" w:eastAsiaTheme="minorEastAsia" w:hAnsiTheme="minorHAnsi" w:cstheme="minorBidi"/>
          <w:szCs w:val="22"/>
        </w:rPr>
      </w:pPr>
      <w:r>
        <w:t>182F.</w:t>
      </w:r>
      <w:r>
        <w:tab/>
        <w:t>Acceptance of application by Director</w:t>
      </w:r>
      <w:r>
        <w:tab/>
      </w:r>
      <w:r>
        <w:fldChar w:fldCharType="begin"/>
      </w:r>
      <w:r>
        <w:instrText xml:space="preserve"> PAGEREF _Toc33534518 \h </w:instrText>
      </w:r>
      <w:r>
        <w:fldChar w:fldCharType="separate"/>
      </w:r>
      <w:r>
        <w:t>275</w:t>
      </w:r>
      <w:r>
        <w:fldChar w:fldCharType="end"/>
      </w:r>
    </w:p>
    <w:p>
      <w:pPr>
        <w:pStyle w:val="TOC8"/>
        <w:rPr>
          <w:rFonts w:asciiTheme="minorHAnsi" w:eastAsiaTheme="minorEastAsia" w:hAnsiTheme="minorHAnsi" w:cstheme="minorBidi"/>
          <w:szCs w:val="22"/>
        </w:rPr>
      </w:pPr>
      <w:r>
        <w:t>182G.</w:t>
      </w:r>
      <w:r>
        <w:tab/>
        <w:t>Director to allocate dispute</w:t>
      </w:r>
      <w:r>
        <w:tab/>
      </w:r>
      <w:r>
        <w:fldChar w:fldCharType="begin"/>
      </w:r>
      <w:r>
        <w:instrText xml:space="preserve"> PAGEREF _Toc33534519 \h </w:instrText>
      </w:r>
      <w:r>
        <w:fldChar w:fldCharType="separate"/>
      </w:r>
      <w:r>
        <w:t>275</w:t>
      </w:r>
      <w:r>
        <w:fldChar w:fldCharType="end"/>
      </w:r>
    </w:p>
    <w:p>
      <w:pPr>
        <w:pStyle w:val="TOC8"/>
        <w:rPr>
          <w:rFonts w:asciiTheme="minorHAnsi" w:eastAsiaTheme="minorEastAsia" w:hAnsiTheme="minorHAnsi" w:cstheme="minorBidi"/>
          <w:szCs w:val="22"/>
        </w:rPr>
      </w:pPr>
      <w:r>
        <w:t>182H.</w:t>
      </w:r>
      <w:r>
        <w:tab/>
        <w:t>Director may certify dispute is not suitable for conciliation</w:t>
      </w:r>
      <w:r>
        <w:tab/>
      </w:r>
      <w:r>
        <w:fldChar w:fldCharType="begin"/>
      </w:r>
      <w:r>
        <w:instrText xml:space="preserve"> PAGEREF _Toc33534520 \h </w:instrText>
      </w:r>
      <w:r>
        <w:fldChar w:fldCharType="separate"/>
      </w:r>
      <w:r>
        <w:t>276</w:t>
      </w:r>
      <w:r>
        <w:fldChar w:fldCharType="end"/>
      </w:r>
    </w:p>
    <w:p>
      <w:pPr>
        <w:pStyle w:val="TOC8"/>
        <w:rPr>
          <w:rFonts w:asciiTheme="minorHAnsi" w:eastAsiaTheme="minorEastAsia" w:hAnsiTheme="minorHAnsi" w:cstheme="minorBidi"/>
          <w:szCs w:val="22"/>
        </w:rPr>
      </w:pPr>
      <w:r>
        <w:t>182I.</w:t>
      </w:r>
      <w:r>
        <w:tab/>
        <w:t>Duties of conciliation officers</w:t>
      </w:r>
      <w:r>
        <w:tab/>
      </w:r>
      <w:r>
        <w:fldChar w:fldCharType="begin"/>
      </w:r>
      <w:r>
        <w:instrText xml:space="preserve"> PAGEREF _Toc33534521 \h </w:instrText>
      </w:r>
      <w:r>
        <w:fldChar w:fldCharType="separate"/>
      </w:r>
      <w:r>
        <w:t>276</w:t>
      </w:r>
      <w:r>
        <w:fldChar w:fldCharType="end"/>
      </w:r>
    </w:p>
    <w:p>
      <w:pPr>
        <w:pStyle w:val="TOC8"/>
        <w:rPr>
          <w:rFonts w:asciiTheme="minorHAnsi" w:eastAsiaTheme="minorEastAsia" w:hAnsiTheme="minorHAnsi" w:cstheme="minorBidi"/>
          <w:szCs w:val="22"/>
        </w:rPr>
      </w:pPr>
      <w:r>
        <w:t>182J.</w:t>
      </w:r>
      <w:r>
        <w:tab/>
        <w:t>Powers of conciliation officers</w:t>
      </w:r>
      <w:r>
        <w:tab/>
      </w:r>
      <w:r>
        <w:fldChar w:fldCharType="begin"/>
      </w:r>
      <w:r>
        <w:instrText xml:space="preserve"> PAGEREF _Toc33534522 \h </w:instrText>
      </w:r>
      <w:r>
        <w:fldChar w:fldCharType="separate"/>
      </w:r>
      <w:r>
        <w:t>276</w:t>
      </w:r>
      <w:r>
        <w:fldChar w:fldCharType="end"/>
      </w:r>
    </w:p>
    <w:p>
      <w:pPr>
        <w:pStyle w:val="TOC8"/>
        <w:rPr>
          <w:rFonts w:asciiTheme="minorHAnsi" w:eastAsiaTheme="minorEastAsia" w:hAnsiTheme="minorHAnsi" w:cstheme="minorBidi"/>
          <w:szCs w:val="22"/>
        </w:rPr>
      </w:pPr>
      <w:r>
        <w:t>182K.</w:t>
      </w:r>
      <w:r>
        <w:tab/>
        <w:t>Weekly payments etc., conciliation officers may direct etc.</w:t>
      </w:r>
      <w:r>
        <w:tab/>
      </w:r>
      <w:r>
        <w:fldChar w:fldCharType="begin"/>
      </w:r>
      <w:r>
        <w:instrText xml:space="preserve"> PAGEREF _Toc33534523 \h </w:instrText>
      </w:r>
      <w:r>
        <w:fldChar w:fldCharType="separate"/>
      </w:r>
      <w:r>
        <w:t>277</w:t>
      </w:r>
      <w:r>
        <w:fldChar w:fldCharType="end"/>
      </w:r>
    </w:p>
    <w:p>
      <w:pPr>
        <w:pStyle w:val="TOC8"/>
        <w:rPr>
          <w:rFonts w:asciiTheme="minorHAnsi" w:eastAsiaTheme="minorEastAsia" w:hAnsiTheme="minorHAnsi" w:cstheme="minorBidi"/>
          <w:szCs w:val="22"/>
        </w:rPr>
      </w:pPr>
      <w:r>
        <w:t>182L.</w:t>
      </w:r>
      <w:r>
        <w:tab/>
        <w:t>Suspending and reducing weekly payments, conciliation officers’ powers for etc.</w:t>
      </w:r>
      <w:r>
        <w:tab/>
      </w:r>
      <w:r>
        <w:fldChar w:fldCharType="begin"/>
      </w:r>
      <w:r>
        <w:instrText xml:space="preserve"> PAGEREF _Toc33534524 \h </w:instrText>
      </w:r>
      <w:r>
        <w:fldChar w:fldCharType="separate"/>
      </w:r>
      <w:r>
        <w:t>278</w:t>
      </w:r>
      <w:r>
        <w:fldChar w:fldCharType="end"/>
      </w:r>
    </w:p>
    <w:p>
      <w:pPr>
        <w:pStyle w:val="TOC8"/>
        <w:rPr>
          <w:rFonts w:asciiTheme="minorHAnsi" w:eastAsiaTheme="minorEastAsia" w:hAnsiTheme="minorHAnsi" w:cstheme="minorBidi"/>
          <w:szCs w:val="22"/>
        </w:rPr>
      </w:pPr>
      <w:r>
        <w:t>182M.</w:t>
      </w:r>
      <w:r>
        <w:tab/>
        <w:t>Provisions about directions</w:t>
      </w:r>
      <w:r>
        <w:tab/>
      </w:r>
      <w:r>
        <w:fldChar w:fldCharType="begin"/>
      </w:r>
      <w:r>
        <w:instrText xml:space="preserve"> PAGEREF _Toc33534525 \h </w:instrText>
      </w:r>
      <w:r>
        <w:fldChar w:fldCharType="separate"/>
      </w:r>
      <w:r>
        <w:t>279</w:t>
      </w:r>
      <w:r>
        <w:fldChar w:fldCharType="end"/>
      </w:r>
    </w:p>
    <w:p>
      <w:pPr>
        <w:pStyle w:val="TOC8"/>
        <w:rPr>
          <w:rFonts w:asciiTheme="minorHAnsi" w:eastAsiaTheme="minorEastAsia" w:hAnsiTheme="minorHAnsi" w:cstheme="minorBidi"/>
          <w:szCs w:val="22"/>
        </w:rPr>
      </w:pPr>
      <w:r>
        <w:t>182N.</w:t>
      </w:r>
      <w:r>
        <w:tab/>
        <w:t>Finalising orders</w:t>
      </w:r>
      <w:r>
        <w:tab/>
      </w:r>
      <w:r>
        <w:fldChar w:fldCharType="begin"/>
      </w:r>
      <w:r>
        <w:instrText xml:space="preserve"> PAGEREF _Toc33534526 \h </w:instrText>
      </w:r>
      <w:r>
        <w:fldChar w:fldCharType="separate"/>
      </w:r>
      <w:r>
        <w:t>280</w:t>
      </w:r>
      <w:r>
        <w:fldChar w:fldCharType="end"/>
      </w:r>
    </w:p>
    <w:p>
      <w:pPr>
        <w:pStyle w:val="TOC8"/>
        <w:rPr>
          <w:rFonts w:asciiTheme="minorHAnsi" w:eastAsiaTheme="minorEastAsia" w:hAnsiTheme="minorHAnsi" w:cstheme="minorBidi"/>
          <w:szCs w:val="22"/>
        </w:rPr>
      </w:pPr>
      <w:r>
        <w:t>182O.</w:t>
      </w:r>
      <w:r>
        <w:tab/>
        <w:t>Conclusion of conciliation and certificate of outcome</w:t>
      </w:r>
      <w:r>
        <w:tab/>
      </w:r>
      <w:r>
        <w:fldChar w:fldCharType="begin"/>
      </w:r>
      <w:r>
        <w:instrText xml:space="preserve"> PAGEREF _Toc33534527 \h </w:instrText>
      </w:r>
      <w:r>
        <w:fldChar w:fldCharType="separate"/>
      </w:r>
      <w:r>
        <w:t>280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182P.</w:t>
      </w:r>
      <w:r>
        <w:tab/>
        <w:t>Obtaining information</w:t>
      </w:r>
      <w:r>
        <w:tab/>
      </w:r>
      <w:r>
        <w:fldChar w:fldCharType="begin"/>
      </w:r>
      <w:r>
        <w:instrText xml:space="preserve"> PAGEREF _Toc33534529 \h </w:instrText>
      </w:r>
      <w:r>
        <w:fldChar w:fldCharType="separate"/>
      </w:r>
      <w:r>
        <w:t>281</w:t>
      </w:r>
      <w:r>
        <w:fldChar w:fldCharType="end"/>
      </w:r>
    </w:p>
    <w:p>
      <w:pPr>
        <w:pStyle w:val="TOC8"/>
        <w:rPr>
          <w:rFonts w:asciiTheme="minorHAnsi" w:eastAsiaTheme="minorEastAsia" w:hAnsiTheme="minorHAnsi" w:cstheme="minorBidi"/>
          <w:szCs w:val="22"/>
        </w:rPr>
      </w:pPr>
      <w:r>
        <w:t>182Q.</w:t>
      </w:r>
      <w:r>
        <w:tab/>
        <w:t>Scope of conciliation</w:t>
      </w:r>
      <w:r>
        <w:tab/>
      </w:r>
      <w:r>
        <w:fldChar w:fldCharType="begin"/>
      </w:r>
      <w:r>
        <w:instrText xml:space="preserve"> PAGEREF _Toc33534530 \h </w:instrText>
      </w:r>
      <w:r>
        <w:fldChar w:fldCharType="separate"/>
      </w:r>
      <w:r>
        <w:t>281</w:t>
      </w:r>
      <w:r>
        <w:fldChar w:fldCharType="end"/>
      </w:r>
    </w:p>
    <w:p>
      <w:pPr>
        <w:pStyle w:val="TOC8"/>
        <w:rPr>
          <w:rFonts w:asciiTheme="minorHAnsi" w:eastAsiaTheme="minorEastAsia" w:hAnsiTheme="minorHAnsi" w:cstheme="minorBidi"/>
          <w:szCs w:val="22"/>
        </w:rPr>
      </w:pPr>
      <w:r>
        <w:t>182R.</w:t>
      </w:r>
      <w:r>
        <w:tab/>
        <w:t>Conciliation officer may provide information to another party or a medical practitioner</w:t>
      </w:r>
      <w:r>
        <w:tab/>
      </w:r>
      <w:r>
        <w:fldChar w:fldCharType="begin"/>
      </w:r>
      <w:r>
        <w:instrText xml:space="preserve"> PAGEREF _Toc33534531 \h </w:instrText>
      </w:r>
      <w:r>
        <w:fldChar w:fldCharType="separate"/>
      </w:r>
      <w:r>
        <w:t>282</w:t>
      </w:r>
      <w:r>
        <w:fldChar w:fldCharType="end"/>
      </w:r>
    </w:p>
    <w:p>
      <w:pPr>
        <w:pStyle w:val="TOC8"/>
        <w:rPr>
          <w:rFonts w:asciiTheme="minorHAnsi" w:eastAsiaTheme="minorEastAsia" w:hAnsiTheme="minorHAnsi" w:cstheme="minorBidi"/>
          <w:szCs w:val="22"/>
        </w:rPr>
      </w:pPr>
      <w:r>
        <w:t>182S.</w:t>
      </w:r>
      <w:r>
        <w:tab/>
        <w:t>Representation</w:t>
      </w:r>
      <w:r>
        <w:tab/>
      </w:r>
      <w:r>
        <w:fldChar w:fldCharType="begin"/>
      </w:r>
      <w:r>
        <w:instrText xml:space="preserve"> PAGEREF _Toc33534532 \h </w:instrText>
      </w:r>
      <w:r>
        <w:fldChar w:fldCharType="separate"/>
      </w:r>
      <w:r>
        <w:t>282</w:t>
      </w:r>
      <w:r>
        <w:fldChar w:fldCharType="end"/>
      </w:r>
    </w:p>
    <w:p>
      <w:pPr>
        <w:pStyle w:val="TOC8"/>
        <w:rPr>
          <w:rFonts w:asciiTheme="minorHAnsi" w:eastAsiaTheme="minorEastAsia" w:hAnsiTheme="minorHAnsi" w:cstheme="minorBidi"/>
          <w:szCs w:val="22"/>
        </w:rPr>
      </w:pPr>
      <w:r>
        <w:t>182T.</w:t>
      </w:r>
      <w:r>
        <w:tab/>
        <w:t>Litigation guardians, rules about</w:t>
      </w:r>
      <w:r>
        <w:tab/>
      </w:r>
      <w:r>
        <w:fldChar w:fldCharType="begin"/>
      </w:r>
      <w:r>
        <w:instrText xml:space="preserve"> PAGEREF _Toc33534533 \h </w:instrText>
      </w:r>
      <w:r>
        <w:fldChar w:fldCharType="separate"/>
      </w:r>
      <w:r>
        <w:t>283</w:t>
      </w:r>
      <w:r>
        <w:fldChar w:fldCharType="end"/>
      </w:r>
    </w:p>
    <w:p>
      <w:pPr>
        <w:pStyle w:val="TOC8"/>
        <w:rPr>
          <w:rFonts w:asciiTheme="minorHAnsi" w:eastAsiaTheme="minorEastAsia" w:hAnsiTheme="minorHAnsi" w:cstheme="minorBidi"/>
          <w:szCs w:val="22"/>
        </w:rPr>
      </w:pPr>
      <w:r>
        <w:t>182U.</w:t>
      </w:r>
      <w:r>
        <w:tab/>
        <w:t>Interpreters and assistants</w:t>
      </w:r>
      <w:r>
        <w:tab/>
      </w:r>
      <w:r>
        <w:fldChar w:fldCharType="begin"/>
      </w:r>
      <w:r>
        <w:instrText xml:space="preserve"> PAGEREF _Toc33534534 \h </w:instrText>
      </w:r>
      <w:r>
        <w:fldChar w:fldCharType="separate"/>
      </w:r>
      <w:r>
        <w:t>283</w:t>
      </w:r>
      <w:r>
        <w:fldChar w:fldCharType="end"/>
      </w:r>
    </w:p>
    <w:p>
      <w:pPr>
        <w:pStyle w:val="TOC8"/>
        <w:rPr>
          <w:rFonts w:asciiTheme="minorHAnsi" w:eastAsiaTheme="minorEastAsia" w:hAnsiTheme="minorHAnsi" w:cstheme="minorBidi"/>
          <w:szCs w:val="22"/>
        </w:rPr>
      </w:pPr>
      <w:r>
        <w:t>182V.</w:t>
      </w:r>
      <w:r>
        <w:tab/>
        <w:t>Ways of conducting conciliation</w:t>
      </w:r>
      <w:r>
        <w:tab/>
      </w:r>
      <w:r>
        <w:fldChar w:fldCharType="begin"/>
      </w:r>
      <w:r>
        <w:instrText xml:space="preserve"> PAGEREF _Toc33534535 \h </w:instrText>
      </w:r>
      <w:r>
        <w:fldChar w:fldCharType="separate"/>
      </w:r>
      <w:r>
        <w:t>284</w:t>
      </w:r>
      <w:r>
        <w:fldChar w:fldCharType="end"/>
      </w:r>
    </w:p>
    <w:p>
      <w:pPr>
        <w:pStyle w:val="TOC8"/>
        <w:rPr>
          <w:rFonts w:asciiTheme="minorHAnsi" w:eastAsiaTheme="minorEastAsia" w:hAnsiTheme="minorHAnsi" w:cstheme="minorBidi"/>
          <w:szCs w:val="22"/>
        </w:rPr>
      </w:pPr>
      <w:r>
        <w:t>182W.</w:t>
      </w:r>
      <w:r>
        <w:tab/>
        <w:t>Conciliation to be in private</w:t>
      </w:r>
      <w:r>
        <w:tab/>
      </w:r>
      <w:r>
        <w:fldChar w:fldCharType="begin"/>
      </w:r>
      <w:r>
        <w:instrText xml:space="preserve"> PAGEREF _Toc33534536 \h </w:instrText>
      </w:r>
      <w:r>
        <w:fldChar w:fldCharType="separate"/>
      </w:r>
      <w:r>
        <w:t>285</w:t>
      </w:r>
      <w:r>
        <w:fldChar w:fldCharType="end"/>
      </w:r>
    </w:p>
    <w:p>
      <w:pPr>
        <w:pStyle w:val="TOC8"/>
        <w:rPr>
          <w:rFonts w:asciiTheme="minorHAnsi" w:eastAsiaTheme="minorEastAsia" w:hAnsiTheme="minorHAnsi" w:cstheme="minorBidi"/>
          <w:szCs w:val="22"/>
        </w:rPr>
      </w:pPr>
      <w:r>
        <w:t>182X.</w:t>
      </w:r>
      <w:r>
        <w:tab/>
        <w:t>Meetings and conferences, notice of and failure to attend</w:t>
      </w:r>
      <w:r>
        <w:tab/>
      </w:r>
      <w:r>
        <w:fldChar w:fldCharType="begin"/>
      </w:r>
      <w:r>
        <w:instrText xml:space="preserve"> PAGEREF _Toc33534537 \h </w:instrText>
      </w:r>
      <w:r>
        <w:fldChar w:fldCharType="separate"/>
      </w:r>
      <w:r>
        <w:t>285</w:t>
      </w:r>
      <w:r>
        <w:fldChar w:fldCharType="end"/>
      </w:r>
    </w:p>
    <w:p>
      <w:pPr>
        <w:pStyle w:val="TOC8"/>
        <w:rPr>
          <w:rFonts w:asciiTheme="minorHAnsi" w:eastAsiaTheme="minorEastAsia" w:hAnsiTheme="minorHAnsi" w:cstheme="minorBidi"/>
          <w:szCs w:val="22"/>
        </w:rPr>
      </w:pPr>
      <w:r>
        <w:t>182Y.</w:t>
      </w:r>
      <w:r>
        <w:tab/>
        <w:t>Privilege against self-incrimination</w:t>
      </w:r>
      <w:r>
        <w:tab/>
      </w:r>
      <w:r>
        <w:fldChar w:fldCharType="begin"/>
      </w:r>
      <w:r>
        <w:instrText xml:space="preserve"> PAGEREF _Toc33534538 \h </w:instrText>
      </w:r>
      <w:r>
        <w:fldChar w:fldCharType="separate"/>
      </w:r>
      <w:r>
        <w:t>285</w:t>
      </w:r>
      <w:r>
        <w:fldChar w:fldCharType="end"/>
      </w:r>
    </w:p>
    <w:p>
      <w:pPr>
        <w:pStyle w:val="TOC8"/>
        <w:rPr>
          <w:rFonts w:asciiTheme="minorHAnsi" w:eastAsiaTheme="minorEastAsia" w:hAnsiTheme="minorHAnsi" w:cstheme="minorBidi"/>
          <w:szCs w:val="22"/>
        </w:rPr>
      </w:pPr>
      <w:r>
        <w:t>182ZA.</w:t>
      </w:r>
      <w:r>
        <w:tab/>
        <w:t>Legal professional privilege in relation to medical reports</w:t>
      </w:r>
      <w:r>
        <w:tab/>
      </w:r>
      <w:r>
        <w:fldChar w:fldCharType="begin"/>
      </w:r>
      <w:r>
        <w:instrText xml:space="preserve"> PAGEREF _Toc33534539 \h </w:instrText>
      </w:r>
      <w:r>
        <w:fldChar w:fldCharType="separate"/>
      </w:r>
      <w:r>
        <w:t>286</w:t>
      </w:r>
      <w:r>
        <w:fldChar w:fldCharType="end"/>
      </w:r>
    </w:p>
    <w:p>
      <w:pPr>
        <w:pStyle w:val="TOC8"/>
        <w:rPr>
          <w:rFonts w:asciiTheme="minorHAnsi" w:eastAsiaTheme="minorEastAsia" w:hAnsiTheme="minorHAnsi" w:cstheme="minorBidi"/>
          <w:szCs w:val="22"/>
        </w:rPr>
      </w:pPr>
      <w:r>
        <w:t>182ZB.</w:t>
      </w:r>
      <w:r>
        <w:tab/>
        <w:t>Other claims of privilege</w:t>
      </w:r>
      <w:r>
        <w:tab/>
      </w:r>
      <w:r>
        <w:fldChar w:fldCharType="begin"/>
      </w:r>
      <w:r>
        <w:instrText xml:space="preserve"> PAGEREF _Toc33534540 \h </w:instrText>
      </w:r>
      <w:r>
        <w:fldChar w:fldCharType="separate"/>
      </w:r>
      <w:r>
        <w:t>287</w:t>
      </w:r>
      <w:r>
        <w:fldChar w:fldCharType="end"/>
      </w:r>
    </w:p>
    <w:p>
      <w:pPr>
        <w:pStyle w:val="TOC8"/>
        <w:rPr>
          <w:rFonts w:asciiTheme="minorHAnsi" w:eastAsiaTheme="minorEastAsia" w:hAnsiTheme="minorHAnsi" w:cstheme="minorBidi"/>
          <w:szCs w:val="22"/>
        </w:rPr>
      </w:pPr>
      <w:r>
        <w:t>182ZC.</w:t>
      </w:r>
      <w:r>
        <w:tab/>
        <w:t>Documents produced, use of etc. by conciliation officer</w:t>
      </w:r>
      <w:r>
        <w:tab/>
      </w:r>
      <w:r>
        <w:fldChar w:fldCharType="begin"/>
      </w:r>
      <w:r>
        <w:instrText xml:space="preserve"> PAGEREF _Toc33534541 \h </w:instrText>
      </w:r>
      <w:r>
        <w:fldChar w:fldCharType="separate"/>
      </w:r>
      <w:r>
        <w:t>287</w:t>
      </w:r>
      <w:r>
        <w:fldChar w:fldCharType="end"/>
      </w:r>
    </w:p>
    <w:p>
      <w:pPr>
        <w:pStyle w:val="TOC8"/>
        <w:rPr>
          <w:rFonts w:asciiTheme="minorHAnsi" w:eastAsiaTheme="minorEastAsia" w:hAnsiTheme="minorHAnsi" w:cstheme="minorBidi"/>
          <w:szCs w:val="22"/>
        </w:rPr>
      </w:pPr>
      <w:r>
        <w:t>182ZD.</w:t>
      </w:r>
      <w:r>
        <w:tab/>
        <w:t>Medical dispute may be referred to medical assessment panel</w:t>
      </w:r>
      <w:r>
        <w:tab/>
      </w:r>
      <w:r>
        <w:fldChar w:fldCharType="begin"/>
      </w:r>
      <w:r>
        <w:instrText xml:space="preserve"> PAGEREF _Toc33534542 \h </w:instrText>
      </w:r>
      <w:r>
        <w:fldChar w:fldCharType="separate"/>
      </w:r>
      <w:r>
        <w:t>287</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 provisions about directions, orders and conciliation agreements</w:t>
      </w:r>
    </w:p>
    <w:p>
      <w:pPr>
        <w:pStyle w:val="TOC8"/>
        <w:rPr>
          <w:rFonts w:asciiTheme="minorHAnsi" w:eastAsiaTheme="minorEastAsia" w:hAnsiTheme="minorHAnsi" w:cstheme="minorBidi"/>
          <w:szCs w:val="22"/>
        </w:rPr>
      </w:pPr>
      <w:r>
        <w:t>182ZE.</w:t>
      </w:r>
      <w:r>
        <w:tab/>
        <w:t>Terms used</w:t>
      </w:r>
      <w:r>
        <w:tab/>
      </w:r>
      <w:r>
        <w:fldChar w:fldCharType="begin"/>
      </w:r>
      <w:r>
        <w:instrText xml:space="preserve"> PAGEREF _Toc33534544 \h </w:instrText>
      </w:r>
      <w:r>
        <w:fldChar w:fldCharType="separate"/>
      </w:r>
      <w:r>
        <w:t>288</w:t>
      </w:r>
      <w:r>
        <w:fldChar w:fldCharType="end"/>
      </w:r>
    </w:p>
    <w:p>
      <w:pPr>
        <w:pStyle w:val="TOC8"/>
        <w:rPr>
          <w:rFonts w:asciiTheme="minorHAnsi" w:eastAsiaTheme="minorEastAsia" w:hAnsiTheme="minorHAnsi" w:cstheme="minorBidi"/>
          <w:szCs w:val="22"/>
        </w:rPr>
      </w:pPr>
      <w:r>
        <w:t>182ZF.</w:t>
      </w:r>
      <w:r>
        <w:tab/>
        <w:t>When decision or conciliation agreement has effect</w:t>
      </w:r>
      <w:r>
        <w:tab/>
      </w:r>
      <w:r>
        <w:fldChar w:fldCharType="begin"/>
      </w:r>
      <w:r>
        <w:instrText xml:space="preserve"> PAGEREF _Toc33534545 \h </w:instrText>
      </w:r>
      <w:r>
        <w:fldChar w:fldCharType="separate"/>
      </w:r>
      <w:r>
        <w:t>289</w:t>
      </w:r>
      <w:r>
        <w:fldChar w:fldCharType="end"/>
      </w:r>
    </w:p>
    <w:p>
      <w:pPr>
        <w:pStyle w:val="TOC8"/>
        <w:rPr>
          <w:rFonts w:asciiTheme="minorHAnsi" w:eastAsiaTheme="minorEastAsia" w:hAnsiTheme="minorHAnsi" w:cstheme="minorBidi"/>
          <w:szCs w:val="22"/>
        </w:rPr>
      </w:pPr>
      <w:r>
        <w:t>182ZG.</w:t>
      </w:r>
      <w:r>
        <w:tab/>
        <w:t>Correcting mistakes</w:t>
      </w:r>
      <w:r>
        <w:tab/>
      </w:r>
      <w:r>
        <w:fldChar w:fldCharType="begin"/>
      </w:r>
      <w:r>
        <w:instrText xml:space="preserve"> PAGEREF _Toc33534546 \h </w:instrText>
      </w:r>
      <w:r>
        <w:fldChar w:fldCharType="separate"/>
      </w:r>
      <w:r>
        <w:t>289</w:t>
      </w:r>
      <w:r>
        <w:fldChar w:fldCharType="end"/>
      </w:r>
    </w:p>
    <w:p>
      <w:pPr>
        <w:pStyle w:val="TOC8"/>
        <w:rPr>
          <w:rFonts w:asciiTheme="minorHAnsi" w:eastAsiaTheme="minorEastAsia" w:hAnsiTheme="minorHAnsi" w:cstheme="minorBidi"/>
          <w:szCs w:val="22"/>
        </w:rPr>
      </w:pPr>
      <w:r>
        <w:t>182ZH.</w:t>
      </w:r>
      <w:r>
        <w:tab/>
        <w:t>Enforcing decisions and conciliation agreements</w:t>
      </w:r>
      <w:r>
        <w:tab/>
      </w:r>
      <w:r>
        <w:fldChar w:fldCharType="begin"/>
      </w:r>
      <w:r>
        <w:instrText xml:space="preserve"> PAGEREF _Toc33534547 \h </w:instrText>
      </w:r>
      <w:r>
        <w:fldChar w:fldCharType="separate"/>
      </w:r>
      <w:r>
        <w:t>289</w:t>
      </w:r>
      <w:r>
        <w:fldChar w:fldCharType="end"/>
      </w:r>
    </w:p>
    <w:p>
      <w:pPr>
        <w:pStyle w:val="TOC8"/>
        <w:rPr>
          <w:rFonts w:asciiTheme="minorHAnsi" w:eastAsiaTheme="minorEastAsia" w:hAnsiTheme="minorHAnsi" w:cstheme="minorBidi"/>
          <w:szCs w:val="22"/>
        </w:rPr>
      </w:pPr>
      <w:r>
        <w:t>182ZI.</w:t>
      </w:r>
      <w:r>
        <w:tab/>
        <w:t>Conciliation decisions not reviewable</w:t>
      </w:r>
      <w:r>
        <w:tab/>
      </w:r>
      <w:r>
        <w:fldChar w:fldCharType="begin"/>
      </w:r>
      <w:r>
        <w:instrText xml:space="preserve"> PAGEREF _Toc33534548 \h </w:instrText>
      </w:r>
      <w:r>
        <w:fldChar w:fldCharType="separate"/>
      </w:r>
      <w:r>
        <w:t>290</w:t>
      </w:r>
      <w:r>
        <w:fldChar w:fldCharType="end"/>
      </w:r>
    </w:p>
    <w:p>
      <w:pPr>
        <w:pStyle w:val="TOC8"/>
        <w:rPr>
          <w:rFonts w:asciiTheme="minorHAnsi" w:eastAsiaTheme="minorEastAsia" w:hAnsiTheme="minorHAnsi" w:cstheme="minorBidi"/>
          <w:szCs w:val="22"/>
        </w:rPr>
      </w:pPr>
      <w:r>
        <w:t>182ZJ.</w:t>
      </w:r>
      <w:r>
        <w:tab/>
        <w:t>Provisions about revoked directions</w:t>
      </w:r>
      <w:r>
        <w:tab/>
      </w:r>
      <w:r>
        <w:fldChar w:fldCharType="begin"/>
      </w:r>
      <w:r>
        <w:instrText xml:space="preserve"> PAGEREF _Toc33534549 \h </w:instrText>
      </w:r>
      <w:r>
        <w:fldChar w:fldCharType="separate"/>
      </w:r>
      <w:r>
        <w:t>290</w:t>
      </w:r>
      <w:r>
        <w:fldChar w:fldCharType="end"/>
      </w:r>
    </w:p>
    <w:p>
      <w:pPr>
        <w:pStyle w:val="TOC8"/>
        <w:rPr>
          <w:rFonts w:asciiTheme="minorHAnsi" w:eastAsiaTheme="minorEastAsia" w:hAnsiTheme="minorHAnsi" w:cstheme="minorBidi"/>
          <w:szCs w:val="22"/>
        </w:rPr>
      </w:pPr>
      <w:r>
        <w:t>182ZK.</w:t>
      </w:r>
      <w:r>
        <w:tab/>
        <w:t>Recovery of payments made under s. 182K direction</w:t>
      </w:r>
      <w:r>
        <w:tab/>
      </w:r>
      <w:r>
        <w:fldChar w:fldCharType="begin"/>
      </w:r>
      <w:r>
        <w:instrText xml:space="preserve"> PAGEREF _Toc33534550 \h </w:instrText>
      </w:r>
      <w:r>
        <w:fldChar w:fldCharType="separate"/>
      </w:r>
      <w:r>
        <w:t>290</w:t>
      </w:r>
      <w:r>
        <w:fldChar w:fldCharType="end"/>
      </w:r>
    </w:p>
    <w:p>
      <w:pPr>
        <w:pStyle w:val="TOC8"/>
        <w:rPr>
          <w:rFonts w:asciiTheme="minorHAnsi" w:eastAsiaTheme="minorEastAsia" w:hAnsiTheme="minorHAnsi" w:cstheme="minorBidi"/>
          <w:szCs w:val="22"/>
        </w:rPr>
      </w:pPr>
      <w:r>
        <w:t>182ZL.</w:t>
      </w:r>
      <w:r>
        <w:tab/>
        <w:t>Director may order insurer to make payment directed under s. 182K</w:t>
      </w:r>
      <w:r>
        <w:tab/>
      </w:r>
      <w:r>
        <w:fldChar w:fldCharType="begin"/>
      </w:r>
      <w:r>
        <w:instrText xml:space="preserve"> PAGEREF _Toc33534551 \h </w:instrText>
      </w:r>
      <w:r>
        <w:fldChar w:fldCharType="separate"/>
      </w:r>
      <w:r>
        <w:t>291</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182ZM.</w:t>
      </w:r>
      <w:r>
        <w:tab/>
        <w:t>Statement made to conciliation officer not admissible in subsequent proceedings</w:t>
      </w:r>
      <w:r>
        <w:tab/>
      </w:r>
      <w:r>
        <w:fldChar w:fldCharType="begin"/>
      </w:r>
      <w:r>
        <w:instrText xml:space="preserve"> PAGEREF _Toc33534553 \h </w:instrText>
      </w:r>
      <w:r>
        <w:fldChar w:fldCharType="separate"/>
      </w:r>
      <w:r>
        <w:t>292</w:t>
      </w:r>
      <w:r>
        <w:fldChar w:fldCharType="end"/>
      </w:r>
    </w:p>
    <w:p>
      <w:pPr>
        <w:pStyle w:val="TOC8"/>
        <w:rPr>
          <w:rFonts w:asciiTheme="minorHAnsi" w:eastAsiaTheme="minorEastAsia" w:hAnsiTheme="minorHAnsi" w:cstheme="minorBidi"/>
          <w:szCs w:val="22"/>
        </w:rPr>
      </w:pPr>
      <w:r>
        <w:t>182ZN.</w:t>
      </w:r>
      <w:r>
        <w:tab/>
        <w:t>To whom compensation is to be paid</w:t>
      </w:r>
      <w:r>
        <w:tab/>
      </w:r>
      <w:r>
        <w:fldChar w:fldCharType="begin"/>
      </w:r>
      <w:r>
        <w:instrText xml:space="preserve"> PAGEREF _Toc33534554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4 — Arbitration</w:t>
      </w:r>
    </w:p>
    <w:p>
      <w:pPr>
        <w:pStyle w:val="TOC6"/>
        <w:tabs>
          <w:tab w:val="right" w:leader="dot" w:pos="7077"/>
        </w:tabs>
        <w:rPr>
          <w:rFonts w:asciiTheme="minorHAnsi" w:eastAsiaTheme="minorEastAsia" w:hAnsiTheme="minorHAnsi" w:cstheme="minorBidi"/>
          <w:b w:val="0"/>
          <w:sz w:val="22"/>
          <w:szCs w:val="22"/>
        </w:rPr>
      </w:pPr>
      <w:r>
        <w:t>Subdivision 1 — Workers’ Compensation Arbitration Service</w:t>
      </w:r>
    </w:p>
    <w:p>
      <w:pPr>
        <w:pStyle w:val="TOC8"/>
        <w:rPr>
          <w:rFonts w:asciiTheme="minorHAnsi" w:eastAsiaTheme="minorEastAsia" w:hAnsiTheme="minorHAnsi" w:cstheme="minorBidi"/>
          <w:szCs w:val="22"/>
        </w:rPr>
      </w:pPr>
      <w:r>
        <w:t>182ZO.</w:t>
      </w:r>
      <w:r>
        <w:tab/>
        <w:t>Workers’ Compensation Arbitration Service established</w:t>
      </w:r>
      <w:r>
        <w:tab/>
      </w:r>
      <w:r>
        <w:fldChar w:fldCharType="begin"/>
      </w:r>
      <w:r>
        <w:instrText xml:space="preserve"> PAGEREF _Toc33534557 \h </w:instrText>
      </w:r>
      <w:r>
        <w:fldChar w:fldCharType="separate"/>
      </w:r>
      <w:r>
        <w:t>292</w:t>
      </w:r>
      <w:r>
        <w:fldChar w:fldCharType="end"/>
      </w:r>
    </w:p>
    <w:p>
      <w:pPr>
        <w:pStyle w:val="TOC8"/>
        <w:rPr>
          <w:rFonts w:asciiTheme="minorHAnsi" w:eastAsiaTheme="minorEastAsia" w:hAnsiTheme="minorHAnsi" w:cstheme="minorBidi"/>
          <w:szCs w:val="22"/>
        </w:rPr>
      </w:pPr>
      <w:r>
        <w:t>182ZP.</w:t>
      </w:r>
      <w:r>
        <w:tab/>
        <w:t>Registrar, Arbitration, designation and functions of</w:t>
      </w:r>
      <w:r>
        <w:tab/>
      </w:r>
      <w:r>
        <w:fldChar w:fldCharType="begin"/>
      </w:r>
      <w:r>
        <w:instrText xml:space="preserve"> PAGEREF _Toc33534558 \h </w:instrText>
      </w:r>
      <w:r>
        <w:fldChar w:fldCharType="separate"/>
      </w:r>
      <w:r>
        <w:t>293</w:t>
      </w:r>
      <w:r>
        <w:fldChar w:fldCharType="end"/>
      </w:r>
    </w:p>
    <w:p>
      <w:pPr>
        <w:pStyle w:val="TOC8"/>
        <w:rPr>
          <w:rFonts w:asciiTheme="minorHAnsi" w:eastAsiaTheme="minorEastAsia" w:hAnsiTheme="minorHAnsi" w:cstheme="minorBidi"/>
          <w:szCs w:val="22"/>
        </w:rPr>
      </w:pPr>
      <w:r>
        <w:t>182ZQ.</w:t>
      </w:r>
      <w:r>
        <w:tab/>
        <w:t>Arbitrators, designation of etc.</w:t>
      </w:r>
      <w:r>
        <w:tab/>
      </w:r>
      <w:r>
        <w:fldChar w:fldCharType="begin"/>
      </w:r>
      <w:r>
        <w:instrText xml:space="preserve"> PAGEREF _Toc33534559 \h </w:instrText>
      </w:r>
      <w:r>
        <w:fldChar w:fldCharType="separate"/>
      </w:r>
      <w:r>
        <w:t>294</w:t>
      </w:r>
      <w:r>
        <w:fldChar w:fldCharType="end"/>
      </w:r>
    </w:p>
    <w:p>
      <w:pPr>
        <w:pStyle w:val="TOC8"/>
        <w:rPr>
          <w:rFonts w:asciiTheme="minorHAnsi" w:eastAsiaTheme="minorEastAsia" w:hAnsiTheme="minorHAnsi" w:cstheme="minorBidi"/>
          <w:szCs w:val="22"/>
        </w:rPr>
      </w:pPr>
      <w:r>
        <w:t>182ZR.</w:t>
      </w:r>
      <w:r>
        <w:tab/>
        <w:t>Provisions about designations</w:t>
      </w:r>
      <w:r>
        <w:tab/>
      </w:r>
      <w:r>
        <w:fldChar w:fldCharType="begin"/>
      </w:r>
      <w:r>
        <w:instrText xml:space="preserve"> PAGEREF _Toc33534560 \h </w:instrText>
      </w:r>
      <w:r>
        <w:fldChar w:fldCharType="separate"/>
      </w:r>
      <w:r>
        <w:t>294</w:t>
      </w:r>
      <w:r>
        <w:fldChar w:fldCharType="end"/>
      </w:r>
    </w:p>
    <w:p>
      <w:pPr>
        <w:pStyle w:val="TOC8"/>
        <w:rPr>
          <w:rFonts w:asciiTheme="minorHAnsi" w:eastAsiaTheme="minorEastAsia" w:hAnsiTheme="minorHAnsi" w:cstheme="minorBidi"/>
          <w:szCs w:val="22"/>
        </w:rPr>
      </w:pPr>
      <w:r>
        <w:t>182ZS.</w:t>
      </w:r>
      <w:r>
        <w:tab/>
        <w:t xml:space="preserve">Delegation by </w:t>
      </w:r>
      <w:r>
        <w:rPr>
          <w:bCs/>
          <w:iCs/>
        </w:rPr>
        <w:t>Registrar</w:t>
      </w:r>
      <w:r>
        <w:tab/>
      </w:r>
      <w:r>
        <w:fldChar w:fldCharType="begin"/>
      </w:r>
      <w:r>
        <w:instrText xml:space="preserve"> PAGEREF _Toc33534561 \h </w:instrText>
      </w:r>
      <w:r>
        <w:fldChar w:fldCharType="separate"/>
      </w:r>
      <w:r>
        <w:t>295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of disputes by arbitration</w:t>
      </w:r>
    </w:p>
    <w:p>
      <w:pPr>
        <w:pStyle w:val="TOC8"/>
        <w:rPr>
          <w:rFonts w:asciiTheme="minorHAnsi" w:eastAsiaTheme="minorEastAsia" w:hAnsiTheme="minorHAnsi" w:cstheme="minorBidi"/>
          <w:szCs w:val="22"/>
        </w:rPr>
      </w:pPr>
      <w:r>
        <w:t>182ZT.</w:t>
      </w:r>
      <w:r>
        <w:tab/>
        <w:t>Application for arbitration</w:t>
      </w:r>
      <w:r>
        <w:tab/>
      </w:r>
      <w:r>
        <w:fldChar w:fldCharType="begin"/>
      </w:r>
      <w:r>
        <w:instrText xml:space="preserve"> PAGEREF _Toc33534563 \h </w:instrText>
      </w:r>
      <w:r>
        <w:fldChar w:fldCharType="separate"/>
      </w:r>
      <w:r>
        <w:t>295</w:t>
      </w:r>
      <w:r>
        <w:fldChar w:fldCharType="end"/>
      </w:r>
    </w:p>
    <w:p>
      <w:pPr>
        <w:pStyle w:val="TOC8"/>
        <w:rPr>
          <w:rFonts w:asciiTheme="minorHAnsi" w:eastAsiaTheme="minorEastAsia" w:hAnsiTheme="minorHAnsi" w:cstheme="minorBidi"/>
          <w:szCs w:val="22"/>
        </w:rPr>
      </w:pPr>
      <w:r>
        <w:t>182ZU.</w:t>
      </w:r>
      <w:r>
        <w:tab/>
        <w:t>Acceptance of application by Registrar</w:t>
      </w:r>
      <w:r>
        <w:tab/>
      </w:r>
      <w:r>
        <w:fldChar w:fldCharType="begin"/>
      </w:r>
      <w:r>
        <w:instrText xml:space="preserve"> PAGEREF _Toc33534564 \h </w:instrText>
      </w:r>
      <w:r>
        <w:fldChar w:fldCharType="separate"/>
      </w:r>
      <w:r>
        <w:t>295</w:t>
      </w:r>
      <w:r>
        <w:fldChar w:fldCharType="end"/>
      </w:r>
    </w:p>
    <w:p>
      <w:pPr>
        <w:pStyle w:val="TOC8"/>
        <w:rPr>
          <w:rFonts w:asciiTheme="minorHAnsi" w:eastAsiaTheme="minorEastAsia" w:hAnsiTheme="minorHAnsi" w:cstheme="minorBidi"/>
          <w:szCs w:val="22"/>
        </w:rPr>
      </w:pPr>
      <w:r>
        <w:t>182ZV.</w:t>
      </w:r>
      <w:r>
        <w:tab/>
        <w:t>Registrar to allocate dispute</w:t>
      </w:r>
      <w:r>
        <w:tab/>
      </w:r>
      <w:r>
        <w:fldChar w:fldCharType="begin"/>
      </w:r>
      <w:r>
        <w:instrText xml:space="preserve"> PAGEREF _Toc33534565 \h </w:instrText>
      </w:r>
      <w:r>
        <w:fldChar w:fldCharType="separate"/>
      </w:r>
      <w:r>
        <w:t>296</w:t>
      </w:r>
      <w:r>
        <w:fldChar w:fldCharType="end"/>
      </w:r>
    </w:p>
    <w:p>
      <w:pPr>
        <w:pStyle w:val="TOC8"/>
        <w:rPr>
          <w:rFonts w:asciiTheme="minorHAnsi" w:eastAsiaTheme="minorEastAsia" w:hAnsiTheme="minorHAnsi" w:cstheme="minorBidi"/>
          <w:szCs w:val="22"/>
        </w:rPr>
      </w:pPr>
      <w:r>
        <w:t>182.</w:t>
      </w:r>
      <w:r>
        <w:tab/>
        <w:t>Who is to be given a copy of an application</w:t>
      </w:r>
      <w:r>
        <w:tab/>
      </w:r>
      <w:r>
        <w:fldChar w:fldCharType="begin"/>
      </w:r>
      <w:r>
        <w:instrText xml:space="preserve"> PAGEREF _Toc33534566 \h </w:instrText>
      </w:r>
      <w:r>
        <w:fldChar w:fldCharType="separate"/>
      </w:r>
      <w:r>
        <w:t>296</w:t>
      </w:r>
      <w:r>
        <w:fldChar w:fldCharType="end"/>
      </w:r>
    </w:p>
    <w:p>
      <w:pPr>
        <w:pStyle w:val="TOC8"/>
        <w:rPr>
          <w:rFonts w:asciiTheme="minorHAnsi" w:eastAsiaTheme="minorEastAsia" w:hAnsiTheme="minorHAnsi" w:cstheme="minorBidi"/>
          <w:szCs w:val="22"/>
        </w:rPr>
      </w:pPr>
      <w:r>
        <w:t>183.</w:t>
      </w:r>
      <w:r>
        <w:tab/>
        <w:t>Information exchange by parties</w:t>
      </w:r>
      <w:r>
        <w:tab/>
      </w:r>
      <w:r>
        <w:fldChar w:fldCharType="begin"/>
      </w:r>
      <w:r>
        <w:instrText xml:space="preserve"> PAGEREF _Toc33534567 \h </w:instrText>
      </w:r>
      <w:r>
        <w:fldChar w:fldCharType="separate"/>
      </w:r>
      <w:r>
        <w:t>297</w:t>
      </w:r>
      <w:r>
        <w:fldChar w:fldCharType="end"/>
      </w:r>
    </w:p>
    <w:p>
      <w:pPr>
        <w:pStyle w:val="TOC8"/>
        <w:rPr>
          <w:rFonts w:asciiTheme="minorHAnsi" w:eastAsiaTheme="minorEastAsia" w:hAnsiTheme="minorHAnsi" w:cstheme="minorBidi"/>
          <w:szCs w:val="22"/>
        </w:rPr>
      </w:pPr>
      <w:r>
        <w:t>185.</w:t>
      </w:r>
      <w:r>
        <w:tab/>
        <w:t>Duties of arbitrators</w:t>
      </w:r>
      <w:r>
        <w:tab/>
      </w:r>
      <w:r>
        <w:fldChar w:fldCharType="begin"/>
      </w:r>
      <w:r>
        <w:instrText xml:space="preserve"> PAGEREF _Toc33534568 \h </w:instrText>
      </w:r>
      <w:r>
        <w:fldChar w:fldCharType="separate"/>
      </w:r>
      <w:r>
        <w:t>299</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188.</w:t>
      </w:r>
      <w:r>
        <w:tab/>
        <w:t>Practice and procedure, generally</w:t>
      </w:r>
      <w:r>
        <w:tab/>
      </w:r>
      <w:r>
        <w:fldChar w:fldCharType="begin"/>
      </w:r>
      <w:r>
        <w:instrText xml:space="preserve"> PAGEREF _Toc33534570 \h </w:instrText>
      </w:r>
      <w:r>
        <w:fldChar w:fldCharType="separate"/>
      </w:r>
      <w:r>
        <w:t>299</w:t>
      </w:r>
      <w:r>
        <w:fldChar w:fldCharType="end"/>
      </w:r>
    </w:p>
    <w:p>
      <w:pPr>
        <w:pStyle w:val="TOC8"/>
        <w:rPr>
          <w:rFonts w:asciiTheme="minorHAnsi" w:eastAsiaTheme="minorEastAsia" w:hAnsiTheme="minorHAnsi" w:cstheme="minorBidi"/>
          <w:szCs w:val="22"/>
        </w:rPr>
      </w:pPr>
      <w:r>
        <w:t>189.</w:t>
      </w:r>
      <w:r>
        <w:tab/>
        <w:t>Relief or redress granted need not be restricted to claim</w:t>
      </w:r>
      <w:r>
        <w:tab/>
      </w:r>
      <w:r>
        <w:fldChar w:fldCharType="begin"/>
      </w:r>
      <w:r>
        <w:instrText xml:space="preserve"> PAGEREF _Toc33534571 \h </w:instrText>
      </w:r>
      <w:r>
        <w:fldChar w:fldCharType="separate"/>
      </w:r>
      <w:r>
        <w:t>300</w:t>
      </w:r>
      <w:r>
        <w:fldChar w:fldCharType="end"/>
      </w:r>
    </w:p>
    <w:p>
      <w:pPr>
        <w:pStyle w:val="TOC8"/>
        <w:rPr>
          <w:rFonts w:asciiTheme="minorHAnsi" w:eastAsiaTheme="minorEastAsia" w:hAnsiTheme="minorHAnsi" w:cstheme="minorBidi"/>
          <w:szCs w:val="22"/>
        </w:rPr>
      </w:pPr>
      <w:r>
        <w:t>190.</w:t>
      </w:r>
      <w:r>
        <w:tab/>
        <w:t>Directions by arbitrator</w:t>
      </w:r>
      <w:r>
        <w:tab/>
      </w:r>
      <w:r>
        <w:fldChar w:fldCharType="begin"/>
      </w:r>
      <w:r>
        <w:instrText xml:space="preserve"> PAGEREF _Toc33534572 \h </w:instrText>
      </w:r>
      <w:r>
        <w:fldChar w:fldCharType="separate"/>
      </w:r>
      <w:r>
        <w:t>301</w:t>
      </w:r>
      <w:r>
        <w:fldChar w:fldCharType="end"/>
      </w:r>
    </w:p>
    <w:p>
      <w:pPr>
        <w:pStyle w:val="TOC8"/>
        <w:rPr>
          <w:rFonts w:asciiTheme="minorHAnsi" w:eastAsiaTheme="minorEastAsia" w:hAnsiTheme="minorHAnsi" w:cstheme="minorBidi"/>
          <w:szCs w:val="22"/>
        </w:rPr>
      </w:pPr>
      <w:r>
        <w:t>191.</w:t>
      </w:r>
      <w:r>
        <w:tab/>
        <w:t>Dependants of workers, proof as to</w:t>
      </w:r>
      <w:r>
        <w:tab/>
      </w:r>
      <w:r>
        <w:fldChar w:fldCharType="begin"/>
      </w:r>
      <w:r>
        <w:instrText xml:space="preserve"> PAGEREF _Toc33534573 \h </w:instrText>
      </w:r>
      <w:r>
        <w:fldChar w:fldCharType="separate"/>
      </w:r>
      <w:r>
        <w:t>301</w:t>
      </w:r>
      <w:r>
        <w:fldChar w:fldCharType="end"/>
      </w:r>
    </w:p>
    <w:p>
      <w:pPr>
        <w:pStyle w:val="TOC8"/>
        <w:rPr>
          <w:rFonts w:asciiTheme="minorHAnsi" w:eastAsiaTheme="minorEastAsia" w:hAnsiTheme="minorHAnsi" w:cstheme="minorBidi"/>
          <w:szCs w:val="22"/>
        </w:rPr>
      </w:pPr>
      <w:r>
        <w:t>192.</w:t>
      </w:r>
      <w:r>
        <w:tab/>
        <w:t>Illegal contracts of employment may be treated as valid</w:t>
      </w:r>
      <w:r>
        <w:tab/>
      </w:r>
      <w:r>
        <w:fldChar w:fldCharType="begin"/>
      </w:r>
      <w:r>
        <w:instrText xml:space="preserve"> PAGEREF _Toc33534574 \h </w:instrText>
      </w:r>
      <w:r>
        <w:fldChar w:fldCharType="separate"/>
      </w:r>
      <w:r>
        <w:t>301</w:t>
      </w:r>
      <w:r>
        <w:fldChar w:fldCharType="end"/>
      </w:r>
    </w:p>
    <w:p>
      <w:pPr>
        <w:pStyle w:val="TOC8"/>
        <w:rPr>
          <w:rFonts w:asciiTheme="minorHAnsi" w:eastAsiaTheme="minorEastAsia" w:hAnsiTheme="minorHAnsi" w:cstheme="minorBidi"/>
          <w:szCs w:val="22"/>
        </w:rPr>
      </w:pPr>
      <w:r>
        <w:t>193.</w:t>
      </w:r>
      <w:r>
        <w:tab/>
        <w:t>Arbitrator’s powers to obtain information</w:t>
      </w:r>
      <w:r>
        <w:tab/>
      </w:r>
      <w:r>
        <w:fldChar w:fldCharType="begin"/>
      </w:r>
      <w:r>
        <w:instrText xml:space="preserve"> PAGEREF _Toc33534575 \h </w:instrText>
      </w:r>
      <w:r>
        <w:fldChar w:fldCharType="separate"/>
      </w:r>
      <w:r>
        <w:t>302</w:t>
      </w:r>
      <w:r>
        <w:fldChar w:fldCharType="end"/>
      </w:r>
    </w:p>
    <w:p>
      <w:pPr>
        <w:pStyle w:val="TOC8"/>
        <w:rPr>
          <w:rFonts w:asciiTheme="minorHAnsi" w:eastAsiaTheme="minorEastAsia" w:hAnsiTheme="minorHAnsi" w:cstheme="minorBidi"/>
          <w:szCs w:val="22"/>
        </w:rPr>
      </w:pPr>
      <w:r>
        <w:t>194.</w:t>
      </w:r>
      <w:r>
        <w:tab/>
        <w:t>Arbitrator may give information etc. to and restrict disclosure by other party or medical practitioner</w:t>
      </w:r>
      <w:r>
        <w:tab/>
      </w:r>
      <w:r>
        <w:fldChar w:fldCharType="begin"/>
      </w:r>
      <w:r>
        <w:instrText xml:space="preserve"> PAGEREF _Toc33534576 \h </w:instrText>
      </w:r>
      <w:r>
        <w:fldChar w:fldCharType="separate"/>
      </w:r>
      <w:r>
        <w:t>303</w:t>
      </w:r>
      <w:r>
        <w:fldChar w:fldCharType="end"/>
      </w:r>
    </w:p>
    <w:p>
      <w:pPr>
        <w:pStyle w:val="TOC8"/>
        <w:rPr>
          <w:rFonts w:asciiTheme="minorHAnsi" w:eastAsiaTheme="minorEastAsia" w:hAnsiTheme="minorHAnsi" w:cstheme="minorBidi"/>
          <w:szCs w:val="22"/>
        </w:rPr>
      </w:pPr>
      <w:r>
        <w:t>195.</w:t>
      </w:r>
      <w:r>
        <w:tab/>
        <w:t>Representation</w:t>
      </w:r>
      <w:r>
        <w:tab/>
      </w:r>
      <w:r>
        <w:fldChar w:fldCharType="begin"/>
      </w:r>
      <w:r>
        <w:instrText xml:space="preserve"> PAGEREF _Toc33534577 \h </w:instrText>
      </w:r>
      <w:r>
        <w:fldChar w:fldCharType="separate"/>
      </w:r>
      <w:r>
        <w:t>304</w:t>
      </w:r>
      <w:r>
        <w:fldChar w:fldCharType="end"/>
      </w:r>
    </w:p>
    <w:p>
      <w:pPr>
        <w:pStyle w:val="TOC8"/>
        <w:rPr>
          <w:rFonts w:asciiTheme="minorHAnsi" w:eastAsiaTheme="minorEastAsia" w:hAnsiTheme="minorHAnsi" w:cstheme="minorBidi"/>
          <w:szCs w:val="22"/>
        </w:rPr>
      </w:pPr>
      <w:r>
        <w:t>196.</w:t>
      </w:r>
      <w:r>
        <w:tab/>
        <w:t>Litigation guardians, rules about</w:t>
      </w:r>
      <w:r>
        <w:tab/>
      </w:r>
      <w:r>
        <w:fldChar w:fldCharType="begin"/>
      </w:r>
      <w:r>
        <w:instrText xml:space="preserve"> PAGEREF _Toc33534578 \h </w:instrText>
      </w:r>
      <w:r>
        <w:fldChar w:fldCharType="separate"/>
      </w:r>
      <w:r>
        <w:t>305</w:t>
      </w:r>
      <w:r>
        <w:fldChar w:fldCharType="end"/>
      </w:r>
    </w:p>
    <w:p>
      <w:pPr>
        <w:pStyle w:val="TOC8"/>
        <w:rPr>
          <w:rFonts w:asciiTheme="minorHAnsi" w:eastAsiaTheme="minorEastAsia" w:hAnsiTheme="minorHAnsi" w:cstheme="minorBidi"/>
          <w:szCs w:val="22"/>
        </w:rPr>
      </w:pPr>
      <w:r>
        <w:t>197.</w:t>
      </w:r>
      <w:r>
        <w:tab/>
        <w:t>Interpreters and assistants</w:t>
      </w:r>
      <w:r>
        <w:tab/>
      </w:r>
      <w:r>
        <w:fldChar w:fldCharType="begin"/>
      </w:r>
      <w:r>
        <w:instrText xml:space="preserve"> PAGEREF _Toc33534579 \h </w:instrText>
      </w:r>
      <w:r>
        <w:fldChar w:fldCharType="separate"/>
      </w:r>
      <w:r>
        <w:t>305</w:t>
      </w:r>
      <w:r>
        <w:fldChar w:fldCharType="end"/>
      </w:r>
    </w:p>
    <w:p>
      <w:pPr>
        <w:pStyle w:val="TOC8"/>
        <w:rPr>
          <w:rFonts w:asciiTheme="minorHAnsi" w:eastAsiaTheme="minorEastAsia" w:hAnsiTheme="minorHAnsi" w:cstheme="minorBidi"/>
          <w:szCs w:val="22"/>
        </w:rPr>
      </w:pPr>
      <w:r>
        <w:t>198.</w:t>
      </w:r>
      <w:r>
        <w:tab/>
        <w:t>Ways of conducting arbitration proceedings</w:t>
      </w:r>
      <w:r>
        <w:tab/>
      </w:r>
      <w:r>
        <w:fldChar w:fldCharType="begin"/>
      </w:r>
      <w:r>
        <w:instrText xml:space="preserve"> PAGEREF _Toc33534580 \h </w:instrText>
      </w:r>
      <w:r>
        <w:fldChar w:fldCharType="separate"/>
      </w:r>
      <w:r>
        <w:t>305</w:t>
      </w:r>
      <w:r>
        <w:fldChar w:fldCharType="end"/>
      </w:r>
    </w:p>
    <w:p>
      <w:pPr>
        <w:pStyle w:val="TOC8"/>
        <w:rPr>
          <w:rFonts w:asciiTheme="minorHAnsi" w:eastAsiaTheme="minorEastAsia" w:hAnsiTheme="minorHAnsi" w:cstheme="minorBidi"/>
          <w:szCs w:val="22"/>
        </w:rPr>
      </w:pPr>
      <w:r>
        <w:t>199.</w:t>
      </w:r>
      <w:r>
        <w:tab/>
        <w:t>Hearings to be in private</w:t>
      </w:r>
      <w:r>
        <w:tab/>
      </w:r>
      <w:r>
        <w:fldChar w:fldCharType="begin"/>
      </w:r>
      <w:r>
        <w:instrText xml:space="preserve"> PAGEREF _Toc33534581 \h </w:instrText>
      </w:r>
      <w:r>
        <w:fldChar w:fldCharType="separate"/>
      </w:r>
      <w:r>
        <w:t>306</w:t>
      </w:r>
      <w:r>
        <w:fldChar w:fldCharType="end"/>
      </w:r>
    </w:p>
    <w:p>
      <w:pPr>
        <w:pStyle w:val="TOC8"/>
        <w:rPr>
          <w:rFonts w:asciiTheme="minorHAnsi" w:eastAsiaTheme="minorEastAsia" w:hAnsiTheme="minorHAnsi" w:cstheme="minorBidi"/>
          <w:szCs w:val="22"/>
        </w:rPr>
      </w:pPr>
      <w:r>
        <w:t>200.</w:t>
      </w:r>
      <w:r>
        <w:tab/>
        <w:t>Hearings, notice of and failure to attend</w:t>
      </w:r>
      <w:r>
        <w:tab/>
      </w:r>
      <w:r>
        <w:fldChar w:fldCharType="begin"/>
      </w:r>
      <w:r>
        <w:instrText xml:space="preserve"> PAGEREF _Toc33534582 \h </w:instrText>
      </w:r>
      <w:r>
        <w:fldChar w:fldCharType="separate"/>
      </w:r>
      <w:r>
        <w:t>307</w:t>
      </w:r>
      <w:r>
        <w:fldChar w:fldCharType="end"/>
      </w:r>
    </w:p>
    <w:p>
      <w:pPr>
        <w:pStyle w:val="TOC8"/>
        <w:rPr>
          <w:rFonts w:asciiTheme="minorHAnsi" w:eastAsiaTheme="minorEastAsia" w:hAnsiTheme="minorHAnsi" w:cstheme="minorBidi"/>
          <w:szCs w:val="22"/>
        </w:rPr>
      </w:pPr>
      <w:r>
        <w:t>201.</w:t>
      </w:r>
      <w:r>
        <w:tab/>
        <w:t>Experts, use of by arbitrators</w:t>
      </w:r>
      <w:r>
        <w:tab/>
      </w:r>
      <w:r>
        <w:fldChar w:fldCharType="begin"/>
      </w:r>
      <w:r>
        <w:instrText xml:space="preserve"> PAGEREF _Toc33534583 \h </w:instrText>
      </w:r>
      <w:r>
        <w:fldChar w:fldCharType="separate"/>
      </w:r>
      <w:r>
        <w:t>307</w:t>
      </w:r>
      <w:r>
        <w:fldChar w:fldCharType="end"/>
      </w:r>
    </w:p>
    <w:p>
      <w:pPr>
        <w:pStyle w:val="TOC8"/>
        <w:rPr>
          <w:rFonts w:asciiTheme="minorHAnsi" w:eastAsiaTheme="minorEastAsia" w:hAnsiTheme="minorHAnsi" w:cstheme="minorBidi"/>
          <w:szCs w:val="22"/>
        </w:rPr>
      </w:pPr>
      <w:r>
        <w:t>202.</w:t>
      </w:r>
      <w:r>
        <w:tab/>
        <w:t>Summoning witnesses</w:t>
      </w:r>
      <w:r>
        <w:tab/>
      </w:r>
      <w:r>
        <w:fldChar w:fldCharType="begin"/>
      </w:r>
      <w:r>
        <w:instrText xml:space="preserve"> PAGEREF _Toc33534584 \h </w:instrText>
      </w:r>
      <w:r>
        <w:fldChar w:fldCharType="separate"/>
      </w:r>
      <w:r>
        <w:t>307</w:t>
      </w:r>
      <w:r>
        <w:fldChar w:fldCharType="end"/>
      </w:r>
    </w:p>
    <w:p>
      <w:pPr>
        <w:pStyle w:val="TOC8"/>
        <w:rPr>
          <w:rFonts w:asciiTheme="minorHAnsi" w:eastAsiaTheme="minorEastAsia" w:hAnsiTheme="minorHAnsi" w:cstheme="minorBidi"/>
          <w:szCs w:val="22"/>
        </w:rPr>
      </w:pPr>
      <w:r>
        <w:t>203.</w:t>
      </w:r>
      <w:r>
        <w:tab/>
        <w:t>Arbitrator’s powers as to witnesses</w:t>
      </w:r>
      <w:r>
        <w:tab/>
      </w:r>
      <w:r>
        <w:fldChar w:fldCharType="begin"/>
      </w:r>
      <w:r>
        <w:instrText xml:space="preserve"> PAGEREF _Toc33534585 \h </w:instrText>
      </w:r>
      <w:r>
        <w:fldChar w:fldCharType="separate"/>
      </w:r>
      <w:r>
        <w:t>307</w:t>
      </w:r>
      <w:r>
        <w:fldChar w:fldCharType="end"/>
      </w:r>
    </w:p>
    <w:p>
      <w:pPr>
        <w:pStyle w:val="TOC8"/>
        <w:rPr>
          <w:rFonts w:asciiTheme="minorHAnsi" w:eastAsiaTheme="minorEastAsia" w:hAnsiTheme="minorHAnsi" w:cstheme="minorBidi"/>
          <w:szCs w:val="22"/>
        </w:rPr>
      </w:pPr>
      <w:r>
        <w:t>204A.</w:t>
      </w:r>
      <w:r>
        <w:tab/>
        <w:t>Communication between worker and WorkCover WA employee not admissible</w:t>
      </w:r>
      <w:r>
        <w:tab/>
      </w:r>
      <w:r>
        <w:fldChar w:fldCharType="begin"/>
      </w:r>
      <w:r>
        <w:instrText xml:space="preserve"> PAGEREF _Toc33534586 \h </w:instrText>
      </w:r>
      <w:r>
        <w:fldChar w:fldCharType="separate"/>
      </w:r>
      <w:r>
        <w:t>308</w:t>
      </w:r>
      <w:r>
        <w:fldChar w:fldCharType="end"/>
      </w:r>
    </w:p>
    <w:p>
      <w:pPr>
        <w:pStyle w:val="TOC8"/>
        <w:rPr>
          <w:rFonts w:asciiTheme="minorHAnsi" w:eastAsiaTheme="minorEastAsia" w:hAnsiTheme="minorHAnsi" w:cstheme="minorBidi"/>
          <w:szCs w:val="22"/>
        </w:rPr>
      </w:pPr>
      <w:r>
        <w:t>204.</w:t>
      </w:r>
      <w:r>
        <w:tab/>
        <w:t>Privilege against self</w:t>
      </w:r>
      <w:r>
        <w:noBreakHyphen/>
        <w:t>incrimination</w:t>
      </w:r>
      <w:r>
        <w:tab/>
      </w:r>
      <w:r>
        <w:fldChar w:fldCharType="begin"/>
      </w:r>
      <w:r>
        <w:instrText xml:space="preserve"> PAGEREF _Toc33534587 \h </w:instrText>
      </w:r>
      <w:r>
        <w:fldChar w:fldCharType="separate"/>
      </w:r>
      <w:r>
        <w:t>308</w:t>
      </w:r>
      <w:r>
        <w:fldChar w:fldCharType="end"/>
      </w:r>
    </w:p>
    <w:p>
      <w:pPr>
        <w:pStyle w:val="TOC8"/>
        <w:rPr>
          <w:rFonts w:asciiTheme="minorHAnsi" w:eastAsiaTheme="minorEastAsia" w:hAnsiTheme="minorHAnsi" w:cstheme="minorBidi"/>
          <w:szCs w:val="22"/>
        </w:rPr>
      </w:pPr>
      <w:r>
        <w:t>205.</w:t>
      </w:r>
      <w:r>
        <w:tab/>
        <w:t>Legal professional privilege in relation to medical reports</w:t>
      </w:r>
      <w:r>
        <w:tab/>
      </w:r>
      <w:r>
        <w:fldChar w:fldCharType="begin"/>
      </w:r>
      <w:r>
        <w:instrText xml:space="preserve"> PAGEREF _Toc33534588 \h </w:instrText>
      </w:r>
      <w:r>
        <w:fldChar w:fldCharType="separate"/>
      </w:r>
      <w:r>
        <w:t>309</w:t>
      </w:r>
      <w:r>
        <w:fldChar w:fldCharType="end"/>
      </w:r>
    </w:p>
    <w:p>
      <w:pPr>
        <w:pStyle w:val="TOC8"/>
        <w:rPr>
          <w:rFonts w:asciiTheme="minorHAnsi" w:eastAsiaTheme="minorEastAsia" w:hAnsiTheme="minorHAnsi" w:cstheme="minorBidi"/>
          <w:szCs w:val="22"/>
        </w:rPr>
      </w:pPr>
      <w:r>
        <w:t>206.</w:t>
      </w:r>
      <w:r>
        <w:tab/>
        <w:t>Other claims of privilege</w:t>
      </w:r>
      <w:r>
        <w:tab/>
      </w:r>
      <w:r>
        <w:fldChar w:fldCharType="begin"/>
      </w:r>
      <w:r>
        <w:instrText xml:space="preserve"> PAGEREF _Toc33534589 \h </w:instrText>
      </w:r>
      <w:r>
        <w:fldChar w:fldCharType="separate"/>
      </w:r>
      <w:r>
        <w:t>310</w:t>
      </w:r>
      <w:r>
        <w:fldChar w:fldCharType="end"/>
      </w:r>
    </w:p>
    <w:p>
      <w:pPr>
        <w:pStyle w:val="TOC8"/>
        <w:rPr>
          <w:rFonts w:asciiTheme="minorHAnsi" w:eastAsiaTheme="minorEastAsia" w:hAnsiTheme="minorHAnsi" w:cstheme="minorBidi"/>
          <w:szCs w:val="22"/>
        </w:rPr>
      </w:pPr>
      <w:r>
        <w:t>207.</w:t>
      </w:r>
      <w:r>
        <w:tab/>
        <w:t>Oaths and affirmations</w:t>
      </w:r>
      <w:r>
        <w:tab/>
      </w:r>
      <w:r>
        <w:fldChar w:fldCharType="begin"/>
      </w:r>
      <w:r>
        <w:instrText xml:space="preserve"> PAGEREF _Toc33534590 \h </w:instrText>
      </w:r>
      <w:r>
        <w:fldChar w:fldCharType="separate"/>
      </w:r>
      <w:r>
        <w:t>310</w:t>
      </w:r>
      <w:r>
        <w:fldChar w:fldCharType="end"/>
      </w:r>
    </w:p>
    <w:p>
      <w:pPr>
        <w:pStyle w:val="TOC8"/>
        <w:rPr>
          <w:rFonts w:asciiTheme="minorHAnsi" w:eastAsiaTheme="minorEastAsia" w:hAnsiTheme="minorHAnsi" w:cstheme="minorBidi"/>
          <w:szCs w:val="22"/>
        </w:rPr>
      </w:pPr>
      <w:r>
        <w:t>208.</w:t>
      </w:r>
      <w:r>
        <w:tab/>
        <w:t>Arbitrator may authorise another to take evidence</w:t>
      </w:r>
      <w:r>
        <w:tab/>
      </w:r>
      <w:r>
        <w:fldChar w:fldCharType="begin"/>
      </w:r>
      <w:r>
        <w:instrText xml:space="preserve"> PAGEREF _Toc33534591 \h </w:instrText>
      </w:r>
      <w:r>
        <w:fldChar w:fldCharType="separate"/>
      </w:r>
      <w:r>
        <w:t>310</w:t>
      </w:r>
      <w:r>
        <w:fldChar w:fldCharType="end"/>
      </w:r>
    </w:p>
    <w:p>
      <w:pPr>
        <w:pStyle w:val="TOC8"/>
        <w:rPr>
          <w:rFonts w:asciiTheme="minorHAnsi" w:eastAsiaTheme="minorEastAsia" w:hAnsiTheme="minorHAnsi" w:cstheme="minorBidi"/>
          <w:szCs w:val="22"/>
        </w:rPr>
      </w:pPr>
      <w:r>
        <w:t>209.</w:t>
      </w:r>
      <w:r>
        <w:tab/>
        <w:t>Things produced, use of etc. by arbitrator</w:t>
      </w:r>
      <w:r>
        <w:tab/>
      </w:r>
      <w:r>
        <w:fldChar w:fldCharType="begin"/>
      </w:r>
      <w:r>
        <w:instrText xml:space="preserve"> PAGEREF _Toc33534592 \h </w:instrText>
      </w:r>
      <w:r>
        <w:fldChar w:fldCharType="separate"/>
      </w:r>
      <w:r>
        <w:t>311</w:t>
      </w:r>
      <w:r>
        <w:fldChar w:fldCharType="end"/>
      </w:r>
    </w:p>
    <w:p>
      <w:pPr>
        <w:pStyle w:val="TOC8"/>
        <w:rPr>
          <w:rFonts w:asciiTheme="minorHAnsi" w:eastAsiaTheme="minorEastAsia" w:hAnsiTheme="minorHAnsi" w:cstheme="minorBidi"/>
          <w:szCs w:val="22"/>
        </w:rPr>
      </w:pPr>
      <w:r>
        <w:t>210.</w:t>
      </w:r>
      <w:r>
        <w:tab/>
        <w:t>Medical dispute may be referred to medical assessment panel</w:t>
      </w:r>
      <w:r>
        <w:tab/>
      </w:r>
      <w:r>
        <w:fldChar w:fldCharType="begin"/>
      </w:r>
      <w:r>
        <w:instrText xml:space="preserve"> PAGEREF _Toc33534593 \h </w:instrText>
      </w:r>
      <w:r>
        <w:fldChar w:fldCharType="separate"/>
      </w:r>
      <w:r>
        <w:t>311</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Decisions</w:t>
      </w:r>
    </w:p>
    <w:p>
      <w:pPr>
        <w:pStyle w:val="TOC8"/>
        <w:rPr>
          <w:rFonts w:asciiTheme="minorHAnsi" w:eastAsiaTheme="minorEastAsia" w:hAnsiTheme="minorHAnsi" w:cstheme="minorBidi"/>
          <w:szCs w:val="22"/>
        </w:rPr>
      </w:pPr>
      <w:r>
        <w:t>211.</w:t>
      </w:r>
      <w:r>
        <w:tab/>
        <w:t>Decisions generally</w:t>
      </w:r>
      <w:r>
        <w:tab/>
      </w:r>
      <w:r>
        <w:fldChar w:fldCharType="begin"/>
      </w:r>
      <w:r>
        <w:instrText xml:space="preserve"> PAGEREF _Toc33534595 \h </w:instrText>
      </w:r>
      <w:r>
        <w:fldChar w:fldCharType="separate"/>
      </w:r>
      <w:r>
        <w:t>312</w:t>
      </w:r>
      <w:r>
        <w:fldChar w:fldCharType="end"/>
      </w:r>
    </w:p>
    <w:p>
      <w:pPr>
        <w:pStyle w:val="TOC8"/>
        <w:rPr>
          <w:rFonts w:asciiTheme="minorHAnsi" w:eastAsiaTheme="minorEastAsia" w:hAnsiTheme="minorHAnsi" w:cstheme="minorBidi"/>
          <w:szCs w:val="22"/>
        </w:rPr>
      </w:pPr>
      <w:r>
        <w:t>212.</w:t>
      </w:r>
      <w:r>
        <w:tab/>
        <w:t>Conditional and ancillary orders and directions</w:t>
      </w:r>
      <w:r>
        <w:tab/>
      </w:r>
      <w:r>
        <w:fldChar w:fldCharType="begin"/>
      </w:r>
      <w:r>
        <w:instrText xml:space="preserve"> PAGEREF _Toc33534596 \h </w:instrText>
      </w:r>
      <w:r>
        <w:fldChar w:fldCharType="separate"/>
      </w:r>
      <w:r>
        <w:t>312</w:t>
      </w:r>
      <w:r>
        <w:fldChar w:fldCharType="end"/>
      </w:r>
    </w:p>
    <w:p>
      <w:pPr>
        <w:pStyle w:val="TOC8"/>
        <w:rPr>
          <w:rFonts w:asciiTheme="minorHAnsi" w:eastAsiaTheme="minorEastAsia" w:hAnsiTheme="minorHAnsi" w:cstheme="minorBidi"/>
          <w:szCs w:val="22"/>
        </w:rPr>
      </w:pPr>
      <w:r>
        <w:t>213.</w:t>
      </w:r>
      <w:r>
        <w:tab/>
        <w:t>Decisions and reasons, form and content of</w:t>
      </w:r>
      <w:r>
        <w:tab/>
      </w:r>
      <w:r>
        <w:fldChar w:fldCharType="begin"/>
      </w:r>
      <w:r>
        <w:instrText xml:space="preserve"> PAGEREF _Toc33534597 \h </w:instrText>
      </w:r>
      <w:r>
        <w:fldChar w:fldCharType="separate"/>
      </w:r>
      <w:r>
        <w:t>313</w:t>
      </w:r>
      <w:r>
        <w:fldChar w:fldCharType="end"/>
      </w:r>
    </w:p>
    <w:p>
      <w:pPr>
        <w:pStyle w:val="TOC8"/>
        <w:rPr>
          <w:rFonts w:asciiTheme="minorHAnsi" w:eastAsiaTheme="minorEastAsia" w:hAnsiTheme="minorHAnsi" w:cstheme="minorBidi"/>
          <w:szCs w:val="22"/>
        </w:rPr>
      </w:pPr>
      <w:r>
        <w:t>214.</w:t>
      </w:r>
      <w:r>
        <w:tab/>
        <w:t>Validity of decision not affected by contravention of this Subdivision</w:t>
      </w:r>
      <w:r>
        <w:tab/>
      </w:r>
      <w:r>
        <w:fldChar w:fldCharType="begin"/>
      </w:r>
      <w:r>
        <w:instrText xml:space="preserve"> PAGEREF _Toc33534598 \h </w:instrText>
      </w:r>
      <w:r>
        <w:fldChar w:fldCharType="separate"/>
      </w:r>
      <w:r>
        <w:t>314</w:t>
      </w:r>
      <w:r>
        <w:fldChar w:fldCharType="end"/>
      </w:r>
    </w:p>
    <w:p>
      <w:pPr>
        <w:pStyle w:val="TOC8"/>
        <w:rPr>
          <w:rFonts w:asciiTheme="minorHAnsi" w:eastAsiaTheme="minorEastAsia" w:hAnsiTheme="minorHAnsi" w:cstheme="minorBidi"/>
          <w:szCs w:val="22"/>
        </w:rPr>
      </w:pPr>
      <w:r>
        <w:t>215.</w:t>
      </w:r>
      <w:r>
        <w:tab/>
        <w:t>When decision has effect</w:t>
      </w:r>
      <w:r>
        <w:tab/>
      </w:r>
      <w:r>
        <w:fldChar w:fldCharType="begin"/>
      </w:r>
      <w:r>
        <w:instrText xml:space="preserve"> PAGEREF _Toc33534599 \h </w:instrText>
      </w:r>
      <w:r>
        <w:fldChar w:fldCharType="separate"/>
      </w:r>
      <w:r>
        <w:t>314</w:t>
      </w:r>
      <w:r>
        <w:fldChar w:fldCharType="end"/>
      </w:r>
    </w:p>
    <w:p>
      <w:pPr>
        <w:pStyle w:val="TOC8"/>
        <w:rPr>
          <w:rFonts w:asciiTheme="minorHAnsi" w:eastAsiaTheme="minorEastAsia" w:hAnsiTheme="minorHAnsi" w:cstheme="minorBidi"/>
          <w:szCs w:val="22"/>
        </w:rPr>
      </w:pPr>
      <w:r>
        <w:t>216.</w:t>
      </w:r>
      <w:r>
        <w:tab/>
        <w:t>Correcting mistakes</w:t>
      </w:r>
      <w:r>
        <w:tab/>
      </w:r>
      <w:r>
        <w:fldChar w:fldCharType="begin"/>
      </w:r>
      <w:r>
        <w:instrText xml:space="preserve"> PAGEREF _Toc33534600 \h </w:instrText>
      </w:r>
      <w:r>
        <w:fldChar w:fldCharType="separate"/>
      </w:r>
      <w:r>
        <w:t>314</w:t>
      </w:r>
      <w:r>
        <w:fldChar w:fldCharType="end"/>
      </w:r>
    </w:p>
    <w:p>
      <w:pPr>
        <w:pStyle w:val="TOC8"/>
        <w:rPr>
          <w:rFonts w:asciiTheme="minorHAnsi" w:eastAsiaTheme="minorEastAsia" w:hAnsiTheme="minorHAnsi" w:cstheme="minorBidi"/>
          <w:szCs w:val="22"/>
        </w:rPr>
      </w:pPr>
      <w:r>
        <w:t>217A.</w:t>
      </w:r>
      <w:r>
        <w:tab/>
        <w:t>Arbitrator may reconsider decision if new information</w:t>
      </w:r>
      <w:r>
        <w:tab/>
      </w:r>
      <w:r>
        <w:fldChar w:fldCharType="begin"/>
      </w:r>
      <w:r>
        <w:instrText xml:space="preserve"> PAGEREF _Toc33534601 \h </w:instrText>
      </w:r>
      <w:r>
        <w:fldChar w:fldCharType="separate"/>
      </w:r>
      <w:r>
        <w:t>315</w:t>
      </w:r>
      <w:r>
        <w:fldChar w:fldCharType="end"/>
      </w:r>
    </w:p>
    <w:p>
      <w:pPr>
        <w:pStyle w:val="TOC8"/>
        <w:rPr>
          <w:rFonts w:asciiTheme="minorHAnsi" w:eastAsiaTheme="minorEastAsia" w:hAnsiTheme="minorHAnsi" w:cstheme="minorBidi"/>
          <w:szCs w:val="22"/>
        </w:rPr>
      </w:pPr>
      <w:r>
        <w:t>217B.</w:t>
      </w:r>
      <w:r>
        <w:tab/>
        <w:t>Arbitration decisions not reviewable</w:t>
      </w:r>
      <w:r>
        <w:tab/>
      </w:r>
      <w:r>
        <w:fldChar w:fldCharType="begin"/>
      </w:r>
      <w:r>
        <w:instrText xml:space="preserve"> PAGEREF _Toc33534602 \h </w:instrText>
      </w:r>
      <w:r>
        <w:fldChar w:fldCharType="separate"/>
      </w:r>
      <w:r>
        <w:t>315</w:t>
      </w:r>
      <w:r>
        <w:fldChar w:fldCharType="end"/>
      </w:r>
    </w:p>
    <w:p>
      <w:pPr>
        <w:pStyle w:val="TOC8"/>
        <w:rPr>
          <w:rFonts w:asciiTheme="minorHAnsi" w:eastAsiaTheme="minorEastAsia" w:hAnsiTheme="minorHAnsi" w:cstheme="minorBidi"/>
          <w:szCs w:val="22"/>
        </w:rPr>
      </w:pPr>
      <w:r>
        <w:t>217.</w:t>
      </w:r>
      <w:r>
        <w:tab/>
        <w:t>Order as to total liability of employer</w:t>
      </w:r>
      <w:r>
        <w:tab/>
      </w:r>
      <w:r>
        <w:fldChar w:fldCharType="begin"/>
      </w:r>
      <w:r>
        <w:instrText xml:space="preserve"> PAGEREF _Toc33534603 \h </w:instrText>
      </w:r>
      <w:r>
        <w:fldChar w:fldCharType="separate"/>
      </w:r>
      <w:r>
        <w:t>315</w:t>
      </w:r>
      <w:r>
        <w:fldChar w:fldCharType="end"/>
      </w:r>
    </w:p>
    <w:p>
      <w:pPr>
        <w:pStyle w:val="TOC8"/>
        <w:rPr>
          <w:rFonts w:asciiTheme="minorHAnsi" w:eastAsiaTheme="minorEastAsia" w:hAnsiTheme="minorHAnsi" w:cstheme="minorBidi"/>
          <w:szCs w:val="22"/>
        </w:rPr>
      </w:pPr>
      <w:r>
        <w:t>218.</w:t>
      </w:r>
      <w:r>
        <w:tab/>
        <w:t>Payment of compensation to person under legal disability</w:t>
      </w:r>
      <w:r>
        <w:tab/>
      </w:r>
      <w:r>
        <w:fldChar w:fldCharType="begin"/>
      </w:r>
      <w:r>
        <w:instrText xml:space="preserve"> PAGEREF _Toc33534604 \h </w:instrText>
      </w:r>
      <w:r>
        <w:fldChar w:fldCharType="separate"/>
      </w:r>
      <w:r>
        <w:t>317</w:t>
      </w:r>
      <w:r>
        <w:fldChar w:fldCharType="end"/>
      </w:r>
    </w:p>
    <w:p>
      <w:pPr>
        <w:pStyle w:val="TOC8"/>
        <w:rPr>
          <w:rFonts w:asciiTheme="minorHAnsi" w:eastAsiaTheme="minorEastAsia" w:hAnsiTheme="minorHAnsi" w:cstheme="minorBidi"/>
          <w:szCs w:val="22"/>
        </w:rPr>
      </w:pPr>
      <w:r>
        <w:t>219.</w:t>
      </w:r>
      <w:r>
        <w:tab/>
        <w:t>Enforcing decisions</w:t>
      </w:r>
      <w:r>
        <w:tab/>
      </w:r>
      <w:r>
        <w:fldChar w:fldCharType="begin"/>
      </w:r>
      <w:r>
        <w:instrText xml:space="preserve"> PAGEREF _Toc33534605 \h </w:instrText>
      </w:r>
      <w:r>
        <w:fldChar w:fldCharType="separate"/>
      </w:r>
      <w:r>
        <w:t>317</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220.</w:t>
      </w:r>
      <w:r>
        <w:tab/>
        <w:t>Statements to arbitrators not admissible in common law proceedings</w:t>
      </w:r>
      <w:r>
        <w:tab/>
      </w:r>
      <w:r>
        <w:fldChar w:fldCharType="begin"/>
      </w:r>
      <w:r>
        <w:instrText xml:space="preserve"> PAGEREF _Toc33534607 \h </w:instrText>
      </w:r>
      <w:r>
        <w:fldChar w:fldCharType="separate"/>
      </w:r>
      <w:r>
        <w:t>318</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To whom compensation is to be paid</w:t>
      </w:r>
      <w:r>
        <w:tab/>
      </w:r>
      <w:r>
        <w:fldChar w:fldCharType="begin"/>
      </w:r>
      <w:r>
        <w:instrText xml:space="preserve"> PAGEREF _Toc33534608 \h </w:instrText>
      </w:r>
      <w:r>
        <w:fldChar w:fldCharType="separate"/>
      </w:r>
      <w:r>
        <w:t>318</w:t>
      </w:r>
      <w:r>
        <w:fldChar w:fldCharType="end"/>
      </w:r>
    </w:p>
    <w:p>
      <w:pPr>
        <w:pStyle w:val="TOC8"/>
        <w:rPr>
          <w:rFonts w:asciiTheme="minorHAnsi" w:eastAsiaTheme="minorEastAsia" w:hAnsiTheme="minorHAnsi" w:cstheme="minorBidi"/>
          <w:szCs w:val="22"/>
        </w:rPr>
      </w:pPr>
      <w:r>
        <w:t>222.</w:t>
      </w:r>
      <w:r>
        <w:tab/>
        <w:t>Interest on sums to be paid</w:t>
      </w:r>
      <w:r>
        <w:tab/>
      </w:r>
      <w:r>
        <w:fldChar w:fldCharType="begin"/>
      </w:r>
      <w:r>
        <w:instrText xml:space="preserve"> PAGEREF _Toc33534609 \h </w:instrText>
      </w:r>
      <w:r>
        <w:fldChar w:fldCharType="separate"/>
      </w:r>
      <w:r>
        <w:t>318</w:t>
      </w:r>
      <w:r>
        <w:fldChar w:fldCharType="end"/>
      </w:r>
    </w:p>
    <w:p>
      <w:pPr>
        <w:pStyle w:val="TOC8"/>
        <w:rPr>
          <w:rFonts w:asciiTheme="minorHAnsi" w:eastAsiaTheme="minorEastAsia" w:hAnsiTheme="minorHAnsi" w:cstheme="minorBidi"/>
          <w:szCs w:val="22"/>
        </w:rPr>
      </w:pPr>
      <w:r>
        <w:t>223.</w:t>
      </w:r>
      <w:r>
        <w:tab/>
        <w:t>Interest on unpaid sums</w:t>
      </w:r>
      <w:r>
        <w:tab/>
      </w:r>
      <w:r>
        <w:fldChar w:fldCharType="begin"/>
      </w:r>
      <w:r>
        <w:instrText xml:space="preserve"> PAGEREF _Toc33534610 \h </w:instrText>
      </w:r>
      <w:r>
        <w:fldChar w:fldCharType="separate"/>
      </w:r>
      <w:r>
        <w:t>319</w:t>
      </w:r>
      <w:r>
        <w:fldChar w:fldCharType="end"/>
      </w:r>
    </w:p>
    <w:p>
      <w:pPr>
        <w:pStyle w:val="TOC8"/>
        <w:rPr>
          <w:rFonts w:asciiTheme="minorHAnsi" w:eastAsiaTheme="minorEastAsia" w:hAnsiTheme="minorHAnsi" w:cstheme="minorBidi"/>
          <w:szCs w:val="22"/>
        </w:rPr>
      </w:pPr>
      <w:r>
        <w:t>224.</w:t>
      </w:r>
      <w:r>
        <w:tab/>
        <w:t>Interest on unpaid amount of agreed sum</w:t>
      </w:r>
      <w:r>
        <w:tab/>
      </w:r>
      <w:r>
        <w:fldChar w:fldCharType="begin"/>
      </w:r>
      <w:r>
        <w:instrText xml:space="preserve"> PAGEREF _Toc33534611 \h </w:instrText>
      </w:r>
      <w:r>
        <w:fldChar w:fldCharType="separate"/>
      </w:r>
      <w:r>
        <w:t>320</w:t>
      </w:r>
      <w:r>
        <w:fldChar w:fldCharType="end"/>
      </w:r>
    </w:p>
    <w:p>
      <w:pPr>
        <w:pStyle w:val="TOC8"/>
        <w:rPr>
          <w:rFonts w:asciiTheme="minorHAnsi" w:eastAsiaTheme="minorEastAsia" w:hAnsiTheme="minorHAnsi" w:cstheme="minorBidi"/>
          <w:szCs w:val="22"/>
        </w:rPr>
      </w:pPr>
      <w:r>
        <w:t>225.</w:t>
      </w:r>
      <w:r>
        <w:tab/>
        <w:t>Regulations may exclude interest</w:t>
      </w:r>
      <w:r>
        <w:tab/>
      </w:r>
      <w:r>
        <w:fldChar w:fldCharType="begin"/>
      </w:r>
      <w:r>
        <w:instrText xml:space="preserve"> PAGEREF _Toc33534612 \h </w:instrText>
      </w:r>
      <w:r>
        <w:fldChar w:fldCharType="separate"/>
      </w:r>
      <w:r>
        <w:t>320</w:t>
      </w:r>
      <w:r>
        <w:fldChar w:fldCharType="end"/>
      </w:r>
    </w:p>
    <w:p>
      <w:pPr>
        <w:pStyle w:val="TOC2"/>
        <w:tabs>
          <w:tab w:val="right" w:leader="dot" w:pos="7077"/>
        </w:tabs>
        <w:rPr>
          <w:rFonts w:asciiTheme="minorHAnsi" w:eastAsiaTheme="minorEastAsia" w:hAnsiTheme="minorHAnsi" w:cstheme="minorBidi"/>
          <w:b w:val="0"/>
          <w:sz w:val="22"/>
          <w:szCs w:val="22"/>
        </w:rPr>
      </w:pPr>
      <w:r>
        <w:t>Part XIII — Appeals to District Court</w:t>
      </w:r>
    </w:p>
    <w:p>
      <w:pPr>
        <w:pStyle w:val="TOC8"/>
        <w:rPr>
          <w:rFonts w:asciiTheme="minorHAnsi" w:eastAsiaTheme="minorEastAsia" w:hAnsiTheme="minorHAnsi" w:cstheme="minorBidi"/>
          <w:szCs w:val="22"/>
        </w:rPr>
      </w:pPr>
      <w:r>
        <w:t>247.</w:t>
      </w:r>
      <w:r>
        <w:tab/>
        <w:t>Appeal against arbitrator’s decision made under Part XI</w:t>
      </w:r>
      <w:r>
        <w:tab/>
      </w:r>
      <w:r>
        <w:fldChar w:fldCharType="begin"/>
      </w:r>
      <w:r>
        <w:instrText xml:space="preserve"> PAGEREF _Toc33534614 \h </w:instrText>
      </w:r>
      <w:r>
        <w:fldChar w:fldCharType="separate"/>
      </w:r>
      <w:r>
        <w:t>321</w:t>
      </w:r>
      <w:r>
        <w:fldChar w:fldCharType="end"/>
      </w:r>
    </w:p>
    <w:p>
      <w:pPr>
        <w:pStyle w:val="TOC8"/>
        <w:rPr>
          <w:rFonts w:asciiTheme="minorHAnsi" w:eastAsiaTheme="minorEastAsia" w:hAnsiTheme="minorHAnsi" w:cstheme="minorBidi"/>
          <w:szCs w:val="22"/>
        </w:rPr>
      </w:pPr>
      <w:r>
        <w:t>250.</w:t>
      </w:r>
      <w:r>
        <w:tab/>
        <w:t>Effect of appeal on decision under appeal</w:t>
      </w:r>
      <w:r>
        <w:tab/>
      </w:r>
      <w:r>
        <w:fldChar w:fldCharType="begin"/>
      </w:r>
      <w:r>
        <w:instrText xml:space="preserve"> PAGEREF _Toc33534615 \h </w:instrText>
      </w:r>
      <w:r>
        <w:fldChar w:fldCharType="separate"/>
      </w:r>
      <w:r>
        <w:t>322</w:t>
      </w:r>
      <w:r>
        <w:fldChar w:fldCharType="end"/>
      </w:r>
    </w:p>
    <w:p>
      <w:pPr>
        <w:pStyle w:val="TOC8"/>
        <w:rPr>
          <w:rFonts w:asciiTheme="minorHAnsi" w:eastAsiaTheme="minorEastAsia" w:hAnsiTheme="minorHAnsi" w:cstheme="minorBidi"/>
          <w:szCs w:val="22"/>
        </w:rPr>
      </w:pPr>
      <w:r>
        <w:t>254.</w:t>
      </w:r>
      <w:r>
        <w:tab/>
        <w:t>Appeal from District Court to Court of Appeal</w:t>
      </w:r>
      <w:r>
        <w:tab/>
      </w:r>
      <w:r>
        <w:fldChar w:fldCharType="begin"/>
      </w:r>
      <w:r>
        <w:instrText xml:space="preserve"> PAGEREF _Toc33534616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Part XIV</w:t>
      </w:r>
      <w:r>
        <w:rPr>
          <w:b w:val="0"/>
        </w:rPr>
        <w:t> </w:t>
      </w:r>
      <w:r>
        <w:t>—</w:t>
      </w:r>
      <w:r>
        <w:rPr>
          <w:b w:val="0"/>
        </w:rPr>
        <w:t> </w:t>
      </w:r>
      <w:r>
        <w:t>Offences</w:t>
      </w:r>
    </w:p>
    <w:p>
      <w:pPr>
        <w:pStyle w:val="TOC8"/>
        <w:rPr>
          <w:rFonts w:asciiTheme="minorHAnsi" w:eastAsiaTheme="minorEastAsia" w:hAnsiTheme="minorHAnsi" w:cstheme="minorBidi"/>
          <w:szCs w:val="22"/>
        </w:rPr>
      </w:pPr>
      <w:r>
        <w:t>255.</w:t>
      </w:r>
      <w:r>
        <w:tab/>
        <w:t>Failing to comply with decision of dispute resolution authority</w:t>
      </w:r>
      <w:r>
        <w:tab/>
      </w:r>
      <w:r>
        <w:fldChar w:fldCharType="begin"/>
      </w:r>
      <w:r>
        <w:instrText xml:space="preserve"> PAGEREF _Toc33534618 \h </w:instrText>
      </w:r>
      <w:r>
        <w:fldChar w:fldCharType="separate"/>
      </w:r>
      <w:r>
        <w:t>324</w:t>
      </w:r>
      <w:r>
        <w:fldChar w:fldCharType="end"/>
      </w:r>
    </w:p>
    <w:p>
      <w:pPr>
        <w:pStyle w:val="TOC8"/>
        <w:rPr>
          <w:rFonts w:asciiTheme="minorHAnsi" w:eastAsiaTheme="minorEastAsia" w:hAnsiTheme="minorHAnsi" w:cstheme="minorBidi"/>
          <w:szCs w:val="22"/>
        </w:rPr>
      </w:pPr>
      <w:r>
        <w:t>256.</w:t>
      </w:r>
      <w:r>
        <w:tab/>
        <w:t>Failing to comply with summons or requirement to attend</w:t>
      </w:r>
      <w:r>
        <w:tab/>
      </w:r>
      <w:r>
        <w:fldChar w:fldCharType="begin"/>
      </w:r>
      <w:r>
        <w:instrText xml:space="preserve"> PAGEREF _Toc33534619 \h </w:instrText>
      </w:r>
      <w:r>
        <w:fldChar w:fldCharType="separate"/>
      </w:r>
      <w:r>
        <w:t>325</w:t>
      </w:r>
      <w:r>
        <w:fldChar w:fldCharType="end"/>
      </w:r>
    </w:p>
    <w:p>
      <w:pPr>
        <w:pStyle w:val="TOC8"/>
        <w:rPr>
          <w:rFonts w:asciiTheme="minorHAnsi" w:eastAsiaTheme="minorEastAsia" w:hAnsiTheme="minorHAnsi" w:cstheme="minorBidi"/>
          <w:szCs w:val="22"/>
        </w:rPr>
      </w:pPr>
      <w:r>
        <w:t>257.</w:t>
      </w:r>
      <w:r>
        <w:tab/>
        <w:t>Failing to give evidence as required</w:t>
      </w:r>
      <w:r>
        <w:tab/>
      </w:r>
      <w:r>
        <w:fldChar w:fldCharType="begin"/>
      </w:r>
      <w:r>
        <w:instrText xml:space="preserve"> PAGEREF _Toc33534620 \h </w:instrText>
      </w:r>
      <w:r>
        <w:fldChar w:fldCharType="separate"/>
      </w:r>
      <w:r>
        <w:t>325</w:t>
      </w:r>
      <w:r>
        <w:fldChar w:fldCharType="end"/>
      </w:r>
    </w:p>
    <w:p>
      <w:pPr>
        <w:pStyle w:val="TOC8"/>
        <w:rPr>
          <w:rFonts w:asciiTheme="minorHAnsi" w:eastAsiaTheme="minorEastAsia" w:hAnsiTheme="minorHAnsi" w:cstheme="minorBidi"/>
          <w:szCs w:val="22"/>
        </w:rPr>
      </w:pPr>
      <w:r>
        <w:t>258.</w:t>
      </w:r>
      <w:r>
        <w:tab/>
        <w:t>Giving false or misleading information</w:t>
      </w:r>
      <w:r>
        <w:tab/>
      </w:r>
      <w:r>
        <w:fldChar w:fldCharType="begin"/>
      </w:r>
      <w:r>
        <w:instrText xml:space="preserve"> PAGEREF _Toc33534621 \h </w:instrText>
      </w:r>
      <w:r>
        <w:fldChar w:fldCharType="separate"/>
      </w:r>
      <w:r>
        <w:t>325</w:t>
      </w:r>
      <w:r>
        <w:fldChar w:fldCharType="end"/>
      </w:r>
    </w:p>
    <w:p>
      <w:pPr>
        <w:pStyle w:val="TOC8"/>
        <w:rPr>
          <w:rFonts w:asciiTheme="minorHAnsi" w:eastAsiaTheme="minorEastAsia" w:hAnsiTheme="minorHAnsi" w:cstheme="minorBidi"/>
          <w:szCs w:val="22"/>
        </w:rPr>
      </w:pPr>
      <w:r>
        <w:t>259.</w:t>
      </w:r>
      <w:r>
        <w:tab/>
        <w:t>Misbehaviour and other conduct</w:t>
      </w:r>
      <w:r>
        <w:tab/>
      </w:r>
      <w:r>
        <w:fldChar w:fldCharType="begin"/>
      </w:r>
      <w:r>
        <w:instrText xml:space="preserve"> PAGEREF _Toc33534622 \h </w:instrText>
      </w:r>
      <w:r>
        <w:fldChar w:fldCharType="separate"/>
      </w:r>
      <w:r>
        <w:t>326</w:t>
      </w:r>
      <w:r>
        <w:fldChar w:fldCharType="end"/>
      </w:r>
    </w:p>
    <w:p>
      <w:pPr>
        <w:pStyle w:val="TOC2"/>
        <w:tabs>
          <w:tab w:val="right" w:leader="dot" w:pos="7077"/>
        </w:tabs>
        <w:rPr>
          <w:rFonts w:asciiTheme="minorHAnsi" w:eastAsiaTheme="minorEastAsia" w:hAnsiTheme="minorHAnsi" w:cstheme="minorBidi"/>
          <w:b w:val="0"/>
          <w:sz w:val="22"/>
          <w:szCs w:val="22"/>
        </w:rPr>
      </w:pPr>
      <w:r>
        <w:t>Part XV</w:t>
      </w:r>
      <w:r>
        <w:rPr>
          <w:b w:val="0"/>
        </w:rPr>
        <w:t> </w:t>
      </w:r>
      <w:r>
        <w:t>—</w:t>
      </w:r>
      <w:r>
        <w:rPr>
          <w:b w:val="0"/>
        </w:rPr>
        <w:t> </w:t>
      </w:r>
      <w:r>
        <w:t>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261.</w:t>
      </w:r>
      <w:r>
        <w:tab/>
        <w:t>Terms used</w:t>
      </w:r>
      <w:r>
        <w:tab/>
      </w:r>
      <w:r>
        <w:fldChar w:fldCharType="begin"/>
      </w:r>
      <w:r>
        <w:instrText xml:space="preserve"> PAGEREF _Toc33534625 \h </w:instrText>
      </w:r>
      <w:r>
        <w:fldChar w:fldCharType="separate"/>
      </w:r>
      <w:r>
        <w:t>327</w:t>
      </w:r>
      <w:r>
        <w:fldChar w:fldCharType="end"/>
      </w:r>
    </w:p>
    <w:p>
      <w:pPr>
        <w:pStyle w:val="TOC8"/>
        <w:rPr>
          <w:rFonts w:asciiTheme="minorHAnsi" w:eastAsiaTheme="minorEastAsia" w:hAnsiTheme="minorHAnsi" w:cstheme="minorBidi"/>
          <w:szCs w:val="22"/>
        </w:rPr>
      </w:pPr>
      <w:r>
        <w:t>262.</w:t>
      </w:r>
      <w:r>
        <w:tab/>
        <w:t>Costs to which this Part applies</w:t>
      </w:r>
      <w:r>
        <w:tab/>
      </w:r>
      <w:r>
        <w:fldChar w:fldCharType="begin"/>
      </w:r>
      <w:r>
        <w:instrText xml:space="preserve"> PAGEREF _Toc33534626 \h </w:instrText>
      </w:r>
      <w:r>
        <w:fldChar w:fldCharType="separate"/>
      </w:r>
      <w:r>
        <w:t>328</w:t>
      </w:r>
      <w:r>
        <w:fldChar w:fldCharType="end"/>
      </w:r>
    </w:p>
    <w:p>
      <w:pPr>
        <w:pStyle w:val="TOC8"/>
        <w:rPr>
          <w:rFonts w:asciiTheme="minorHAnsi" w:eastAsiaTheme="minorEastAsia" w:hAnsiTheme="minorHAnsi" w:cstheme="minorBidi"/>
          <w:szCs w:val="22"/>
        </w:rPr>
      </w:pPr>
      <w:r>
        <w:t>263.</w:t>
      </w:r>
      <w:r>
        <w:tab/>
        <w:t xml:space="preserve">This Part prevails over </w:t>
      </w:r>
      <w:r>
        <w:rPr>
          <w:i/>
        </w:rPr>
        <w:t>Legal Profession Act 2008</w:t>
      </w:r>
      <w:r>
        <w:tab/>
      </w:r>
      <w:r>
        <w:fldChar w:fldCharType="begin"/>
      </w:r>
      <w:r>
        <w:instrText xml:space="preserve"> PAGEREF _Toc33534627 \h </w:instrText>
      </w:r>
      <w:r>
        <w:fldChar w:fldCharType="separate"/>
      </w:r>
      <w:r>
        <w:t>328</w:t>
      </w:r>
      <w:r>
        <w:fldChar w:fldCharType="end"/>
      </w:r>
    </w:p>
    <w:p>
      <w:pPr>
        <w:pStyle w:val="TOC4"/>
        <w:tabs>
          <w:tab w:val="right" w:leader="dot" w:pos="7077"/>
        </w:tabs>
        <w:rPr>
          <w:rFonts w:asciiTheme="minorHAnsi" w:eastAsiaTheme="minorEastAsia" w:hAnsiTheme="minorHAnsi" w:cstheme="minorBidi"/>
          <w:b w:val="0"/>
          <w:szCs w:val="22"/>
        </w:rPr>
      </w:pPr>
      <w:r>
        <w:t>Division 2 — Costs of parties in proceedings and costs of proceedings</w:t>
      </w:r>
    </w:p>
    <w:p>
      <w:pPr>
        <w:pStyle w:val="TOC8"/>
        <w:rPr>
          <w:rFonts w:asciiTheme="minorHAnsi" w:eastAsiaTheme="minorEastAsia" w:hAnsiTheme="minorHAnsi" w:cstheme="minorBidi"/>
          <w:szCs w:val="22"/>
        </w:rPr>
      </w:pPr>
      <w:r>
        <w:t>264.</w:t>
      </w:r>
      <w:r>
        <w:tab/>
        <w:t>Costs to be determined by dispute resolution authority</w:t>
      </w:r>
      <w:r>
        <w:tab/>
      </w:r>
      <w:r>
        <w:fldChar w:fldCharType="begin"/>
      </w:r>
      <w:r>
        <w:instrText xml:space="preserve"> PAGEREF _Toc33534629 \h </w:instrText>
      </w:r>
      <w:r>
        <w:fldChar w:fldCharType="separate"/>
      </w:r>
      <w:r>
        <w:t>328</w:t>
      </w:r>
      <w:r>
        <w:fldChar w:fldCharType="end"/>
      </w:r>
    </w:p>
    <w:p>
      <w:pPr>
        <w:pStyle w:val="TOC8"/>
        <w:rPr>
          <w:rFonts w:asciiTheme="minorHAnsi" w:eastAsiaTheme="minorEastAsia" w:hAnsiTheme="minorHAnsi" w:cstheme="minorBidi"/>
          <w:szCs w:val="22"/>
        </w:rPr>
      </w:pPr>
      <w:r>
        <w:t>265.</w:t>
      </w:r>
      <w:r>
        <w:tab/>
        <w:t>Costs unreasonably incurred by representative</w:t>
      </w:r>
      <w:r>
        <w:tab/>
      </w:r>
      <w:r>
        <w:fldChar w:fldCharType="begin"/>
      </w:r>
      <w:r>
        <w:instrText xml:space="preserve"> PAGEREF _Toc33534630 \h </w:instrText>
      </w:r>
      <w:r>
        <w:fldChar w:fldCharType="separate"/>
      </w:r>
      <w:r>
        <w:t>329</w:t>
      </w:r>
      <w:r>
        <w:fldChar w:fldCharType="end"/>
      </w:r>
    </w:p>
    <w:p>
      <w:pPr>
        <w:pStyle w:val="TOC8"/>
        <w:rPr>
          <w:rFonts w:asciiTheme="minorHAnsi" w:eastAsiaTheme="minorEastAsia" w:hAnsiTheme="minorHAnsi" w:cstheme="minorBidi"/>
          <w:szCs w:val="22"/>
        </w:rPr>
      </w:pPr>
      <w:r>
        <w:t>266.</w:t>
      </w:r>
      <w:r>
        <w:tab/>
        <w:t>Agent’s costs</w:t>
      </w:r>
      <w:r>
        <w:tab/>
      </w:r>
      <w:r>
        <w:fldChar w:fldCharType="begin"/>
      </w:r>
      <w:r>
        <w:instrText xml:space="preserve"> PAGEREF _Toc33534631 \h </w:instrText>
      </w:r>
      <w:r>
        <w:fldChar w:fldCharType="separate"/>
      </w:r>
      <w:r>
        <w:t>330</w:t>
      </w:r>
      <w:r>
        <w:fldChar w:fldCharType="end"/>
      </w:r>
    </w:p>
    <w:p>
      <w:pPr>
        <w:pStyle w:val="TOC8"/>
        <w:rPr>
          <w:rFonts w:asciiTheme="minorHAnsi" w:eastAsiaTheme="minorEastAsia" w:hAnsiTheme="minorHAnsi" w:cstheme="minorBidi"/>
          <w:szCs w:val="22"/>
        </w:rPr>
      </w:pPr>
      <w:r>
        <w:t>267.</w:t>
      </w:r>
      <w:r>
        <w:tab/>
        <w:t>Appeal costs</w:t>
      </w:r>
      <w:r>
        <w:tab/>
      </w:r>
      <w:r>
        <w:fldChar w:fldCharType="begin"/>
      </w:r>
      <w:r>
        <w:instrText xml:space="preserve"> PAGEREF _Toc33534632 \h </w:instrText>
      </w:r>
      <w:r>
        <w:fldChar w:fldCharType="separate"/>
      </w:r>
      <w:r>
        <w:t>330</w:t>
      </w:r>
      <w:r>
        <w:fldChar w:fldCharType="end"/>
      </w:r>
    </w:p>
    <w:p>
      <w:pPr>
        <w:pStyle w:val="TOC8"/>
        <w:rPr>
          <w:rFonts w:asciiTheme="minorHAnsi" w:eastAsiaTheme="minorEastAsia" w:hAnsiTheme="minorHAnsi" w:cstheme="minorBidi"/>
          <w:szCs w:val="22"/>
        </w:rPr>
      </w:pPr>
      <w:r>
        <w:t>268.</w:t>
      </w:r>
      <w:r>
        <w:tab/>
        <w:t>Regulations for assessment of costs</w:t>
      </w:r>
      <w:r>
        <w:tab/>
      </w:r>
      <w:r>
        <w:fldChar w:fldCharType="begin"/>
      </w:r>
      <w:r>
        <w:instrText xml:space="preserve"> PAGEREF _Toc33534633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3 — Maximum costs</w:t>
      </w:r>
    </w:p>
    <w:p>
      <w:pPr>
        <w:pStyle w:val="TOC8"/>
        <w:rPr>
          <w:rFonts w:asciiTheme="minorHAnsi" w:eastAsiaTheme="minorEastAsia" w:hAnsiTheme="minorHAnsi" w:cstheme="minorBidi"/>
          <w:szCs w:val="22"/>
        </w:rPr>
      </w:pPr>
      <w:r>
        <w:t>269.</w:t>
      </w:r>
      <w:r>
        <w:tab/>
        <w:t>Costs Committee, membership of</w:t>
      </w:r>
      <w:r>
        <w:tab/>
      </w:r>
      <w:r>
        <w:fldChar w:fldCharType="begin"/>
      </w:r>
      <w:r>
        <w:instrText xml:space="preserve"> PAGEREF _Toc33534635 \h </w:instrText>
      </w:r>
      <w:r>
        <w:fldChar w:fldCharType="separate"/>
      </w:r>
      <w:r>
        <w:t>331</w:t>
      </w:r>
      <w:r>
        <w:fldChar w:fldCharType="end"/>
      </w:r>
    </w:p>
    <w:p>
      <w:pPr>
        <w:pStyle w:val="TOC8"/>
        <w:rPr>
          <w:rFonts w:asciiTheme="minorHAnsi" w:eastAsiaTheme="minorEastAsia" w:hAnsiTheme="minorHAnsi" w:cstheme="minorBidi"/>
          <w:szCs w:val="22"/>
        </w:rPr>
      </w:pPr>
      <w:r>
        <w:t>270A.</w:t>
      </w:r>
      <w:r>
        <w:tab/>
        <w:t>Remuneration of Committee members</w:t>
      </w:r>
      <w:r>
        <w:tab/>
      </w:r>
      <w:r>
        <w:fldChar w:fldCharType="begin"/>
      </w:r>
      <w:r>
        <w:instrText xml:space="preserve"> PAGEREF _Toc33534636 \h </w:instrText>
      </w:r>
      <w:r>
        <w:fldChar w:fldCharType="separate"/>
      </w:r>
      <w:r>
        <w:t>332</w:t>
      </w:r>
      <w:r>
        <w:fldChar w:fldCharType="end"/>
      </w:r>
    </w:p>
    <w:p>
      <w:pPr>
        <w:pStyle w:val="TOC8"/>
        <w:rPr>
          <w:rFonts w:asciiTheme="minorHAnsi" w:eastAsiaTheme="minorEastAsia" w:hAnsiTheme="minorHAnsi" w:cstheme="minorBidi"/>
          <w:szCs w:val="22"/>
        </w:rPr>
      </w:pPr>
      <w:r>
        <w:t>270.</w:t>
      </w:r>
      <w:r>
        <w:tab/>
        <w:t>Constitution and procedure of Costs Committee</w:t>
      </w:r>
      <w:r>
        <w:tab/>
      </w:r>
      <w:r>
        <w:fldChar w:fldCharType="begin"/>
      </w:r>
      <w:r>
        <w:instrText xml:space="preserve"> PAGEREF _Toc33534637 \h </w:instrText>
      </w:r>
      <w:r>
        <w:fldChar w:fldCharType="separate"/>
      </w:r>
      <w:r>
        <w:t>332</w:t>
      </w:r>
      <w:r>
        <w:fldChar w:fldCharType="end"/>
      </w:r>
    </w:p>
    <w:p>
      <w:pPr>
        <w:pStyle w:val="TOC8"/>
        <w:rPr>
          <w:rFonts w:asciiTheme="minorHAnsi" w:eastAsiaTheme="minorEastAsia" w:hAnsiTheme="minorHAnsi" w:cstheme="minorBidi"/>
          <w:szCs w:val="22"/>
        </w:rPr>
      </w:pPr>
      <w:r>
        <w:t>271.</w:t>
      </w:r>
      <w:r>
        <w:tab/>
        <w:t>Determinations as to maximum costs</w:t>
      </w:r>
      <w:r>
        <w:tab/>
      </w:r>
      <w:r>
        <w:fldChar w:fldCharType="begin"/>
      </w:r>
      <w:r>
        <w:instrText xml:space="preserve"> PAGEREF _Toc33534638 \h </w:instrText>
      </w:r>
      <w:r>
        <w:fldChar w:fldCharType="separate"/>
      </w:r>
      <w:r>
        <w:t>332</w:t>
      </w:r>
      <w:r>
        <w:fldChar w:fldCharType="end"/>
      </w:r>
    </w:p>
    <w:p>
      <w:pPr>
        <w:pStyle w:val="TOC8"/>
        <w:rPr>
          <w:rFonts w:asciiTheme="minorHAnsi" w:eastAsiaTheme="minorEastAsia" w:hAnsiTheme="minorHAnsi" w:cstheme="minorBidi"/>
          <w:szCs w:val="22"/>
        </w:rPr>
      </w:pPr>
      <w:r>
        <w:t>272.</w:t>
      </w:r>
      <w:r>
        <w:tab/>
        <w:t>Making determinations</w:t>
      </w:r>
      <w:r>
        <w:tab/>
      </w:r>
      <w:r>
        <w:fldChar w:fldCharType="begin"/>
      </w:r>
      <w:r>
        <w:instrText xml:space="preserve"> PAGEREF _Toc33534639 \h </w:instrText>
      </w:r>
      <w:r>
        <w:fldChar w:fldCharType="separate"/>
      </w:r>
      <w:r>
        <w:t>333</w:t>
      </w:r>
      <w:r>
        <w:fldChar w:fldCharType="end"/>
      </w:r>
    </w:p>
    <w:p>
      <w:pPr>
        <w:pStyle w:val="TOC8"/>
        <w:rPr>
          <w:rFonts w:asciiTheme="minorHAnsi" w:eastAsiaTheme="minorEastAsia" w:hAnsiTheme="minorHAnsi" w:cstheme="minorBidi"/>
          <w:szCs w:val="22"/>
        </w:rPr>
      </w:pPr>
      <w:r>
        <w:t>273.</w:t>
      </w:r>
      <w:r>
        <w:tab/>
        <w:t>Approval and publication of determinations</w:t>
      </w:r>
      <w:r>
        <w:tab/>
      </w:r>
      <w:r>
        <w:fldChar w:fldCharType="begin"/>
      </w:r>
      <w:r>
        <w:instrText xml:space="preserve"> PAGEREF _Toc33534640 \h </w:instrText>
      </w:r>
      <w:r>
        <w:fldChar w:fldCharType="separate"/>
      </w:r>
      <w:r>
        <w:t>334</w:t>
      </w:r>
      <w:r>
        <w:fldChar w:fldCharType="end"/>
      </w:r>
    </w:p>
    <w:p>
      <w:pPr>
        <w:pStyle w:val="TOC8"/>
        <w:rPr>
          <w:rFonts w:asciiTheme="minorHAnsi" w:eastAsiaTheme="minorEastAsia" w:hAnsiTheme="minorHAnsi" w:cstheme="minorBidi"/>
          <w:szCs w:val="22"/>
        </w:rPr>
      </w:pPr>
      <w:r>
        <w:t>274.</w:t>
      </w:r>
      <w:r>
        <w:tab/>
        <w:t>Effect of costs determinations</w:t>
      </w:r>
      <w:r>
        <w:tab/>
      </w:r>
      <w:r>
        <w:fldChar w:fldCharType="begin"/>
      </w:r>
      <w:r>
        <w:instrText xml:space="preserve"> PAGEREF _Toc33534641 \h </w:instrText>
      </w:r>
      <w:r>
        <w:fldChar w:fldCharType="separate"/>
      </w:r>
      <w:r>
        <w:t>334</w:t>
      </w:r>
      <w:r>
        <w:fldChar w:fldCharType="end"/>
      </w:r>
    </w:p>
    <w:p>
      <w:pPr>
        <w:pStyle w:val="TOC8"/>
        <w:rPr>
          <w:rFonts w:asciiTheme="minorHAnsi" w:eastAsiaTheme="minorEastAsia" w:hAnsiTheme="minorHAnsi" w:cstheme="minorBidi"/>
          <w:szCs w:val="22"/>
        </w:rPr>
      </w:pPr>
      <w:r>
        <w:t>275.</w:t>
      </w:r>
      <w:r>
        <w:tab/>
        <w:t>Agreement as to costs, limits on</w:t>
      </w:r>
      <w:r>
        <w:tab/>
      </w:r>
      <w:r>
        <w:fldChar w:fldCharType="begin"/>
      </w:r>
      <w:r>
        <w:instrText xml:space="preserve"> PAGEREF _Toc33534642 \h </w:instrText>
      </w:r>
      <w:r>
        <w:fldChar w:fldCharType="separate"/>
      </w:r>
      <w:r>
        <w:t>335</w:t>
      </w:r>
      <w:r>
        <w:fldChar w:fldCharType="end"/>
      </w:r>
    </w:p>
    <w:p>
      <w:pPr>
        <w:pStyle w:val="TOC8"/>
        <w:rPr>
          <w:rFonts w:asciiTheme="minorHAnsi" w:eastAsiaTheme="minorEastAsia" w:hAnsiTheme="minorHAnsi" w:cstheme="minorBidi"/>
          <w:szCs w:val="22"/>
        </w:rPr>
      </w:pPr>
      <w:r>
        <w:t>276.</w:t>
      </w:r>
      <w:r>
        <w:tab/>
        <w:t>Division does not affect s. 87 in relation to Part IV actions</w:t>
      </w:r>
      <w:r>
        <w:tab/>
      </w:r>
      <w:r>
        <w:fldChar w:fldCharType="begin"/>
      </w:r>
      <w:r>
        <w:instrText xml:space="preserve"> PAGEREF _Toc33534643 \h </w:instrText>
      </w:r>
      <w:r>
        <w:fldChar w:fldCharType="separate"/>
      </w:r>
      <w:r>
        <w:t>335</w:t>
      </w:r>
      <w:r>
        <w:fldChar w:fldCharType="end"/>
      </w:r>
    </w:p>
    <w:p>
      <w:pPr>
        <w:pStyle w:val="TOC2"/>
        <w:tabs>
          <w:tab w:val="right" w:leader="dot" w:pos="7077"/>
        </w:tabs>
        <w:rPr>
          <w:rFonts w:asciiTheme="minorHAnsi" w:eastAsiaTheme="minorEastAsia" w:hAnsiTheme="minorHAnsi" w:cstheme="minorBidi"/>
          <w:b w:val="0"/>
          <w:sz w:val="22"/>
          <w:szCs w:val="22"/>
        </w:rPr>
      </w:pPr>
      <w:r>
        <w:t>Part XVI — Registered agents</w:t>
      </w:r>
    </w:p>
    <w:p>
      <w:pPr>
        <w:pStyle w:val="TOC8"/>
        <w:rPr>
          <w:rFonts w:asciiTheme="minorHAnsi" w:eastAsiaTheme="minorEastAsia" w:hAnsiTheme="minorHAnsi" w:cstheme="minorBidi"/>
          <w:szCs w:val="22"/>
        </w:rPr>
      </w:pPr>
      <w:r>
        <w:t>277.</w:t>
      </w:r>
      <w:r>
        <w:tab/>
        <w:t>Registration of agents</w:t>
      </w:r>
      <w:r>
        <w:tab/>
      </w:r>
      <w:r>
        <w:fldChar w:fldCharType="begin"/>
      </w:r>
      <w:r>
        <w:instrText xml:space="preserve"> PAGEREF _Toc33534645 \h </w:instrText>
      </w:r>
      <w:r>
        <w:fldChar w:fldCharType="separate"/>
      </w:r>
      <w:r>
        <w:t>336</w:t>
      </w:r>
      <w:r>
        <w:fldChar w:fldCharType="end"/>
      </w:r>
    </w:p>
    <w:p>
      <w:pPr>
        <w:pStyle w:val="TOC2"/>
        <w:tabs>
          <w:tab w:val="right" w:leader="dot" w:pos="7077"/>
        </w:tabs>
        <w:rPr>
          <w:rFonts w:asciiTheme="minorHAnsi" w:eastAsiaTheme="minorEastAsia" w:hAnsiTheme="minorHAnsi" w:cstheme="minorBidi"/>
          <w:b w:val="0"/>
          <w:sz w:val="22"/>
          <w:szCs w:val="22"/>
        </w:rPr>
      </w:pPr>
      <w:r>
        <w:t>Part XVIII — Regulations, rules and practice notes</w:t>
      </w:r>
    </w:p>
    <w:p>
      <w:pPr>
        <w:pStyle w:val="TOC8"/>
        <w:rPr>
          <w:rFonts w:asciiTheme="minorHAnsi" w:eastAsiaTheme="minorEastAsia" w:hAnsiTheme="minorHAnsi" w:cstheme="minorBidi"/>
          <w:szCs w:val="22"/>
        </w:rPr>
      </w:pPr>
      <w:r>
        <w:t>292.</w:t>
      </w:r>
      <w:r>
        <w:tab/>
        <w:t>Regulations</w:t>
      </w:r>
      <w:r>
        <w:tab/>
      </w:r>
      <w:r>
        <w:fldChar w:fldCharType="begin"/>
      </w:r>
      <w:r>
        <w:instrText xml:space="preserve"> PAGEREF _Toc33534647 \h </w:instrText>
      </w:r>
      <w:r>
        <w:fldChar w:fldCharType="separate"/>
      </w:r>
      <w:r>
        <w:t>338</w:t>
      </w:r>
      <w:r>
        <w:fldChar w:fldCharType="end"/>
      </w:r>
    </w:p>
    <w:p>
      <w:pPr>
        <w:pStyle w:val="TOC8"/>
        <w:rPr>
          <w:rFonts w:asciiTheme="minorHAnsi" w:eastAsiaTheme="minorEastAsia" w:hAnsiTheme="minorHAnsi" w:cstheme="minorBidi"/>
          <w:szCs w:val="22"/>
        </w:rPr>
      </w:pPr>
      <w:r>
        <w:t>293A.</w:t>
      </w:r>
      <w:r>
        <w:tab/>
        <w:t>Conciliation rules</w:t>
      </w:r>
      <w:r>
        <w:tab/>
      </w:r>
      <w:r>
        <w:fldChar w:fldCharType="begin"/>
      </w:r>
      <w:r>
        <w:instrText xml:space="preserve"> PAGEREF _Toc33534648 \h </w:instrText>
      </w:r>
      <w:r>
        <w:fldChar w:fldCharType="separate"/>
      </w:r>
      <w:r>
        <w:t>340</w:t>
      </w:r>
      <w:r>
        <w:fldChar w:fldCharType="end"/>
      </w:r>
    </w:p>
    <w:p>
      <w:pPr>
        <w:pStyle w:val="TOC8"/>
        <w:rPr>
          <w:rFonts w:asciiTheme="minorHAnsi" w:eastAsiaTheme="minorEastAsia" w:hAnsiTheme="minorHAnsi" w:cstheme="minorBidi"/>
          <w:szCs w:val="22"/>
        </w:rPr>
      </w:pPr>
      <w:r>
        <w:t>293B.</w:t>
      </w:r>
      <w:r>
        <w:tab/>
        <w:t>Arbitration rules</w:t>
      </w:r>
      <w:r>
        <w:tab/>
      </w:r>
      <w:r>
        <w:fldChar w:fldCharType="begin"/>
      </w:r>
      <w:r>
        <w:instrText xml:space="preserve"> PAGEREF _Toc33534649 \h </w:instrText>
      </w:r>
      <w:r>
        <w:fldChar w:fldCharType="separate"/>
      </w:r>
      <w:r>
        <w:t>341</w:t>
      </w:r>
      <w:r>
        <w:fldChar w:fldCharType="end"/>
      </w:r>
    </w:p>
    <w:p>
      <w:pPr>
        <w:pStyle w:val="TOC8"/>
        <w:rPr>
          <w:rFonts w:asciiTheme="minorHAnsi" w:eastAsiaTheme="minorEastAsia" w:hAnsiTheme="minorHAnsi" w:cstheme="minorBidi"/>
          <w:szCs w:val="22"/>
        </w:rPr>
      </w:pPr>
      <w:r>
        <w:t>293.</w:t>
      </w:r>
      <w:r>
        <w:tab/>
      </w:r>
      <w:r>
        <w:rPr>
          <w:bCs/>
        </w:rPr>
        <w:t>General provisions about rules</w:t>
      </w:r>
      <w:r>
        <w:tab/>
      </w:r>
      <w:r>
        <w:fldChar w:fldCharType="begin"/>
      </w:r>
      <w:r>
        <w:instrText xml:space="preserve"> PAGEREF _Toc33534650 \h </w:instrText>
      </w:r>
      <w:r>
        <w:fldChar w:fldCharType="separate"/>
      </w:r>
      <w:r>
        <w:t>342</w:t>
      </w:r>
      <w:r>
        <w:fldChar w:fldCharType="end"/>
      </w:r>
    </w:p>
    <w:p>
      <w:pPr>
        <w:pStyle w:val="TOC8"/>
        <w:rPr>
          <w:rFonts w:asciiTheme="minorHAnsi" w:eastAsiaTheme="minorEastAsia" w:hAnsiTheme="minorHAnsi" w:cstheme="minorBidi"/>
          <w:szCs w:val="22"/>
        </w:rPr>
      </w:pPr>
      <w:r>
        <w:t>294.</w:t>
      </w:r>
      <w:r>
        <w:tab/>
        <w:t>Practice notes</w:t>
      </w:r>
      <w:r>
        <w:tab/>
      </w:r>
      <w:r>
        <w:fldChar w:fldCharType="begin"/>
      </w:r>
      <w:r>
        <w:instrText xml:space="preserve"> PAGEREF _Toc33534651 \h </w:instrText>
      </w:r>
      <w:r>
        <w:fldChar w:fldCharType="separate"/>
      </w:r>
      <w:r>
        <w:t>343</w:t>
      </w:r>
      <w:r>
        <w:fldChar w:fldCharType="end"/>
      </w:r>
    </w:p>
    <w:p>
      <w:pPr>
        <w:pStyle w:val="TOC2"/>
        <w:tabs>
          <w:tab w:val="right" w:leader="dot" w:pos="7077"/>
        </w:tabs>
        <w:rPr>
          <w:rFonts w:asciiTheme="minorHAnsi" w:eastAsiaTheme="minorEastAsia" w:hAnsiTheme="minorHAnsi" w:cstheme="minorBidi"/>
          <w:b w:val="0"/>
          <w:sz w:val="22"/>
          <w:szCs w:val="22"/>
        </w:rPr>
      </w:pPr>
      <w:r>
        <w:t>Part XIX — Miscellaneous</w:t>
      </w:r>
    </w:p>
    <w:p>
      <w:pPr>
        <w:pStyle w:val="TOC8"/>
        <w:rPr>
          <w:rFonts w:asciiTheme="minorHAnsi" w:eastAsiaTheme="minorEastAsia" w:hAnsiTheme="minorHAnsi" w:cstheme="minorBidi"/>
          <w:szCs w:val="22"/>
        </w:rPr>
      </w:pPr>
      <w:r>
        <w:t>295</w:t>
      </w:r>
      <w:r>
        <w:rPr>
          <w:snapToGrid w:val="0"/>
        </w:rPr>
        <w:t>.</w:t>
      </w:r>
      <w:r>
        <w:rPr>
          <w:snapToGrid w:val="0"/>
        </w:rPr>
        <w:tab/>
        <w:t>WorkCover WA’s staff etc.</w:t>
      </w:r>
      <w:r>
        <w:tab/>
      </w:r>
      <w:r>
        <w:fldChar w:fldCharType="begin"/>
      </w:r>
      <w:r>
        <w:instrText xml:space="preserve"> PAGEREF _Toc33534653 \h </w:instrText>
      </w:r>
      <w:r>
        <w:fldChar w:fldCharType="separate"/>
      </w:r>
      <w:r>
        <w:t>344</w:t>
      </w:r>
      <w:r>
        <w:fldChar w:fldCharType="end"/>
      </w:r>
    </w:p>
    <w:p>
      <w:pPr>
        <w:pStyle w:val="TOC8"/>
        <w:rPr>
          <w:rFonts w:asciiTheme="minorHAnsi" w:eastAsiaTheme="minorEastAsia" w:hAnsiTheme="minorHAnsi" w:cstheme="minorBidi"/>
          <w:szCs w:val="22"/>
        </w:rPr>
      </w:pPr>
      <w:r>
        <w:t>296.</w:t>
      </w:r>
      <w:r>
        <w:tab/>
        <w:t>Delegation by chief executive officer</w:t>
      </w:r>
      <w:r>
        <w:tab/>
      </w:r>
      <w:r>
        <w:fldChar w:fldCharType="begin"/>
      </w:r>
      <w:r>
        <w:instrText xml:space="preserve"> PAGEREF _Toc33534654 \h </w:instrText>
      </w:r>
      <w:r>
        <w:fldChar w:fldCharType="separate"/>
      </w:r>
      <w:r>
        <w:t>344</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Agreements and receipts under this Act exempt from duty</w:t>
      </w:r>
      <w:r>
        <w:tab/>
      </w:r>
      <w:r>
        <w:fldChar w:fldCharType="begin"/>
      </w:r>
      <w:r>
        <w:instrText xml:space="preserve"> PAGEREF _Toc33534655 \h </w:instrText>
      </w:r>
      <w:r>
        <w:fldChar w:fldCharType="separate"/>
      </w:r>
      <w:r>
        <w:t>345</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Ships, detention of</w:t>
      </w:r>
      <w:r>
        <w:tab/>
      </w:r>
      <w:r>
        <w:fldChar w:fldCharType="begin"/>
      </w:r>
      <w:r>
        <w:instrText xml:space="preserve"> PAGEREF _Toc33534656 \h </w:instrText>
      </w:r>
      <w:r>
        <w:fldChar w:fldCharType="separate"/>
      </w:r>
      <w:r>
        <w:t>345</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Judicial notice</w:t>
      </w:r>
      <w:r>
        <w:tab/>
      </w:r>
      <w:r>
        <w:fldChar w:fldCharType="begin"/>
      </w:r>
      <w:r>
        <w:instrText xml:space="preserve"> PAGEREF _Toc33534657 \h </w:instrText>
      </w:r>
      <w:r>
        <w:fldChar w:fldCharType="separate"/>
      </w:r>
      <w:r>
        <w:t>346</w:t>
      </w:r>
      <w:r>
        <w:fldChar w:fldCharType="end"/>
      </w:r>
    </w:p>
    <w:p>
      <w:pPr>
        <w:pStyle w:val="TOC8"/>
        <w:rPr>
          <w:rFonts w:asciiTheme="minorHAnsi" w:eastAsiaTheme="minorEastAsia" w:hAnsiTheme="minorHAnsi" w:cstheme="minorBidi"/>
          <w:szCs w:val="22"/>
        </w:rPr>
      </w:pPr>
      <w:r>
        <w:t>300.</w:t>
      </w:r>
      <w:r>
        <w:tab/>
        <w:t>District Court to give information to WorkCover WA</w:t>
      </w:r>
      <w:r>
        <w:tab/>
      </w:r>
      <w:r>
        <w:fldChar w:fldCharType="begin"/>
      </w:r>
      <w:r>
        <w:instrText xml:space="preserve"> PAGEREF _Toc33534658 \h </w:instrText>
      </w:r>
      <w:r>
        <w:fldChar w:fldCharType="separate"/>
      </w:r>
      <w:r>
        <w:t>347</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Contracting out prohibited</w:t>
      </w:r>
      <w:r>
        <w:tab/>
      </w:r>
      <w:r>
        <w:fldChar w:fldCharType="begin"/>
      </w:r>
      <w:r>
        <w:instrText xml:space="preserve"> PAGEREF _Toc33534659 \h </w:instrText>
      </w:r>
      <w:r>
        <w:fldChar w:fldCharType="separate"/>
      </w:r>
      <w:r>
        <w:t>347</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Deductions from wages towards compensation not lawful</w:t>
      </w:r>
      <w:r>
        <w:tab/>
      </w:r>
      <w:r>
        <w:fldChar w:fldCharType="begin"/>
      </w:r>
      <w:r>
        <w:instrText xml:space="preserve"> PAGEREF _Toc33534660 \h </w:instrText>
      </w:r>
      <w:r>
        <w:fldChar w:fldCharType="separate"/>
      </w:r>
      <w:r>
        <w:t>347</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Compensation payments not assignable</w:t>
      </w:r>
      <w:r>
        <w:tab/>
      </w:r>
      <w:r>
        <w:fldChar w:fldCharType="begin"/>
      </w:r>
      <w:r>
        <w:instrText xml:space="preserve"> PAGEREF _Toc33534661 \h </w:instrText>
      </w:r>
      <w:r>
        <w:fldChar w:fldCharType="separate"/>
      </w:r>
      <w:r>
        <w:t>348</w:t>
      </w:r>
      <w:r>
        <w:fldChar w:fldCharType="end"/>
      </w:r>
    </w:p>
    <w:p>
      <w:pPr>
        <w:pStyle w:val="TOC8"/>
        <w:rPr>
          <w:rFonts w:asciiTheme="minorHAnsi" w:eastAsiaTheme="minorEastAsia" w:hAnsiTheme="minorHAnsi" w:cstheme="minorBidi"/>
          <w:szCs w:val="22"/>
        </w:rPr>
      </w:pPr>
      <w:r>
        <w:t>303A.</w:t>
      </w:r>
      <w:r>
        <w:tab/>
        <w:t>Making employment conditional on avoidance arrangement</w:t>
      </w:r>
      <w:r>
        <w:tab/>
      </w:r>
      <w:r>
        <w:fldChar w:fldCharType="begin"/>
      </w:r>
      <w:r>
        <w:instrText xml:space="preserve"> PAGEREF _Toc33534662 \h </w:instrText>
      </w:r>
      <w:r>
        <w:fldChar w:fldCharType="separate"/>
      </w:r>
      <w:r>
        <w:t>348</w:t>
      </w:r>
      <w:r>
        <w:fldChar w:fldCharType="end"/>
      </w:r>
    </w:p>
    <w:p>
      <w:pPr>
        <w:pStyle w:val="TOC8"/>
        <w:rPr>
          <w:rFonts w:asciiTheme="minorHAnsi" w:eastAsiaTheme="minorEastAsia" w:hAnsiTheme="minorHAnsi" w:cstheme="minorBidi"/>
          <w:szCs w:val="22"/>
        </w:rPr>
      </w:pPr>
      <w:r>
        <w:t>304.</w:t>
      </w:r>
      <w:r>
        <w:tab/>
        <w:t>Protection from personal liability</w:t>
      </w:r>
      <w:r>
        <w:tab/>
      </w:r>
      <w:r>
        <w:fldChar w:fldCharType="begin"/>
      </w:r>
      <w:r>
        <w:instrText xml:space="preserve"> PAGEREF _Toc33534663 \h </w:instrText>
      </w:r>
      <w:r>
        <w:fldChar w:fldCharType="separate"/>
      </w:r>
      <w:r>
        <w:t>349</w:t>
      </w:r>
      <w:r>
        <w:fldChar w:fldCharType="end"/>
      </w:r>
    </w:p>
    <w:p>
      <w:pPr>
        <w:pStyle w:val="TOC8"/>
        <w:rPr>
          <w:rFonts w:asciiTheme="minorHAnsi" w:eastAsiaTheme="minorEastAsia" w:hAnsiTheme="minorHAnsi" w:cstheme="minorBidi"/>
          <w:szCs w:val="22"/>
        </w:rPr>
      </w:pPr>
      <w:r>
        <w:t>305.</w:t>
      </w:r>
      <w:r>
        <w:tab/>
        <w:t>Immunity of conciliation officers, arbitrators etc.</w:t>
      </w:r>
      <w:r>
        <w:tab/>
      </w:r>
      <w:r>
        <w:fldChar w:fldCharType="begin"/>
      </w:r>
      <w:r>
        <w:instrText xml:space="preserve"> PAGEREF _Toc33534664 \h </w:instrText>
      </w:r>
      <w:r>
        <w:fldChar w:fldCharType="separate"/>
      </w:r>
      <w:r>
        <w:t>350</w:t>
      </w:r>
      <w:r>
        <w:fldChar w:fldCharType="end"/>
      </w:r>
    </w:p>
    <w:p>
      <w:pPr>
        <w:pStyle w:val="TOC8"/>
        <w:rPr>
          <w:rFonts w:asciiTheme="minorHAnsi" w:eastAsiaTheme="minorEastAsia" w:hAnsiTheme="minorHAnsi" w:cstheme="minorBidi"/>
          <w:szCs w:val="22"/>
        </w:rPr>
      </w:pPr>
      <w:r>
        <w:t>306.</w:t>
      </w:r>
      <w:r>
        <w:tab/>
        <w:t>Protection for compliance with this Act</w:t>
      </w:r>
      <w:r>
        <w:tab/>
      </w:r>
      <w:r>
        <w:fldChar w:fldCharType="begin"/>
      </w:r>
      <w:r>
        <w:instrText xml:space="preserve"> PAGEREF _Toc33534665 \h </w:instrText>
      </w:r>
      <w:r>
        <w:fldChar w:fldCharType="separate"/>
      </w:r>
      <w:r>
        <w:t>350</w:t>
      </w:r>
      <w:r>
        <w:fldChar w:fldCharType="end"/>
      </w:r>
    </w:p>
    <w:p>
      <w:pPr>
        <w:pStyle w:val="TOC8"/>
        <w:rPr>
          <w:rFonts w:asciiTheme="minorHAnsi" w:eastAsiaTheme="minorEastAsia" w:hAnsiTheme="minorHAnsi" w:cstheme="minorBidi"/>
          <w:szCs w:val="22"/>
        </w:rPr>
      </w:pPr>
      <w:r>
        <w:t>307.</w:t>
      </w:r>
      <w:r>
        <w:tab/>
        <w:t>Protection from liability for publishing decisions etc. of dispute resolution authority</w:t>
      </w:r>
      <w:r>
        <w:tab/>
      </w:r>
      <w:r>
        <w:fldChar w:fldCharType="begin"/>
      </w:r>
      <w:r>
        <w:instrText xml:space="preserve"> PAGEREF _Toc33534666 \h </w:instrText>
      </w:r>
      <w:r>
        <w:fldChar w:fldCharType="separate"/>
      </w:r>
      <w:r>
        <w:t>351</w:t>
      </w:r>
      <w:r>
        <w:fldChar w:fldCharType="end"/>
      </w:r>
    </w:p>
    <w:p>
      <w:pPr>
        <w:pStyle w:val="TOC8"/>
        <w:rPr>
          <w:rFonts w:asciiTheme="minorHAnsi" w:eastAsiaTheme="minorEastAsia" w:hAnsiTheme="minorHAnsi" w:cstheme="minorBidi"/>
          <w:szCs w:val="22"/>
        </w:rPr>
      </w:pPr>
      <w:r>
        <w:t>308</w:t>
      </w:r>
      <w:r>
        <w:rPr>
          <w:snapToGrid w:val="0"/>
        </w:rPr>
        <w:t>.</w:t>
      </w:r>
      <w:r>
        <w:rPr>
          <w:snapToGrid w:val="0"/>
        </w:rPr>
        <w:tab/>
        <w:t>Fraud</w:t>
      </w:r>
      <w:r>
        <w:tab/>
      </w:r>
      <w:r>
        <w:fldChar w:fldCharType="begin"/>
      </w:r>
      <w:r>
        <w:instrText xml:space="preserve"> PAGEREF _Toc33534667 \h </w:instrText>
      </w:r>
      <w:r>
        <w:fldChar w:fldCharType="separate"/>
      </w:r>
      <w:r>
        <w:t>351</w:t>
      </w:r>
      <w:r>
        <w:fldChar w:fldCharType="end"/>
      </w:r>
    </w:p>
    <w:p>
      <w:pPr>
        <w:pStyle w:val="TOC8"/>
        <w:rPr>
          <w:rFonts w:asciiTheme="minorHAnsi" w:eastAsiaTheme="minorEastAsia" w:hAnsiTheme="minorHAnsi" w:cstheme="minorBidi"/>
          <w:szCs w:val="22"/>
        </w:rPr>
      </w:pPr>
      <w:r>
        <w:t>309.</w:t>
      </w:r>
      <w:r>
        <w:tab/>
        <w:t>Who can prosecute offences</w:t>
      </w:r>
      <w:r>
        <w:tab/>
      </w:r>
      <w:r>
        <w:fldChar w:fldCharType="begin"/>
      </w:r>
      <w:r>
        <w:instrText xml:space="preserve"> PAGEREF _Toc33534668 \h </w:instrText>
      </w:r>
      <w:r>
        <w:fldChar w:fldCharType="separate"/>
      </w:r>
      <w:r>
        <w:t>351</w:t>
      </w:r>
      <w:r>
        <w:fldChar w:fldCharType="end"/>
      </w:r>
    </w:p>
    <w:p>
      <w:pPr>
        <w:pStyle w:val="TOC8"/>
        <w:rPr>
          <w:rFonts w:asciiTheme="minorHAnsi" w:eastAsiaTheme="minorEastAsia" w:hAnsiTheme="minorHAnsi" w:cstheme="minorBidi"/>
          <w:szCs w:val="22"/>
        </w:rPr>
      </w:pPr>
      <w:r>
        <w:t>310.</w:t>
      </w:r>
      <w:r>
        <w:tab/>
        <w:t>Time limit for prosecutions</w:t>
      </w:r>
      <w:r>
        <w:tab/>
      </w:r>
      <w:r>
        <w:fldChar w:fldCharType="begin"/>
      </w:r>
      <w:r>
        <w:instrText xml:space="preserve"> PAGEREF _Toc33534669 \h </w:instrText>
      </w:r>
      <w:r>
        <w:fldChar w:fldCharType="separate"/>
      </w:r>
      <w:r>
        <w:t>352</w:t>
      </w:r>
      <w:r>
        <w:fldChar w:fldCharType="end"/>
      </w:r>
    </w:p>
    <w:p>
      <w:pPr>
        <w:pStyle w:val="TOC8"/>
        <w:rPr>
          <w:rFonts w:asciiTheme="minorHAnsi" w:eastAsiaTheme="minorEastAsia" w:hAnsiTheme="minorHAnsi" w:cstheme="minorBidi"/>
          <w:szCs w:val="22"/>
        </w:rPr>
      </w:pPr>
      <w:r>
        <w:t>311</w:t>
      </w:r>
      <w:r>
        <w:rPr>
          <w:snapToGrid w:val="0"/>
        </w:rPr>
        <w:t>.</w:t>
      </w:r>
      <w:r>
        <w:rPr>
          <w:snapToGrid w:val="0"/>
        </w:rPr>
        <w:tab/>
        <w:t>General penalty</w:t>
      </w:r>
      <w:r>
        <w:tab/>
      </w:r>
      <w:r>
        <w:fldChar w:fldCharType="begin"/>
      </w:r>
      <w:r>
        <w:instrText xml:space="preserve"> PAGEREF _Toc33534670 \h </w:instrText>
      </w:r>
      <w:r>
        <w:fldChar w:fldCharType="separate"/>
      </w:r>
      <w:r>
        <w:t>352</w:t>
      </w:r>
      <w:r>
        <w:fldChar w:fldCharType="end"/>
      </w:r>
    </w:p>
    <w:p>
      <w:pPr>
        <w:pStyle w:val="TOC8"/>
        <w:rPr>
          <w:rFonts w:asciiTheme="minorHAnsi" w:eastAsiaTheme="minorEastAsia" w:hAnsiTheme="minorHAnsi" w:cstheme="minorBidi"/>
          <w:szCs w:val="22"/>
        </w:rPr>
      </w:pPr>
      <w:r>
        <w:t>312</w:t>
      </w:r>
      <w:r>
        <w:rPr>
          <w:snapToGrid w:val="0"/>
        </w:rPr>
        <w:t>.</w:t>
      </w:r>
      <w:r>
        <w:rPr>
          <w:snapToGrid w:val="0"/>
        </w:rPr>
        <w:tab/>
        <w:t>Fines, application of</w:t>
      </w:r>
      <w:r>
        <w:tab/>
      </w:r>
      <w:r>
        <w:fldChar w:fldCharType="begin"/>
      </w:r>
      <w:r>
        <w:instrText xml:space="preserve"> PAGEREF _Toc33534671 \h </w:instrText>
      </w:r>
      <w:r>
        <w:fldChar w:fldCharType="separate"/>
      </w:r>
      <w:r>
        <w:t>352</w:t>
      </w:r>
      <w:r>
        <w:fldChar w:fldCharType="end"/>
      </w:r>
    </w:p>
    <w:p>
      <w:pPr>
        <w:pStyle w:val="TOC8"/>
        <w:rPr>
          <w:rFonts w:asciiTheme="minorHAnsi" w:eastAsiaTheme="minorEastAsia" w:hAnsiTheme="minorHAnsi" w:cstheme="minorBidi"/>
          <w:szCs w:val="22"/>
        </w:rPr>
      </w:pPr>
      <w:r>
        <w:t>313</w:t>
      </w:r>
      <w:r>
        <w:rPr>
          <w:snapToGrid w:val="0"/>
        </w:rPr>
        <w:t>.</w:t>
      </w:r>
      <w:r>
        <w:rPr>
          <w:snapToGrid w:val="0"/>
        </w:rPr>
        <w:tab/>
        <w:t>Offences under Acts about workplace safety not affected</w:t>
      </w:r>
      <w:r>
        <w:tab/>
      </w:r>
      <w:r>
        <w:fldChar w:fldCharType="begin"/>
      </w:r>
      <w:r>
        <w:instrText xml:space="preserve"> PAGEREF _Toc33534672 \h </w:instrText>
      </w:r>
      <w:r>
        <w:fldChar w:fldCharType="separate"/>
      </w:r>
      <w:r>
        <w:t>352</w:t>
      </w:r>
      <w:r>
        <w:fldChar w:fldCharType="end"/>
      </w:r>
    </w:p>
    <w:p>
      <w:pPr>
        <w:pStyle w:val="TOC8"/>
        <w:rPr>
          <w:rFonts w:asciiTheme="minorHAnsi" w:eastAsiaTheme="minorEastAsia" w:hAnsiTheme="minorHAnsi" w:cstheme="minorBidi"/>
          <w:szCs w:val="22"/>
        </w:rPr>
      </w:pPr>
      <w:r>
        <w:t>314.</w:t>
      </w:r>
      <w:r>
        <w:tab/>
        <w:t>WorkCover WA may specify form of sending information</w:t>
      </w:r>
      <w:r>
        <w:tab/>
      </w:r>
      <w:r>
        <w:fldChar w:fldCharType="begin"/>
      </w:r>
      <w:r>
        <w:instrText xml:space="preserve"> PAGEREF _Toc33534673 \h </w:instrText>
      </w:r>
      <w:r>
        <w:fldChar w:fldCharType="separate"/>
      </w:r>
      <w:r>
        <w:t>353</w:t>
      </w:r>
      <w:r>
        <w:fldChar w:fldCharType="end"/>
      </w:r>
    </w:p>
    <w:p>
      <w:pPr>
        <w:pStyle w:val="TOC8"/>
        <w:rPr>
          <w:rFonts w:asciiTheme="minorHAnsi" w:eastAsiaTheme="minorEastAsia" w:hAnsiTheme="minorHAnsi" w:cstheme="minorBidi"/>
          <w:szCs w:val="22"/>
        </w:rPr>
      </w:pPr>
      <w:r>
        <w:t>315.</w:t>
      </w:r>
      <w:r>
        <w:tab/>
        <w:t>Prescribed amount and Amounts A and C, publication of</w:t>
      </w:r>
      <w:r>
        <w:tab/>
      </w:r>
      <w:r>
        <w:fldChar w:fldCharType="begin"/>
      </w:r>
      <w:r>
        <w:instrText xml:space="preserve"> PAGEREF _Toc33534674 \h </w:instrText>
      </w:r>
      <w:r>
        <w:fldChar w:fldCharType="separate"/>
      </w:r>
      <w:r>
        <w:t>353</w:t>
      </w:r>
      <w:r>
        <w:fldChar w:fldCharType="end"/>
      </w:r>
    </w:p>
    <w:p>
      <w:pPr>
        <w:pStyle w:val="TOC2"/>
        <w:tabs>
          <w:tab w:val="right" w:leader="dot" w:pos="7077"/>
        </w:tabs>
        <w:rPr>
          <w:rFonts w:asciiTheme="minorHAnsi" w:eastAsiaTheme="minorEastAsia" w:hAnsiTheme="minorHAnsi" w:cstheme="minorBidi"/>
          <w:b w:val="0"/>
          <w:sz w:val="22"/>
          <w:szCs w:val="22"/>
        </w:rPr>
      </w:pPr>
      <w:r>
        <w:t>Part XX — Repeal, savings, and transitional</w:t>
      </w:r>
    </w:p>
    <w:p>
      <w:pPr>
        <w:pStyle w:val="TOC8"/>
        <w:rPr>
          <w:rFonts w:asciiTheme="minorHAnsi" w:eastAsiaTheme="minorEastAsia" w:hAnsiTheme="minorHAnsi" w:cstheme="minorBidi"/>
          <w:szCs w:val="22"/>
        </w:rPr>
      </w:pPr>
      <w:r>
        <w:t>316</w:t>
      </w:r>
      <w:r>
        <w:rPr>
          <w:snapToGrid w:val="0"/>
        </w:rPr>
        <w:t>.</w:t>
      </w:r>
      <w:r>
        <w:rPr>
          <w:snapToGrid w:val="0"/>
        </w:rPr>
        <w:tab/>
        <w:t>Terms used</w:t>
      </w:r>
      <w:r>
        <w:tab/>
      </w:r>
      <w:r>
        <w:fldChar w:fldCharType="begin"/>
      </w:r>
      <w:r>
        <w:instrText xml:space="preserve"> PAGEREF _Toc33534676 \h </w:instrText>
      </w:r>
      <w:r>
        <w:fldChar w:fldCharType="separate"/>
      </w:r>
      <w:r>
        <w:t>354</w:t>
      </w:r>
      <w:r>
        <w:fldChar w:fldCharType="end"/>
      </w:r>
    </w:p>
    <w:p>
      <w:pPr>
        <w:pStyle w:val="TOC8"/>
        <w:rPr>
          <w:rFonts w:asciiTheme="minorHAnsi" w:eastAsiaTheme="minorEastAsia" w:hAnsiTheme="minorHAnsi" w:cstheme="minorBidi"/>
          <w:szCs w:val="22"/>
        </w:rPr>
      </w:pPr>
      <w:r>
        <w:t>317.</w:t>
      </w:r>
      <w:r>
        <w:tab/>
        <w:t>Repeal</w:t>
      </w:r>
      <w:r>
        <w:tab/>
      </w:r>
      <w:r>
        <w:fldChar w:fldCharType="begin"/>
      </w:r>
      <w:r>
        <w:instrText xml:space="preserve"> PAGEREF _Toc33534677 \h </w:instrText>
      </w:r>
      <w:r>
        <w:fldChar w:fldCharType="separate"/>
      </w:r>
      <w:r>
        <w:t>354</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r>
      <w:r>
        <w:rPr>
          <w:i/>
          <w:snapToGrid w:val="0"/>
        </w:rPr>
        <w:t>Interpretation Act 1918</w:t>
      </w:r>
      <w:r>
        <w:rPr>
          <w:snapToGrid w:val="0"/>
        </w:rPr>
        <w:t>, application of</w:t>
      </w:r>
      <w:r>
        <w:tab/>
      </w:r>
      <w:r>
        <w:fldChar w:fldCharType="begin"/>
      </w:r>
      <w:r>
        <w:instrText xml:space="preserve"> PAGEREF _Toc33534678 \h </w:instrText>
      </w:r>
      <w:r>
        <w:fldChar w:fldCharType="separate"/>
      </w:r>
      <w:r>
        <w:t>354</w:t>
      </w:r>
      <w:r>
        <w:fldChar w:fldCharType="end"/>
      </w:r>
    </w:p>
    <w:p>
      <w:pPr>
        <w:pStyle w:val="TOC8"/>
        <w:rPr>
          <w:rFonts w:asciiTheme="minorHAnsi" w:eastAsiaTheme="minorEastAsia" w:hAnsiTheme="minorHAnsi" w:cstheme="minorBidi"/>
          <w:szCs w:val="22"/>
        </w:rPr>
      </w:pPr>
      <w:r>
        <w:t>319</w:t>
      </w:r>
      <w:r>
        <w:rPr>
          <w:snapToGrid w:val="0"/>
        </w:rPr>
        <w:t>.</w:t>
      </w:r>
      <w:r>
        <w:rPr>
          <w:snapToGrid w:val="0"/>
        </w:rPr>
        <w:tab/>
        <w:t>Act does not renew liability or entitlement</w:t>
      </w:r>
      <w:r>
        <w:tab/>
      </w:r>
      <w:r>
        <w:fldChar w:fldCharType="begin"/>
      </w:r>
      <w:r>
        <w:instrText xml:space="preserve"> PAGEREF _Toc33534679 \h </w:instrText>
      </w:r>
      <w:r>
        <w:fldChar w:fldCharType="separate"/>
      </w:r>
      <w:r>
        <w:t>355</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Moneys paid under repealed Act taken into account</w:t>
      </w:r>
      <w:r>
        <w:tab/>
      </w:r>
      <w:r>
        <w:fldChar w:fldCharType="begin"/>
      </w:r>
      <w:r>
        <w:instrText xml:space="preserve"> PAGEREF _Toc33534680 \h </w:instrText>
      </w:r>
      <w:r>
        <w:fldChar w:fldCharType="separate"/>
      </w:r>
      <w:r>
        <w:t>355</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Compensation for Sch. 2 injuries</w:t>
      </w:r>
      <w:r>
        <w:tab/>
      </w:r>
      <w:r>
        <w:fldChar w:fldCharType="begin"/>
      </w:r>
      <w:r>
        <w:instrText xml:space="preserve"> PAGEREF _Toc33534681 \h </w:instrText>
      </w:r>
      <w:r>
        <w:fldChar w:fldCharType="separate"/>
      </w:r>
      <w:r>
        <w:t>355</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Child’s allowance</w:t>
      </w:r>
      <w:r>
        <w:tab/>
      </w:r>
      <w:r>
        <w:fldChar w:fldCharType="begin"/>
      </w:r>
      <w:r>
        <w:instrText xml:space="preserve"> PAGEREF _Toc33534682 \h </w:instrText>
      </w:r>
      <w:r>
        <w:fldChar w:fldCharType="separate"/>
      </w:r>
      <w:r>
        <w:t>356</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Continuation of office holders, agreements etc.</w:t>
      </w:r>
      <w:r>
        <w:tab/>
      </w:r>
      <w:r>
        <w:fldChar w:fldCharType="begin"/>
      </w:r>
      <w:r>
        <w:instrText xml:space="preserve"> PAGEREF _Toc33534683 \h </w:instrText>
      </w:r>
      <w:r>
        <w:fldChar w:fldCharType="separate"/>
      </w:r>
      <w:r>
        <w:t>356</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References to Board, Supplementary Board or officers</w:t>
      </w:r>
      <w:r>
        <w:tab/>
      </w:r>
      <w:r>
        <w:fldChar w:fldCharType="begin"/>
      </w:r>
      <w:r>
        <w:instrText xml:space="preserve"> PAGEREF _Toc33534684 \h </w:instrText>
      </w:r>
      <w:r>
        <w:fldChar w:fldCharType="separate"/>
      </w:r>
      <w:r>
        <w:t>358</w:t>
      </w:r>
      <w:r>
        <w:fldChar w:fldCharType="end"/>
      </w:r>
    </w:p>
    <w:p>
      <w:pPr>
        <w:pStyle w:val="TOC8"/>
        <w:rPr>
          <w:rFonts w:asciiTheme="minorHAnsi" w:eastAsiaTheme="minorEastAsia" w:hAnsiTheme="minorHAnsi" w:cstheme="minorBidi"/>
          <w:szCs w:val="22"/>
        </w:rPr>
      </w:pPr>
      <w:r>
        <w:t>325.</w:t>
      </w:r>
      <w:r>
        <w:tab/>
        <w:t>Transitional provisions (Sch. 8)</w:t>
      </w:r>
      <w:r>
        <w:tab/>
      </w:r>
      <w:r>
        <w:fldChar w:fldCharType="begin"/>
      </w:r>
      <w:r>
        <w:instrText xml:space="preserve"> PAGEREF _Toc33534685 \h </w:instrText>
      </w:r>
      <w:r>
        <w:fldChar w:fldCharType="separate"/>
      </w:r>
      <w:r>
        <w:t>359</w:t>
      </w:r>
      <w:r>
        <w:fldChar w:fldCharType="end"/>
      </w:r>
    </w:p>
    <w:p>
      <w:pPr>
        <w:pStyle w:val="TOC2"/>
        <w:tabs>
          <w:tab w:val="right" w:leader="dot" w:pos="7077"/>
        </w:tabs>
        <w:rPr>
          <w:rFonts w:asciiTheme="minorHAnsi" w:eastAsiaTheme="minorEastAsia" w:hAnsiTheme="minorHAnsi" w:cstheme="minorBidi"/>
          <w:b w:val="0"/>
          <w:sz w:val="22"/>
          <w:szCs w:val="22"/>
        </w:rPr>
      </w:pPr>
      <w:r>
        <w:t>Schedule 1 — Compensation entitlements</w:t>
      </w:r>
    </w:p>
    <w:p>
      <w:pPr>
        <w:pStyle w:val="TOC8"/>
        <w:rPr>
          <w:rFonts w:asciiTheme="minorHAnsi" w:eastAsiaTheme="minorEastAsia" w:hAnsiTheme="minorHAnsi" w:cstheme="minorBidi"/>
          <w:szCs w:val="22"/>
        </w:rPr>
      </w:pPr>
      <w:r>
        <w:t>7</w:t>
      </w:r>
      <w:r>
        <w:rPr>
          <w:snapToGrid w:val="0"/>
        </w:rPr>
        <w:t>.</w:t>
      </w:r>
      <w:r>
        <w:rPr>
          <w:snapToGrid w:val="0"/>
        </w:rPr>
        <w:tab/>
        <w:t>Total or partial incapacity</w:t>
      </w:r>
      <w:r>
        <w:tab/>
      </w:r>
      <w:r>
        <w:fldChar w:fldCharType="begin"/>
      </w:r>
      <w:r>
        <w:instrText xml:space="preserve"> PAGEREF _Toc33534687 \h </w:instrText>
      </w:r>
      <w:r>
        <w:fldChar w:fldCharType="separate"/>
      </w:r>
      <w:r>
        <w:t>361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Deemed total incapacity</w:t>
      </w:r>
      <w:r>
        <w:tab/>
      </w:r>
      <w:r>
        <w:fldChar w:fldCharType="begin"/>
      </w:r>
      <w:r>
        <w:instrText xml:space="preserve"> PAGEREF _Toc33534688 \h </w:instrText>
      </w:r>
      <w:r>
        <w:fldChar w:fldCharType="separate"/>
      </w:r>
      <w:r>
        <w:t>362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 incapacity — medical expenses</w:t>
      </w:r>
      <w:r>
        <w:tab/>
      </w:r>
      <w:r>
        <w:fldChar w:fldCharType="begin"/>
      </w:r>
      <w:r>
        <w:instrText xml:space="preserve"> PAGEREF _Toc33534689 \h </w:instrText>
      </w:r>
      <w:r>
        <w:fldChar w:fldCharType="separate"/>
      </w:r>
      <w:r>
        <w:t>362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Absence from work for medical attendance</w:t>
      </w:r>
      <w:r>
        <w:tab/>
      </w:r>
      <w:r>
        <w:fldChar w:fldCharType="begin"/>
      </w:r>
      <w:r>
        <w:instrText xml:space="preserve"> PAGEREF _Toc33534690 \h </w:instrText>
      </w:r>
      <w:r>
        <w:fldChar w:fldCharType="separate"/>
      </w:r>
      <w:r>
        <w:t>362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Terms used</w:t>
      </w:r>
      <w:r>
        <w:tab/>
      </w:r>
      <w:r>
        <w:fldChar w:fldCharType="begin"/>
      </w:r>
      <w:r>
        <w:instrText xml:space="preserve"> PAGEREF _Toc33534691 \h </w:instrText>
      </w:r>
      <w:r>
        <w:fldChar w:fldCharType="separate"/>
      </w:r>
      <w:r>
        <w:t>362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w:t>
      </w:r>
      <w:r>
        <w:rPr>
          <w:snapToGrid w:val="0"/>
        </w:rPr>
        <w:noBreakHyphen/>
        <w:t>time worker, deductions in respect of</w:t>
      </w:r>
      <w:r>
        <w:tab/>
      </w:r>
      <w:r>
        <w:fldChar w:fldCharType="begin"/>
      </w:r>
      <w:r>
        <w:instrText xml:space="preserve"> PAGEREF _Toc33534692 \h </w:instrText>
      </w:r>
      <w:r>
        <w:fldChar w:fldCharType="separate"/>
      </w:r>
      <w:r>
        <w:t>366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Concurrent contracts, deductions in respect of</w:t>
      </w:r>
      <w:r>
        <w:tab/>
      </w:r>
      <w:r>
        <w:fldChar w:fldCharType="begin"/>
      </w:r>
      <w:r>
        <w:instrText xml:space="preserve"> PAGEREF _Toc33534693 \h </w:instrText>
      </w:r>
      <w:r>
        <w:fldChar w:fldCharType="separate"/>
      </w:r>
      <w:r>
        <w:t>367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Casual or seasonal worker, weekly earnings of</w:t>
      </w:r>
      <w:r>
        <w:tab/>
      </w:r>
      <w:r>
        <w:fldChar w:fldCharType="begin"/>
      </w:r>
      <w:r>
        <w:instrText xml:space="preserve"> PAGEREF _Toc33534694 \h </w:instrText>
      </w:r>
      <w:r>
        <w:fldChar w:fldCharType="separate"/>
      </w:r>
      <w:r>
        <w:t>367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Paid board and lodging, effect on earnings</w:t>
      </w:r>
      <w:r>
        <w:tab/>
      </w:r>
      <w:r>
        <w:fldChar w:fldCharType="begin"/>
      </w:r>
      <w:r>
        <w:instrText xml:space="preserve"> PAGEREF _Toc33534695 \h </w:instrText>
      </w:r>
      <w:r>
        <w:fldChar w:fldCharType="separate"/>
      </w:r>
      <w:r>
        <w:t>367</w:t>
      </w:r>
      <w:r>
        <w:fldChar w:fldCharType="end"/>
      </w:r>
    </w:p>
    <w:p>
      <w:pPr>
        <w:pStyle w:val="TOC8"/>
        <w:rPr>
          <w:rFonts w:asciiTheme="minorHAnsi" w:eastAsiaTheme="minorEastAsia" w:hAnsiTheme="minorHAnsi" w:cstheme="minorBidi"/>
          <w:szCs w:val="22"/>
        </w:rPr>
      </w:pPr>
      <w:r>
        <w:t>16A.</w:t>
      </w:r>
      <w:r>
        <w:tab/>
        <w:t>Weekly earnings of jockeys</w:t>
      </w:r>
      <w:r>
        <w:tab/>
      </w:r>
      <w:r>
        <w:fldChar w:fldCharType="begin"/>
      </w:r>
      <w:r>
        <w:instrText xml:space="preserve"> PAGEREF _Toc33534696 \h </w:instrText>
      </w:r>
      <w:r>
        <w:fldChar w:fldCharType="separate"/>
      </w:r>
      <w:r>
        <w:t>368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Varying weekly payments</w:t>
      </w:r>
      <w:r>
        <w:tab/>
      </w:r>
      <w:r>
        <w:fldChar w:fldCharType="begin"/>
      </w:r>
      <w:r>
        <w:instrText xml:space="preserve"> PAGEREF _Toc33534697 \h </w:instrText>
      </w:r>
      <w:r>
        <w:fldChar w:fldCharType="separate"/>
      </w:r>
      <w:r>
        <w:t>368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Medical and other expenses</w:t>
      </w:r>
      <w:r>
        <w:tab/>
      </w:r>
      <w:r>
        <w:fldChar w:fldCharType="begin"/>
      </w:r>
      <w:r>
        <w:instrText xml:space="preserve"> PAGEREF _Toc33534698 \h </w:instrText>
      </w:r>
      <w:r>
        <w:fldChar w:fldCharType="separate"/>
      </w:r>
      <w:r>
        <w:t>369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Hospital charges, amount of</w:t>
      </w:r>
      <w:r>
        <w:tab/>
      </w:r>
      <w:r>
        <w:fldChar w:fldCharType="begin"/>
      </w:r>
      <w:r>
        <w:instrText xml:space="preserve"> PAGEREF _Toc33534699 \h </w:instrText>
      </w:r>
      <w:r>
        <w:fldChar w:fldCharType="separate"/>
      </w:r>
      <w:r>
        <w:t>370</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Expenses exceeding those provided by cl. 17(1)</w:t>
      </w:r>
      <w:r>
        <w:tab/>
      </w:r>
      <w:r>
        <w:fldChar w:fldCharType="begin"/>
      </w:r>
      <w:r>
        <w:instrText xml:space="preserve"> PAGEREF _Toc33534700 \h </w:instrText>
      </w:r>
      <w:r>
        <w:fldChar w:fldCharType="separate"/>
      </w:r>
      <w:r>
        <w:t>371</w:t>
      </w:r>
      <w:r>
        <w:fldChar w:fldCharType="end"/>
      </w:r>
    </w:p>
    <w:p>
      <w:pPr>
        <w:pStyle w:val="TOC8"/>
        <w:rPr>
          <w:rFonts w:asciiTheme="minorHAnsi" w:eastAsiaTheme="minorEastAsia" w:hAnsiTheme="minorHAnsi" w:cstheme="minorBidi"/>
          <w:szCs w:val="22"/>
        </w:rPr>
      </w:pPr>
      <w:r>
        <w:t>18B.</w:t>
      </w:r>
      <w:r>
        <w:tab/>
        <w:t>Final day for cl. 18A(1b) application</w:t>
      </w:r>
      <w:r>
        <w:tab/>
      </w:r>
      <w:r>
        <w:fldChar w:fldCharType="begin"/>
      </w:r>
      <w:r>
        <w:instrText xml:space="preserve"> PAGEREF _Toc33534701 \h </w:instrText>
      </w:r>
      <w:r>
        <w:fldChar w:fldCharType="separate"/>
      </w:r>
      <w:r>
        <w:t>375</w:t>
      </w:r>
      <w:r>
        <w:fldChar w:fldCharType="end"/>
      </w:r>
    </w:p>
    <w:p>
      <w:pPr>
        <w:pStyle w:val="TOC8"/>
        <w:rPr>
          <w:rFonts w:asciiTheme="minorHAnsi" w:eastAsiaTheme="minorEastAsia" w:hAnsiTheme="minorHAnsi" w:cstheme="minorBidi"/>
          <w:szCs w:val="22"/>
        </w:rPr>
      </w:pPr>
      <w:r>
        <w:t>18C.</w:t>
      </w:r>
      <w:r>
        <w:tab/>
        <w:t>Degree of permanent whole of person impairment, dispute as to</w:t>
      </w:r>
      <w:r>
        <w:tab/>
      </w:r>
      <w:r>
        <w:fldChar w:fldCharType="begin"/>
      </w:r>
      <w:r>
        <w:instrText xml:space="preserve"> PAGEREF _Toc33534702 \h </w:instrText>
      </w:r>
      <w:r>
        <w:fldChar w:fldCharType="separate"/>
      </w:r>
      <w:r>
        <w:t>376</w:t>
      </w:r>
      <w:r>
        <w:fldChar w:fldCharType="end"/>
      </w:r>
    </w:p>
    <w:p>
      <w:pPr>
        <w:pStyle w:val="TOC8"/>
        <w:rPr>
          <w:rFonts w:asciiTheme="minorHAnsi" w:eastAsiaTheme="minorEastAsia" w:hAnsiTheme="minorHAnsi" w:cstheme="minorBidi"/>
          <w:szCs w:val="22"/>
        </w:rPr>
      </w:pPr>
      <w:r>
        <w:t>18D.</w:t>
      </w:r>
      <w:r>
        <w:tab/>
        <w:t>Interim payment of expenses exceeding those provided by cl. 17(1)</w:t>
      </w:r>
      <w:r>
        <w:tab/>
      </w:r>
      <w:r>
        <w:fldChar w:fldCharType="begin"/>
      </w:r>
      <w:r>
        <w:instrText xml:space="preserve"> PAGEREF _Toc33534703 \h </w:instrText>
      </w:r>
      <w:r>
        <w:fldChar w:fldCharType="separate"/>
      </w:r>
      <w:r>
        <w:t>377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Travelling expenses</w:t>
      </w:r>
      <w:r>
        <w:tab/>
      </w:r>
      <w:r>
        <w:fldChar w:fldCharType="begin"/>
      </w:r>
      <w:r>
        <w:instrText xml:space="preserve"> PAGEREF _Toc33534704 \h </w:instrText>
      </w:r>
      <w:r>
        <w:fldChar w:fldCharType="separate"/>
      </w:r>
      <w:r>
        <w:t>377</w:t>
      </w:r>
      <w:r>
        <w:fldChar w:fldCharType="end"/>
      </w:r>
    </w:p>
    <w:p>
      <w:pPr>
        <w:pStyle w:val="TOC2"/>
        <w:tabs>
          <w:tab w:val="right" w:leader="dot" w:pos="7077"/>
        </w:tabs>
        <w:rPr>
          <w:rFonts w:asciiTheme="minorHAnsi" w:eastAsiaTheme="minorEastAsia" w:hAnsiTheme="minorHAnsi" w:cstheme="minorBidi"/>
          <w:b w:val="0"/>
          <w:sz w:val="22"/>
          <w:szCs w:val="22"/>
        </w:rPr>
      </w:pPr>
      <w:r>
        <w:t>Schedule 1A — Compensation entitlements when worker has died</w:t>
      </w:r>
    </w:p>
    <w:p>
      <w:pPr>
        <w:pStyle w:val="TOC4"/>
        <w:tabs>
          <w:tab w:val="right" w:leader="dot" w:pos="7077"/>
        </w:tabs>
        <w:rPr>
          <w:rFonts w:asciiTheme="minorHAnsi" w:eastAsiaTheme="minorEastAsia" w:hAnsiTheme="minorHAnsi" w:cstheme="minorBidi"/>
          <w:b w:val="0"/>
          <w:szCs w:val="22"/>
        </w:rPr>
      </w:pPr>
      <w:r>
        <w:t>Division 1 — Application and terms used</w:t>
      </w:r>
    </w:p>
    <w:p>
      <w:pPr>
        <w:pStyle w:val="TOC8"/>
        <w:rPr>
          <w:rFonts w:asciiTheme="minorHAnsi" w:eastAsiaTheme="minorEastAsia" w:hAnsiTheme="minorHAnsi" w:cstheme="minorBidi"/>
          <w:szCs w:val="22"/>
        </w:rPr>
      </w:pPr>
      <w:r>
        <w:t>1.</w:t>
      </w:r>
      <w:r>
        <w:tab/>
        <w:t>Application of Schedule</w:t>
      </w:r>
      <w:r>
        <w:tab/>
      </w:r>
      <w:r>
        <w:fldChar w:fldCharType="begin"/>
      </w:r>
      <w:r>
        <w:instrText xml:space="preserve"> PAGEREF _Toc33534707 \h </w:instrText>
      </w:r>
      <w:r>
        <w:fldChar w:fldCharType="separate"/>
      </w:r>
      <w:r>
        <w:t>379</w:t>
      </w:r>
      <w:r>
        <w:fldChar w:fldCharType="end"/>
      </w:r>
    </w:p>
    <w:p>
      <w:pPr>
        <w:pStyle w:val="TOC8"/>
        <w:rPr>
          <w:rFonts w:asciiTheme="minorHAnsi" w:eastAsiaTheme="minorEastAsia" w:hAnsiTheme="minorHAnsi" w:cstheme="minorBidi"/>
          <w:szCs w:val="22"/>
        </w:rPr>
      </w:pPr>
      <w:r>
        <w:t>2.</w:t>
      </w:r>
      <w:r>
        <w:tab/>
        <w:t>Partners, children and prescribed family members</w:t>
      </w:r>
      <w:r>
        <w:tab/>
      </w:r>
      <w:r>
        <w:fldChar w:fldCharType="begin"/>
      </w:r>
      <w:r>
        <w:instrText xml:space="preserve"> PAGEREF _Toc33534708 \h </w:instrText>
      </w:r>
      <w:r>
        <w:fldChar w:fldCharType="separate"/>
      </w:r>
      <w:r>
        <w:t>379</w:t>
      </w:r>
      <w:r>
        <w:fldChar w:fldCharType="end"/>
      </w:r>
    </w:p>
    <w:p>
      <w:pPr>
        <w:pStyle w:val="TOC8"/>
        <w:rPr>
          <w:rFonts w:asciiTheme="minorHAnsi" w:eastAsiaTheme="minorEastAsia" w:hAnsiTheme="minorHAnsi" w:cstheme="minorBidi"/>
          <w:szCs w:val="22"/>
        </w:rPr>
      </w:pPr>
      <w:r>
        <w:t>3.</w:t>
      </w:r>
      <w:r>
        <w:tab/>
        <w:t>Dependants</w:t>
      </w:r>
      <w:r>
        <w:tab/>
      </w:r>
      <w:r>
        <w:fldChar w:fldCharType="begin"/>
      </w:r>
      <w:r>
        <w:instrText xml:space="preserve"> PAGEREF _Toc33534709 \h </w:instrText>
      </w:r>
      <w:r>
        <w:fldChar w:fldCharType="separate"/>
      </w:r>
      <w:r>
        <w:t>380</w:t>
      </w:r>
      <w:r>
        <w:fldChar w:fldCharType="end"/>
      </w:r>
    </w:p>
    <w:p>
      <w:pPr>
        <w:pStyle w:val="TOC8"/>
        <w:rPr>
          <w:rFonts w:asciiTheme="minorHAnsi" w:eastAsiaTheme="minorEastAsia" w:hAnsiTheme="minorHAnsi" w:cstheme="minorBidi"/>
          <w:szCs w:val="22"/>
        </w:rPr>
      </w:pPr>
      <w:r>
        <w:t>4.</w:t>
      </w:r>
      <w:r>
        <w:tab/>
        <w:t>Lump sum entitlement</w:t>
      </w:r>
      <w:r>
        <w:tab/>
      </w:r>
      <w:r>
        <w:fldChar w:fldCharType="begin"/>
      </w:r>
      <w:r>
        <w:instrText xml:space="preserve"> PAGEREF _Toc33534710 \h </w:instrText>
      </w:r>
      <w:r>
        <w:fldChar w:fldCharType="separate"/>
      </w:r>
      <w:r>
        <w:t>380</w:t>
      </w:r>
      <w:r>
        <w:fldChar w:fldCharType="end"/>
      </w:r>
    </w:p>
    <w:p>
      <w:pPr>
        <w:pStyle w:val="TOC8"/>
        <w:rPr>
          <w:rFonts w:asciiTheme="minorHAnsi" w:eastAsiaTheme="minorEastAsia" w:hAnsiTheme="minorHAnsi" w:cstheme="minorBidi"/>
          <w:szCs w:val="22"/>
        </w:rPr>
      </w:pPr>
      <w:r>
        <w:t>5.</w:t>
      </w:r>
      <w:r>
        <w:tab/>
        <w:t>Child’s allowance</w:t>
      </w:r>
      <w:r>
        <w:tab/>
      </w:r>
      <w:r>
        <w:fldChar w:fldCharType="begin"/>
      </w:r>
      <w:r>
        <w:instrText xml:space="preserve"> PAGEREF _Toc33534711 \h </w:instrText>
      </w:r>
      <w:r>
        <w:fldChar w:fldCharType="separate"/>
      </w:r>
      <w:r>
        <w:t>380</w:t>
      </w:r>
      <w:r>
        <w:fldChar w:fldCharType="end"/>
      </w:r>
    </w:p>
    <w:p>
      <w:pPr>
        <w:pStyle w:val="TOC4"/>
        <w:tabs>
          <w:tab w:val="right" w:leader="dot" w:pos="7077"/>
        </w:tabs>
        <w:rPr>
          <w:rFonts w:asciiTheme="minorHAnsi" w:eastAsiaTheme="minorEastAsia" w:hAnsiTheme="minorHAnsi" w:cstheme="minorBidi"/>
          <w:b w:val="0"/>
          <w:szCs w:val="22"/>
        </w:rPr>
      </w:pPr>
      <w:r>
        <w:t>Division 2 — Entitlements if the worker’s death results from the injury</w:t>
      </w:r>
    </w:p>
    <w:p>
      <w:pPr>
        <w:pStyle w:val="TOC8"/>
        <w:rPr>
          <w:rFonts w:asciiTheme="minorHAnsi" w:eastAsiaTheme="minorEastAsia" w:hAnsiTheme="minorHAnsi" w:cstheme="minorBidi"/>
          <w:szCs w:val="22"/>
        </w:rPr>
      </w:pPr>
      <w:r>
        <w:t>6.</w:t>
      </w:r>
      <w:r>
        <w:tab/>
        <w:t>Application of this Division</w:t>
      </w:r>
      <w:r>
        <w:tab/>
      </w:r>
      <w:r>
        <w:fldChar w:fldCharType="begin"/>
      </w:r>
      <w:r>
        <w:instrText xml:space="preserve"> PAGEREF _Toc33534713 \h </w:instrText>
      </w:r>
      <w:r>
        <w:fldChar w:fldCharType="separate"/>
      </w:r>
      <w:r>
        <w:t>381</w:t>
      </w:r>
      <w:r>
        <w:fldChar w:fldCharType="end"/>
      </w:r>
    </w:p>
    <w:p>
      <w:pPr>
        <w:pStyle w:val="TOC8"/>
        <w:rPr>
          <w:rFonts w:asciiTheme="minorHAnsi" w:eastAsiaTheme="minorEastAsia" w:hAnsiTheme="minorHAnsi" w:cstheme="minorBidi"/>
          <w:szCs w:val="22"/>
        </w:rPr>
      </w:pPr>
      <w:r>
        <w:t>7.</w:t>
      </w:r>
      <w:r>
        <w:tab/>
        <w:t>Lump sum compensation for partners, children and others</w:t>
      </w:r>
      <w:r>
        <w:tab/>
      </w:r>
      <w:r>
        <w:fldChar w:fldCharType="begin"/>
      </w:r>
      <w:r>
        <w:instrText xml:space="preserve"> PAGEREF _Toc33534714 \h </w:instrText>
      </w:r>
      <w:r>
        <w:fldChar w:fldCharType="separate"/>
      </w:r>
      <w:r>
        <w:t>381</w:t>
      </w:r>
      <w:r>
        <w:fldChar w:fldCharType="end"/>
      </w:r>
    </w:p>
    <w:p>
      <w:pPr>
        <w:pStyle w:val="TOC8"/>
        <w:rPr>
          <w:rFonts w:asciiTheme="minorHAnsi" w:eastAsiaTheme="minorEastAsia" w:hAnsiTheme="minorHAnsi" w:cstheme="minorBidi"/>
          <w:szCs w:val="22"/>
        </w:rPr>
      </w:pPr>
      <w:r>
        <w:t>8.</w:t>
      </w:r>
      <w:r>
        <w:tab/>
        <w:t>Allowance for children</w:t>
      </w:r>
      <w:r>
        <w:tab/>
      </w:r>
      <w:r>
        <w:fldChar w:fldCharType="begin"/>
      </w:r>
      <w:r>
        <w:instrText xml:space="preserve"> PAGEREF _Toc33534715 \h </w:instrText>
      </w:r>
      <w:r>
        <w:fldChar w:fldCharType="separate"/>
      </w:r>
      <w:r>
        <w:t>384</w:t>
      </w:r>
      <w:r>
        <w:fldChar w:fldCharType="end"/>
      </w:r>
    </w:p>
    <w:p>
      <w:pPr>
        <w:pStyle w:val="TOC8"/>
        <w:rPr>
          <w:rFonts w:asciiTheme="minorHAnsi" w:eastAsiaTheme="minorEastAsia" w:hAnsiTheme="minorHAnsi" w:cstheme="minorBidi"/>
          <w:szCs w:val="22"/>
        </w:rPr>
      </w:pPr>
      <w:r>
        <w:t>9.</w:t>
      </w:r>
      <w:r>
        <w:tab/>
        <w:t>Funeral and medical expenses</w:t>
      </w:r>
      <w:r>
        <w:tab/>
      </w:r>
      <w:r>
        <w:fldChar w:fldCharType="begin"/>
      </w:r>
      <w:r>
        <w:instrText xml:space="preserve"> PAGEREF _Toc33534716 \h </w:instrText>
      </w:r>
      <w:r>
        <w:fldChar w:fldCharType="separate"/>
      </w:r>
      <w:r>
        <w:t>385</w:t>
      </w:r>
      <w:r>
        <w:fldChar w:fldCharType="end"/>
      </w:r>
    </w:p>
    <w:p>
      <w:pPr>
        <w:pStyle w:val="TOC4"/>
        <w:tabs>
          <w:tab w:val="right" w:leader="dot" w:pos="7077"/>
        </w:tabs>
        <w:rPr>
          <w:rFonts w:asciiTheme="minorHAnsi" w:eastAsiaTheme="minorEastAsia" w:hAnsiTheme="minorHAnsi" w:cstheme="minorBidi"/>
          <w:b w:val="0"/>
          <w:szCs w:val="22"/>
        </w:rPr>
      </w:pPr>
      <w:r>
        <w:t>Division 3 — Entitlements if the worker’s death does not result from the injury</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_Toc33534718 \h </w:instrText>
      </w:r>
      <w:r>
        <w:fldChar w:fldCharType="separate"/>
      </w:r>
      <w:r>
        <w:t>385</w:t>
      </w:r>
      <w:r>
        <w:fldChar w:fldCharType="end"/>
      </w:r>
    </w:p>
    <w:p>
      <w:pPr>
        <w:pStyle w:val="TOC8"/>
        <w:rPr>
          <w:rFonts w:asciiTheme="minorHAnsi" w:eastAsiaTheme="minorEastAsia" w:hAnsiTheme="minorHAnsi" w:cstheme="minorBidi"/>
          <w:szCs w:val="22"/>
        </w:rPr>
      </w:pPr>
      <w:r>
        <w:t>11.</w:t>
      </w:r>
      <w:r>
        <w:tab/>
        <w:t>Lump sum compensation for partners and children</w:t>
      </w:r>
      <w:r>
        <w:tab/>
      </w:r>
      <w:r>
        <w:fldChar w:fldCharType="begin"/>
      </w:r>
      <w:r>
        <w:instrText xml:space="preserve"> PAGEREF _Toc33534719 \h </w:instrText>
      </w:r>
      <w:r>
        <w:fldChar w:fldCharType="separate"/>
      </w:r>
      <w:r>
        <w:t>386</w:t>
      </w:r>
      <w:r>
        <w:fldChar w:fldCharType="end"/>
      </w:r>
    </w:p>
    <w:p>
      <w:pPr>
        <w:pStyle w:val="TOC2"/>
        <w:tabs>
          <w:tab w:val="right" w:leader="dot" w:pos="7077"/>
        </w:tabs>
        <w:rPr>
          <w:rFonts w:asciiTheme="minorHAnsi" w:eastAsiaTheme="minorEastAsia" w:hAnsiTheme="minorHAnsi" w:cstheme="minorBidi"/>
          <w:b w:val="0"/>
          <w:sz w:val="22"/>
          <w:szCs w:val="22"/>
        </w:rPr>
      </w:pPr>
      <w:r>
        <w:t>Schedule 2 — Table of compensation payable</w:t>
      </w:r>
    </w:p>
    <w:p>
      <w:pPr>
        <w:pStyle w:val="TOC2"/>
        <w:tabs>
          <w:tab w:val="right" w:leader="dot" w:pos="7077"/>
        </w:tabs>
        <w:rPr>
          <w:rFonts w:asciiTheme="minorHAnsi" w:eastAsiaTheme="minorEastAsia" w:hAnsiTheme="minorHAnsi" w:cstheme="minorBidi"/>
          <w:b w:val="0"/>
          <w:sz w:val="22"/>
          <w:szCs w:val="22"/>
        </w:rPr>
      </w:pPr>
      <w:r>
        <w:t>Part 1</w:t>
      </w:r>
    </w:p>
    <w:p>
      <w:pPr>
        <w:pStyle w:val="TOC2"/>
        <w:tabs>
          <w:tab w:val="right" w:leader="dot" w:pos="7077"/>
        </w:tabs>
        <w:rPr>
          <w:rFonts w:asciiTheme="minorHAnsi" w:eastAsiaTheme="minorEastAsia" w:hAnsiTheme="minorHAnsi" w:cstheme="minorBidi"/>
          <w:b w:val="0"/>
          <w:sz w:val="22"/>
          <w:szCs w:val="22"/>
        </w:rPr>
      </w:pPr>
      <w:r>
        <w:t>Part 2</w:t>
      </w:r>
    </w:p>
    <w:p>
      <w:pPr>
        <w:pStyle w:val="TOC2"/>
        <w:tabs>
          <w:tab w:val="right" w:leader="dot" w:pos="7077"/>
        </w:tabs>
        <w:rPr>
          <w:rFonts w:asciiTheme="minorHAnsi" w:eastAsiaTheme="minorEastAsia" w:hAnsiTheme="minorHAnsi" w:cstheme="minorBidi"/>
          <w:b w:val="0"/>
          <w:sz w:val="22"/>
          <w:szCs w:val="22"/>
        </w:rPr>
      </w:pPr>
      <w:r>
        <w:t>Schedule 3 — Specified industrial diseases</w:t>
      </w:r>
    </w:p>
    <w:p>
      <w:pPr>
        <w:pStyle w:val="TOC2"/>
        <w:tabs>
          <w:tab w:val="right" w:leader="dot" w:pos="7077"/>
        </w:tabs>
        <w:rPr>
          <w:rFonts w:asciiTheme="minorHAnsi" w:eastAsiaTheme="minorEastAsia" w:hAnsiTheme="minorHAnsi" w:cstheme="minorBidi"/>
          <w:b w:val="0"/>
          <w:sz w:val="22"/>
          <w:szCs w:val="22"/>
        </w:rPr>
      </w:pPr>
      <w:r>
        <w:t>Schedule 4A — Specified diseases for firefighters</w:t>
      </w:r>
    </w:p>
    <w:p>
      <w:pPr>
        <w:pStyle w:val="TOC2"/>
        <w:tabs>
          <w:tab w:val="right" w:leader="dot" w:pos="7077"/>
        </w:tabs>
        <w:rPr>
          <w:rFonts w:asciiTheme="minorHAnsi" w:eastAsiaTheme="minorEastAsia" w:hAnsiTheme="minorHAnsi" w:cstheme="minorBidi"/>
          <w:b w:val="0"/>
          <w:sz w:val="22"/>
          <w:szCs w:val="22"/>
        </w:rPr>
      </w:pPr>
      <w:r>
        <w:t>Schedule 4 — Specified losses of functions</w:t>
      </w:r>
    </w:p>
    <w:p>
      <w:pPr>
        <w:pStyle w:val="TOC2"/>
        <w:tabs>
          <w:tab w:val="right" w:leader="dot" w:pos="7077"/>
        </w:tabs>
        <w:rPr>
          <w:rFonts w:asciiTheme="minorHAnsi" w:eastAsiaTheme="minorEastAsia" w:hAnsiTheme="minorHAnsi" w:cstheme="minorBidi"/>
          <w:b w:val="0"/>
          <w:sz w:val="22"/>
          <w:szCs w:val="22"/>
        </w:rPr>
      </w:pPr>
      <w:r>
        <w:t>Schedule 5 — Exceptions to cessation of weekly payments by reason of age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_Toc33534727 \h </w:instrText>
      </w:r>
      <w:r>
        <w:fldChar w:fldCharType="separate"/>
      </w:r>
      <w:r>
        <w:t>399</w:t>
      </w:r>
      <w:r>
        <w:fldChar w:fldCharType="end"/>
      </w:r>
    </w:p>
    <w:p>
      <w:pPr>
        <w:pStyle w:val="TOC8"/>
        <w:rPr>
          <w:rFonts w:asciiTheme="minorHAnsi" w:eastAsiaTheme="minorEastAsia" w:hAnsiTheme="minorHAnsi" w:cstheme="minorBidi"/>
          <w:szCs w:val="22"/>
        </w:rPr>
      </w:pPr>
      <w:r>
        <w:t>1A.</w:t>
      </w:r>
      <w:r>
        <w:tab/>
        <w:t>Successive lung diseases to be regarded as one</w:t>
      </w:r>
      <w:r>
        <w:tab/>
      </w:r>
      <w:r>
        <w:fldChar w:fldCharType="begin"/>
      </w:r>
      <w:r>
        <w:instrText xml:space="preserve"> PAGEREF _Toc33534728 \h </w:instrText>
      </w:r>
      <w:r>
        <w:fldChar w:fldCharType="separate"/>
      </w:r>
      <w:r>
        <w:t>400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Worker who would have worked after age 65</w:t>
      </w:r>
      <w:r>
        <w:tab/>
      </w:r>
      <w:r>
        <w:fldChar w:fldCharType="begin"/>
      </w:r>
      <w:r>
        <w:instrText xml:space="preserve"> PAGEREF _Toc33534729 \h </w:instrText>
      </w:r>
      <w:r>
        <w:fldChar w:fldCharType="separate"/>
      </w:r>
      <w:r>
        <w:t>400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Incapacity for work resulting from pneumoconiosis, mesothelioma and lung cancer, weekly payments for</w:t>
      </w:r>
      <w:r>
        <w:tab/>
      </w:r>
      <w:r>
        <w:fldChar w:fldCharType="begin"/>
      </w:r>
      <w:r>
        <w:instrText xml:space="preserve"> PAGEREF _Toc33534730 \h </w:instrText>
      </w:r>
      <w:r>
        <w:fldChar w:fldCharType="separate"/>
      </w:r>
      <w:r>
        <w:t>400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Worker entitled under cl. 3 may elect to take redemption amount as lump sum or to get supplementary amount weekly</w:t>
      </w:r>
      <w:r>
        <w:tab/>
      </w:r>
      <w:r>
        <w:fldChar w:fldCharType="begin"/>
      </w:r>
      <w:r>
        <w:instrText xml:space="preserve"> PAGEREF _Toc33534731 \h </w:instrText>
      </w:r>
      <w:r>
        <w:fldChar w:fldCharType="separate"/>
      </w:r>
      <w:r>
        <w:t>403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for election under cl. 4</w:t>
      </w:r>
      <w:r>
        <w:tab/>
      </w:r>
      <w:r>
        <w:fldChar w:fldCharType="begin"/>
      </w:r>
      <w:r>
        <w:instrText xml:space="preserve"> PAGEREF _Toc33534732 \h </w:instrText>
      </w:r>
      <w:r>
        <w:fldChar w:fldCharType="separate"/>
      </w:r>
      <w:r>
        <w:t>404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Effect of receiving the redemption amount as a lump sum</w:t>
      </w:r>
      <w:r>
        <w:tab/>
      </w:r>
      <w:r>
        <w:fldChar w:fldCharType="begin"/>
      </w:r>
      <w:r>
        <w:instrText xml:space="preserve"> PAGEREF _Toc33534733 \h </w:instrText>
      </w:r>
      <w:r>
        <w:fldChar w:fldCharType="separate"/>
      </w:r>
      <w:r>
        <w:t>405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receiving supplementary amount weekly</w:t>
      </w:r>
      <w:r>
        <w:tab/>
      </w:r>
      <w:r>
        <w:fldChar w:fldCharType="begin"/>
      </w:r>
      <w:r>
        <w:instrText xml:space="preserve"> PAGEREF _Toc33534734 \h </w:instrText>
      </w:r>
      <w:r>
        <w:fldChar w:fldCharType="separate"/>
      </w:r>
      <w:r>
        <w:t>405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of supplementary amount weekly</w:t>
      </w:r>
      <w:r>
        <w:tab/>
      </w:r>
      <w:r>
        <w:fldChar w:fldCharType="begin"/>
      </w:r>
      <w:r>
        <w:instrText xml:space="preserve"> PAGEREF _Toc33534735 \h </w:instrText>
      </w:r>
      <w:r>
        <w:fldChar w:fldCharType="separate"/>
      </w:r>
      <w:r>
        <w:t>406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Death of a worker before 8 Mar 1991 — dependent spouse’s entitlements</w:t>
      </w:r>
      <w:r>
        <w:tab/>
      </w:r>
      <w:r>
        <w:fldChar w:fldCharType="begin"/>
      </w:r>
      <w:r>
        <w:instrText xml:space="preserve"> PAGEREF _Toc33534736 \h </w:instrText>
      </w:r>
      <w:r>
        <w:fldChar w:fldCharType="separate"/>
      </w:r>
      <w:r>
        <w:t>407</w:t>
      </w:r>
      <w:r>
        <w:fldChar w:fldCharType="end"/>
      </w:r>
    </w:p>
    <w:p>
      <w:pPr>
        <w:pStyle w:val="TOC2"/>
        <w:tabs>
          <w:tab w:val="right" w:leader="dot" w:pos="7077"/>
        </w:tabs>
        <w:rPr>
          <w:rFonts w:asciiTheme="minorHAnsi" w:eastAsiaTheme="minorEastAsia" w:hAnsiTheme="minorHAnsi" w:cstheme="minorBidi"/>
          <w:b w:val="0"/>
          <w:sz w:val="22"/>
          <w:szCs w:val="22"/>
        </w:rPr>
      </w:pPr>
      <w:r>
        <w:t>Schedule 6 — Adjacent areas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_Toc33534738 \h </w:instrText>
      </w:r>
      <w:r>
        <w:fldChar w:fldCharType="separate"/>
      </w:r>
      <w:r>
        <w:t>408</w:t>
      </w:r>
      <w:r>
        <w:fldChar w:fldCharType="end"/>
      </w:r>
    </w:p>
    <w:p>
      <w:pPr>
        <w:pStyle w:val="TOC8"/>
        <w:rPr>
          <w:rFonts w:asciiTheme="minorHAnsi" w:eastAsiaTheme="minorEastAsia" w:hAnsiTheme="minorHAnsi" w:cstheme="minorBidi"/>
          <w:szCs w:val="22"/>
        </w:rPr>
      </w:pPr>
      <w:r>
        <w:t>2.</w:t>
      </w:r>
      <w:r>
        <w:tab/>
        <w:t>Adjacent areas defined</w:t>
      </w:r>
      <w:r>
        <w:tab/>
      </w:r>
      <w:r>
        <w:fldChar w:fldCharType="begin"/>
      </w:r>
      <w:r>
        <w:instrText xml:space="preserve"> PAGEREF _Toc33534739 \h </w:instrText>
      </w:r>
      <w:r>
        <w:fldChar w:fldCharType="separate"/>
      </w:r>
      <w:r>
        <w:t>408</w:t>
      </w:r>
      <w:r>
        <w:fldChar w:fldCharType="end"/>
      </w:r>
    </w:p>
    <w:p>
      <w:pPr>
        <w:pStyle w:val="TOC2"/>
        <w:tabs>
          <w:tab w:val="right" w:leader="dot" w:pos="7077"/>
        </w:tabs>
        <w:rPr>
          <w:rFonts w:asciiTheme="minorHAnsi" w:eastAsiaTheme="minorEastAsia" w:hAnsiTheme="minorHAnsi" w:cstheme="minorBidi"/>
          <w:b w:val="0"/>
          <w:sz w:val="22"/>
          <w:szCs w:val="22"/>
        </w:rPr>
      </w:pPr>
      <w:r>
        <w:t>Schedule 7 — Noise induced hearing loss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_Toc33534741 \h </w:instrText>
      </w:r>
      <w:r>
        <w:fldChar w:fldCharType="separate"/>
      </w:r>
      <w:r>
        <w:t>410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Audiometric tests, when some workers have to undergo</w:t>
      </w:r>
      <w:r>
        <w:tab/>
      </w:r>
      <w:r>
        <w:fldChar w:fldCharType="begin"/>
      </w:r>
      <w:r>
        <w:instrText xml:space="preserve"> PAGEREF _Toc33534742 \h </w:instrText>
      </w:r>
      <w:r>
        <w:fldChar w:fldCharType="separate"/>
      </w:r>
      <w:r>
        <w:t>410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Employer to arrange and pay for audiometric test</w:t>
      </w:r>
      <w:r>
        <w:tab/>
      </w:r>
      <w:r>
        <w:fldChar w:fldCharType="begin"/>
      </w:r>
      <w:r>
        <w:instrText xml:space="preserve"> PAGEREF _Toc33534743 \h </w:instrText>
      </w:r>
      <w:r>
        <w:fldChar w:fldCharType="separate"/>
      </w:r>
      <w:r>
        <w:t>411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Carrying out of audiometric tests</w:t>
      </w:r>
      <w:r>
        <w:tab/>
      </w:r>
      <w:r>
        <w:fldChar w:fldCharType="begin"/>
      </w:r>
      <w:r>
        <w:instrText xml:space="preserve"> PAGEREF _Toc33534744 \h </w:instrText>
      </w:r>
      <w:r>
        <w:fldChar w:fldCharType="separate"/>
      </w:r>
      <w:r>
        <w:t>411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Communication and storage of audiometric test results</w:t>
      </w:r>
      <w:r>
        <w:tab/>
      </w:r>
      <w:r>
        <w:fldChar w:fldCharType="begin"/>
      </w:r>
      <w:r>
        <w:instrText xml:space="preserve"> PAGEREF _Toc33534745 \h </w:instrText>
      </w:r>
      <w:r>
        <w:fldChar w:fldCharType="separate"/>
      </w:r>
      <w:r>
        <w:t>412</w:t>
      </w:r>
      <w:r>
        <w:fldChar w:fldCharType="end"/>
      </w:r>
    </w:p>
    <w:p>
      <w:pPr>
        <w:pStyle w:val="TOC8"/>
        <w:rPr>
          <w:rFonts w:asciiTheme="minorHAnsi" w:eastAsiaTheme="minorEastAsia" w:hAnsiTheme="minorHAnsi" w:cstheme="minorBidi"/>
          <w:szCs w:val="22"/>
        </w:rPr>
      </w:pPr>
      <w:r>
        <w:t>6.</w:t>
      </w:r>
      <w:r>
        <w:tab/>
        <w:t>Referring questions about hearing loss etc. to medical assessment panel</w:t>
      </w:r>
      <w:r>
        <w:tab/>
      </w:r>
      <w:r>
        <w:fldChar w:fldCharType="begin"/>
      </w:r>
      <w:r>
        <w:instrText xml:space="preserve"> PAGEREF _Toc33534746 \h </w:instrText>
      </w:r>
      <w:r>
        <w:fldChar w:fldCharType="separate"/>
      </w:r>
      <w:r>
        <w:t>412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w:t>
      </w:r>
      <w:r>
        <w:rPr>
          <w:snapToGrid w:val="0"/>
        </w:rPr>
        <w:noBreakHyphen/>
        <w:t>test of person’s hearing</w:t>
      </w:r>
      <w:r>
        <w:tab/>
      </w:r>
      <w:r>
        <w:fldChar w:fldCharType="begin"/>
      </w:r>
      <w:r>
        <w:instrText xml:space="preserve"> PAGEREF _Toc33534747 \h </w:instrText>
      </w:r>
      <w:r>
        <w:fldChar w:fldCharType="separate"/>
      </w:r>
      <w:r>
        <w:t>412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Determining extent of hearing loss</w:t>
      </w:r>
      <w:r>
        <w:tab/>
      </w:r>
      <w:r>
        <w:fldChar w:fldCharType="begin"/>
      </w:r>
      <w:r>
        <w:instrText xml:space="preserve"> PAGEREF _Toc33534748 \h </w:instrText>
      </w:r>
      <w:r>
        <w:fldChar w:fldCharType="separate"/>
      </w:r>
      <w:r>
        <w:t>413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Audiometric test not conclusive proof that hearing loss is noise induced</w:t>
      </w:r>
      <w:r>
        <w:tab/>
      </w:r>
      <w:r>
        <w:fldChar w:fldCharType="begin"/>
      </w:r>
      <w:r>
        <w:instrText xml:space="preserve"> PAGEREF _Toc33534749 \h </w:instrText>
      </w:r>
      <w:r>
        <w:fldChar w:fldCharType="separate"/>
      </w:r>
      <w:r>
        <w:t>414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Workplaces to be prescribed</w:t>
      </w:r>
      <w:r>
        <w:tab/>
      </w:r>
      <w:r>
        <w:fldChar w:fldCharType="begin"/>
      </w:r>
      <w:r>
        <w:instrText xml:space="preserve"> PAGEREF _Toc33534750 \h </w:instrText>
      </w:r>
      <w:r>
        <w:fldChar w:fldCharType="separate"/>
      </w:r>
      <w:r>
        <w:t>414</w:t>
      </w:r>
      <w:r>
        <w:fldChar w:fldCharType="end"/>
      </w:r>
    </w:p>
    <w:p>
      <w:pPr>
        <w:pStyle w:val="TOC2"/>
        <w:tabs>
          <w:tab w:val="right" w:leader="dot" w:pos="7077"/>
        </w:tabs>
        <w:rPr>
          <w:rFonts w:asciiTheme="minorHAnsi" w:eastAsiaTheme="minorEastAsia" w:hAnsiTheme="minorHAnsi" w:cstheme="minorBidi"/>
          <w:b w:val="0"/>
          <w:sz w:val="22"/>
          <w:szCs w:val="22"/>
        </w:rPr>
      </w:pPr>
      <w:r>
        <w:t>Schedule 8 — Transitional provisions</w:t>
      </w:r>
    </w:p>
    <w:p>
      <w:pPr>
        <w:pStyle w:val="TOC4"/>
        <w:tabs>
          <w:tab w:val="right" w:leader="dot" w:pos="7077"/>
        </w:tabs>
        <w:rPr>
          <w:rFonts w:asciiTheme="minorHAnsi" w:eastAsiaTheme="minorEastAsia" w:hAnsiTheme="minorHAnsi" w:cstheme="minorBidi"/>
          <w:b w:val="0"/>
          <w:szCs w:val="22"/>
        </w:rPr>
      </w:pPr>
      <w:r>
        <w:t>Division 1 — Workers’ Compensation and Injury Management Amendment Act 2011</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_Toc33534753 \h </w:instrText>
      </w:r>
      <w:r>
        <w:fldChar w:fldCharType="separate"/>
      </w:r>
      <w:r>
        <w:t>415</w:t>
      </w:r>
      <w:r>
        <w:fldChar w:fldCharType="end"/>
      </w:r>
    </w:p>
    <w:p>
      <w:pPr>
        <w:pStyle w:val="TOC8"/>
        <w:rPr>
          <w:rFonts w:asciiTheme="minorHAnsi" w:eastAsiaTheme="minorEastAsia" w:hAnsiTheme="minorHAnsi" w:cstheme="minorBidi"/>
          <w:szCs w:val="22"/>
        </w:rPr>
      </w:pPr>
      <w:r>
        <w:t>2.</w:t>
      </w:r>
      <w:r>
        <w:tab/>
        <w:t>Pending arbitration proceedings</w:t>
      </w:r>
      <w:r>
        <w:tab/>
      </w:r>
      <w:r>
        <w:fldChar w:fldCharType="begin"/>
      </w:r>
      <w:r>
        <w:instrText xml:space="preserve"> PAGEREF _Toc33534754 \h </w:instrText>
      </w:r>
      <w:r>
        <w:fldChar w:fldCharType="separate"/>
      </w:r>
      <w:r>
        <w:t>416</w:t>
      </w:r>
      <w:r>
        <w:fldChar w:fldCharType="end"/>
      </w:r>
    </w:p>
    <w:p>
      <w:pPr>
        <w:pStyle w:val="TOC8"/>
        <w:rPr>
          <w:rFonts w:asciiTheme="minorHAnsi" w:eastAsiaTheme="minorEastAsia" w:hAnsiTheme="minorHAnsi" w:cstheme="minorBidi"/>
          <w:szCs w:val="22"/>
        </w:rPr>
      </w:pPr>
      <w:r>
        <w:t>3.</w:t>
      </w:r>
      <w:r>
        <w:tab/>
        <w:t>Pending Part XII applications</w:t>
      </w:r>
      <w:r>
        <w:tab/>
      </w:r>
      <w:r>
        <w:fldChar w:fldCharType="begin"/>
      </w:r>
      <w:r>
        <w:instrText xml:space="preserve"> PAGEREF _Toc33534755 \h </w:instrText>
      </w:r>
      <w:r>
        <w:fldChar w:fldCharType="separate"/>
      </w:r>
      <w:r>
        <w:t>417</w:t>
      </w:r>
      <w:r>
        <w:fldChar w:fldCharType="end"/>
      </w:r>
    </w:p>
    <w:p>
      <w:pPr>
        <w:pStyle w:val="TOC8"/>
        <w:rPr>
          <w:rFonts w:asciiTheme="minorHAnsi" w:eastAsiaTheme="minorEastAsia" w:hAnsiTheme="minorHAnsi" w:cstheme="minorBidi"/>
          <w:szCs w:val="22"/>
        </w:rPr>
      </w:pPr>
      <w:r>
        <w:t>4.</w:t>
      </w:r>
      <w:r>
        <w:tab/>
        <w:t>DRD records</w:t>
      </w:r>
      <w:r>
        <w:tab/>
      </w:r>
      <w:r>
        <w:fldChar w:fldCharType="begin"/>
      </w:r>
      <w:r>
        <w:instrText xml:space="preserve"> PAGEREF _Toc33534756 \h </w:instrText>
      </w:r>
      <w:r>
        <w:fldChar w:fldCharType="separate"/>
      </w:r>
      <w:r>
        <w:t>417</w:t>
      </w:r>
      <w:r>
        <w:fldChar w:fldCharType="end"/>
      </w:r>
    </w:p>
    <w:p>
      <w:pPr>
        <w:pStyle w:val="TOC8"/>
        <w:rPr>
          <w:rFonts w:asciiTheme="minorHAnsi" w:eastAsiaTheme="minorEastAsia" w:hAnsiTheme="minorHAnsi" w:cstheme="minorBidi"/>
          <w:szCs w:val="22"/>
        </w:rPr>
      </w:pPr>
      <w:r>
        <w:t>5.</w:t>
      </w:r>
      <w:r>
        <w:tab/>
        <w:t>Pending Part XIII matters</w:t>
      </w:r>
      <w:r>
        <w:tab/>
      </w:r>
      <w:r>
        <w:fldChar w:fldCharType="begin"/>
      </w:r>
      <w:r>
        <w:instrText xml:space="preserve"> PAGEREF _Toc33534757 \h </w:instrText>
      </w:r>
      <w:r>
        <w:fldChar w:fldCharType="separate"/>
      </w:r>
      <w:r>
        <w:t>417</w:t>
      </w:r>
      <w:r>
        <w:fldChar w:fldCharType="end"/>
      </w:r>
    </w:p>
    <w:p>
      <w:pPr>
        <w:pStyle w:val="TOC8"/>
        <w:rPr>
          <w:rFonts w:asciiTheme="minorHAnsi" w:eastAsiaTheme="minorEastAsia" w:hAnsiTheme="minorHAnsi" w:cstheme="minorBidi"/>
          <w:szCs w:val="22"/>
        </w:rPr>
      </w:pPr>
      <w:r>
        <w:t>6.</w:t>
      </w:r>
      <w:r>
        <w:tab/>
        <w:t>Pending Court of Appeal matters</w:t>
      </w:r>
      <w:r>
        <w:tab/>
      </w:r>
      <w:r>
        <w:fldChar w:fldCharType="begin"/>
      </w:r>
      <w:r>
        <w:instrText xml:space="preserve"> PAGEREF _Toc33534758 \h </w:instrText>
      </w:r>
      <w:r>
        <w:fldChar w:fldCharType="separate"/>
      </w:r>
      <w:r>
        <w:t>417</w:t>
      </w:r>
      <w:r>
        <w:fldChar w:fldCharType="end"/>
      </w:r>
    </w:p>
    <w:p>
      <w:pPr>
        <w:pStyle w:val="TOC8"/>
        <w:rPr>
          <w:rFonts w:asciiTheme="minorHAnsi" w:eastAsiaTheme="minorEastAsia" w:hAnsiTheme="minorHAnsi" w:cstheme="minorBidi"/>
          <w:szCs w:val="22"/>
        </w:rPr>
      </w:pPr>
      <w:r>
        <w:t>7.</w:t>
      </w:r>
      <w:r>
        <w:tab/>
        <w:t>Further Court of Appeal matters</w:t>
      </w:r>
      <w:r>
        <w:tab/>
      </w:r>
      <w:r>
        <w:fldChar w:fldCharType="begin"/>
      </w:r>
      <w:r>
        <w:instrText xml:space="preserve"> PAGEREF _Toc33534759 \h </w:instrText>
      </w:r>
      <w:r>
        <w:fldChar w:fldCharType="separate"/>
      </w:r>
      <w:r>
        <w:t>418</w:t>
      </w:r>
      <w:r>
        <w:fldChar w:fldCharType="end"/>
      </w:r>
    </w:p>
    <w:p>
      <w:pPr>
        <w:pStyle w:val="TOC8"/>
        <w:rPr>
          <w:rFonts w:asciiTheme="minorHAnsi" w:eastAsiaTheme="minorEastAsia" w:hAnsiTheme="minorHAnsi" w:cstheme="minorBidi"/>
          <w:szCs w:val="22"/>
        </w:rPr>
      </w:pPr>
      <w:r>
        <w:t>8.</w:t>
      </w:r>
      <w:r>
        <w:tab/>
        <w:t>Continuation of Commissioner’s appointment</w:t>
      </w:r>
      <w:r>
        <w:tab/>
      </w:r>
      <w:r>
        <w:fldChar w:fldCharType="begin"/>
      </w:r>
      <w:r>
        <w:instrText xml:space="preserve"> PAGEREF _Toc33534760 \h </w:instrText>
      </w:r>
      <w:r>
        <w:fldChar w:fldCharType="separate"/>
      </w:r>
      <w:r>
        <w:t>418</w:t>
      </w:r>
      <w:r>
        <w:fldChar w:fldCharType="end"/>
      </w:r>
    </w:p>
    <w:p>
      <w:pPr>
        <w:pStyle w:val="TOC4"/>
        <w:tabs>
          <w:tab w:val="right" w:leader="dot" w:pos="7077"/>
        </w:tabs>
        <w:rPr>
          <w:rFonts w:asciiTheme="minorHAnsi" w:eastAsiaTheme="minorEastAsia" w:hAnsiTheme="minorHAnsi" w:cstheme="minorBidi"/>
          <w:b w:val="0"/>
          <w:szCs w:val="22"/>
        </w:rPr>
      </w:pPr>
      <w:r>
        <w:t>Division 2 — Workers’ Compensation and Injury Management Amendment Act 2018</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_Toc33534762 \h </w:instrText>
      </w:r>
      <w:r>
        <w:fldChar w:fldCharType="separate"/>
      </w:r>
      <w:r>
        <w:t>419</w:t>
      </w:r>
      <w:r>
        <w:fldChar w:fldCharType="end"/>
      </w:r>
    </w:p>
    <w:p>
      <w:pPr>
        <w:pStyle w:val="TOC8"/>
        <w:rPr>
          <w:rFonts w:asciiTheme="minorHAnsi" w:eastAsiaTheme="minorEastAsia" w:hAnsiTheme="minorHAnsi" w:cstheme="minorBidi"/>
          <w:szCs w:val="22"/>
        </w:rPr>
      </w:pPr>
      <w:r>
        <w:t>10.</w:t>
      </w:r>
      <w:r>
        <w:tab/>
        <w:t>Former provisions apply to deaths before commencement day</w:t>
      </w:r>
      <w:r>
        <w:tab/>
      </w:r>
      <w:r>
        <w:fldChar w:fldCharType="begin"/>
      </w:r>
      <w:r>
        <w:instrText xml:space="preserve"> PAGEREF _Toc33534763 \h </w:instrText>
      </w:r>
      <w:r>
        <w:fldChar w:fldCharType="separate"/>
      </w:r>
      <w:r>
        <w:t>419</w:t>
      </w:r>
      <w:r>
        <w:fldChar w:fldCharType="end"/>
      </w:r>
    </w:p>
    <w:p>
      <w:pPr>
        <w:pStyle w:val="TOC4"/>
        <w:tabs>
          <w:tab w:val="right" w:leader="dot" w:pos="7077"/>
        </w:tabs>
        <w:rPr>
          <w:rFonts w:asciiTheme="minorHAnsi" w:eastAsiaTheme="minorEastAsia" w:hAnsiTheme="minorHAnsi" w:cstheme="minorBidi"/>
          <w:b w:val="0"/>
          <w:szCs w:val="22"/>
        </w:rPr>
      </w:pPr>
      <w:r>
        <w:t>Notes</w:t>
      </w:r>
    </w:p>
    <w:p>
      <w:pPr>
        <w:pStyle w:val="TOC4"/>
        <w:tabs>
          <w:tab w:val="right" w:leader="dot" w:pos="7077"/>
        </w:tabs>
        <w:rPr>
          <w:rFonts w:asciiTheme="minorHAnsi" w:eastAsiaTheme="minorEastAsia" w:hAnsiTheme="minorHAnsi" w:cstheme="minorBidi"/>
          <w:b w:val="0"/>
          <w:szCs w:val="22"/>
        </w:rPr>
      </w:pPr>
      <w:r>
        <w:t>Compilation table</w:t>
      </w:r>
    </w:p>
    <w:p>
      <w:pPr>
        <w:pStyle w:val="TOC4"/>
        <w:tabs>
          <w:tab w:val="right" w:leader="dot" w:pos="7077"/>
        </w:tabs>
        <w:rPr>
          <w:rFonts w:asciiTheme="minorHAnsi" w:eastAsiaTheme="minorEastAsia" w:hAnsiTheme="minorHAnsi" w:cstheme="minorBidi"/>
          <w:b w:val="0"/>
          <w:szCs w:val="22"/>
        </w:rPr>
      </w:pPr>
      <w:r>
        <w:t>Uncommenced provisions table</w:t>
      </w:r>
    </w:p>
    <w:p>
      <w:pPr>
        <w:pStyle w:val="TOC4"/>
        <w:tabs>
          <w:tab w:val="right" w:leader="dot" w:pos="7077"/>
        </w:tabs>
        <w:rPr>
          <w:rFonts w:asciiTheme="minorHAnsi" w:eastAsiaTheme="minorEastAsia" w:hAnsiTheme="minorHAnsi" w:cstheme="minorBidi"/>
          <w:b w:val="0"/>
          <w:szCs w:val="22"/>
        </w:rPr>
      </w:pPr>
      <w:r>
        <w:t>Other notes</w:t>
      </w:r>
    </w:p>
    <w:p>
      <w:pPr>
        <w:pStyle w:val="TOC4"/>
        <w:tabs>
          <w:tab w:val="right" w:leader="dot" w:pos="7077"/>
        </w:tabs>
        <w:rPr>
          <w:rFonts w:asciiTheme="minorHAnsi" w:eastAsiaTheme="minorEastAsia" w:hAnsiTheme="minorHAnsi" w:cstheme="minorBidi"/>
          <w:b w:val="0"/>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200" w:after="112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Australia Authority </w:t>
      </w:r>
      <w:r>
        <w:rPr>
          <w:bCs/>
        </w:rPr>
        <w:t>to provide for the resolution of disputes,</w:t>
      </w:r>
      <w:r>
        <w:t xml:space="preserve"> and for related purposes.</w:t>
      </w:r>
    </w:p>
    <w:p>
      <w:pPr>
        <w:pStyle w:val="Footnotelongtitle"/>
      </w:pPr>
      <w:r>
        <w:tab/>
        <w:t>[Long title amended: No. 96 of 1990 s. 4; No. 48 of 1993 s. 28(1); No. 42 of 2004 s. 4; No. 31 of 2011 s. 78.]</w:t>
      </w:r>
    </w:p>
    <w:p>
      <w:pPr>
        <w:pStyle w:val="Heading2"/>
      </w:pPr>
      <w:bookmarkStart w:id="3" w:name="_Toc33534158"/>
      <w:r>
        <w:rPr>
          <w:rStyle w:val="CharPartNo"/>
        </w:rPr>
        <w:t>Part I</w:t>
      </w:r>
      <w:r>
        <w:rPr>
          <w:rStyle w:val="CharDivNo"/>
        </w:rPr>
        <w:t> </w:t>
      </w:r>
      <w:r>
        <w:t>—</w:t>
      </w:r>
      <w:r>
        <w:rPr>
          <w:rStyle w:val="CharDivText"/>
        </w:rPr>
        <w:t> </w:t>
      </w:r>
      <w:r>
        <w:rPr>
          <w:rStyle w:val="CharPartText"/>
        </w:rPr>
        <w:t>Preliminary</w:t>
      </w:r>
      <w:bookmarkEnd w:id="3"/>
    </w:p>
    <w:p>
      <w:pPr>
        <w:pStyle w:val="Heading5"/>
        <w:spacing w:before="260"/>
        <w:rPr>
          <w:snapToGrid w:val="0"/>
        </w:rPr>
      </w:pPr>
      <w:bookmarkStart w:id="4" w:name="_Toc33534159"/>
      <w:r>
        <w:rPr>
          <w:rStyle w:val="CharSectno"/>
        </w:rPr>
        <w:t>1</w:t>
      </w:r>
      <w:r>
        <w:rPr>
          <w:snapToGrid w:val="0"/>
        </w:rPr>
        <w:t>.</w:t>
      </w:r>
      <w:r>
        <w:rPr>
          <w:snapToGrid w:val="0"/>
        </w:rPr>
        <w:tab/>
        <w:t>Short title</w:t>
      </w:r>
      <w:bookmarkEnd w:id="4"/>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w:t>
      </w:r>
      <w:r>
        <w:rPr>
          <w:snapToGrid w:val="0"/>
        </w:rPr>
        <w:t>.</w:t>
      </w:r>
    </w:p>
    <w:p>
      <w:pPr>
        <w:pStyle w:val="Footnotesection"/>
      </w:pPr>
      <w:r>
        <w:tab/>
        <w:t>[Section 1 amended: No. 96 of 1990 s. 5; No. 42 of 2004 s. 5.]</w:t>
      </w:r>
    </w:p>
    <w:p>
      <w:pPr>
        <w:pStyle w:val="Heading5"/>
        <w:spacing w:before="260"/>
        <w:rPr>
          <w:snapToGrid w:val="0"/>
        </w:rPr>
      </w:pPr>
      <w:bookmarkStart w:id="5" w:name="_Toc33534160"/>
      <w:r>
        <w:rPr>
          <w:rStyle w:val="CharSectno"/>
        </w:rPr>
        <w:t>2</w:t>
      </w:r>
      <w:r>
        <w:rPr>
          <w:snapToGrid w:val="0"/>
        </w:rPr>
        <w:t>.</w:t>
      </w:r>
      <w:r>
        <w:rPr>
          <w:snapToGrid w:val="0"/>
        </w:rPr>
        <w:tab/>
        <w:t>Commencement</w:t>
      </w:r>
      <w:bookmarkEnd w:id="5"/>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w:t>
      </w:r>
    </w:p>
    <w:p>
      <w:pPr>
        <w:pStyle w:val="Heading5"/>
        <w:spacing w:before="260"/>
        <w:rPr>
          <w:snapToGrid w:val="0"/>
        </w:rPr>
      </w:pPr>
      <w:bookmarkStart w:id="6" w:name="_Toc33534161"/>
      <w:r>
        <w:rPr>
          <w:rStyle w:val="CharSectno"/>
        </w:rPr>
        <w:t>3</w:t>
      </w:r>
      <w:r>
        <w:rPr>
          <w:snapToGrid w:val="0"/>
        </w:rPr>
        <w:t>.</w:t>
      </w:r>
      <w:r>
        <w:rPr>
          <w:snapToGrid w:val="0"/>
        </w:rPr>
        <w:tab/>
        <w:t>Purposes</w:t>
      </w:r>
      <w:bookmarkEnd w:id="6"/>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Western Australia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to establish WorkCover WA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[Section 3 amended: No. 72 of 1992 s. 4; No. 48 of 1993 s. 28(1); No. 42 of 2004 s. 6, 146 and 148(1); No. 31 of 2011 s. 79.]</w:t>
      </w:r>
    </w:p>
    <w:p>
      <w:pPr>
        <w:pStyle w:val="Heading5"/>
        <w:rPr>
          <w:snapToGrid w:val="0"/>
        </w:rPr>
      </w:pPr>
      <w:bookmarkStart w:id="7" w:name="_Toc33534162"/>
      <w:r>
        <w:rPr>
          <w:rStyle w:val="CharSectno"/>
        </w:rPr>
        <w:t>4</w:t>
      </w:r>
      <w:r>
        <w:rPr>
          <w:snapToGrid w:val="0"/>
        </w:rPr>
        <w:t>.</w:t>
      </w:r>
      <w:r>
        <w:rPr>
          <w:snapToGrid w:val="0"/>
        </w:rPr>
        <w:tab/>
        <w:t>Application of Act generally</w:t>
      </w:r>
      <w:bookmarkEnd w:id="7"/>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No. 42 of 2004 s. 7, 146 and 147.]</w:t>
      </w:r>
    </w:p>
    <w:p>
      <w:pPr>
        <w:pStyle w:val="Heading5"/>
        <w:rPr>
          <w:snapToGrid w:val="0"/>
        </w:rPr>
      </w:pPr>
      <w:bookmarkStart w:id="8" w:name="_Toc33534163"/>
      <w:r>
        <w:rPr>
          <w:rStyle w:val="CharSectno"/>
        </w:rPr>
        <w:t>5</w:t>
      </w:r>
      <w:r>
        <w:rPr>
          <w:snapToGrid w:val="0"/>
        </w:rPr>
        <w:t>.</w:t>
      </w:r>
      <w:r>
        <w:rPr>
          <w:snapToGrid w:val="0"/>
        </w:rPr>
        <w:tab/>
        <w:t>Terms used</w:t>
      </w:r>
      <w:bookmarkEnd w:id="8"/>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WorkCover WA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tab/>
      </w:r>
      <w:r>
        <w:rPr>
          <w:rStyle w:val="CharDefText"/>
        </w:rPr>
        <w:t>chiropractor</w:t>
      </w:r>
      <w:r>
        <w:t xml:space="preserve"> means a person who is resident in this State and is registered under the </w:t>
      </w:r>
      <w:r>
        <w:rPr>
          <w:i/>
        </w:rPr>
        <w:t>Health Practitioner Regulation National Law (Western Australia)</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a person who is not resident in a State or Territory of the Commonwealth but who is recognised as a dentist for the purposes of this Act by WorkCover WA;</w:t>
      </w:r>
    </w:p>
    <w:p>
      <w:pPr>
        <w:pStyle w:val="Defstart"/>
      </w:pPr>
      <w:r>
        <w:tab/>
      </w:r>
      <w:r>
        <w:rPr>
          <w:rStyle w:val="CharDefText"/>
        </w:rPr>
        <w:t>dependant</w:t>
      </w:r>
      <w:r>
        <w:t xml:space="preserve"> of a deceased worker has the meaning given in Schedule 1A clause 3;</w:t>
      </w:r>
    </w:p>
    <w:p>
      <w:pPr>
        <w:pStyle w:val="Defstart"/>
      </w:pPr>
      <w:r>
        <w:tab/>
      </w:r>
      <w:r>
        <w:rPr>
          <w:rStyle w:val="CharDefText"/>
        </w:rPr>
        <w:t>Director</w:t>
      </w:r>
      <w:r>
        <w:t xml:space="preserve"> means the officer of WorkCover WA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spacing w:before="70"/>
      </w:pPr>
      <w:r>
        <w:rPr>
          <w:b/>
        </w:rPr>
        <w:tab/>
      </w:r>
      <w:r>
        <w:rPr>
          <w:rStyle w:val="CharDefText"/>
        </w:rPr>
        <w:t>Division</w:t>
      </w:r>
      <w:r>
        <w:t xml:space="preserve"> means a Division of the Part wherein the term is used;</w:t>
      </w:r>
    </w:p>
    <w:p>
      <w:pPr>
        <w:pStyle w:val="Defstart"/>
      </w:pPr>
      <w:r>
        <w:tab/>
      </w:r>
      <w:r>
        <w:rPr>
          <w:rStyle w:val="CharDefText"/>
        </w:rPr>
        <w:t>drug of addiction</w:t>
      </w:r>
      <w:r>
        <w:t xml:space="preserve"> has the meaning given in the </w:t>
      </w:r>
      <w:r>
        <w:rPr>
          <w:i/>
        </w:rPr>
        <w:t>Misuse of Drugs Act 1981</w:t>
      </w:r>
      <w:r>
        <w:t xml:space="preserve"> section 3(1);</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Ednotedefpara"/>
      </w:pPr>
      <w:r>
        <w:tab/>
        <w:t>[(c)</w:t>
      </w:r>
      <w:r>
        <w:tab/>
        <w:t>deleted]</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keepNext/>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tab/>
      </w:r>
      <w:r>
        <w:rPr>
          <w:rStyle w:val="CharDefText"/>
        </w:rPr>
        <w:t xml:space="preserve">Insurance Commission of Western Australia </w:t>
      </w:r>
      <w:r>
        <w:t xml:space="preserve">means the body continued under that name under the </w:t>
      </w:r>
      <w:r>
        <w:rPr>
          <w:i/>
        </w:rPr>
        <w:t>Insurance Commission of Western Australia Act 1986</w:t>
      </w:r>
      <w:r>
        <w:t>;</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(Western Australia)</w:t>
      </w:r>
      <w:r>
        <w:t xml:space="preserve"> in the medical profession;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(Western Australia)</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WorkCover WA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who is not resident in the State, but who is recognised as a specialist for the purposes of this Act by WorkCover WA;</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WorkCover WA under section 146R;</w:t>
      </w:r>
    </w:p>
    <w:p>
      <w:pPr>
        <w:pStyle w:val="Defstart"/>
      </w:pPr>
      <w:r>
        <w:rPr>
          <w:b/>
        </w:rPr>
        <w:tab/>
      </w:r>
      <w:r>
        <w:rPr>
          <w:rStyle w:val="CharDefText"/>
        </w:rPr>
        <w:t>WorkCover WA</w:t>
      </w:r>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27; No. 13 of 2014 s. 191; No. 50 of 2016 s. 13; No. 8 of 2018 s. 4.]</w:t>
      </w:r>
    </w:p>
    <w:p>
      <w:pPr>
        <w:pStyle w:val="Heading5"/>
      </w:pPr>
      <w:bookmarkStart w:id="9" w:name="_Toc33534164"/>
      <w:r>
        <w:rPr>
          <w:rStyle w:val="CharSectno"/>
        </w:rPr>
        <w:t>5A</w:t>
      </w:r>
      <w:r>
        <w:t>.</w:t>
      </w:r>
      <w:r>
        <w:tab/>
        <w:t>Indexation of certain amounts</w:t>
      </w:r>
      <w:bookmarkEnd w:id="9"/>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No. 34 of 1999 s. 5.]</w:t>
      </w:r>
    </w:p>
    <w:p>
      <w:pPr>
        <w:pStyle w:val="Heading2"/>
      </w:pPr>
      <w:bookmarkStart w:id="10" w:name="_Toc33534165"/>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0"/>
    </w:p>
    <w:p>
      <w:pPr>
        <w:pStyle w:val="Heading5"/>
        <w:rPr>
          <w:snapToGrid w:val="0"/>
        </w:rPr>
      </w:pPr>
      <w:bookmarkStart w:id="11" w:name="_Toc33534166"/>
      <w:r>
        <w:rPr>
          <w:rStyle w:val="CharSectno"/>
        </w:rPr>
        <w:t>6</w:t>
      </w:r>
      <w:r>
        <w:rPr>
          <w:snapToGrid w:val="0"/>
        </w:rPr>
        <w:t>.</w:t>
      </w:r>
      <w:r>
        <w:rPr>
          <w:snapToGrid w:val="0"/>
        </w:rPr>
        <w:tab/>
        <w:t>Local governments and other authorities</w:t>
      </w:r>
      <w:bookmarkEnd w:id="11"/>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No. 14 of 1996 s. 4.]</w:t>
      </w:r>
    </w:p>
    <w:p>
      <w:pPr>
        <w:pStyle w:val="Heading5"/>
        <w:spacing w:before="240"/>
        <w:rPr>
          <w:snapToGrid w:val="0"/>
        </w:rPr>
      </w:pPr>
      <w:bookmarkStart w:id="12" w:name="_Toc33534167"/>
      <w:r>
        <w:rPr>
          <w:rStyle w:val="CharSectno"/>
        </w:rPr>
        <w:t>7</w:t>
      </w:r>
      <w:r>
        <w:rPr>
          <w:snapToGrid w:val="0"/>
        </w:rPr>
        <w:t>.</w:t>
      </w:r>
      <w:r>
        <w:rPr>
          <w:snapToGrid w:val="0"/>
        </w:rPr>
        <w:tab/>
        <w:t>Tributers</w:t>
      </w:r>
      <w:bookmarkEnd w:id="12"/>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No. 42 of 2004 s. 9.]</w:t>
      </w:r>
    </w:p>
    <w:p>
      <w:pPr>
        <w:pStyle w:val="Heading5"/>
        <w:spacing w:before="240"/>
        <w:rPr>
          <w:snapToGrid w:val="0"/>
        </w:rPr>
      </w:pPr>
      <w:bookmarkStart w:id="13" w:name="_Toc33534168"/>
      <w:r>
        <w:rPr>
          <w:rStyle w:val="CharSectno"/>
        </w:rPr>
        <w:t>8</w:t>
      </w:r>
      <w:r>
        <w:rPr>
          <w:snapToGrid w:val="0"/>
        </w:rPr>
        <w:t>.</w:t>
      </w:r>
      <w:r>
        <w:rPr>
          <w:snapToGrid w:val="0"/>
        </w:rPr>
        <w:tab/>
        <w:t>Baptist clergymen</w:t>
      </w:r>
      <w:bookmarkEnd w:id="13"/>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14" w:name="_Toc33534169"/>
      <w:r>
        <w:rPr>
          <w:rStyle w:val="CharSectno"/>
        </w:rPr>
        <w:t>9</w:t>
      </w:r>
      <w:r>
        <w:rPr>
          <w:snapToGrid w:val="0"/>
        </w:rPr>
        <w:t>.</w:t>
      </w:r>
      <w:r>
        <w:rPr>
          <w:snapToGrid w:val="0"/>
        </w:rPr>
        <w:tab/>
        <w:t>Anglican clergy</w:t>
      </w:r>
      <w:bookmarkEnd w:id="14"/>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[Section 9 inserted: No. 72 of 1992 s. 5.]</w:t>
      </w:r>
    </w:p>
    <w:p>
      <w:pPr>
        <w:pStyle w:val="Heading5"/>
        <w:rPr>
          <w:snapToGrid w:val="0"/>
        </w:rPr>
      </w:pPr>
      <w:bookmarkStart w:id="15" w:name="_Toc33534170"/>
      <w:r>
        <w:rPr>
          <w:rStyle w:val="CharSectno"/>
        </w:rPr>
        <w:t>10</w:t>
      </w:r>
      <w:r>
        <w:rPr>
          <w:snapToGrid w:val="0"/>
        </w:rPr>
        <w:t>.</w:t>
      </w:r>
      <w:r>
        <w:rPr>
          <w:snapToGrid w:val="0"/>
        </w:rPr>
        <w:tab/>
        <w:t>Other clergymen</w:t>
      </w:r>
      <w:bookmarkEnd w:id="15"/>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6" w:name="_Toc33534171"/>
      <w:r>
        <w:rPr>
          <w:rStyle w:val="CharSectno"/>
        </w:rPr>
        <w:t>10A</w:t>
      </w:r>
      <w:r>
        <w:t>.</w:t>
      </w:r>
      <w:r>
        <w:tab/>
        <w:t>Working directors</w:t>
      </w:r>
      <w:bookmarkEnd w:id="16"/>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No. 16 of 2005 s. 9(1); amended: No. 31 of 2011 s. 81.]</w:t>
      </w:r>
    </w:p>
    <w:p>
      <w:pPr>
        <w:pStyle w:val="Heading5"/>
        <w:rPr>
          <w:snapToGrid w:val="0"/>
        </w:rPr>
      </w:pPr>
      <w:bookmarkStart w:id="17" w:name="_Toc33534172"/>
      <w:r>
        <w:rPr>
          <w:rStyle w:val="CharSectno"/>
        </w:rPr>
        <w:t>11</w:t>
      </w:r>
      <w:r>
        <w:rPr>
          <w:snapToGrid w:val="0"/>
        </w:rPr>
        <w:t>.</w:t>
      </w:r>
      <w:r>
        <w:rPr>
          <w:snapToGrid w:val="0"/>
        </w:rPr>
        <w:tab/>
        <w:t>Contracted sporting contestants are not workers</w:t>
      </w:r>
      <w:bookmarkEnd w:id="17"/>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No. 44 of 1985 s. 5; No. 34 of 1999 s. 7.]</w:t>
      </w:r>
    </w:p>
    <w:p>
      <w:pPr>
        <w:pStyle w:val="Heading5"/>
      </w:pPr>
      <w:bookmarkStart w:id="18" w:name="_Toc33534173"/>
      <w:r>
        <w:rPr>
          <w:rStyle w:val="CharSectno"/>
        </w:rPr>
        <w:t>11A</w:t>
      </w:r>
      <w:r>
        <w:t>.</w:t>
      </w:r>
      <w:r>
        <w:tab/>
        <w:t>Jockeys</w:t>
      </w:r>
      <w:bookmarkEnd w:id="18"/>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Racing and Wagering Western Australia Act 2003</w:t>
      </w:r>
      <w:r>
        <w:t>;</w:t>
      </w:r>
    </w:p>
    <w:p>
      <w:pPr>
        <w:pStyle w:val="Defstart"/>
      </w:pPr>
      <w:r>
        <w:tab/>
      </w:r>
      <w:r>
        <w:rPr>
          <w:rStyle w:val="CharDefText"/>
        </w:rPr>
        <w:t>licensed jockey</w:t>
      </w:r>
      <w:r>
        <w:t xml:space="preserve"> means a person licensed as a jockey under the </w:t>
      </w:r>
      <w:r>
        <w:rPr>
          <w:i/>
        </w:rPr>
        <w:t>Racing and Wagering Western Australia Act 2003</w:t>
      </w:r>
      <w:r>
        <w:t>;</w:t>
      </w:r>
    </w:p>
    <w:p>
      <w:pPr>
        <w:pStyle w:val="Defstart"/>
      </w:pPr>
      <w:r>
        <w:tab/>
      </w:r>
      <w:r>
        <w:rPr>
          <w:rStyle w:val="CharDefText"/>
        </w:rPr>
        <w:t>licensed trainer</w:t>
      </w:r>
      <w:r>
        <w:t xml:space="preserve"> means a person licensed as a trainer of thoroughbred racing horses under the </w:t>
      </w:r>
      <w:r>
        <w:rPr>
          <w:i/>
        </w:rPr>
        <w:t>Racing and Wagering Western Australia Act 2003</w:t>
      </w:r>
      <w:r>
        <w:t>;</w:t>
      </w:r>
    </w:p>
    <w:p>
      <w:pPr>
        <w:pStyle w:val="Defstart"/>
      </w:pPr>
      <w:r>
        <w:tab/>
      </w:r>
      <w:r>
        <w:rPr>
          <w:rStyle w:val="CharDefText"/>
        </w:rPr>
        <w:t>registered club</w:t>
      </w:r>
      <w:r>
        <w:t xml:space="preserve"> means a racing club registered under the </w:t>
      </w:r>
      <w:r>
        <w:rPr>
          <w:i/>
        </w:rPr>
        <w:t>Racing and Wagering Western Australia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pPr>
      <w:r>
        <w:tab/>
        <w:t>(ii)</w:t>
      </w:r>
      <w:r>
        <w:tab/>
        <w:t>with respect to injuries occurring on or after the relevant day, the licensed trainer for whom the worker is engaged.</w:t>
      </w:r>
    </w:p>
    <w:p>
      <w:pPr>
        <w:pStyle w:val="Footnotesection"/>
      </w:pPr>
      <w:r>
        <w:tab/>
        <w:t>[Section 11A inserted: No. 45 of 2012 s. 4.]</w:t>
      </w:r>
    </w:p>
    <w:p>
      <w:pPr>
        <w:pStyle w:val="Heading5"/>
        <w:rPr>
          <w:snapToGrid w:val="0"/>
        </w:rPr>
      </w:pPr>
      <w:bookmarkStart w:id="19" w:name="_Toc33534174"/>
      <w:r>
        <w:rPr>
          <w:rStyle w:val="CharSectno"/>
        </w:rPr>
        <w:t>12</w:t>
      </w:r>
      <w:r>
        <w:rPr>
          <w:snapToGrid w:val="0"/>
        </w:rPr>
        <w:t>.</w:t>
      </w:r>
      <w:r>
        <w:rPr>
          <w:snapToGrid w:val="0"/>
        </w:rPr>
        <w:tab/>
        <w:t>Compensation not payable in some cases for injury or death before 28 Nov 1977</w:t>
      </w:r>
      <w:bookmarkEnd w:id="19"/>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2</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No. 42 of 2004 s. 11, 146 and 147.]</w:t>
      </w:r>
    </w:p>
    <w:p>
      <w:pPr>
        <w:pStyle w:val="Heading5"/>
        <w:rPr>
          <w:snapToGrid w:val="0"/>
        </w:rPr>
      </w:pPr>
      <w:bookmarkStart w:id="20" w:name="_Toc33534175"/>
      <w:r>
        <w:rPr>
          <w:rStyle w:val="CharSectno"/>
        </w:rPr>
        <w:t>13</w:t>
      </w:r>
      <w:r>
        <w:rPr>
          <w:snapToGrid w:val="0"/>
        </w:rPr>
        <w:t>.</w:t>
      </w:r>
      <w:r>
        <w:rPr>
          <w:snapToGrid w:val="0"/>
        </w:rPr>
        <w:tab/>
        <w:t>Act s. 11 and 12 do not affect case where compensation paid before 28 Nov 1977</w:t>
      </w:r>
      <w:bookmarkEnd w:id="20"/>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No. 42 of 2004 s. 146 and 147.]</w:t>
      </w:r>
    </w:p>
    <w:p>
      <w:pPr>
        <w:pStyle w:val="Heading5"/>
        <w:rPr>
          <w:snapToGrid w:val="0"/>
        </w:rPr>
      </w:pPr>
      <w:bookmarkStart w:id="21" w:name="_Toc33534176"/>
      <w:r>
        <w:rPr>
          <w:rStyle w:val="CharSectno"/>
        </w:rPr>
        <w:t>14</w:t>
      </w:r>
      <w:r>
        <w:rPr>
          <w:snapToGrid w:val="0"/>
        </w:rPr>
        <w:t>.</w:t>
      </w:r>
      <w:r>
        <w:rPr>
          <w:snapToGrid w:val="0"/>
        </w:rPr>
        <w:tab/>
        <w:t>Workers employed by Crown</w:t>
      </w:r>
      <w:bookmarkEnd w:id="21"/>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No. 44 of 1985 s. 7; No. 40 of 1992 s. 13; No. 42 of 2004 s. 148(1).]</w:t>
      </w:r>
    </w:p>
    <w:p>
      <w:pPr>
        <w:pStyle w:val="Ednotesection"/>
        <w:outlineLvl w:val="9"/>
      </w:pPr>
      <w:r>
        <w:t>[</w:t>
      </w:r>
      <w:r>
        <w:rPr>
          <w:b/>
        </w:rPr>
        <w:t>15.</w:t>
      </w:r>
      <w:r>
        <w:tab/>
        <w:t>Deleted: No. 36 of 2004 s. 5.]</w:t>
      </w:r>
    </w:p>
    <w:p>
      <w:pPr>
        <w:pStyle w:val="Heading5"/>
        <w:keepLines w:val="0"/>
        <w:rPr>
          <w:snapToGrid w:val="0"/>
        </w:rPr>
      </w:pPr>
      <w:bookmarkStart w:id="22" w:name="_Toc33534177"/>
      <w:r>
        <w:rPr>
          <w:rStyle w:val="CharSectno"/>
        </w:rPr>
        <w:t>16</w:t>
      </w:r>
      <w:r>
        <w:rPr>
          <w:snapToGrid w:val="0"/>
        </w:rPr>
        <w:t>.</w:t>
      </w:r>
      <w:r>
        <w:rPr>
          <w:snapToGrid w:val="0"/>
        </w:rPr>
        <w:tab/>
        <w:t>Workers employed on some ships</w:t>
      </w:r>
      <w:bookmarkEnd w:id="22"/>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3</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No. 44 of 1985 s. 8; No. 36 of 2004 s. 6 and 16; No. 42 of 2004 s. 147 and 148(3).]</w:t>
      </w:r>
    </w:p>
    <w:p>
      <w:pPr>
        <w:pStyle w:val="Heading5"/>
        <w:rPr>
          <w:snapToGrid w:val="0"/>
        </w:rPr>
      </w:pPr>
      <w:bookmarkStart w:id="23" w:name="_Toc33534178"/>
      <w:r>
        <w:rPr>
          <w:rStyle w:val="CharSectno"/>
        </w:rPr>
        <w:t>17</w:t>
      </w:r>
      <w:r>
        <w:rPr>
          <w:snapToGrid w:val="0"/>
        </w:rPr>
        <w:t>.</w:t>
      </w:r>
      <w:r>
        <w:rPr>
          <w:snapToGrid w:val="0"/>
        </w:rPr>
        <w:tab/>
        <w:t>Crew of fishing vessel</w:t>
      </w:r>
      <w:bookmarkEnd w:id="23"/>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No. 42 of 2004 s. 148(1).]</w:t>
      </w:r>
    </w:p>
    <w:p>
      <w:pPr>
        <w:pStyle w:val="Heading2"/>
      </w:pPr>
      <w:bookmarkStart w:id="24" w:name="_Toc33534179"/>
      <w:r>
        <w:rPr>
          <w:rStyle w:val="CharPartNo"/>
        </w:rPr>
        <w:t>Part III</w:t>
      </w:r>
      <w:r>
        <w:t> — </w:t>
      </w:r>
      <w:r>
        <w:rPr>
          <w:rStyle w:val="CharPartText"/>
        </w:rPr>
        <w:t>Compensation</w:t>
      </w:r>
      <w:bookmarkEnd w:id="24"/>
    </w:p>
    <w:p>
      <w:pPr>
        <w:pStyle w:val="Heading3"/>
      </w:pPr>
      <w:bookmarkStart w:id="25" w:name="_Toc33534180"/>
      <w:r>
        <w:rPr>
          <w:rStyle w:val="CharDivNo"/>
        </w:rPr>
        <w:t>Division 1</w:t>
      </w:r>
      <w:r>
        <w:t> — </w:t>
      </w:r>
      <w:r>
        <w:rPr>
          <w:rStyle w:val="CharDivText"/>
        </w:rPr>
        <w:t>Injury: general</w:t>
      </w:r>
      <w:bookmarkEnd w:id="25"/>
    </w:p>
    <w:p>
      <w:pPr>
        <w:pStyle w:val="Footnoteheading"/>
      </w:pPr>
      <w:r>
        <w:tab/>
        <w:t>[Heading inserted: No. 42 of 2004 s. 12.]</w:t>
      </w:r>
    </w:p>
    <w:p>
      <w:pPr>
        <w:pStyle w:val="Heading5"/>
        <w:rPr>
          <w:snapToGrid w:val="0"/>
        </w:rPr>
      </w:pPr>
      <w:bookmarkStart w:id="26" w:name="_Toc33534181"/>
      <w:r>
        <w:rPr>
          <w:rStyle w:val="CharSectno"/>
        </w:rPr>
        <w:t>18</w:t>
      </w:r>
      <w:r>
        <w:rPr>
          <w:snapToGrid w:val="0"/>
        </w:rPr>
        <w:t>.</w:t>
      </w:r>
      <w:r>
        <w:rPr>
          <w:snapToGrid w:val="0"/>
        </w:rPr>
        <w:tab/>
        <w:t>Employers liable to pay compensation for injuries to workers</w:t>
      </w:r>
      <w:bookmarkEnd w:id="26"/>
    </w:p>
    <w:p>
      <w:pPr>
        <w:pStyle w:val="Subsection"/>
        <w:tabs>
          <w:tab w:val="left" w:pos="2400"/>
        </w:tabs>
        <w:rPr>
          <w:snapToGrid w:val="0"/>
        </w:rPr>
      </w:pPr>
      <w:r>
        <w:rPr>
          <w:snapToGrid w:val="0"/>
        </w:rPr>
        <w:tab/>
      </w:r>
      <w:r>
        <w:t>(1)</w:t>
      </w:r>
      <w:r>
        <w:tab/>
        <w:t>If an injury</w:t>
      </w:r>
      <w:r>
        <w:rPr>
          <w:snapToGrid w:val="0"/>
        </w:rPr>
        <w:t xml:space="preserve"> of a worker occurs, the employer shall, subject to this Act, be liable to pay compensation in accordance with Schedule 1.</w:t>
      </w:r>
    </w:p>
    <w:p>
      <w:pPr>
        <w:pStyle w:val="Subsection"/>
      </w:pPr>
      <w:r>
        <w:tab/>
        <w:t>(2)</w:t>
      </w:r>
      <w:r>
        <w:tab/>
        <w:t>If an injury of a worker occurs and the worker dies, the employer shall, subject to this Act, be liable to pay compensation in accordance with Schedule 1A.</w:t>
      </w:r>
    </w:p>
    <w:p>
      <w:pPr>
        <w:pStyle w:val="Subsection"/>
      </w:pPr>
      <w:r>
        <w:tab/>
        <w:t>(3)</w:t>
      </w:r>
      <w:r>
        <w:tab/>
        <w:t>Subsection (2) does not limit the application of Schedule 5 in relation to the death of the worker.</w:t>
      </w:r>
    </w:p>
    <w:p>
      <w:pPr>
        <w:pStyle w:val="Footnotesection"/>
      </w:pPr>
      <w:r>
        <w:tab/>
        <w:t>[Section 18 amended: No. 42 of 2004 s. 146; No. 8 of 2018 s. 5.]</w:t>
      </w:r>
    </w:p>
    <w:p>
      <w:pPr>
        <w:pStyle w:val="Heading5"/>
        <w:rPr>
          <w:snapToGrid w:val="0"/>
        </w:rPr>
      </w:pPr>
      <w:bookmarkStart w:id="27" w:name="_Toc33534182"/>
      <w:r>
        <w:rPr>
          <w:rStyle w:val="CharSectno"/>
        </w:rPr>
        <w:t>19</w:t>
      </w:r>
      <w:r>
        <w:rPr>
          <w:snapToGrid w:val="0"/>
        </w:rPr>
        <w:t>.</w:t>
      </w:r>
      <w:r>
        <w:rPr>
          <w:snapToGrid w:val="0"/>
        </w:rPr>
        <w:tab/>
        <w:t>Personal injury by accident arising out of or in course of employment, meaning of</w:t>
      </w:r>
      <w:bookmarkEnd w:id="27"/>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No. 48 of 1993 s. 30.]</w:t>
      </w:r>
    </w:p>
    <w:p>
      <w:pPr>
        <w:pStyle w:val="Heading5"/>
      </w:pPr>
      <w:bookmarkStart w:id="28" w:name="_Toc33534183"/>
      <w:r>
        <w:rPr>
          <w:rStyle w:val="CharSectno"/>
        </w:rPr>
        <w:t>20</w:t>
      </w:r>
      <w:r>
        <w:t>.</w:t>
      </w:r>
      <w:r>
        <w:tab/>
        <w:t>Compensation not payable unless worker’s employment connected with WA</w:t>
      </w:r>
      <w:bookmarkEnd w:id="28"/>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No. 36 of 2004 s. 7; amended: No. 36 of 2004 s. 17(4).]</w:t>
      </w:r>
    </w:p>
    <w:p>
      <w:pPr>
        <w:pStyle w:val="Heading5"/>
        <w:spacing w:before="180"/>
        <w:rPr>
          <w:snapToGrid w:val="0"/>
        </w:rPr>
      </w:pPr>
      <w:bookmarkStart w:id="29" w:name="_Toc33534184"/>
      <w:r>
        <w:rPr>
          <w:rStyle w:val="CharSectno"/>
        </w:rPr>
        <w:t>21</w:t>
      </w:r>
      <w:r>
        <w:rPr>
          <w:snapToGrid w:val="0"/>
        </w:rPr>
        <w:t>.</w:t>
      </w:r>
      <w:r>
        <w:rPr>
          <w:snapToGrid w:val="0"/>
        </w:rPr>
        <w:tab/>
        <w:t>Compensation payable from date of incapacity</w:t>
      </w:r>
      <w:bookmarkEnd w:id="29"/>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No. 42 of 2004 s. 147.]</w:t>
      </w:r>
    </w:p>
    <w:p>
      <w:pPr>
        <w:pStyle w:val="Heading5"/>
        <w:spacing w:before="180"/>
        <w:rPr>
          <w:snapToGrid w:val="0"/>
        </w:rPr>
      </w:pPr>
      <w:bookmarkStart w:id="30" w:name="_Toc33534185"/>
      <w:r>
        <w:rPr>
          <w:rStyle w:val="CharSectno"/>
        </w:rPr>
        <w:t>22</w:t>
      </w:r>
      <w:r>
        <w:rPr>
          <w:snapToGrid w:val="0"/>
        </w:rPr>
        <w:t>.</w:t>
      </w:r>
      <w:r>
        <w:rPr>
          <w:snapToGrid w:val="0"/>
        </w:rPr>
        <w:tab/>
        <w:t>Serious and wilful misconduct by worker, effect of</w:t>
      </w:r>
      <w:bookmarkEnd w:id="30"/>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No. 42 of 2004 s. 13 and 147.]</w:t>
      </w:r>
    </w:p>
    <w:p>
      <w:pPr>
        <w:pStyle w:val="Heading5"/>
      </w:pPr>
      <w:bookmarkStart w:id="31" w:name="_Toc33534186"/>
      <w:r>
        <w:rPr>
          <w:rStyle w:val="CharSectno"/>
        </w:rPr>
        <w:t>23</w:t>
      </w:r>
      <w:r>
        <w:t>.</w:t>
      </w:r>
      <w:r>
        <w:tab/>
        <w:t>Person not to be compensated twice</w:t>
      </w:r>
      <w:bookmarkEnd w:id="31"/>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No. 36 of 2004 s. 8.]</w:t>
      </w:r>
    </w:p>
    <w:p>
      <w:pPr>
        <w:pStyle w:val="Heading3"/>
      </w:pPr>
      <w:bookmarkStart w:id="32" w:name="_Toc33534187"/>
      <w:r>
        <w:rPr>
          <w:rStyle w:val="CharDivNo"/>
        </w:rPr>
        <w:t>Division 1a</w:t>
      </w:r>
      <w:r>
        <w:t> — </w:t>
      </w:r>
      <w:r>
        <w:rPr>
          <w:rStyle w:val="CharDivText"/>
        </w:rPr>
        <w:t>Determination by courts and recognition of determination</w:t>
      </w:r>
      <w:bookmarkEnd w:id="32"/>
    </w:p>
    <w:p>
      <w:pPr>
        <w:pStyle w:val="Footnoteheading"/>
        <w:tabs>
          <w:tab w:val="left" w:pos="851"/>
        </w:tabs>
        <w:spacing w:before="100"/>
      </w:pPr>
      <w:r>
        <w:tab/>
        <w:t>[Heading inserted: No. 36 of 2004 s. 9.]</w:t>
      </w:r>
    </w:p>
    <w:p>
      <w:pPr>
        <w:pStyle w:val="Heading5"/>
      </w:pPr>
      <w:bookmarkStart w:id="33" w:name="_Toc33534188"/>
      <w:r>
        <w:rPr>
          <w:rStyle w:val="CharSectno"/>
        </w:rPr>
        <w:t>23A</w:t>
      </w:r>
      <w:r>
        <w:t>.</w:t>
      </w:r>
      <w:r>
        <w:tab/>
        <w:t>Term used: court</w:t>
      </w:r>
      <w:bookmarkEnd w:id="33"/>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No. 36 of 2004 s. 9.]</w:t>
      </w:r>
    </w:p>
    <w:p>
      <w:pPr>
        <w:pStyle w:val="Heading5"/>
      </w:pPr>
      <w:bookmarkStart w:id="34" w:name="_Toc33534189"/>
      <w:r>
        <w:rPr>
          <w:rStyle w:val="CharSectno"/>
        </w:rPr>
        <w:t>23B</w:t>
      </w:r>
      <w:r>
        <w:t>.</w:t>
      </w:r>
      <w:r>
        <w:tab/>
        <w:t>Determining if WA is connected with worker’s employment</w:t>
      </w:r>
      <w:bookmarkEnd w:id="34"/>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No. 36 of 2004 s. 9.]</w:t>
      </w:r>
    </w:p>
    <w:p>
      <w:pPr>
        <w:pStyle w:val="Heading5"/>
      </w:pPr>
      <w:bookmarkStart w:id="35" w:name="_Toc33534190"/>
      <w:r>
        <w:rPr>
          <w:rStyle w:val="CharSectno"/>
        </w:rPr>
        <w:t>23C</w:t>
      </w:r>
      <w:r>
        <w:t>.</w:t>
      </w:r>
      <w:r>
        <w:tab/>
        <w:t>Application to District Court to determine which State is connected with worker’s employment</w:t>
      </w:r>
      <w:bookmarkEnd w:id="35"/>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No. 36 of 2004 s. 9.]</w:t>
      </w:r>
    </w:p>
    <w:p>
      <w:pPr>
        <w:pStyle w:val="Heading5"/>
      </w:pPr>
      <w:bookmarkStart w:id="36" w:name="_Toc33534191"/>
      <w:r>
        <w:rPr>
          <w:rStyle w:val="CharSectno"/>
        </w:rPr>
        <w:t>23D</w:t>
      </w:r>
      <w:r>
        <w:t>.</w:t>
      </w:r>
      <w:r>
        <w:tab/>
        <w:t>Recognition of previous determinations</w:t>
      </w:r>
      <w:bookmarkEnd w:id="36"/>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No. 36 of 2004 s. 9.]</w:t>
      </w:r>
    </w:p>
    <w:p>
      <w:pPr>
        <w:pStyle w:val="Heading5"/>
        <w:spacing w:before="180"/>
      </w:pPr>
      <w:bookmarkStart w:id="37" w:name="_Toc33534192"/>
      <w:r>
        <w:rPr>
          <w:rStyle w:val="CharSectno"/>
        </w:rPr>
        <w:t>23E</w:t>
      </w:r>
      <w:r>
        <w:t>.</w:t>
      </w:r>
      <w:r>
        <w:tab/>
        <w:t>Determination may be made by consent</w:t>
      </w:r>
      <w:bookmarkEnd w:id="37"/>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No. 36 of 2004 s. 9.]</w:t>
      </w:r>
    </w:p>
    <w:p>
      <w:pPr>
        <w:pStyle w:val="Heading3"/>
      </w:pPr>
      <w:bookmarkStart w:id="38" w:name="_Toc33534193"/>
      <w:r>
        <w:rPr>
          <w:rStyle w:val="CharDivNo"/>
        </w:rPr>
        <w:t>Division 2</w:t>
      </w:r>
      <w:r>
        <w:t> — </w:t>
      </w:r>
      <w:r>
        <w:rPr>
          <w:rStyle w:val="CharDivText"/>
        </w:rPr>
        <w:t>Discontinued regime for lump sum payments for specified injuries</w:t>
      </w:r>
      <w:bookmarkEnd w:id="38"/>
    </w:p>
    <w:p>
      <w:pPr>
        <w:pStyle w:val="Footnoteheading"/>
      </w:pPr>
      <w:r>
        <w:tab/>
        <w:t>[Heading inserted: No. 42 of 2004 s. 14.]</w:t>
      </w:r>
    </w:p>
    <w:p>
      <w:pPr>
        <w:pStyle w:val="Heading5"/>
        <w:spacing w:before="180"/>
        <w:rPr>
          <w:snapToGrid w:val="0"/>
        </w:rPr>
      </w:pPr>
      <w:bookmarkStart w:id="39" w:name="_Toc33534194"/>
      <w:r>
        <w:rPr>
          <w:rStyle w:val="CharSectno"/>
        </w:rPr>
        <w:t>24</w:t>
      </w:r>
      <w:r>
        <w:rPr>
          <w:snapToGrid w:val="0"/>
        </w:rPr>
        <w:t>.</w:t>
      </w:r>
      <w:r>
        <w:rPr>
          <w:snapToGrid w:val="0"/>
        </w:rPr>
        <w:tab/>
        <w:t>Injuries in Sch. 2 occurring before 14 Nov 2005, worker may elect to get lump sum for</w:t>
      </w:r>
      <w:bookmarkEnd w:id="39"/>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No. 44 of 1985 s. 9; No. 36 of 1988 s. 5; No. 42 of 2004 s. 15.]</w:t>
      </w:r>
    </w:p>
    <w:p>
      <w:pPr>
        <w:pStyle w:val="Heading5"/>
        <w:spacing w:before="180"/>
        <w:rPr>
          <w:snapToGrid w:val="0"/>
        </w:rPr>
      </w:pPr>
      <w:bookmarkStart w:id="40" w:name="_Toc33534195"/>
      <w:r>
        <w:rPr>
          <w:rStyle w:val="CharSectno"/>
        </w:rPr>
        <w:t>24A</w:t>
      </w:r>
      <w:r>
        <w:rPr>
          <w:snapToGrid w:val="0"/>
        </w:rPr>
        <w:t>.</w:t>
      </w:r>
      <w:r>
        <w:rPr>
          <w:snapToGrid w:val="0"/>
        </w:rPr>
        <w:tab/>
        <w:t>Noise induced hearing loss, worker may elect to get lump sum for in some cases</w:t>
      </w:r>
      <w:bookmarkEnd w:id="40"/>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No. 36 of 1988 s. 6; amended: No. 42 of 2004 s. 16; No. 31 of 2011 s. 82.]</w:t>
      </w:r>
    </w:p>
    <w:p>
      <w:pPr>
        <w:pStyle w:val="Heading5"/>
        <w:spacing w:before="240"/>
        <w:rPr>
          <w:snapToGrid w:val="0"/>
        </w:rPr>
      </w:pPr>
      <w:bookmarkStart w:id="41" w:name="_Toc33534196"/>
      <w:r>
        <w:rPr>
          <w:rStyle w:val="CharSectno"/>
        </w:rPr>
        <w:t>24B</w:t>
      </w:r>
      <w:r>
        <w:rPr>
          <w:snapToGrid w:val="0"/>
        </w:rPr>
        <w:t>.</w:t>
      </w:r>
      <w:r>
        <w:rPr>
          <w:snapToGrid w:val="0"/>
        </w:rPr>
        <w:tab/>
        <w:t>Election under s. 24 or 24A</w:t>
      </w:r>
      <w:bookmarkEnd w:id="41"/>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No. 36 of 1988 s. 6; amended: No. 48 of 1993 s. 28(1); No. 34 of 1999 s. 8; No. 42 of 2004 s. 17 and 149.]</w:t>
      </w:r>
    </w:p>
    <w:p>
      <w:pPr>
        <w:pStyle w:val="Heading5"/>
        <w:rPr>
          <w:snapToGrid w:val="0"/>
        </w:rPr>
      </w:pPr>
      <w:bookmarkStart w:id="42" w:name="_Toc33534197"/>
      <w:r>
        <w:rPr>
          <w:rStyle w:val="CharSectno"/>
        </w:rPr>
        <w:t>25</w:t>
      </w:r>
      <w:r>
        <w:rPr>
          <w:snapToGrid w:val="0"/>
        </w:rPr>
        <w:t>.</w:t>
      </w:r>
      <w:r>
        <w:rPr>
          <w:snapToGrid w:val="0"/>
        </w:rPr>
        <w:tab/>
        <w:t>Term used: loss of</w:t>
      </w:r>
      <w:bookmarkEnd w:id="42"/>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43" w:name="_Toc33534198"/>
      <w:r>
        <w:rPr>
          <w:rStyle w:val="CharSectno"/>
        </w:rPr>
        <w:t>26</w:t>
      </w:r>
      <w:r>
        <w:rPr>
          <w:snapToGrid w:val="0"/>
        </w:rPr>
        <w:t>.</w:t>
      </w:r>
      <w:r>
        <w:rPr>
          <w:snapToGrid w:val="0"/>
        </w:rPr>
        <w:tab/>
        <w:t>Further loss of use of part or faculty of body due to subsequent injury, compensation for</w:t>
      </w:r>
      <w:bookmarkEnd w:id="43"/>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No. 42 of 2004 s. 18; No. 19 of 2010 s. 51.]</w:t>
      </w:r>
    </w:p>
    <w:p>
      <w:pPr>
        <w:pStyle w:val="Heading5"/>
        <w:keepNext w:val="0"/>
        <w:rPr>
          <w:snapToGrid w:val="0"/>
        </w:rPr>
      </w:pPr>
      <w:bookmarkStart w:id="44" w:name="_Toc33534199"/>
      <w:r>
        <w:rPr>
          <w:rStyle w:val="CharSectno"/>
        </w:rPr>
        <w:t>27</w:t>
      </w:r>
      <w:r>
        <w:rPr>
          <w:snapToGrid w:val="0"/>
        </w:rPr>
        <w:t>.</w:t>
      </w:r>
      <w:r>
        <w:rPr>
          <w:snapToGrid w:val="0"/>
        </w:rPr>
        <w:tab/>
        <w:t>Compensation decisions etc. made before 18 May 1978, on basis of Sch. 2, effect of</w:t>
      </w:r>
      <w:bookmarkEnd w:id="44"/>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No. 48 of 1993 s. 28(1); No. 34 of 1999 s. 9; No. 47 of 2011 s. 27.]</w:t>
      </w:r>
    </w:p>
    <w:p>
      <w:pPr>
        <w:pStyle w:val="Heading5"/>
        <w:rPr>
          <w:snapToGrid w:val="0"/>
        </w:rPr>
      </w:pPr>
      <w:bookmarkStart w:id="45" w:name="_Toc33534200"/>
      <w:r>
        <w:rPr>
          <w:rStyle w:val="CharSectno"/>
        </w:rPr>
        <w:t>28</w:t>
      </w:r>
      <w:r>
        <w:rPr>
          <w:snapToGrid w:val="0"/>
        </w:rPr>
        <w:t>.</w:t>
      </w:r>
      <w:r>
        <w:rPr>
          <w:snapToGrid w:val="0"/>
        </w:rPr>
        <w:tab/>
        <w:t>Limit on compensation for worker electing under s. 24B</w:t>
      </w:r>
      <w:bookmarkEnd w:id="45"/>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No. 44 of 1985 s. 13; No. 36 of 1988 s. 7; No. 48 of 1993 s. 28(1); No. 42 of 2004 s. 19 and 149.]</w:t>
      </w:r>
    </w:p>
    <w:p>
      <w:pPr>
        <w:pStyle w:val="Heading5"/>
        <w:rPr>
          <w:snapToGrid w:val="0"/>
        </w:rPr>
      </w:pPr>
      <w:bookmarkStart w:id="46" w:name="_Toc33534201"/>
      <w:r>
        <w:rPr>
          <w:rStyle w:val="CharSectno"/>
        </w:rPr>
        <w:t>29</w:t>
      </w:r>
      <w:r>
        <w:rPr>
          <w:snapToGrid w:val="0"/>
        </w:rPr>
        <w:t>.</w:t>
      </w:r>
      <w:r>
        <w:rPr>
          <w:snapToGrid w:val="0"/>
        </w:rPr>
        <w:tab/>
        <w:t>Effect of s. 24 and 24A on compensation for incapacity</w:t>
      </w:r>
      <w:bookmarkEnd w:id="46"/>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No. 44 of 1985 s. 14; No. 36 of 1988 s. 8; No. 48 of 1993 s. 28(1); No. 42 of 2004 s. 149.]</w:t>
      </w:r>
    </w:p>
    <w:p>
      <w:pPr>
        <w:pStyle w:val="Heading5"/>
        <w:rPr>
          <w:snapToGrid w:val="0"/>
        </w:rPr>
      </w:pPr>
      <w:bookmarkStart w:id="47" w:name="_Toc33534202"/>
      <w:r>
        <w:rPr>
          <w:rStyle w:val="CharSectno"/>
        </w:rPr>
        <w:t>30</w:t>
      </w:r>
      <w:r>
        <w:rPr>
          <w:snapToGrid w:val="0"/>
        </w:rPr>
        <w:t>.</w:t>
      </w:r>
      <w:r>
        <w:rPr>
          <w:snapToGrid w:val="0"/>
        </w:rPr>
        <w:tab/>
        <w:t>Compensation payable before election under s. 24B</w:t>
      </w:r>
      <w:bookmarkEnd w:id="47"/>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No. 44 of 1985 s. 15; No. 36 of 1988 s. 9; No. 48 of 1993 s. 28(1); No. 42 of 2004 s. 149.]</w:t>
      </w:r>
    </w:p>
    <w:p>
      <w:pPr>
        <w:pStyle w:val="Heading5"/>
        <w:rPr>
          <w:snapToGrid w:val="0"/>
        </w:rPr>
      </w:pPr>
      <w:bookmarkStart w:id="48" w:name="_Toc33534203"/>
      <w:r>
        <w:rPr>
          <w:rStyle w:val="CharSectno"/>
        </w:rPr>
        <w:t>31</w:t>
      </w:r>
      <w:r>
        <w:rPr>
          <w:snapToGrid w:val="0"/>
        </w:rPr>
        <w:t>.</w:t>
      </w:r>
      <w:r>
        <w:rPr>
          <w:snapToGrid w:val="0"/>
        </w:rPr>
        <w:tab/>
        <w:t>Sch. 2 Part 1, interpretation of</w:t>
      </w:r>
      <w:bookmarkEnd w:id="48"/>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No. 42 of 2004 s. 20.]</w:t>
      </w:r>
    </w:p>
    <w:p>
      <w:pPr>
        <w:pStyle w:val="Heading3"/>
        <w:spacing w:before="800"/>
      </w:pPr>
      <w:bookmarkStart w:id="49" w:name="_Toc33534204"/>
      <w:r>
        <w:rPr>
          <w:rStyle w:val="CharDivNo"/>
        </w:rPr>
        <w:t>Division 2A</w:t>
      </w:r>
      <w:r>
        <w:t> — </w:t>
      </w:r>
      <w:r>
        <w:rPr>
          <w:rStyle w:val="CharDivText"/>
        </w:rPr>
        <w:t>New regime for lump sum payments for specified injuries</w:t>
      </w:r>
      <w:bookmarkEnd w:id="49"/>
    </w:p>
    <w:p>
      <w:pPr>
        <w:pStyle w:val="Footnoteheading"/>
      </w:pPr>
      <w:r>
        <w:tab/>
        <w:t>[Heading inserted: No. 42 of 2004 s. 21.]</w:t>
      </w:r>
    </w:p>
    <w:p>
      <w:pPr>
        <w:pStyle w:val="Heading5"/>
      </w:pPr>
      <w:bookmarkStart w:id="50" w:name="_Toc33534205"/>
      <w:r>
        <w:rPr>
          <w:rStyle w:val="CharSectno"/>
        </w:rPr>
        <w:t>31A</w:t>
      </w:r>
      <w:r>
        <w:t>.</w:t>
      </w:r>
      <w:r>
        <w:tab/>
        <w:t>Application of Division</w:t>
      </w:r>
      <w:bookmarkEnd w:id="50"/>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No. 42 of 2004 s. 21.]</w:t>
      </w:r>
    </w:p>
    <w:p>
      <w:pPr>
        <w:pStyle w:val="Heading5"/>
      </w:pPr>
      <w:bookmarkStart w:id="51" w:name="_Toc33534206"/>
      <w:r>
        <w:rPr>
          <w:rStyle w:val="CharSectno"/>
        </w:rPr>
        <w:t>31B</w:t>
      </w:r>
      <w:r>
        <w:t>.</w:t>
      </w:r>
      <w:r>
        <w:tab/>
        <w:t>Term used: degree of permanent impairment</w:t>
      </w:r>
      <w:bookmarkEnd w:id="51"/>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r>
        <w:tab/>
        <w:t>[Section 31B inserted: No. 42 of 2004 s. 21.]</w:t>
      </w:r>
    </w:p>
    <w:p>
      <w:pPr>
        <w:pStyle w:val="Heading5"/>
      </w:pPr>
      <w:bookmarkStart w:id="52" w:name="_Toc33534207"/>
      <w:r>
        <w:rPr>
          <w:rStyle w:val="CharSectno"/>
        </w:rPr>
        <w:t>31C</w:t>
      </w:r>
      <w:r>
        <w:t>.</w:t>
      </w:r>
      <w:r>
        <w:tab/>
        <w:t>Permanent impairments in Sch. 2, worker may elect to get lump sum for</w:t>
      </w:r>
      <w:bookmarkEnd w:id="52"/>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No. 42 of 2004 s. 21.]</w:t>
      </w:r>
    </w:p>
    <w:p>
      <w:pPr>
        <w:pStyle w:val="Heading5"/>
        <w:spacing w:before="180"/>
      </w:pPr>
      <w:bookmarkStart w:id="53" w:name="_Toc33534208"/>
      <w:r>
        <w:rPr>
          <w:rStyle w:val="CharSectno"/>
        </w:rPr>
        <w:t>31D</w:t>
      </w:r>
      <w:r>
        <w:t>.</w:t>
      </w:r>
      <w:r>
        <w:tab/>
        <w:t>Permanent impairments in Sch. 2, assessment of degree of</w:t>
      </w:r>
      <w:bookmarkEnd w:id="53"/>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No. 42 of 2004 s. 21.]</w:t>
      </w:r>
    </w:p>
    <w:p>
      <w:pPr>
        <w:pStyle w:val="Heading5"/>
      </w:pPr>
      <w:bookmarkStart w:id="54" w:name="_Toc33534209"/>
      <w:r>
        <w:rPr>
          <w:rStyle w:val="CharSectno"/>
        </w:rPr>
        <w:t>31E</w:t>
      </w:r>
      <w:r>
        <w:t>.</w:t>
      </w:r>
      <w:r>
        <w:tab/>
        <w:t>Noise induced hearing loss, worker may elect to get lump sum for in some cases</w:t>
      </w:r>
      <w:bookmarkEnd w:id="54"/>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No. 42 of 2004 s. 21; amended: No. 31 of 2011 s. 83.]</w:t>
      </w:r>
    </w:p>
    <w:p>
      <w:pPr>
        <w:pStyle w:val="Heading5"/>
      </w:pPr>
      <w:bookmarkStart w:id="55" w:name="_Toc33534210"/>
      <w:r>
        <w:rPr>
          <w:rStyle w:val="CharSectno"/>
        </w:rPr>
        <w:t>31F</w:t>
      </w:r>
      <w:r>
        <w:t>.</w:t>
      </w:r>
      <w:r>
        <w:tab/>
        <w:t>AIDS, compensation for</w:t>
      </w:r>
      <w:bookmarkEnd w:id="55"/>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t>.</w:t>
      </w:r>
    </w:p>
    <w:p>
      <w:pPr>
        <w:pStyle w:val="Footnotesection"/>
      </w:pPr>
      <w:r>
        <w:tab/>
        <w:t>[Section 31F inserted: No. 42 of 2004 s. 21.]</w:t>
      </w:r>
    </w:p>
    <w:p>
      <w:pPr>
        <w:pStyle w:val="Heading5"/>
        <w:spacing w:before="240"/>
      </w:pPr>
      <w:bookmarkStart w:id="56" w:name="_Toc33534211"/>
      <w:r>
        <w:rPr>
          <w:rStyle w:val="CharSectno"/>
        </w:rPr>
        <w:t>31G</w:t>
      </w:r>
      <w:r>
        <w:t>.</w:t>
      </w:r>
      <w:r>
        <w:tab/>
      </w:r>
      <w:r>
        <w:rPr>
          <w:snapToGrid w:val="0"/>
        </w:rPr>
        <w:t>Further loss of use of part or faculty of body due to subsequent injury, compensation for</w:t>
      </w:r>
      <w:bookmarkEnd w:id="56"/>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No. 42 of 2004 s. 21.]</w:t>
      </w:r>
    </w:p>
    <w:p>
      <w:pPr>
        <w:pStyle w:val="Heading5"/>
      </w:pPr>
      <w:bookmarkStart w:id="57" w:name="_Toc33534212"/>
      <w:r>
        <w:rPr>
          <w:rStyle w:val="CharSectno"/>
        </w:rPr>
        <w:t>31H</w:t>
      </w:r>
      <w:r>
        <w:t>.</w:t>
      </w:r>
      <w:r>
        <w:tab/>
        <w:t>Election under s. 31C or 31E</w:t>
      </w:r>
      <w:bookmarkEnd w:id="57"/>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No. 42 of 2004 s. 21; amended: No. 16 of 2005 s. 16.]</w:t>
      </w:r>
    </w:p>
    <w:p>
      <w:pPr>
        <w:pStyle w:val="Heading5"/>
      </w:pPr>
      <w:bookmarkStart w:id="58" w:name="_Toc33534213"/>
      <w:r>
        <w:rPr>
          <w:rStyle w:val="CharSectno"/>
        </w:rPr>
        <w:t>31I</w:t>
      </w:r>
      <w:r>
        <w:t>.</w:t>
      </w:r>
      <w:r>
        <w:tab/>
        <w:t>Effect of election under s. 31H</w:t>
      </w:r>
      <w:bookmarkEnd w:id="58"/>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No. 42 of 2004 s. 21.]</w:t>
      </w:r>
    </w:p>
    <w:p>
      <w:pPr>
        <w:pStyle w:val="Heading5"/>
      </w:pPr>
      <w:bookmarkStart w:id="59" w:name="_Toc33534214"/>
      <w:r>
        <w:rPr>
          <w:rStyle w:val="CharSectno"/>
        </w:rPr>
        <w:t>31J</w:t>
      </w:r>
      <w:r>
        <w:t>.</w:t>
      </w:r>
      <w:r>
        <w:tab/>
        <w:t>Limit on compensation for worker electing under s. 31H</w:t>
      </w:r>
      <w:bookmarkEnd w:id="59"/>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No. 42 of 2004 s. 21.]</w:t>
      </w:r>
    </w:p>
    <w:p>
      <w:pPr>
        <w:pStyle w:val="Heading5"/>
      </w:pPr>
      <w:bookmarkStart w:id="60" w:name="_Toc33534215"/>
      <w:r>
        <w:rPr>
          <w:rStyle w:val="CharSectno"/>
        </w:rPr>
        <w:t>31K</w:t>
      </w:r>
      <w:r>
        <w:t>.</w:t>
      </w:r>
      <w:r>
        <w:tab/>
        <w:t>Compensation payable before election under s. 31H</w:t>
      </w:r>
      <w:bookmarkEnd w:id="60"/>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No. 42 of 2004 s. 21.]</w:t>
      </w:r>
    </w:p>
    <w:p>
      <w:pPr>
        <w:pStyle w:val="Heading3"/>
        <w:keepLines/>
      </w:pPr>
      <w:bookmarkStart w:id="61" w:name="_Toc33534216"/>
      <w:r>
        <w:rPr>
          <w:rStyle w:val="CharDivNo"/>
        </w:rPr>
        <w:t>Division 3</w:t>
      </w:r>
      <w:r>
        <w:t> — </w:t>
      </w:r>
      <w:r>
        <w:rPr>
          <w:rStyle w:val="CharDivText"/>
        </w:rPr>
        <w:t>Injury: specified industrial diseases</w:t>
      </w:r>
      <w:bookmarkEnd w:id="61"/>
    </w:p>
    <w:p>
      <w:pPr>
        <w:pStyle w:val="Footnoteheading"/>
        <w:keepNext/>
        <w:keepLines/>
      </w:pPr>
      <w:r>
        <w:tab/>
        <w:t>[Heading inserted: No. 42 of 2004 s. 22.]</w:t>
      </w:r>
    </w:p>
    <w:p>
      <w:pPr>
        <w:pStyle w:val="Heading5"/>
        <w:rPr>
          <w:snapToGrid w:val="0"/>
        </w:rPr>
      </w:pPr>
      <w:bookmarkStart w:id="62" w:name="_Toc33534217"/>
      <w:r>
        <w:rPr>
          <w:rStyle w:val="CharSectno"/>
        </w:rPr>
        <w:t>32</w:t>
      </w:r>
      <w:r>
        <w:rPr>
          <w:snapToGrid w:val="0"/>
        </w:rPr>
        <w:t>.</w:t>
      </w:r>
      <w:r>
        <w:rPr>
          <w:snapToGrid w:val="0"/>
        </w:rPr>
        <w:tab/>
        <w:t>Some industrial diseases in Sch. 3, compensation for</w:t>
      </w:r>
      <w:bookmarkEnd w:id="62"/>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No. 42 of 2004 s. 23, 146 and 147; No. 31 of 2011 s. 84.]</w:t>
      </w:r>
    </w:p>
    <w:p>
      <w:pPr>
        <w:pStyle w:val="Heading5"/>
        <w:rPr>
          <w:snapToGrid w:val="0"/>
        </w:rPr>
      </w:pPr>
      <w:bookmarkStart w:id="63" w:name="_Toc33534218"/>
      <w:r>
        <w:rPr>
          <w:rStyle w:val="CharSectno"/>
        </w:rPr>
        <w:t>33</w:t>
      </w:r>
      <w:r>
        <w:rPr>
          <w:snapToGrid w:val="0"/>
        </w:rPr>
        <w:t>.</w:t>
      </w:r>
      <w:r>
        <w:rPr>
          <w:snapToGrid w:val="0"/>
        </w:rPr>
        <w:tab/>
      </w:r>
      <w:r>
        <w:rPr>
          <w:bCs/>
        </w:rPr>
        <w:t>Pneumoconiosis, mesothelioma, lung cancer or diffuse pleural fibrosis</w:t>
      </w:r>
      <w:bookmarkEnd w:id="63"/>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 No. 48 of 1993 s. 28(1); No. 42 of 2004 s. 24, 146, 147 and 149; No. 31 of 2011 s. 85.]</w:t>
      </w:r>
    </w:p>
    <w:p>
      <w:pPr>
        <w:pStyle w:val="Heading5"/>
        <w:rPr>
          <w:snapToGrid w:val="0"/>
        </w:rPr>
      </w:pPr>
      <w:bookmarkStart w:id="64" w:name="_Toc33534219"/>
      <w:r>
        <w:rPr>
          <w:rStyle w:val="CharSectno"/>
        </w:rPr>
        <w:t>34</w:t>
      </w:r>
      <w:r>
        <w:rPr>
          <w:snapToGrid w:val="0"/>
        </w:rPr>
        <w:t>.</w:t>
      </w:r>
      <w:r>
        <w:rPr>
          <w:snapToGrid w:val="0"/>
        </w:rPr>
        <w:tab/>
        <w:t>Chronic bronchitis and pneumoconiosis, limit on compensation for</w:t>
      </w:r>
      <w:bookmarkEnd w:id="64"/>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No. 42 of 2004 s. 25.]</w:t>
      </w:r>
    </w:p>
    <w:p>
      <w:pPr>
        <w:pStyle w:val="Heading5"/>
        <w:rPr>
          <w:snapToGrid w:val="0"/>
        </w:rPr>
      </w:pPr>
      <w:bookmarkStart w:id="65" w:name="_Toc33534220"/>
      <w:r>
        <w:rPr>
          <w:rStyle w:val="CharSectno"/>
        </w:rPr>
        <w:t>35</w:t>
      </w:r>
      <w:r>
        <w:rPr>
          <w:snapToGrid w:val="0"/>
        </w:rPr>
        <w:t>.</w:t>
      </w:r>
      <w:r>
        <w:rPr>
          <w:snapToGrid w:val="0"/>
        </w:rPr>
        <w:tab/>
        <w:t>Lung cancer and asbestosis, limit on compensation for</w:t>
      </w:r>
      <w:bookmarkEnd w:id="65"/>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No. 42 of 2004 s. 26.]</w:t>
      </w:r>
    </w:p>
    <w:p>
      <w:pPr>
        <w:pStyle w:val="Heading5"/>
        <w:rPr>
          <w:snapToGrid w:val="0"/>
        </w:rPr>
      </w:pPr>
      <w:bookmarkStart w:id="66" w:name="_Toc33534221"/>
      <w:r>
        <w:rPr>
          <w:rStyle w:val="CharSectno"/>
        </w:rPr>
        <w:t>36</w:t>
      </w:r>
      <w:r>
        <w:rPr>
          <w:snapToGrid w:val="0"/>
        </w:rPr>
        <w:t>.</w:t>
      </w:r>
      <w:r>
        <w:rPr>
          <w:snapToGrid w:val="0"/>
        </w:rPr>
        <w:tab/>
        <w:t>Claim under s. 33 or 34, referring worker to medical panel</w:t>
      </w:r>
      <w:bookmarkEnd w:id="66"/>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67" w:name="_Toc33534222"/>
      <w:r>
        <w:rPr>
          <w:rStyle w:val="CharSectno"/>
        </w:rPr>
        <w:t>37</w:t>
      </w:r>
      <w:r>
        <w:rPr>
          <w:snapToGrid w:val="0"/>
        </w:rPr>
        <w:t>.</w:t>
      </w:r>
      <w:r>
        <w:rPr>
          <w:snapToGrid w:val="0"/>
        </w:rPr>
        <w:tab/>
        <w:t>Oral submission to medical panel by medical practitioner</w:t>
      </w:r>
      <w:bookmarkEnd w:id="67"/>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No. 86 of 1986 s. 5; No. 30 of 1993 s. 13; No. 48 of 1993 s. 28(1); No. 49 of 1996 s. 64; No. 42 of 2004 s. 27 and 152; No. 77 of 2006 Sch. 1 cl. 189(9).]</w:t>
      </w:r>
    </w:p>
    <w:p>
      <w:pPr>
        <w:pStyle w:val="Heading5"/>
        <w:rPr>
          <w:snapToGrid w:val="0"/>
        </w:rPr>
      </w:pPr>
      <w:bookmarkStart w:id="68" w:name="_Toc33534223"/>
      <w:r>
        <w:rPr>
          <w:rStyle w:val="CharSectno"/>
        </w:rPr>
        <w:t>38</w:t>
      </w:r>
      <w:r>
        <w:rPr>
          <w:snapToGrid w:val="0"/>
        </w:rPr>
        <w:t>.</w:t>
      </w:r>
      <w:r>
        <w:rPr>
          <w:snapToGrid w:val="0"/>
        </w:rPr>
        <w:tab/>
        <w:t>Questions to be determined by medical panel</w:t>
      </w:r>
      <w:bookmarkEnd w:id="68"/>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No. 44 of 1985 s. 18; No. 86 of 1986 s. 5; No. 48 of 1993 s. 33; No. 42 of 2004 s. 28 and 152; No. 31 of 2011 s. 86.]</w:t>
      </w:r>
    </w:p>
    <w:p>
      <w:pPr>
        <w:pStyle w:val="Heading5"/>
        <w:rPr>
          <w:snapToGrid w:val="0"/>
        </w:rPr>
      </w:pPr>
      <w:bookmarkStart w:id="69" w:name="_Toc33534224"/>
      <w:r>
        <w:rPr>
          <w:rStyle w:val="CharSectno"/>
        </w:rPr>
        <w:t>39</w:t>
      </w:r>
      <w:r>
        <w:rPr>
          <w:snapToGrid w:val="0"/>
        </w:rPr>
        <w:t>.</w:t>
      </w:r>
      <w:r>
        <w:rPr>
          <w:snapToGrid w:val="0"/>
        </w:rPr>
        <w:tab/>
        <w:t>Tuberculosis and pneumoconiosis, compensation for</w:t>
      </w:r>
      <w:bookmarkEnd w:id="69"/>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4</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No. 42 of 2004 s. 29.]</w:t>
      </w:r>
    </w:p>
    <w:p>
      <w:pPr>
        <w:pStyle w:val="Heading5"/>
        <w:keepLines w:val="0"/>
      </w:pPr>
      <w:bookmarkStart w:id="70" w:name="_Toc33534225"/>
      <w:r>
        <w:rPr>
          <w:rStyle w:val="CharSectno"/>
        </w:rPr>
        <w:t>40</w:t>
      </w:r>
      <w:r>
        <w:t>.</w:t>
      </w:r>
      <w:r>
        <w:tab/>
        <w:t>Death without prior incapacity, effect of for this Division</w:t>
      </w:r>
      <w:bookmarkEnd w:id="70"/>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No. 42 of 2004 s. 30.]</w:t>
      </w:r>
    </w:p>
    <w:p>
      <w:pPr>
        <w:pStyle w:val="Heading5"/>
        <w:rPr>
          <w:snapToGrid w:val="0"/>
        </w:rPr>
      </w:pPr>
      <w:bookmarkStart w:id="71" w:name="_Toc33534226"/>
      <w:r>
        <w:rPr>
          <w:rStyle w:val="CharSectno"/>
        </w:rPr>
        <w:t>41</w:t>
      </w:r>
      <w:r>
        <w:rPr>
          <w:snapToGrid w:val="0"/>
        </w:rPr>
        <w:t>.</w:t>
      </w:r>
      <w:r>
        <w:rPr>
          <w:snapToGrid w:val="0"/>
        </w:rPr>
        <w:tab/>
        <w:t>Last employer liable but may join others</w:t>
      </w:r>
      <w:bookmarkEnd w:id="71"/>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 No. 42 of 2004 s. 31; No. 31 of 2011 s. 87.]</w:t>
      </w:r>
    </w:p>
    <w:p>
      <w:pPr>
        <w:pStyle w:val="Heading5"/>
        <w:rPr>
          <w:snapToGrid w:val="0"/>
        </w:rPr>
      </w:pPr>
      <w:bookmarkStart w:id="72" w:name="_Toc33534227"/>
      <w:r>
        <w:rPr>
          <w:rStyle w:val="CharSectno"/>
        </w:rPr>
        <w:t>42</w:t>
      </w:r>
      <w:r>
        <w:rPr>
          <w:snapToGrid w:val="0"/>
        </w:rPr>
        <w:t>.</w:t>
      </w:r>
      <w:r>
        <w:rPr>
          <w:snapToGrid w:val="0"/>
        </w:rPr>
        <w:tab/>
        <w:t>How compensation calculated</w:t>
      </w:r>
      <w:bookmarkEnd w:id="72"/>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73" w:name="_Toc33534228"/>
      <w:r>
        <w:rPr>
          <w:rStyle w:val="CharSectno"/>
        </w:rPr>
        <w:t>43</w:t>
      </w:r>
      <w:r>
        <w:rPr>
          <w:snapToGrid w:val="0"/>
        </w:rPr>
        <w:t>.</w:t>
      </w:r>
      <w:r>
        <w:rPr>
          <w:snapToGrid w:val="0"/>
        </w:rPr>
        <w:tab/>
        <w:t>Employer to whom notice to be given</w:t>
      </w:r>
      <w:bookmarkEnd w:id="73"/>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No. 42 of 2004 s. 32.]</w:t>
      </w:r>
    </w:p>
    <w:p>
      <w:pPr>
        <w:pStyle w:val="Heading5"/>
        <w:spacing w:before="200"/>
        <w:rPr>
          <w:snapToGrid w:val="0"/>
        </w:rPr>
      </w:pPr>
      <w:bookmarkStart w:id="74" w:name="_Toc33534229"/>
      <w:r>
        <w:rPr>
          <w:rStyle w:val="CharSectno"/>
        </w:rPr>
        <w:t>44</w:t>
      </w:r>
      <w:r>
        <w:rPr>
          <w:snapToGrid w:val="0"/>
        </w:rPr>
        <w:t>.</w:t>
      </w:r>
      <w:r>
        <w:rPr>
          <w:snapToGrid w:val="0"/>
        </w:rPr>
        <w:tab/>
        <w:t>Diseases in Sch. 3 deemed due to employment in process in Sch. 3</w:t>
      </w:r>
      <w:bookmarkEnd w:id="74"/>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No. 42 of 2004 s. 33.]</w:t>
      </w:r>
    </w:p>
    <w:p>
      <w:pPr>
        <w:pStyle w:val="Heading5"/>
        <w:spacing w:before="200"/>
        <w:rPr>
          <w:snapToGrid w:val="0"/>
        </w:rPr>
      </w:pPr>
      <w:bookmarkStart w:id="75" w:name="_Toc33534230"/>
      <w:r>
        <w:rPr>
          <w:rStyle w:val="CharSectno"/>
        </w:rPr>
        <w:t>45</w:t>
      </w:r>
      <w:r>
        <w:rPr>
          <w:snapToGrid w:val="0"/>
        </w:rPr>
        <w:t>.</w:t>
      </w:r>
      <w:r>
        <w:rPr>
          <w:snapToGrid w:val="0"/>
        </w:rPr>
        <w:tab/>
        <w:t>Additions to Sch. 3</w:t>
      </w:r>
      <w:bookmarkEnd w:id="75"/>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5</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76" w:name="_Toc33534231"/>
      <w:r>
        <w:rPr>
          <w:rStyle w:val="CharSectno"/>
        </w:rPr>
        <w:t>46</w:t>
      </w:r>
      <w:r>
        <w:rPr>
          <w:snapToGrid w:val="0"/>
        </w:rPr>
        <w:t>.</w:t>
      </w:r>
      <w:r>
        <w:rPr>
          <w:snapToGrid w:val="0"/>
        </w:rPr>
        <w:tab/>
        <w:t>Compensation limited to prescribed amount</w:t>
      </w:r>
      <w:bookmarkEnd w:id="76"/>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No. 104 of 1984 s. 3; No. 19 of 2010 s. 51; No. 47 of 2011 s. 7.]</w:t>
      </w:r>
    </w:p>
    <w:p>
      <w:pPr>
        <w:pStyle w:val="Heading5"/>
        <w:rPr>
          <w:snapToGrid w:val="0"/>
        </w:rPr>
      </w:pPr>
      <w:bookmarkStart w:id="77" w:name="_Toc33534232"/>
      <w:r>
        <w:rPr>
          <w:rStyle w:val="CharSectno"/>
        </w:rPr>
        <w:t>47</w:t>
      </w:r>
      <w:r>
        <w:rPr>
          <w:snapToGrid w:val="0"/>
        </w:rPr>
        <w:t>.</w:t>
      </w:r>
      <w:r>
        <w:rPr>
          <w:snapToGrid w:val="0"/>
        </w:rPr>
        <w:tab/>
        <w:t>Some workers not entitled to compensation</w:t>
      </w:r>
      <w:bookmarkEnd w:id="77"/>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No. 30 of 1993 s. 13; No. 62 of 1994 s. 109; No. 42 of 2004 s. 34.]</w:t>
      </w:r>
    </w:p>
    <w:p>
      <w:pPr>
        <w:pStyle w:val="Heading5"/>
        <w:rPr>
          <w:snapToGrid w:val="0"/>
        </w:rPr>
      </w:pPr>
      <w:bookmarkStart w:id="78" w:name="_Toc33534233"/>
      <w:r>
        <w:rPr>
          <w:rStyle w:val="CharSectno"/>
        </w:rPr>
        <w:t>48</w:t>
      </w:r>
      <w:r>
        <w:rPr>
          <w:snapToGrid w:val="0"/>
        </w:rPr>
        <w:t>.</w:t>
      </w:r>
      <w:r>
        <w:rPr>
          <w:snapToGrid w:val="0"/>
        </w:rPr>
        <w:tab/>
        <w:t>Sch. 3 diseases to be notified by employer etc.</w:t>
      </w:r>
      <w:bookmarkEnd w:id="78"/>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No. 28 of 1984 s. 102; No. 86 of 1986 s. 5; No. 21 of 1987 s. 4; No. 30 of 1995 s. 48; No. 42 of 2004 s. 35 and 152.]</w:t>
      </w:r>
    </w:p>
    <w:p>
      <w:pPr>
        <w:pStyle w:val="Heading3"/>
      </w:pPr>
      <w:bookmarkStart w:id="79" w:name="_Toc33534234"/>
      <w:r>
        <w:rPr>
          <w:rStyle w:val="CharDivNo"/>
        </w:rPr>
        <w:t>Division 4A</w:t>
      </w:r>
      <w:r>
        <w:t> — </w:t>
      </w:r>
      <w:r>
        <w:rPr>
          <w:rStyle w:val="CharDivText"/>
        </w:rPr>
        <w:t>Injury: specified diseases contracted by firefighters</w:t>
      </w:r>
      <w:bookmarkEnd w:id="79"/>
    </w:p>
    <w:p>
      <w:pPr>
        <w:pStyle w:val="Footnoteheading"/>
      </w:pPr>
      <w:r>
        <w:tab/>
        <w:t>[Heading inserted: No. 21 of 2013 s. 4.]</w:t>
      </w:r>
    </w:p>
    <w:p>
      <w:pPr>
        <w:pStyle w:val="Heading5"/>
      </w:pPr>
      <w:bookmarkStart w:id="80" w:name="_Toc33534235"/>
      <w:r>
        <w:rPr>
          <w:rStyle w:val="CharSectno"/>
        </w:rPr>
        <w:t>49A</w:t>
      </w:r>
      <w:r>
        <w:t>.</w:t>
      </w:r>
      <w:r>
        <w:tab/>
        <w:t>Terms used</w:t>
      </w:r>
      <w:bookmarkEnd w:id="80"/>
    </w:p>
    <w:p>
      <w:pPr>
        <w:pStyle w:val="Subsection"/>
      </w:pPr>
      <w:r>
        <w:tab/>
      </w:r>
      <w:r>
        <w:tab/>
        <w:t xml:space="preserve">In this Division — </w:t>
      </w:r>
    </w:p>
    <w:p>
      <w:pPr>
        <w:pStyle w:val="Defstart"/>
      </w:pPr>
      <w:r>
        <w:tab/>
      </w:r>
      <w:r>
        <w:rPr>
          <w:rStyle w:val="CharDefText"/>
        </w:rPr>
        <w:t>date of injury</w:t>
      </w:r>
      <w:r>
        <w:t xml:space="preserve"> has the meaning given in section 49D(1);</w:t>
      </w:r>
    </w:p>
    <w:p>
      <w:pPr>
        <w:pStyle w:val="Defstart"/>
      </w:pPr>
      <w:r>
        <w:tab/>
      </w:r>
      <w:r>
        <w:rPr>
          <w:rStyle w:val="CharDefText"/>
        </w:rPr>
        <w:t>FES employment</w:t>
      </w:r>
      <w:r>
        <w:t xml:space="preserve">, in relation to a worker, means any period of firefighting employment during which the worker is engaged as a member or officer of a permanent fire brigade as defined in </w:t>
      </w:r>
      <w:r>
        <w:rPr>
          <w:i/>
        </w:rPr>
        <w:t xml:space="preserve">Fire Brigades Act 1942 </w:t>
      </w:r>
      <w:r>
        <w:t>section 4(1);</w:t>
      </w:r>
    </w:p>
    <w:p>
      <w:pPr>
        <w:pStyle w:val="Defstart"/>
        <w:keepNext/>
      </w:pPr>
      <w:r>
        <w:tab/>
      </w:r>
      <w:r>
        <w:rPr>
          <w:rStyle w:val="CharDefText"/>
        </w:rPr>
        <w:t>firefighting employment</w:t>
      </w:r>
      <w:r>
        <w:t xml:space="preserve"> means employment by or under the Crown in right of the State, a substantial part of the duties of which consists of firefighting duties, which — </w:t>
      </w:r>
    </w:p>
    <w:p>
      <w:pPr>
        <w:pStyle w:val="Defpara"/>
      </w:pPr>
      <w:r>
        <w:tab/>
        <w:t>(a)</w:t>
      </w:r>
      <w:r>
        <w:tab/>
        <w:t>is covered by an industrial award or industrial agreement applicable to firefighting; or</w:t>
      </w:r>
    </w:p>
    <w:p>
      <w:pPr>
        <w:pStyle w:val="Defpara"/>
      </w:pPr>
      <w:r>
        <w:tab/>
        <w:t>(b)</w:t>
      </w:r>
      <w:r>
        <w:tab/>
        <w:t>is prescribed to be firefighting employment for the purposes of this Act;</w:t>
      </w:r>
    </w:p>
    <w:p>
      <w:pPr>
        <w:pStyle w:val="Defstart"/>
      </w:pPr>
      <w:r>
        <w:tab/>
      </w:r>
      <w:r>
        <w:rPr>
          <w:rStyle w:val="CharDefText"/>
        </w:rPr>
        <w:t>hazardous fire</w:t>
      </w:r>
      <w:r>
        <w:t xml:space="preserve"> means —</w:t>
      </w:r>
    </w:p>
    <w:p>
      <w:pPr>
        <w:pStyle w:val="Defpara"/>
      </w:pPr>
      <w:r>
        <w:tab/>
        <w:t>(a)</w:t>
      </w:r>
      <w:r>
        <w:tab/>
        <w:t>a fire in a building; or</w:t>
      </w:r>
    </w:p>
    <w:p>
      <w:pPr>
        <w:pStyle w:val="Defpara"/>
      </w:pPr>
      <w:r>
        <w:tab/>
        <w:t>(b)</w:t>
      </w:r>
      <w:r>
        <w:tab/>
        <w:t>a fire in a vehicle, whether designed to move under its own power or to be towed and whether or not still moveable; or</w:t>
      </w:r>
    </w:p>
    <w:p>
      <w:pPr>
        <w:pStyle w:val="Defpara"/>
      </w:pPr>
      <w:r>
        <w:tab/>
        <w:t>(c)</w:t>
      </w:r>
      <w:r>
        <w:tab/>
        <w:t>a fire involving non</w:t>
      </w:r>
      <w:r>
        <w:noBreakHyphen/>
        <w:t>organic refuse or rubbish created by humans; or</w:t>
      </w:r>
    </w:p>
    <w:p>
      <w:pPr>
        <w:pStyle w:val="Defpara"/>
      </w:pPr>
      <w:r>
        <w:tab/>
        <w:t>(d)</w:t>
      </w:r>
      <w:r>
        <w:tab/>
        <w:t>a fire that is prescribed to be a hazardous fire for the purposes of this Division;</w:t>
      </w:r>
    </w:p>
    <w:p>
      <w:pPr>
        <w:pStyle w:val="Defstart"/>
      </w:pPr>
      <w:r>
        <w:tab/>
      </w:r>
      <w:r>
        <w:rPr>
          <w:rStyle w:val="CharDefText"/>
        </w:rPr>
        <w:t>hazardous firefighting employment</w:t>
      </w:r>
      <w:r>
        <w:rPr>
          <w:i/>
        </w:rPr>
        <w:t xml:space="preserve"> </w:t>
      </w:r>
      <w:r>
        <w:t xml:space="preserve">means — </w:t>
      </w:r>
    </w:p>
    <w:p>
      <w:pPr>
        <w:pStyle w:val="Defpara"/>
      </w:pPr>
      <w:r>
        <w:tab/>
        <w:t>(a)</w:t>
      </w:r>
      <w:r>
        <w:tab/>
        <w:t>FES employment; and</w:t>
      </w:r>
    </w:p>
    <w:p>
      <w:pPr>
        <w:pStyle w:val="Defpara"/>
      </w:pPr>
      <w:r>
        <w:tab/>
        <w:t>(b)</w:t>
      </w:r>
      <w:r>
        <w:tab/>
        <w:t>non</w:t>
      </w:r>
      <w:r>
        <w:noBreakHyphen/>
        <w:t>FES employment during which the worker attends hazardous fires at a rate at least equivalent to the rate of 5 hazardous fires per year;</w:t>
      </w:r>
    </w:p>
    <w:p>
      <w:pPr>
        <w:pStyle w:val="Defstart"/>
      </w:pPr>
      <w:r>
        <w:tab/>
      </w:r>
      <w:r>
        <w:rPr>
          <w:rStyle w:val="CharDefText"/>
        </w:rPr>
        <w:t>non</w:t>
      </w:r>
      <w:r>
        <w:rPr>
          <w:rStyle w:val="CharDefText"/>
        </w:rPr>
        <w:noBreakHyphen/>
        <w:t>FES employment</w:t>
      </w:r>
      <w:r>
        <w:t>, in relation to a worker, means any period of firefighting employment which is not FES employment;</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No. 21 of 2013 s. 4; amended: No. 28 of 2016 s. 9.]</w:t>
      </w:r>
    </w:p>
    <w:p>
      <w:pPr>
        <w:pStyle w:val="Heading5"/>
      </w:pPr>
      <w:bookmarkStart w:id="81" w:name="_Toc33534236"/>
      <w:r>
        <w:rPr>
          <w:rStyle w:val="CharSectno"/>
        </w:rPr>
        <w:t>49B</w:t>
      </w:r>
      <w:r>
        <w:t>.</w:t>
      </w:r>
      <w:r>
        <w:tab/>
        <w:t>Application of Division</w:t>
      </w:r>
      <w:bookmarkEnd w:id="81"/>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 and</w:t>
      </w:r>
    </w:p>
    <w:p>
      <w:pPr>
        <w:pStyle w:val="Indenta"/>
      </w:pPr>
      <w:r>
        <w:tab/>
        <w:t>(b)</w:t>
      </w:r>
      <w:r>
        <w:tab/>
        <w:t>as at the date of injury the worker is or has been in firefighting employment.</w:t>
      </w:r>
    </w:p>
    <w:p>
      <w:pPr>
        <w:pStyle w:val="Footnotesection"/>
      </w:pPr>
      <w:r>
        <w:tab/>
        <w:t>[Section 49B inserted: No. 21 of 2013 s. 4; amended: No. 28 of 2016 s. 10.]</w:t>
      </w:r>
    </w:p>
    <w:p>
      <w:pPr>
        <w:pStyle w:val="Heading5"/>
      </w:pPr>
      <w:bookmarkStart w:id="82" w:name="_Toc33534237"/>
      <w:r>
        <w:rPr>
          <w:rStyle w:val="CharSectno"/>
        </w:rPr>
        <w:t>49C</w:t>
      </w:r>
      <w:r>
        <w:t>.</w:t>
      </w:r>
      <w:r>
        <w:tab/>
        <w:t>When firefighting employment taken to contribute to specified disease</w:t>
      </w:r>
      <w:bookmarkEnd w:id="82"/>
    </w:p>
    <w:p>
      <w:pPr>
        <w:pStyle w:val="Subsection"/>
      </w:pPr>
      <w:r>
        <w:tab/>
        <w:t>(1)</w:t>
      </w:r>
      <w:r>
        <w:tab/>
        <w:t xml:space="preserve">If a worker to whom this Division applies — </w:t>
      </w:r>
    </w:p>
    <w:p>
      <w:pPr>
        <w:pStyle w:val="Indenta"/>
      </w:pPr>
      <w:r>
        <w:tab/>
        <w:t>(a)</w:t>
      </w:r>
      <w:r>
        <w:tab/>
        <w:t>as at the date of injury, is or has been in firefighting employment for a period of, or periods in aggregate amounting to, at least the qualifying period for the specified disease; and</w:t>
      </w:r>
    </w:p>
    <w:p>
      <w:pPr>
        <w:pStyle w:val="Indenta"/>
      </w:pPr>
      <w:r>
        <w:tab/>
        <w:t>(b)</w:t>
      </w:r>
      <w:r>
        <w:tab/>
        <w:t>is taken to have been exposed to the hazards of a fire scene in the course of the firefighting employment; and</w:t>
      </w:r>
    </w:p>
    <w:p>
      <w:pPr>
        <w:pStyle w:val="Indenta"/>
      </w:pPr>
      <w:r>
        <w:tab/>
        <w:t>(c)</w:t>
      </w:r>
      <w:r>
        <w:tab/>
        <w:t>in the case of a cancer of a kind mentioned in Schedule 4A item 13, satisfies the conditions (if any) prescribed by the regulations for such a cancer,</w:t>
      </w:r>
    </w:p>
    <w:p>
      <w:pPr>
        <w:pStyle w:val="Subsection"/>
      </w:pPr>
      <w:r>
        <w:tab/>
      </w:r>
      <w:r>
        <w:tab/>
        <w:t>the firefighting employment is, for the purposes of this Act, taken to have been a contributing factor and to have contributed to a significant degree to the specified disease, unless the employer proves the contrary.</w:t>
      </w:r>
    </w:p>
    <w:p>
      <w:pPr>
        <w:pStyle w:val="Subsection"/>
      </w:pPr>
      <w:r>
        <w:tab/>
        <w:t>(2)</w:t>
      </w:r>
      <w:r>
        <w:tab/>
        <w:t xml:space="preserve">For the purposes of subsection (1), a worker to whom this Division applies is taken to have been exposed to the hazards of a fire scene if the employer is satisfied that the worker has completed a period of hazardous firefighting employment of, or 2 or more periods of hazardous firefighting employment in aggregate amounting to, at least the lesser of —  </w:t>
      </w:r>
    </w:p>
    <w:p>
      <w:pPr>
        <w:pStyle w:val="Indenta"/>
      </w:pPr>
      <w:r>
        <w:tab/>
        <w:t>(a)</w:t>
      </w:r>
      <w:r>
        <w:tab/>
        <w:t>5 years; and</w:t>
      </w:r>
    </w:p>
    <w:p>
      <w:pPr>
        <w:pStyle w:val="Indenta"/>
      </w:pPr>
      <w:r>
        <w:tab/>
        <w:t>(b)</w:t>
      </w:r>
      <w:r>
        <w:tab/>
        <w:t>the qualifying period.</w:t>
      </w:r>
    </w:p>
    <w:p>
      <w:pPr>
        <w:pStyle w:val="Footnotesection"/>
        <w:spacing w:before="100"/>
      </w:pPr>
      <w:r>
        <w:tab/>
        <w:t>[Section 49C inserted: No. 21 of 2013 s. 4; amended: No. 28 of 2016 s. 11.]</w:t>
      </w:r>
    </w:p>
    <w:p>
      <w:pPr>
        <w:pStyle w:val="Heading5"/>
      </w:pPr>
      <w:bookmarkStart w:id="83" w:name="_Toc33534238"/>
      <w:r>
        <w:rPr>
          <w:rStyle w:val="CharSectno"/>
        </w:rPr>
        <w:t>49D</w:t>
      </w:r>
      <w:r>
        <w:t>.</w:t>
      </w:r>
      <w:r>
        <w:tab/>
        <w:t>Date of injury</w:t>
      </w:r>
      <w:bookmarkEnd w:id="83"/>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 No. 21 of 2013 s. 4.]</w:t>
      </w:r>
    </w:p>
    <w:p>
      <w:pPr>
        <w:pStyle w:val="Heading5"/>
      </w:pPr>
      <w:bookmarkStart w:id="84" w:name="_Toc33534239"/>
      <w:r>
        <w:rPr>
          <w:rStyle w:val="CharSectno"/>
        </w:rPr>
        <w:t>49E</w:t>
      </w:r>
      <w:r>
        <w:t>.</w:t>
      </w:r>
      <w:r>
        <w:tab/>
        <w:t>Review of Division</w:t>
      </w:r>
      <w:bookmarkEnd w:id="84"/>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 No. 21 of 2013 s. 4.]</w:t>
      </w:r>
    </w:p>
    <w:p>
      <w:pPr>
        <w:pStyle w:val="Heading3"/>
        <w:keepLines/>
      </w:pPr>
      <w:bookmarkStart w:id="85" w:name="_Toc33534240"/>
      <w:r>
        <w:rPr>
          <w:rStyle w:val="CharDivNo"/>
        </w:rPr>
        <w:t>Division 4</w:t>
      </w:r>
      <w:r>
        <w:t> — </w:t>
      </w:r>
      <w:r>
        <w:rPr>
          <w:rStyle w:val="CharDivText"/>
        </w:rPr>
        <w:t>Injury: specified losses of functions</w:t>
      </w:r>
      <w:bookmarkEnd w:id="85"/>
    </w:p>
    <w:p>
      <w:pPr>
        <w:pStyle w:val="Footnoteheading"/>
        <w:keepNext/>
        <w:keepLines/>
      </w:pPr>
      <w:r>
        <w:tab/>
        <w:t>[Heading inserted: No. 42 of 2004 s. 36.]</w:t>
      </w:r>
    </w:p>
    <w:p>
      <w:pPr>
        <w:pStyle w:val="Heading5"/>
      </w:pPr>
      <w:bookmarkStart w:id="86" w:name="_Toc33534241"/>
      <w:r>
        <w:rPr>
          <w:rStyle w:val="CharSectno"/>
        </w:rPr>
        <w:t>49</w:t>
      </w:r>
      <w:r>
        <w:t>.</w:t>
      </w:r>
      <w:r>
        <w:tab/>
        <w:t>Loss of function in Sch. 4, when injury occurs as a result of</w:t>
      </w:r>
      <w:bookmarkEnd w:id="86"/>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No. 42 of 2004 s. 37.]</w:t>
      </w:r>
    </w:p>
    <w:p>
      <w:pPr>
        <w:pStyle w:val="Ednotesection"/>
        <w:outlineLvl w:val="9"/>
      </w:pPr>
      <w:r>
        <w:t>[</w:t>
      </w:r>
      <w:r>
        <w:rPr>
          <w:b/>
        </w:rPr>
        <w:t>50.</w:t>
      </w:r>
      <w:r>
        <w:tab/>
        <w:t>Deleted: No. 36 of 1988 s. 10.]</w:t>
      </w:r>
    </w:p>
    <w:p>
      <w:pPr>
        <w:pStyle w:val="Heading5"/>
        <w:spacing w:before="120"/>
        <w:rPr>
          <w:snapToGrid w:val="0"/>
        </w:rPr>
      </w:pPr>
      <w:bookmarkStart w:id="87" w:name="_Toc33534242"/>
      <w:r>
        <w:rPr>
          <w:rStyle w:val="CharSectno"/>
        </w:rPr>
        <w:t>51</w:t>
      </w:r>
      <w:r>
        <w:rPr>
          <w:snapToGrid w:val="0"/>
        </w:rPr>
        <w:t>.</w:t>
      </w:r>
      <w:r>
        <w:rPr>
          <w:snapToGrid w:val="0"/>
        </w:rPr>
        <w:tab/>
        <w:t>Last employer liable but may join others</w:t>
      </w:r>
      <w:bookmarkEnd w:id="87"/>
    </w:p>
    <w:p>
      <w:pPr>
        <w:pStyle w:val="Subsection"/>
        <w:spacing w:before="10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0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0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0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0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88" w:name="_Toc33534243"/>
      <w:r>
        <w:rPr>
          <w:rStyle w:val="CharSectno"/>
        </w:rPr>
        <w:t>52</w:t>
      </w:r>
      <w:r>
        <w:rPr>
          <w:snapToGrid w:val="0"/>
        </w:rPr>
        <w:t>.</w:t>
      </w:r>
      <w:r>
        <w:rPr>
          <w:snapToGrid w:val="0"/>
        </w:rPr>
        <w:tab/>
        <w:t>How compensation calculated</w:t>
      </w:r>
      <w:bookmarkEnd w:id="88"/>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89" w:name="_Toc33534244"/>
      <w:r>
        <w:rPr>
          <w:rStyle w:val="CharSectno"/>
        </w:rPr>
        <w:t>53</w:t>
      </w:r>
      <w:r>
        <w:rPr>
          <w:snapToGrid w:val="0"/>
        </w:rPr>
        <w:t>.</w:t>
      </w:r>
      <w:r>
        <w:rPr>
          <w:snapToGrid w:val="0"/>
        </w:rPr>
        <w:tab/>
        <w:t>Employer to whom notice given</w:t>
      </w:r>
      <w:bookmarkEnd w:id="89"/>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No. 42 of 2004 s. 38.]</w:t>
      </w:r>
    </w:p>
    <w:p>
      <w:pPr>
        <w:pStyle w:val="Heading5"/>
        <w:rPr>
          <w:snapToGrid w:val="0"/>
        </w:rPr>
      </w:pPr>
      <w:bookmarkStart w:id="90" w:name="_Toc33534245"/>
      <w:r>
        <w:rPr>
          <w:rStyle w:val="CharSectno"/>
        </w:rPr>
        <w:t>54</w:t>
      </w:r>
      <w:r>
        <w:rPr>
          <w:snapToGrid w:val="0"/>
        </w:rPr>
        <w:t>.</w:t>
      </w:r>
      <w:r>
        <w:rPr>
          <w:snapToGrid w:val="0"/>
        </w:rPr>
        <w:tab/>
        <w:t>Loss of function in Sch. 4 deemed due to employment in process in Sch. 4</w:t>
      </w:r>
      <w:bookmarkEnd w:id="90"/>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No. 42 of 2004 s. 39.]</w:t>
      </w:r>
    </w:p>
    <w:p>
      <w:pPr>
        <w:pStyle w:val="Heading5"/>
        <w:rPr>
          <w:snapToGrid w:val="0"/>
        </w:rPr>
      </w:pPr>
      <w:bookmarkStart w:id="91" w:name="_Toc33534246"/>
      <w:r>
        <w:rPr>
          <w:rStyle w:val="CharSectno"/>
        </w:rPr>
        <w:t>55</w:t>
      </w:r>
      <w:r>
        <w:rPr>
          <w:snapToGrid w:val="0"/>
        </w:rPr>
        <w:t>.</w:t>
      </w:r>
      <w:r>
        <w:rPr>
          <w:snapToGrid w:val="0"/>
        </w:rPr>
        <w:tab/>
        <w:t>Additions to Sch. 4</w:t>
      </w:r>
      <w:bookmarkEnd w:id="91"/>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92" w:name="_Toc33534247"/>
      <w:r>
        <w:rPr>
          <w:rStyle w:val="CharDivNo"/>
        </w:rPr>
        <w:t>Division 5</w:t>
      </w:r>
      <w:r>
        <w:rPr>
          <w:snapToGrid w:val="0"/>
        </w:rPr>
        <w:t> — </w:t>
      </w:r>
      <w:r>
        <w:rPr>
          <w:rStyle w:val="CharDivText"/>
        </w:rPr>
        <w:t>Commencement, review, suspension, and cessation of payments</w:t>
      </w:r>
      <w:bookmarkEnd w:id="92"/>
    </w:p>
    <w:p>
      <w:pPr>
        <w:pStyle w:val="Heading5"/>
        <w:rPr>
          <w:snapToGrid w:val="0"/>
        </w:rPr>
      </w:pPr>
      <w:bookmarkStart w:id="93" w:name="_Toc33534248"/>
      <w:r>
        <w:rPr>
          <w:rStyle w:val="CharSectno"/>
        </w:rPr>
        <w:t>56</w:t>
      </w:r>
      <w:r>
        <w:rPr>
          <w:snapToGrid w:val="0"/>
        </w:rPr>
        <w:t>.</w:t>
      </w:r>
      <w:r>
        <w:rPr>
          <w:snapToGrid w:val="0"/>
        </w:rPr>
        <w:tab/>
        <w:t>When entitlement to weekly payments ceases due to age</w:t>
      </w:r>
      <w:bookmarkEnd w:id="93"/>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p>
    <w:p>
      <w:pPr>
        <w:pStyle w:val="Footnotesection"/>
      </w:pPr>
      <w:r>
        <w:tab/>
        <w:t>[Section 56 amended: No. 42 of 2004 s. 146 and 147; No. 31 of 2011 s. 88.]</w:t>
      </w:r>
    </w:p>
    <w:p>
      <w:pPr>
        <w:pStyle w:val="Heading5"/>
        <w:spacing w:before="180"/>
        <w:rPr>
          <w:snapToGrid w:val="0"/>
        </w:rPr>
      </w:pPr>
      <w:bookmarkStart w:id="94" w:name="_Toc33534249"/>
      <w:r>
        <w:rPr>
          <w:rStyle w:val="CharSectno"/>
        </w:rPr>
        <w:t>57</w:t>
      </w:r>
      <w:r>
        <w:rPr>
          <w:snapToGrid w:val="0"/>
        </w:rPr>
        <w:t>.</w:t>
      </w:r>
      <w:r>
        <w:rPr>
          <w:snapToGrid w:val="0"/>
        </w:rPr>
        <w:tab/>
        <w:t>Effect of s. 56 on Sch. 2 and expenses</w:t>
      </w:r>
      <w:bookmarkEnd w:id="94"/>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No. 42 of 2004 s. 40; No. 31 of 2011 s. 89.]</w:t>
      </w:r>
    </w:p>
    <w:p>
      <w:pPr>
        <w:pStyle w:val="Heading5"/>
        <w:spacing w:before="120"/>
        <w:rPr>
          <w:snapToGrid w:val="0"/>
        </w:rPr>
      </w:pPr>
      <w:bookmarkStart w:id="95" w:name="_Toc33534250"/>
      <w:r>
        <w:rPr>
          <w:rStyle w:val="CharSectno"/>
        </w:rPr>
        <w:t>57A</w:t>
      </w:r>
      <w:r>
        <w:rPr>
          <w:snapToGrid w:val="0"/>
        </w:rPr>
        <w:t>.</w:t>
      </w:r>
      <w:r>
        <w:rPr>
          <w:snapToGrid w:val="0"/>
        </w:rPr>
        <w:tab/>
        <w:t>Claims procedure where employer insured</w:t>
      </w:r>
      <w:bookmarkEnd w:id="95"/>
    </w:p>
    <w:p>
      <w:pPr>
        <w:pStyle w:val="Subsection"/>
        <w:spacing w:before="120"/>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spacing w:before="120"/>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No. 96 of 1990 s. 8; amended: No. 72 of 1992 s. 6; No. 48 of 1993 s. 28(1) and 34; No. 34 of 1999 s. 11; No. 42 of 2004 s. 41, 146, 147 and 154(4); No. 59 of 2004 s. 133; No. 31 of 2011 s. 90.]</w:t>
      </w:r>
    </w:p>
    <w:p>
      <w:pPr>
        <w:pStyle w:val="Heading5"/>
        <w:spacing w:before="180"/>
        <w:rPr>
          <w:snapToGrid w:val="0"/>
        </w:rPr>
      </w:pPr>
      <w:bookmarkStart w:id="96" w:name="_Toc33534251"/>
      <w:r>
        <w:rPr>
          <w:rStyle w:val="CharSectno"/>
        </w:rPr>
        <w:t>57B</w:t>
      </w:r>
      <w:r>
        <w:rPr>
          <w:snapToGrid w:val="0"/>
        </w:rPr>
        <w:t>.</w:t>
      </w:r>
      <w:r>
        <w:rPr>
          <w:snapToGrid w:val="0"/>
        </w:rPr>
        <w:tab/>
        <w:t>Claims procedure where employer is self</w:t>
      </w:r>
      <w:r>
        <w:rPr>
          <w:snapToGrid w:val="0"/>
        </w:rPr>
        <w:noBreakHyphen/>
        <w:t>insured or uninsured</w:t>
      </w:r>
      <w:bookmarkEnd w:id="96"/>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 No. 96 of 1990 s. 8; amended: No. 72 of 1992 s. 7; No. 48 of 1993 s. 28(1) and 35; No. 34 of 1999 s. 12; No. 42 of 2004 s. 42, 146, 147, 150 and 154(4); No. 31 of 2011 s. 91.]</w:t>
      </w:r>
    </w:p>
    <w:p>
      <w:pPr>
        <w:pStyle w:val="Heading5"/>
      </w:pPr>
      <w:bookmarkStart w:id="97" w:name="_Toc33534252"/>
      <w:r>
        <w:rPr>
          <w:rStyle w:val="CharSectno"/>
        </w:rPr>
        <w:t>57BA</w:t>
      </w:r>
      <w:r>
        <w:t>.</w:t>
      </w:r>
      <w:r>
        <w:tab/>
        <w:t>Notices under s. 57A and 57B, form and content of</w:t>
      </w:r>
      <w:bookmarkEnd w:id="97"/>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 No. 42 of 2004 s. 43.]</w:t>
      </w:r>
    </w:p>
    <w:p>
      <w:pPr>
        <w:pStyle w:val="Heading5"/>
        <w:rPr>
          <w:snapToGrid w:val="0"/>
        </w:rPr>
      </w:pPr>
      <w:bookmarkStart w:id="98" w:name="_Toc33534253"/>
      <w:r>
        <w:rPr>
          <w:rStyle w:val="CharSectno"/>
        </w:rPr>
        <w:t>57C</w:t>
      </w:r>
      <w:r>
        <w:rPr>
          <w:snapToGrid w:val="0"/>
        </w:rPr>
        <w:t>.</w:t>
      </w:r>
      <w:r>
        <w:rPr>
          <w:snapToGrid w:val="0"/>
        </w:rPr>
        <w:tab/>
        <w:t>Weekly payments, WorkCover WA to be notified about</w:t>
      </w:r>
      <w:bookmarkEnd w:id="98"/>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 No. 96 of 1990 s. 8; amended: No. 42 of 2004 s. 44, 147 and 150.]</w:t>
      </w:r>
    </w:p>
    <w:p>
      <w:pPr>
        <w:pStyle w:val="Heading5"/>
        <w:spacing w:before="260"/>
        <w:rPr>
          <w:snapToGrid w:val="0"/>
        </w:rPr>
      </w:pPr>
      <w:bookmarkStart w:id="99" w:name="_Toc33534254"/>
      <w:r>
        <w:rPr>
          <w:rStyle w:val="CharSectno"/>
        </w:rPr>
        <w:t>57D</w:t>
      </w:r>
      <w:r>
        <w:rPr>
          <w:snapToGrid w:val="0"/>
        </w:rPr>
        <w:t>.</w:t>
      </w:r>
      <w:r>
        <w:rPr>
          <w:snapToGrid w:val="0"/>
        </w:rPr>
        <w:tab/>
        <w:t>Confidentiality of information given under s. 57C</w:t>
      </w:r>
      <w:bookmarkEnd w:id="99"/>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No. 96 of 1990 s. 8; amended: No. 42 of 2004 s. 150.]</w:t>
      </w:r>
    </w:p>
    <w:p>
      <w:pPr>
        <w:pStyle w:val="Heading5"/>
        <w:rPr>
          <w:snapToGrid w:val="0"/>
        </w:rPr>
      </w:pPr>
      <w:bookmarkStart w:id="100" w:name="_Toc33534255"/>
      <w:r>
        <w:rPr>
          <w:rStyle w:val="CharSectno"/>
        </w:rPr>
        <w:t>58</w:t>
      </w:r>
      <w:r>
        <w:rPr>
          <w:snapToGrid w:val="0"/>
        </w:rPr>
        <w:t>.</w:t>
      </w:r>
      <w:r>
        <w:rPr>
          <w:snapToGrid w:val="0"/>
        </w:rPr>
        <w:tab/>
        <w:t>Liability for weekly payments, arbitrator may determine</w:t>
      </w:r>
      <w:bookmarkEnd w:id="100"/>
    </w:p>
    <w:p>
      <w:pPr>
        <w:pStyle w:val="Subsection"/>
        <w:spacing w:before="120"/>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120"/>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 No. 96 of 1990 s. 9; amended: No. 72 of 1992 s. 8; No. 48 of 1993 s. 28(1); No. 49 of 1996 s. 64; No. 42 of 2004 s. 45 and 150; No. 77 of 2006 Sch. 1 cl. 189(9); No. 31 of 2011 s. 92.]</w:t>
      </w:r>
    </w:p>
    <w:p>
      <w:pPr>
        <w:pStyle w:val="Heading5"/>
        <w:rPr>
          <w:snapToGrid w:val="0"/>
        </w:rPr>
      </w:pPr>
      <w:bookmarkStart w:id="101" w:name="_Toc33534256"/>
      <w:r>
        <w:rPr>
          <w:rStyle w:val="CharSectno"/>
        </w:rPr>
        <w:t>59</w:t>
      </w:r>
      <w:r>
        <w:rPr>
          <w:snapToGrid w:val="0"/>
        </w:rPr>
        <w:t>.</w:t>
      </w:r>
      <w:r>
        <w:rPr>
          <w:snapToGrid w:val="0"/>
        </w:rPr>
        <w:tab/>
        <w:t>Workers who claim compensation to notify employers as to remunerated work</w:t>
      </w:r>
      <w:bookmarkEnd w:id="101"/>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No. 72 of 1992 s. 9; amended: No. 48 of 1993 s. 28(1); No. 42 of 2004 s. 46.]</w:t>
      </w:r>
    </w:p>
    <w:p>
      <w:pPr>
        <w:pStyle w:val="Heading5"/>
        <w:rPr>
          <w:snapToGrid w:val="0"/>
        </w:rPr>
      </w:pPr>
      <w:bookmarkStart w:id="102" w:name="_Toc33534257"/>
      <w:r>
        <w:rPr>
          <w:rStyle w:val="CharSectno"/>
        </w:rPr>
        <w:t>60</w:t>
      </w:r>
      <w:r>
        <w:rPr>
          <w:snapToGrid w:val="0"/>
        </w:rPr>
        <w:t>.</w:t>
      </w:r>
      <w:r>
        <w:rPr>
          <w:snapToGrid w:val="0"/>
        </w:rPr>
        <w:tab/>
        <w:t>Discontinuing or reducing weekly payments, order as to</w:t>
      </w:r>
      <w:bookmarkEnd w:id="102"/>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No. 96 of 1990 s. 10; No. 72 of 1992 s. 10; No. 48 of 1993 s. 28(1); No. 42 of 2004 s. 47.]</w:t>
      </w:r>
    </w:p>
    <w:p>
      <w:pPr>
        <w:pStyle w:val="Heading5"/>
        <w:rPr>
          <w:snapToGrid w:val="0"/>
        </w:rPr>
      </w:pPr>
      <w:bookmarkStart w:id="103" w:name="_Toc33534258"/>
      <w:r>
        <w:rPr>
          <w:rStyle w:val="CharSectno"/>
        </w:rPr>
        <w:t>61</w:t>
      </w:r>
      <w:r>
        <w:rPr>
          <w:snapToGrid w:val="0"/>
        </w:rPr>
        <w:t>.</w:t>
      </w:r>
      <w:r>
        <w:rPr>
          <w:snapToGrid w:val="0"/>
        </w:rPr>
        <w:tab/>
        <w:t>Discontinuing or reducing weekly payments without order</w:t>
      </w:r>
      <w:bookmarkEnd w:id="103"/>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 No. 44 of 1985 s. 20; No. 96 of 1990 s. 11; No. 72 of 1992 s. 11 and 12; No. 48 of 1993 s. 28(1); No. 34 of 1999 s. 13 and 32(2); No. 42 of 2004 s. 48, 147 and 150.]</w:t>
      </w:r>
    </w:p>
    <w:p>
      <w:pPr>
        <w:pStyle w:val="Heading5"/>
        <w:keepNext w:val="0"/>
        <w:keepLines w:val="0"/>
        <w:rPr>
          <w:snapToGrid w:val="0"/>
        </w:rPr>
      </w:pPr>
      <w:bookmarkStart w:id="104" w:name="_Toc33534259"/>
      <w:r>
        <w:rPr>
          <w:rStyle w:val="CharSectno"/>
        </w:rPr>
        <w:t>62</w:t>
      </w:r>
      <w:r>
        <w:rPr>
          <w:snapToGrid w:val="0"/>
        </w:rPr>
        <w:t>.</w:t>
      </w:r>
      <w:r>
        <w:rPr>
          <w:snapToGrid w:val="0"/>
        </w:rPr>
        <w:tab/>
        <w:t>Reviewing and discontinuing, suspending or changing weekly payments</w:t>
      </w:r>
      <w:bookmarkEnd w:id="104"/>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 No. 96 of 1990 s. 12; No. 72 of 1992 s. 13; No. 48 of 1993 s. 28(1); No. 42 of 2004 s. 49.]</w:t>
      </w:r>
    </w:p>
    <w:p>
      <w:pPr>
        <w:pStyle w:val="Heading5"/>
        <w:rPr>
          <w:snapToGrid w:val="0"/>
        </w:rPr>
      </w:pPr>
      <w:bookmarkStart w:id="105" w:name="_Toc33534260"/>
      <w:r>
        <w:rPr>
          <w:rStyle w:val="CharSectno"/>
        </w:rPr>
        <w:t>63</w:t>
      </w:r>
      <w:r>
        <w:rPr>
          <w:snapToGrid w:val="0"/>
        </w:rPr>
        <w:t>.</w:t>
      </w:r>
      <w:r>
        <w:rPr>
          <w:snapToGrid w:val="0"/>
        </w:rPr>
        <w:tab/>
        <w:t>No compensation if right to compensation suspended</w:t>
      </w:r>
      <w:bookmarkEnd w:id="105"/>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No. 48 of 1993 s. 28(1); No. 42 of 2004 s. 50.]</w:t>
      </w:r>
    </w:p>
    <w:p>
      <w:pPr>
        <w:pStyle w:val="Heading5"/>
        <w:rPr>
          <w:snapToGrid w:val="0"/>
        </w:rPr>
      </w:pPr>
      <w:bookmarkStart w:id="106" w:name="_Toc33534261"/>
      <w:r>
        <w:rPr>
          <w:rStyle w:val="CharSectno"/>
        </w:rPr>
        <w:t>64</w:t>
      </w:r>
      <w:r>
        <w:rPr>
          <w:snapToGrid w:val="0"/>
        </w:rPr>
        <w:t>.</w:t>
      </w:r>
      <w:r>
        <w:rPr>
          <w:snapToGrid w:val="0"/>
        </w:rPr>
        <w:tab/>
        <w:t>Medical examination, worker claiming injury may be required to attend</w:t>
      </w:r>
      <w:bookmarkEnd w:id="106"/>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No. 48 of 1993 s. 28(1); No. 42 of 2004 s. 51 and 146.]</w:t>
      </w:r>
    </w:p>
    <w:p>
      <w:pPr>
        <w:pStyle w:val="Heading5"/>
        <w:rPr>
          <w:snapToGrid w:val="0"/>
        </w:rPr>
      </w:pPr>
      <w:bookmarkStart w:id="107" w:name="_Toc33534262"/>
      <w:r>
        <w:rPr>
          <w:rStyle w:val="CharSectno"/>
        </w:rPr>
        <w:t>65</w:t>
      </w:r>
      <w:r>
        <w:rPr>
          <w:snapToGrid w:val="0"/>
        </w:rPr>
        <w:t>.</w:t>
      </w:r>
      <w:r>
        <w:rPr>
          <w:snapToGrid w:val="0"/>
        </w:rPr>
        <w:tab/>
        <w:t>Periodical medical examination, workers on weekly payments may be required to attend</w:t>
      </w:r>
      <w:bookmarkEnd w:id="107"/>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No. 42 of 2004 s. 52.]</w:t>
      </w:r>
    </w:p>
    <w:p>
      <w:pPr>
        <w:pStyle w:val="Heading5"/>
        <w:rPr>
          <w:snapToGrid w:val="0"/>
        </w:rPr>
      </w:pPr>
      <w:bookmarkStart w:id="108" w:name="_Toc33534263"/>
      <w:r>
        <w:rPr>
          <w:rStyle w:val="CharSectno"/>
        </w:rPr>
        <w:t>66</w:t>
      </w:r>
      <w:r>
        <w:rPr>
          <w:snapToGrid w:val="0"/>
        </w:rPr>
        <w:t>.</w:t>
      </w:r>
      <w:r>
        <w:rPr>
          <w:snapToGrid w:val="0"/>
        </w:rPr>
        <w:tab/>
        <w:t>Regulations as to medical examinations</w:t>
      </w:r>
      <w:bookmarkEnd w:id="108"/>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No. 42 of 2004 s. 53.]</w:t>
      </w:r>
    </w:p>
    <w:p>
      <w:pPr>
        <w:pStyle w:val="Heading5"/>
      </w:pPr>
      <w:bookmarkStart w:id="109" w:name="_Toc33534264"/>
      <w:r>
        <w:rPr>
          <w:rStyle w:val="CharSectno"/>
        </w:rPr>
        <w:t>66A</w:t>
      </w:r>
      <w:r>
        <w:t>.</w:t>
      </w:r>
      <w:r>
        <w:tab/>
        <w:t>Additional medical examinations</w:t>
      </w:r>
      <w:bookmarkEnd w:id="109"/>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No. 42 of 2004 s. 54.]</w:t>
      </w:r>
    </w:p>
    <w:p>
      <w:pPr>
        <w:pStyle w:val="Heading5"/>
        <w:rPr>
          <w:snapToGrid w:val="0"/>
        </w:rPr>
      </w:pPr>
      <w:bookmarkStart w:id="110" w:name="_Toc33534265"/>
      <w:r>
        <w:rPr>
          <w:rStyle w:val="CharSectno"/>
        </w:rPr>
        <w:t>67</w:t>
      </w:r>
      <w:r>
        <w:rPr>
          <w:snapToGrid w:val="0"/>
        </w:rPr>
        <w:t>.</w:t>
      </w:r>
      <w:r>
        <w:rPr>
          <w:snapToGrid w:val="0"/>
        </w:rPr>
        <w:tab/>
        <w:t>Lump sum in redemption of weekly payments</w:t>
      </w:r>
      <w:bookmarkEnd w:id="110"/>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keepNext/>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 No. 44 of 1985 s. 21; No. 48 of 1993 s. 36; No. 33 of 1999 s. 4; No. 34 of 1999 s. 14; No. 42 of 2004 s. 55, 146 and 147; No. 31 of 2011 s. 26 and 93.]</w:t>
      </w:r>
    </w:p>
    <w:p>
      <w:pPr>
        <w:pStyle w:val="Heading5"/>
        <w:tabs>
          <w:tab w:val="left" w:pos="4200"/>
        </w:tabs>
        <w:spacing w:before="260"/>
        <w:rPr>
          <w:snapToGrid w:val="0"/>
        </w:rPr>
      </w:pPr>
      <w:bookmarkStart w:id="111" w:name="_Toc33534266"/>
      <w:r>
        <w:rPr>
          <w:rStyle w:val="CharSectno"/>
        </w:rPr>
        <w:t>68</w:t>
      </w:r>
      <w:r>
        <w:rPr>
          <w:snapToGrid w:val="0"/>
        </w:rPr>
        <w:t>.</w:t>
      </w:r>
      <w:r>
        <w:rPr>
          <w:snapToGrid w:val="0"/>
        </w:rPr>
        <w:tab/>
        <w:t>Calculation of lump sum for s. 67(4)</w:t>
      </w:r>
      <w:bookmarkEnd w:id="111"/>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No. 44 of 1985 s. 22; No. 48 of 1993 s. 37; No. 33 of 1999 s. 5; No. 34 of 1999 s. 15.]</w:t>
      </w:r>
    </w:p>
    <w:p>
      <w:pPr>
        <w:pStyle w:val="Heading5"/>
        <w:rPr>
          <w:snapToGrid w:val="0"/>
        </w:rPr>
      </w:pPr>
      <w:bookmarkStart w:id="112" w:name="_Toc33534267"/>
      <w:r>
        <w:rPr>
          <w:rStyle w:val="CharSectno"/>
        </w:rPr>
        <w:t>69</w:t>
      </w:r>
      <w:r>
        <w:rPr>
          <w:snapToGrid w:val="0"/>
        </w:rPr>
        <w:t>.</w:t>
      </w:r>
      <w:r>
        <w:rPr>
          <w:snapToGrid w:val="0"/>
        </w:rPr>
        <w:tab/>
        <w:t>Worker not residing in WA, continuance of weekly payments to</w:t>
      </w:r>
      <w:bookmarkEnd w:id="112"/>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13" w:name="_Toc33534268"/>
      <w:r>
        <w:rPr>
          <w:rStyle w:val="CharSectno"/>
        </w:rPr>
        <w:t>70</w:t>
      </w:r>
      <w:r>
        <w:t>.</w:t>
      </w:r>
      <w:r>
        <w:tab/>
        <w:t>Medical reports, provision of to worker or employer</w:t>
      </w:r>
      <w:bookmarkEnd w:id="113"/>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 No. 42 of 2004 s. 56.]</w:t>
      </w:r>
    </w:p>
    <w:p>
      <w:pPr>
        <w:pStyle w:val="Heading5"/>
        <w:spacing w:before="260"/>
        <w:rPr>
          <w:snapToGrid w:val="0"/>
        </w:rPr>
      </w:pPr>
      <w:bookmarkStart w:id="114" w:name="_Toc33534269"/>
      <w:r>
        <w:rPr>
          <w:rStyle w:val="CharSectno"/>
        </w:rPr>
        <w:t>71</w:t>
      </w:r>
      <w:r>
        <w:rPr>
          <w:snapToGrid w:val="0"/>
        </w:rPr>
        <w:t>.</w:t>
      </w:r>
      <w:r>
        <w:rPr>
          <w:snapToGrid w:val="0"/>
        </w:rPr>
        <w:tab/>
        <w:t>Payments to unentitled person, recovery of</w:t>
      </w:r>
      <w:bookmarkEnd w:id="114"/>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No. 48 of 1993 s. 28(1); No. 42 of 2004 s. 57; No. 31 of 2011 s. 94.]</w:t>
      </w:r>
    </w:p>
    <w:p>
      <w:pPr>
        <w:pStyle w:val="Heading5"/>
        <w:spacing w:before="180"/>
      </w:pPr>
      <w:bookmarkStart w:id="115" w:name="_Toc33534270"/>
      <w:r>
        <w:rPr>
          <w:rStyle w:val="CharSectno"/>
        </w:rPr>
        <w:t>72</w:t>
      </w:r>
      <w:r>
        <w:t>.</w:t>
      </w:r>
      <w:r>
        <w:tab/>
        <w:t>Suspending entitlement while worker in prison</w:t>
      </w:r>
      <w:bookmarkEnd w:id="115"/>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No. 42 of 2004 s. 58.]</w:t>
      </w:r>
    </w:p>
    <w:p>
      <w:pPr>
        <w:pStyle w:val="Heading5"/>
      </w:pPr>
      <w:bookmarkStart w:id="116" w:name="_Toc33534271"/>
      <w:r>
        <w:rPr>
          <w:rStyle w:val="CharSectno"/>
        </w:rPr>
        <w:t>72A</w:t>
      </w:r>
      <w:r>
        <w:t>.</w:t>
      </w:r>
      <w:r>
        <w:tab/>
        <w:t>Suspending etc. entitlement for not undergoing medical examination</w:t>
      </w:r>
      <w:bookmarkEnd w:id="116"/>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keepNext/>
      </w:pPr>
      <w:r>
        <w:tab/>
        <w:t>(b)</w:t>
      </w:r>
      <w:r>
        <w:tab/>
        <w:t>in the case of an order under subsection (1), the worker’s entitlement to take and prosecute any proceeding under this Act in relation to that compensation ceases.</w:t>
      </w:r>
    </w:p>
    <w:p>
      <w:pPr>
        <w:pStyle w:val="Footnotesection"/>
      </w:pPr>
      <w:r>
        <w:tab/>
        <w:t>[Section 72A inserted: No. 42 of 2004 s. 58; amended: No. 16 of 2005 s. 17.]</w:t>
      </w:r>
    </w:p>
    <w:p>
      <w:pPr>
        <w:pStyle w:val="Heading5"/>
      </w:pPr>
      <w:bookmarkStart w:id="117" w:name="_Toc33534272"/>
      <w:r>
        <w:rPr>
          <w:rStyle w:val="CharSectno"/>
        </w:rPr>
        <w:t>72B</w:t>
      </w:r>
      <w:r>
        <w:t>.</w:t>
      </w:r>
      <w:r>
        <w:tab/>
        <w:t>Suspending etc. entitlement for not participating in return to work program</w:t>
      </w:r>
      <w:bookmarkEnd w:id="117"/>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No. 42 of 2004 s. 58.]</w:t>
      </w:r>
    </w:p>
    <w:p>
      <w:pPr>
        <w:pStyle w:val="Heading3"/>
      </w:pPr>
      <w:bookmarkStart w:id="118" w:name="_Toc33534273"/>
      <w:r>
        <w:rPr>
          <w:rStyle w:val="CharDivNo"/>
        </w:rPr>
        <w:t>Division 5A</w:t>
      </w:r>
      <w:r>
        <w:t> — </w:t>
      </w:r>
      <w:r>
        <w:rPr>
          <w:rStyle w:val="CharDivText"/>
        </w:rPr>
        <w:t>Claims by dependants and others for compensation</w:t>
      </w:r>
      <w:bookmarkEnd w:id="118"/>
    </w:p>
    <w:p>
      <w:pPr>
        <w:pStyle w:val="Footnoteheading"/>
      </w:pPr>
      <w:r>
        <w:tab/>
        <w:t>[Heading inserted: No. 8 of 2018 s. 6.]</w:t>
      </w:r>
    </w:p>
    <w:p>
      <w:pPr>
        <w:pStyle w:val="Heading5"/>
      </w:pPr>
      <w:bookmarkStart w:id="119" w:name="_Toc33534274"/>
      <w:r>
        <w:rPr>
          <w:rStyle w:val="CharSectno"/>
        </w:rPr>
        <w:t>72C</w:t>
      </w:r>
      <w:r>
        <w:t>.</w:t>
      </w:r>
      <w:r>
        <w:tab/>
        <w:t>Terms used</w:t>
      </w:r>
      <w:bookmarkEnd w:id="119"/>
    </w:p>
    <w:p>
      <w:pPr>
        <w:pStyle w:val="Subsection"/>
      </w:pPr>
      <w:r>
        <w:tab/>
      </w:r>
      <w:r>
        <w:tab/>
        <w:t xml:space="preserve">In this Division — </w:t>
      </w:r>
    </w:p>
    <w:p>
      <w:pPr>
        <w:pStyle w:val="Defstart"/>
      </w:pPr>
      <w:r>
        <w:tab/>
      </w:r>
      <w:r>
        <w:rPr>
          <w:rStyle w:val="CharDefText"/>
        </w:rPr>
        <w:t>approved</w:t>
      </w:r>
      <w:r>
        <w:t xml:space="preserve"> means approved by the chief executive officer;</w:t>
      </w:r>
    </w:p>
    <w:p>
      <w:pPr>
        <w:pStyle w:val="Defstart"/>
      </w:pPr>
      <w:r>
        <w:tab/>
      </w:r>
      <w:r>
        <w:rPr>
          <w:rStyle w:val="CharDefText"/>
        </w:rPr>
        <w:t>claim</w:t>
      </w:r>
      <w:r>
        <w:t xml:space="preserve"> means a claim for compensation made under section 72E;</w:t>
      </w:r>
    </w:p>
    <w:p>
      <w:pPr>
        <w:pStyle w:val="Defstart"/>
      </w:pPr>
      <w:r>
        <w:tab/>
      </w:r>
      <w:r>
        <w:rPr>
          <w:rStyle w:val="CharDefText"/>
        </w:rPr>
        <w:t>claimant</w:t>
      </w:r>
      <w:r>
        <w:t xml:space="preserve"> means a person claiming to be entitled to compensation under clause 7, 8, 9 or 11;</w:t>
      </w:r>
    </w:p>
    <w:p>
      <w:pPr>
        <w:pStyle w:val="Defstart"/>
      </w:pPr>
      <w:r>
        <w:tab/>
      </w:r>
      <w:r>
        <w:rPr>
          <w:rStyle w:val="CharDefText"/>
        </w:rPr>
        <w:t>clause</w:t>
      </w:r>
      <w:r>
        <w:t xml:space="preserve"> means a clause of Schedule 1A.</w:t>
      </w:r>
    </w:p>
    <w:p>
      <w:pPr>
        <w:pStyle w:val="Footnotesection"/>
      </w:pPr>
      <w:r>
        <w:tab/>
        <w:t>[Section 72C inserted: No. 8 of 2018 s. 6.]</w:t>
      </w:r>
    </w:p>
    <w:p>
      <w:pPr>
        <w:pStyle w:val="Heading5"/>
      </w:pPr>
      <w:bookmarkStart w:id="120" w:name="_Toc33534275"/>
      <w:r>
        <w:rPr>
          <w:rStyle w:val="CharSectno"/>
        </w:rPr>
        <w:t>72D</w:t>
      </w:r>
      <w:r>
        <w:t>.</w:t>
      </w:r>
      <w:r>
        <w:tab/>
        <w:t>Application of this Division</w:t>
      </w:r>
      <w:bookmarkEnd w:id="120"/>
    </w:p>
    <w:p>
      <w:pPr>
        <w:pStyle w:val="Subsection"/>
      </w:pPr>
      <w:r>
        <w:tab/>
        <w:t>(1)</w:t>
      </w:r>
      <w:r>
        <w:tab/>
        <w:t>This Division applies to compensation that an employer of a worker is liable to pay to or for a person in accordance with Schedule 1A.</w:t>
      </w:r>
    </w:p>
    <w:p>
      <w:pPr>
        <w:pStyle w:val="Subsection"/>
      </w:pPr>
      <w:r>
        <w:tab/>
        <w:t>(2)</w:t>
      </w:r>
      <w:r>
        <w:tab/>
        <w:t>A provision of this Division prevails to the extent, if any, that it is inconsistent with a provision of this Act that is not in this Division.</w:t>
      </w:r>
    </w:p>
    <w:p>
      <w:pPr>
        <w:pStyle w:val="Footnotesection"/>
      </w:pPr>
      <w:r>
        <w:tab/>
        <w:t>[Section 72D inserted: No. 8 of 2018 s. 6.]</w:t>
      </w:r>
    </w:p>
    <w:p>
      <w:pPr>
        <w:pStyle w:val="Heading5"/>
      </w:pPr>
      <w:bookmarkStart w:id="121" w:name="_Toc33534276"/>
      <w:r>
        <w:rPr>
          <w:rStyle w:val="CharSectno"/>
        </w:rPr>
        <w:t>72E</w:t>
      </w:r>
      <w:r>
        <w:t>.</w:t>
      </w:r>
      <w:r>
        <w:tab/>
        <w:t>Claims for compensation for dependants and others</w:t>
      </w:r>
      <w:bookmarkEnd w:id="121"/>
    </w:p>
    <w:p>
      <w:pPr>
        <w:pStyle w:val="Subsection"/>
      </w:pPr>
      <w:r>
        <w:tab/>
        <w:t>(1)</w:t>
      </w:r>
      <w:r>
        <w:tab/>
        <w:t>A claim for compensation may be made on the employer by, or on behalf of, a claimant.</w:t>
      </w:r>
    </w:p>
    <w:p>
      <w:pPr>
        <w:pStyle w:val="Subsection"/>
      </w:pPr>
      <w:r>
        <w:tab/>
        <w:t>(2)</w:t>
      </w:r>
      <w:r>
        <w:tab/>
        <w:t>Compensation for 2 or more claimants can be the subject of 1 claim.</w:t>
      </w:r>
    </w:p>
    <w:p>
      <w:pPr>
        <w:pStyle w:val="Subsection"/>
      </w:pPr>
      <w:r>
        <w:tab/>
        <w:t>(3)</w:t>
      </w:r>
      <w:r>
        <w:tab/>
        <w:t>A claim must be made in the approved form and must be accompanied by supporting information and documents in accordance with guidelines issued from time to time by WorkCover WA.</w:t>
      </w:r>
    </w:p>
    <w:p>
      <w:pPr>
        <w:pStyle w:val="Footnotesection"/>
      </w:pPr>
      <w:r>
        <w:tab/>
        <w:t>[Section 72E inserted: No. 8 of 2018 s. 6.]</w:t>
      </w:r>
    </w:p>
    <w:p>
      <w:pPr>
        <w:pStyle w:val="Heading5"/>
      </w:pPr>
      <w:bookmarkStart w:id="122" w:name="_Toc33534277"/>
      <w:r>
        <w:rPr>
          <w:rStyle w:val="CharSectno"/>
        </w:rPr>
        <w:t>72F</w:t>
      </w:r>
      <w:r>
        <w:t>.</w:t>
      </w:r>
      <w:r>
        <w:tab/>
        <w:t>Claims procedure where employer insured</w:t>
      </w:r>
      <w:bookmarkEnd w:id="122"/>
    </w:p>
    <w:p>
      <w:pPr>
        <w:pStyle w:val="Subsection"/>
      </w:pPr>
      <w:r>
        <w:tab/>
        <w:t>(1)</w:t>
      </w:r>
      <w:r>
        <w:tab/>
        <w:t>This section applies if —</w:t>
      </w:r>
    </w:p>
    <w:p>
      <w:pPr>
        <w:pStyle w:val="Indenta"/>
      </w:pPr>
      <w:r>
        <w:tab/>
        <w:t>(a)</w:t>
      </w:r>
      <w:r>
        <w:tab/>
        <w:t>a claim is made on an employer in accordance with section 178(1); and</w:t>
      </w:r>
    </w:p>
    <w:p>
      <w:pPr>
        <w:pStyle w:val="Indenta"/>
      </w:pPr>
      <w:r>
        <w:tab/>
        <w:t>(b)</w:t>
      </w:r>
      <w:r>
        <w:tab/>
        <w:t>the employer is indemnified under a policy of insurance against liability to pay the compensation claimed.</w:t>
      </w:r>
    </w:p>
    <w:p>
      <w:pPr>
        <w:pStyle w:val="Subsection"/>
      </w:pPr>
      <w:r>
        <w:tab/>
        <w:t>(2)</w:t>
      </w:r>
      <w:r>
        <w:tab/>
        <w:t>Before the expiration of 5 full working days after the claim is made the employer must give the claim to the insurer to be dealt with under and in accordance with the policy of insurance.</w:t>
      </w:r>
    </w:p>
    <w:p>
      <w:pPr>
        <w:pStyle w:val="Penstart"/>
      </w:pPr>
      <w:r>
        <w:tab/>
        <w:t>Penalty for this subsection: a fine of $1 000.</w:t>
      </w:r>
    </w:p>
    <w:p>
      <w:pPr>
        <w:pStyle w:val="Subsection"/>
      </w:pPr>
      <w:r>
        <w:tab/>
        <w:t>(3)</w:t>
      </w:r>
      <w:r>
        <w:tab/>
        <w:t>On receiving the claim the insurer must give a copy of it to WorkCover WA.</w:t>
      </w:r>
    </w:p>
    <w:p>
      <w:pPr>
        <w:pStyle w:val="Subsection"/>
      </w:pPr>
      <w:r>
        <w:tab/>
        <w:t>(4)</w:t>
      </w:r>
      <w:r>
        <w:tab/>
        <w:t xml:space="preserve">As soon as is practicable after receiving the claim the insurer must — </w:t>
      </w:r>
    </w:p>
    <w:p>
      <w:pPr>
        <w:pStyle w:val="Indenta"/>
      </w:pPr>
      <w:r>
        <w:tab/>
        <w:t>(a)</w:t>
      </w:r>
      <w:r>
        <w:tab/>
        <w:t>give the claimant and the employer notice that liability is accepted in respect of the compensation claimed; or</w:t>
      </w:r>
    </w:p>
    <w:p>
      <w:pPr>
        <w:pStyle w:val="Indenta"/>
      </w:pPr>
      <w:r>
        <w:tab/>
        <w:t>(b)</w:t>
      </w:r>
      <w:r>
        <w:tab/>
        <w:t>give the claimant and the employer notice that liability is disputed in respect of some or all of the compensation claimed; or</w:t>
      </w:r>
    </w:p>
    <w:p>
      <w:pPr>
        <w:pStyle w:val="Indenta"/>
      </w:pPr>
      <w:r>
        <w:tab/>
        <w:t>(c)</w:t>
      </w:r>
      <w:r>
        <w:tab/>
        <w:t>give the claimant notice that additional information or documents specified in the notice are required in order for a decision to accept or dispute liability for compensation to be made.</w:t>
      </w:r>
    </w:p>
    <w:p>
      <w:pPr>
        <w:pStyle w:val="Subsection"/>
      </w:pPr>
      <w:r>
        <w:tab/>
        <w:t>(5)</w:t>
      </w:r>
      <w:r>
        <w:tab/>
        <w:t xml:space="preserve">As soon as is practicable after receiving information or documents required under subsection (4)(c) the insurer must give the claimant and the employer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(6)</w:t>
      </w:r>
      <w:r>
        <w:tab/>
        <w:t>A notice given under subsection (4) or (5) must be in the approved form and the insurer must give a copy of the notice to WorkCover WA.</w:t>
      </w:r>
    </w:p>
    <w:p>
      <w:pPr>
        <w:pStyle w:val="Footnotesection"/>
      </w:pPr>
      <w:r>
        <w:tab/>
        <w:t>[Section 72F inserted: No. 8 of 2018 s. 6.]</w:t>
      </w:r>
    </w:p>
    <w:p>
      <w:pPr>
        <w:pStyle w:val="Heading5"/>
      </w:pPr>
      <w:bookmarkStart w:id="123" w:name="_Toc33534278"/>
      <w:r>
        <w:rPr>
          <w:rStyle w:val="CharSectno"/>
        </w:rPr>
        <w:t>72G</w:t>
      </w:r>
      <w:r>
        <w:t>.</w:t>
      </w:r>
      <w:r>
        <w:tab/>
        <w:t>Claims procedure where employer is self</w:t>
      </w:r>
      <w:r>
        <w:noBreakHyphen/>
        <w:t>insured or uninsured</w:t>
      </w:r>
      <w:bookmarkEnd w:id="123"/>
    </w:p>
    <w:p>
      <w:pPr>
        <w:pStyle w:val="Subsection"/>
      </w:pPr>
      <w:r>
        <w:tab/>
        <w:t>(1)</w:t>
      </w:r>
      <w:r>
        <w:tab/>
        <w:t xml:space="preserve">This section applies if — </w:t>
      </w:r>
    </w:p>
    <w:p>
      <w:pPr>
        <w:pStyle w:val="Indenta"/>
      </w:pPr>
      <w:r>
        <w:tab/>
        <w:t>(a)</w:t>
      </w:r>
      <w:r>
        <w:tab/>
        <w:t>a claim is made on an employer in accordance with section 178(1); and</w:t>
      </w:r>
    </w:p>
    <w:p>
      <w:pPr>
        <w:pStyle w:val="Indenta"/>
      </w:pPr>
      <w:r>
        <w:tab/>
        <w:t>(b)</w:t>
      </w:r>
      <w:r>
        <w:tab/>
        <w:t>the employer (whether in contravention of section 160, in accordance with an exemption under section 164, as a result of the insurer declining to indemnify the employer, or otherwise) is not indemnified by a policy of insurance against liability to pay the compensation claimed.</w:t>
      </w:r>
    </w:p>
    <w:p>
      <w:pPr>
        <w:pStyle w:val="Subsection"/>
      </w:pPr>
      <w:r>
        <w:tab/>
        <w:t>(2)</w:t>
      </w:r>
      <w:r>
        <w:tab/>
        <w:t>On receiving the claim the employer must give a copy of it to WorkCover WA.</w:t>
      </w:r>
    </w:p>
    <w:p>
      <w:pPr>
        <w:pStyle w:val="Subsection"/>
      </w:pPr>
      <w:r>
        <w:tab/>
        <w:t>(3)</w:t>
      </w:r>
      <w:r>
        <w:tab/>
        <w:t xml:space="preserve">As soon as is practicable after receiving the claim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 or</w:t>
      </w:r>
    </w:p>
    <w:p>
      <w:pPr>
        <w:pStyle w:val="Indenta"/>
      </w:pPr>
      <w:r>
        <w:tab/>
        <w:t>(c)</w:t>
      </w:r>
      <w:r>
        <w:tab/>
        <w:t>notice that additional information or documents specified in the notice are required in order for a decision to accept or dispute liability for compensation to be made.</w:t>
      </w:r>
    </w:p>
    <w:p>
      <w:pPr>
        <w:pStyle w:val="Subsection"/>
      </w:pPr>
      <w:r>
        <w:tab/>
        <w:t>(4)</w:t>
      </w:r>
      <w:r>
        <w:tab/>
        <w:t xml:space="preserve">As soon as is practicable after receiving information or documents required under subsection (3)(c)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(5)</w:t>
      </w:r>
      <w:r>
        <w:tab/>
        <w:t>A notice given under subsection (3) or (4) must be in the approved form and the employer must give a copy of the notice to WorkCover WA.</w:t>
      </w:r>
    </w:p>
    <w:p>
      <w:pPr>
        <w:pStyle w:val="Footnotesection"/>
      </w:pPr>
      <w:r>
        <w:tab/>
        <w:t>[Section 72G inserted: No. 8 of 2018 s. 6.]</w:t>
      </w:r>
    </w:p>
    <w:p>
      <w:pPr>
        <w:pStyle w:val="Heading5"/>
      </w:pPr>
      <w:bookmarkStart w:id="124" w:name="_Toc33534279"/>
      <w:r>
        <w:rPr>
          <w:rStyle w:val="CharSectno"/>
        </w:rPr>
        <w:t>72H</w:t>
      </w:r>
      <w:r>
        <w:t>.</w:t>
      </w:r>
      <w:r>
        <w:tab/>
        <w:t>Resolution of claim</w:t>
      </w:r>
      <w:bookmarkEnd w:id="124"/>
    </w:p>
    <w:p>
      <w:pPr>
        <w:pStyle w:val="Subsection"/>
      </w:pPr>
      <w:r>
        <w:tab/>
        <w:t>(1)</w:t>
      </w:r>
      <w:r>
        <w:tab/>
        <w:t xml:space="preserve">In this section — </w:t>
      </w:r>
    </w:p>
    <w:p>
      <w:pPr>
        <w:pStyle w:val="Defstart"/>
      </w:pPr>
      <w:r>
        <w:tab/>
      </w:r>
      <w:r>
        <w:rPr>
          <w:rStyle w:val="CharDefText"/>
        </w:rPr>
        <w:t>response</w:t>
      </w:r>
      <w:r>
        <w:t xml:space="preserve"> means a notice under section 72F(4) or 72G(3);</w:t>
      </w:r>
    </w:p>
    <w:p>
      <w:pPr>
        <w:pStyle w:val="Defstart"/>
      </w:pPr>
      <w:r>
        <w:tab/>
      </w:r>
      <w:r>
        <w:rPr>
          <w:rStyle w:val="CharDefText"/>
        </w:rPr>
        <w:t>response period</w:t>
      </w:r>
      <w:r>
        <w:t xml:space="preserve"> means the period of 30 days after the day on which the claim is made on the employer.</w:t>
      </w:r>
    </w:p>
    <w:p>
      <w:pPr>
        <w:pStyle w:val="Subsection"/>
      </w:pPr>
      <w:r>
        <w:tab/>
        <w:t>(2)</w:t>
      </w:r>
      <w:r>
        <w:tab/>
        <w:t>Except as provided in subsection (8), compensation in accordance with Schedule 1A is to be paid only as specified in an order made under subsection (7).</w:t>
      </w:r>
    </w:p>
    <w:p>
      <w:pPr>
        <w:pStyle w:val="Subsection"/>
      </w:pPr>
      <w:r>
        <w:tab/>
        <w:t>(3)</w:t>
      </w:r>
      <w:r>
        <w:tab/>
        <w:t>An application may be made to the Registrar by or on behalf of the claimant for the claim to be determined by an arbitrator.</w:t>
      </w:r>
    </w:p>
    <w:p>
      <w:pPr>
        <w:pStyle w:val="Subsection"/>
      </w:pPr>
      <w:r>
        <w:tab/>
        <w:t>(4)</w:t>
      </w:r>
      <w:r>
        <w:tab/>
        <w:t xml:space="preserve">The application may be made — </w:t>
      </w:r>
    </w:p>
    <w:p>
      <w:pPr>
        <w:pStyle w:val="Indenta"/>
      </w:pPr>
      <w:r>
        <w:tab/>
        <w:t>(a)</w:t>
      </w:r>
      <w:r>
        <w:tab/>
        <w:t>at any time after the claimant receives a response; or</w:t>
      </w:r>
    </w:p>
    <w:p>
      <w:pPr>
        <w:pStyle w:val="Indenta"/>
      </w:pPr>
      <w:r>
        <w:tab/>
        <w:t>(b)</w:t>
      </w:r>
      <w:r>
        <w:tab/>
        <w:t>if the claimant does not receive a response during the response period, at any time after the end of the response period.</w:t>
      </w:r>
    </w:p>
    <w:p>
      <w:pPr>
        <w:pStyle w:val="Subsection"/>
      </w:pPr>
      <w:r>
        <w:tab/>
        <w:t>(5)</w:t>
      </w:r>
      <w:r>
        <w:tab/>
        <w:t>If the application is made before the claimant receives a response, the application does not affect the continued operation of section 72F(2) to (6) or 72G(2) to (5), whichever are applicable, in relation to the claim.</w:t>
      </w:r>
    </w:p>
    <w:p>
      <w:pPr>
        <w:pStyle w:val="Subsection"/>
      </w:pPr>
      <w:r>
        <w:tab/>
        <w:t>(6)</w:t>
      </w:r>
      <w:r>
        <w:tab/>
        <w:t>If the application is made after the claimant receives a response under section 72F(4)(c) or 72G(3)(c), the application does not affect the continued operation of section 72F(5) or 72G(4), whichever is applicable, in relation to the claim.</w:t>
      </w:r>
    </w:p>
    <w:p>
      <w:pPr>
        <w:pStyle w:val="Subsection"/>
      </w:pPr>
      <w:r>
        <w:tab/>
        <w:t>(7)</w:t>
      </w:r>
      <w:r>
        <w:tab/>
        <w:t>An arbitrator must determine the claim and make an order specifying whether the claimant is entitled to compensation in accordance with Schedule 1A and, if so, the amount of compensation to which the claimant is entitled.</w:t>
      </w:r>
    </w:p>
    <w:p>
      <w:pPr>
        <w:pStyle w:val="Subsection"/>
      </w:pPr>
      <w:r>
        <w:tab/>
        <w:t>(8)</w:t>
      </w:r>
      <w:r>
        <w:tab/>
        <w:t>If an insurer or employer accepts liability in respect of compensation to which a person is entitled under clause 9, the compensation can be paid to the person without an order having been made under subsection (7).</w:t>
      </w:r>
    </w:p>
    <w:p>
      <w:pPr>
        <w:pStyle w:val="Footnotesection"/>
      </w:pPr>
      <w:r>
        <w:tab/>
        <w:t>[Section 72H inserted: No. 8 of 2018 s. 6.]</w:t>
      </w:r>
    </w:p>
    <w:p>
      <w:pPr>
        <w:pStyle w:val="Heading5"/>
      </w:pPr>
      <w:bookmarkStart w:id="125" w:name="_Toc33534280"/>
      <w:r>
        <w:rPr>
          <w:rStyle w:val="CharSectno"/>
        </w:rPr>
        <w:t>72I</w:t>
      </w:r>
      <w:r>
        <w:t>.</w:t>
      </w:r>
      <w:r>
        <w:tab/>
        <w:t>Manner of payment of lump sum compensation</w:t>
      </w:r>
      <w:bookmarkEnd w:id="125"/>
    </w:p>
    <w:p>
      <w:pPr>
        <w:pStyle w:val="Subsection"/>
      </w:pPr>
      <w:r>
        <w:tab/>
        <w:t>(1)</w:t>
      </w:r>
      <w:r>
        <w:tab/>
        <w:t xml:space="preserve">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7 or 11, the compensation order must specify whether compensation for the dependant is to be — </w:t>
      </w:r>
    </w:p>
    <w:p>
      <w:pPr>
        <w:pStyle w:val="Indenta"/>
      </w:pPr>
      <w:r>
        <w:tab/>
        <w:t>(a)</w:t>
      </w:r>
      <w:r>
        <w:tab/>
        <w:t>paid to WorkCover WA and applied in the manner specified in the order; or</w:t>
      </w:r>
    </w:p>
    <w:p>
      <w:pPr>
        <w:pStyle w:val="Indenta"/>
      </w:pPr>
      <w:r>
        <w:tab/>
        <w:t>(b)</w:t>
      </w:r>
      <w:r>
        <w:tab/>
        <w:t>paid to the dependant as specified in the order.</w:t>
      </w:r>
    </w:p>
    <w:p>
      <w:pPr>
        <w:pStyle w:val="Subsection"/>
      </w:pPr>
      <w:r>
        <w:tab/>
        <w:t>(2)</w:t>
      </w:r>
      <w:r>
        <w:tab/>
        <w:t>Subsection (3) applies after the making of the compensation order if the compensation order includes provisions of the kind mentioned in subsection (1)(a).</w:t>
      </w:r>
    </w:p>
    <w:p>
      <w:pPr>
        <w:pStyle w:val="Subsection"/>
      </w:pPr>
      <w:r>
        <w:tab/>
        <w:t>(3)</w:t>
      </w:r>
      <w:r>
        <w:tab/>
        <w:t>On application being made to the Registrar, an arbitrator may make an order specifying that the compensation is to be —</w:t>
      </w:r>
    </w:p>
    <w:p>
      <w:pPr>
        <w:pStyle w:val="Indenta"/>
      </w:pPr>
      <w:r>
        <w:tab/>
        <w:t>(a)</w:t>
      </w:r>
      <w:r>
        <w:tab/>
        <w:t>applied otherwise than in the manner specified in the compensation order; or</w:t>
      </w:r>
    </w:p>
    <w:p>
      <w:pPr>
        <w:pStyle w:val="Indenta"/>
      </w:pPr>
      <w:r>
        <w:tab/>
        <w:t>(b)</w:t>
      </w:r>
      <w:r>
        <w:tab/>
        <w:t>paid to the dependant.</w:t>
      </w:r>
    </w:p>
    <w:p>
      <w:pPr>
        <w:pStyle w:val="Footnotesection"/>
      </w:pPr>
      <w:r>
        <w:tab/>
        <w:t>[Section 72I inserted: No. 8 of 2018 s. 6.]</w:t>
      </w:r>
    </w:p>
    <w:p>
      <w:pPr>
        <w:pStyle w:val="Heading5"/>
      </w:pPr>
      <w:bookmarkStart w:id="126" w:name="_Toc33534281"/>
      <w:r>
        <w:rPr>
          <w:rStyle w:val="CharSectno"/>
        </w:rPr>
        <w:t>72J</w:t>
      </w:r>
      <w:r>
        <w:t>.</w:t>
      </w:r>
      <w:r>
        <w:tab/>
        <w:t>Manner of payment of child’s allowance</w:t>
      </w:r>
      <w:bookmarkEnd w:id="126"/>
    </w:p>
    <w:p>
      <w:pPr>
        <w:pStyle w:val="Subsection"/>
      </w:pPr>
      <w:r>
        <w:tab/>
        <w:t>(1)</w:t>
      </w:r>
      <w:r>
        <w:tab/>
        <w:t xml:space="preserve">This section applies 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8 (the </w:t>
      </w:r>
      <w:r>
        <w:rPr>
          <w:rStyle w:val="CharDefText"/>
        </w:rPr>
        <w:t>child’s allowance</w:t>
      </w:r>
      <w:r>
        <w:t>).</w:t>
      </w:r>
    </w:p>
    <w:p>
      <w:pPr>
        <w:pStyle w:val="Subsection"/>
      </w:pPr>
      <w:r>
        <w:tab/>
        <w:t>(2)</w:t>
      </w:r>
      <w:r>
        <w:tab/>
        <w:t>The compensation order must provide for amounts in respect of the child’s allowance to be paid to WorkCover WA by the insurer or employer weekly or at such other intervals as are specified in the order.</w:t>
      </w:r>
    </w:p>
    <w:p>
      <w:pPr>
        <w:pStyle w:val="Subsection"/>
      </w:pPr>
      <w:r>
        <w:tab/>
        <w:t>(3)</w:t>
      </w:r>
      <w:r>
        <w:tab/>
        <w:t>WorkCover WA must make periodic payments of the child’s allowance to the dependant as specified in the compensation order but no payment is to be made in advance of a periodic payment or by way of commutation.</w:t>
      </w:r>
    </w:p>
    <w:p>
      <w:pPr>
        <w:pStyle w:val="Subsection"/>
      </w:pPr>
      <w:r>
        <w:tab/>
        <w:t>(4)</w:t>
      </w:r>
      <w:r>
        <w:tab/>
        <w:t>Payments to and by WorkCover WA under subsections (2) and (3) are to continue as long as the dependant remains entitled to the child’s allowance but, subject to clause 8(6), if the entitlement is based on the dependant being a full</w:t>
      </w:r>
      <w:r>
        <w:noBreakHyphen/>
        <w:t>time student payments may be suspended if proof of participation in full</w:t>
      </w:r>
      <w:r>
        <w:noBreakHyphen/>
        <w:t>time study is not provided when and in the manner required by WorkCover WA.</w:t>
      </w:r>
    </w:p>
    <w:p>
      <w:pPr>
        <w:pStyle w:val="Subsection"/>
      </w:pPr>
      <w:r>
        <w:tab/>
        <w:t>(5)</w:t>
      </w:r>
      <w:r>
        <w:tab/>
        <w:t>Despite subsections (2) and (4), the liability to make payments under subsection (2) may be fully discharged by the payment to WorkCover WA of an amount calculated in accordance with the regulations as being the full amount of the child’s allowance that will be payable on the assumption that the child’s allowance will be payable to the dependant until the dependant attains the age of 21 years.</w:t>
      </w:r>
    </w:p>
    <w:p>
      <w:pPr>
        <w:pStyle w:val="Subsection"/>
      </w:pPr>
      <w:r>
        <w:tab/>
        <w:t>(6)</w:t>
      </w:r>
      <w:r>
        <w:tab/>
        <w:t>An application by the insurer or employer to pay an amount under subsection (5) may be made to WorkCover WA in the approved form when, or at any time after, the compensation order is made.</w:t>
      </w:r>
    </w:p>
    <w:p>
      <w:pPr>
        <w:pStyle w:val="Subsection"/>
      </w:pPr>
      <w:r>
        <w:tab/>
        <w:t>(7)</w:t>
      </w:r>
      <w:r>
        <w:tab/>
        <w:t>If an amount paid to WorkCover WA under subsection (2) or (5) has been credited to the Trust Account under section 110(2)(b) and the entitlement of the dependant to the child’s allowance ends before the amount has been exhausted by periodic payments under subsection (3), any surplus moneys standing to the credit of the Trust Account must be transferred to the General Account.</w:t>
      </w:r>
    </w:p>
    <w:p>
      <w:pPr>
        <w:pStyle w:val="Subsection"/>
      </w:pPr>
      <w:r>
        <w:tab/>
        <w:t>(8)</w:t>
      </w:r>
      <w:r>
        <w:tab/>
        <w:t>On application being made to the Registrar by or on behalf of the claimant, an arbitrator may make an order varying the terms of the compensation order in relation to a matter mentioned in subsection (2) or (3).</w:t>
      </w:r>
    </w:p>
    <w:p>
      <w:pPr>
        <w:pStyle w:val="Footnotesection"/>
      </w:pPr>
      <w:r>
        <w:tab/>
        <w:t>[Section 72J inserted: No. 8 of 2018 s. 6.]</w:t>
      </w:r>
    </w:p>
    <w:p>
      <w:pPr>
        <w:pStyle w:val="Heading5"/>
      </w:pPr>
      <w:bookmarkStart w:id="127" w:name="_Toc33534282"/>
      <w:r>
        <w:rPr>
          <w:rStyle w:val="CharSectno"/>
        </w:rPr>
        <w:t>72K</w:t>
      </w:r>
      <w:r>
        <w:t>.</w:t>
      </w:r>
      <w:r>
        <w:tab/>
        <w:t>Effect of recovery of damages on moneys held in Trust Account</w:t>
      </w:r>
      <w:bookmarkEnd w:id="127"/>
    </w:p>
    <w:p>
      <w:pPr>
        <w:pStyle w:val="Subsection"/>
      </w:pPr>
      <w:r>
        <w:tab/>
        <w:t>(1)</w:t>
      </w:r>
      <w:r>
        <w:tab/>
        <w:t xml:space="preserve">In this section — </w:t>
      </w:r>
    </w:p>
    <w:p>
      <w:pPr>
        <w:pStyle w:val="Defstart"/>
      </w:pPr>
      <w:r>
        <w:tab/>
      </w:r>
      <w:r>
        <w:rPr>
          <w:rStyle w:val="CharDefText"/>
        </w:rPr>
        <w:t>damages</w:t>
      </w:r>
      <w:r>
        <w:t xml:space="preserve"> means — </w:t>
      </w:r>
    </w:p>
    <w:p>
      <w:pPr>
        <w:pStyle w:val="Defpara"/>
      </w:pPr>
      <w:r>
        <w:tab/>
        <w:t>(a)</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(b)</w:t>
      </w:r>
      <w:r>
        <w:tab/>
        <w:t xml:space="preserve">damages due or payable to, or claimed on behalf of, the estate of a deceased worker under the </w:t>
      </w:r>
      <w:r>
        <w:rPr>
          <w:i/>
        </w:rPr>
        <w:t>Law Reform (Miscellaneous Provisions) Act 1941</w:t>
      </w:r>
      <w:r>
        <w:t xml:space="preserve"> for an injury causing the death of the worker;</w:t>
      </w:r>
    </w:p>
    <w:p>
      <w:pPr>
        <w:pStyle w:val="Defstart"/>
      </w:pPr>
      <w:r>
        <w:tab/>
      </w:r>
      <w:r>
        <w:rPr>
          <w:rStyle w:val="CharDefText"/>
        </w:rPr>
        <w:t>judgment</w:t>
      </w:r>
      <w:r>
        <w:t xml:space="preserve"> includes an acceptance of an offer to consent to judgment;</w:t>
      </w:r>
    </w:p>
    <w:p>
      <w:pPr>
        <w:pStyle w:val="Defstart"/>
      </w:pPr>
      <w:r>
        <w:tab/>
      </w:r>
      <w:r>
        <w:rPr>
          <w:rStyle w:val="CharDefText"/>
        </w:rPr>
        <w:t>settlement</w:t>
      </w:r>
      <w:r>
        <w:t xml:space="preserve"> includes — </w:t>
      </w:r>
    </w:p>
    <w:p>
      <w:pPr>
        <w:pStyle w:val="Defpara"/>
      </w:pPr>
      <w:r>
        <w:tab/>
        <w:t>(a)</w:t>
      </w:r>
      <w:r>
        <w:tab/>
        <w:t>a settlement by the acceptance of money paid into court; and</w:t>
      </w:r>
    </w:p>
    <w:p>
      <w:pPr>
        <w:pStyle w:val="Defpara"/>
      </w:pPr>
      <w:r>
        <w:tab/>
        <w:t>(b)</w:t>
      </w:r>
      <w:r>
        <w:tab/>
        <w:t>a memorandum of the terms of a settlement that has been filed under section 92(f);</w:t>
      </w:r>
    </w:p>
    <w:p>
      <w:pPr>
        <w:pStyle w:val="Defstart"/>
      </w:pPr>
      <w:r>
        <w:tab/>
      </w:r>
      <w:r>
        <w:rPr>
          <w:rStyle w:val="CharDefText"/>
        </w:rPr>
        <w:t>trust moneys</w:t>
      </w:r>
      <w:r>
        <w:t xml:space="preserve"> of a dependant means moneys credited to the Trust Account under section 110(2)(a) or (b) in respect of the dependant.</w:t>
      </w:r>
    </w:p>
    <w:p>
      <w:pPr>
        <w:pStyle w:val="Subsection"/>
      </w:pPr>
      <w:r>
        <w:tab/>
        <w:t>(2)</w:t>
      </w:r>
      <w:r>
        <w:tab/>
        <w:t>Despite anything in this Act, in paying or otherwise applying or dealing with trust moneys of a dependant WorkCover WA must have regard to, and take into account, any judgment or settlement under which damages are payable to the dependant.</w:t>
      </w:r>
    </w:p>
    <w:p>
      <w:pPr>
        <w:pStyle w:val="Subsection"/>
      </w:pPr>
      <w:r>
        <w:tab/>
        <w:t>(3)</w:t>
      </w:r>
      <w:r>
        <w:tab/>
        <w:t>Without limiting subsection (2), a judgment in or settlement of an action for damages may include directions to WorkCover WA as to how trust moneys of a dependant are to be paid or otherwise applied or dealt with and WorkCover WA must give effect to a direction so given.</w:t>
      </w:r>
    </w:p>
    <w:p>
      <w:pPr>
        <w:pStyle w:val="Subsection"/>
      </w:pPr>
      <w:r>
        <w:tab/>
        <w:t>(4)</w:t>
      </w:r>
      <w:r>
        <w:tab/>
        <w:t xml:space="preserve">Notice must be given to WorkCover WA by or on behalf of the claimant if — </w:t>
      </w:r>
    </w:p>
    <w:p>
      <w:pPr>
        <w:pStyle w:val="Indenta"/>
      </w:pPr>
      <w:r>
        <w:tab/>
        <w:t>(a)</w:t>
      </w:r>
      <w:r>
        <w:tab/>
        <w:t>an action for damages is commenced; or</w:t>
      </w:r>
    </w:p>
    <w:p>
      <w:pPr>
        <w:pStyle w:val="Indenta"/>
      </w:pPr>
      <w:r>
        <w:tab/>
        <w:t>(b)</w:t>
      </w:r>
      <w:r>
        <w:tab/>
        <w:t>judgment is given or settlement takes place in an action for damages.</w:t>
      </w:r>
    </w:p>
    <w:p>
      <w:pPr>
        <w:pStyle w:val="Subsection"/>
        <w:keepNext/>
      </w:pPr>
      <w:r>
        <w:tab/>
        <w:t>(5)</w:t>
      </w:r>
      <w:r>
        <w:tab/>
        <w:t>A notice given under subsection (4) must be in the approved form.</w:t>
      </w:r>
    </w:p>
    <w:p>
      <w:pPr>
        <w:pStyle w:val="Footnotesection"/>
      </w:pPr>
      <w:r>
        <w:tab/>
        <w:t>[Section 72K inserted: No. 8 of 2018 s. 6.]</w:t>
      </w:r>
    </w:p>
    <w:p>
      <w:pPr>
        <w:pStyle w:val="Heading5"/>
      </w:pPr>
      <w:bookmarkStart w:id="128" w:name="_Toc33534283"/>
      <w:r>
        <w:rPr>
          <w:rStyle w:val="CharSectno"/>
        </w:rPr>
        <w:t>72L</w:t>
      </w:r>
      <w:r>
        <w:t>.</w:t>
      </w:r>
      <w:r>
        <w:tab/>
        <w:t>Application of Part XI to matters under this Division</w:t>
      </w:r>
      <w:bookmarkEnd w:id="128"/>
    </w:p>
    <w:p>
      <w:pPr>
        <w:pStyle w:val="Subsection"/>
      </w:pPr>
      <w:r>
        <w:tab/>
        <w:t>(1)</w:t>
      </w:r>
      <w:r>
        <w:tab/>
        <w:t xml:space="preserve">In this section — </w:t>
      </w:r>
    </w:p>
    <w:p>
      <w:pPr>
        <w:pStyle w:val="Defstart"/>
      </w:pPr>
      <w:r>
        <w:tab/>
      </w:r>
      <w:r>
        <w:rPr>
          <w:rStyle w:val="CharDefText"/>
        </w:rPr>
        <w:t>application</w:t>
      </w:r>
      <w:r>
        <w:t xml:space="preserve"> means an application under section 72H(3), 72I(3) or 72J(8) or clause 8(6) or (7);</w:t>
      </w:r>
    </w:p>
    <w:p>
      <w:pPr>
        <w:pStyle w:val="Defstart"/>
      </w:pPr>
      <w:r>
        <w:tab/>
      </w:r>
      <w:r>
        <w:rPr>
          <w:rStyle w:val="CharDefText"/>
        </w:rPr>
        <w:t>order</w:t>
      </w:r>
      <w:r>
        <w:t xml:space="preserve"> means an order under section 72H(7), 72I(3) or 72J(8).</w:t>
      </w:r>
    </w:p>
    <w:p>
      <w:pPr>
        <w:pStyle w:val="Subsection"/>
      </w:pPr>
      <w:r>
        <w:tab/>
        <w:t>(2)</w:t>
      </w:r>
      <w:r>
        <w:tab/>
        <w:t>An application must be made in accordance with this Act and the arbitration rules and may be rejected by the Registrar if it does not comply.</w:t>
      </w:r>
    </w:p>
    <w:p>
      <w:pPr>
        <w:pStyle w:val="Subsection"/>
      </w:pPr>
      <w:r>
        <w:tab/>
        <w:t>(3)</w:t>
      </w:r>
      <w:r>
        <w:tab/>
        <w:t>An application can be made and received, and an order can be made, whether or not there is a dispute about liability or the payment of compensation.</w:t>
      </w:r>
    </w:p>
    <w:p>
      <w:pPr>
        <w:pStyle w:val="Subsection"/>
      </w:pPr>
      <w:r>
        <w:tab/>
        <w:t>(4)</w:t>
      </w:r>
      <w:r>
        <w:tab/>
        <w:t xml:space="preserve">Without limiting section 72D(2), the following provisions do not apply to a claim, application or order — </w:t>
      </w:r>
    </w:p>
    <w:p>
      <w:pPr>
        <w:pStyle w:val="Indenta"/>
      </w:pPr>
      <w:r>
        <w:tab/>
        <w:t>(a)</w:t>
      </w:r>
      <w:r>
        <w:tab/>
        <w:t>Part XI Division 3 Subdivision 2;</w:t>
      </w:r>
    </w:p>
    <w:p>
      <w:pPr>
        <w:pStyle w:val="Indenta"/>
      </w:pPr>
      <w:r>
        <w:tab/>
        <w:t>(b)</w:t>
      </w:r>
      <w:r>
        <w:tab/>
        <w:t>sections 182ZT, 182ZU, 189 and 211(2);</w:t>
      </w:r>
    </w:p>
    <w:p>
      <w:pPr>
        <w:pStyle w:val="Indenta"/>
      </w:pPr>
      <w:r>
        <w:tab/>
        <w:t>(c)</w:t>
      </w:r>
      <w:r>
        <w:tab/>
        <w:t>the conciliation rules.</w:t>
      </w:r>
    </w:p>
    <w:p>
      <w:pPr>
        <w:pStyle w:val="Footnotesection"/>
      </w:pPr>
      <w:r>
        <w:tab/>
        <w:t>[Section 72L inserted: No. 8 of 2018 s. 6.]</w:t>
      </w:r>
    </w:p>
    <w:p>
      <w:pPr>
        <w:pStyle w:val="Heading3"/>
        <w:spacing w:before="280"/>
      </w:pPr>
      <w:bookmarkStart w:id="129" w:name="_Toc33534284"/>
      <w:r>
        <w:rPr>
          <w:rStyle w:val="CharDivNo"/>
        </w:rPr>
        <w:t>Division 6</w:t>
      </w:r>
      <w:r>
        <w:rPr>
          <w:snapToGrid w:val="0"/>
        </w:rPr>
        <w:t> — </w:t>
      </w:r>
      <w:r>
        <w:rPr>
          <w:rStyle w:val="CharDivText"/>
        </w:rPr>
        <w:t>Disputes between employers</w:t>
      </w:r>
      <w:bookmarkEnd w:id="129"/>
    </w:p>
    <w:p>
      <w:pPr>
        <w:pStyle w:val="Heading5"/>
        <w:rPr>
          <w:snapToGrid w:val="0"/>
        </w:rPr>
      </w:pPr>
      <w:bookmarkStart w:id="130" w:name="_Toc33534285"/>
      <w:r>
        <w:rPr>
          <w:rStyle w:val="CharSectno"/>
        </w:rPr>
        <w:t>73</w:t>
      </w:r>
      <w:r>
        <w:rPr>
          <w:snapToGrid w:val="0"/>
        </w:rPr>
        <w:t>.</w:t>
      </w:r>
      <w:r>
        <w:rPr>
          <w:snapToGrid w:val="0"/>
        </w:rPr>
        <w:tab/>
        <w:t>Worker entitled but dispute between employers</w:t>
      </w:r>
      <w:bookmarkEnd w:id="130"/>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[Section 73 amended: No. 36 of 1988 s. 11; No. 96 of 1990 s. 16; No. 48 of 1993 s. 28(1); No. 42 of 2004 s. 59, 147, 149 and 150.]</w:t>
      </w:r>
    </w:p>
    <w:p>
      <w:pPr>
        <w:pStyle w:val="Heading5"/>
        <w:rPr>
          <w:snapToGrid w:val="0"/>
        </w:rPr>
      </w:pPr>
      <w:bookmarkStart w:id="131" w:name="_Toc33534286"/>
      <w:r>
        <w:rPr>
          <w:rStyle w:val="CharSectno"/>
        </w:rPr>
        <w:t>74</w:t>
      </w:r>
      <w:r>
        <w:rPr>
          <w:snapToGrid w:val="0"/>
        </w:rPr>
        <w:t>.</w:t>
      </w:r>
      <w:r>
        <w:rPr>
          <w:snapToGrid w:val="0"/>
        </w:rPr>
        <w:tab/>
        <w:t>Worker entitled but dispute between insurers</w:t>
      </w:r>
      <w:bookmarkEnd w:id="131"/>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No. 44 of 1985 s. 23; No. 96 of 1990 s. 17; No. 48 of 1993 s. 28(1); No. 34 of 1999 s. 16; No. 42 of 2004 s. 60, 147 and 149.]</w:t>
      </w:r>
    </w:p>
    <w:p>
      <w:pPr>
        <w:pStyle w:val="Heading5"/>
        <w:rPr>
          <w:snapToGrid w:val="0"/>
        </w:rPr>
      </w:pPr>
      <w:bookmarkStart w:id="132" w:name="_Toc33534287"/>
      <w:r>
        <w:rPr>
          <w:rStyle w:val="CharSectno"/>
        </w:rPr>
        <w:t>74A</w:t>
      </w:r>
      <w:r>
        <w:rPr>
          <w:snapToGrid w:val="0"/>
        </w:rPr>
        <w:t>.</w:t>
      </w:r>
      <w:r>
        <w:rPr>
          <w:snapToGrid w:val="0"/>
        </w:rPr>
        <w:tab/>
        <w:t>No apportionment under s. 73 or 74 for injuries before 8 Mar 1991</w:t>
      </w:r>
      <w:bookmarkEnd w:id="132"/>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Workers’ Compensation and Assistance Amendment Act 1990</w:t>
      </w:r>
      <w:r>
        <w:rPr>
          <w:snapToGrid w:val="0"/>
        </w:rPr>
        <w:t>.</w:t>
      </w:r>
    </w:p>
    <w:p>
      <w:pPr>
        <w:pStyle w:val="Footnotesection"/>
        <w:keepLines w:val="0"/>
      </w:pPr>
      <w:r>
        <w:tab/>
        <w:t>[Section 74A inserted: No. 96 of 1990 s. 18; amended: No. 42 of 2004 s. 146.]</w:t>
      </w:r>
    </w:p>
    <w:p>
      <w:pPr>
        <w:pStyle w:val="Heading5"/>
        <w:rPr>
          <w:snapToGrid w:val="0"/>
        </w:rPr>
      </w:pPr>
      <w:bookmarkStart w:id="133" w:name="_Toc33534288"/>
      <w:r>
        <w:rPr>
          <w:rStyle w:val="CharSectno"/>
        </w:rPr>
        <w:t>75</w:t>
      </w:r>
      <w:r>
        <w:rPr>
          <w:snapToGrid w:val="0"/>
        </w:rPr>
        <w:t>.</w:t>
      </w:r>
      <w:r>
        <w:rPr>
          <w:snapToGrid w:val="0"/>
        </w:rPr>
        <w:tab/>
        <w:t>Obligation to make weekly payments preserved</w:t>
      </w:r>
      <w:bookmarkEnd w:id="133"/>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No. 96 of 1990 s. 19; amended: No. 42 of 2004 s. 61.]</w:t>
      </w:r>
    </w:p>
    <w:p>
      <w:pPr>
        <w:pStyle w:val="Heading3"/>
      </w:pPr>
      <w:bookmarkStart w:id="134" w:name="_Toc33534289"/>
      <w:r>
        <w:rPr>
          <w:rStyle w:val="CharDivNo"/>
        </w:rPr>
        <w:t>Division 7</w:t>
      </w:r>
      <w:r>
        <w:rPr>
          <w:snapToGrid w:val="0"/>
        </w:rPr>
        <w:t> — </w:t>
      </w:r>
      <w:r>
        <w:rPr>
          <w:rStyle w:val="CharDivText"/>
        </w:rPr>
        <w:t>Agreements</w:t>
      </w:r>
      <w:bookmarkEnd w:id="134"/>
    </w:p>
    <w:p>
      <w:pPr>
        <w:pStyle w:val="Heading5"/>
        <w:rPr>
          <w:snapToGrid w:val="0"/>
        </w:rPr>
      </w:pPr>
      <w:bookmarkStart w:id="135" w:name="_Toc33534290"/>
      <w:r>
        <w:rPr>
          <w:rStyle w:val="CharSectno"/>
        </w:rPr>
        <w:t>76</w:t>
      </w:r>
      <w:r>
        <w:rPr>
          <w:snapToGrid w:val="0"/>
        </w:rPr>
        <w:t>.</w:t>
      </w:r>
      <w:r>
        <w:rPr>
          <w:snapToGrid w:val="0"/>
        </w:rPr>
        <w:tab/>
        <w:t>Agreement as to compensation etc., registration and effect of memorandum of</w:t>
      </w:r>
      <w:bookmarkEnd w:id="135"/>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No. 48 of 1993 s. 28(1) and 38; No. 33 of 1999 s. 6; No. 34 of 1999 s. 17; No. 74 of 2003 s. 134(2); No. 42 of 2004 s. 62 and 146; No. 31 of 2011 s. 27.]</w:t>
      </w:r>
    </w:p>
    <w:p>
      <w:pPr>
        <w:pStyle w:val="Heading5"/>
        <w:rPr>
          <w:snapToGrid w:val="0"/>
        </w:rPr>
      </w:pPr>
      <w:bookmarkStart w:id="136" w:name="_Toc33534291"/>
      <w:r>
        <w:rPr>
          <w:rStyle w:val="CharSectno"/>
        </w:rPr>
        <w:t>77</w:t>
      </w:r>
      <w:r>
        <w:rPr>
          <w:snapToGrid w:val="0"/>
        </w:rPr>
        <w:t>.</w:t>
      </w:r>
      <w:r>
        <w:rPr>
          <w:snapToGrid w:val="0"/>
        </w:rPr>
        <w:tab/>
        <w:t>Agreements unenforceable unless registered under s. 76</w:t>
      </w:r>
      <w:bookmarkEnd w:id="136"/>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37" w:name="_Toc33534292"/>
      <w:r>
        <w:rPr>
          <w:rStyle w:val="CharSectno"/>
        </w:rPr>
        <w:t>78</w:t>
      </w:r>
      <w:r>
        <w:rPr>
          <w:snapToGrid w:val="0"/>
        </w:rPr>
        <w:t>.</w:t>
      </w:r>
      <w:r>
        <w:rPr>
          <w:snapToGrid w:val="0"/>
        </w:rPr>
        <w:tab/>
        <w:t>Effect of non</w:t>
      </w:r>
      <w:r>
        <w:rPr>
          <w:snapToGrid w:val="0"/>
        </w:rPr>
        <w:noBreakHyphen/>
        <w:t>registration of agreement</w:t>
      </w:r>
      <w:bookmarkEnd w:id="137"/>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No. 42 of 2004 s. 146.]</w:t>
      </w:r>
    </w:p>
    <w:p>
      <w:pPr>
        <w:pStyle w:val="Heading3"/>
      </w:pPr>
      <w:bookmarkStart w:id="138" w:name="_Toc33534293"/>
      <w:r>
        <w:rPr>
          <w:rStyle w:val="CharDivNo"/>
        </w:rPr>
        <w:t>Division 8</w:t>
      </w:r>
      <w:r>
        <w:rPr>
          <w:snapToGrid w:val="0"/>
        </w:rPr>
        <w:t> — </w:t>
      </w:r>
      <w:r>
        <w:rPr>
          <w:rStyle w:val="CharDivText"/>
        </w:rPr>
        <w:t>Other matters affecting compensation</w:t>
      </w:r>
      <w:bookmarkEnd w:id="138"/>
    </w:p>
    <w:p>
      <w:pPr>
        <w:pStyle w:val="Heading5"/>
        <w:rPr>
          <w:snapToGrid w:val="0"/>
        </w:rPr>
      </w:pPr>
      <w:bookmarkStart w:id="139" w:name="_Toc33534294"/>
      <w:r>
        <w:rPr>
          <w:rStyle w:val="CharSectno"/>
        </w:rPr>
        <w:t>79</w:t>
      </w:r>
      <w:r>
        <w:rPr>
          <w:snapToGrid w:val="0"/>
        </w:rPr>
        <w:t>.</w:t>
      </w:r>
      <w:r>
        <w:rPr>
          <w:snapToGrid w:val="0"/>
        </w:rPr>
        <w:tab/>
        <w:t>Wilful and false representation by worker</w:t>
      </w:r>
      <w:bookmarkEnd w:id="139"/>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No. 48 of 1993 s. 28(1); No. 42 of 2004 s. 63, 146 and 147.]</w:t>
      </w:r>
    </w:p>
    <w:p>
      <w:pPr>
        <w:pStyle w:val="Heading5"/>
        <w:rPr>
          <w:snapToGrid w:val="0"/>
        </w:rPr>
      </w:pPr>
      <w:bookmarkStart w:id="140" w:name="_Toc33534295"/>
      <w:r>
        <w:rPr>
          <w:rStyle w:val="CharSectno"/>
        </w:rPr>
        <w:t>80</w:t>
      </w:r>
      <w:r>
        <w:rPr>
          <w:snapToGrid w:val="0"/>
        </w:rPr>
        <w:t>.</w:t>
      </w:r>
      <w:r>
        <w:rPr>
          <w:snapToGrid w:val="0"/>
        </w:rPr>
        <w:tab/>
        <w:t>Effect of leave entitlements; effect on sick leave</w:t>
      </w:r>
      <w:bookmarkEnd w:id="140"/>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No. 42 of 2004 s. 64 and 147.]</w:t>
      </w:r>
    </w:p>
    <w:p>
      <w:pPr>
        <w:pStyle w:val="Heading5"/>
        <w:rPr>
          <w:snapToGrid w:val="0"/>
        </w:rPr>
      </w:pPr>
      <w:bookmarkStart w:id="141" w:name="_Toc33534296"/>
      <w:r>
        <w:rPr>
          <w:rStyle w:val="CharSectno"/>
        </w:rPr>
        <w:t>81</w:t>
      </w:r>
      <w:r>
        <w:rPr>
          <w:snapToGrid w:val="0"/>
        </w:rPr>
        <w:t>.</w:t>
      </w:r>
      <w:r>
        <w:rPr>
          <w:snapToGrid w:val="0"/>
        </w:rPr>
        <w:tab/>
        <w:t>Effect on public holidays pay</w:t>
      </w:r>
      <w:bookmarkEnd w:id="141"/>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42" w:name="_Toc33534297"/>
      <w:r>
        <w:rPr>
          <w:rStyle w:val="CharSectno"/>
        </w:rPr>
        <w:t>82</w:t>
      </w:r>
      <w:r>
        <w:rPr>
          <w:snapToGrid w:val="0"/>
        </w:rPr>
        <w:t>.</w:t>
      </w:r>
      <w:r>
        <w:rPr>
          <w:snapToGrid w:val="0"/>
        </w:rPr>
        <w:tab/>
        <w:t>Services rendered to worker for which employer liable, payment for</w:t>
      </w:r>
      <w:bookmarkEnd w:id="142"/>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43" w:name="_Toc33534298"/>
      <w:r>
        <w:rPr>
          <w:rStyle w:val="CharSectno"/>
        </w:rPr>
        <w:t>83</w:t>
      </w:r>
      <w:r>
        <w:rPr>
          <w:snapToGrid w:val="0"/>
        </w:rPr>
        <w:t>.</w:t>
      </w:r>
      <w:r>
        <w:rPr>
          <w:snapToGrid w:val="0"/>
        </w:rPr>
        <w:tab/>
        <w:t>Partially incapacitated workers, employment of</w:t>
      </w:r>
      <w:bookmarkEnd w:id="143"/>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No. 48 of 1993 s. 28(1); No. 42 of 2004 s. 65, 146 and 147; No. 31 of 2011 s. 95.]</w:t>
      </w:r>
    </w:p>
    <w:p>
      <w:pPr>
        <w:pStyle w:val="Heading5"/>
        <w:rPr>
          <w:snapToGrid w:val="0"/>
        </w:rPr>
      </w:pPr>
      <w:bookmarkStart w:id="144" w:name="_Toc33534299"/>
      <w:r>
        <w:rPr>
          <w:rStyle w:val="CharSectno"/>
        </w:rPr>
        <w:t>84</w:t>
      </w:r>
      <w:r>
        <w:rPr>
          <w:snapToGrid w:val="0"/>
        </w:rPr>
        <w:t>.</w:t>
      </w:r>
      <w:r>
        <w:rPr>
          <w:snapToGrid w:val="0"/>
        </w:rPr>
        <w:tab/>
        <w:t>Worker not to be prejudiced by resuming work</w:t>
      </w:r>
      <w:bookmarkEnd w:id="144"/>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No. 42 of 2004 s. 147.]</w:t>
      </w:r>
    </w:p>
    <w:p>
      <w:pPr>
        <w:pStyle w:val="Heading5"/>
        <w:rPr>
          <w:snapToGrid w:val="0"/>
        </w:rPr>
      </w:pPr>
      <w:bookmarkStart w:id="145" w:name="_Toc33534300"/>
      <w:r>
        <w:rPr>
          <w:rStyle w:val="CharSectno"/>
        </w:rPr>
        <w:t>84AA</w:t>
      </w:r>
      <w:r>
        <w:rPr>
          <w:snapToGrid w:val="0"/>
        </w:rPr>
        <w:t>.</w:t>
      </w:r>
      <w:r>
        <w:rPr>
          <w:snapToGrid w:val="0"/>
        </w:rPr>
        <w:tab/>
        <w:t>Employer to keep position available during worker’s incapacity</w:t>
      </w:r>
      <w:bookmarkEnd w:id="145"/>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 No. 48 of 1993 s. 39; amended: No. 42 of 2004 s. 147.]</w:t>
      </w:r>
    </w:p>
    <w:p>
      <w:pPr>
        <w:pStyle w:val="Heading5"/>
      </w:pPr>
      <w:bookmarkStart w:id="146" w:name="_Toc33534301"/>
      <w:r>
        <w:rPr>
          <w:rStyle w:val="CharSectno"/>
        </w:rPr>
        <w:t>84AB</w:t>
      </w:r>
      <w:r>
        <w:t>.</w:t>
      </w:r>
      <w:r>
        <w:tab/>
        <w:t>Employer to notify worker and WorkCover WA of intention to dismiss worker</w:t>
      </w:r>
      <w:bookmarkEnd w:id="146"/>
    </w:p>
    <w:p>
      <w:pPr>
        <w:pStyle w:val="Subsection"/>
        <w:spacing w:before="140"/>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tab/>
        <w:t>(3)</w:t>
      </w:r>
      <w:r>
        <w:tab/>
        <w:t>Nothing in this section limits any other obligation of an employer or rights of a worker under this Act or any other written law.</w:t>
      </w:r>
    </w:p>
    <w:p>
      <w:pPr>
        <w:pStyle w:val="Footnotesection"/>
        <w:spacing w:before="100"/>
      </w:pPr>
      <w:r>
        <w:tab/>
        <w:t>[Section 84AB inserted: No. 42 of 2004 s. 66.]</w:t>
      </w:r>
    </w:p>
    <w:p>
      <w:pPr>
        <w:pStyle w:val="Ednotepart"/>
        <w:ind w:left="1311" w:hanging="1311"/>
        <w:outlineLvl w:val="9"/>
      </w:pPr>
      <w:r>
        <w:t>[Part IIIA:</w:t>
      </w:r>
      <w:r>
        <w:tab/>
        <w:t>s. 84A</w:t>
      </w:r>
      <w:r>
        <w:noBreakHyphen/>
        <w:t>84ZZ deleted: No. 42 of 2004 s. 67;</w:t>
      </w:r>
      <w:r>
        <w:br/>
        <w:t>s. 84ZZA, 84ZZB deleted: No. 59 of 2004 s. 131.]</w:t>
      </w:r>
    </w:p>
    <w:p>
      <w:pPr>
        <w:pStyle w:val="Heading2"/>
      </w:pPr>
      <w:bookmarkStart w:id="147" w:name="_Toc33534302"/>
      <w:r>
        <w:rPr>
          <w:rStyle w:val="CharPartNo"/>
        </w:rPr>
        <w:t>Part IV</w:t>
      </w:r>
      <w:r>
        <w:t> — </w:t>
      </w:r>
      <w:r>
        <w:rPr>
          <w:rStyle w:val="CharPartText"/>
        </w:rPr>
        <w:t>Civil proceedings in addition to or independent of this Act</w:t>
      </w:r>
      <w:bookmarkEnd w:id="147"/>
    </w:p>
    <w:p>
      <w:pPr>
        <w:pStyle w:val="Heading3"/>
      </w:pPr>
      <w:bookmarkStart w:id="148" w:name="_Toc33534303"/>
      <w:r>
        <w:rPr>
          <w:rStyle w:val="CharDivNo"/>
        </w:rPr>
        <w:t>Division 1</w:t>
      </w:r>
      <w:r>
        <w:rPr>
          <w:snapToGrid w:val="0"/>
        </w:rPr>
        <w:t> — </w:t>
      </w:r>
      <w:r>
        <w:rPr>
          <w:rStyle w:val="CharDivText"/>
        </w:rPr>
        <w:t>General</w:t>
      </w:r>
      <w:bookmarkEnd w:id="148"/>
    </w:p>
    <w:p>
      <w:pPr>
        <w:pStyle w:val="Footnoteheading"/>
        <w:rPr>
          <w:snapToGrid w:val="0"/>
        </w:rPr>
      </w:pPr>
      <w:r>
        <w:rPr>
          <w:snapToGrid w:val="0"/>
        </w:rPr>
        <w:tab/>
        <w:t>[Heading inserted: No. 48 of 1993 s. 4(1).]</w:t>
      </w:r>
    </w:p>
    <w:p>
      <w:pPr>
        <w:pStyle w:val="Heading5"/>
        <w:rPr>
          <w:snapToGrid w:val="0"/>
        </w:rPr>
      </w:pPr>
      <w:bookmarkStart w:id="149" w:name="_Toc33534304"/>
      <w:r>
        <w:rPr>
          <w:rStyle w:val="CharSectno"/>
        </w:rPr>
        <w:t>85</w:t>
      </w:r>
      <w:r>
        <w:rPr>
          <w:snapToGrid w:val="0"/>
        </w:rPr>
        <w:t>.</w:t>
      </w:r>
      <w:r>
        <w:rPr>
          <w:snapToGrid w:val="0"/>
        </w:rPr>
        <w:tab/>
        <w:t>Motor vehicle cases not affected by this Part</w:t>
      </w:r>
      <w:bookmarkEnd w:id="149"/>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50" w:name="_Toc33534305"/>
      <w:r>
        <w:rPr>
          <w:rStyle w:val="CharSectno"/>
        </w:rPr>
        <w:t>86</w:t>
      </w:r>
      <w:r>
        <w:rPr>
          <w:snapToGrid w:val="0"/>
        </w:rPr>
        <w:t>.</w:t>
      </w:r>
      <w:r>
        <w:rPr>
          <w:snapToGrid w:val="0"/>
        </w:rPr>
        <w:tab/>
        <w:t>Liability independent of this Act not affected by this Part</w:t>
      </w:r>
      <w:bookmarkEnd w:id="150"/>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51" w:name="_Toc33534306"/>
      <w:r>
        <w:rPr>
          <w:rStyle w:val="CharSectno"/>
        </w:rPr>
        <w:t>87</w:t>
      </w:r>
      <w:r>
        <w:rPr>
          <w:snapToGrid w:val="0"/>
        </w:rPr>
        <w:t>.</w:t>
      </w:r>
      <w:r>
        <w:rPr>
          <w:snapToGrid w:val="0"/>
        </w:rPr>
        <w:tab/>
        <w:t>Solicitor-client costs, limits on agreements as to</w:t>
      </w:r>
      <w:bookmarkEnd w:id="151"/>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rPr>
        <w:t>.</w:t>
      </w:r>
    </w:p>
    <w:p>
      <w:pPr>
        <w:pStyle w:val="Footnotesection"/>
      </w:pPr>
      <w:r>
        <w:tab/>
        <w:t>[Section 87 inserted: No. 48 of 1993 s. 4(2); amended: No. 65 of 2003 s. 72(2); No. 21 of 2008 s. 713(2).]</w:t>
      </w:r>
    </w:p>
    <w:p>
      <w:pPr>
        <w:pStyle w:val="Ednotesection"/>
        <w:outlineLvl w:val="9"/>
      </w:pPr>
      <w:r>
        <w:t>[</w:t>
      </w:r>
      <w:r>
        <w:rPr>
          <w:b/>
        </w:rPr>
        <w:t>88</w:t>
      </w:r>
      <w:r>
        <w:rPr>
          <w:b/>
        </w:rPr>
        <w:noBreakHyphen/>
        <w:t>90.</w:t>
      </w:r>
      <w:r>
        <w:tab/>
        <w:t>Deleted: No. 48 of 1993 s. 4(2).]</w:t>
      </w:r>
    </w:p>
    <w:p>
      <w:pPr>
        <w:pStyle w:val="Heading5"/>
        <w:rPr>
          <w:snapToGrid w:val="0"/>
        </w:rPr>
      </w:pPr>
      <w:bookmarkStart w:id="152" w:name="_Toc33534307"/>
      <w:r>
        <w:rPr>
          <w:rStyle w:val="CharSectno"/>
        </w:rPr>
        <w:t>91</w:t>
      </w:r>
      <w:r>
        <w:rPr>
          <w:snapToGrid w:val="0"/>
        </w:rPr>
        <w:t>.</w:t>
      </w:r>
      <w:r>
        <w:rPr>
          <w:snapToGrid w:val="0"/>
        </w:rPr>
        <w:tab/>
        <w:t>Court’s duties where action for damages unsuccessful but workers’ compensation is payable</w:t>
      </w:r>
      <w:bookmarkEnd w:id="152"/>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No. 48 of 1993 s. 28(1); No. 42 of 2004 s. 68 and 147; No. 31 of 2011 s. 28.]</w:t>
      </w:r>
    </w:p>
    <w:p>
      <w:pPr>
        <w:pStyle w:val="Heading5"/>
        <w:rPr>
          <w:snapToGrid w:val="0"/>
        </w:rPr>
      </w:pPr>
      <w:bookmarkStart w:id="153" w:name="_Toc33534308"/>
      <w:r>
        <w:rPr>
          <w:rStyle w:val="CharSectno"/>
        </w:rPr>
        <w:t>92</w:t>
      </w:r>
      <w:r>
        <w:rPr>
          <w:snapToGrid w:val="0"/>
        </w:rPr>
        <w:t>.</w:t>
      </w:r>
      <w:r>
        <w:rPr>
          <w:snapToGrid w:val="0"/>
        </w:rPr>
        <w:tab/>
        <w:t>Both damages and workers’ compensation not recoverable</w:t>
      </w:r>
      <w:bookmarkEnd w:id="153"/>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No. 48 of 1993 s. 28(1); No. 42 of 2004 s. 69, 146 and 147.]</w:t>
      </w:r>
    </w:p>
    <w:p>
      <w:pPr>
        <w:pStyle w:val="Heading5"/>
        <w:rPr>
          <w:snapToGrid w:val="0"/>
        </w:rPr>
      </w:pPr>
      <w:bookmarkStart w:id="154" w:name="_Toc33534309"/>
      <w:r>
        <w:rPr>
          <w:rStyle w:val="CharSectno"/>
        </w:rPr>
        <w:t>93</w:t>
      </w:r>
      <w:r>
        <w:rPr>
          <w:snapToGrid w:val="0"/>
        </w:rPr>
        <w:t>.</w:t>
      </w:r>
      <w:r>
        <w:rPr>
          <w:snapToGrid w:val="0"/>
        </w:rPr>
        <w:tab/>
        <w:t>Remedies against non-employers</w:t>
      </w:r>
      <w:bookmarkEnd w:id="154"/>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No. 48 of 1993 s. 28(1); No. 42 of 2004 s. 70 and 147.]</w:t>
      </w:r>
    </w:p>
    <w:p>
      <w:pPr>
        <w:pStyle w:val="Heading3"/>
        <w:keepLines/>
        <w:spacing w:before="220"/>
      </w:pPr>
      <w:bookmarkStart w:id="155" w:name="_Toc33534310"/>
      <w:r>
        <w:rPr>
          <w:rStyle w:val="CharDivNo"/>
        </w:rPr>
        <w:t>Division 1a</w:t>
      </w:r>
      <w:r>
        <w:t> — </w:t>
      </w:r>
      <w:r>
        <w:rPr>
          <w:rStyle w:val="CharDivText"/>
        </w:rPr>
        <w:t>Choice of law</w:t>
      </w:r>
      <w:bookmarkEnd w:id="155"/>
    </w:p>
    <w:p>
      <w:pPr>
        <w:pStyle w:val="Footnoteheading"/>
        <w:keepNext/>
        <w:keepLines/>
        <w:tabs>
          <w:tab w:val="left" w:pos="851"/>
        </w:tabs>
        <w:spacing w:before="100"/>
      </w:pPr>
      <w:r>
        <w:tab/>
        <w:t>[Heading inserted: No. 36 of 2004 s. 10.]</w:t>
      </w:r>
    </w:p>
    <w:p>
      <w:pPr>
        <w:pStyle w:val="Heading5"/>
        <w:spacing w:before="180"/>
      </w:pPr>
      <w:bookmarkStart w:id="156" w:name="_Toc33534311"/>
      <w:r>
        <w:rPr>
          <w:rStyle w:val="CharSectno"/>
        </w:rPr>
        <w:t>93AA</w:t>
      </w:r>
      <w:r>
        <w:t>.</w:t>
      </w:r>
      <w:r>
        <w:tab/>
        <w:t>Applicable substantive law for work injury claims</w:t>
      </w:r>
      <w:bookmarkEnd w:id="156"/>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No. 36 of 2004 s. 10; amended: No. 36 of 2004 s. 16 and 17(4).]</w:t>
      </w:r>
    </w:p>
    <w:p>
      <w:pPr>
        <w:pStyle w:val="Heading5"/>
      </w:pPr>
      <w:bookmarkStart w:id="157" w:name="_Toc33534312"/>
      <w:r>
        <w:rPr>
          <w:rStyle w:val="CharSectno"/>
        </w:rPr>
        <w:t>93AB</w:t>
      </w:r>
      <w:r>
        <w:t>.</w:t>
      </w:r>
      <w:r>
        <w:tab/>
        <w:t>Claims to which Division applies</w:t>
      </w:r>
      <w:bookmarkEnd w:id="157"/>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No. 36 of 2004 s. 10; amended: No. 36 of 2004 s. 16.]</w:t>
      </w:r>
    </w:p>
    <w:p>
      <w:pPr>
        <w:pStyle w:val="Heading5"/>
      </w:pPr>
      <w:bookmarkStart w:id="158" w:name="_Toc33534313"/>
      <w:r>
        <w:rPr>
          <w:rStyle w:val="CharSectno"/>
        </w:rPr>
        <w:t>93AC</w:t>
      </w:r>
      <w:r>
        <w:t>.</w:t>
      </w:r>
      <w:r>
        <w:tab/>
        <w:t>Terms used</w:t>
      </w:r>
      <w:bookmarkEnd w:id="158"/>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No. 36 of 2004 s. 10; amended: No. 36 of 2004 s. 17(1).]</w:t>
      </w:r>
    </w:p>
    <w:p>
      <w:pPr>
        <w:pStyle w:val="Heading5"/>
      </w:pPr>
      <w:bookmarkStart w:id="159" w:name="_Toc33534314"/>
      <w:r>
        <w:rPr>
          <w:rStyle w:val="CharSectno"/>
        </w:rPr>
        <w:t>93AD</w:t>
      </w:r>
      <w:r>
        <w:t>.</w:t>
      </w:r>
      <w:r>
        <w:tab/>
        <w:t>Claim in respect of death included</w:t>
      </w:r>
      <w:bookmarkEnd w:id="159"/>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No. 36 of 2004 s. 10; amended: No. 36 of 2004 s. 16 and 17(2).]</w:t>
      </w:r>
    </w:p>
    <w:p>
      <w:pPr>
        <w:pStyle w:val="Heading5"/>
      </w:pPr>
      <w:bookmarkStart w:id="160" w:name="_Toc33534315"/>
      <w:r>
        <w:rPr>
          <w:rStyle w:val="CharSectno"/>
        </w:rPr>
        <w:t>93AE</w:t>
      </w:r>
      <w:r>
        <w:t>.</w:t>
      </w:r>
      <w:r>
        <w:tab/>
        <w:t>Terms used</w:t>
      </w:r>
      <w:bookmarkEnd w:id="160"/>
    </w:p>
    <w:p>
      <w:pPr>
        <w:pStyle w:val="Subsection"/>
      </w:pPr>
      <w:r>
        <w:tab/>
      </w:r>
      <w:r>
        <w:tab/>
        <w:t>In this Division —</w:t>
      </w:r>
    </w:p>
    <w:p>
      <w:pPr>
        <w:pStyle w:val="Defstart"/>
      </w:pPr>
      <w:r>
        <w:tab/>
      </w:r>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No. 36 of 2004 s. 10; amended: No. 36 of 2004 s. 17(3).]</w:t>
      </w:r>
    </w:p>
    <w:p>
      <w:pPr>
        <w:pStyle w:val="Heading5"/>
      </w:pPr>
      <w:bookmarkStart w:id="161" w:name="_Toc33534316"/>
      <w:r>
        <w:rPr>
          <w:rStyle w:val="CharSectno"/>
        </w:rPr>
        <w:t>93AF</w:t>
      </w:r>
      <w:r>
        <w:t>.</w:t>
      </w:r>
      <w:r>
        <w:tab/>
        <w:t>Availability of action in another State not relevant</w:t>
      </w:r>
      <w:bookmarkEnd w:id="161"/>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No. 36 of 2004 s. 10.]</w:t>
      </w:r>
    </w:p>
    <w:p>
      <w:pPr>
        <w:pStyle w:val="Heading3"/>
        <w:keepLines/>
        <w:spacing w:before="220"/>
      </w:pPr>
      <w:bookmarkStart w:id="162" w:name="_Toc33534317"/>
      <w:r>
        <w:rPr>
          <w:rStyle w:val="CharDivNo"/>
        </w:rPr>
        <w:t>Division 2</w:t>
      </w:r>
      <w:r>
        <w:rPr>
          <w:snapToGrid w:val="0"/>
        </w:rPr>
        <w:t> — </w:t>
      </w:r>
      <w:r>
        <w:rPr>
          <w:rStyle w:val="CharDivText"/>
        </w:rPr>
        <w:t>Constraints on awards of common law damages</w:t>
      </w:r>
      <w:bookmarkEnd w:id="162"/>
    </w:p>
    <w:p>
      <w:pPr>
        <w:pStyle w:val="Footnoteheading"/>
        <w:keepNext/>
        <w:keepLines/>
        <w:rPr>
          <w:snapToGrid w:val="0"/>
        </w:rPr>
      </w:pPr>
      <w:r>
        <w:rPr>
          <w:snapToGrid w:val="0"/>
        </w:rPr>
        <w:tab/>
        <w:t>[Heading inserted: No. 48 of 1993 s. 4(3).]</w:t>
      </w:r>
    </w:p>
    <w:p>
      <w:pPr>
        <w:pStyle w:val="Heading4"/>
        <w:keepLines/>
      </w:pPr>
      <w:bookmarkStart w:id="163" w:name="_Toc33534318"/>
      <w:r>
        <w:t>Subdivision 1 — Preliminary provisions</w:t>
      </w:r>
      <w:bookmarkEnd w:id="163"/>
    </w:p>
    <w:p>
      <w:pPr>
        <w:pStyle w:val="Footnoteheading"/>
        <w:keepNext/>
        <w:keepLines/>
      </w:pPr>
      <w:r>
        <w:tab/>
        <w:t>[Heading inserted: No. 42 of 2004 s. 71.]</w:t>
      </w:r>
    </w:p>
    <w:p>
      <w:pPr>
        <w:pStyle w:val="Heading5"/>
        <w:rPr>
          <w:snapToGrid w:val="0"/>
        </w:rPr>
      </w:pPr>
      <w:bookmarkStart w:id="164" w:name="_Toc33534319"/>
      <w:r>
        <w:rPr>
          <w:rStyle w:val="CharSectno"/>
        </w:rPr>
        <w:t>93A</w:t>
      </w:r>
      <w:r>
        <w:rPr>
          <w:snapToGrid w:val="0"/>
        </w:rPr>
        <w:t>.</w:t>
      </w:r>
      <w:r>
        <w:rPr>
          <w:snapToGrid w:val="0"/>
        </w:rPr>
        <w:tab/>
        <w:t>Term used: damages</w:t>
      </w:r>
      <w:bookmarkEnd w:id="164"/>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No. 48 of 1993 s. 4(3); amended: No. 34 of 1999 s. 32(3); No. 42 of 2004 s. 72.]</w:t>
      </w:r>
    </w:p>
    <w:p>
      <w:pPr>
        <w:pStyle w:val="Heading5"/>
        <w:rPr>
          <w:snapToGrid w:val="0"/>
        </w:rPr>
      </w:pPr>
      <w:bookmarkStart w:id="165" w:name="_Toc33534320"/>
      <w:r>
        <w:rPr>
          <w:rStyle w:val="CharSectno"/>
        </w:rPr>
        <w:t>93B</w:t>
      </w:r>
      <w:r>
        <w:rPr>
          <w:snapToGrid w:val="0"/>
        </w:rPr>
        <w:t>.</w:t>
      </w:r>
      <w:r>
        <w:rPr>
          <w:snapToGrid w:val="0"/>
        </w:rPr>
        <w:tab/>
        <w:t>Application of this Division</w:t>
      </w:r>
      <w:bookmarkEnd w:id="165"/>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No. 48 of 1993 s. 4(3); amended: No. 34 of 1999 s. 32(4); No. 42 of 2004 s. 73; No. 16 of 2005 s. 10.]</w:t>
      </w:r>
    </w:p>
    <w:p>
      <w:pPr>
        <w:pStyle w:val="Heading5"/>
        <w:rPr>
          <w:snapToGrid w:val="0"/>
        </w:rPr>
      </w:pPr>
      <w:bookmarkStart w:id="166" w:name="_Toc33534321"/>
      <w:r>
        <w:rPr>
          <w:rStyle w:val="CharSectno"/>
        </w:rPr>
        <w:t>93C</w:t>
      </w:r>
      <w:r>
        <w:rPr>
          <w:snapToGrid w:val="0"/>
        </w:rPr>
        <w:t>.</w:t>
      </w:r>
      <w:r>
        <w:rPr>
          <w:snapToGrid w:val="0"/>
        </w:rPr>
        <w:tab/>
        <w:t>Limit on powers of courts to award damages</w:t>
      </w:r>
      <w:bookmarkEnd w:id="166"/>
    </w:p>
    <w:p>
      <w:pPr>
        <w:pStyle w:val="Subsection"/>
        <w:spacing w:before="140"/>
        <w:rPr>
          <w:snapToGrid w:val="0"/>
        </w:rPr>
      </w:pPr>
      <w:r>
        <w:rPr>
          <w:snapToGrid w:val="0"/>
        </w:rPr>
        <w:tab/>
      </w:r>
      <w:r>
        <w:rPr>
          <w:snapToGrid w:val="0"/>
        </w:rPr>
        <w:tab/>
        <w:t>If this Division applies a court is not to award damages to a person contrary to this Division.</w:t>
      </w:r>
    </w:p>
    <w:p>
      <w:pPr>
        <w:pStyle w:val="Footnotesection"/>
        <w:spacing w:before="100"/>
        <w:ind w:left="890" w:hanging="890"/>
      </w:pPr>
      <w:r>
        <w:tab/>
        <w:t>[Section 93C inserted: No. 48 of 1993 s. 4(3).]</w:t>
      </w:r>
    </w:p>
    <w:p>
      <w:pPr>
        <w:pStyle w:val="Heading4"/>
        <w:keepLines/>
      </w:pPr>
      <w:bookmarkStart w:id="167" w:name="_Toc33534322"/>
      <w:r>
        <w:t>Subdivision 2 — 1993 scheme</w:t>
      </w:r>
      <w:bookmarkEnd w:id="167"/>
    </w:p>
    <w:p>
      <w:pPr>
        <w:pStyle w:val="Footnoteheading"/>
        <w:keepNext/>
        <w:keepLines/>
        <w:spacing w:before="100"/>
      </w:pPr>
      <w:r>
        <w:tab/>
        <w:t>[Heading inserted: No. 42 of 2004 s. 74.]</w:t>
      </w:r>
    </w:p>
    <w:p>
      <w:pPr>
        <w:pStyle w:val="Heading5"/>
      </w:pPr>
      <w:bookmarkStart w:id="168" w:name="_Toc33534323"/>
      <w:r>
        <w:rPr>
          <w:rStyle w:val="CharSectno"/>
        </w:rPr>
        <w:t>93CA</w:t>
      </w:r>
      <w:r>
        <w:t>.</w:t>
      </w:r>
      <w:r>
        <w:tab/>
        <w:t>Term used: AMA Guides</w:t>
      </w:r>
      <w:bookmarkEnd w:id="168"/>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No. 42 of 2004 s. 75.]</w:t>
      </w:r>
    </w:p>
    <w:p>
      <w:pPr>
        <w:pStyle w:val="Heading5"/>
      </w:pPr>
      <w:bookmarkStart w:id="169" w:name="_Toc33534324"/>
      <w:r>
        <w:rPr>
          <w:rStyle w:val="CharSectno"/>
        </w:rPr>
        <w:t>93CB</w:t>
      </w:r>
      <w:r>
        <w:t>.</w:t>
      </w:r>
      <w:r>
        <w:tab/>
        <w:t>Limits on application of this Subdivision</w:t>
      </w:r>
      <w:bookmarkEnd w:id="169"/>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No. 42 of 2004 s. 75.]</w:t>
      </w:r>
    </w:p>
    <w:p>
      <w:pPr>
        <w:pStyle w:val="Heading5"/>
      </w:pPr>
      <w:bookmarkStart w:id="170" w:name="_Toc33534325"/>
      <w:r>
        <w:rPr>
          <w:rStyle w:val="CharSectno"/>
        </w:rPr>
        <w:t>93CC</w:t>
      </w:r>
      <w:r>
        <w:t>.</w:t>
      </w:r>
      <w:r>
        <w:tab/>
        <w:t>Application of this Subdivision</w:t>
      </w:r>
      <w:bookmarkEnd w:id="170"/>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No. 42 of 2004 s. 75; amended: No. 20 of 2005 s. 21.]</w:t>
      </w:r>
    </w:p>
    <w:p>
      <w:pPr>
        <w:pStyle w:val="Heading5"/>
      </w:pPr>
      <w:bookmarkStart w:id="171" w:name="_Toc33534326"/>
      <w:r>
        <w:rPr>
          <w:rStyle w:val="CharSectno"/>
        </w:rPr>
        <w:t>93D</w:t>
      </w:r>
      <w:r>
        <w:t>.</w:t>
      </w:r>
      <w:r>
        <w:tab/>
        <w:t>Degree of disability, assessing</w:t>
      </w:r>
      <w:bookmarkEnd w:id="171"/>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rPr>
          <w:noProof w:val="0"/>
        </w:rPr>
      </w:pPr>
      <w:r>
        <w:rPr>
          <w:noProof w:val="0"/>
        </w:rPr>
        <w:tab/>
      </w:r>
      <m:oMath>
        <m:f>
          <m:fPr>
            <m:ctrlPr>
              <w:rPr>
                <w:rFonts w:ascii="Cambria Math" w:hAnsi="Cambria Math"/>
              </w:rPr>
            </m:ctrlPr>
          </m:fPr>
          <m:num>
            <m:r>
              <m:rPr>
                <m:sty m:val="p"/>
              </m:rPr>
              <w:rPr>
                <w:rFonts w:ascii="Cambria Math" w:hAnsi="Cambria Math"/>
              </w:rPr>
              <m:t>PD</m:t>
            </m:r>
          </m:num>
          <m:den>
            <m:r>
              <m:rPr>
                <m:sty m:val="p"/>
              </m:rPr>
              <w:rPr>
                <w:rFonts w:ascii="Cambria Math" w:hAnsi="Cambria Math"/>
              </w:rPr>
              <m:t>100</m:t>
            </m:r>
          </m:den>
        </m:f>
        <m:r>
          <m:rPr>
            <m:sty m:val="p"/>
          </m:rPr>
          <w:rPr>
            <w:rFonts w:ascii="Cambria Math" w:hAnsi="Cambria Math"/>
          </w:rPr>
          <m:t xml:space="preserve"> ×TD</m:t>
        </m:r>
      </m:oMath>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PermNoteHeading"/>
      </w:pPr>
      <w:r>
        <w:tab/>
        <w:t>Examples for this subsection:</w:t>
      </w:r>
    </w:p>
    <w:p>
      <w:pPr>
        <w:pStyle w:val="PermNoteText"/>
      </w:pPr>
      <w:r>
        <w:tab/>
        <w:t>1.</w:t>
      </w:r>
      <w:r>
        <w:tab/>
        <w:t>A worker loses 40% of the full efficient use of one eye.  The percentage under subsection (2)(a) is —</w:t>
      </w:r>
    </w:p>
    <w:p>
      <w:pPr>
        <w:pStyle w:val="PermNoteText"/>
        <w:rPr>
          <w:rFonts w:ascii="Times New Roman" w:hAnsi="Times New Roman"/>
          <w:sz w:val="24"/>
          <w:szCs w:val="24"/>
        </w:rPr>
      </w:pPr>
      <w:r>
        <w:tab/>
      </w:r>
      <w:r>
        <w:tab/>
      </w:r>
      <m:oMath>
        <m:f>
          <m:fPr>
            <m:ctrlPr>
              <w:rPr>
                <w:rFonts w:ascii="Cambria Math" w:hAnsi="Cambria Math"/>
                <w:sz w:val="24"/>
                <w:szCs w:val="24"/>
              </w:rPr>
            </m:ctrlPr>
          </m:fPr>
          <m:num>
            <m:r>
              <m:rPr>
                <m:sty m:val="p"/>
              </m:rPr>
              <w:rPr>
                <w:rFonts w:ascii="Cambria Math" w:hAnsi="Cambria Math"/>
                <w:sz w:val="24"/>
                <w:szCs w:val="24"/>
              </w:rPr>
              <m:t>40</m:t>
            </m:r>
          </m:num>
          <m:den>
            <m:r>
              <m:rPr>
                <m:sty m:val="p"/>
              </m:rPr>
              <w:rPr>
                <w:rFonts w:ascii="Cambria Math" w:hAnsi="Cambria Math"/>
                <w:sz w:val="24"/>
                <w:szCs w:val="24"/>
              </w:rPr>
              <m:t>100</m:t>
            </m:r>
          </m:den>
        </m:f>
        <m:r>
          <m:rPr>
            <m:sty m:val="p"/>
          </m:rPr>
          <w:rPr>
            <w:rFonts w:ascii="Cambria Math" w:hAnsi="Cambria Math"/>
            <w:sz w:val="24"/>
            <w:szCs w:val="24"/>
          </w:rPr>
          <m:t>×50=20</m:t>
        </m:r>
      </m:oMath>
    </w:p>
    <w:p>
      <w:pPr>
        <w:pStyle w:val="PermNoteText"/>
      </w:pPr>
      <w:r>
        <w:tab/>
        <w:t>2.</w:t>
      </w:r>
      <w:r>
        <w:tab/>
        <w:t>A worker loses the little finger of the left hand, 30% of the full efficient use of one eye and 10% of the full efficient use of the right arm below the elbow.  The percentage under subsection (2)(a) is —</w:t>
      </w:r>
    </w:p>
    <w:p>
      <w:pPr>
        <w:pStyle w:val="PermNoteText"/>
      </w:pPr>
      <w:r>
        <w:tab/>
      </w:r>
      <w:r>
        <w:tab/>
      </w:r>
      <m:oMath>
        <m:r>
          <w:rPr>
            <w:rFonts w:ascii="Cambria Math" w:hAnsi="Cambria Math"/>
          </w:rPr>
          <m:t xml:space="preserve">6+ </m:t>
        </m:r>
        <m:d>
          <m:dPr>
            <m:begChr m:val="["/>
            <m:endChr m:val="]"/>
            <m:ctrlPr>
              <w:rPr>
                <w:rFonts w:ascii="Cambria Math" w:hAnsi="Cambria Math"/>
                <w:i/>
              </w:rPr>
            </m:ctrlPr>
          </m:dPr>
          <m:e>
            <m:f>
              <m:fPr>
                <m:ctrlPr>
                  <w:rPr>
                    <w:rFonts w:ascii="Cambria Math" w:hAnsi="Cambria Math"/>
                    <w:i/>
                  </w:rPr>
                </m:ctrlPr>
              </m:fPr>
              <m:num>
                <m:r>
                  <w:rPr>
                    <w:rFonts w:ascii="Cambria Math" w:hAnsi="Cambria Math"/>
                  </w:rPr>
                  <m:t>30</m:t>
                </m:r>
              </m:num>
              <m:den>
                <m:r>
                  <w:rPr>
                    <w:rFonts w:ascii="Cambria Math" w:hAnsi="Cambria Math"/>
                  </w:rPr>
                  <m:t>100</m:t>
                </m:r>
              </m:den>
            </m:f>
            <m:r>
              <w:rPr>
                <w:rFonts w:ascii="Cambria Math" w:hAnsi="Cambria Math"/>
              </w:rPr>
              <m:t>×50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×80</m:t>
            </m:r>
          </m:e>
        </m:d>
        <m:r>
          <w:rPr>
            <w:rFonts w:ascii="Cambria Math" w:hAnsi="Cambria Math"/>
          </w:rPr>
          <m:t>=6+15+8=29</m:t>
        </m:r>
      </m:oMath>
    </w:p>
    <w:p>
      <w:pPr>
        <w:pStyle w:val="PermNoteText"/>
      </w:pPr>
      <w:r>
        <w:tab/>
        <w:t>3.</w:t>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pPr>
      <w:r>
        <w:tab/>
      </w:r>
      <w:r>
        <w:tab/>
      </w:r>
      <m:oMath>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×100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15</m:t>
                </m:r>
              </m:num>
              <m:den>
                <m:r>
                  <w:rPr>
                    <w:rFonts w:ascii="Cambria Math" w:hAnsi="Cambria Math"/>
                  </w:rPr>
                  <m:t>100</m:t>
                </m:r>
              </m:den>
            </m:f>
            <m:r>
              <w:rPr>
                <w:rFonts w:ascii="Cambria Math" w:hAnsi="Cambria Math"/>
              </w:rPr>
              <m:t>×40</m:t>
            </m:r>
          </m:e>
        </m:d>
        <m:r>
          <w:rPr>
            <w:rFonts w:ascii="Cambria Math" w:hAnsi="Cambria Math"/>
          </w:rPr>
          <m:t>=10+6=16</m:t>
        </m:r>
      </m:oMath>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t>deleted]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No. 34 of 1999 s. 32(5); amended: No. 42 of 2004 s. 76, 146 and 147; No. 31 of 2011 s. 29.]</w:t>
      </w:r>
    </w:p>
    <w:p>
      <w:pPr>
        <w:pStyle w:val="Heading5"/>
        <w:spacing w:before="200"/>
      </w:pPr>
      <w:bookmarkStart w:id="172" w:name="_Toc33534327"/>
      <w:r>
        <w:rPr>
          <w:rStyle w:val="CharSectno"/>
        </w:rPr>
        <w:t>93E</w:t>
      </w:r>
      <w:r>
        <w:t>.</w:t>
      </w:r>
      <w:r>
        <w:tab/>
        <w:t>Constraints on awards and paying compensation</w:t>
      </w:r>
      <w:bookmarkEnd w:id="172"/>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No. 34 of 1999 s. 32(5); amended: No. 44 of 2000 s. 4; No. 35 of 2004 s. 9; No. 42 of 2004 s. 77, 147 and 149.]</w:t>
      </w:r>
    </w:p>
    <w:p>
      <w:pPr>
        <w:pStyle w:val="Heading5"/>
        <w:spacing w:before="240"/>
      </w:pPr>
      <w:bookmarkStart w:id="173" w:name="_Toc33534328"/>
      <w:r>
        <w:rPr>
          <w:rStyle w:val="CharSectno"/>
        </w:rPr>
        <w:t>93EA</w:t>
      </w:r>
      <w:r>
        <w:t>.</w:t>
      </w:r>
      <w:r>
        <w:tab/>
        <w:t>Questions as to degree of disability, referral of to Director in some cases due to new evidence</w:t>
      </w:r>
      <w:bookmarkEnd w:id="173"/>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No. 35 of 2004 s. 10; amended: No. 42 of 2004 s. 147.]</w:t>
      </w:r>
    </w:p>
    <w:p>
      <w:pPr>
        <w:pStyle w:val="Heading5"/>
      </w:pPr>
      <w:bookmarkStart w:id="174" w:name="_Toc33534329"/>
      <w:r>
        <w:rPr>
          <w:rStyle w:val="CharSectno"/>
        </w:rPr>
        <w:t>93EB</w:t>
      </w:r>
      <w:r>
        <w:t>.</w:t>
      </w:r>
      <w:r>
        <w:tab/>
        <w:t>Questions as to degree of disability, referral of to Director in some other cases</w:t>
      </w:r>
      <w:bookmarkEnd w:id="174"/>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No. 35 of 2004 s. 10; amended: No. 42 of 2004 s. 147.]</w:t>
      </w:r>
    </w:p>
    <w:p>
      <w:pPr>
        <w:pStyle w:val="Heading5"/>
      </w:pPr>
      <w:bookmarkStart w:id="175" w:name="_Toc33534330"/>
      <w:r>
        <w:rPr>
          <w:rStyle w:val="CharSectno"/>
        </w:rPr>
        <w:t>93EC</w:t>
      </w:r>
      <w:r>
        <w:t>.</w:t>
      </w:r>
      <w:r>
        <w:tab/>
        <w:t>Time for commencing action for damages extended in some cases</w:t>
      </w:r>
      <w:bookmarkEnd w:id="175"/>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No. 35 of 2004 s. 10; amended: No. 42 of 2004 s. 146 and 147.]</w:t>
      </w:r>
    </w:p>
    <w:p>
      <w:pPr>
        <w:pStyle w:val="Heading5"/>
      </w:pPr>
      <w:bookmarkStart w:id="176" w:name="_Toc33534331"/>
      <w:r>
        <w:rPr>
          <w:rStyle w:val="CharSectno"/>
        </w:rPr>
        <w:t>93F</w:t>
      </w:r>
      <w:r>
        <w:t>.</w:t>
      </w:r>
      <w:r>
        <w:tab/>
        <w:t>Degree of disability less than 30%, constraints on awards</w:t>
      </w:r>
      <w:bookmarkEnd w:id="176"/>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No. 34 of 1999 s. 32(5); amended: No. 42 of 2004 s. 147; No. 8 of 2009 s. 139(4).]</w:t>
      </w:r>
    </w:p>
    <w:p>
      <w:pPr>
        <w:pStyle w:val="Heading5"/>
      </w:pPr>
      <w:bookmarkStart w:id="177" w:name="_Toc33534332"/>
      <w:r>
        <w:rPr>
          <w:rStyle w:val="CharSectno"/>
        </w:rPr>
        <w:t>93G</w:t>
      </w:r>
      <w:r>
        <w:t>.</w:t>
      </w:r>
      <w:r>
        <w:tab/>
        <w:t>Regulations for this Subdivision</w:t>
      </w:r>
      <w:bookmarkEnd w:id="177"/>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No. 34 of 1999 s. 32(5); amended: No. 42 of 2004 s. 78.]</w:t>
      </w:r>
    </w:p>
    <w:p>
      <w:pPr>
        <w:pStyle w:val="Heading4"/>
        <w:keepLines/>
      </w:pPr>
      <w:bookmarkStart w:id="178" w:name="_Toc33534333"/>
      <w:r>
        <w:t>Subdivision 3 — 2004 scheme</w:t>
      </w:r>
      <w:bookmarkEnd w:id="178"/>
    </w:p>
    <w:p>
      <w:pPr>
        <w:pStyle w:val="Footnoteheading"/>
        <w:keepNext/>
        <w:keepLines/>
      </w:pPr>
      <w:r>
        <w:tab/>
        <w:t>[Heading inserted: No. 42 of 2004 s. 79.]</w:t>
      </w:r>
    </w:p>
    <w:p>
      <w:pPr>
        <w:pStyle w:val="Heading5"/>
      </w:pPr>
      <w:bookmarkStart w:id="179" w:name="_Toc33534334"/>
      <w:r>
        <w:rPr>
          <w:rStyle w:val="CharSectno"/>
        </w:rPr>
        <w:t>93H</w:t>
      </w:r>
      <w:r>
        <w:t>.</w:t>
      </w:r>
      <w:r>
        <w:tab/>
        <w:t>Terms used</w:t>
      </w:r>
      <w:bookmarkEnd w:id="179"/>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No. 42 of 2004 s. 79.]</w:t>
      </w:r>
    </w:p>
    <w:p>
      <w:pPr>
        <w:pStyle w:val="Heading5"/>
      </w:pPr>
      <w:bookmarkStart w:id="180" w:name="_Toc33534335"/>
      <w:r>
        <w:rPr>
          <w:rStyle w:val="CharSectno"/>
        </w:rPr>
        <w:t>93I</w:t>
      </w:r>
      <w:r>
        <w:t>.</w:t>
      </w:r>
      <w:r>
        <w:tab/>
        <w:t>Application of this Subdivision</w:t>
      </w:r>
      <w:bookmarkEnd w:id="180"/>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No. 42 of 2004 s. 79; amended: No. 20 of 2005 s. 22.]</w:t>
      </w:r>
    </w:p>
    <w:p>
      <w:pPr>
        <w:pStyle w:val="Heading5"/>
        <w:spacing w:before="180"/>
      </w:pPr>
      <w:bookmarkStart w:id="181" w:name="_Toc33534336"/>
      <w:r>
        <w:rPr>
          <w:rStyle w:val="CharSectno"/>
        </w:rPr>
        <w:t>93J</w:t>
      </w:r>
      <w:r>
        <w:t>.</w:t>
      </w:r>
      <w:r>
        <w:tab/>
        <w:t>No damages for noise induced hearing loss if not an injury</w:t>
      </w:r>
      <w:bookmarkEnd w:id="181"/>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No. 42 of 2004 s. 79.]</w:t>
      </w:r>
    </w:p>
    <w:p>
      <w:pPr>
        <w:pStyle w:val="Heading5"/>
        <w:keepLines w:val="0"/>
        <w:spacing w:before="180"/>
      </w:pPr>
      <w:bookmarkStart w:id="182" w:name="_Toc33534337"/>
      <w:r>
        <w:rPr>
          <w:rStyle w:val="CharSectno"/>
        </w:rPr>
        <w:t>93K</w:t>
      </w:r>
      <w:r>
        <w:t>.</w:t>
      </w:r>
      <w:r>
        <w:tab/>
        <w:t>Constraints on awards</w:t>
      </w:r>
      <w:bookmarkEnd w:id="182"/>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No. 42 of 2004 s. 79; amended: No. 31 of 2011 s. 96.]</w:t>
      </w:r>
    </w:p>
    <w:p>
      <w:pPr>
        <w:pStyle w:val="Heading5"/>
      </w:pPr>
      <w:bookmarkStart w:id="183" w:name="_Toc33534338"/>
      <w:r>
        <w:rPr>
          <w:rStyle w:val="CharSectno"/>
        </w:rPr>
        <w:t>93L</w:t>
      </w:r>
      <w:r>
        <w:t>.</w:t>
      </w:r>
      <w:r>
        <w:tab/>
        <w:t>Election under s. 93K to retain right to seek damages</w:t>
      </w:r>
      <w:bookmarkEnd w:id="183"/>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No. 42 of 2004 s. 79.]</w:t>
      </w:r>
    </w:p>
    <w:p>
      <w:pPr>
        <w:pStyle w:val="Heading5"/>
      </w:pPr>
      <w:bookmarkStart w:id="184" w:name="_Toc33534339"/>
      <w:r>
        <w:rPr>
          <w:rStyle w:val="CharSectno"/>
        </w:rPr>
        <w:t>93M</w:t>
      </w:r>
      <w:r>
        <w:t>.</w:t>
      </w:r>
      <w:r>
        <w:tab/>
        <w:t>Termination day defined</w:t>
      </w:r>
      <w:bookmarkEnd w:id="184"/>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r>
        <w:tab/>
        <w:t>[Section 93M inserted: No. 42 of 2004 s. 79.]</w:t>
      </w:r>
    </w:p>
    <w:p>
      <w:pPr>
        <w:pStyle w:val="Heading5"/>
        <w:spacing w:before="200"/>
      </w:pPr>
      <w:bookmarkStart w:id="185" w:name="_Toc33534340"/>
      <w:r>
        <w:rPr>
          <w:rStyle w:val="CharSectno"/>
        </w:rPr>
        <w:t>93N</w:t>
      </w:r>
      <w:r>
        <w:t>.</w:t>
      </w:r>
      <w:r>
        <w:tab/>
        <w:t>Special evaluation if worker’s condition has not stabilised sufficiently</w:t>
      </w:r>
      <w:bookmarkEnd w:id="185"/>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No. 42 of 2004 s. 79.]</w:t>
      </w:r>
    </w:p>
    <w:p>
      <w:pPr>
        <w:pStyle w:val="Heading5"/>
      </w:pPr>
      <w:bookmarkStart w:id="186" w:name="_Toc33534341"/>
      <w:r>
        <w:rPr>
          <w:rStyle w:val="CharSectno"/>
        </w:rPr>
        <w:t>93O</w:t>
      </w:r>
      <w:r>
        <w:t>.</w:t>
      </w:r>
      <w:r>
        <w:tab/>
        <w:t>Employer to give worker notice of certain things</w:t>
      </w:r>
      <w:bookmarkEnd w:id="186"/>
    </w:p>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No. 42 of 2004 s. 79.]</w:t>
      </w:r>
    </w:p>
    <w:p>
      <w:pPr>
        <w:pStyle w:val="Heading5"/>
      </w:pPr>
      <w:bookmarkStart w:id="187" w:name="_Toc33534342"/>
      <w:r>
        <w:rPr>
          <w:rStyle w:val="CharSectno"/>
        </w:rPr>
        <w:t>93P</w:t>
      </w:r>
      <w:r>
        <w:t>.</w:t>
      </w:r>
      <w:r>
        <w:tab/>
        <w:t>Election under s. 93K, effect of on compensation</w:t>
      </w:r>
      <w:bookmarkEnd w:id="187"/>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No. 42 of 2004 s. 79.]</w:t>
      </w:r>
    </w:p>
    <w:p>
      <w:pPr>
        <w:pStyle w:val="Heading5"/>
      </w:pPr>
      <w:bookmarkStart w:id="188" w:name="_Toc33534343"/>
      <w:r>
        <w:rPr>
          <w:rStyle w:val="CharSectno"/>
        </w:rPr>
        <w:t>93Q</w:t>
      </w:r>
      <w:r>
        <w:t>.</w:t>
      </w:r>
      <w:r>
        <w:tab/>
        <w:t>HIV and AIDS, special provisions about</w:t>
      </w:r>
      <w:bookmarkEnd w:id="188"/>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No. 42 of 2004 s. 79.]</w:t>
      </w:r>
    </w:p>
    <w:p>
      <w:pPr>
        <w:pStyle w:val="Heading5"/>
      </w:pPr>
      <w:bookmarkStart w:id="189" w:name="_Toc33534344"/>
      <w:r>
        <w:rPr>
          <w:rStyle w:val="CharSectno"/>
        </w:rPr>
        <w:t>93R</w:t>
      </w:r>
      <w:r>
        <w:t>.</w:t>
      </w:r>
      <w:r>
        <w:tab/>
        <w:t>Some lung diseases, special provisions about</w:t>
      </w:r>
      <w:bookmarkEnd w:id="189"/>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No. 42 of 2004 s. 79.]</w:t>
      </w:r>
    </w:p>
    <w:p>
      <w:pPr>
        <w:pStyle w:val="Heading5"/>
      </w:pPr>
      <w:bookmarkStart w:id="190" w:name="_Toc33534345"/>
      <w:r>
        <w:rPr>
          <w:rStyle w:val="CharSectno"/>
        </w:rPr>
        <w:t>93S</w:t>
      </w:r>
      <w:r>
        <w:t>.</w:t>
      </w:r>
      <w:r>
        <w:tab/>
        <w:t>Regulations for this Subdivision</w:t>
      </w:r>
      <w:bookmarkEnd w:id="190"/>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No. 42 of 2004 s. 79.]</w:t>
      </w:r>
    </w:p>
    <w:p>
      <w:pPr>
        <w:pStyle w:val="Heading2"/>
      </w:pPr>
      <w:bookmarkStart w:id="191" w:name="_Toc33534346"/>
      <w:r>
        <w:rPr>
          <w:rStyle w:val="CharPartNo"/>
        </w:rPr>
        <w:t>Part V </w:t>
      </w:r>
      <w:r>
        <w:t>—</w:t>
      </w:r>
      <w:r>
        <w:rPr>
          <w:b w:val="0"/>
        </w:rPr>
        <w:t> </w:t>
      </w:r>
      <w:r>
        <w:rPr>
          <w:rStyle w:val="CharPartText"/>
        </w:rPr>
        <w:t>WorkCover Western Australia Authority</w:t>
      </w:r>
      <w:bookmarkEnd w:id="191"/>
    </w:p>
    <w:p>
      <w:pPr>
        <w:pStyle w:val="Footnoteheading"/>
        <w:rPr>
          <w:snapToGrid w:val="0"/>
        </w:rPr>
      </w:pPr>
      <w:r>
        <w:rPr>
          <w:snapToGrid w:val="0"/>
        </w:rPr>
        <w:tab/>
        <w:t>[Heading inserted: No. 42 of 2004 s. 80.]</w:t>
      </w:r>
    </w:p>
    <w:p>
      <w:pPr>
        <w:pStyle w:val="Heading3"/>
      </w:pPr>
      <w:bookmarkStart w:id="192" w:name="_Toc33534347"/>
      <w:r>
        <w:rPr>
          <w:rStyle w:val="CharDivNo"/>
        </w:rPr>
        <w:t>Division 1</w:t>
      </w:r>
      <w:r>
        <w:rPr>
          <w:snapToGrid w:val="0"/>
        </w:rPr>
        <w:t> — </w:t>
      </w:r>
      <w:r>
        <w:rPr>
          <w:rStyle w:val="CharDivText"/>
        </w:rPr>
        <w:t>Constitution, purposes, and powers</w:t>
      </w:r>
      <w:bookmarkEnd w:id="192"/>
    </w:p>
    <w:p>
      <w:pPr>
        <w:pStyle w:val="Heading5"/>
        <w:rPr>
          <w:snapToGrid w:val="0"/>
        </w:rPr>
      </w:pPr>
      <w:bookmarkStart w:id="193" w:name="_Toc33534348"/>
      <w:r>
        <w:rPr>
          <w:rStyle w:val="CharSectno"/>
        </w:rPr>
        <w:t>94</w:t>
      </w:r>
      <w:r>
        <w:rPr>
          <w:snapToGrid w:val="0"/>
        </w:rPr>
        <w:t>.</w:t>
      </w:r>
      <w:r>
        <w:rPr>
          <w:snapToGrid w:val="0"/>
        </w:rPr>
        <w:tab/>
        <w:t>WorkCover Western Australia Authority, nature of etc.</w:t>
      </w:r>
      <w:bookmarkEnd w:id="193"/>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pPr>
      <w:r>
        <w:tab/>
        <w:t>[Section 94 amended: No. 86 of 1986 s. 8; No. 48 of 1993 s. 40; No. 42 of 2004 s. 81 and 150.]</w:t>
      </w:r>
    </w:p>
    <w:p>
      <w:pPr>
        <w:pStyle w:val="Heading5"/>
      </w:pPr>
      <w:bookmarkStart w:id="194" w:name="_Toc33534349"/>
      <w:r>
        <w:rPr>
          <w:rStyle w:val="CharSectno"/>
        </w:rPr>
        <w:t>95</w:t>
      </w:r>
      <w:r>
        <w:t>.</w:t>
      </w:r>
      <w:r>
        <w:tab/>
        <w:t>Governing body of WorkCover WA</w:t>
      </w:r>
      <w:bookmarkEnd w:id="194"/>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No. 42 of 2004 s. 82.]</w:t>
      </w:r>
    </w:p>
    <w:p>
      <w:pPr>
        <w:pStyle w:val="Heading5"/>
        <w:keepLines w:val="0"/>
        <w:spacing w:before="800"/>
        <w:rPr>
          <w:snapToGrid w:val="0"/>
        </w:rPr>
      </w:pPr>
      <w:bookmarkStart w:id="195" w:name="_Toc33534350"/>
      <w:r>
        <w:rPr>
          <w:rStyle w:val="CharSectno"/>
        </w:rPr>
        <w:t>96</w:t>
      </w:r>
      <w:r>
        <w:rPr>
          <w:snapToGrid w:val="0"/>
        </w:rPr>
        <w:t>.</w:t>
      </w:r>
      <w:r>
        <w:rPr>
          <w:snapToGrid w:val="0"/>
        </w:rPr>
        <w:tab/>
        <w:t>Term of office of governing body’s nominee members</w:t>
      </w:r>
      <w:bookmarkEnd w:id="195"/>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No. 42 of 2004 s. 83 and 151; No. 18 of 2009 s. 94.]</w:t>
      </w:r>
    </w:p>
    <w:p>
      <w:pPr>
        <w:pStyle w:val="Heading5"/>
        <w:rPr>
          <w:snapToGrid w:val="0"/>
        </w:rPr>
      </w:pPr>
      <w:bookmarkStart w:id="196" w:name="_Toc33534351"/>
      <w:r>
        <w:rPr>
          <w:rStyle w:val="CharSectno"/>
        </w:rPr>
        <w:t>97</w:t>
      </w:r>
      <w:r>
        <w:rPr>
          <w:snapToGrid w:val="0"/>
        </w:rPr>
        <w:t>.</w:t>
      </w:r>
      <w:r>
        <w:rPr>
          <w:snapToGrid w:val="0"/>
        </w:rPr>
        <w:tab/>
        <w:t>Meetings</w:t>
      </w:r>
      <w:bookmarkEnd w:id="196"/>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No. 42 of 2004 s. 84, 150 and 151.]</w:t>
      </w:r>
    </w:p>
    <w:p>
      <w:pPr>
        <w:pStyle w:val="Heading5"/>
        <w:rPr>
          <w:snapToGrid w:val="0"/>
        </w:rPr>
      </w:pPr>
      <w:bookmarkStart w:id="197" w:name="_Toc33534352"/>
      <w:r>
        <w:rPr>
          <w:rStyle w:val="CharSectno"/>
        </w:rPr>
        <w:t>98</w:t>
      </w:r>
      <w:r>
        <w:rPr>
          <w:snapToGrid w:val="0"/>
        </w:rPr>
        <w:t>.</w:t>
      </w:r>
      <w:r>
        <w:rPr>
          <w:snapToGrid w:val="0"/>
        </w:rPr>
        <w:tab/>
        <w:t>Vacancies etc. not to invalidate proceedings</w:t>
      </w:r>
      <w:bookmarkEnd w:id="197"/>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No. 42 of 2004 s. 85 and 150.]</w:t>
      </w:r>
    </w:p>
    <w:p>
      <w:pPr>
        <w:pStyle w:val="Heading5"/>
        <w:rPr>
          <w:snapToGrid w:val="0"/>
        </w:rPr>
      </w:pPr>
      <w:bookmarkStart w:id="198" w:name="_Toc33534353"/>
      <w:r>
        <w:rPr>
          <w:rStyle w:val="CharSectno"/>
        </w:rPr>
        <w:t>99</w:t>
      </w:r>
      <w:r>
        <w:t>.</w:t>
      </w:r>
      <w:r>
        <w:tab/>
      </w:r>
      <w:r>
        <w:rPr>
          <w:snapToGrid w:val="0"/>
        </w:rPr>
        <w:t>Conditions of appointment</w:t>
      </w:r>
      <w:bookmarkEnd w:id="198"/>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No. 86 of 1986 s. 5; No. 42 of 2004 s. 86; No. 39 of 2010 s. 89.]</w:t>
      </w:r>
    </w:p>
    <w:p>
      <w:pPr>
        <w:pStyle w:val="Heading5"/>
      </w:pPr>
      <w:bookmarkStart w:id="199" w:name="_Toc33534354"/>
      <w:r>
        <w:rPr>
          <w:rStyle w:val="CharSectno"/>
        </w:rPr>
        <w:t>100</w:t>
      </w:r>
      <w:r>
        <w:t>.</w:t>
      </w:r>
      <w:r>
        <w:tab/>
        <w:t>Functions</w:t>
      </w:r>
      <w:bookmarkEnd w:id="199"/>
    </w:p>
    <w:p>
      <w:pPr>
        <w:pStyle w:val="Subsection"/>
      </w:pPr>
      <w:r>
        <w:tab/>
      </w:r>
      <w:r>
        <w:tab/>
        <w:t xml:space="preserve">The functions of WorkCover WA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r>
        <w:noBreakHyphen/>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r>
        <w:noBreakHyphen/>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to advance or support the purposes of the Act or the performance of the other functions of WorkCover WA</w:t>
      </w:r>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any other matter referred by the Minister to WorkCover WA for its advice.</w:t>
      </w:r>
    </w:p>
    <w:p>
      <w:pPr>
        <w:pStyle w:val="Footnotesection"/>
      </w:pPr>
      <w:r>
        <w:tab/>
        <w:t>[Section 100 inserted: No. 31 of 2011 s. 97.]</w:t>
      </w:r>
    </w:p>
    <w:p>
      <w:pPr>
        <w:pStyle w:val="Heading5"/>
        <w:rPr>
          <w:snapToGrid w:val="0"/>
        </w:rPr>
      </w:pPr>
      <w:bookmarkStart w:id="200" w:name="_Toc33534355"/>
      <w:r>
        <w:rPr>
          <w:rStyle w:val="CharSectno"/>
        </w:rPr>
        <w:t>100A</w:t>
      </w:r>
      <w:r>
        <w:rPr>
          <w:snapToGrid w:val="0"/>
        </w:rPr>
        <w:t>.</w:t>
      </w:r>
      <w:r>
        <w:rPr>
          <w:snapToGrid w:val="0"/>
        </w:rPr>
        <w:tab/>
        <w:t>Advisory committees</w:t>
      </w:r>
      <w:bookmarkEnd w:id="200"/>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No. 96 of 1990 s. 22; amended: No. 49 of 1996 s. 64; No. 42 of 2004 s. 88 and 150; No. 77 of 2006 Sch. 1 cl. 189(9); No. 39 of 2010 s. 89.]</w:t>
      </w:r>
    </w:p>
    <w:p>
      <w:pPr>
        <w:pStyle w:val="Heading5"/>
      </w:pPr>
      <w:bookmarkStart w:id="201" w:name="_Toc33534356"/>
      <w:r>
        <w:rPr>
          <w:rStyle w:val="CharSectno"/>
        </w:rPr>
        <w:t>100B</w:t>
      </w:r>
      <w:r>
        <w:t>.</w:t>
      </w:r>
      <w:r>
        <w:tab/>
        <w:t>Disclosing information to occupational safety and health department</w:t>
      </w:r>
      <w:bookmarkEnd w:id="201"/>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No. 42 of 2004 s. 89.]</w:t>
      </w:r>
    </w:p>
    <w:p>
      <w:pPr>
        <w:pStyle w:val="Heading5"/>
        <w:rPr>
          <w:snapToGrid w:val="0"/>
        </w:rPr>
      </w:pPr>
      <w:bookmarkStart w:id="202" w:name="_Toc33534357"/>
      <w:r>
        <w:rPr>
          <w:rStyle w:val="CharSectno"/>
        </w:rPr>
        <w:t>101</w:t>
      </w:r>
      <w:r>
        <w:rPr>
          <w:snapToGrid w:val="0"/>
        </w:rPr>
        <w:t>.</w:t>
      </w:r>
      <w:r>
        <w:rPr>
          <w:snapToGrid w:val="0"/>
        </w:rPr>
        <w:tab/>
        <w:t>Powers</w:t>
      </w:r>
      <w:bookmarkEnd w:id="202"/>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 No. 104 of 1984 s. 4; No. 86 of 1986 s. 5; No. 96 of 1990 s. 23; No. 34 of 1999 s. 34; No. 42 of 2004 s. 90 and 150; No. 77 of 2006 Sch. 1 cl. 189(9); No. 31 of 2011 s. 98.]</w:t>
      </w:r>
    </w:p>
    <w:p>
      <w:pPr>
        <w:pStyle w:val="Heading5"/>
      </w:pPr>
      <w:bookmarkStart w:id="203" w:name="_Toc33534358"/>
      <w:r>
        <w:rPr>
          <w:rStyle w:val="CharSectno"/>
        </w:rPr>
        <w:t>101AA</w:t>
      </w:r>
      <w:r>
        <w:t>.</w:t>
      </w:r>
      <w:r>
        <w:tab/>
        <w:t>Delegation by WorkCover WA</w:t>
      </w:r>
      <w:bookmarkEnd w:id="203"/>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No. 42 of 2004 s. 91.]</w:t>
      </w:r>
    </w:p>
    <w:p>
      <w:pPr>
        <w:pStyle w:val="Heading5"/>
        <w:keepLines w:val="0"/>
        <w:rPr>
          <w:snapToGrid w:val="0"/>
        </w:rPr>
      </w:pPr>
      <w:bookmarkStart w:id="204" w:name="_Toc33534359"/>
      <w:r>
        <w:rPr>
          <w:rStyle w:val="CharSectno"/>
        </w:rPr>
        <w:t>101A</w:t>
      </w:r>
      <w:r>
        <w:rPr>
          <w:snapToGrid w:val="0"/>
        </w:rPr>
        <w:t>.</w:t>
      </w:r>
      <w:r>
        <w:rPr>
          <w:snapToGrid w:val="0"/>
        </w:rPr>
        <w:tab/>
        <w:t>Borrowing powers</w:t>
      </w:r>
      <w:bookmarkEnd w:id="204"/>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No. 104 of 1984 s. 5; amended: No. 42 of 2004 s. 150.]</w:t>
      </w:r>
    </w:p>
    <w:p>
      <w:pPr>
        <w:pStyle w:val="Heading5"/>
        <w:rPr>
          <w:snapToGrid w:val="0"/>
        </w:rPr>
      </w:pPr>
      <w:bookmarkStart w:id="205" w:name="_Toc33534360"/>
      <w:r>
        <w:rPr>
          <w:rStyle w:val="CharSectno"/>
        </w:rPr>
        <w:t>101B</w:t>
      </w:r>
      <w:r>
        <w:rPr>
          <w:snapToGrid w:val="0"/>
        </w:rPr>
        <w:t>.</w:t>
      </w:r>
      <w:r>
        <w:rPr>
          <w:snapToGrid w:val="0"/>
        </w:rPr>
        <w:tab/>
        <w:t>Guarantees by Treasurer of borrowings</w:t>
      </w:r>
      <w:bookmarkEnd w:id="205"/>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No. 104 of 1984 s. 5; amended: No. 6 of 1993 s. 11; No. 49 of 1996 s. 64; No. 42 of 2004 s. 150; No. 77 of 2006 s. 4.]</w:t>
      </w:r>
    </w:p>
    <w:p>
      <w:pPr>
        <w:pStyle w:val="Heading5"/>
        <w:spacing w:before="260"/>
        <w:rPr>
          <w:snapToGrid w:val="0"/>
        </w:rPr>
      </w:pPr>
      <w:bookmarkStart w:id="206" w:name="_Toc33534361"/>
      <w:r>
        <w:rPr>
          <w:rStyle w:val="CharSectno"/>
        </w:rPr>
        <w:t>102</w:t>
      </w:r>
      <w:r>
        <w:rPr>
          <w:snapToGrid w:val="0"/>
        </w:rPr>
        <w:t>.</w:t>
      </w:r>
      <w:r>
        <w:rPr>
          <w:snapToGrid w:val="0"/>
        </w:rPr>
        <w:tab/>
        <w:t>Limitation on powers under s. 100(e)</w:t>
      </w:r>
      <w:bookmarkEnd w:id="206"/>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No. 42 of 2004 s. 92 and 150.]</w:t>
      </w:r>
    </w:p>
    <w:p>
      <w:pPr>
        <w:pStyle w:val="Ednotesection"/>
        <w:spacing w:before="260"/>
      </w:pPr>
      <w:r>
        <w:t>[</w:t>
      </w:r>
      <w:r>
        <w:rPr>
          <w:b/>
        </w:rPr>
        <w:t>103.</w:t>
      </w:r>
      <w:r>
        <w:rPr>
          <w:b/>
        </w:rPr>
        <w:tab/>
      </w:r>
      <w:r>
        <w:t>Deleted: No. 34 of 1999 s. 35.]</w:t>
      </w:r>
    </w:p>
    <w:p>
      <w:pPr>
        <w:pStyle w:val="Heading5"/>
        <w:spacing w:before="260"/>
        <w:rPr>
          <w:snapToGrid w:val="0"/>
        </w:rPr>
      </w:pPr>
      <w:bookmarkStart w:id="207" w:name="_Toc33534362"/>
      <w:r>
        <w:rPr>
          <w:rStyle w:val="CharSectno"/>
        </w:rPr>
        <w:t>103A</w:t>
      </w:r>
      <w:r>
        <w:rPr>
          <w:snapToGrid w:val="0"/>
        </w:rPr>
        <w:t>.</w:t>
      </w:r>
      <w:r>
        <w:rPr>
          <w:snapToGrid w:val="0"/>
        </w:rPr>
        <w:tab/>
        <w:t>Insurers etc. to give WorkCover WA information</w:t>
      </w:r>
      <w:bookmarkEnd w:id="207"/>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[Section 103A inserted: No. 44 of 1985 s. 24; amended: No. 96 of 1990 s. 25; No. 42 of 2004 s. 93 and 150.]</w:t>
      </w:r>
    </w:p>
    <w:p>
      <w:pPr>
        <w:pStyle w:val="Heading5"/>
        <w:rPr>
          <w:snapToGrid w:val="0"/>
        </w:rPr>
      </w:pPr>
      <w:bookmarkStart w:id="208" w:name="_Toc33534363"/>
      <w:r>
        <w:rPr>
          <w:rStyle w:val="CharSectno"/>
        </w:rPr>
        <w:t>104</w:t>
      </w:r>
      <w:r>
        <w:rPr>
          <w:snapToGrid w:val="0"/>
        </w:rPr>
        <w:t>.</w:t>
      </w:r>
      <w:r>
        <w:rPr>
          <w:snapToGrid w:val="0"/>
        </w:rPr>
        <w:tab/>
        <w:t>Publishing and furnishing information</w:t>
      </w:r>
      <w:bookmarkEnd w:id="208"/>
    </w:p>
    <w:p>
      <w:pPr>
        <w:pStyle w:val="Subsection"/>
        <w:keepNext/>
        <w:keepLines/>
        <w:rPr>
          <w:snapToGrid w:val="0"/>
        </w:rPr>
      </w:pPr>
      <w:r>
        <w:rPr>
          <w:snapToGrid w:val="0"/>
        </w:rPr>
        <w:tab/>
      </w:r>
      <w:r>
        <w:rPr>
          <w:snapToGrid w:val="0"/>
        </w:rPr>
        <w:tab/>
      </w:r>
      <w:r>
        <w:t>WorkCover WA</w:t>
      </w:r>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No. 42 of 2004 s. 94 and 150.]</w:t>
      </w:r>
    </w:p>
    <w:p>
      <w:pPr>
        <w:pStyle w:val="Heading3"/>
      </w:pPr>
      <w:bookmarkStart w:id="209" w:name="_Toc33534364"/>
      <w:r>
        <w:rPr>
          <w:rStyle w:val="CharDivNo"/>
        </w:rPr>
        <w:t>Division 1AA</w:t>
      </w:r>
      <w:r>
        <w:t> — </w:t>
      </w:r>
      <w:r>
        <w:rPr>
          <w:rStyle w:val="CharDivText"/>
        </w:rPr>
        <w:t>Personal interest</w:t>
      </w:r>
      <w:bookmarkEnd w:id="209"/>
    </w:p>
    <w:p>
      <w:pPr>
        <w:pStyle w:val="Footnoteheading"/>
        <w:tabs>
          <w:tab w:val="left" w:pos="851"/>
        </w:tabs>
      </w:pPr>
      <w:r>
        <w:tab/>
        <w:t>[Heading inserted: No. 42 of 2004 s. 95.]</w:t>
      </w:r>
    </w:p>
    <w:p>
      <w:pPr>
        <w:pStyle w:val="Heading5"/>
        <w:rPr>
          <w:snapToGrid w:val="0"/>
        </w:rPr>
      </w:pPr>
      <w:bookmarkStart w:id="210" w:name="_Toc33534365"/>
      <w:r>
        <w:rPr>
          <w:rStyle w:val="CharSectno"/>
        </w:rPr>
        <w:t>104AA</w:t>
      </w:r>
      <w:r>
        <w:t>.</w:t>
      </w:r>
      <w:r>
        <w:tab/>
        <w:t>D</w:t>
      </w:r>
      <w:r>
        <w:rPr>
          <w:snapToGrid w:val="0"/>
        </w:rPr>
        <w:t>isclosure of interests by governing body members</w:t>
      </w:r>
      <w:bookmarkEnd w:id="210"/>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No. 42 of 2004 s. 95.]</w:t>
      </w:r>
    </w:p>
    <w:p>
      <w:pPr>
        <w:pStyle w:val="Heading5"/>
        <w:rPr>
          <w:snapToGrid w:val="0"/>
        </w:rPr>
      </w:pPr>
      <w:bookmarkStart w:id="211" w:name="_Toc33534366"/>
      <w:r>
        <w:rPr>
          <w:rStyle w:val="CharSectno"/>
        </w:rPr>
        <w:t>104AB</w:t>
      </w:r>
      <w:r>
        <w:rPr>
          <w:snapToGrid w:val="0"/>
        </w:rPr>
        <w:t>.</w:t>
      </w:r>
      <w:r>
        <w:rPr>
          <w:snapToGrid w:val="0"/>
        </w:rPr>
        <w:tab/>
        <w:t>Exclusion of interested member</w:t>
      </w:r>
      <w:bookmarkEnd w:id="211"/>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No. 42 of 2004 s. 95.]</w:t>
      </w:r>
    </w:p>
    <w:p>
      <w:pPr>
        <w:pStyle w:val="Heading5"/>
        <w:rPr>
          <w:snapToGrid w:val="0"/>
        </w:rPr>
      </w:pPr>
      <w:bookmarkStart w:id="212" w:name="_Toc33534367"/>
      <w:r>
        <w:rPr>
          <w:rStyle w:val="CharSectno"/>
        </w:rPr>
        <w:t>104AC</w:t>
      </w:r>
      <w:r>
        <w:rPr>
          <w:snapToGrid w:val="0"/>
        </w:rPr>
        <w:t>.</w:t>
      </w:r>
      <w:r>
        <w:rPr>
          <w:snapToGrid w:val="0"/>
        </w:rPr>
        <w:tab/>
        <w:t>Resolution that s. 104AB inapplicable</w:t>
      </w:r>
      <w:bookmarkEnd w:id="212"/>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No. 42 of 2004 s. 95.]</w:t>
      </w:r>
    </w:p>
    <w:p>
      <w:pPr>
        <w:pStyle w:val="Heading5"/>
        <w:rPr>
          <w:snapToGrid w:val="0"/>
        </w:rPr>
      </w:pPr>
      <w:bookmarkStart w:id="213" w:name="_Toc33534368"/>
      <w:r>
        <w:rPr>
          <w:rStyle w:val="CharSectno"/>
        </w:rPr>
        <w:t>104AD</w:t>
      </w:r>
      <w:r>
        <w:rPr>
          <w:snapToGrid w:val="0"/>
        </w:rPr>
        <w:t>.</w:t>
      </w:r>
      <w:r>
        <w:rPr>
          <w:snapToGrid w:val="0"/>
        </w:rPr>
        <w:tab/>
        <w:t>Quorum where s. 104AB applies</w:t>
      </w:r>
      <w:bookmarkEnd w:id="213"/>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No. 42 of 2004 s. 95.]</w:t>
      </w:r>
    </w:p>
    <w:p>
      <w:pPr>
        <w:pStyle w:val="Heading5"/>
        <w:keepLines w:val="0"/>
        <w:rPr>
          <w:snapToGrid w:val="0"/>
        </w:rPr>
      </w:pPr>
      <w:bookmarkStart w:id="214" w:name="_Toc33534369"/>
      <w:r>
        <w:rPr>
          <w:rStyle w:val="CharSectno"/>
        </w:rPr>
        <w:t>104AE</w:t>
      </w:r>
      <w:r>
        <w:rPr>
          <w:snapToGrid w:val="0"/>
        </w:rPr>
        <w:t>.</w:t>
      </w:r>
      <w:r>
        <w:rPr>
          <w:snapToGrid w:val="0"/>
        </w:rPr>
        <w:tab/>
        <w:t>Minister may declare s. 104AB and 104AD inapplicable</w:t>
      </w:r>
      <w:bookmarkEnd w:id="214"/>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No. 42 of 2004 s. 95.]</w:t>
      </w:r>
    </w:p>
    <w:p>
      <w:pPr>
        <w:pStyle w:val="Ednotedivision"/>
        <w:outlineLvl w:val="9"/>
      </w:pPr>
      <w:r>
        <w:t>[Division 1A (s. 104A, 104B) deleted: No. 42 of 2004 s. 96.]</w:t>
      </w:r>
    </w:p>
    <w:p>
      <w:pPr>
        <w:pStyle w:val="Heading3"/>
      </w:pPr>
      <w:bookmarkStart w:id="215" w:name="_Toc33534370"/>
      <w:r>
        <w:rPr>
          <w:rStyle w:val="CharDivNo"/>
        </w:rPr>
        <w:t>Division 2</w:t>
      </w:r>
      <w:r>
        <w:rPr>
          <w:snapToGrid w:val="0"/>
        </w:rPr>
        <w:t> — </w:t>
      </w:r>
      <w:r>
        <w:rPr>
          <w:rStyle w:val="CharDivText"/>
        </w:rPr>
        <w:t>Accounts and audit</w:t>
      </w:r>
      <w:bookmarkEnd w:id="215"/>
    </w:p>
    <w:p>
      <w:pPr>
        <w:pStyle w:val="Heading5"/>
        <w:spacing w:before="160"/>
        <w:rPr>
          <w:snapToGrid w:val="0"/>
        </w:rPr>
      </w:pPr>
      <w:bookmarkStart w:id="216" w:name="_Toc33534371"/>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216"/>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[Section 105 inserted: No. 98 of 1985 s. 3; amended: No. 42 of 2004 s. 150; No. 77 of 2006 Sch. 1 cl. 189(2).]</w:t>
      </w:r>
    </w:p>
    <w:p>
      <w:pPr>
        <w:pStyle w:val="Heading3"/>
      </w:pPr>
      <w:bookmarkStart w:id="217" w:name="_Toc33534372"/>
      <w:r>
        <w:rPr>
          <w:rStyle w:val="CharDivNo"/>
        </w:rPr>
        <w:t>Division 3</w:t>
      </w:r>
      <w:r>
        <w:rPr>
          <w:snapToGrid w:val="0"/>
        </w:rPr>
        <w:t> — </w:t>
      </w:r>
      <w:r>
        <w:rPr>
          <w:rStyle w:val="CharDivText"/>
        </w:rPr>
        <w:t>Workers’ Compensation and Injury Management General Account</w:t>
      </w:r>
      <w:bookmarkEnd w:id="217"/>
    </w:p>
    <w:p>
      <w:pPr>
        <w:pStyle w:val="Footnoteheading"/>
        <w:rPr>
          <w:snapToGrid w:val="0"/>
        </w:rPr>
      </w:pPr>
      <w:r>
        <w:rPr>
          <w:snapToGrid w:val="0"/>
        </w:rPr>
        <w:tab/>
        <w:t>[Heading inserted: No. 86 of 1986 s. 7; amended: No. 42 of 2004 s. 97; No. 46 of 2009 s. 17.]</w:t>
      </w:r>
    </w:p>
    <w:p>
      <w:pPr>
        <w:pStyle w:val="Heading5"/>
        <w:keepNext w:val="0"/>
        <w:keepLines w:val="0"/>
        <w:rPr>
          <w:snapToGrid w:val="0"/>
        </w:rPr>
      </w:pPr>
      <w:bookmarkStart w:id="218" w:name="_Toc33534373"/>
      <w:r>
        <w:rPr>
          <w:rStyle w:val="CharSectno"/>
        </w:rPr>
        <w:t>106</w:t>
      </w:r>
      <w:r>
        <w:rPr>
          <w:snapToGrid w:val="0"/>
        </w:rPr>
        <w:t>.</w:t>
      </w:r>
      <w:r>
        <w:rPr>
          <w:snapToGrid w:val="0"/>
        </w:rPr>
        <w:tab/>
        <w:t xml:space="preserve">General </w:t>
      </w:r>
      <w:r>
        <w:t>Account, funds and purposes of</w:t>
      </w:r>
      <w:bookmarkEnd w:id="218"/>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 and</w:t>
      </w:r>
    </w:p>
    <w:p>
      <w:pPr>
        <w:pStyle w:val="Indenta"/>
      </w:pPr>
      <w:r>
        <w:tab/>
        <w:t>(f)</w:t>
      </w:r>
      <w:r>
        <w:tab/>
        <w:t>any moneys required to be transferred to the General Account under section 72J(7).</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all moneys required for the remuneration and allowances of members of the governing body of WorkCover WA and of WorkCover WA’s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No. 79 of 1983 s. 3; No. 104 of 1984 s. 6; No. 86 of 1986 s. 9; No. 96 of 1990 s. 26; No. 1 of 1993 s. 14; No. 48 of 1993 s. 28(1); No. 49 of 1996 s. 64; No. 42 of 2004 s. 98 and 150; No. 77 of 2006 Sch. 1 cl. 189(3), (4) and (9); No. 31 of 2011 s. 30 and 99; No. 8 of 2018 s. 7.]</w:t>
      </w:r>
    </w:p>
    <w:p>
      <w:pPr>
        <w:pStyle w:val="Heading5"/>
        <w:keepNext w:val="0"/>
        <w:keepLines w:val="0"/>
        <w:spacing w:before="180"/>
        <w:rPr>
          <w:snapToGrid w:val="0"/>
        </w:rPr>
      </w:pPr>
      <w:bookmarkStart w:id="219" w:name="_Toc33534374"/>
      <w:r>
        <w:rPr>
          <w:rStyle w:val="CharSectno"/>
        </w:rPr>
        <w:t>107</w:t>
      </w:r>
      <w:r>
        <w:rPr>
          <w:snapToGrid w:val="0"/>
        </w:rPr>
        <w:t>.</w:t>
      </w:r>
      <w:r>
        <w:rPr>
          <w:snapToGrid w:val="0"/>
        </w:rPr>
        <w:tab/>
        <w:t>Estimates of funds needed for General Account</w:t>
      </w:r>
      <w:bookmarkEnd w:id="219"/>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No. 98 of 1985 s. 3; No. 96 of 1990 s. 27; No. 42 of 2004 s. 150; No. 77 of 2006 Sch. 1 cl. 189(5) and (9).]</w:t>
      </w:r>
    </w:p>
    <w:p>
      <w:pPr>
        <w:pStyle w:val="Heading5"/>
        <w:rPr>
          <w:snapToGrid w:val="0"/>
        </w:rPr>
      </w:pPr>
      <w:bookmarkStart w:id="220" w:name="_Toc33534375"/>
      <w:r>
        <w:rPr>
          <w:rStyle w:val="CharSectno"/>
        </w:rPr>
        <w:t>108</w:t>
      </w:r>
      <w:r>
        <w:rPr>
          <w:snapToGrid w:val="0"/>
        </w:rPr>
        <w:t>.</w:t>
      </w:r>
      <w:r>
        <w:rPr>
          <w:snapToGrid w:val="0"/>
        </w:rPr>
        <w:tab/>
        <w:t>Levied contributions to General Account, amount of</w:t>
      </w:r>
      <w:bookmarkEnd w:id="220"/>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No. 42 of 2004 s. 150; No. 77 of 2006 Sch. 1 cl. 189(9).]</w:t>
      </w:r>
    </w:p>
    <w:p>
      <w:pPr>
        <w:pStyle w:val="Heading5"/>
        <w:rPr>
          <w:snapToGrid w:val="0"/>
        </w:rPr>
      </w:pPr>
      <w:bookmarkStart w:id="221" w:name="_Toc33534376"/>
      <w:r>
        <w:rPr>
          <w:rStyle w:val="CharSectno"/>
        </w:rPr>
        <w:t>109</w:t>
      </w:r>
      <w:r>
        <w:rPr>
          <w:snapToGrid w:val="0"/>
        </w:rPr>
        <w:t>.</w:t>
      </w:r>
      <w:r>
        <w:rPr>
          <w:snapToGrid w:val="0"/>
        </w:rPr>
        <w:tab/>
        <w:t xml:space="preserve">Insurers to contribute to General </w:t>
      </w:r>
      <w:r>
        <w:t>Account</w:t>
      </w:r>
      <w:bookmarkEnd w:id="221"/>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No. 44 of 1985 s. 25; No. 85 of 1986 s. 7; No. 34 of 1999 s. 57; No. 42 of 2004 s. 99 and 150; No. 77 of 2006 Sch. 1 cl. 189(9).]</w:t>
      </w:r>
    </w:p>
    <w:p>
      <w:pPr>
        <w:pStyle w:val="Heading3"/>
      </w:pPr>
      <w:bookmarkStart w:id="222" w:name="_Toc33534377"/>
      <w:r>
        <w:rPr>
          <w:rStyle w:val="CharDivNo"/>
        </w:rPr>
        <w:t>Division 4</w:t>
      </w:r>
      <w:r>
        <w:rPr>
          <w:snapToGrid w:val="0"/>
        </w:rPr>
        <w:t> — </w:t>
      </w:r>
      <w:r>
        <w:rPr>
          <w:rStyle w:val="CharDivText"/>
        </w:rPr>
        <w:t>Workers’ Compensation and Injury Management Trust Account</w:t>
      </w:r>
      <w:bookmarkEnd w:id="222"/>
    </w:p>
    <w:p>
      <w:pPr>
        <w:pStyle w:val="Footnoteheading"/>
        <w:rPr>
          <w:snapToGrid w:val="0"/>
        </w:rPr>
      </w:pPr>
      <w:r>
        <w:rPr>
          <w:snapToGrid w:val="0"/>
        </w:rPr>
        <w:tab/>
        <w:t>[Heading inserted: No. 86 of 1986 s. 7; amended: No. 42 of 2004 s. 100; No. 46 of 2009 s. 17.]</w:t>
      </w:r>
    </w:p>
    <w:p>
      <w:pPr>
        <w:pStyle w:val="Heading5"/>
        <w:rPr>
          <w:snapToGrid w:val="0"/>
        </w:rPr>
      </w:pPr>
      <w:bookmarkStart w:id="223" w:name="_Toc33534378"/>
      <w:r>
        <w:rPr>
          <w:rStyle w:val="CharSectno"/>
        </w:rPr>
        <w:t>110</w:t>
      </w:r>
      <w:r>
        <w:rPr>
          <w:snapToGrid w:val="0"/>
        </w:rPr>
        <w:t>.</w:t>
      </w:r>
      <w:r>
        <w:rPr>
          <w:snapToGrid w:val="0"/>
        </w:rPr>
        <w:tab/>
        <w:t xml:space="preserve">Trust </w:t>
      </w:r>
      <w:r>
        <w:t>Account, funds and purposes of</w:t>
      </w:r>
      <w:bookmarkEnd w:id="223"/>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t>(2)</w:t>
      </w:r>
      <w:r>
        <w:tab/>
        <w:t xml:space="preserve">There shall be credited to the Trust Account — </w:t>
      </w:r>
    </w:p>
    <w:p>
      <w:pPr>
        <w:pStyle w:val="Indenta"/>
      </w:pPr>
      <w:r>
        <w:tab/>
        <w:t>(a)</w:t>
      </w:r>
      <w:r>
        <w:tab/>
        <w:t>all moneys paid to WorkCover WA under section 72I(1)(a); and</w:t>
      </w:r>
    </w:p>
    <w:p>
      <w:pPr>
        <w:pStyle w:val="Indenta"/>
      </w:pPr>
      <w:r>
        <w:tab/>
        <w:t>(b)</w:t>
      </w:r>
      <w:r>
        <w:tab/>
        <w:t>all moneys paid to WorkCover WA under section 72J(2) or (5); and</w:t>
      </w:r>
    </w:p>
    <w:p>
      <w:pPr>
        <w:pStyle w:val="Indenta"/>
      </w:pPr>
      <w:r>
        <w:tab/>
        <w:t>(c)</w:t>
      </w:r>
      <w:r>
        <w:tab/>
        <w:t>all moneys paid to WorkCover WA under 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No. 86 of 1986 s. 10; No. 96 of 1990 s. 28; No. 48 of 1993 s. 28(1); No. 49 of 1996 s. 64; No. 34 of 1999 s. 36; No. 42 of 2004 s. 101 and 150; No. 77 of 2006 Sch. 1 cl. 189(6) and (9); No. 8 of 2018 s. 8.]</w:t>
      </w:r>
    </w:p>
    <w:p>
      <w:pPr>
        <w:pStyle w:val="Heading3"/>
      </w:pPr>
      <w:bookmarkStart w:id="224" w:name="_Toc33534379"/>
      <w:r>
        <w:rPr>
          <w:rStyle w:val="CharDivNo"/>
        </w:rPr>
        <w:t>Division 5</w:t>
      </w:r>
      <w:r>
        <w:rPr>
          <w:snapToGrid w:val="0"/>
        </w:rPr>
        <w:t> — </w:t>
      </w:r>
      <w:r>
        <w:rPr>
          <w:rStyle w:val="CharDivText"/>
        </w:rPr>
        <w:t>Ministerial control</w:t>
      </w:r>
      <w:bookmarkEnd w:id="224"/>
    </w:p>
    <w:p>
      <w:pPr>
        <w:pStyle w:val="Heading5"/>
        <w:rPr>
          <w:snapToGrid w:val="0"/>
        </w:rPr>
      </w:pPr>
      <w:bookmarkStart w:id="225" w:name="_Toc33534380"/>
      <w:r>
        <w:rPr>
          <w:rStyle w:val="CharSectno"/>
        </w:rPr>
        <w:t>111</w:t>
      </w:r>
      <w:r>
        <w:rPr>
          <w:snapToGrid w:val="0"/>
        </w:rPr>
        <w:t>.</w:t>
      </w:r>
      <w:r>
        <w:rPr>
          <w:snapToGrid w:val="0"/>
        </w:rPr>
        <w:tab/>
        <w:t>Minister may give WorkCover WA directions</w:t>
      </w:r>
      <w:bookmarkEnd w:id="225"/>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[Section 111 inserted: No. 72 of 1992 s. 14; amended: No. 42 of 2004 s. 102 and 150; No. 77 of 2006 Sch. 1 cl. 189(7).]</w:t>
      </w:r>
    </w:p>
    <w:p>
      <w:pPr>
        <w:pStyle w:val="Heading5"/>
        <w:rPr>
          <w:snapToGrid w:val="0"/>
        </w:rPr>
      </w:pPr>
      <w:bookmarkStart w:id="226" w:name="_Toc33534381"/>
      <w:r>
        <w:rPr>
          <w:rStyle w:val="CharSectno"/>
        </w:rPr>
        <w:t>111A</w:t>
      </w:r>
      <w:r>
        <w:rPr>
          <w:snapToGrid w:val="0"/>
        </w:rPr>
        <w:t>.</w:t>
      </w:r>
      <w:r>
        <w:rPr>
          <w:snapToGrid w:val="0"/>
        </w:rPr>
        <w:tab/>
        <w:t>Minister to have access to information</w:t>
      </w:r>
      <w:bookmarkEnd w:id="226"/>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No. 72 of 1992 s. 14; amended: No. 42 of 2004 s. 150.]</w:t>
      </w:r>
    </w:p>
    <w:p>
      <w:pPr>
        <w:pStyle w:val="Ednotepart"/>
        <w:ind w:left="1311" w:hanging="1311"/>
        <w:rPr>
          <w:iCs/>
        </w:rPr>
      </w:pPr>
      <w:r>
        <w:rPr>
          <w:iCs/>
        </w:rPr>
        <w:t>[Part VI:</w:t>
      </w:r>
      <w:r>
        <w:rPr>
          <w:iCs/>
        </w:rPr>
        <w:tab/>
        <w:t>s. 112</w:t>
      </w:r>
      <w:r>
        <w:rPr>
          <w:iCs/>
        </w:rPr>
        <w:noBreakHyphen/>
        <w:t>120 deleted: No. 42 of 2004 s. 103;</w:t>
      </w:r>
      <w:r>
        <w:rPr>
          <w:iCs/>
        </w:rPr>
        <w:br/>
        <w:t>s. 121</w:t>
      </w:r>
      <w:r>
        <w:rPr>
          <w:iCs/>
        </w:rPr>
        <w:noBreakHyphen/>
        <w:t>144 deleted: No. 48 of 1993 s. 24.]</w:t>
      </w:r>
    </w:p>
    <w:p>
      <w:pPr>
        <w:pStyle w:val="Heading2"/>
      </w:pPr>
      <w:bookmarkStart w:id="227" w:name="_Toc33534382"/>
      <w:r>
        <w:rPr>
          <w:rStyle w:val="CharPartNo"/>
        </w:rPr>
        <w:t>Part VII</w:t>
      </w:r>
      <w:r>
        <w:rPr>
          <w:b w:val="0"/>
        </w:rPr>
        <w:t> </w:t>
      </w:r>
      <w:r>
        <w:t>—</w:t>
      </w:r>
      <w:r>
        <w:rPr>
          <w:b w:val="0"/>
        </w:rPr>
        <w:t> </w:t>
      </w:r>
      <w:r>
        <w:rPr>
          <w:rStyle w:val="CharPartText"/>
        </w:rPr>
        <w:t>Medical assessment and assessment for specialised retraining programs</w:t>
      </w:r>
      <w:bookmarkEnd w:id="227"/>
    </w:p>
    <w:p>
      <w:pPr>
        <w:pStyle w:val="Footnoteheading"/>
      </w:pPr>
      <w:r>
        <w:tab/>
        <w:t>[Heading inserted: No. 42 of 2004 s. 104.]</w:t>
      </w:r>
    </w:p>
    <w:p>
      <w:pPr>
        <w:pStyle w:val="Heading3"/>
        <w:spacing w:before="200"/>
      </w:pPr>
      <w:bookmarkStart w:id="228" w:name="_Toc33534383"/>
      <w:r>
        <w:rPr>
          <w:rStyle w:val="CharDivNo"/>
        </w:rPr>
        <w:t>Division 1</w:t>
      </w:r>
      <w:r>
        <w:t> — </w:t>
      </w:r>
      <w:r>
        <w:rPr>
          <w:rStyle w:val="CharDivText"/>
        </w:rPr>
        <w:t>Medical assessment panels</w:t>
      </w:r>
      <w:bookmarkEnd w:id="228"/>
    </w:p>
    <w:p>
      <w:pPr>
        <w:pStyle w:val="Footnoteheading"/>
        <w:spacing w:before="100"/>
      </w:pPr>
      <w:r>
        <w:tab/>
        <w:t>[Heading inserted: No. 42 of 2004 s. 104.]</w:t>
      </w:r>
    </w:p>
    <w:p>
      <w:pPr>
        <w:pStyle w:val="Heading5"/>
      </w:pPr>
      <w:bookmarkStart w:id="229" w:name="_Toc33534384"/>
      <w:r>
        <w:rPr>
          <w:rStyle w:val="CharSectno"/>
        </w:rPr>
        <w:t>144</w:t>
      </w:r>
      <w:r>
        <w:t>.</w:t>
      </w:r>
      <w:r>
        <w:tab/>
        <w:t>Term used: relevant authority</w:t>
      </w:r>
      <w:bookmarkEnd w:id="229"/>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No. 31 of 2011 s. 31.]</w:t>
      </w:r>
    </w:p>
    <w:p>
      <w:pPr>
        <w:pStyle w:val="Heading5"/>
        <w:rPr>
          <w:snapToGrid w:val="0"/>
        </w:rPr>
      </w:pPr>
      <w:bookmarkStart w:id="230" w:name="_Toc33534385"/>
      <w:r>
        <w:rPr>
          <w:rStyle w:val="CharSectno"/>
        </w:rPr>
        <w:t>145</w:t>
      </w:r>
      <w:r>
        <w:rPr>
          <w:snapToGrid w:val="0"/>
        </w:rPr>
        <w:t>.</w:t>
      </w:r>
      <w:r>
        <w:rPr>
          <w:snapToGrid w:val="0"/>
        </w:rPr>
        <w:tab/>
        <w:t>Excluded jurisdiction of panels</w:t>
      </w:r>
      <w:bookmarkEnd w:id="230"/>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No. 48 of 1993 s. 25.]</w:t>
      </w:r>
    </w:p>
    <w:p>
      <w:pPr>
        <w:pStyle w:val="Heading5"/>
      </w:pPr>
      <w:bookmarkStart w:id="231" w:name="_Toc33534386"/>
      <w:r>
        <w:rPr>
          <w:rStyle w:val="CharSectno"/>
        </w:rPr>
        <w:t>145A</w:t>
      </w:r>
      <w:r>
        <w:t>.</w:t>
      </w:r>
      <w:r>
        <w:tab/>
        <w:t>Questions that may be referred to panels</w:t>
      </w:r>
      <w:bookmarkEnd w:id="231"/>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No. 48 of 1993 s. 25; amended: No. 34 of 1999 s. 37; No. 42 of 2004 s. 105; No. 31 of 2011 s. 32.]</w:t>
      </w:r>
    </w:p>
    <w:p>
      <w:pPr>
        <w:pStyle w:val="Heading5"/>
        <w:rPr>
          <w:snapToGrid w:val="0"/>
        </w:rPr>
      </w:pPr>
      <w:bookmarkStart w:id="232" w:name="_Toc33534387"/>
      <w:r>
        <w:rPr>
          <w:rStyle w:val="CharSectno"/>
        </w:rPr>
        <w:t>145B</w:t>
      </w:r>
      <w:r>
        <w:rPr>
          <w:snapToGrid w:val="0"/>
        </w:rPr>
        <w:t>.</w:t>
      </w:r>
      <w:r>
        <w:rPr>
          <w:snapToGrid w:val="0"/>
        </w:rPr>
        <w:tab/>
        <w:t>Register of eligible members of panels</w:t>
      </w:r>
      <w:bookmarkEnd w:id="232"/>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No. 48 of 1993 s. 25; amended: No. 31 of 2011 s. 33.]</w:t>
      </w:r>
    </w:p>
    <w:p>
      <w:pPr>
        <w:pStyle w:val="Heading5"/>
        <w:rPr>
          <w:snapToGrid w:val="0"/>
        </w:rPr>
      </w:pPr>
      <w:bookmarkStart w:id="233" w:name="_Toc33534388"/>
      <w:r>
        <w:rPr>
          <w:rStyle w:val="CharSectno"/>
        </w:rPr>
        <w:t>145C</w:t>
      </w:r>
      <w:r>
        <w:rPr>
          <w:snapToGrid w:val="0"/>
        </w:rPr>
        <w:t>.</w:t>
      </w:r>
      <w:r>
        <w:rPr>
          <w:snapToGrid w:val="0"/>
        </w:rPr>
        <w:tab/>
        <w:t>Constituting panels</w:t>
      </w:r>
      <w:bookmarkEnd w:id="233"/>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No. 48 of 1993 s. 25; amended: No. 34 of 1999 s. 38; No. 42 of 2004 s. 106; No. 31 of 2011 s. 34.]</w:t>
      </w:r>
    </w:p>
    <w:p>
      <w:pPr>
        <w:pStyle w:val="Heading5"/>
        <w:rPr>
          <w:snapToGrid w:val="0"/>
        </w:rPr>
      </w:pPr>
      <w:bookmarkStart w:id="234" w:name="_Toc33534389"/>
      <w:r>
        <w:rPr>
          <w:rStyle w:val="CharSectno"/>
        </w:rPr>
        <w:t>145D</w:t>
      </w:r>
      <w:r>
        <w:rPr>
          <w:snapToGrid w:val="0"/>
        </w:rPr>
        <w:t>.</w:t>
      </w:r>
      <w:r>
        <w:rPr>
          <w:snapToGrid w:val="0"/>
        </w:rPr>
        <w:tab/>
        <w:t>Procedure and powers of panels</w:t>
      </w:r>
      <w:bookmarkEnd w:id="234"/>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No. 48 of 1993 s. 25; amended: No. 42 of 2004 s. 107; No. 31 of 2011 s. 35.]</w:t>
      </w:r>
    </w:p>
    <w:p>
      <w:pPr>
        <w:pStyle w:val="Heading5"/>
        <w:rPr>
          <w:snapToGrid w:val="0"/>
        </w:rPr>
      </w:pPr>
      <w:bookmarkStart w:id="235" w:name="_Toc33534390"/>
      <w:r>
        <w:rPr>
          <w:rStyle w:val="CharSectno"/>
        </w:rPr>
        <w:t>145E</w:t>
      </w:r>
      <w:r>
        <w:rPr>
          <w:snapToGrid w:val="0"/>
        </w:rPr>
        <w:t>.</w:t>
      </w:r>
      <w:r>
        <w:rPr>
          <w:snapToGrid w:val="0"/>
        </w:rPr>
        <w:tab/>
        <w:t>Determinations</w:t>
      </w:r>
      <w:bookmarkEnd w:id="235"/>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No. 48 of 1993 s. 25; amended: No. 42 of 2004 s. 108; No. 31 of 2011 s. 36.]</w:t>
      </w:r>
    </w:p>
    <w:p>
      <w:pPr>
        <w:pStyle w:val="Heading5"/>
        <w:spacing w:before="200"/>
        <w:rPr>
          <w:snapToGrid w:val="0"/>
        </w:rPr>
      </w:pPr>
      <w:bookmarkStart w:id="236" w:name="_Toc33534391"/>
      <w:r>
        <w:rPr>
          <w:rStyle w:val="CharSectno"/>
        </w:rPr>
        <w:t>145F</w:t>
      </w:r>
      <w:r>
        <w:rPr>
          <w:snapToGrid w:val="0"/>
        </w:rPr>
        <w:t>.</w:t>
      </w:r>
      <w:r>
        <w:rPr>
          <w:snapToGrid w:val="0"/>
        </w:rPr>
        <w:tab/>
        <w:t>Reconsidering determinations</w:t>
      </w:r>
      <w:bookmarkEnd w:id="236"/>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No. 48 of 1993 s. 25; amended: No. 31 of 2011 s. 37.]</w:t>
      </w:r>
    </w:p>
    <w:p>
      <w:pPr>
        <w:pStyle w:val="Heading5"/>
        <w:spacing w:before="200"/>
        <w:rPr>
          <w:snapToGrid w:val="0"/>
        </w:rPr>
      </w:pPr>
      <w:bookmarkStart w:id="237" w:name="_Toc33534392"/>
      <w:r>
        <w:rPr>
          <w:rStyle w:val="CharSectno"/>
        </w:rPr>
        <w:t>145G</w:t>
      </w:r>
      <w:r>
        <w:rPr>
          <w:snapToGrid w:val="0"/>
        </w:rPr>
        <w:t>.</w:t>
      </w:r>
      <w:r>
        <w:rPr>
          <w:snapToGrid w:val="0"/>
        </w:rPr>
        <w:tab/>
        <w:t>Remuneration</w:t>
      </w:r>
      <w:bookmarkEnd w:id="237"/>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No. 48 of 1993 s. 25; amended: No. 49 of 1996 s. 64; No. 42 of 2004 s. 150; No. 77 of 2006 Sch. 1 cl. 189(9).]</w:t>
      </w:r>
    </w:p>
    <w:p>
      <w:pPr>
        <w:pStyle w:val="Heading3"/>
      </w:pPr>
      <w:bookmarkStart w:id="238" w:name="_Toc33534393"/>
      <w:r>
        <w:rPr>
          <w:rStyle w:val="CharDivNo"/>
        </w:rPr>
        <w:t>Division 2</w:t>
      </w:r>
      <w:r>
        <w:t> — </w:t>
      </w:r>
      <w:r>
        <w:rPr>
          <w:rStyle w:val="CharDivText"/>
        </w:rPr>
        <w:t>Assessing degree of impairment</w:t>
      </w:r>
      <w:bookmarkEnd w:id="238"/>
    </w:p>
    <w:p>
      <w:pPr>
        <w:pStyle w:val="Footnoteheading"/>
        <w:spacing w:before="100"/>
      </w:pPr>
      <w:r>
        <w:tab/>
        <w:t>[Heading inserted: No. 42 of 2004 s. 109.]</w:t>
      </w:r>
    </w:p>
    <w:p>
      <w:pPr>
        <w:pStyle w:val="Heading5"/>
      </w:pPr>
      <w:bookmarkStart w:id="239" w:name="_Toc33534394"/>
      <w:r>
        <w:rPr>
          <w:rStyle w:val="CharSectno"/>
        </w:rPr>
        <w:t>146</w:t>
      </w:r>
      <w:r>
        <w:t>.</w:t>
      </w:r>
      <w:r>
        <w:tab/>
        <w:t>Terms used</w:t>
      </w:r>
      <w:bookmarkEnd w:id="239"/>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No. 42 of 2004 s. 109.]</w:t>
      </w:r>
    </w:p>
    <w:p>
      <w:pPr>
        <w:pStyle w:val="Heading5"/>
      </w:pPr>
      <w:bookmarkStart w:id="240" w:name="_Toc33534395"/>
      <w:r>
        <w:rPr>
          <w:rStyle w:val="CharSectno"/>
        </w:rPr>
        <w:t>146A</w:t>
      </w:r>
      <w:r>
        <w:t>.</w:t>
      </w:r>
      <w:r>
        <w:tab/>
        <w:t>Evaluating degree of impairment generally</w:t>
      </w:r>
      <w:bookmarkEnd w:id="240"/>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No. 42 of 2004 s. 109.]</w:t>
      </w:r>
    </w:p>
    <w:p>
      <w:pPr>
        <w:pStyle w:val="Heading5"/>
      </w:pPr>
      <w:bookmarkStart w:id="241" w:name="_Toc33534396"/>
      <w:r>
        <w:rPr>
          <w:rStyle w:val="CharSectno"/>
        </w:rPr>
        <w:t>146B</w:t>
      </w:r>
      <w:r>
        <w:t>.</w:t>
      </w:r>
      <w:r>
        <w:tab/>
        <w:t>Evaluating degree of impairment for Part III Div. 2A</w:t>
      </w:r>
      <w:bookmarkEnd w:id="241"/>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No. 42 of 2004 s. 109.]</w:t>
      </w:r>
    </w:p>
    <w:p>
      <w:pPr>
        <w:pStyle w:val="Heading5"/>
      </w:pPr>
      <w:bookmarkStart w:id="242" w:name="_Toc33534397"/>
      <w:r>
        <w:rPr>
          <w:rStyle w:val="CharSectno"/>
        </w:rPr>
        <w:t>146C</w:t>
      </w:r>
      <w:r>
        <w:t>.</w:t>
      </w:r>
      <w:r>
        <w:tab/>
        <w:t>Evaluating degree of impairment for Part IV Div. 2 Subdiv. 3</w:t>
      </w:r>
      <w:bookmarkEnd w:id="242"/>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No. 42 of 2004 s. 109.]</w:t>
      </w:r>
    </w:p>
    <w:p>
      <w:pPr>
        <w:pStyle w:val="Heading5"/>
        <w:spacing w:before="240"/>
      </w:pPr>
      <w:bookmarkStart w:id="243" w:name="_Toc33534398"/>
      <w:r>
        <w:rPr>
          <w:rStyle w:val="CharSectno"/>
        </w:rPr>
        <w:t>146D</w:t>
      </w:r>
      <w:r>
        <w:t>.</w:t>
      </w:r>
      <w:r>
        <w:tab/>
        <w:t>Evaluating degree of impairment for Part IXA</w:t>
      </w:r>
      <w:bookmarkEnd w:id="243"/>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No. 42 of 2004 s. 109.]</w:t>
      </w:r>
    </w:p>
    <w:p>
      <w:pPr>
        <w:pStyle w:val="Heading5"/>
        <w:spacing w:before="240"/>
      </w:pPr>
      <w:bookmarkStart w:id="244" w:name="_Toc33534399"/>
      <w:r>
        <w:rPr>
          <w:rStyle w:val="CharSectno"/>
        </w:rPr>
        <w:t>146E</w:t>
      </w:r>
      <w:r>
        <w:t>.</w:t>
      </w:r>
      <w:r>
        <w:tab/>
        <w:t>Evaluating degree of impairment for cl. 18A</w:t>
      </w:r>
      <w:bookmarkEnd w:id="244"/>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No. 42 of 2004 s. 109.]</w:t>
      </w:r>
    </w:p>
    <w:p>
      <w:pPr>
        <w:pStyle w:val="Heading5"/>
      </w:pPr>
      <w:bookmarkStart w:id="245" w:name="_Toc33534400"/>
      <w:r>
        <w:rPr>
          <w:rStyle w:val="CharSectno"/>
        </w:rPr>
        <w:t>146F</w:t>
      </w:r>
      <w:r>
        <w:t>.</w:t>
      </w:r>
      <w:r>
        <w:tab/>
        <w:t>Approved medical specialists, designation of</w:t>
      </w:r>
      <w:bookmarkEnd w:id="245"/>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No. 42 of 2004 s. 109; amended: No. 31 of 2011 s. 38.]</w:t>
      </w:r>
    </w:p>
    <w:p>
      <w:pPr>
        <w:pStyle w:val="Heading5"/>
      </w:pPr>
      <w:bookmarkStart w:id="246" w:name="_Toc33534401"/>
      <w:r>
        <w:rPr>
          <w:rStyle w:val="CharSectno"/>
        </w:rPr>
        <w:t>146G</w:t>
      </w:r>
      <w:r>
        <w:t>.</w:t>
      </w:r>
      <w:r>
        <w:tab/>
        <w:t>Approved medical specialist, powers of</w:t>
      </w:r>
      <w:bookmarkEnd w:id="246"/>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No. 42 of 2004 s. 109.]</w:t>
      </w:r>
    </w:p>
    <w:p>
      <w:pPr>
        <w:pStyle w:val="Heading5"/>
        <w:spacing w:before="1000"/>
      </w:pPr>
      <w:bookmarkStart w:id="247" w:name="_Toc33534402"/>
      <w:r>
        <w:rPr>
          <w:rStyle w:val="CharSectno"/>
        </w:rPr>
        <w:t>146H</w:t>
      </w:r>
      <w:r>
        <w:t>.</w:t>
      </w:r>
      <w:r>
        <w:tab/>
        <w:t>Approved medical specialist, duties of after making assessment</w:t>
      </w:r>
      <w:bookmarkEnd w:id="247"/>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t>deleted]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No. 42 of 2004 s. 109; amended: No. 16 of 2005 s. 18; No. 31 of 2011 s. 100.]</w:t>
      </w:r>
    </w:p>
    <w:p>
      <w:pPr>
        <w:pStyle w:val="Heading5"/>
      </w:pPr>
      <w:bookmarkStart w:id="248" w:name="_Toc33534403"/>
      <w:r>
        <w:rPr>
          <w:rStyle w:val="CharSectno"/>
        </w:rPr>
        <w:t>146I</w:t>
      </w:r>
      <w:r>
        <w:t>.</w:t>
      </w:r>
      <w:r>
        <w:tab/>
        <w:t>WorkCover WA may give approved medical specialist information about worker</w:t>
      </w:r>
      <w:bookmarkEnd w:id="248"/>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No. 42 of 2004 s. 109.]</w:t>
      </w:r>
    </w:p>
    <w:p>
      <w:pPr>
        <w:pStyle w:val="Heading5"/>
      </w:pPr>
      <w:bookmarkStart w:id="249" w:name="_Toc33534404"/>
      <w:r>
        <w:rPr>
          <w:rStyle w:val="CharSectno"/>
        </w:rPr>
        <w:t>146J</w:t>
      </w:r>
      <w:r>
        <w:t>.</w:t>
      </w:r>
      <w:r>
        <w:tab/>
        <w:t>Decisions of approved medical specialist not reviewable</w:t>
      </w:r>
      <w:bookmarkEnd w:id="249"/>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No. 42 of 2004 s. 109.]</w:t>
      </w:r>
    </w:p>
    <w:p>
      <w:pPr>
        <w:pStyle w:val="Heading3"/>
      </w:pPr>
      <w:bookmarkStart w:id="250" w:name="_Toc33534405"/>
      <w:r>
        <w:rPr>
          <w:rStyle w:val="CharDivNo"/>
        </w:rPr>
        <w:t>Division 3</w:t>
      </w:r>
      <w:r>
        <w:t> — </w:t>
      </w:r>
      <w:r>
        <w:rPr>
          <w:rStyle w:val="CharDivText"/>
        </w:rPr>
        <w:t>Approved medical specialist panels</w:t>
      </w:r>
      <w:bookmarkEnd w:id="250"/>
    </w:p>
    <w:p>
      <w:pPr>
        <w:pStyle w:val="Footnoteheading"/>
        <w:spacing w:before="100"/>
      </w:pPr>
      <w:r>
        <w:tab/>
        <w:t>[Heading inserted: No. 42 of 2004 s. 109.]</w:t>
      </w:r>
    </w:p>
    <w:p>
      <w:pPr>
        <w:pStyle w:val="Heading5"/>
      </w:pPr>
      <w:bookmarkStart w:id="251" w:name="_Toc33534406"/>
      <w:r>
        <w:rPr>
          <w:rStyle w:val="CharSectno"/>
        </w:rPr>
        <w:t>146K</w:t>
      </w:r>
      <w:r>
        <w:t>.</w:t>
      </w:r>
      <w:r>
        <w:tab/>
        <w:t>Constituting panels</w:t>
      </w:r>
      <w:bookmarkEnd w:id="251"/>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r>
        <w:tab/>
        <w:t>[Section 146K inserted: No. 42 of 2004 s. 109; amended: No. 31 of 2011 s. 75.]</w:t>
      </w:r>
    </w:p>
    <w:p>
      <w:pPr>
        <w:pStyle w:val="Heading5"/>
        <w:spacing w:before="180"/>
      </w:pPr>
      <w:bookmarkStart w:id="252" w:name="_Toc33534407"/>
      <w:r>
        <w:rPr>
          <w:rStyle w:val="CharSectno"/>
        </w:rPr>
        <w:t>146L</w:t>
      </w:r>
      <w:r>
        <w:t>.</w:t>
      </w:r>
      <w:r>
        <w:tab/>
        <w:t>Procedure and powers of panels</w:t>
      </w:r>
      <w:bookmarkEnd w:id="252"/>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No. 42 of 2004 s. 109.]</w:t>
      </w:r>
    </w:p>
    <w:p>
      <w:pPr>
        <w:pStyle w:val="Heading5"/>
      </w:pPr>
      <w:bookmarkStart w:id="253" w:name="_Toc33534408"/>
      <w:r>
        <w:rPr>
          <w:rStyle w:val="CharSectno"/>
        </w:rPr>
        <w:t>146M</w:t>
      </w:r>
      <w:r>
        <w:t>.</w:t>
      </w:r>
      <w:r>
        <w:tab/>
        <w:t>Failure to comply with requirement of panel</w:t>
      </w:r>
      <w:bookmarkEnd w:id="253"/>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No. 42 of 2004 s. 109; amended: No. 31 of 2011 s. 39.]</w:t>
      </w:r>
    </w:p>
    <w:p>
      <w:pPr>
        <w:pStyle w:val="Heading5"/>
      </w:pPr>
      <w:bookmarkStart w:id="254" w:name="_Toc33534409"/>
      <w:r>
        <w:rPr>
          <w:rStyle w:val="CharSectno"/>
        </w:rPr>
        <w:t>146N</w:t>
      </w:r>
      <w:r>
        <w:t>.</w:t>
      </w:r>
      <w:r>
        <w:tab/>
        <w:t>How panel to assess degree of impairment</w:t>
      </w:r>
      <w:bookmarkEnd w:id="254"/>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No. 42 of 2004 s. 109.]</w:t>
      </w:r>
    </w:p>
    <w:p>
      <w:pPr>
        <w:pStyle w:val="Heading5"/>
      </w:pPr>
      <w:bookmarkStart w:id="255" w:name="_Toc33534410"/>
      <w:r>
        <w:rPr>
          <w:rStyle w:val="CharSectno"/>
        </w:rPr>
        <w:t>146O</w:t>
      </w:r>
      <w:r>
        <w:t>.</w:t>
      </w:r>
      <w:r>
        <w:tab/>
        <w:t>Duties of panel after making assessment</w:t>
      </w:r>
      <w:bookmarkEnd w:id="255"/>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either of the documents described in subsection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No. 42 of 2004 s. 109; amended: No. 16 of 2005 s. 19; No. 31 of 2011 s. 75; No. 8 of 2018 s. 15.]</w:t>
      </w:r>
    </w:p>
    <w:p>
      <w:pPr>
        <w:pStyle w:val="Heading5"/>
      </w:pPr>
      <w:bookmarkStart w:id="256" w:name="_Toc33534411"/>
      <w:r>
        <w:rPr>
          <w:rStyle w:val="CharSectno"/>
        </w:rPr>
        <w:t>146P</w:t>
      </w:r>
      <w:r>
        <w:t>.</w:t>
      </w:r>
      <w:r>
        <w:tab/>
        <w:t>No assessment without unanimous agreement</w:t>
      </w:r>
      <w:bookmarkEnd w:id="256"/>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No. 42 of 2004 s. 109.]</w:t>
      </w:r>
    </w:p>
    <w:p>
      <w:pPr>
        <w:pStyle w:val="Heading5"/>
      </w:pPr>
      <w:bookmarkStart w:id="257" w:name="_Toc33534412"/>
      <w:r>
        <w:rPr>
          <w:rStyle w:val="CharSectno"/>
        </w:rPr>
        <w:t>146Q</w:t>
      </w:r>
      <w:r>
        <w:t>.</w:t>
      </w:r>
      <w:r>
        <w:tab/>
        <w:t>Remuneration</w:t>
      </w:r>
      <w:bookmarkEnd w:id="257"/>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r>
        <w:tab/>
        <w:t>[Section 146Q inserted: No. 42 of 2004 s. 109; amended: No. 77 of 2006 Sch. 1 cl. 189(9).]</w:t>
      </w:r>
    </w:p>
    <w:p>
      <w:pPr>
        <w:pStyle w:val="Heading3"/>
        <w:keepLines/>
      </w:pPr>
      <w:bookmarkStart w:id="258" w:name="_Toc33534413"/>
      <w:r>
        <w:rPr>
          <w:rStyle w:val="CharDivNo"/>
        </w:rPr>
        <w:t>Division 4</w:t>
      </w:r>
      <w:r>
        <w:t xml:space="preserve"> — </w:t>
      </w:r>
      <w:r>
        <w:rPr>
          <w:rStyle w:val="CharDivText"/>
        </w:rPr>
        <w:t>WorkCover Guides</w:t>
      </w:r>
      <w:bookmarkEnd w:id="258"/>
    </w:p>
    <w:p>
      <w:pPr>
        <w:pStyle w:val="Footnoteheading"/>
        <w:keepNext/>
        <w:keepLines/>
      </w:pPr>
      <w:r>
        <w:tab/>
        <w:t>[Heading inserted: No. 42 of 2004 s. 109.]</w:t>
      </w:r>
    </w:p>
    <w:p>
      <w:pPr>
        <w:pStyle w:val="Heading5"/>
      </w:pPr>
      <w:bookmarkStart w:id="259" w:name="_Toc33534414"/>
      <w:r>
        <w:rPr>
          <w:rStyle w:val="CharSectno"/>
        </w:rPr>
        <w:t>146R</w:t>
      </w:r>
      <w:r>
        <w:t>.</w:t>
      </w:r>
      <w:r>
        <w:tab/>
        <w:t>WorkCover Guides, issue of</w:t>
      </w:r>
      <w:bookmarkEnd w:id="259"/>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No. 42 of 2004 s. 109.]</w:t>
      </w:r>
    </w:p>
    <w:p>
      <w:pPr>
        <w:pStyle w:val="Heading3"/>
      </w:pPr>
      <w:bookmarkStart w:id="260" w:name="_Toc33534415"/>
      <w:r>
        <w:rPr>
          <w:rStyle w:val="CharDivNo"/>
        </w:rPr>
        <w:t>Division 5</w:t>
      </w:r>
      <w:r>
        <w:t> — </w:t>
      </w:r>
      <w:r>
        <w:rPr>
          <w:rStyle w:val="CharDivText"/>
        </w:rPr>
        <w:t>Assessment for specialised retraining programs</w:t>
      </w:r>
      <w:bookmarkEnd w:id="260"/>
    </w:p>
    <w:p>
      <w:pPr>
        <w:pStyle w:val="Footnoteheading"/>
      </w:pPr>
      <w:r>
        <w:tab/>
        <w:t>[Heading inserted: No. 42 of 2004 s. 110.]</w:t>
      </w:r>
    </w:p>
    <w:p>
      <w:pPr>
        <w:pStyle w:val="Heading5"/>
      </w:pPr>
      <w:bookmarkStart w:id="261" w:name="_Toc33534416"/>
      <w:r>
        <w:rPr>
          <w:rStyle w:val="CharSectno"/>
        </w:rPr>
        <w:t>146S</w:t>
      </w:r>
      <w:r>
        <w:t>.</w:t>
      </w:r>
      <w:r>
        <w:tab/>
        <w:t>Register of eligible members of specialised retraining assessment panels</w:t>
      </w:r>
      <w:bookmarkEnd w:id="261"/>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No. 42 of 2004 s. 110; amended: No. 31 of 2011 s. 40.]</w:t>
      </w:r>
    </w:p>
    <w:p>
      <w:pPr>
        <w:pStyle w:val="Heading5"/>
      </w:pPr>
      <w:bookmarkStart w:id="262" w:name="_Toc33534417"/>
      <w:r>
        <w:rPr>
          <w:rStyle w:val="CharSectno"/>
        </w:rPr>
        <w:t>146T</w:t>
      </w:r>
      <w:r>
        <w:t>.</w:t>
      </w:r>
      <w:r>
        <w:tab/>
        <w:t>Specialised retraining assessment panel, constituting</w:t>
      </w:r>
      <w:bookmarkEnd w:id="262"/>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No. 42 of 2004 s. 110; amended: No. 31 of 2011 s. 75.]</w:t>
      </w:r>
    </w:p>
    <w:p>
      <w:pPr>
        <w:pStyle w:val="Heading5"/>
        <w:spacing w:before="240"/>
      </w:pPr>
      <w:bookmarkStart w:id="263" w:name="_Toc33534418"/>
      <w:r>
        <w:rPr>
          <w:rStyle w:val="CharSectno"/>
        </w:rPr>
        <w:t>146U</w:t>
      </w:r>
      <w:r>
        <w:t>.</w:t>
      </w:r>
      <w:r>
        <w:tab/>
        <w:t>Procedure and powers of panels</w:t>
      </w:r>
      <w:bookmarkEnd w:id="263"/>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No. 42 of 2004 s. 110.]</w:t>
      </w:r>
    </w:p>
    <w:p>
      <w:pPr>
        <w:pStyle w:val="Heading5"/>
      </w:pPr>
      <w:bookmarkStart w:id="264" w:name="_Toc33534419"/>
      <w:r>
        <w:rPr>
          <w:rStyle w:val="CharSectno"/>
        </w:rPr>
        <w:t>146V</w:t>
      </w:r>
      <w:r>
        <w:t>.</w:t>
      </w:r>
      <w:r>
        <w:tab/>
        <w:t>Assessments by panels</w:t>
      </w:r>
      <w:bookmarkEnd w:id="264"/>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No. 42 of 2004 s. 110; amended: No. 31 of 2011 s. 75.]</w:t>
      </w:r>
    </w:p>
    <w:p>
      <w:pPr>
        <w:pStyle w:val="Heading5"/>
      </w:pPr>
      <w:bookmarkStart w:id="265" w:name="_Toc33534420"/>
      <w:r>
        <w:rPr>
          <w:rStyle w:val="CharSectno"/>
        </w:rPr>
        <w:t>146W</w:t>
      </w:r>
      <w:r>
        <w:t>.</w:t>
      </w:r>
      <w:r>
        <w:tab/>
        <w:t>Remuneration</w:t>
      </w:r>
      <w:bookmarkEnd w:id="265"/>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No. 42 of 2004 s. 110; amended: No. 77 of 2006 Sch. 1 cl. 189(9).]</w:t>
      </w:r>
    </w:p>
    <w:p>
      <w:pPr>
        <w:pStyle w:val="Heading2"/>
      </w:pPr>
      <w:bookmarkStart w:id="266" w:name="_Toc33534421"/>
      <w:r>
        <w:rPr>
          <w:rStyle w:val="CharPartNo"/>
        </w:rPr>
        <w:t>Part VIII</w:t>
      </w:r>
      <w:r>
        <w:rPr>
          <w:rStyle w:val="CharDivNo"/>
        </w:rPr>
        <w:t> </w:t>
      </w:r>
      <w:r>
        <w:t>—</w:t>
      </w:r>
      <w:r>
        <w:rPr>
          <w:rStyle w:val="CharDivText"/>
        </w:rPr>
        <w:t> </w:t>
      </w:r>
      <w:r>
        <w:rPr>
          <w:rStyle w:val="CharPartText"/>
        </w:rPr>
        <w:t>Premium rates</w:t>
      </w:r>
      <w:bookmarkEnd w:id="266"/>
    </w:p>
    <w:p>
      <w:pPr>
        <w:pStyle w:val="Footnoteheading"/>
        <w:tabs>
          <w:tab w:val="left" w:pos="851"/>
        </w:tabs>
      </w:pPr>
      <w:r>
        <w:tab/>
        <w:t>[Heading amended: No. 42 of 2004 s. 111.]</w:t>
      </w:r>
    </w:p>
    <w:p>
      <w:pPr>
        <w:pStyle w:val="Ednotesection"/>
        <w:tabs>
          <w:tab w:val="clear" w:pos="893"/>
          <w:tab w:val="left" w:pos="1254"/>
        </w:tabs>
        <w:outlineLvl w:val="9"/>
        <w:rPr>
          <w:b/>
        </w:rPr>
      </w:pPr>
      <w:r>
        <w:t>[</w:t>
      </w:r>
      <w:r>
        <w:rPr>
          <w:b/>
        </w:rPr>
        <w:t>147</w:t>
      </w:r>
      <w:r>
        <w:rPr>
          <w:b/>
        </w:rPr>
        <w:noBreakHyphen/>
        <w:t>150.</w:t>
      </w:r>
      <w:r>
        <w:rPr>
          <w:b/>
        </w:rPr>
        <w:tab/>
      </w:r>
      <w:r>
        <w:t>Deleted: No. 42 of 2004 s. 112.]</w:t>
      </w:r>
    </w:p>
    <w:p>
      <w:pPr>
        <w:pStyle w:val="Heading5"/>
        <w:rPr>
          <w:snapToGrid w:val="0"/>
        </w:rPr>
      </w:pPr>
      <w:bookmarkStart w:id="267" w:name="_Toc33534422"/>
      <w:r>
        <w:rPr>
          <w:rStyle w:val="CharSectno"/>
        </w:rPr>
        <w:t>151</w:t>
      </w:r>
      <w:r>
        <w:rPr>
          <w:snapToGrid w:val="0"/>
        </w:rPr>
        <w:t>.</w:t>
      </w:r>
      <w:r>
        <w:rPr>
          <w:snapToGrid w:val="0"/>
        </w:rPr>
        <w:tab/>
        <w:t>Premium rates for insurance, fixing of</w:t>
      </w:r>
      <w:bookmarkEnd w:id="267"/>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[Section 151 amended: No. 44 of 1985 s. 30; No. 96 of 1990 s. 30; No. 42 of 2004 s. 113 and 153; No. 31 of 2011 s. 101.]</w:t>
      </w:r>
    </w:p>
    <w:p>
      <w:pPr>
        <w:pStyle w:val="Heading5"/>
        <w:rPr>
          <w:snapToGrid w:val="0"/>
        </w:rPr>
      </w:pPr>
      <w:bookmarkStart w:id="268" w:name="_Toc33534423"/>
      <w:r>
        <w:rPr>
          <w:rStyle w:val="CharSectno"/>
        </w:rPr>
        <w:t>151A</w:t>
      </w:r>
      <w:r>
        <w:rPr>
          <w:snapToGrid w:val="0"/>
        </w:rPr>
        <w:t>.</w:t>
      </w:r>
      <w:r>
        <w:rPr>
          <w:snapToGrid w:val="0"/>
        </w:rPr>
        <w:tab/>
        <w:t>Report as to premium rates</w:t>
      </w:r>
      <w:bookmarkEnd w:id="268"/>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No. 96 of 1990 s. 31; amended: No. 42 of 2004 s. 153.]</w:t>
      </w:r>
    </w:p>
    <w:p>
      <w:pPr>
        <w:pStyle w:val="Heading5"/>
      </w:pPr>
      <w:bookmarkStart w:id="269" w:name="_Toc33534424"/>
      <w:r>
        <w:rPr>
          <w:rStyle w:val="CharSectno"/>
        </w:rPr>
        <w:t>152</w:t>
      </w:r>
      <w:r>
        <w:t>.</w:t>
      </w:r>
      <w:r>
        <w:tab/>
        <w:t>Loading not to exceed 75% unless WorkCover WA permits</w:t>
      </w:r>
      <w:bookmarkEnd w:id="269"/>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No. 34 of 1999 s. 40; amended: No. 42 of 2004 s. 114(1), (2) and 150.]</w:t>
      </w:r>
    </w:p>
    <w:p>
      <w:pPr>
        <w:pStyle w:val="Heading5"/>
        <w:rPr>
          <w:snapToGrid w:val="0"/>
        </w:rPr>
      </w:pPr>
      <w:bookmarkStart w:id="270" w:name="_Toc33534425"/>
      <w:r>
        <w:rPr>
          <w:rStyle w:val="CharSectno"/>
        </w:rPr>
        <w:t>153</w:t>
      </w:r>
      <w:r>
        <w:t>.</w:t>
      </w:r>
      <w:r>
        <w:tab/>
      </w:r>
      <w:r>
        <w:rPr>
          <w:snapToGrid w:val="0"/>
        </w:rPr>
        <w:t>Setting maximum loading or discount</w:t>
      </w:r>
      <w:bookmarkEnd w:id="270"/>
    </w:p>
    <w:p>
      <w:pPr>
        <w:pStyle w:val="Subsection"/>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pPr>
      <w:r>
        <w:tab/>
        <w:t>[Section 153 amended: No. 42 of 2004 s. 115 and 150.]</w:t>
      </w:r>
    </w:p>
    <w:p>
      <w:pPr>
        <w:pStyle w:val="Heading5"/>
        <w:rPr>
          <w:snapToGrid w:val="0"/>
        </w:rPr>
      </w:pPr>
      <w:bookmarkStart w:id="271" w:name="_Toc33534426"/>
      <w:r>
        <w:rPr>
          <w:rStyle w:val="CharSectno"/>
        </w:rPr>
        <w:t>153A</w:t>
      </w:r>
      <w:r>
        <w:rPr>
          <w:snapToGrid w:val="0"/>
        </w:rPr>
        <w:t>.</w:t>
      </w:r>
      <w:r>
        <w:rPr>
          <w:snapToGrid w:val="0"/>
        </w:rPr>
        <w:tab/>
        <w:t>Minimum premiums</w:t>
      </w:r>
      <w:bookmarkEnd w:id="271"/>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No. 33 of 1986 s. 6; amended: No. 42 of 2004 s. 153.]</w:t>
      </w:r>
    </w:p>
    <w:p>
      <w:pPr>
        <w:pStyle w:val="Heading5"/>
        <w:rPr>
          <w:snapToGrid w:val="0"/>
        </w:rPr>
      </w:pPr>
      <w:bookmarkStart w:id="272" w:name="_Toc33534427"/>
      <w:r>
        <w:rPr>
          <w:rStyle w:val="CharSectno"/>
        </w:rPr>
        <w:t>154</w:t>
      </w:r>
      <w:r>
        <w:rPr>
          <w:snapToGrid w:val="0"/>
        </w:rPr>
        <w:t>.</w:t>
      </w:r>
      <w:r>
        <w:rPr>
          <w:snapToGrid w:val="0"/>
        </w:rPr>
        <w:tab/>
        <w:t>Appeals by employers</w:t>
      </w:r>
      <w:bookmarkEnd w:id="272"/>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No. 51 of 1986 s. 46(2); No. 96 of 1990 s. 32; No. 34 of 1999 s. 41; No. 42 of 2004 s. 116, 150 and 153; No. 19 of 2010 s. 51.]</w:t>
      </w:r>
    </w:p>
    <w:p>
      <w:pPr>
        <w:pStyle w:val="Heading5"/>
      </w:pPr>
      <w:bookmarkStart w:id="273" w:name="_Toc33534428"/>
      <w:r>
        <w:rPr>
          <w:rStyle w:val="CharSectno"/>
        </w:rPr>
        <w:t>154A</w:t>
      </w:r>
      <w:r>
        <w:t>.</w:t>
      </w:r>
      <w:r>
        <w:tab/>
        <w:t>Regulations as to insurers informing employers</w:t>
      </w:r>
      <w:bookmarkEnd w:id="273"/>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No. 42 of 2004 s. 117.]</w:t>
      </w:r>
    </w:p>
    <w:p>
      <w:pPr>
        <w:pStyle w:val="Heading5"/>
      </w:pPr>
      <w:bookmarkStart w:id="274" w:name="_Toc33534429"/>
      <w:r>
        <w:rPr>
          <w:rStyle w:val="CharSectno"/>
        </w:rPr>
        <w:t>154AB</w:t>
      </w:r>
      <w:r>
        <w:t>.</w:t>
      </w:r>
      <w:r>
        <w:tab/>
        <w:t>Minister may give directions as to fixing premium rates</w:t>
      </w:r>
      <w:bookmarkEnd w:id="274"/>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No. 42 of 2004 s. 117.]</w:t>
      </w:r>
    </w:p>
    <w:p>
      <w:pPr>
        <w:pStyle w:val="Heading5"/>
      </w:pPr>
      <w:bookmarkStart w:id="275" w:name="_Toc33534430"/>
      <w:r>
        <w:rPr>
          <w:rStyle w:val="CharSectno"/>
        </w:rPr>
        <w:t>154AC</w:t>
      </w:r>
      <w:r>
        <w:t>.</w:t>
      </w:r>
      <w:r>
        <w:tab/>
        <w:t>Regulations for subsidy from Supplementation Fund</w:t>
      </w:r>
      <w:bookmarkEnd w:id="275"/>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No. 35 of 2004 s. 11; amended: No. 42 of 2004 s. 150.]</w:t>
      </w:r>
    </w:p>
    <w:p>
      <w:pPr>
        <w:pStyle w:val="Heading2"/>
      </w:pPr>
      <w:bookmarkStart w:id="276" w:name="_Toc33534431"/>
      <w:r>
        <w:rPr>
          <w:rStyle w:val="CharPartNo"/>
        </w:rPr>
        <w:t>Part IX</w:t>
      </w:r>
      <w:r>
        <w:rPr>
          <w:b w:val="0"/>
        </w:rPr>
        <w:t> </w:t>
      </w:r>
      <w:r>
        <w:t>—</w:t>
      </w:r>
      <w:r>
        <w:rPr>
          <w:b w:val="0"/>
        </w:rPr>
        <w:t> </w:t>
      </w:r>
      <w:r>
        <w:rPr>
          <w:rStyle w:val="CharPartText"/>
        </w:rPr>
        <w:t>Injury management</w:t>
      </w:r>
      <w:bookmarkEnd w:id="276"/>
    </w:p>
    <w:p>
      <w:pPr>
        <w:pStyle w:val="Footnoteheading"/>
      </w:pPr>
      <w:r>
        <w:tab/>
        <w:t>[Heading inserted: No. 42 of 2004 s. 118.]</w:t>
      </w:r>
    </w:p>
    <w:p>
      <w:pPr>
        <w:pStyle w:val="Heading5"/>
      </w:pPr>
      <w:bookmarkStart w:id="277" w:name="_Toc33534432"/>
      <w:r>
        <w:rPr>
          <w:rStyle w:val="CharSectno"/>
        </w:rPr>
        <w:t>155</w:t>
      </w:r>
      <w:r>
        <w:t>.</w:t>
      </w:r>
      <w:r>
        <w:tab/>
        <w:t>Terms used</w:t>
      </w:r>
      <w:bookmarkEnd w:id="277"/>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No. 42 of 2004 s. 118.]</w:t>
      </w:r>
    </w:p>
    <w:p>
      <w:pPr>
        <w:pStyle w:val="Heading5"/>
      </w:pPr>
      <w:bookmarkStart w:id="278" w:name="_Toc33534433"/>
      <w:r>
        <w:rPr>
          <w:rStyle w:val="CharSectno"/>
        </w:rPr>
        <w:t>155A</w:t>
      </w:r>
      <w:r>
        <w:t>.</w:t>
      </w:r>
      <w:r>
        <w:tab/>
        <w:t>Code of practice (injury management)</w:t>
      </w:r>
      <w:bookmarkEnd w:id="278"/>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 relating to injury management as WorkCover WA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No. 42 of 2004 s. 118.]</w:t>
      </w:r>
    </w:p>
    <w:p>
      <w:pPr>
        <w:pStyle w:val="Heading5"/>
        <w:spacing w:before="180"/>
      </w:pPr>
      <w:bookmarkStart w:id="279" w:name="_Toc33534434"/>
      <w:r>
        <w:rPr>
          <w:rStyle w:val="CharSectno"/>
        </w:rPr>
        <w:t>155B</w:t>
      </w:r>
      <w:r>
        <w:t>.</w:t>
      </w:r>
      <w:r>
        <w:tab/>
        <w:t>Injury management system, employers’ duties as to</w:t>
      </w:r>
      <w:bookmarkEnd w:id="279"/>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No. 42 of 2004 s. 118.]</w:t>
      </w:r>
    </w:p>
    <w:p>
      <w:pPr>
        <w:pStyle w:val="Heading5"/>
        <w:spacing w:before="180"/>
      </w:pPr>
      <w:bookmarkStart w:id="280" w:name="_Toc33534435"/>
      <w:r>
        <w:rPr>
          <w:rStyle w:val="CharSectno"/>
        </w:rPr>
        <w:t>155C</w:t>
      </w:r>
      <w:r>
        <w:t>.</w:t>
      </w:r>
      <w:r>
        <w:tab/>
        <w:t>Return to work programs, employers’ duties as to</w:t>
      </w:r>
      <w:bookmarkEnd w:id="280"/>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No. 42 of 2004 s. 118.]</w:t>
      </w:r>
    </w:p>
    <w:p>
      <w:pPr>
        <w:pStyle w:val="Heading5"/>
      </w:pPr>
      <w:bookmarkStart w:id="281" w:name="_Toc33534436"/>
      <w:r>
        <w:rPr>
          <w:rStyle w:val="CharSectno"/>
        </w:rPr>
        <w:t>155D</w:t>
      </w:r>
      <w:r>
        <w:t>.</w:t>
      </w:r>
      <w:r>
        <w:tab/>
        <w:t>Insurers’ duties</w:t>
      </w:r>
      <w:bookmarkEnd w:id="281"/>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No. 42 of 2004 s. 118.]</w:t>
      </w:r>
    </w:p>
    <w:p>
      <w:pPr>
        <w:pStyle w:val="Heading5"/>
      </w:pPr>
      <w:bookmarkStart w:id="282" w:name="_Toc33534437"/>
      <w:r>
        <w:rPr>
          <w:rStyle w:val="CharSectno"/>
        </w:rPr>
        <w:t>155E</w:t>
      </w:r>
      <w:r>
        <w:t>.</w:t>
      </w:r>
      <w:r>
        <w:tab/>
        <w:t>Return to work programs, WorkCover WA’s powers as to</w:t>
      </w:r>
      <w:bookmarkEnd w:id="282"/>
    </w:p>
    <w:p>
      <w:pPr>
        <w:pStyle w:val="Subsection"/>
        <w:spacing w:before="140"/>
      </w:pPr>
      <w:r>
        <w:tab/>
      </w:r>
      <w:r>
        <w:tab/>
        <w:t xml:space="preserve">If WorkCover WA is of the opinion that a worker’s injury should be reviewed to determine whether a return to work program should be established for the worker, WorkCover WA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No. 31 of 2011 s. 102.]</w:t>
      </w:r>
    </w:p>
    <w:p>
      <w:pPr>
        <w:pStyle w:val="Heading5"/>
        <w:spacing w:before="180"/>
        <w:rPr>
          <w:snapToGrid w:val="0"/>
        </w:rPr>
      </w:pPr>
      <w:bookmarkStart w:id="283" w:name="_Toc33534438"/>
      <w:r>
        <w:rPr>
          <w:rStyle w:val="CharSectno"/>
        </w:rPr>
        <w:t>156</w:t>
      </w:r>
      <w:r>
        <w:rPr>
          <w:snapToGrid w:val="0"/>
        </w:rPr>
        <w:t>.</w:t>
      </w:r>
      <w:r>
        <w:rPr>
          <w:snapToGrid w:val="0"/>
        </w:rPr>
        <w:tab/>
        <w:t>Vocational rehabilitation providers, approval of</w:t>
      </w:r>
      <w:bookmarkEnd w:id="283"/>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No. 42 of 2004 s. 118.]</w:t>
      </w:r>
    </w:p>
    <w:p>
      <w:pPr>
        <w:pStyle w:val="Heading5"/>
      </w:pPr>
      <w:bookmarkStart w:id="284" w:name="_Toc33534439"/>
      <w:r>
        <w:rPr>
          <w:rStyle w:val="CharSectno"/>
        </w:rPr>
        <w:t>156A</w:t>
      </w:r>
      <w:r>
        <w:t>.</w:t>
      </w:r>
      <w:r>
        <w:tab/>
        <w:t>Vocational rehabilitation providers, information as to and fees of</w:t>
      </w:r>
      <w:bookmarkEnd w:id="284"/>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No. 42 of 2004 s. 118.]</w:t>
      </w:r>
    </w:p>
    <w:p>
      <w:pPr>
        <w:pStyle w:val="Heading5"/>
        <w:rPr>
          <w:snapToGrid w:val="0"/>
        </w:rPr>
      </w:pPr>
      <w:bookmarkStart w:id="285" w:name="_Toc33534440"/>
      <w:r>
        <w:rPr>
          <w:rStyle w:val="CharSectno"/>
        </w:rPr>
        <w:t>156B</w:t>
      </w:r>
      <w:r>
        <w:rPr>
          <w:snapToGrid w:val="0"/>
        </w:rPr>
        <w:t>.</w:t>
      </w:r>
      <w:r>
        <w:rPr>
          <w:snapToGrid w:val="0"/>
        </w:rPr>
        <w:tab/>
        <w:t>Arbitrators’ powers as to return to work programs</w:t>
      </w:r>
      <w:bookmarkEnd w:id="285"/>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No. 42 of 2004 s. 118.]</w:t>
      </w:r>
    </w:p>
    <w:p>
      <w:pPr>
        <w:pStyle w:val="Heading5"/>
        <w:rPr>
          <w:snapToGrid w:val="0"/>
        </w:rPr>
      </w:pPr>
      <w:bookmarkStart w:id="286" w:name="_Toc33534441"/>
      <w:r>
        <w:rPr>
          <w:rStyle w:val="CharSectno"/>
        </w:rPr>
        <w:t>157</w:t>
      </w:r>
      <w:r>
        <w:rPr>
          <w:snapToGrid w:val="0"/>
        </w:rPr>
        <w:t>.</w:t>
      </w:r>
      <w:r>
        <w:rPr>
          <w:snapToGrid w:val="0"/>
        </w:rPr>
        <w:tab/>
        <w:t>Information about injury management</w:t>
      </w:r>
      <w:bookmarkEnd w:id="286"/>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r>
        <w:tab/>
        <w:t>[Section 157 inserted: No. 42 of 2004 s. 118.]</w:t>
      </w:r>
    </w:p>
    <w:p>
      <w:pPr>
        <w:pStyle w:val="Ednotesection"/>
      </w:pPr>
      <w:r>
        <w:t>[</w:t>
      </w:r>
      <w:r>
        <w:rPr>
          <w:b/>
        </w:rPr>
        <w:t>157A.</w:t>
      </w:r>
      <w:r>
        <w:tab/>
        <w:t>Deleted: No. 31 of 2011 s. 103.]</w:t>
      </w:r>
    </w:p>
    <w:p>
      <w:pPr>
        <w:pStyle w:val="Heading5"/>
      </w:pPr>
      <w:bookmarkStart w:id="287" w:name="_Toc33534442"/>
      <w:r>
        <w:rPr>
          <w:rStyle w:val="CharSectno"/>
        </w:rPr>
        <w:t>157B</w:t>
      </w:r>
      <w:r>
        <w:t>.</w:t>
      </w:r>
      <w:r>
        <w:tab/>
        <w:t>Mediation and assistance</w:t>
      </w:r>
      <w:bookmarkEnd w:id="287"/>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No. 42 of 2004 s. 118.]</w:t>
      </w:r>
    </w:p>
    <w:p>
      <w:pPr>
        <w:pStyle w:val="Heading2"/>
      </w:pPr>
      <w:bookmarkStart w:id="288" w:name="_Toc33534443"/>
      <w:r>
        <w:rPr>
          <w:rStyle w:val="CharPartNo"/>
        </w:rPr>
        <w:t>Part IXA</w:t>
      </w:r>
      <w:r>
        <w:rPr>
          <w:b w:val="0"/>
        </w:rPr>
        <w:t> </w:t>
      </w:r>
      <w:r>
        <w:t>—</w:t>
      </w:r>
      <w:r>
        <w:rPr>
          <w:b w:val="0"/>
        </w:rPr>
        <w:t> </w:t>
      </w:r>
      <w:r>
        <w:rPr>
          <w:rStyle w:val="CharPartText"/>
        </w:rPr>
        <w:t>Specialised retraining programs</w:t>
      </w:r>
      <w:bookmarkEnd w:id="288"/>
    </w:p>
    <w:p>
      <w:pPr>
        <w:pStyle w:val="Footnoteheading"/>
      </w:pPr>
      <w:r>
        <w:tab/>
        <w:t>[Heading inserted: No. 42 of 2004 s. 119.]</w:t>
      </w:r>
    </w:p>
    <w:p>
      <w:pPr>
        <w:pStyle w:val="Heading5"/>
      </w:pPr>
      <w:bookmarkStart w:id="289" w:name="_Toc33534444"/>
      <w:r>
        <w:rPr>
          <w:rStyle w:val="CharSectno"/>
        </w:rPr>
        <w:t>158</w:t>
      </w:r>
      <w:r>
        <w:t>.</w:t>
      </w:r>
      <w:r>
        <w:tab/>
        <w:t>Terms used</w:t>
      </w:r>
      <w:bookmarkEnd w:id="289"/>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r>
        <w:tab/>
        <w:t>[Section 158 inserted: No. 42 of 2004 s. 119.]</w:t>
      </w:r>
    </w:p>
    <w:p>
      <w:pPr>
        <w:pStyle w:val="Heading5"/>
      </w:pPr>
      <w:bookmarkStart w:id="290" w:name="_Toc33534445"/>
      <w:r>
        <w:rPr>
          <w:rStyle w:val="CharSectno"/>
        </w:rPr>
        <w:t>158A</w:t>
      </w:r>
      <w:r>
        <w:t>.</w:t>
      </w:r>
      <w:r>
        <w:tab/>
        <w:t>Eligibility to participate in programs</w:t>
      </w:r>
      <w:bookmarkEnd w:id="290"/>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No. 42 of 2004 s. 119.]</w:t>
      </w:r>
    </w:p>
    <w:p>
      <w:pPr>
        <w:pStyle w:val="Heading5"/>
      </w:pPr>
      <w:bookmarkStart w:id="291" w:name="_Toc33534446"/>
      <w:r>
        <w:rPr>
          <w:rStyle w:val="CharSectno"/>
        </w:rPr>
        <w:t>158B</w:t>
      </w:r>
      <w:r>
        <w:t>.</w:t>
      </w:r>
      <w:r>
        <w:tab/>
        <w:t>Final day for recording agreed matters, referring disputed matters for determination</w:t>
      </w:r>
      <w:bookmarkEnd w:id="291"/>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No. 42 of 2004 s. 119.]</w:t>
      </w:r>
    </w:p>
    <w:p>
      <w:pPr>
        <w:pStyle w:val="Heading5"/>
      </w:pPr>
      <w:bookmarkStart w:id="292" w:name="_Toc33534447"/>
      <w:r>
        <w:rPr>
          <w:rStyle w:val="CharSectno"/>
        </w:rPr>
        <w:t>158C</w:t>
      </w:r>
      <w:r>
        <w:t>.</w:t>
      </w:r>
      <w:r>
        <w:tab/>
        <w:t>Degree of permanent whole of person impairment, disputes as to</w:t>
      </w:r>
      <w:bookmarkEnd w:id="292"/>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No. 42 of 2004 s. 119.]</w:t>
      </w:r>
    </w:p>
    <w:p>
      <w:pPr>
        <w:pStyle w:val="Heading5"/>
      </w:pPr>
      <w:bookmarkStart w:id="293" w:name="_Toc33534448"/>
      <w:r>
        <w:rPr>
          <w:rStyle w:val="CharSectno"/>
        </w:rPr>
        <w:t>158D</w:t>
      </w:r>
      <w:r>
        <w:t>.</w:t>
      </w:r>
      <w:r>
        <w:tab/>
        <w:t>Retraining criteria, disputes as to</w:t>
      </w:r>
      <w:bookmarkEnd w:id="293"/>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No. 42 of 2004 s. 119.]</w:t>
      </w:r>
    </w:p>
    <w:p>
      <w:pPr>
        <w:pStyle w:val="Heading5"/>
      </w:pPr>
      <w:bookmarkStart w:id="294" w:name="_Toc33534449"/>
      <w:r>
        <w:rPr>
          <w:rStyle w:val="CharSectno"/>
        </w:rPr>
        <w:t>158E</w:t>
      </w:r>
      <w:r>
        <w:t>.</w:t>
      </w:r>
      <w:r>
        <w:tab/>
        <w:t>Agreements as to programs</w:t>
      </w:r>
      <w:bookmarkEnd w:id="294"/>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No. 42 of 2004 s. 119.]</w:t>
      </w:r>
    </w:p>
    <w:p>
      <w:pPr>
        <w:pStyle w:val="Heading5"/>
      </w:pPr>
      <w:bookmarkStart w:id="295" w:name="_Toc33534450"/>
      <w:r>
        <w:rPr>
          <w:rStyle w:val="CharSectno"/>
        </w:rPr>
        <w:t>158F</w:t>
      </w:r>
      <w:r>
        <w:t>.</w:t>
      </w:r>
      <w:r>
        <w:tab/>
        <w:t>Programs, directions as to payments for etc.</w:t>
      </w:r>
      <w:bookmarkEnd w:id="295"/>
    </w:p>
    <w:p>
      <w:pPr>
        <w:pStyle w:val="Subsection"/>
        <w:spacing w:before="140"/>
      </w:pPr>
      <w:r>
        <w:tab/>
        <w:t>(1)</w:t>
      </w:r>
      <w:r>
        <w:tab/>
        <w:t>As soon as practicable after an agreement under section 158E has been signed by the worker and WorkCover WA, WorkCover WA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the submission of requests for payment and requirement for copies of invoices to be provided to WorkCover WA;</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No. 42 of 2004 s. 119.]</w:t>
      </w:r>
    </w:p>
    <w:p>
      <w:pPr>
        <w:pStyle w:val="Heading5"/>
      </w:pPr>
      <w:bookmarkStart w:id="296" w:name="_Toc33534451"/>
      <w:r>
        <w:rPr>
          <w:rStyle w:val="CharSectno"/>
        </w:rPr>
        <w:t>158G</w:t>
      </w:r>
      <w:r>
        <w:t>.</w:t>
      </w:r>
      <w:r>
        <w:tab/>
        <w:t>Directions given under s. 158F or 158I, duties of employers and insurers as to</w:t>
      </w:r>
      <w:bookmarkEnd w:id="296"/>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No. 42 of 2004 s. 119; amended: No. 77 of 2006 Sch. 1 cl. 189(9).]</w:t>
      </w:r>
    </w:p>
    <w:p>
      <w:pPr>
        <w:pStyle w:val="Heading5"/>
      </w:pPr>
      <w:bookmarkStart w:id="297" w:name="_Toc33534452"/>
      <w:r>
        <w:rPr>
          <w:rStyle w:val="CharSectno"/>
        </w:rPr>
        <w:t>158H</w:t>
      </w:r>
      <w:r>
        <w:t>.</w:t>
      </w:r>
      <w:r>
        <w:tab/>
        <w:t>Reviews of programs</w:t>
      </w:r>
      <w:bookmarkEnd w:id="297"/>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No. 42 of 2004 s. 119.]</w:t>
      </w:r>
    </w:p>
    <w:p>
      <w:pPr>
        <w:pStyle w:val="Heading5"/>
      </w:pPr>
      <w:bookmarkStart w:id="298" w:name="_Toc33534453"/>
      <w:r>
        <w:rPr>
          <w:rStyle w:val="CharSectno"/>
        </w:rPr>
        <w:t>158I</w:t>
      </w:r>
      <w:r>
        <w:t>.</w:t>
      </w:r>
      <w:r>
        <w:tab/>
        <w:t>WorkCover WA may direct modification etc. of programs</w:t>
      </w:r>
      <w:bookmarkEnd w:id="298"/>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Without affecting subsection (1) WorkCover WA may give a written direction to the worker’s employer or the employer’s insurer to do any of the following —</w:t>
      </w:r>
    </w:p>
    <w:p>
      <w:pPr>
        <w:pStyle w:val="Indenta"/>
      </w:pPr>
      <w:r>
        <w:tab/>
        <w:t>(a)</w:t>
      </w:r>
      <w:r>
        <w:tab/>
        <w:t>suspend any entitlement that a worker has under an agreement under section 158E if WorkCover WA is of the opinion that the worker has not complied, or is not complying, with a provision of the agreement;</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r>
        <w:tab/>
        <w:t>[Section 158I inserted: No. 42 of 2004 s. 119.]</w:t>
      </w:r>
    </w:p>
    <w:p>
      <w:pPr>
        <w:pStyle w:val="Heading5"/>
      </w:pPr>
      <w:bookmarkStart w:id="299" w:name="_Toc33534454"/>
      <w:r>
        <w:rPr>
          <w:rStyle w:val="CharSectno"/>
        </w:rPr>
        <w:t>158J</w:t>
      </w:r>
      <w:r>
        <w:t>.</w:t>
      </w:r>
      <w:r>
        <w:tab/>
        <w:t>When payments for programs cease</w:t>
      </w:r>
      <w:bookmarkEnd w:id="299"/>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r>
        <w:tab/>
        <w:t>[Section 158J inserted: No. 42 of 2004 s. 119.]</w:t>
      </w:r>
    </w:p>
    <w:p>
      <w:pPr>
        <w:pStyle w:val="Heading5"/>
        <w:spacing w:before="200"/>
      </w:pPr>
      <w:bookmarkStart w:id="300" w:name="_Toc33534455"/>
      <w:r>
        <w:rPr>
          <w:rStyle w:val="CharSectno"/>
        </w:rPr>
        <w:t>158K</w:t>
      </w:r>
      <w:r>
        <w:t>.</w:t>
      </w:r>
      <w:r>
        <w:tab/>
        <w:t>Directions not open to challenge etc.</w:t>
      </w:r>
      <w:bookmarkEnd w:id="300"/>
    </w:p>
    <w:p>
      <w:pPr>
        <w:pStyle w:val="Subsection"/>
        <w:spacing w:before="120"/>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No. 42 of 2004 s. 119.]</w:t>
      </w:r>
    </w:p>
    <w:p>
      <w:pPr>
        <w:pStyle w:val="Heading5"/>
        <w:spacing w:before="200"/>
      </w:pPr>
      <w:bookmarkStart w:id="301" w:name="_Toc33534456"/>
      <w:r>
        <w:rPr>
          <w:rStyle w:val="CharSectno"/>
        </w:rPr>
        <w:t>158L</w:t>
      </w:r>
      <w:r>
        <w:t>.</w:t>
      </w:r>
      <w:r>
        <w:tab/>
        <w:t>Other effects of participating in program</w:t>
      </w:r>
      <w:bookmarkEnd w:id="301"/>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No. 42 of 2004 s. 119.]</w:t>
      </w:r>
    </w:p>
    <w:p>
      <w:pPr>
        <w:pStyle w:val="Heading2"/>
      </w:pPr>
      <w:bookmarkStart w:id="302" w:name="_Toc33534457"/>
      <w:r>
        <w:rPr>
          <w:rStyle w:val="CharPartNo"/>
        </w:rPr>
        <w:t>Part X</w:t>
      </w:r>
      <w:r>
        <w:t> — </w:t>
      </w:r>
      <w:r>
        <w:rPr>
          <w:rStyle w:val="CharPartText"/>
        </w:rPr>
        <w:t>Insurance</w:t>
      </w:r>
      <w:bookmarkEnd w:id="302"/>
    </w:p>
    <w:p>
      <w:pPr>
        <w:pStyle w:val="Heading3"/>
        <w:spacing w:before="180"/>
      </w:pPr>
      <w:bookmarkStart w:id="303" w:name="_Toc33534458"/>
      <w:r>
        <w:rPr>
          <w:rStyle w:val="CharDivNo"/>
        </w:rPr>
        <w:t>Division 1</w:t>
      </w:r>
      <w:r>
        <w:rPr>
          <w:snapToGrid w:val="0"/>
        </w:rPr>
        <w:t> — </w:t>
      </w:r>
      <w:r>
        <w:rPr>
          <w:rStyle w:val="CharDivText"/>
        </w:rPr>
        <w:t>Liability of employers and insurers</w:t>
      </w:r>
      <w:bookmarkEnd w:id="303"/>
    </w:p>
    <w:p>
      <w:pPr>
        <w:pStyle w:val="Heading5"/>
        <w:spacing w:before="180"/>
      </w:pPr>
      <w:bookmarkStart w:id="304" w:name="_Toc33534459"/>
      <w:r>
        <w:rPr>
          <w:rStyle w:val="CharSectno"/>
        </w:rPr>
        <w:t>159</w:t>
      </w:r>
      <w:r>
        <w:t>.</w:t>
      </w:r>
      <w:r>
        <w:tab/>
        <w:t>Terms used</w:t>
      </w:r>
      <w:bookmarkEnd w:id="304"/>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tab/>
        <w:t>[Section 159 inserted: No. 31 of 2011 s. 104; amended: No. 12 of 2012 s. 4; No. 45 of 2012 s. 5.]</w:t>
      </w:r>
    </w:p>
    <w:p>
      <w:pPr>
        <w:pStyle w:val="Heading5"/>
        <w:rPr>
          <w:snapToGrid w:val="0"/>
        </w:rPr>
      </w:pPr>
      <w:bookmarkStart w:id="305" w:name="_Toc33534460"/>
      <w:r>
        <w:rPr>
          <w:rStyle w:val="CharSectno"/>
        </w:rPr>
        <w:t>160</w:t>
      </w:r>
      <w:r>
        <w:rPr>
          <w:snapToGrid w:val="0"/>
        </w:rPr>
        <w:t>.</w:t>
      </w:r>
      <w:r>
        <w:rPr>
          <w:snapToGrid w:val="0"/>
        </w:rPr>
        <w:tab/>
        <w:t>Employers’ duty to be insured etc.; insurers’ duties</w:t>
      </w:r>
      <w:bookmarkEnd w:id="305"/>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No. 44 of 1985 s. 34; No. 85 of 1986 s. 10; No. 96 of 1990 s. 37; No. 34 of 1999 s. 42; No. 42 of 2004 s. 120(2), (3) and 150; No. 16 of 2005 s. 11; No. 31 of 2011 s. 105; No. 12 of 2012 s. 5.]</w:t>
      </w:r>
    </w:p>
    <w:p>
      <w:pPr>
        <w:pStyle w:val="Heading5"/>
      </w:pPr>
      <w:bookmarkStart w:id="306" w:name="_Toc33534461"/>
      <w:r>
        <w:rPr>
          <w:rStyle w:val="CharSectno"/>
        </w:rPr>
        <w:t>160A</w:t>
      </w:r>
      <w:r>
        <w:t>.</w:t>
      </w:r>
      <w:r>
        <w:tab/>
        <w:t>Insurance in respect of working directors</w:t>
      </w:r>
      <w:bookmarkEnd w:id="306"/>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 No. 16 of 2005 s. 12.]</w:t>
      </w:r>
    </w:p>
    <w:p>
      <w:pPr>
        <w:pStyle w:val="Heading5"/>
        <w:rPr>
          <w:snapToGrid w:val="0"/>
        </w:rPr>
      </w:pPr>
      <w:bookmarkStart w:id="307" w:name="_Toc33534462"/>
      <w:r>
        <w:rPr>
          <w:rStyle w:val="CharSectno"/>
        </w:rPr>
        <w:t>161A</w:t>
      </w:r>
      <w:r>
        <w:rPr>
          <w:snapToGrid w:val="0"/>
        </w:rPr>
        <w:t>.</w:t>
      </w:r>
      <w:r>
        <w:rPr>
          <w:snapToGrid w:val="0"/>
        </w:rPr>
        <w:tab/>
        <w:t>Incorporated insurance offices not to issue or renew policies unless approved under s. 161</w:t>
      </w:r>
      <w:bookmarkEnd w:id="307"/>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 No. 44 of 1985 s. 35; amended: No. 34 of 1999 s. 57; No. 31 of 2011 s. 106; No. 12 of 2012 s. 6.]</w:t>
      </w:r>
    </w:p>
    <w:p>
      <w:pPr>
        <w:pStyle w:val="Heading5"/>
        <w:rPr>
          <w:snapToGrid w:val="0"/>
        </w:rPr>
      </w:pPr>
      <w:bookmarkStart w:id="308" w:name="_Toc33534463"/>
      <w:r>
        <w:rPr>
          <w:rStyle w:val="CharSectno"/>
        </w:rPr>
        <w:t>161</w:t>
      </w:r>
      <w:r>
        <w:rPr>
          <w:snapToGrid w:val="0"/>
        </w:rPr>
        <w:t>.</w:t>
      </w:r>
      <w:r>
        <w:rPr>
          <w:snapToGrid w:val="0"/>
        </w:rPr>
        <w:tab/>
        <w:t>Incorporated insurance offices, approval of</w:t>
      </w:r>
      <w:bookmarkEnd w:id="308"/>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No. 96 of 1990 s. 38; No. 42 of 2004 s. 150.]</w:t>
      </w:r>
    </w:p>
    <w:p>
      <w:pPr>
        <w:pStyle w:val="Heading5"/>
        <w:spacing w:before="200"/>
        <w:rPr>
          <w:snapToGrid w:val="0"/>
        </w:rPr>
      </w:pPr>
      <w:bookmarkStart w:id="309" w:name="_Toc33534464"/>
      <w:r>
        <w:rPr>
          <w:rStyle w:val="CharSectno"/>
        </w:rPr>
        <w:t>162</w:t>
      </w:r>
      <w:r>
        <w:rPr>
          <w:snapToGrid w:val="0"/>
        </w:rPr>
        <w:t>.</w:t>
      </w:r>
      <w:r>
        <w:rPr>
          <w:snapToGrid w:val="0"/>
        </w:rPr>
        <w:tab/>
        <w:t>Insurance Commission of Western Australia sole insurer as to some industrial diseases</w:t>
      </w:r>
      <w:bookmarkEnd w:id="309"/>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No. 51 of 1986 s. 46(2); No. 45 of 1996 Sch. 1 it. 16; No. 42 of 2004 s. 121.]</w:t>
      </w:r>
    </w:p>
    <w:p>
      <w:pPr>
        <w:pStyle w:val="Heading5"/>
        <w:rPr>
          <w:snapToGrid w:val="0"/>
        </w:rPr>
      </w:pPr>
      <w:bookmarkStart w:id="310" w:name="_Toc33534465"/>
      <w:r>
        <w:rPr>
          <w:rStyle w:val="CharSectno"/>
        </w:rPr>
        <w:t>163</w:t>
      </w:r>
      <w:r>
        <w:rPr>
          <w:snapToGrid w:val="0"/>
        </w:rPr>
        <w:t>.</w:t>
      </w:r>
      <w:r>
        <w:rPr>
          <w:snapToGrid w:val="0"/>
        </w:rPr>
        <w:tab/>
        <w:t>Industrial disease premiums, payment of etc.</w:t>
      </w:r>
      <w:bookmarkEnd w:id="310"/>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No. 51 of 1986 s. 46(2); No. 45 of 1996 Sch. 1 it. 16.]</w:t>
      </w:r>
    </w:p>
    <w:p>
      <w:pPr>
        <w:pStyle w:val="Heading5"/>
        <w:rPr>
          <w:snapToGrid w:val="0"/>
        </w:rPr>
      </w:pPr>
      <w:bookmarkStart w:id="311" w:name="_Toc33534466"/>
      <w:r>
        <w:rPr>
          <w:rStyle w:val="CharSectno"/>
        </w:rPr>
        <w:t>164</w:t>
      </w:r>
      <w:r>
        <w:rPr>
          <w:snapToGrid w:val="0"/>
        </w:rPr>
        <w:t>.</w:t>
      </w:r>
      <w:r>
        <w:rPr>
          <w:snapToGrid w:val="0"/>
        </w:rPr>
        <w:tab/>
        <w:t>Exempting employers from duty to insure</w:t>
      </w:r>
      <w:bookmarkEnd w:id="311"/>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 is deemed to be an exemption granted under this Part and subject to review as provided by section 165.</w:t>
      </w:r>
    </w:p>
    <w:p>
      <w:pPr>
        <w:pStyle w:val="Footnotesection"/>
      </w:pPr>
      <w:r>
        <w:tab/>
        <w:t>[Section 164 amended: No. 96 of 1990 s. 39; No. 42 of 2004 s. 122 and 150; No. 31 of 2011 s. 107.]</w:t>
      </w:r>
    </w:p>
    <w:p>
      <w:pPr>
        <w:pStyle w:val="Heading5"/>
        <w:keepNext w:val="0"/>
        <w:keepLines w:val="0"/>
        <w:spacing w:before="180"/>
        <w:rPr>
          <w:snapToGrid w:val="0"/>
        </w:rPr>
      </w:pPr>
      <w:bookmarkStart w:id="312" w:name="_Toc33534467"/>
      <w:r>
        <w:rPr>
          <w:rStyle w:val="CharSectno"/>
        </w:rPr>
        <w:t>165</w:t>
      </w:r>
      <w:r>
        <w:rPr>
          <w:snapToGrid w:val="0"/>
        </w:rPr>
        <w:t>.</w:t>
      </w:r>
      <w:r>
        <w:rPr>
          <w:snapToGrid w:val="0"/>
        </w:rPr>
        <w:tab/>
        <w:t>Review of s. 164 exemptions</w:t>
      </w:r>
      <w:bookmarkEnd w:id="312"/>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No. 44 of 1985 s. 36; No. 96 of 1990 s. 40; No. 42 of 2004 s. 123 and 150; No. 16 of 2005 s. 20; No. 31 of 2011 s. 108; No. 12 of 2012 s. 7.]</w:t>
      </w:r>
    </w:p>
    <w:p>
      <w:pPr>
        <w:pStyle w:val="Heading5"/>
        <w:rPr>
          <w:snapToGrid w:val="0"/>
        </w:rPr>
      </w:pPr>
      <w:bookmarkStart w:id="313" w:name="_Toc33534468"/>
      <w:r>
        <w:rPr>
          <w:rStyle w:val="CharSectno"/>
        </w:rPr>
        <w:t>166</w:t>
      </w:r>
      <w:r>
        <w:rPr>
          <w:snapToGrid w:val="0"/>
        </w:rPr>
        <w:t>.</w:t>
      </w:r>
      <w:r>
        <w:rPr>
          <w:snapToGrid w:val="0"/>
        </w:rPr>
        <w:tab/>
        <w:t>Cancelling s. 164 exemptions due to breach of law</w:t>
      </w:r>
      <w:bookmarkEnd w:id="313"/>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314" w:name="_Toc33534469"/>
      <w:r>
        <w:rPr>
          <w:rStyle w:val="CharSectno"/>
        </w:rPr>
        <w:t>167</w:t>
      </w:r>
      <w:r>
        <w:rPr>
          <w:snapToGrid w:val="0"/>
        </w:rPr>
        <w:t>.</w:t>
      </w:r>
      <w:r>
        <w:rPr>
          <w:snapToGrid w:val="0"/>
        </w:rPr>
        <w:tab/>
        <w:t>Effect of cessation of s. 164 exemption</w:t>
      </w:r>
      <w:bookmarkEnd w:id="314"/>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315" w:name="_Toc33534470"/>
      <w:r>
        <w:rPr>
          <w:rStyle w:val="CharSectno"/>
        </w:rPr>
        <w:t>168</w:t>
      </w:r>
      <w:r>
        <w:rPr>
          <w:snapToGrid w:val="0"/>
        </w:rPr>
        <w:t>.</w:t>
      </w:r>
      <w:r>
        <w:rPr>
          <w:snapToGrid w:val="0"/>
        </w:rPr>
        <w:tab/>
        <w:t>Revoking s. 164 exemptions on employers’ request</w:t>
      </w:r>
      <w:bookmarkEnd w:id="315"/>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No. 96 of 1990 s. 41; No. 42 of 2004 s. 124; No. 31 of 2011 s. 109; No. 12 of 2012 s. 8.]</w:t>
      </w:r>
    </w:p>
    <w:p>
      <w:pPr>
        <w:pStyle w:val="Heading5"/>
      </w:pPr>
      <w:bookmarkStart w:id="316" w:name="_Toc33534471"/>
      <w:r>
        <w:rPr>
          <w:rStyle w:val="CharSectno"/>
        </w:rPr>
        <w:t>169</w:t>
      </w:r>
      <w:r>
        <w:t>.</w:t>
      </w:r>
      <w:r>
        <w:tab/>
        <w:t>Terms of insurance and form of policies</w:t>
      </w:r>
      <w:bookmarkEnd w:id="316"/>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 No. 12 of 2012 s. 9.]</w:t>
      </w:r>
    </w:p>
    <w:p>
      <w:pPr>
        <w:pStyle w:val="Heading5"/>
        <w:spacing w:before="180"/>
        <w:rPr>
          <w:snapToGrid w:val="0"/>
        </w:rPr>
      </w:pPr>
      <w:bookmarkStart w:id="317" w:name="_Toc33534472"/>
      <w:r>
        <w:rPr>
          <w:rStyle w:val="CharSectno"/>
        </w:rPr>
        <w:t>170</w:t>
      </w:r>
      <w:r>
        <w:rPr>
          <w:snapToGrid w:val="0"/>
        </w:rPr>
        <w:t>.</w:t>
      </w:r>
      <w:r>
        <w:rPr>
          <w:snapToGrid w:val="0"/>
        </w:rPr>
        <w:tab/>
        <w:t>Failure to insure</w:t>
      </w:r>
      <w:bookmarkEnd w:id="317"/>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318" w:name="_Toc33534473"/>
      <w:r>
        <w:rPr>
          <w:rStyle w:val="CharSectno"/>
        </w:rPr>
        <w:t>171</w:t>
      </w:r>
      <w:r>
        <w:rPr>
          <w:snapToGrid w:val="0"/>
        </w:rPr>
        <w:t>.</w:t>
      </w:r>
      <w:r>
        <w:rPr>
          <w:snapToGrid w:val="0"/>
        </w:rPr>
        <w:tab/>
        <w:t>Insurance offices to give information to WorkCover WA</w:t>
      </w:r>
      <w:bookmarkEnd w:id="318"/>
    </w:p>
    <w:p>
      <w:pPr>
        <w:pStyle w:val="Subsection"/>
        <w:spacing w:before="14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spacing w:before="140"/>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spacing w:before="80"/>
      </w:pPr>
      <w:r>
        <w:tab/>
        <w:t>[Section 171 amended: No. 44 of 1985 s. 38; No. 96 of 1990 s. 44; No. 34 of 1999 s. 57; No. 42 of 2004 s. 125 and 150; No. 31 of 2011 s. 110.]</w:t>
      </w:r>
    </w:p>
    <w:p>
      <w:pPr>
        <w:pStyle w:val="Heading5"/>
        <w:keepNext w:val="0"/>
        <w:keepLines w:val="0"/>
        <w:spacing w:before="180"/>
      </w:pPr>
      <w:bookmarkStart w:id="319" w:name="_Toc33534474"/>
      <w:r>
        <w:rPr>
          <w:rStyle w:val="CharSectno"/>
        </w:rPr>
        <w:t>172</w:t>
      </w:r>
      <w:r>
        <w:t>.</w:t>
      </w:r>
      <w:r>
        <w:tab/>
        <w:t>WorkCover WA may recover underpaid premiums from employers</w:t>
      </w:r>
      <w:bookmarkEnd w:id="319"/>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spacing w:before="56"/>
      </w:pPr>
      <w:r>
        <w:tab/>
        <w:t>(b)</w:t>
      </w:r>
      <w:r>
        <w:tab/>
        <w:t>sue and recover from the employer —</w:t>
      </w:r>
    </w:p>
    <w:p>
      <w:pPr>
        <w:pStyle w:val="Indenti"/>
        <w:spacing w:before="56"/>
      </w:pPr>
      <w:r>
        <w:tab/>
        <w:t>(i)</w:t>
      </w:r>
      <w:r>
        <w:tab/>
        <w:t>the full amount of the premium that could have been charged; less</w:t>
      </w:r>
    </w:p>
    <w:p>
      <w:pPr>
        <w:pStyle w:val="Indenti"/>
        <w:spacing w:before="56"/>
      </w:pPr>
      <w:r>
        <w:tab/>
        <w:t>(ii)</w:t>
      </w:r>
      <w:r>
        <w:tab/>
        <w:t>any amount already paid to the insurer in respect of such insurance,</w:t>
      </w:r>
    </w:p>
    <w:p>
      <w:pPr>
        <w:pStyle w:val="Subsection"/>
        <w:spacing w:before="100"/>
      </w:pPr>
      <w:r>
        <w:tab/>
      </w:r>
      <w:r>
        <w:tab/>
        <w:t>and pay any moneys so recovered, less any reasonable costs incurred in the recovery, to the insurer.</w:t>
      </w:r>
    </w:p>
    <w:p>
      <w:pPr>
        <w:pStyle w:val="Footnotesection"/>
        <w:spacing w:before="80"/>
      </w:pPr>
      <w:r>
        <w:tab/>
        <w:t>[Section 172 inserted: No. 34 of 1999 s. 45; amended: No. 42 of 2004 s. 150; No. 31 of 2011 s. 111.]</w:t>
      </w:r>
    </w:p>
    <w:p>
      <w:pPr>
        <w:pStyle w:val="Ednotesection"/>
      </w:pPr>
      <w:r>
        <w:t>[</w:t>
      </w:r>
      <w:r>
        <w:rPr>
          <w:b/>
        </w:rPr>
        <w:t>172A.</w:t>
      </w:r>
      <w:r>
        <w:tab/>
        <w:t>Deleted: No. 34 of 1999 s. 44.]</w:t>
      </w:r>
    </w:p>
    <w:p>
      <w:pPr>
        <w:pStyle w:val="Heading5"/>
        <w:rPr>
          <w:snapToGrid w:val="0"/>
        </w:rPr>
      </w:pPr>
      <w:bookmarkStart w:id="320" w:name="_Toc33534475"/>
      <w:r>
        <w:rPr>
          <w:rStyle w:val="CharSectno"/>
        </w:rPr>
        <w:t>173</w:t>
      </w:r>
      <w:r>
        <w:rPr>
          <w:snapToGrid w:val="0"/>
        </w:rPr>
        <w:t>.</w:t>
      </w:r>
      <w:r>
        <w:rPr>
          <w:snapToGrid w:val="0"/>
        </w:rPr>
        <w:tab/>
        <w:t>Worker’s rights against insurer when employer ceases to exist etc.</w:t>
      </w:r>
      <w:bookmarkEnd w:id="320"/>
    </w:p>
    <w:p>
      <w:pPr>
        <w:pStyle w:val="Subsection"/>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 No. 72 of 1992 s. 19; No. 31 of 2011 s. 112.]</w:t>
      </w:r>
    </w:p>
    <w:p>
      <w:pPr>
        <w:pStyle w:val="Heading5"/>
        <w:rPr>
          <w:snapToGrid w:val="0"/>
        </w:rPr>
      </w:pPr>
      <w:bookmarkStart w:id="321" w:name="_Toc33534476"/>
      <w:r>
        <w:rPr>
          <w:rStyle w:val="CharSectno"/>
        </w:rPr>
        <w:t>174</w:t>
      </w:r>
      <w:r>
        <w:rPr>
          <w:snapToGrid w:val="0"/>
        </w:rPr>
        <w:t>.</w:t>
      </w:r>
      <w:r>
        <w:rPr>
          <w:snapToGrid w:val="0"/>
        </w:rPr>
        <w:tab/>
        <w:t xml:space="preserve">Payment to worker from General </w:t>
      </w:r>
      <w:r>
        <w:t>Account</w:t>
      </w:r>
      <w:bookmarkEnd w:id="32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is settled by an agreement of the kind described in section 92(f) made between the worker and WorkCover WA,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t xml:space="preserve">Workcover WA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Without limiting section 174AB, until the amount paid to a worker under this section is recovered under this section or section 174AA, WorkCover WA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or (1AA)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322" w:name="_Toc33534477"/>
      <w:r>
        <w:rPr>
          <w:rStyle w:val="CharSectno"/>
        </w:rPr>
        <w:t>174AAA</w:t>
      </w:r>
      <w:r>
        <w:t>. Setting aside certain judgments and agreements</w:t>
      </w:r>
      <w:bookmarkEnd w:id="322"/>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t>WorkCover WA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No. 31 of 2011 s. 114.]</w:t>
      </w:r>
    </w:p>
    <w:p>
      <w:pPr>
        <w:pStyle w:val="Heading5"/>
      </w:pPr>
      <w:bookmarkStart w:id="323" w:name="_Toc33534478"/>
      <w:r>
        <w:rPr>
          <w:rStyle w:val="CharSectno"/>
        </w:rPr>
        <w:t>174AA</w:t>
      </w:r>
      <w:r>
        <w:t>.</w:t>
      </w:r>
      <w:r>
        <w:tab/>
        <w:t>Recovering s. 174 payments from officers of body corporate</w:t>
      </w:r>
      <w:bookmarkEnd w:id="323"/>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No. 42 of 2004 s. 127; amended: No. 77 of 2006 Sch. 1 cl. 189(9).]</w:t>
      </w:r>
    </w:p>
    <w:p>
      <w:pPr>
        <w:pStyle w:val="Heading5"/>
      </w:pPr>
      <w:bookmarkStart w:id="324" w:name="_Toc33534479"/>
      <w:r>
        <w:rPr>
          <w:rStyle w:val="CharSectno"/>
        </w:rPr>
        <w:t>174AB</w:t>
      </w:r>
      <w:r>
        <w:t>.</w:t>
      </w:r>
      <w:r>
        <w:tab/>
        <w:t>WorkCover WA may exercise rights of employer in some cases</w:t>
      </w:r>
      <w:bookmarkEnd w:id="324"/>
    </w:p>
    <w:p>
      <w:pPr>
        <w:pStyle w:val="Subsection"/>
      </w:pPr>
      <w:r>
        <w:tab/>
        <w:t>(1)</w:t>
      </w:r>
      <w:r>
        <w:tab/>
        <w:t>If an employer against whom a claim for compensation under this Act, or an action for damages which are, or which include, insurable damages, is brought by a worker is uninsured, WorkCover WA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t>deleted]</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r>
        <w:tab/>
        <w:t>[Section 174AB inserted: No. 42 of 2004 s. 128; amended: No. 31 of 2011 s. 115; No. 12 of 2012 s. 11.]</w:t>
      </w:r>
    </w:p>
    <w:p>
      <w:pPr>
        <w:pStyle w:val="Heading5"/>
      </w:pPr>
      <w:bookmarkStart w:id="325" w:name="_Toc33534480"/>
      <w:r>
        <w:rPr>
          <w:rStyle w:val="CharSectno"/>
        </w:rPr>
        <w:t>174AC</w:t>
      </w:r>
      <w:r>
        <w:t>.</w:t>
      </w:r>
      <w:r>
        <w:tab/>
        <w:t>WorkCover WA’s rights of indemnity and subrogation</w:t>
      </w:r>
      <w:bookmarkEnd w:id="325"/>
    </w:p>
    <w:p>
      <w:pPr>
        <w:pStyle w:val="Subsection"/>
      </w:pPr>
      <w:r>
        <w:tab/>
      </w:r>
      <w:r>
        <w:tab/>
        <w:t xml:space="preserve">If WorkCover WA has paid, or is liable to pay, from the General Account an amount as compensation or damages for which an employer is liable, WorkCover WA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No. 31 of 2011 s. 116.]</w:t>
      </w:r>
    </w:p>
    <w:p>
      <w:pPr>
        <w:pStyle w:val="Heading5"/>
      </w:pPr>
      <w:bookmarkStart w:id="326" w:name="_Toc33534481"/>
      <w:r>
        <w:rPr>
          <w:rStyle w:val="CharSectno"/>
        </w:rPr>
        <w:t>174AD</w:t>
      </w:r>
      <w:r>
        <w:t>.</w:t>
      </w:r>
      <w:r>
        <w:tab/>
        <w:t>Employer’s duty to assist WorkCover WA</w:t>
      </w:r>
      <w:bookmarkEnd w:id="326"/>
    </w:p>
    <w:p>
      <w:pPr>
        <w:pStyle w:val="Subsection"/>
      </w:pPr>
      <w:r>
        <w:tab/>
        <w:t>(1)</w:t>
      </w:r>
      <w:r>
        <w:tab/>
        <w:t xml:space="preserve">Where under section 174AB or 174AC WorkCover WA has or is subrogated to any right of an employer, WorkCover WA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execute any documents or instruments which may be necessary to enable WorkCover WA to exercise the right, or to ratify or confirm any exercise or purported exercise of the right by WorkCover WA.</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No. 31 of 2011 s. 116.]</w:t>
      </w:r>
    </w:p>
    <w:p>
      <w:pPr>
        <w:pStyle w:val="Heading5"/>
        <w:rPr>
          <w:snapToGrid w:val="0"/>
        </w:rPr>
      </w:pPr>
      <w:bookmarkStart w:id="327" w:name="_Toc33534482"/>
      <w:r>
        <w:rPr>
          <w:rStyle w:val="CharSectno"/>
        </w:rPr>
        <w:t>174A</w:t>
      </w:r>
      <w:r>
        <w:rPr>
          <w:snapToGrid w:val="0"/>
        </w:rPr>
        <w:t>.</w:t>
      </w:r>
      <w:r>
        <w:rPr>
          <w:snapToGrid w:val="0"/>
        </w:rPr>
        <w:tab/>
        <w:t xml:space="preserve">Insurer may not refuse to indemnify </w:t>
      </w:r>
      <w:r>
        <w:t>in some cases</w:t>
      </w:r>
      <w:bookmarkEnd w:id="327"/>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 No. 72 of 1992 s. 21; amended: No. 42 of 2004 s. 147; No. 31 of 2011 s. 117.]</w:t>
      </w:r>
    </w:p>
    <w:p>
      <w:pPr>
        <w:pStyle w:val="Heading3"/>
      </w:pPr>
      <w:bookmarkStart w:id="328" w:name="_Toc33534483"/>
      <w:r>
        <w:rPr>
          <w:rStyle w:val="CharDivNo"/>
        </w:rPr>
        <w:t>Division 2</w:t>
      </w:r>
      <w:r>
        <w:rPr>
          <w:snapToGrid w:val="0"/>
        </w:rPr>
        <w:t> — </w:t>
      </w:r>
      <w:r>
        <w:rPr>
          <w:rStyle w:val="CharDivText"/>
        </w:rPr>
        <w:t>Insurance by principals, contractors, and sub</w:t>
      </w:r>
      <w:r>
        <w:rPr>
          <w:rStyle w:val="CharDivText"/>
        </w:rPr>
        <w:noBreakHyphen/>
        <w:t>contractors</w:t>
      </w:r>
      <w:bookmarkEnd w:id="328"/>
    </w:p>
    <w:p>
      <w:pPr>
        <w:pStyle w:val="Heading5"/>
        <w:rPr>
          <w:snapToGrid w:val="0"/>
        </w:rPr>
      </w:pPr>
      <w:bookmarkStart w:id="329" w:name="_Toc33534484"/>
      <w:r>
        <w:rPr>
          <w:rStyle w:val="CharSectno"/>
        </w:rPr>
        <w:t>175</w:t>
      </w:r>
      <w:r>
        <w:rPr>
          <w:snapToGrid w:val="0"/>
        </w:rPr>
        <w:t>.</w:t>
      </w:r>
      <w:r>
        <w:rPr>
          <w:snapToGrid w:val="0"/>
        </w:rPr>
        <w:tab/>
        <w:t>When principal, contractor and sub</w:t>
      </w:r>
      <w:r>
        <w:rPr>
          <w:snapToGrid w:val="0"/>
        </w:rPr>
        <w:noBreakHyphen/>
        <w:t>contractor deemed employers</w:t>
      </w:r>
      <w:bookmarkEnd w:id="329"/>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any amount which the worker receives from WorkCover WA under section 174 in respect of the contractor’s liability to pay compensation or damages to the worker.</w:t>
      </w:r>
    </w:p>
    <w:p>
      <w:pPr>
        <w:pStyle w:val="Subsection"/>
      </w:pPr>
      <w:r>
        <w:tab/>
        <w:t>(3B)</w:t>
      </w:r>
      <w:r>
        <w:tab/>
        <w:t>The indemnity conferred by subsection (2) does not allow the principal to recover any amount from WorkCover WA.</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spacing w:before="140"/>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 No. 42 of 2004 s. 147; No. 31 of 2011 s. 118; No. 12 of 2012 s. 12.]</w:t>
      </w:r>
    </w:p>
    <w:p>
      <w:pPr>
        <w:pStyle w:val="Heading5"/>
      </w:pPr>
      <w:bookmarkStart w:id="330" w:name="_Toc33534485"/>
      <w:r>
        <w:rPr>
          <w:rStyle w:val="CharSectno"/>
        </w:rPr>
        <w:t>175AA</w:t>
      </w:r>
      <w:r>
        <w:t>.</w:t>
      </w:r>
      <w:r>
        <w:tab/>
        <w:t>Certain persons deemed workers</w:t>
      </w:r>
      <w:bookmarkEnd w:id="330"/>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No. 16 of 2005 s. 13.]</w:t>
      </w:r>
    </w:p>
    <w:p>
      <w:pPr>
        <w:pStyle w:val="Heading3"/>
        <w:spacing w:before="220"/>
      </w:pPr>
      <w:bookmarkStart w:id="331" w:name="_Toc33534486"/>
      <w:r>
        <w:rPr>
          <w:rStyle w:val="CharDivNo"/>
        </w:rPr>
        <w:t>Division 3</w:t>
      </w:r>
      <w:r>
        <w:rPr>
          <w:snapToGrid w:val="0"/>
        </w:rPr>
        <w:t> — </w:t>
      </w:r>
      <w:r>
        <w:rPr>
          <w:rStyle w:val="CharDivText"/>
        </w:rPr>
        <w:t>Inspectors</w:t>
      </w:r>
      <w:bookmarkEnd w:id="331"/>
    </w:p>
    <w:p>
      <w:pPr>
        <w:pStyle w:val="Footnoteheading"/>
        <w:spacing w:before="80"/>
      </w:pPr>
      <w:r>
        <w:tab/>
        <w:t>[Heading inserted: No. 34 of 1999 s. 46(1).]</w:t>
      </w:r>
    </w:p>
    <w:p>
      <w:pPr>
        <w:pStyle w:val="Heading5"/>
        <w:spacing w:before="180"/>
        <w:rPr>
          <w:snapToGrid w:val="0"/>
        </w:rPr>
      </w:pPr>
      <w:bookmarkStart w:id="332" w:name="_Toc33534487"/>
      <w:r>
        <w:rPr>
          <w:rStyle w:val="CharSectno"/>
        </w:rPr>
        <w:t>175A</w:t>
      </w:r>
      <w:r>
        <w:rPr>
          <w:snapToGrid w:val="0"/>
        </w:rPr>
        <w:t>.</w:t>
      </w:r>
      <w:r>
        <w:rPr>
          <w:snapToGrid w:val="0"/>
        </w:rPr>
        <w:tab/>
        <w:t>Authorising etc. inspectors; oath etc. by inspectors</w:t>
      </w:r>
      <w:bookmarkEnd w:id="332"/>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 a person was an inspector authorised by WorkCover WA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No. 34 of 1999 s. 46(1); amended: No. 42 of 2004 s. 150; No. 31 of 2011 s. 119.]</w:t>
      </w:r>
    </w:p>
    <w:p>
      <w:pPr>
        <w:pStyle w:val="Heading5"/>
        <w:rPr>
          <w:snapToGrid w:val="0"/>
        </w:rPr>
      </w:pPr>
      <w:bookmarkStart w:id="333" w:name="_Toc33534488"/>
      <w:r>
        <w:rPr>
          <w:rStyle w:val="CharSectno"/>
        </w:rPr>
        <w:t>175B</w:t>
      </w:r>
      <w:r>
        <w:rPr>
          <w:snapToGrid w:val="0"/>
        </w:rPr>
        <w:t>.</w:t>
      </w:r>
      <w:r>
        <w:rPr>
          <w:snapToGrid w:val="0"/>
        </w:rPr>
        <w:tab/>
        <w:t>Powers</w:t>
      </w:r>
      <w:bookmarkEnd w:id="333"/>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No. 34 of 1999 s. 46(1); amended: No. 10 of 2001 s. 219.]</w:t>
      </w:r>
    </w:p>
    <w:p>
      <w:pPr>
        <w:pStyle w:val="Heading5"/>
        <w:rPr>
          <w:snapToGrid w:val="0"/>
        </w:rPr>
      </w:pPr>
      <w:bookmarkStart w:id="334" w:name="_Toc33534489"/>
      <w:r>
        <w:rPr>
          <w:rStyle w:val="CharSectno"/>
        </w:rPr>
        <w:t>175C</w:t>
      </w:r>
      <w:r>
        <w:rPr>
          <w:snapToGrid w:val="0"/>
        </w:rPr>
        <w:t>.</w:t>
      </w:r>
      <w:r>
        <w:rPr>
          <w:snapToGrid w:val="0"/>
        </w:rPr>
        <w:tab/>
        <w:t>Interpreters</w:t>
      </w:r>
      <w:bookmarkEnd w:id="334"/>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No. 34 of 1999 s. 46(1).]</w:t>
      </w:r>
    </w:p>
    <w:p>
      <w:pPr>
        <w:pStyle w:val="Heading5"/>
        <w:rPr>
          <w:snapToGrid w:val="0"/>
        </w:rPr>
      </w:pPr>
      <w:bookmarkStart w:id="335" w:name="_Toc33534490"/>
      <w:r>
        <w:rPr>
          <w:rStyle w:val="CharSectno"/>
        </w:rPr>
        <w:t>175D</w:t>
      </w:r>
      <w:r>
        <w:rPr>
          <w:snapToGrid w:val="0"/>
        </w:rPr>
        <w:t>.</w:t>
      </w:r>
      <w:r>
        <w:rPr>
          <w:snapToGrid w:val="0"/>
        </w:rPr>
        <w:tab/>
        <w:t>Offences</w:t>
      </w:r>
      <w:bookmarkEnd w:id="33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No. 34 of 1999 s. 46(1).]</w:t>
      </w:r>
    </w:p>
    <w:p>
      <w:pPr>
        <w:pStyle w:val="Heading2"/>
      </w:pPr>
      <w:bookmarkStart w:id="336" w:name="_Toc33534491"/>
      <w:r>
        <w:rPr>
          <w:rStyle w:val="CharPartNo"/>
        </w:rPr>
        <w:t>Part XA</w:t>
      </w:r>
      <w:r>
        <w:rPr>
          <w:rStyle w:val="CharDivNo"/>
        </w:rPr>
        <w:t> </w:t>
      </w:r>
      <w:r>
        <w:t>—</w:t>
      </w:r>
      <w:r>
        <w:rPr>
          <w:rStyle w:val="CharDivText"/>
        </w:rPr>
        <w:t> </w:t>
      </w:r>
      <w:r>
        <w:rPr>
          <w:rStyle w:val="CharPartText"/>
        </w:rPr>
        <w:t>Infringement notices and modified penalties</w:t>
      </w:r>
      <w:bookmarkEnd w:id="336"/>
    </w:p>
    <w:p>
      <w:pPr>
        <w:pStyle w:val="Footnoteheading"/>
        <w:spacing w:before="80"/>
      </w:pPr>
      <w:r>
        <w:tab/>
        <w:t>[Heading inserted: No. 42 of 2004 s. 129.]</w:t>
      </w:r>
    </w:p>
    <w:p>
      <w:pPr>
        <w:pStyle w:val="Heading5"/>
        <w:spacing w:before="180"/>
      </w:pPr>
      <w:bookmarkStart w:id="337" w:name="_Toc33534492"/>
      <w:r>
        <w:rPr>
          <w:rStyle w:val="CharSectno"/>
        </w:rPr>
        <w:t>175E</w:t>
      </w:r>
      <w:r>
        <w:t>.</w:t>
      </w:r>
      <w:r>
        <w:tab/>
        <w:t>Terms used</w:t>
      </w:r>
      <w:bookmarkEnd w:id="337"/>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No. 42 of 2004 s. 129.]</w:t>
      </w:r>
    </w:p>
    <w:p>
      <w:pPr>
        <w:pStyle w:val="Heading5"/>
        <w:spacing w:before="180"/>
      </w:pPr>
      <w:bookmarkStart w:id="338" w:name="_Toc33534493"/>
      <w:r>
        <w:rPr>
          <w:rStyle w:val="CharSectno"/>
        </w:rPr>
        <w:t>175F</w:t>
      </w:r>
      <w:r>
        <w:t>.</w:t>
      </w:r>
      <w:r>
        <w:tab/>
        <w:t>Authorised officers, designation of etc.</w:t>
      </w:r>
      <w:bookmarkEnd w:id="338"/>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No. 42 of 2004 s. 129.]</w:t>
      </w:r>
    </w:p>
    <w:p>
      <w:pPr>
        <w:pStyle w:val="Heading5"/>
        <w:keepLines w:val="0"/>
        <w:spacing w:before="180"/>
      </w:pPr>
      <w:bookmarkStart w:id="339" w:name="_Toc33534494"/>
      <w:r>
        <w:rPr>
          <w:rStyle w:val="CharSectno"/>
        </w:rPr>
        <w:t>175G</w:t>
      </w:r>
      <w:r>
        <w:t>.</w:t>
      </w:r>
      <w:r>
        <w:tab/>
        <w:t>Infringement notices, giving of</w:t>
      </w:r>
      <w:bookmarkEnd w:id="339"/>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No. 42 of 2004 s. 129.]</w:t>
      </w:r>
    </w:p>
    <w:p>
      <w:pPr>
        <w:pStyle w:val="Heading5"/>
      </w:pPr>
      <w:bookmarkStart w:id="340" w:name="_Toc33534495"/>
      <w:r>
        <w:rPr>
          <w:rStyle w:val="CharSectno"/>
        </w:rPr>
        <w:t>175H</w:t>
      </w:r>
      <w:r>
        <w:t>.</w:t>
      </w:r>
      <w:r>
        <w:tab/>
        <w:t>Infringement notices, content of</w:t>
      </w:r>
      <w:bookmarkEnd w:id="340"/>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No. 42 of 2004 s. 129; amended: No. 84 of 2004 s. 80; No. 2 of 2008 s. 73.]</w:t>
      </w:r>
    </w:p>
    <w:p>
      <w:pPr>
        <w:pStyle w:val="Heading5"/>
      </w:pPr>
      <w:bookmarkStart w:id="341" w:name="_Toc33534496"/>
      <w:r>
        <w:rPr>
          <w:rStyle w:val="CharSectno"/>
        </w:rPr>
        <w:t>175I</w:t>
      </w:r>
      <w:r>
        <w:t>.</w:t>
      </w:r>
      <w:r>
        <w:tab/>
        <w:t>Extending time for paying modified penalty</w:t>
      </w:r>
      <w:bookmarkEnd w:id="341"/>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No. 42 of 2004 s. 129.]</w:t>
      </w:r>
    </w:p>
    <w:p>
      <w:pPr>
        <w:pStyle w:val="Heading5"/>
      </w:pPr>
      <w:bookmarkStart w:id="342" w:name="_Toc33534497"/>
      <w:r>
        <w:rPr>
          <w:rStyle w:val="CharSectno"/>
        </w:rPr>
        <w:t>175J</w:t>
      </w:r>
      <w:r>
        <w:t>.</w:t>
      </w:r>
      <w:r>
        <w:tab/>
        <w:t>Withdrawing infringement notices</w:t>
      </w:r>
      <w:bookmarkEnd w:id="342"/>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No. 42 of 2004 s. 129.]</w:t>
      </w:r>
    </w:p>
    <w:p>
      <w:pPr>
        <w:pStyle w:val="Heading5"/>
      </w:pPr>
      <w:bookmarkStart w:id="343" w:name="_Toc33534498"/>
      <w:r>
        <w:rPr>
          <w:rStyle w:val="CharSectno"/>
        </w:rPr>
        <w:t>175K</w:t>
      </w:r>
      <w:r>
        <w:t>.</w:t>
      </w:r>
      <w:r>
        <w:tab/>
        <w:t>Benefit of paying modified penalty</w:t>
      </w:r>
      <w:bookmarkEnd w:id="34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No. 42 of 2004 s. 129.]</w:t>
      </w:r>
    </w:p>
    <w:p>
      <w:pPr>
        <w:pStyle w:val="Heading5"/>
      </w:pPr>
      <w:bookmarkStart w:id="344" w:name="_Toc33534499"/>
      <w:r>
        <w:rPr>
          <w:rStyle w:val="CharSectno"/>
        </w:rPr>
        <w:t>175L</w:t>
      </w:r>
      <w:r>
        <w:t>.</w:t>
      </w:r>
      <w:r>
        <w:tab/>
        <w:t>No admission implied by payment</w:t>
      </w:r>
      <w:bookmarkEnd w:id="344"/>
    </w:p>
    <w:p>
      <w:pPr>
        <w:pStyle w:val="Subsection"/>
      </w:pPr>
      <w:r>
        <w:tab/>
      </w:r>
      <w:r>
        <w:tab/>
        <w:t>Payment of a modified penalty is not to be regarded as an admission for the purposes of any proceedings, whether civil or criminal.</w:t>
      </w:r>
    </w:p>
    <w:p>
      <w:pPr>
        <w:pStyle w:val="Footnotesection"/>
      </w:pPr>
      <w:r>
        <w:tab/>
        <w:t>[Section 175L inserted: No. 42 of 2004 s. 129.]</w:t>
      </w:r>
    </w:p>
    <w:p>
      <w:pPr>
        <w:pStyle w:val="Heading5"/>
      </w:pPr>
      <w:bookmarkStart w:id="345" w:name="_Toc33534500"/>
      <w:r>
        <w:rPr>
          <w:rStyle w:val="CharSectno"/>
        </w:rPr>
        <w:t>175M</w:t>
      </w:r>
      <w:r>
        <w:t>.</w:t>
      </w:r>
      <w:r>
        <w:tab/>
        <w:t>Application of penalties collected</w:t>
      </w:r>
      <w:bookmarkEnd w:id="345"/>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No. 42 of 2004 s. 129.]</w:t>
      </w:r>
    </w:p>
    <w:p>
      <w:pPr>
        <w:pStyle w:val="Heading2"/>
      </w:pPr>
      <w:bookmarkStart w:id="346" w:name="_Toc33534501"/>
      <w:r>
        <w:rPr>
          <w:rStyle w:val="CharPartNo"/>
        </w:rPr>
        <w:t>Part XI</w:t>
      </w:r>
      <w:r>
        <w:rPr>
          <w:b w:val="0"/>
        </w:rPr>
        <w:t> </w:t>
      </w:r>
      <w:r>
        <w:t>—</w:t>
      </w:r>
      <w:r>
        <w:rPr>
          <w:b w:val="0"/>
        </w:rPr>
        <w:t> </w:t>
      </w:r>
      <w:r>
        <w:rPr>
          <w:rStyle w:val="CharPartText"/>
        </w:rPr>
        <w:t>Dispute resolution</w:t>
      </w:r>
      <w:bookmarkEnd w:id="346"/>
    </w:p>
    <w:p>
      <w:pPr>
        <w:pStyle w:val="Footnoteheading"/>
      </w:pPr>
      <w:r>
        <w:tab/>
        <w:t>[Heading inserted: No. 42 of 2004 s. 130.]</w:t>
      </w:r>
    </w:p>
    <w:p>
      <w:pPr>
        <w:pStyle w:val="Heading3"/>
      </w:pPr>
      <w:bookmarkStart w:id="347" w:name="_Toc33534502"/>
      <w:r>
        <w:rPr>
          <w:rStyle w:val="CharDivNo"/>
        </w:rPr>
        <w:t>Division 1</w:t>
      </w:r>
      <w:r>
        <w:t> — </w:t>
      </w:r>
      <w:r>
        <w:rPr>
          <w:rStyle w:val="CharDivText"/>
        </w:rPr>
        <w:t>General</w:t>
      </w:r>
      <w:bookmarkEnd w:id="347"/>
    </w:p>
    <w:p>
      <w:pPr>
        <w:pStyle w:val="Footnoteheading"/>
      </w:pPr>
      <w:r>
        <w:tab/>
        <w:t>[Heading inserted: No. 42 of 2004 s. 130.]</w:t>
      </w:r>
    </w:p>
    <w:p>
      <w:pPr>
        <w:pStyle w:val="Heading5"/>
      </w:pPr>
      <w:bookmarkStart w:id="348" w:name="_Toc33534503"/>
      <w:r>
        <w:rPr>
          <w:rStyle w:val="CharSectno"/>
        </w:rPr>
        <w:t>176</w:t>
      </w:r>
      <w:r>
        <w:t>.</w:t>
      </w:r>
      <w:r>
        <w:tab/>
        <w:t>Exclusive jurisdiction of arbitrators</w:t>
      </w:r>
      <w:bookmarkEnd w:id="348"/>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No. 42 of 2004 s. 130; amended: No. 31 of 2011 s. 41.]</w:t>
      </w:r>
    </w:p>
    <w:p>
      <w:pPr>
        <w:pStyle w:val="Heading5"/>
      </w:pPr>
      <w:bookmarkStart w:id="349" w:name="_Toc33534504"/>
      <w:r>
        <w:rPr>
          <w:rStyle w:val="CharSectno"/>
        </w:rPr>
        <w:t>177</w:t>
      </w:r>
      <w:r>
        <w:t>.</w:t>
      </w:r>
      <w:r>
        <w:tab/>
        <w:t>Object of this Part</w:t>
      </w:r>
      <w:bookmarkEnd w:id="349"/>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Dispute resolution authorities and officers of WorkCover WA mentioned in section 181(2)(b)(ii) or 182ZO(2)(b)(ii) are to have regard to the object of this Part when they perform their functions.</w:t>
      </w:r>
    </w:p>
    <w:p>
      <w:pPr>
        <w:pStyle w:val="Footnotesection"/>
      </w:pPr>
      <w:r>
        <w:tab/>
        <w:t>[Section 177 inserted: No. 31 of 2011 s. 4.]</w:t>
      </w:r>
    </w:p>
    <w:p>
      <w:pPr>
        <w:pStyle w:val="Heading3"/>
      </w:pPr>
      <w:bookmarkStart w:id="350" w:name="_Toc33534505"/>
      <w:r>
        <w:rPr>
          <w:rStyle w:val="CharDivNo"/>
        </w:rPr>
        <w:t>Division 2</w:t>
      </w:r>
      <w:r>
        <w:t> — </w:t>
      </w:r>
      <w:r>
        <w:rPr>
          <w:rStyle w:val="CharDivText"/>
        </w:rPr>
        <w:t>Requirements before commencing proceeding</w:t>
      </w:r>
      <w:bookmarkEnd w:id="350"/>
    </w:p>
    <w:p>
      <w:pPr>
        <w:pStyle w:val="Footnoteheading"/>
      </w:pPr>
      <w:r>
        <w:tab/>
        <w:t>[Heading inserted: No. 42 of 2004 s. 130.]</w:t>
      </w:r>
    </w:p>
    <w:p>
      <w:pPr>
        <w:pStyle w:val="Heading5"/>
        <w:spacing w:before="120"/>
      </w:pPr>
      <w:bookmarkStart w:id="351" w:name="_Toc33534506"/>
      <w:r>
        <w:rPr>
          <w:rStyle w:val="CharSectno"/>
        </w:rPr>
        <w:t>178</w:t>
      </w:r>
      <w:r>
        <w:t>.</w:t>
      </w:r>
      <w:r>
        <w:tab/>
        <w:t>Notice of injury, and claim for compensation, requirements for</w:t>
      </w:r>
      <w:bookmarkEnd w:id="351"/>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No. 42 of 2004 s. 130; amended: No. 31 of 2011 s. 120.]</w:t>
      </w:r>
    </w:p>
    <w:p>
      <w:pPr>
        <w:pStyle w:val="Heading5"/>
      </w:pPr>
      <w:bookmarkStart w:id="352" w:name="_Toc33534507"/>
      <w:r>
        <w:rPr>
          <w:rStyle w:val="CharSectno"/>
        </w:rPr>
        <w:t>179</w:t>
      </w:r>
      <w:r>
        <w:t>.</w:t>
      </w:r>
      <w:r>
        <w:tab/>
        <w:t>Notice of injury, service of</w:t>
      </w:r>
      <w:bookmarkEnd w:id="352"/>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No. 42 of 2004 s. 130.]</w:t>
      </w:r>
    </w:p>
    <w:p>
      <w:pPr>
        <w:pStyle w:val="Heading5"/>
      </w:pPr>
      <w:bookmarkStart w:id="353" w:name="_Toc33534508"/>
      <w:r>
        <w:rPr>
          <w:rStyle w:val="CharSectno"/>
        </w:rPr>
        <w:t>180</w:t>
      </w:r>
      <w:r>
        <w:t>.</w:t>
      </w:r>
      <w:r>
        <w:tab/>
        <w:t>Relevant documents to be provided by parties</w:t>
      </w:r>
      <w:bookmarkEnd w:id="353"/>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No. 42 of 2004 s. 130; amended: No. 16 of 2005 s. 22; No. 31 of 2011 s. 42.]</w:t>
      </w:r>
    </w:p>
    <w:p>
      <w:pPr>
        <w:pStyle w:val="Heading3"/>
      </w:pPr>
      <w:bookmarkStart w:id="354" w:name="_Toc33534509"/>
      <w:r>
        <w:rPr>
          <w:rStyle w:val="CharDivNo"/>
        </w:rPr>
        <w:t>Division 3</w:t>
      </w:r>
      <w:r>
        <w:t> — </w:t>
      </w:r>
      <w:r>
        <w:rPr>
          <w:rStyle w:val="CharDivText"/>
        </w:rPr>
        <w:t>Conciliation</w:t>
      </w:r>
      <w:bookmarkEnd w:id="354"/>
    </w:p>
    <w:p>
      <w:pPr>
        <w:pStyle w:val="Footnoteheading"/>
      </w:pPr>
      <w:r>
        <w:tab/>
        <w:t>[Heading inserted: No. 31 of 2011 s. 5.]</w:t>
      </w:r>
    </w:p>
    <w:p>
      <w:pPr>
        <w:pStyle w:val="Heading4"/>
      </w:pPr>
      <w:bookmarkStart w:id="355" w:name="_Toc33534510"/>
      <w:r>
        <w:t>Subdivision 1 — Workers’ Compensation Conciliation Service</w:t>
      </w:r>
      <w:bookmarkEnd w:id="355"/>
    </w:p>
    <w:p>
      <w:pPr>
        <w:pStyle w:val="Footnoteheading"/>
      </w:pPr>
      <w:r>
        <w:tab/>
        <w:t>[Heading inserted: No. 31 of 2011 s. 5.]</w:t>
      </w:r>
    </w:p>
    <w:p>
      <w:pPr>
        <w:pStyle w:val="Heading5"/>
      </w:pPr>
      <w:bookmarkStart w:id="356" w:name="_Toc33534511"/>
      <w:r>
        <w:rPr>
          <w:rStyle w:val="CharSectno"/>
        </w:rPr>
        <w:t>181</w:t>
      </w:r>
      <w:r>
        <w:t>.</w:t>
      </w:r>
      <w:r>
        <w:tab/>
        <w:t>Workers’ Compensation Conciliation Service established</w:t>
      </w:r>
      <w:bookmarkEnd w:id="356"/>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officers of WorkCover WA assisting in the administration of the Conciliation Service and the performance of its functions.</w:t>
      </w:r>
    </w:p>
    <w:p>
      <w:pPr>
        <w:pStyle w:val="Footnotesection"/>
      </w:pPr>
      <w:r>
        <w:tab/>
        <w:t>[Section 181 inserted: No. 31 of 2011 s. 6.]</w:t>
      </w:r>
    </w:p>
    <w:p>
      <w:pPr>
        <w:pStyle w:val="Heading5"/>
      </w:pPr>
      <w:bookmarkStart w:id="357" w:name="_Toc33534512"/>
      <w:r>
        <w:rPr>
          <w:rStyle w:val="CharSectno"/>
        </w:rPr>
        <w:t>182A</w:t>
      </w:r>
      <w:r>
        <w:t>.</w:t>
      </w:r>
      <w:r>
        <w:tab/>
        <w:t>Director, Conciliation, designation and functions of</w:t>
      </w:r>
      <w:bookmarkEnd w:id="357"/>
    </w:p>
    <w:p>
      <w:pPr>
        <w:pStyle w:val="Subsection"/>
      </w:pPr>
      <w:r>
        <w:tab/>
        <w:t>(1)</w:t>
      </w:r>
      <w:r>
        <w:tab/>
        <w:t xml:space="preserve">The </w:t>
      </w:r>
      <w:r>
        <w:rPr>
          <w:bCs/>
          <w:iCs/>
        </w:rPr>
        <w:t xml:space="preserve">chief executive officer </w:t>
      </w:r>
      <w:r>
        <w:t>is to designate a person who is an officer of WorkCover WA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No. 31 of 2011 s. 6.]</w:t>
      </w:r>
    </w:p>
    <w:p>
      <w:pPr>
        <w:pStyle w:val="Heading5"/>
      </w:pPr>
      <w:bookmarkStart w:id="358" w:name="_Toc33534513"/>
      <w:r>
        <w:rPr>
          <w:rStyle w:val="CharSectno"/>
        </w:rPr>
        <w:t>182B</w:t>
      </w:r>
      <w:r>
        <w:t>.</w:t>
      </w:r>
      <w:r>
        <w:tab/>
        <w:t>Conciliation officers, designation of etc.</w:t>
      </w:r>
      <w:bookmarkEnd w:id="358"/>
    </w:p>
    <w:p>
      <w:pPr>
        <w:pStyle w:val="Subsection"/>
      </w:pPr>
      <w:r>
        <w:tab/>
        <w:t>(1)</w:t>
      </w:r>
      <w:r>
        <w:tab/>
        <w:t xml:space="preserve">The </w:t>
      </w:r>
      <w:r>
        <w:rPr>
          <w:bCs/>
          <w:iCs/>
        </w:rPr>
        <w:t>chief executive officer may</w:t>
      </w:r>
      <w:r>
        <w:t xml:space="preserve"> designate a person who is an officer of WorkCover WA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No. 31 of 2011 s. 6.]</w:t>
      </w:r>
    </w:p>
    <w:p>
      <w:pPr>
        <w:pStyle w:val="Heading5"/>
      </w:pPr>
      <w:bookmarkStart w:id="359" w:name="_Toc33534514"/>
      <w:r>
        <w:rPr>
          <w:rStyle w:val="CharSectno"/>
        </w:rPr>
        <w:t>182C</w:t>
      </w:r>
      <w:r>
        <w:t>.</w:t>
      </w:r>
      <w:r>
        <w:tab/>
        <w:t>Provisions about designations</w:t>
      </w:r>
      <w:bookmarkEnd w:id="359"/>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The designation of a person ceases to have effect if the person ceases to be an officer of WorkCover WA.</w:t>
      </w:r>
    </w:p>
    <w:p>
      <w:pPr>
        <w:pStyle w:val="Footnotesection"/>
      </w:pPr>
      <w:r>
        <w:tab/>
        <w:t>[Section 182C inserted: No. 31 of 2011 s. 6.]</w:t>
      </w:r>
    </w:p>
    <w:p>
      <w:pPr>
        <w:pStyle w:val="Heading5"/>
      </w:pPr>
      <w:bookmarkStart w:id="360" w:name="_Toc33534515"/>
      <w:r>
        <w:rPr>
          <w:rStyle w:val="CharSectno"/>
        </w:rPr>
        <w:t>182D</w:t>
      </w:r>
      <w:r>
        <w:t>.</w:t>
      </w:r>
      <w:r>
        <w:tab/>
        <w:t>Delegation by Director</w:t>
      </w:r>
      <w:bookmarkEnd w:id="360"/>
    </w:p>
    <w:p>
      <w:pPr>
        <w:pStyle w:val="Subsection"/>
      </w:pPr>
      <w:r>
        <w:tab/>
        <w:t>(1)</w:t>
      </w:r>
      <w:r>
        <w:tab/>
        <w:t>The Director may delegate a power or duty given to the Director under this Act to an officer of WorkCover WA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No. 31 of 2011 s. 6.]</w:t>
      </w:r>
    </w:p>
    <w:p>
      <w:pPr>
        <w:pStyle w:val="Heading4"/>
      </w:pPr>
      <w:bookmarkStart w:id="361" w:name="_Toc33534516"/>
      <w:r>
        <w:t>Subdivision 2 — Resolution of disputes by conciliation</w:t>
      </w:r>
      <w:bookmarkEnd w:id="361"/>
    </w:p>
    <w:p>
      <w:pPr>
        <w:pStyle w:val="Footnoteheading"/>
      </w:pPr>
      <w:r>
        <w:tab/>
        <w:t>[Heading inserted: No. 31 of 2011 s. 6.]</w:t>
      </w:r>
    </w:p>
    <w:p>
      <w:pPr>
        <w:pStyle w:val="Heading5"/>
      </w:pPr>
      <w:bookmarkStart w:id="362" w:name="_Toc33534517"/>
      <w:r>
        <w:rPr>
          <w:rStyle w:val="CharSectno"/>
        </w:rPr>
        <w:t>182E</w:t>
      </w:r>
      <w:r>
        <w:t>.</w:t>
      </w:r>
      <w:r>
        <w:tab/>
        <w:t>Application for conciliation</w:t>
      </w:r>
      <w:bookmarkEnd w:id="362"/>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PermNoteHeading"/>
      </w:pPr>
      <w:r>
        <w:tab/>
        <w:t>Note for this section:</w:t>
      </w:r>
    </w:p>
    <w:p>
      <w:pPr>
        <w:pStyle w:val="PermNoteText"/>
      </w:pPr>
      <w:r>
        <w:tab/>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No. 31 of 2011 s. 6.]</w:t>
      </w:r>
    </w:p>
    <w:p>
      <w:pPr>
        <w:pStyle w:val="Heading5"/>
      </w:pPr>
      <w:bookmarkStart w:id="363" w:name="_Toc33534518"/>
      <w:r>
        <w:rPr>
          <w:rStyle w:val="CharSectno"/>
        </w:rPr>
        <w:t>182F</w:t>
      </w:r>
      <w:r>
        <w:t>.</w:t>
      </w:r>
      <w:r>
        <w:tab/>
        <w:t>Acceptance of application by Director</w:t>
      </w:r>
      <w:bookmarkEnd w:id="363"/>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No. 31 of 2011 s. 6.]</w:t>
      </w:r>
    </w:p>
    <w:p>
      <w:pPr>
        <w:pStyle w:val="Heading5"/>
      </w:pPr>
      <w:bookmarkStart w:id="364" w:name="_Toc33534519"/>
      <w:r>
        <w:rPr>
          <w:rStyle w:val="CharSectno"/>
        </w:rPr>
        <w:t>182G</w:t>
      </w:r>
      <w:r>
        <w:t>.</w:t>
      </w:r>
      <w:r>
        <w:tab/>
        <w:t>Director to allocate dispute</w:t>
      </w:r>
      <w:bookmarkEnd w:id="364"/>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keepNext/>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No. 31 of 2011 s. 6.]</w:t>
      </w:r>
    </w:p>
    <w:p>
      <w:pPr>
        <w:pStyle w:val="Heading5"/>
      </w:pPr>
      <w:bookmarkStart w:id="365" w:name="_Toc33534520"/>
      <w:r>
        <w:rPr>
          <w:rStyle w:val="CharSectno"/>
        </w:rPr>
        <w:t>182H</w:t>
      </w:r>
      <w:r>
        <w:t>.</w:t>
      </w:r>
      <w:r>
        <w:tab/>
        <w:t>Director may certify dispute is not suitable for conciliation</w:t>
      </w:r>
      <w:bookmarkEnd w:id="365"/>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No. 31 of 2011 s. 6.]</w:t>
      </w:r>
    </w:p>
    <w:p>
      <w:pPr>
        <w:pStyle w:val="Heading5"/>
      </w:pPr>
      <w:bookmarkStart w:id="366" w:name="_Toc33534521"/>
      <w:r>
        <w:rPr>
          <w:rStyle w:val="CharSectno"/>
        </w:rPr>
        <w:t>182I</w:t>
      </w:r>
      <w:r>
        <w:t>.</w:t>
      </w:r>
      <w:r>
        <w:tab/>
        <w:t>Duties of conciliation officers</w:t>
      </w:r>
      <w:bookmarkEnd w:id="366"/>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No. 31 of 2011 s. 6.]</w:t>
      </w:r>
    </w:p>
    <w:p>
      <w:pPr>
        <w:pStyle w:val="Heading5"/>
      </w:pPr>
      <w:bookmarkStart w:id="367" w:name="_Toc33534522"/>
      <w:r>
        <w:rPr>
          <w:rStyle w:val="CharSectno"/>
        </w:rPr>
        <w:t>182J</w:t>
      </w:r>
      <w:r>
        <w:t>.</w:t>
      </w:r>
      <w:r>
        <w:tab/>
        <w:t>Powers of conciliation officers</w:t>
      </w:r>
      <w:bookmarkEnd w:id="367"/>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r>
        <w:tab/>
        <w:t>[Section 182J inserted: No. 31 of 2011 s. 6.]</w:t>
      </w:r>
    </w:p>
    <w:p>
      <w:pPr>
        <w:pStyle w:val="Heading5"/>
      </w:pPr>
      <w:bookmarkStart w:id="368" w:name="_Toc33534523"/>
      <w:r>
        <w:rPr>
          <w:rStyle w:val="CharSectno"/>
        </w:rPr>
        <w:t>182K</w:t>
      </w:r>
      <w:r>
        <w:t>.</w:t>
      </w:r>
      <w:r>
        <w:tab/>
        <w:t>Weekly payments etc., conciliation officers may direct etc.</w:t>
      </w:r>
      <w:bookmarkEnd w:id="368"/>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No. 31 of 2011 s. 6.]</w:t>
      </w:r>
    </w:p>
    <w:p>
      <w:pPr>
        <w:pStyle w:val="Heading5"/>
      </w:pPr>
      <w:bookmarkStart w:id="369" w:name="_Toc33534524"/>
      <w:r>
        <w:rPr>
          <w:rStyle w:val="CharSectno"/>
        </w:rPr>
        <w:t>182L</w:t>
      </w:r>
      <w:r>
        <w:t>.</w:t>
      </w:r>
      <w:r>
        <w:tab/>
        <w:t>Suspending and reducing weekly payments, conciliation officers’ powers for etc.</w:t>
      </w:r>
      <w:bookmarkEnd w:id="369"/>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No. 31 of 2011 s. 6.]</w:t>
      </w:r>
    </w:p>
    <w:p>
      <w:pPr>
        <w:pStyle w:val="Heading5"/>
      </w:pPr>
      <w:bookmarkStart w:id="370" w:name="_Toc33534525"/>
      <w:r>
        <w:rPr>
          <w:rStyle w:val="CharSectno"/>
        </w:rPr>
        <w:t>182M</w:t>
      </w:r>
      <w:r>
        <w:t>.</w:t>
      </w:r>
      <w:r>
        <w:tab/>
        <w:t>Provisions about directions</w:t>
      </w:r>
      <w:bookmarkEnd w:id="370"/>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No. 31 of 2011 s. 6.]</w:t>
      </w:r>
    </w:p>
    <w:p>
      <w:pPr>
        <w:pStyle w:val="Heading5"/>
      </w:pPr>
      <w:bookmarkStart w:id="371" w:name="_Toc33534526"/>
      <w:r>
        <w:rPr>
          <w:rStyle w:val="CharSectno"/>
        </w:rPr>
        <w:t>182N</w:t>
      </w:r>
      <w:r>
        <w:t>.</w:t>
      </w:r>
      <w:r>
        <w:tab/>
        <w:t>Finalising orders</w:t>
      </w:r>
      <w:bookmarkEnd w:id="371"/>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No. 31 of 2011 s. 6.]</w:t>
      </w:r>
    </w:p>
    <w:p>
      <w:pPr>
        <w:pStyle w:val="Heading5"/>
      </w:pPr>
      <w:bookmarkStart w:id="372" w:name="_Toc33534527"/>
      <w:r>
        <w:rPr>
          <w:rStyle w:val="CharSectno"/>
        </w:rPr>
        <w:t>182O</w:t>
      </w:r>
      <w:r>
        <w:t>.</w:t>
      </w:r>
      <w:r>
        <w:tab/>
        <w:t>Conclusion of conciliation and certificate of outcome</w:t>
      </w:r>
      <w:bookmarkEnd w:id="372"/>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keepNext/>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No. 31 of 2011 s. 6.]</w:t>
      </w:r>
    </w:p>
    <w:p>
      <w:pPr>
        <w:pStyle w:val="Heading4"/>
      </w:pPr>
      <w:bookmarkStart w:id="373" w:name="_Toc33534528"/>
      <w:r>
        <w:t>Subdivision 3 — Practice and procedure</w:t>
      </w:r>
      <w:bookmarkEnd w:id="373"/>
    </w:p>
    <w:p>
      <w:pPr>
        <w:pStyle w:val="Footnoteheading"/>
      </w:pPr>
      <w:r>
        <w:tab/>
        <w:t>[Heading inserted: No. 31 of 2011 s. 6.]</w:t>
      </w:r>
    </w:p>
    <w:p>
      <w:pPr>
        <w:pStyle w:val="Heading5"/>
      </w:pPr>
      <w:bookmarkStart w:id="374" w:name="_Toc33534529"/>
      <w:r>
        <w:rPr>
          <w:rStyle w:val="CharSectno"/>
        </w:rPr>
        <w:t>182P</w:t>
      </w:r>
      <w:r>
        <w:t>.</w:t>
      </w:r>
      <w:r>
        <w:tab/>
        <w:t>Obtaining information</w:t>
      </w:r>
      <w:bookmarkEnd w:id="374"/>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No. 31 of 2011 s. 6.]</w:t>
      </w:r>
    </w:p>
    <w:p>
      <w:pPr>
        <w:pStyle w:val="Heading5"/>
      </w:pPr>
      <w:bookmarkStart w:id="375" w:name="_Toc33534530"/>
      <w:r>
        <w:rPr>
          <w:rStyle w:val="CharSectno"/>
        </w:rPr>
        <w:t>182Q</w:t>
      </w:r>
      <w:r>
        <w:t>.</w:t>
      </w:r>
      <w:r>
        <w:tab/>
        <w:t>Scope of conciliation</w:t>
      </w:r>
      <w:bookmarkEnd w:id="375"/>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No. 31 of 2011 s. 6.]</w:t>
      </w:r>
    </w:p>
    <w:p>
      <w:pPr>
        <w:pStyle w:val="Heading5"/>
      </w:pPr>
      <w:bookmarkStart w:id="376" w:name="_Toc33534531"/>
      <w:r>
        <w:rPr>
          <w:rStyle w:val="CharSectno"/>
        </w:rPr>
        <w:t>182R</w:t>
      </w:r>
      <w:r>
        <w:t>.</w:t>
      </w:r>
      <w:r>
        <w:tab/>
        <w:t>Conciliation officer may provide information to another party or a medical practitioner</w:t>
      </w:r>
      <w:bookmarkEnd w:id="376"/>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No. 31 of 2011 s. 6.]</w:t>
      </w:r>
    </w:p>
    <w:p>
      <w:pPr>
        <w:pStyle w:val="Heading5"/>
      </w:pPr>
      <w:bookmarkStart w:id="377" w:name="_Toc33534532"/>
      <w:r>
        <w:rPr>
          <w:rStyle w:val="CharSectno"/>
        </w:rPr>
        <w:t>182S</w:t>
      </w:r>
      <w:r>
        <w:t>.</w:t>
      </w:r>
      <w:r>
        <w:tab/>
        <w:t>Representation</w:t>
      </w:r>
      <w:bookmarkEnd w:id="377"/>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No. 31 of 2011 s. 6.]</w:t>
      </w:r>
    </w:p>
    <w:p>
      <w:pPr>
        <w:pStyle w:val="Heading5"/>
      </w:pPr>
      <w:bookmarkStart w:id="378" w:name="_Toc33534533"/>
      <w:r>
        <w:rPr>
          <w:rStyle w:val="CharSectno"/>
        </w:rPr>
        <w:t>182T</w:t>
      </w:r>
      <w:r>
        <w:t>.</w:t>
      </w:r>
      <w:r>
        <w:tab/>
        <w:t>Litigation guardians, rules about</w:t>
      </w:r>
      <w:bookmarkEnd w:id="378"/>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No. 31 of 2011 s. 6.]</w:t>
      </w:r>
    </w:p>
    <w:p>
      <w:pPr>
        <w:pStyle w:val="Heading5"/>
      </w:pPr>
      <w:bookmarkStart w:id="379" w:name="_Toc33534534"/>
      <w:r>
        <w:rPr>
          <w:rStyle w:val="CharSectno"/>
        </w:rPr>
        <w:t>182U</w:t>
      </w:r>
      <w:r>
        <w:t>.</w:t>
      </w:r>
      <w:r>
        <w:tab/>
        <w:t>Interpreters and assistants</w:t>
      </w:r>
      <w:bookmarkEnd w:id="379"/>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No. 31 of 2011 s. 6.]</w:t>
      </w:r>
    </w:p>
    <w:p>
      <w:pPr>
        <w:pStyle w:val="Heading5"/>
      </w:pPr>
      <w:bookmarkStart w:id="380" w:name="_Toc33534535"/>
      <w:r>
        <w:rPr>
          <w:rStyle w:val="CharSectno"/>
        </w:rPr>
        <w:t>182V</w:t>
      </w:r>
      <w:r>
        <w:t>.</w:t>
      </w:r>
      <w:r>
        <w:tab/>
        <w:t>Ways of conducting conciliation</w:t>
      </w:r>
      <w:bookmarkEnd w:id="380"/>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No. 31 of 2011 s. 6.]</w:t>
      </w:r>
    </w:p>
    <w:p>
      <w:pPr>
        <w:pStyle w:val="Heading5"/>
      </w:pPr>
      <w:bookmarkStart w:id="381" w:name="_Toc33534536"/>
      <w:r>
        <w:rPr>
          <w:rStyle w:val="CharSectno"/>
        </w:rPr>
        <w:t>182W</w:t>
      </w:r>
      <w:r>
        <w:t>.</w:t>
      </w:r>
      <w:r>
        <w:tab/>
        <w:t>Conciliation to be in private</w:t>
      </w:r>
      <w:bookmarkEnd w:id="381"/>
    </w:p>
    <w:p>
      <w:pPr>
        <w:pStyle w:val="Subsection"/>
        <w:keepNext/>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No. 31 of 2011 s. 6.]</w:t>
      </w:r>
    </w:p>
    <w:p>
      <w:pPr>
        <w:pStyle w:val="Heading5"/>
      </w:pPr>
      <w:bookmarkStart w:id="382" w:name="_Toc33534537"/>
      <w:r>
        <w:rPr>
          <w:rStyle w:val="CharSectno"/>
        </w:rPr>
        <w:t>182X</w:t>
      </w:r>
      <w:r>
        <w:t>.</w:t>
      </w:r>
      <w:r>
        <w:tab/>
        <w:t>Meetings and conferences, notice of and failure to attend</w:t>
      </w:r>
      <w:bookmarkEnd w:id="382"/>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No. 31 of 2011 s. 6.]</w:t>
      </w:r>
    </w:p>
    <w:p>
      <w:pPr>
        <w:pStyle w:val="Heading5"/>
      </w:pPr>
      <w:bookmarkStart w:id="383" w:name="_Toc33534538"/>
      <w:r>
        <w:rPr>
          <w:rStyle w:val="CharSectno"/>
        </w:rPr>
        <w:t>182Y</w:t>
      </w:r>
      <w:r>
        <w:t>.</w:t>
      </w:r>
      <w:r>
        <w:tab/>
        <w:t>Privilege against self-incrimination</w:t>
      </w:r>
      <w:bookmarkEnd w:id="383"/>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No. 31 of 2011 s. 6.]</w:t>
      </w:r>
    </w:p>
    <w:p>
      <w:pPr>
        <w:pStyle w:val="Heading5"/>
      </w:pPr>
      <w:bookmarkStart w:id="384" w:name="_Toc33534539"/>
      <w:r>
        <w:rPr>
          <w:rStyle w:val="CharSectno"/>
        </w:rPr>
        <w:t>182ZA</w:t>
      </w:r>
      <w:r>
        <w:t>.</w:t>
      </w:r>
      <w:r>
        <w:tab/>
        <w:t>Legal professional privilege in relation to medical reports</w:t>
      </w:r>
      <w:bookmarkEnd w:id="384"/>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or her capacity as a legal practitioner.</w:t>
      </w:r>
    </w:p>
    <w:p>
      <w:pPr>
        <w:pStyle w:val="Footnotesection"/>
      </w:pPr>
      <w:r>
        <w:tab/>
        <w:t>[Section 182ZA inserted: No. 31 of 2011 s. 6.]</w:t>
      </w:r>
    </w:p>
    <w:p>
      <w:pPr>
        <w:pStyle w:val="Heading5"/>
      </w:pPr>
      <w:bookmarkStart w:id="385" w:name="_Toc33534540"/>
      <w:r>
        <w:rPr>
          <w:rStyle w:val="CharSectno"/>
        </w:rPr>
        <w:t>182ZB</w:t>
      </w:r>
      <w:r>
        <w:t>.</w:t>
      </w:r>
      <w:r>
        <w:tab/>
        <w:t>Other claims of privilege</w:t>
      </w:r>
      <w:bookmarkEnd w:id="385"/>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No. 31 of 2011 s. 6.]</w:t>
      </w:r>
    </w:p>
    <w:p>
      <w:pPr>
        <w:pStyle w:val="Heading5"/>
      </w:pPr>
      <w:bookmarkStart w:id="386" w:name="_Toc33534541"/>
      <w:r>
        <w:rPr>
          <w:rStyle w:val="CharSectno"/>
        </w:rPr>
        <w:t>182ZC</w:t>
      </w:r>
      <w:r>
        <w:t>.</w:t>
      </w:r>
      <w:r>
        <w:tab/>
        <w:t>Documents produced, use of etc. by conciliation officer</w:t>
      </w:r>
      <w:bookmarkEnd w:id="386"/>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No. 31 of 2011 s. 6.]</w:t>
      </w:r>
    </w:p>
    <w:p>
      <w:pPr>
        <w:pStyle w:val="Heading5"/>
      </w:pPr>
      <w:bookmarkStart w:id="387" w:name="_Toc33534542"/>
      <w:r>
        <w:rPr>
          <w:rStyle w:val="CharSectno"/>
        </w:rPr>
        <w:t>182ZD</w:t>
      </w:r>
      <w:r>
        <w:t>.</w:t>
      </w:r>
      <w:r>
        <w:tab/>
        <w:t>Medical dispute may be referred to medical assessment panel</w:t>
      </w:r>
      <w:bookmarkEnd w:id="387"/>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keepNext/>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No. 31 of 2011 s. 6.]</w:t>
      </w:r>
    </w:p>
    <w:p>
      <w:pPr>
        <w:pStyle w:val="Heading4"/>
      </w:pPr>
      <w:bookmarkStart w:id="388" w:name="_Toc33534543"/>
      <w:r>
        <w:t>Subdivision 4 — General provisions about directions, orders and conciliation agreements</w:t>
      </w:r>
      <w:bookmarkEnd w:id="388"/>
    </w:p>
    <w:p>
      <w:pPr>
        <w:pStyle w:val="Footnoteheading"/>
      </w:pPr>
      <w:r>
        <w:tab/>
        <w:t>[Heading inserted: No. 31 of 2011 s. 6.]</w:t>
      </w:r>
    </w:p>
    <w:p>
      <w:pPr>
        <w:pStyle w:val="Heading5"/>
      </w:pPr>
      <w:bookmarkStart w:id="389" w:name="_Toc33534544"/>
      <w:r>
        <w:rPr>
          <w:rStyle w:val="CharSectno"/>
        </w:rPr>
        <w:t>182ZE</w:t>
      </w:r>
      <w:r>
        <w:t>.</w:t>
      </w:r>
      <w:r>
        <w:tab/>
        <w:t>Terms used</w:t>
      </w:r>
      <w:bookmarkEnd w:id="389"/>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keepNex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No. 31 of 2011 s. 6.]</w:t>
      </w:r>
    </w:p>
    <w:p>
      <w:pPr>
        <w:pStyle w:val="Heading5"/>
      </w:pPr>
      <w:bookmarkStart w:id="390" w:name="_Toc33534545"/>
      <w:r>
        <w:rPr>
          <w:rStyle w:val="CharSectno"/>
        </w:rPr>
        <w:t>182ZF</w:t>
      </w:r>
      <w:r>
        <w:t>.</w:t>
      </w:r>
      <w:r>
        <w:tab/>
        <w:t>When decision or conciliation agreement has effect</w:t>
      </w:r>
      <w:bookmarkEnd w:id="390"/>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No. 31 of 2011 s. 6.]</w:t>
      </w:r>
    </w:p>
    <w:p>
      <w:pPr>
        <w:pStyle w:val="Heading5"/>
      </w:pPr>
      <w:bookmarkStart w:id="391" w:name="_Toc33534546"/>
      <w:r>
        <w:rPr>
          <w:rStyle w:val="CharSectno"/>
        </w:rPr>
        <w:t>182ZG</w:t>
      </w:r>
      <w:r>
        <w:t>.</w:t>
      </w:r>
      <w:r>
        <w:tab/>
        <w:t>Correcting mistakes</w:t>
      </w:r>
      <w:bookmarkEnd w:id="391"/>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No. 31 of 2011 s. 6.]</w:t>
      </w:r>
    </w:p>
    <w:p>
      <w:pPr>
        <w:pStyle w:val="Heading5"/>
      </w:pPr>
      <w:bookmarkStart w:id="392" w:name="_Toc33534547"/>
      <w:r>
        <w:rPr>
          <w:rStyle w:val="CharSectno"/>
        </w:rPr>
        <w:t>182ZH</w:t>
      </w:r>
      <w:r>
        <w:t>.</w:t>
      </w:r>
      <w:r>
        <w:tab/>
        <w:t>Enforcing decisions and conciliation agreements</w:t>
      </w:r>
      <w:bookmarkEnd w:id="392"/>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No. 31 of 2011 s. 6.]</w:t>
      </w:r>
    </w:p>
    <w:p>
      <w:pPr>
        <w:pStyle w:val="Heading5"/>
      </w:pPr>
      <w:bookmarkStart w:id="393" w:name="_Toc33534548"/>
      <w:r>
        <w:rPr>
          <w:rStyle w:val="CharSectno"/>
        </w:rPr>
        <w:t>182ZI</w:t>
      </w:r>
      <w:r>
        <w:t>.</w:t>
      </w:r>
      <w:r>
        <w:tab/>
        <w:t>Conciliation decisions not reviewable</w:t>
      </w:r>
      <w:bookmarkEnd w:id="393"/>
    </w:p>
    <w:p>
      <w:pPr>
        <w:pStyle w:val="Subsection"/>
      </w:pPr>
      <w:r>
        <w:tab/>
      </w:r>
      <w:r>
        <w:tab/>
        <w:t>Subject to sections 182ZJ and 182ZK a conciliation decision is not subject to an appeal or amenable to judicial review.</w:t>
      </w:r>
    </w:p>
    <w:p>
      <w:pPr>
        <w:pStyle w:val="Footnotesection"/>
      </w:pPr>
      <w:r>
        <w:tab/>
        <w:t>[Section 182ZI inserted: No. 31 of 2011 s. 6.]</w:t>
      </w:r>
    </w:p>
    <w:p>
      <w:pPr>
        <w:pStyle w:val="Heading5"/>
      </w:pPr>
      <w:bookmarkStart w:id="394" w:name="_Toc33534549"/>
      <w:r>
        <w:rPr>
          <w:rStyle w:val="CharSectno"/>
        </w:rPr>
        <w:t>182ZJ</w:t>
      </w:r>
      <w:r>
        <w:t>.</w:t>
      </w:r>
      <w:r>
        <w:tab/>
        <w:t>Provisions about revoked directions</w:t>
      </w:r>
      <w:bookmarkEnd w:id="394"/>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No. 31 of 2011 s. 6.]</w:t>
      </w:r>
    </w:p>
    <w:p>
      <w:pPr>
        <w:pStyle w:val="Heading5"/>
      </w:pPr>
      <w:bookmarkStart w:id="395" w:name="_Toc33534550"/>
      <w:r>
        <w:rPr>
          <w:rStyle w:val="CharSectno"/>
        </w:rPr>
        <w:t>182ZK</w:t>
      </w:r>
      <w:r>
        <w:t>.</w:t>
      </w:r>
      <w:r>
        <w:tab/>
        <w:t>Recovery of payments made under s. 182K direction</w:t>
      </w:r>
      <w:bookmarkEnd w:id="395"/>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No. 31 of 2011 s. 6.]</w:t>
      </w:r>
    </w:p>
    <w:p>
      <w:pPr>
        <w:pStyle w:val="Heading5"/>
      </w:pPr>
      <w:bookmarkStart w:id="396" w:name="_Toc33534551"/>
      <w:r>
        <w:rPr>
          <w:rStyle w:val="CharSectno"/>
        </w:rPr>
        <w:t>182ZL</w:t>
      </w:r>
      <w:r>
        <w:t>.</w:t>
      </w:r>
      <w:r>
        <w:tab/>
        <w:t>Director may order insurer to make payment directed under s. 182K</w:t>
      </w:r>
      <w:bookmarkEnd w:id="396"/>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No. 31 of 2011 s. 6.]</w:t>
      </w:r>
    </w:p>
    <w:p>
      <w:pPr>
        <w:pStyle w:val="Heading4"/>
      </w:pPr>
      <w:bookmarkStart w:id="397" w:name="_Toc33534552"/>
      <w:r>
        <w:t>Subdivision 5 — Miscellaneous</w:t>
      </w:r>
      <w:bookmarkEnd w:id="397"/>
    </w:p>
    <w:p>
      <w:pPr>
        <w:pStyle w:val="Footnoteheading"/>
      </w:pPr>
      <w:r>
        <w:tab/>
        <w:t>[Heading inserted: No. 31 of 2011 s. 6.]</w:t>
      </w:r>
    </w:p>
    <w:p>
      <w:pPr>
        <w:pStyle w:val="Heading5"/>
      </w:pPr>
      <w:bookmarkStart w:id="398" w:name="_Toc33534553"/>
      <w:r>
        <w:rPr>
          <w:rStyle w:val="CharSectno"/>
        </w:rPr>
        <w:t>182ZM</w:t>
      </w:r>
      <w:r>
        <w:t>.</w:t>
      </w:r>
      <w:r>
        <w:tab/>
        <w:t>Statement made to conciliation officer not admissible in subsequent proceedings</w:t>
      </w:r>
      <w:bookmarkEnd w:id="398"/>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No. 31 of 2011 s. 6.]</w:t>
      </w:r>
    </w:p>
    <w:p>
      <w:pPr>
        <w:pStyle w:val="Heading5"/>
      </w:pPr>
      <w:bookmarkStart w:id="399" w:name="_Toc33534554"/>
      <w:r>
        <w:rPr>
          <w:rStyle w:val="CharSectno"/>
        </w:rPr>
        <w:t>182ZN</w:t>
      </w:r>
      <w:r>
        <w:t>.</w:t>
      </w:r>
      <w:r>
        <w:tab/>
        <w:t>To whom compensation is to be paid</w:t>
      </w:r>
      <w:bookmarkEnd w:id="399"/>
    </w:p>
    <w:p>
      <w:pPr>
        <w:pStyle w:val="Subsection"/>
      </w:pPr>
      <w:r>
        <w:tab/>
      </w:r>
      <w:r>
        <w:tab/>
        <w:t>A sum directed or agreed to be payable as compensation is to be paid to the person to whom it is payable under the direction or conciliation agreement unless it is paid into the custody of WorkCover WA.</w:t>
      </w:r>
    </w:p>
    <w:p>
      <w:pPr>
        <w:pStyle w:val="Footnotesection"/>
      </w:pPr>
      <w:r>
        <w:tab/>
        <w:t>[Section 182ZN inserted: No. 31 of 2011 s. 6.]</w:t>
      </w:r>
    </w:p>
    <w:p>
      <w:pPr>
        <w:pStyle w:val="Heading3"/>
      </w:pPr>
      <w:bookmarkStart w:id="400" w:name="_Toc33534555"/>
      <w:r>
        <w:rPr>
          <w:rStyle w:val="CharDivNo"/>
        </w:rPr>
        <w:t>Division 4</w:t>
      </w:r>
      <w:r>
        <w:t> — </w:t>
      </w:r>
      <w:r>
        <w:rPr>
          <w:rStyle w:val="CharDivText"/>
        </w:rPr>
        <w:t>Arbitration</w:t>
      </w:r>
      <w:bookmarkEnd w:id="400"/>
    </w:p>
    <w:p>
      <w:pPr>
        <w:pStyle w:val="Footnoteheading"/>
      </w:pPr>
      <w:r>
        <w:tab/>
        <w:t>[Heading inserted: No. 31 of 2011 s. 6.]</w:t>
      </w:r>
    </w:p>
    <w:p>
      <w:pPr>
        <w:pStyle w:val="Heading4"/>
      </w:pPr>
      <w:bookmarkStart w:id="401" w:name="_Toc33534556"/>
      <w:r>
        <w:t>Subdivision 1 — Workers’ Compensation Arbitration Service</w:t>
      </w:r>
      <w:bookmarkEnd w:id="401"/>
    </w:p>
    <w:p>
      <w:pPr>
        <w:pStyle w:val="Footnoteheading"/>
      </w:pPr>
      <w:r>
        <w:tab/>
        <w:t>[Heading inserted: No. 31 of 2011 s. 6.]</w:t>
      </w:r>
    </w:p>
    <w:p>
      <w:pPr>
        <w:pStyle w:val="Heading5"/>
      </w:pPr>
      <w:bookmarkStart w:id="402" w:name="_Toc33534557"/>
      <w:r>
        <w:rPr>
          <w:rStyle w:val="CharSectno"/>
        </w:rPr>
        <w:t>182ZO</w:t>
      </w:r>
      <w:r>
        <w:t>.</w:t>
      </w:r>
      <w:r>
        <w:tab/>
        <w:t>Workers’ Compensation Arbitration Service established</w:t>
      </w:r>
      <w:bookmarkEnd w:id="402"/>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officers of WorkCover WA assisting in the administration of the Arbitration Service and the performance of its functions.</w:t>
      </w:r>
    </w:p>
    <w:p>
      <w:pPr>
        <w:pStyle w:val="Footnotesection"/>
      </w:pPr>
      <w:r>
        <w:tab/>
        <w:t>[Section 182ZO inserted: No. 31 of 2011 s. 6.]</w:t>
      </w:r>
    </w:p>
    <w:p>
      <w:pPr>
        <w:pStyle w:val="Heading5"/>
      </w:pPr>
      <w:bookmarkStart w:id="403" w:name="_Toc33534558"/>
      <w:r>
        <w:rPr>
          <w:rStyle w:val="CharSectno"/>
        </w:rPr>
        <w:t>182ZP</w:t>
      </w:r>
      <w:r>
        <w:t>.</w:t>
      </w:r>
      <w:r>
        <w:tab/>
        <w:t>Registrar, Arbitration, designation and functions of</w:t>
      </w:r>
      <w:bookmarkEnd w:id="403"/>
    </w:p>
    <w:p>
      <w:pPr>
        <w:pStyle w:val="Subsection"/>
      </w:pPr>
      <w:r>
        <w:tab/>
        <w:t>(1)</w:t>
      </w:r>
      <w:r>
        <w:tab/>
        <w:t xml:space="preserve">The </w:t>
      </w:r>
      <w:r>
        <w:rPr>
          <w:bCs/>
          <w:iCs/>
        </w:rPr>
        <w:t xml:space="preserve">chief executive officer </w:t>
      </w:r>
      <w:r>
        <w:t>is to designate a person who is an officer of WorkCover WA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No. 31 of 2011 s. 6.]</w:t>
      </w:r>
    </w:p>
    <w:p>
      <w:pPr>
        <w:pStyle w:val="Heading5"/>
      </w:pPr>
      <w:bookmarkStart w:id="404" w:name="_Toc33534559"/>
      <w:r>
        <w:rPr>
          <w:rStyle w:val="CharSectno"/>
        </w:rPr>
        <w:t>182ZQ</w:t>
      </w:r>
      <w:r>
        <w:t>.</w:t>
      </w:r>
      <w:r>
        <w:tab/>
        <w:t>Arbitrators, designation of etc.</w:t>
      </w:r>
      <w:bookmarkEnd w:id="404"/>
    </w:p>
    <w:p>
      <w:pPr>
        <w:pStyle w:val="Subsection"/>
      </w:pPr>
      <w:r>
        <w:tab/>
        <w:t>(1)</w:t>
      </w:r>
      <w:r>
        <w:tab/>
        <w:t xml:space="preserve">The </w:t>
      </w:r>
      <w:r>
        <w:rPr>
          <w:bCs/>
          <w:iCs/>
        </w:rPr>
        <w:t xml:space="preserve">chief executive officer may designate a person who </w:t>
      </w:r>
      <w:r>
        <w:t>is an officer of WorkCover WA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No. 31 of 2011 s. 6.]</w:t>
      </w:r>
    </w:p>
    <w:p>
      <w:pPr>
        <w:pStyle w:val="Heading5"/>
      </w:pPr>
      <w:bookmarkStart w:id="405" w:name="_Toc33534560"/>
      <w:r>
        <w:rPr>
          <w:rStyle w:val="CharSectno"/>
        </w:rPr>
        <w:t>182ZR</w:t>
      </w:r>
      <w:r>
        <w:t>.</w:t>
      </w:r>
      <w:r>
        <w:tab/>
        <w:t>Provisions about designations</w:t>
      </w:r>
      <w:bookmarkEnd w:id="405"/>
    </w:p>
    <w:p>
      <w:pPr>
        <w:pStyle w:val="Subsection"/>
      </w:pPr>
      <w:r>
        <w:tab/>
        <w:t>(1)</w:t>
      </w:r>
      <w:r>
        <w:tab/>
        <w:t xml:space="preserve">In this section — </w:t>
      </w:r>
    </w:p>
    <w:p>
      <w:pPr>
        <w:pStyle w:val="Defstart"/>
      </w:pPr>
      <w:r>
        <w:tab/>
      </w:r>
      <w:r>
        <w:rPr>
          <w:rStyle w:val="CharDefText"/>
        </w:rPr>
        <w:t>designation</w:t>
      </w:r>
      <w:r>
        <w:t xml:space="preserve"> 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The designation of a person ceases to have effect if the person ceases to be an officer of WorkCover WA.</w:t>
      </w:r>
    </w:p>
    <w:p>
      <w:pPr>
        <w:pStyle w:val="Footnotesection"/>
        <w:spacing w:before="100"/>
        <w:ind w:left="890" w:hanging="890"/>
      </w:pPr>
      <w:r>
        <w:tab/>
        <w:t>[Section 182ZR inserted: No. 31 of 2011 s. 6.]</w:t>
      </w:r>
    </w:p>
    <w:p>
      <w:pPr>
        <w:pStyle w:val="Heading5"/>
      </w:pPr>
      <w:bookmarkStart w:id="406" w:name="_Toc33534561"/>
      <w:r>
        <w:rPr>
          <w:rStyle w:val="CharSectno"/>
        </w:rPr>
        <w:t>182ZS</w:t>
      </w:r>
      <w:r>
        <w:t>.</w:t>
      </w:r>
      <w:r>
        <w:tab/>
        <w:t xml:space="preserve">Delegation by </w:t>
      </w:r>
      <w:r>
        <w:rPr>
          <w:bCs/>
          <w:iCs/>
        </w:rPr>
        <w:t>Registrar</w:t>
      </w:r>
      <w:bookmarkEnd w:id="406"/>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WorkCover WA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No. 31 of 2011 s. 6.]</w:t>
      </w:r>
    </w:p>
    <w:p>
      <w:pPr>
        <w:pStyle w:val="Heading4"/>
      </w:pPr>
      <w:bookmarkStart w:id="407" w:name="_Toc33534562"/>
      <w:r>
        <w:t>Subdivision 2 — Determination of disputes by arbitration</w:t>
      </w:r>
      <w:bookmarkEnd w:id="407"/>
    </w:p>
    <w:p>
      <w:pPr>
        <w:pStyle w:val="Footnoteheading"/>
      </w:pPr>
      <w:r>
        <w:tab/>
        <w:t>[Heading inserted: No. 31 of 2011 s. 6.]</w:t>
      </w:r>
    </w:p>
    <w:p>
      <w:pPr>
        <w:pStyle w:val="Heading5"/>
      </w:pPr>
      <w:bookmarkStart w:id="408" w:name="_Toc33534563"/>
      <w:r>
        <w:rPr>
          <w:rStyle w:val="CharSectno"/>
        </w:rPr>
        <w:t>182ZT</w:t>
      </w:r>
      <w:r>
        <w:t>.</w:t>
      </w:r>
      <w:r>
        <w:tab/>
        <w:t>Application for arbitration</w:t>
      </w:r>
      <w:bookmarkEnd w:id="408"/>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No. 31 of 2011 s. 6.]</w:t>
      </w:r>
    </w:p>
    <w:p>
      <w:pPr>
        <w:pStyle w:val="Heading5"/>
      </w:pPr>
      <w:bookmarkStart w:id="409" w:name="_Toc33534564"/>
      <w:r>
        <w:rPr>
          <w:rStyle w:val="CharSectno"/>
        </w:rPr>
        <w:t>182ZU</w:t>
      </w:r>
      <w:r>
        <w:t>.</w:t>
      </w:r>
      <w:r>
        <w:tab/>
        <w:t>Acceptance of application by Registrar</w:t>
      </w:r>
      <w:bookmarkEnd w:id="409"/>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No. 31 of 2011 s. 6.]</w:t>
      </w:r>
    </w:p>
    <w:p>
      <w:pPr>
        <w:pStyle w:val="Heading5"/>
      </w:pPr>
      <w:bookmarkStart w:id="410" w:name="_Toc33534565"/>
      <w:r>
        <w:rPr>
          <w:rStyle w:val="CharSectno"/>
        </w:rPr>
        <w:t>182ZV</w:t>
      </w:r>
      <w:r>
        <w:t>.</w:t>
      </w:r>
      <w:r>
        <w:tab/>
        <w:t>Registrar to allocate dispute</w:t>
      </w:r>
      <w:bookmarkEnd w:id="410"/>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No. 31 of 2011 s. 6.]</w:t>
      </w:r>
    </w:p>
    <w:p>
      <w:pPr>
        <w:pStyle w:val="Heading5"/>
      </w:pPr>
      <w:bookmarkStart w:id="411" w:name="_Toc33534566"/>
      <w:r>
        <w:rPr>
          <w:rStyle w:val="CharSectno"/>
        </w:rPr>
        <w:t>182</w:t>
      </w:r>
      <w:r>
        <w:t>.</w:t>
      </w:r>
      <w:r>
        <w:tab/>
        <w:t>Who is to be given a copy of an application</w:t>
      </w:r>
      <w:bookmarkEnd w:id="411"/>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No. 42 of 2004 s. 130; amended: No. 31 of 2011 s. 43, 75 and 76.]</w:t>
      </w:r>
    </w:p>
    <w:p>
      <w:pPr>
        <w:pStyle w:val="Heading5"/>
      </w:pPr>
      <w:bookmarkStart w:id="412" w:name="_Toc33534567"/>
      <w:r>
        <w:rPr>
          <w:rStyle w:val="CharSectno"/>
        </w:rPr>
        <w:t>183</w:t>
      </w:r>
      <w:r>
        <w:t>.</w:t>
      </w:r>
      <w:r>
        <w:tab/>
        <w:t>Information exchange by parties</w:t>
      </w:r>
      <w:bookmarkEnd w:id="412"/>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No. 42 of 2004 s. 130; amended: No. 31 of 2011 s. 44 and 76.]</w:t>
      </w:r>
    </w:p>
    <w:p>
      <w:pPr>
        <w:pStyle w:val="Ednotesection"/>
      </w:pPr>
      <w:r>
        <w:t>[</w:t>
      </w:r>
      <w:r>
        <w:rPr>
          <w:b/>
        </w:rPr>
        <w:t>184.</w:t>
      </w:r>
      <w:r>
        <w:tab/>
        <w:t>Deleted: No. 31 of 2011 s. 45.]</w:t>
      </w:r>
    </w:p>
    <w:p>
      <w:pPr>
        <w:pStyle w:val="Heading5"/>
      </w:pPr>
      <w:bookmarkStart w:id="413" w:name="_Toc33534568"/>
      <w:r>
        <w:rPr>
          <w:rStyle w:val="CharSectno"/>
        </w:rPr>
        <w:t>185</w:t>
      </w:r>
      <w:r>
        <w:t>.</w:t>
      </w:r>
      <w:r>
        <w:tab/>
        <w:t>Duties of arbitrators</w:t>
      </w:r>
      <w:bookmarkEnd w:id="413"/>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No. 31 of 2011 s. 7.]</w:t>
      </w:r>
    </w:p>
    <w:p>
      <w:pPr>
        <w:pStyle w:val="Ednotesection"/>
        <w:tabs>
          <w:tab w:val="clear" w:pos="893"/>
          <w:tab w:val="left" w:pos="1254"/>
        </w:tabs>
      </w:pPr>
      <w:r>
        <w:t>[</w:t>
      </w:r>
      <w:r>
        <w:rPr>
          <w:b/>
        </w:rPr>
        <w:t>186, 187.</w:t>
      </w:r>
      <w:r>
        <w:tab/>
        <w:t>Deleted: No. 31 of 2011 s. 46.]</w:t>
      </w:r>
    </w:p>
    <w:p>
      <w:pPr>
        <w:pStyle w:val="Heading4"/>
      </w:pPr>
      <w:bookmarkStart w:id="414" w:name="_Toc33534569"/>
      <w:r>
        <w:t>Subdivision 3 — Practice and procedure</w:t>
      </w:r>
      <w:bookmarkEnd w:id="414"/>
    </w:p>
    <w:p>
      <w:pPr>
        <w:pStyle w:val="Footnoteheading"/>
      </w:pPr>
      <w:r>
        <w:tab/>
        <w:t>[Heading inserted: No. 31 of 2011 s. 47.]</w:t>
      </w:r>
    </w:p>
    <w:p>
      <w:pPr>
        <w:pStyle w:val="Heading5"/>
      </w:pPr>
      <w:bookmarkStart w:id="415" w:name="_Toc33534570"/>
      <w:r>
        <w:rPr>
          <w:rStyle w:val="CharSectno"/>
        </w:rPr>
        <w:t>188</w:t>
      </w:r>
      <w:r>
        <w:t>.</w:t>
      </w:r>
      <w:r>
        <w:tab/>
        <w:t>Practice and procedure, generally</w:t>
      </w:r>
      <w:bookmarkEnd w:id="415"/>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No. 42 of 2004 s. 130; amended: No. 31 of 2011 s. 76.]</w:t>
      </w:r>
    </w:p>
    <w:p>
      <w:pPr>
        <w:pStyle w:val="Ednotesection"/>
        <w:outlineLvl w:val="9"/>
      </w:pPr>
      <w:r>
        <w:t>[</w:t>
      </w:r>
      <w:r>
        <w:rPr>
          <w:b/>
        </w:rPr>
        <w:t>188A.</w:t>
      </w:r>
      <w:r>
        <w:tab/>
        <w:t>Deleted: No. 42 of 2004 s. 136.]</w:t>
      </w:r>
    </w:p>
    <w:p>
      <w:pPr>
        <w:pStyle w:val="Heading5"/>
      </w:pPr>
      <w:bookmarkStart w:id="416" w:name="_Toc33534571"/>
      <w:r>
        <w:rPr>
          <w:rStyle w:val="CharSectno"/>
        </w:rPr>
        <w:t>189</w:t>
      </w:r>
      <w:r>
        <w:t>.</w:t>
      </w:r>
      <w:r>
        <w:tab/>
        <w:t>Relief or redress granted need not be restricted to claim</w:t>
      </w:r>
      <w:bookmarkEnd w:id="416"/>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No. 42 of 2004 s. 130; amended: No. 31 of 2011 s. 8.]</w:t>
      </w:r>
    </w:p>
    <w:p>
      <w:pPr>
        <w:pStyle w:val="Heading5"/>
      </w:pPr>
      <w:bookmarkStart w:id="417" w:name="_Toc33534572"/>
      <w:r>
        <w:rPr>
          <w:rStyle w:val="CharSectno"/>
        </w:rPr>
        <w:t>190</w:t>
      </w:r>
      <w:r>
        <w:t>.</w:t>
      </w:r>
      <w:r>
        <w:tab/>
        <w:t>Directions by arbitrator</w:t>
      </w:r>
      <w:bookmarkEnd w:id="417"/>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No. 42 of 2004 s. 130.]</w:t>
      </w:r>
    </w:p>
    <w:p>
      <w:pPr>
        <w:pStyle w:val="Heading5"/>
      </w:pPr>
      <w:bookmarkStart w:id="418" w:name="_Toc33534573"/>
      <w:r>
        <w:rPr>
          <w:rStyle w:val="CharSectno"/>
        </w:rPr>
        <w:t>191</w:t>
      </w:r>
      <w:r>
        <w:t>.</w:t>
      </w:r>
      <w:r>
        <w:tab/>
        <w:t>Dependants of workers, proof as to</w:t>
      </w:r>
      <w:bookmarkEnd w:id="418"/>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No. 42 of 2004 s. 130.]</w:t>
      </w:r>
    </w:p>
    <w:p>
      <w:pPr>
        <w:pStyle w:val="Heading5"/>
      </w:pPr>
      <w:bookmarkStart w:id="419" w:name="_Toc33534574"/>
      <w:r>
        <w:rPr>
          <w:rStyle w:val="CharSectno"/>
        </w:rPr>
        <w:t>192</w:t>
      </w:r>
      <w:r>
        <w:t>.</w:t>
      </w:r>
      <w:r>
        <w:tab/>
        <w:t>Illegal contracts of employment may be treated as valid</w:t>
      </w:r>
      <w:bookmarkEnd w:id="419"/>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No. 42 of 2004 s. 130.]</w:t>
      </w:r>
    </w:p>
    <w:p>
      <w:pPr>
        <w:pStyle w:val="Heading5"/>
      </w:pPr>
      <w:bookmarkStart w:id="420" w:name="_Toc33534575"/>
      <w:r>
        <w:rPr>
          <w:rStyle w:val="CharSectno"/>
        </w:rPr>
        <w:t>193</w:t>
      </w:r>
      <w:r>
        <w:t>.</w:t>
      </w:r>
      <w:r>
        <w:tab/>
        <w:t>Arbitrator’s powers to obtain information</w:t>
      </w:r>
      <w:bookmarkEnd w:id="420"/>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No. 42 of 2004 s. 130; amended: No. 31 of 2011 s. 48 and 76.]</w:t>
      </w:r>
    </w:p>
    <w:p>
      <w:pPr>
        <w:pStyle w:val="Heading5"/>
      </w:pPr>
      <w:bookmarkStart w:id="421" w:name="_Toc33534576"/>
      <w:r>
        <w:rPr>
          <w:rStyle w:val="CharSectno"/>
        </w:rPr>
        <w:t>194</w:t>
      </w:r>
      <w:r>
        <w:t>.</w:t>
      </w:r>
      <w:r>
        <w:tab/>
        <w:t>Arbitrator may give information etc. to and restrict disclosure by other party or medical practitioner</w:t>
      </w:r>
      <w:bookmarkEnd w:id="421"/>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No. 42 of 2004 s. 130; amended: No. 31 of 2011 s. 49.]</w:t>
      </w:r>
    </w:p>
    <w:p>
      <w:pPr>
        <w:pStyle w:val="Heading5"/>
      </w:pPr>
      <w:bookmarkStart w:id="422" w:name="_Toc33534577"/>
      <w:r>
        <w:rPr>
          <w:rStyle w:val="CharSectno"/>
        </w:rPr>
        <w:t>195</w:t>
      </w:r>
      <w:r>
        <w:t>.</w:t>
      </w:r>
      <w:r>
        <w:tab/>
        <w:t>Representation</w:t>
      </w:r>
      <w:bookmarkEnd w:id="422"/>
    </w:p>
    <w:p>
      <w:pPr>
        <w:pStyle w:val="Subsection"/>
        <w:keepNext/>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No. 42 of 2004 s. 130; amended: No. 31 of 2011 s. 50 and 76.]</w:t>
      </w:r>
    </w:p>
    <w:p>
      <w:pPr>
        <w:pStyle w:val="Heading5"/>
      </w:pPr>
      <w:bookmarkStart w:id="423" w:name="_Toc33534578"/>
      <w:r>
        <w:rPr>
          <w:rStyle w:val="CharSectno"/>
        </w:rPr>
        <w:t>196</w:t>
      </w:r>
      <w:r>
        <w:t>.</w:t>
      </w:r>
      <w:r>
        <w:tab/>
        <w:t>Litigation guardians, rules about</w:t>
      </w:r>
      <w:bookmarkEnd w:id="423"/>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No. 31 of 2011 s. 51.]</w:t>
      </w:r>
    </w:p>
    <w:p>
      <w:pPr>
        <w:pStyle w:val="Heading5"/>
      </w:pPr>
      <w:bookmarkStart w:id="424" w:name="_Toc33534579"/>
      <w:r>
        <w:rPr>
          <w:rStyle w:val="CharSectno"/>
        </w:rPr>
        <w:t>197</w:t>
      </w:r>
      <w:r>
        <w:t>.</w:t>
      </w:r>
      <w:r>
        <w:tab/>
        <w:t>Interpreters and assistants</w:t>
      </w:r>
      <w:bookmarkEnd w:id="424"/>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No. 42 of 2004 s. 130.]</w:t>
      </w:r>
    </w:p>
    <w:p>
      <w:pPr>
        <w:pStyle w:val="Heading5"/>
      </w:pPr>
      <w:bookmarkStart w:id="425" w:name="_Toc33534580"/>
      <w:r>
        <w:rPr>
          <w:rStyle w:val="CharSectno"/>
        </w:rPr>
        <w:t>198</w:t>
      </w:r>
      <w:r>
        <w:t>.</w:t>
      </w:r>
      <w:r>
        <w:tab/>
        <w:t>Ways of conducting arbitration proceedings</w:t>
      </w:r>
      <w:bookmarkEnd w:id="425"/>
    </w:p>
    <w:p>
      <w:pPr>
        <w:pStyle w:val="Ednotesubsection"/>
      </w:pPr>
      <w:r>
        <w:tab/>
        <w:t>[(1)</w:t>
      </w:r>
      <w:r>
        <w:tab/>
        <w:t>deleted]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No. 42 of 2004 s. 130; amended: No. 16 of 2005 s. 23; No. 31 of 2011 s. 52.]</w:t>
      </w:r>
    </w:p>
    <w:p>
      <w:pPr>
        <w:pStyle w:val="Heading5"/>
      </w:pPr>
      <w:bookmarkStart w:id="426" w:name="_Toc33534581"/>
      <w:r>
        <w:rPr>
          <w:rStyle w:val="CharSectno"/>
        </w:rPr>
        <w:t>199</w:t>
      </w:r>
      <w:r>
        <w:t>.</w:t>
      </w:r>
      <w:r>
        <w:tab/>
        <w:t>Hearings to be in private</w:t>
      </w:r>
      <w:bookmarkEnd w:id="426"/>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No. 42 of 2004 s. 130; amended: No. 31 of 2011 s. 53 and 76.]</w:t>
      </w:r>
    </w:p>
    <w:p>
      <w:pPr>
        <w:pStyle w:val="Heading5"/>
      </w:pPr>
      <w:bookmarkStart w:id="427" w:name="_Toc33534582"/>
      <w:r>
        <w:rPr>
          <w:rStyle w:val="CharSectno"/>
        </w:rPr>
        <w:t>200</w:t>
      </w:r>
      <w:r>
        <w:t>.</w:t>
      </w:r>
      <w:r>
        <w:tab/>
        <w:t>Hearings, notice of and failure to attend</w:t>
      </w:r>
      <w:bookmarkEnd w:id="427"/>
    </w:p>
    <w:p>
      <w:pPr>
        <w:pStyle w:val="Subsection"/>
        <w:keepNext/>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No. 42 of 2004 s. 130; amended: No. 31 of 2011 s. 76.]</w:t>
      </w:r>
    </w:p>
    <w:p>
      <w:pPr>
        <w:pStyle w:val="Heading5"/>
      </w:pPr>
      <w:bookmarkStart w:id="428" w:name="_Toc33534583"/>
      <w:r>
        <w:rPr>
          <w:rStyle w:val="CharSectno"/>
        </w:rPr>
        <w:t>201</w:t>
      </w:r>
      <w:r>
        <w:t>.</w:t>
      </w:r>
      <w:r>
        <w:tab/>
        <w:t>Experts, use of by arbitrators</w:t>
      </w:r>
      <w:bookmarkEnd w:id="428"/>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No. 42 of 2004 s. 130.]</w:t>
      </w:r>
    </w:p>
    <w:p>
      <w:pPr>
        <w:pStyle w:val="Heading5"/>
      </w:pPr>
      <w:bookmarkStart w:id="429" w:name="_Toc33534584"/>
      <w:r>
        <w:rPr>
          <w:rStyle w:val="CharSectno"/>
        </w:rPr>
        <w:t>202</w:t>
      </w:r>
      <w:r>
        <w:t>.</w:t>
      </w:r>
      <w:r>
        <w:tab/>
        <w:t>Summoning witnesses</w:t>
      </w:r>
      <w:bookmarkEnd w:id="429"/>
    </w:p>
    <w:p>
      <w:pPr>
        <w:pStyle w:val="Subsection"/>
      </w:pPr>
      <w:r>
        <w:tab/>
      </w:r>
      <w:r>
        <w:tab/>
        <w:t>The Registrar or an arbitrator may issue a summons requiring the attendance of a person before an arbitrator.</w:t>
      </w:r>
    </w:p>
    <w:p>
      <w:pPr>
        <w:pStyle w:val="Footnotesection"/>
      </w:pPr>
      <w:r>
        <w:tab/>
        <w:t>[Section 202 inserted: No. 42 of 2004 s. 130; amended: No. 31 of 2011 s. 75.]</w:t>
      </w:r>
    </w:p>
    <w:p>
      <w:pPr>
        <w:pStyle w:val="Heading5"/>
      </w:pPr>
      <w:bookmarkStart w:id="430" w:name="_Toc33534585"/>
      <w:r>
        <w:rPr>
          <w:rStyle w:val="CharSectno"/>
        </w:rPr>
        <w:t>203</w:t>
      </w:r>
      <w:r>
        <w:t>.</w:t>
      </w:r>
      <w:r>
        <w:tab/>
        <w:t>Arbitrator’s powers as to witnesses</w:t>
      </w:r>
      <w:bookmarkEnd w:id="430"/>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No. 42 of 2004 s. 130.]</w:t>
      </w:r>
    </w:p>
    <w:p>
      <w:pPr>
        <w:pStyle w:val="Heading5"/>
      </w:pPr>
      <w:bookmarkStart w:id="431" w:name="_Toc33534586"/>
      <w:r>
        <w:rPr>
          <w:rStyle w:val="CharSectno"/>
        </w:rPr>
        <w:t>204A</w:t>
      </w:r>
      <w:r>
        <w:t>.</w:t>
      </w:r>
      <w:r>
        <w:tab/>
        <w:t>Communication between worker and WorkCover WA employee not admissible</w:t>
      </w:r>
      <w:bookmarkEnd w:id="431"/>
    </w:p>
    <w:p>
      <w:pPr>
        <w:pStyle w:val="Subsection"/>
      </w:pPr>
      <w:r>
        <w:tab/>
      </w:r>
      <w:r>
        <w:tab/>
        <w:t xml:space="preserve">Evidence of any communication between — </w:t>
      </w:r>
    </w:p>
    <w:p>
      <w:pPr>
        <w:pStyle w:val="Indenta"/>
      </w:pPr>
      <w:r>
        <w:tab/>
        <w:t>(a)</w:t>
      </w:r>
      <w:r>
        <w:tab/>
        <w:t>a worker; and</w:t>
      </w:r>
    </w:p>
    <w:p>
      <w:pPr>
        <w:pStyle w:val="Indenta"/>
      </w:pPr>
      <w:r>
        <w:tab/>
        <w:t>(b)</w:t>
      </w:r>
      <w:r>
        <w:tab/>
        <w:t>a person employed by WorkCover WA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No. 31 of 2011 s. 9.]</w:t>
      </w:r>
    </w:p>
    <w:p>
      <w:pPr>
        <w:pStyle w:val="Heading5"/>
      </w:pPr>
      <w:bookmarkStart w:id="432" w:name="_Toc33534587"/>
      <w:r>
        <w:rPr>
          <w:rStyle w:val="CharSectno"/>
        </w:rPr>
        <w:t>204</w:t>
      </w:r>
      <w:r>
        <w:t>.</w:t>
      </w:r>
      <w:r>
        <w:tab/>
        <w:t>Privilege against self</w:t>
      </w:r>
      <w:r>
        <w:noBreakHyphen/>
        <w:t>incrimination</w:t>
      </w:r>
      <w:bookmarkEnd w:id="432"/>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No. 42 of 2004 s. 130; amended: No. 31 of 2011 s. 54.]</w:t>
      </w:r>
    </w:p>
    <w:p>
      <w:pPr>
        <w:pStyle w:val="Heading5"/>
      </w:pPr>
      <w:bookmarkStart w:id="433" w:name="_Toc33534588"/>
      <w:r>
        <w:rPr>
          <w:rStyle w:val="CharSectno"/>
        </w:rPr>
        <w:t>205</w:t>
      </w:r>
      <w:r>
        <w:t>.</w:t>
      </w:r>
      <w:r>
        <w:tab/>
        <w:t>Legal professional privilege in relation to medical reports</w:t>
      </w:r>
      <w:bookmarkEnd w:id="433"/>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capacity as a legal practitioner.</w:t>
      </w:r>
    </w:p>
    <w:p>
      <w:pPr>
        <w:pStyle w:val="Footnotesection"/>
        <w:spacing w:before="100"/>
        <w:ind w:left="890" w:hanging="890"/>
      </w:pPr>
      <w:r>
        <w:tab/>
        <w:t>[Section 205 inserted: No. 42 of 2004 s. 130; amended: No. 31 of 2011 s. 55.]</w:t>
      </w:r>
    </w:p>
    <w:p>
      <w:pPr>
        <w:pStyle w:val="Heading5"/>
      </w:pPr>
      <w:bookmarkStart w:id="434" w:name="_Toc33534589"/>
      <w:r>
        <w:rPr>
          <w:rStyle w:val="CharSectno"/>
        </w:rPr>
        <w:t>206</w:t>
      </w:r>
      <w:r>
        <w:t>.</w:t>
      </w:r>
      <w:r>
        <w:tab/>
        <w:t>Other claims of privilege</w:t>
      </w:r>
      <w:bookmarkEnd w:id="434"/>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No. 42 of 2004 s. 130.]</w:t>
      </w:r>
    </w:p>
    <w:p>
      <w:pPr>
        <w:pStyle w:val="Heading5"/>
      </w:pPr>
      <w:bookmarkStart w:id="435" w:name="_Toc33534590"/>
      <w:r>
        <w:rPr>
          <w:rStyle w:val="CharSectno"/>
        </w:rPr>
        <w:t>207</w:t>
      </w:r>
      <w:r>
        <w:t>.</w:t>
      </w:r>
      <w:r>
        <w:tab/>
        <w:t>Oaths and affirmations</w:t>
      </w:r>
      <w:bookmarkEnd w:id="435"/>
    </w:p>
    <w:p>
      <w:pPr>
        <w:pStyle w:val="Subsection"/>
      </w:pPr>
      <w:r>
        <w:tab/>
      </w:r>
      <w:r>
        <w:tab/>
        <w:t>An arbitrator may administer an oath or take an affirmation for the purposes of this Act.</w:t>
      </w:r>
    </w:p>
    <w:p>
      <w:pPr>
        <w:pStyle w:val="Footnotesection"/>
        <w:spacing w:before="100"/>
        <w:ind w:left="890" w:hanging="890"/>
      </w:pPr>
      <w:r>
        <w:tab/>
        <w:t>[Section 207 inserted: No. 42 of 2004 s. 130.]</w:t>
      </w:r>
    </w:p>
    <w:p>
      <w:pPr>
        <w:pStyle w:val="Heading5"/>
      </w:pPr>
      <w:bookmarkStart w:id="436" w:name="_Toc33534591"/>
      <w:r>
        <w:rPr>
          <w:rStyle w:val="CharSectno"/>
        </w:rPr>
        <w:t>208</w:t>
      </w:r>
      <w:r>
        <w:t>.</w:t>
      </w:r>
      <w:r>
        <w:tab/>
        <w:t>Arbitrator may authorise another to take evidence</w:t>
      </w:r>
      <w:bookmarkEnd w:id="436"/>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No. 42 of 2004 s. 130.]</w:t>
      </w:r>
    </w:p>
    <w:p>
      <w:pPr>
        <w:pStyle w:val="Heading5"/>
      </w:pPr>
      <w:bookmarkStart w:id="437" w:name="_Toc33534592"/>
      <w:r>
        <w:rPr>
          <w:rStyle w:val="CharSectno"/>
        </w:rPr>
        <w:t>209</w:t>
      </w:r>
      <w:r>
        <w:t>.</w:t>
      </w:r>
      <w:r>
        <w:tab/>
        <w:t>Things produced, use of etc. by arbitrator</w:t>
      </w:r>
      <w:bookmarkEnd w:id="437"/>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No. 42 of 2004 s. 130.]</w:t>
      </w:r>
    </w:p>
    <w:p>
      <w:pPr>
        <w:pStyle w:val="Heading5"/>
      </w:pPr>
      <w:bookmarkStart w:id="438" w:name="_Toc33534593"/>
      <w:r>
        <w:rPr>
          <w:rStyle w:val="CharSectno"/>
        </w:rPr>
        <w:t>210</w:t>
      </w:r>
      <w:r>
        <w:t>.</w:t>
      </w:r>
      <w:r>
        <w:tab/>
        <w:t>Medical dispute may be referred to medical assessment panel</w:t>
      </w:r>
      <w:bookmarkEnd w:id="438"/>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keepNext/>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No. 42 of 2004 s. 130.]</w:t>
      </w:r>
    </w:p>
    <w:p>
      <w:pPr>
        <w:pStyle w:val="Heading4"/>
      </w:pPr>
      <w:bookmarkStart w:id="439" w:name="_Toc33534594"/>
      <w:r>
        <w:t>Subdivision 4 — Decisions</w:t>
      </w:r>
      <w:bookmarkEnd w:id="439"/>
    </w:p>
    <w:p>
      <w:pPr>
        <w:pStyle w:val="Footnoteheading"/>
      </w:pPr>
      <w:r>
        <w:tab/>
        <w:t>[Heading inserted: No. 31 of 2011 s. 56.]</w:t>
      </w:r>
    </w:p>
    <w:p>
      <w:pPr>
        <w:pStyle w:val="Footnoteheading"/>
      </w:pPr>
      <w:r>
        <w:tab/>
        <w:t>[Heading deleted: No. 31 of 2011 s. 57.]</w:t>
      </w:r>
    </w:p>
    <w:p>
      <w:pPr>
        <w:pStyle w:val="Heading5"/>
      </w:pPr>
      <w:bookmarkStart w:id="440" w:name="_Toc33534595"/>
      <w:r>
        <w:rPr>
          <w:rStyle w:val="CharSectno"/>
        </w:rPr>
        <w:t>211</w:t>
      </w:r>
      <w:r>
        <w:t>.</w:t>
      </w:r>
      <w:r>
        <w:tab/>
        <w:t>Decisions generally</w:t>
      </w:r>
      <w:bookmarkEnd w:id="440"/>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No. 42 of 2004 s. 130; amended: No. 31 of 2011 s. 10.]</w:t>
      </w:r>
    </w:p>
    <w:p>
      <w:pPr>
        <w:pStyle w:val="Heading5"/>
      </w:pPr>
      <w:bookmarkStart w:id="441" w:name="_Toc33534596"/>
      <w:r>
        <w:rPr>
          <w:rStyle w:val="CharSectno"/>
        </w:rPr>
        <w:t>212</w:t>
      </w:r>
      <w:r>
        <w:t>.</w:t>
      </w:r>
      <w:r>
        <w:tab/>
        <w:t>Conditional and ancillary orders and directions</w:t>
      </w:r>
      <w:bookmarkEnd w:id="441"/>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No. 42 of 2004 s. 130.]</w:t>
      </w:r>
    </w:p>
    <w:p>
      <w:pPr>
        <w:pStyle w:val="Heading5"/>
      </w:pPr>
      <w:bookmarkStart w:id="442" w:name="_Toc33534597"/>
      <w:r>
        <w:rPr>
          <w:rStyle w:val="CharSectno"/>
        </w:rPr>
        <w:t>213</w:t>
      </w:r>
      <w:r>
        <w:t>.</w:t>
      </w:r>
      <w:r>
        <w:tab/>
        <w:t>Decisions and reasons, form and content of</w:t>
      </w:r>
      <w:bookmarkEnd w:id="442"/>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No. 42 of 2004 s. 130; amended: No. 31 of 2011 s. 76.]</w:t>
      </w:r>
    </w:p>
    <w:p>
      <w:pPr>
        <w:pStyle w:val="Heading5"/>
      </w:pPr>
      <w:bookmarkStart w:id="443" w:name="_Toc33534598"/>
      <w:r>
        <w:rPr>
          <w:rStyle w:val="CharSectno"/>
        </w:rPr>
        <w:t>214</w:t>
      </w:r>
      <w:r>
        <w:t>.</w:t>
      </w:r>
      <w:r>
        <w:tab/>
        <w:t>Validity of decision not affected by contravention of this Subdivision</w:t>
      </w:r>
      <w:bookmarkEnd w:id="443"/>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No. 42 of 2004 s. 130.]</w:t>
      </w:r>
    </w:p>
    <w:p>
      <w:pPr>
        <w:pStyle w:val="Heading5"/>
      </w:pPr>
      <w:bookmarkStart w:id="444" w:name="_Toc33534599"/>
      <w:r>
        <w:rPr>
          <w:rStyle w:val="CharSectno"/>
        </w:rPr>
        <w:t>215</w:t>
      </w:r>
      <w:r>
        <w:t>.</w:t>
      </w:r>
      <w:r>
        <w:tab/>
        <w:t>When decision has effect</w:t>
      </w:r>
      <w:bookmarkEnd w:id="444"/>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No. 42 of 2004 s. 130.]</w:t>
      </w:r>
    </w:p>
    <w:p>
      <w:pPr>
        <w:pStyle w:val="Heading5"/>
      </w:pPr>
      <w:bookmarkStart w:id="445" w:name="_Toc33534600"/>
      <w:r>
        <w:rPr>
          <w:rStyle w:val="CharSectno"/>
        </w:rPr>
        <w:t>216</w:t>
      </w:r>
      <w:r>
        <w:t>.</w:t>
      </w:r>
      <w:r>
        <w:tab/>
        <w:t>Correcting mistakes</w:t>
      </w:r>
      <w:bookmarkEnd w:id="445"/>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No. 42 of 2004 s. 130.]</w:t>
      </w:r>
    </w:p>
    <w:p>
      <w:pPr>
        <w:pStyle w:val="Heading5"/>
      </w:pPr>
      <w:bookmarkStart w:id="446" w:name="_Toc33534601"/>
      <w:r>
        <w:rPr>
          <w:rStyle w:val="CharSectno"/>
        </w:rPr>
        <w:t>217A</w:t>
      </w:r>
      <w:r>
        <w:t>.</w:t>
      </w:r>
      <w:r>
        <w:tab/>
        <w:t>Arbitrator may reconsider decision if new information</w:t>
      </w:r>
      <w:bookmarkEnd w:id="446"/>
    </w:p>
    <w:p>
      <w:pPr>
        <w:pStyle w:val="Subsection"/>
        <w:keepNext/>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No. 31 of 2011 s. 11.]</w:t>
      </w:r>
    </w:p>
    <w:p>
      <w:pPr>
        <w:pStyle w:val="Heading5"/>
      </w:pPr>
      <w:bookmarkStart w:id="447" w:name="_Toc33534602"/>
      <w:r>
        <w:rPr>
          <w:rStyle w:val="CharSectno"/>
        </w:rPr>
        <w:t>217B</w:t>
      </w:r>
      <w:r>
        <w:t>.</w:t>
      </w:r>
      <w:r>
        <w:tab/>
        <w:t>Arbitration decisions not reviewable</w:t>
      </w:r>
      <w:bookmarkEnd w:id="447"/>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No. 31 of 2011 s. 11.]</w:t>
      </w:r>
    </w:p>
    <w:p>
      <w:pPr>
        <w:pStyle w:val="Footnoteheading"/>
      </w:pPr>
      <w:r>
        <w:tab/>
        <w:t>[Heading deleted: No. 31 of 2011 s. 58.]</w:t>
      </w:r>
    </w:p>
    <w:p>
      <w:pPr>
        <w:pStyle w:val="Heading5"/>
      </w:pPr>
      <w:bookmarkStart w:id="448" w:name="_Toc33534603"/>
      <w:r>
        <w:rPr>
          <w:rStyle w:val="CharSectno"/>
        </w:rPr>
        <w:t>217</w:t>
      </w:r>
      <w:r>
        <w:t>.</w:t>
      </w:r>
      <w:r>
        <w:tab/>
        <w:t>Order as to total liability of employer</w:t>
      </w:r>
      <w:bookmarkEnd w:id="448"/>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No. 42 of 2004 s. 130.]</w:t>
      </w:r>
    </w:p>
    <w:p>
      <w:pPr>
        <w:pStyle w:val="Heading5"/>
      </w:pPr>
      <w:bookmarkStart w:id="449" w:name="_Toc33534604"/>
      <w:r>
        <w:rPr>
          <w:rStyle w:val="CharSectno"/>
        </w:rPr>
        <w:t>218</w:t>
      </w:r>
      <w:r>
        <w:t>.</w:t>
      </w:r>
      <w:r>
        <w:tab/>
        <w:t>Payment of compensation to person under legal disability</w:t>
      </w:r>
      <w:bookmarkEnd w:id="449"/>
    </w:p>
    <w:p>
      <w:pPr>
        <w:pStyle w:val="Subsection"/>
      </w:pPr>
      <w:r>
        <w:tab/>
        <w:t>(1)</w:t>
      </w:r>
      <w:r>
        <w:tab/>
        <w:t>A question as to the payment of compensation that is payable to a worker under a legal disability to give an effective discharge for payment may be determined on application under this Division as a dispute.</w:t>
      </w:r>
    </w:p>
    <w:p>
      <w:pPr>
        <w:pStyle w:val="Subsection"/>
      </w:pPr>
      <w:r>
        <w:tab/>
        <w:t>(2)</w:t>
      </w:r>
      <w:r>
        <w:tab/>
        <w:t>An arbitrator may order that compensation that is payable to a worker under a legal disability to give an effective discharge for payment is to be paid to WorkCover WA and applied in the manner specified in the order.</w:t>
      </w:r>
    </w:p>
    <w:p>
      <w:pPr>
        <w:pStyle w:val="Ednotesubsection"/>
      </w:pPr>
      <w:r>
        <w:tab/>
        <w:t>[(3)</w:t>
      </w:r>
      <w:r>
        <w:tab/>
        <w:t>deleted]</w:t>
      </w:r>
    </w:p>
    <w:p>
      <w:pPr>
        <w:pStyle w:val="Subsection"/>
      </w:pPr>
      <w:r>
        <w:tab/>
        <w:t>(4)</w:t>
      </w:r>
      <w:r>
        <w:tab/>
        <w:t>After it has been ordered under subsection (2) that compensation be paid to WorkCover WA, a question as to whether the compensation should be applied differently 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No. 42 of 2004 s. 130; amended: No. 31 of 2011 s. 59; No. 8 of 2018 s. 9.]</w:t>
      </w:r>
    </w:p>
    <w:p>
      <w:pPr>
        <w:pStyle w:val="Footnoteheading"/>
      </w:pPr>
      <w:r>
        <w:tab/>
        <w:t>[Heading deleted: No. 31 of 2011 s. 60.]</w:t>
      </w:r>
    </w:p>
    <w:p>
      <w:pPr>
        <w:pStyle w:val="Heading5"/>
        <w:keepLines w:val="0"/>
      </w:pPr>
      <w:bookmarkStart w:id="450" w:name="_Toc33534605"/>
      <w:r>
        <w:rPr>
          <w:rStyle w:val="CharSectno"/>
        </w:rPr>
        <w:t>219</w:t>
      </w:r>
      <w:r>
        <w:t>.</w:t>
      </w:r>
      <w:r>
        <w:tab/>
        <w:t>Enforcing decisions</w:t>
      </w:r>
      <w:bookmarkEnd w:id="450"/>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No. 42 of 2004 s. 130; amended: No. 16 of 2005 s. 24; No. 31 of 2011 s. 75.]</w:t>
      </w:r>
    </w:p>
    <w:p>
      <w:pPr>
        <w:pStyle w:val="Heading4"/>
      </w:pPr>
      <w:bookmarkStart w:id="451" w:name="_Toc33534606"/>
      <w:r>
        <w:t>Subdivision 5 — Miscellaneous</w:t>
      </w:r>
      <w:bookmarkEnd w:id="451"/>
    </w:p>
    <w:p>
      <w:pPr>
        <w:pStyle w:val="Footnoteheading"/>
      </w:pPr>
      <w:r>
        <w:tab/>
        <w:t>[Heading inserted: No. 31 of 2011 s. 61.]</w:t>
      </w:r>
    </w:p>
    <w:p>
      <w:pPr>
        <w:pStyle w:val="Heading5"/>
      </w:pPr>
      <w:bookmarkStart w:id="452" w:name="_Toc33534607"/>
      <w:r>
        <w:rPr>
          <w:rStyle w:val="CharSectno"/>
        </w:rPr>
        <w:t>220</w:t>
      </w:r>
      <w:r>
        <w:t>.</w:t>
      </w:r>
      <w:r>
        <w:tab/>
        <w:t>Statements to arbitrators not admissible in common law proceedings</w:t>
      </w:r>
      <w:bookmarkEnd w:id="452"/>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No. 42 of 2004 s. 130.]</w:t>
      </w:r>
    </w:p>
    <w:p>
      <w:pPr>
        <w:pStyle w:val="Heading5"/>
        <w:rPr>
          <w:snapToGrid w:val="0"/>
        </w:rPr>
      </w:pPr>
      <w:bookmarkStart w:id="453" w:name="_Toc33534608"/>
      <w:r>
        <w:rPr>
          <w:rStyle w:val="CharSectno"/>
        </w:rPr>
        <w:t>221</w:t>
      </w:r>
      <w:r>
        <w:rPr>
          <w:snapToGrid w:val="0"/>
        </w:rPr>
        <w:t>.</w:t>
      </w:r>
      <w:r>
        <w:rPr>
          <w:snapToGrid w:val="0"/>
        </w:rPr>
        <w:tab/>
        <w:t>To whom compensation is to be paid</w:t>
      </w:r>
      <w:bookmarkEnd w:id="453"/>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No. 42 of 2004 s. 130.]</w:t>
      </w:r>
    </w:p>
    <w:p>
      <w:pPr>
        <w:pStyle w:val="Heading5"/>
      </w:pPr>
      <w:bookmarkStart w:id="454" w:name="_Toc33534609"/>
      <w:r>
        <w:rPr>
          <w:rStyle w:val="CharSectno"/>
        </w:rPr>
        <w:t>222</w:t>
      </w:r>
      <w:r>
        <w:t>.</w:t>
      </w:r>
      <w:r>
        <w:tab/>
        <w:t>Interest on sums to be paid</w:t>
      </w:r>
      <w:bookmarkEnd w:id="454"/>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No. 42 of 2004 s. 130.]</w:t>
      </w:r>
    </w:p>
    <w:p>
      <w:pPr>
        <w:pStyle w:val="Heading5"/>
      </w:pPr>
      <w:bookmarkStart w:id="455" w:name="_Toc33534610"/>
      <w:r>
        <w:rPr>
          <w:rStyle w:val="CharSectno"/>
        </w:rPr>
        <w:t>223</w:t>
      </w:r>
      <w:r>
        <w:t>.</w:t>
      </w:r>
      <w:r>
        <w:tab/>
        <w:t>Interest on unpaid sums</w:t>
      </w:r>
      <w:bookmarkEnd w:id="455"/>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keepNext/>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No. 42 of 2004 s. 130.]</w:t>
      </w:r>
    </w:p>
    <w:p>
      <w:pPr>
        <w:pStyle w:val="Heading5"/>
      </w:pPr>
      <w:bookmarkStart w:id="456" w:name="_Toc33534611"/>
      <w:r>
        <w:rPr>
          <w:rStyle w:val="CharSectno"/>
        </w:rPr>
        <w:t>224</w:t>
      </w:r>
      <w:r>
        <w:t>.</w:t>
      </w:r>
      <w:r>
        <w:tab/>
        <w:t>Interest on unpaid amount of agreed sum</w:t>
      </w:r>
      <w:bookmarkEnd w:id="456"/>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No. 42 of 2004 s. 130.]</w:t>
      </w:r>
    </w:p>
    <w:p>
      <w:pPr>
        <w:pStyle w:val="Heading5"/>
      </w:pPr>
      <w:bookmarkStart w:id="457" w:name="_Toc33534612"/>
      <w:r>
        <w:rPr>
          <w:rStyle w:val="CharSectno"/>
        </w:rPr>
        <w:t>225</w:t>
      </w:r>
      <w:r>
        <w:t>.</w:t>
      </w:r>
      <w:r>
        <w:tab/>
        <w:t>Regulations may exclude interest</w:t>
      </w:r>
      <w:bookmarkEnd w:id="457"/>
    </w:p>
    <w:p>
      <w:pPr>
        <w:pStyle w:val="Subsection"/>
      </w:pPr>
      <w:r>
        <w:tab/>
      </w:r>
      <w:r>
        <w:tab/>
        <w:t>Interest is not payable under section 222, 223 or 224 in the circumstances prescribed in the regulations.</w:t>
      </w:r>
    </w:p>
    <w:p>
      <w:pPr>
        <w:pStyle w:val="Footnotesection"/>
      </w:pPr>
      <w:r>
        <w:tab/>
        <w:t>[Section 225 inserted: No. 42 of 2004 s. 130.]</w:t>
      </w:r>
    </w:p>
    <w:p>
      <w:pPr>
        <w:pStyle w:val="Ednotepart"/>
      </w:pPr>
      <w:r>
        <w:t>[Part XII (s. 226-244) deleted: No. 31 of 2011 s. 12.]</w:t>
      </w:r>
    </w:p>
    <w:p>
      <w:pPr>
        <w:pStyle w:val="Heading2"/>
      </w:pPr>
      <w:bookmarkStart w:id="458" w:name="_Toc33534613"/>
      <w:r>
        <w:rPr>
          <w:rStyle w:val="CharPartNo"/>
        </w:rPr>
        <w:t>Part XIII</w:t>
      </w:r>
      <w:r>
        <w:rPr>
          <w:rStyle w:val="CharDivNo"/>
        </w:rPr>
        <w:t> </w:t>
      </w:r>
      <w:r>
        <w:t>—</w:t>
      </w:r>
      <w:r>
        <w:rPr>
          <w:rStyle w:val="CharDivText"/>
        </w:rPr>
        <w:t> </w:t>
      </w:r>
      <w:r>
        <w:rPr>
          <w:rStyle w:val="CharPartText"/>
        </w:rPr>
        <w:t>Appeals to District Court</w:t>
      </w:r>
      <w:bookmarkEnd w:id="458"/>
    </w:p>
    <w:p>
      <w:pPr>
        <w:pStyle w:val="Footnoteheading"/>
      </w:pPr>
      <w:r>
        <w:tab/>
        <w:t>[Heading inserted: No. 42 of 2004 s. 130; amended: No. 31 of 2011 s. 13.]</w:t>
      </w:r>
    </w:p>
    <w:p>
      <w:pPr>
        <w:pStyle w:val="Ednotesection"/>
      </w:pPr>
      <w:r>
        <w:t>[</w:t>
      </w:r>
      <w:r>
        <w:rPr>
          <w:b/>
        </w:rPr>
        <w:t>245, 246.</w:t>
      </w:r>
      <w:r>
        <w:tab/>
        <w:t>Deleted: No. 31 of 2011 s. 14.]</w:t>
      </w:r>
    </w:p>
    <w:p>
      <w:pPr>
        <w:pStyle w:val="Heading5"/>
      </w:pPr>
      <w:bookmarkStart w:id="459" w:name="_Toc33534614"/>
      <w:r>
        <w:rPr>
          <w:rStyle w:val="CharSectno"/>
        </w:rPr>
        <w:t>247</w:t>
      </w:r>
      <w:r>
        <w:t>.</w:t>
      </w:r>
      <w:r>
        <w:tab/>
        <w:t>Appeal against arbitrator’s decision made under Part XI</w:t>
      </w:r>
      <w:bookmarkEnd w:id="459"/>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t>deleted]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No. 42 of 2004 s. 130; amended: No. 16 of 2005 s. 27; No. 31 of 2011 s. 15.]</w:t>
      </w:r>
    </w:p>
    <w:p>
      <w:pPr>
        <w:pStyle w:val="Ednotesection"/>
        <w:tabs>
          <w:tab w:val="clear" w:pos="893"/>
          <w:tab w:val="left" w:pos="1197"/>
        </w:tabs>
      </w:pPr>
      <w:r>
        <w:t>[</w:t>
      </w:r>
      <w:r>
        <w:rPr>
          <w:b/>
        </w:rPr>
        <w:t>248, 249.</w:t>
      </w:r>
      <w:r>
        <w:tab/>
        <w:t>Deleted: No. 31 of 2011 s. 16.]</w:t>
      </w:r>
    </w:p>
    <w:p>
      <w:pPr>
        <w:pStyle w:val="Heading5"/>
      </w:pPr>
      <w:bookmarkStart w:id="460" w:name="_Toc33534615"/>
      <w:r>
        <w:rPr>
          <w:rStyle w:val="CharSectno"/>
        </w:rPr>
        <w:t>250</w:t>
      </w:r>
      <w:r>
        <w:t>.</w:t>
      </w:r>
      <w:r>
        <w:tab/>
        <w:t>Effect of appeal on decision under appeal</w:t>
      </w:r>
      <w:bookmarkEnd w:id="460"/>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No. 42 of 2004 s. 130; amended: No. 31 of 2011 s. 17.]</w:t>
      </w:r>
    </w:p>
    <w:p>
      <w:pPr>
        <w:pStyle w:val="Ednotesection"/>
        <w:tabs>
          <w:tab w:val="clear" w:pos="893"/>
          <w:tab w:val="left" w:pos="1197"/>
        </w:tabs>
      </w:pPr>
      <w:r>
        <w:t>[</w:t>
      </w:r>
      <w:r>
        <w:rPr>
          <w:b/>
        </w:rPr>
        <w:t>251</w:t>
      </w:r>
      <w:r>
        <w:rPr>
          <w:b/>
        </w:rPr>
        <w:noBreakHyphen/>
        <w:t>253.</w:t>
      </w:r>
      <w:r>
        <w:tab/>
        <w:t>Deleted: No. 31 of 2011 s. 18.]</w:t>
      </w:r>
    </w:p>
    <w:p>
      <w:pPr>
        <w:pStyle w:val="Heading5"/>
      </w:pPr>
      <w:bookmarkStart w:id="461" w:name="_Toc33534616"/>
      <w:r>
        <w:rPr>
          <w:rStyle w:val="CharSectno"/>
        </w:rPr>
        <w:t>254</w:t>
      </w:r>
      <w:r>
        <w:t>.</w:t>
      </w:r>
      <w:r>
        <w:tab/>
        <w:t>Appeal from District Court to Court of Appeal</w:t>
      </w:r>
      <w:bookmarkEnd w:id="461"/>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No. 31 of 2011 s. 19.]</w:t>
      </w:r>
    </w:p>
    <w:p>
      <w:pPr>
        <w:pStyle w:val="Heading2"/>
      </w:pPr>
      <w:bookmarkStart w:id="462" w:name="_Toc33534617"/>
      <w:r>
        <w:rPr>
          <w:rStyle w:val="CharPartNo"/>
        </w:rPr>
        <w:t>Part XIV</w:t>
      </w:r>
      <w:r>
        <w:rPr>
          <w:b w:val="0"/>
        </w:rPr>
        <w:t> </w:t>
      </w:r>
      <w:r>
        <w:t>—</w:t>
      </w:r>
      <w:r>
        <w:rPr>
          <w:b w:val="0"/>
        </w:rPr>
        <w:t> </w:t>
      </w:r>
      <w:r>
        <w:rPr>
          <w:rStyle w:val="CharPartText"/>
        </w:rPr>
        <w:t>Offences</w:t>
      </w:r>
      <w:bookmarkEnd w:id="462"/>
    </w:p>
    <w:p>
      <w:pPr>
        <w:pStyle w:val="Footnoteheading"/>
        <w:spacing w:before="100"/>
      </w:pPr>
      <w:r>
        <w:tab/>
        <w:t>[Heading inserted: No. 42 of 2004 s. 130.]</w:t>
      </w:r>
    </w:p>
    <w:p>
      <w:pPr>
        <w:pStyle w:val="Heading5"/>
        <w:spacing w:before="120"/>
      </w:pPr>
      <w:bookmarkStart w:id="463" w:name="_Toc33534618"/>
      <w:r>
        <w:rPr>
          <w:rStyle w:val="CharSectno"/>
        </w:rPr>
        <w:t>255</w:t>
      </w:r>
      <w:r>
        <w:t>.</w:t>
      </w:r>
      <w:r>
        <w:tab/>
        <w:t>Failing to comply with decision of dispute resolution authority</w:t>
      </w:r>
      <w:bookmarkEnd w:id="463"/>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No. 42 of 2004 s. 130; amended: No. 31 of 2011 s. 62.]</w:t>
      </w:r>
    </w:p>
    <w:p>
      <w:pPr>
        <w:pStyle w:val="Heading5"/>
      </w:pPr>
      <w:bookmarkStart w:id="464" w:name="_Toc33534619"/>
      <w:r>
        <w:rPr>
          <w:rStyle w:val="CharSectno"/>
        </w:rPr>
        <w:t>256</w:t>
      </w:r>
      <w:r>
        <w:t>.</w:t>
      </w:r>
      <w:r>
        <w:tab/>
        <w:t>Failing to comply with summons or requirement to attend</w:t>
      </w:r>
      <w:bookmarkEnd w:id="464"/>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No. 31 of 2011 s. 63.]</w:t>
      </w:r>
    </w:p>
    <w:p>
      <w:pPr>
        <w:pStyle w:val="Heading5"/>
      </w:pPr>
      <w:bookmarkStart w:id="465" w:name="_Toc33534620"/>
      <w:r>
        <w:rPr>
          <w:rStyle w:val="CharSectno"/>
        </w:rPr>
        <w:t>257</w:t>
      </w:r>
      <w:r>
        <w:t>.</w:t>
      </w:r>
      <w:r>
        <w:tab/>
        <w:t>Failing to give evidence as required</w:t>
      </w:r>
      <w:bookmarkEnd w:id="465"/>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No. 42 of 2004 s. 130; amended: No. 31 of 2011 s. 64.]</w:t>
      </w:r>
    </w:p>
    <w:p>
      <w:pPr>
        <w:pStyle w:val="Heading5"/>
      </w:pPr>
      <w:bookmarkStart w:id="466" w:name="_Toc33534621"/>
      <w:r>
        <w:rPr>
          <w:rStyle w:val="CharSectno"/>
        </w:rPr>
        <w:t>258</w:t>
      </w:r>
      <w:r>
        <w:t>.</w:t>
      </w:r>
      <w:r>
        <w:tab/>
        <w:t>Giving false or misleading information</w:t>
      </w:r>
      <w:bookmarkEnd w:id="466"/>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No. 42 of 2004 s. 130.]</w:t>
      </w:r>
    </w:p>
    <w:p>
      <w:pPr>
        <w:pStyle w:val="Heading5"/>
      </w:pPr>
      <w:bookmarkStart w:id="467" w:name="_Toc33534622"/>
      <w:r>
        <w:rPr>
          <w:rStyle w:val="CharSectno"/>
        </w:rPr>
        <w:t>259</w:t>
      </w:r>
      <w:r>
        <w:t>.</w:t>
      </w:r>
      <w:r>
        <w:tab/>
        <w:t>Misbehaviour and other conduct</w:t>
      </w:r>
      <w:bookmarkEnd w:id="467"/>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No. 42 of 2004 s. 130; amended: No. 31 of 2011 s. 65.]</w:t>
      </w:r>
    </w:p>
    <w:p>
      <w:pPr>
        <w:pStyle w:val="Ednotesection"/>
      </w:pPr>
      <w:r>
        <w:t>[</w:t>
      </w:r>
      <w:r>
        <w:rPr>
          <w:b/>
        </w:rPr>
        <w:t>260.</w:t>
      </w:r>
      <w:r>
        <w:tab/>
        <w:t>Deleted: No. 31 of 2011 s. 66.]</w:t>
      </w:r>
    </w:p>
    <w:p>
      <w:pPr>
        <w:pStyle w:val="Heading2"/>
      </w:pPr>
      <w:bookmarkStart w:id="468" w:name="_Toc33534623"/>
      <w:r>
        <w:rPr>
          <w:rStyle w:val="CharPartNo"/>
        </w:rPr>
        <w:t>Part XV</w:t>
      </w:r>
      <w:r>
        <w:rPr>
          <w:b w:val="0"/>
        </w:rPr>
        <w:t> </w:t>
      </w:r>
      <w:r>
        <w:t>—</w:t>
      </w:r>
      <w:r>
        <w:rPr>
          <w:b w:val="0"/>
        </w:rPr>
        <w:t> </w:t>
      </w:r>
      <w:r>
        <w:rPr>
          <w:rStyle w:val="CharPartText"/>
        </w:rPr>
        <w:t>Costs</w:t>
      </w:r>
      <w:bookmarkEnd w:id="468"/>
    </w:p>
    <w:p>
      <w:pPr>
        <w:pStyle w:val="Footnoteheading"/>
      </w:pPr>
      <w:r>
        <w:tab/>
        <w:t>[Heading inserted: No. 42 of 2004 s. 130.]</w:t>
      </w:r>
    </w:p>
    <w:p>
      <w:pPr>
        <w:pStyle w:val="Heading3"/>
      </w:pPr>
      <w:bookmarkStart w:id="469" w:name="_Toc33534624"/>
      <w:r>
        <w:rPr>
          <w:rStyle w:val="CharDivNo"/>
        </w:rPr>
        <w:t>Division 1</w:t>
      </w:r>
      <w:r>
        <w:t> — </w:t>
      </w:r>
      <w:r>
        <w:rPr>
          <w:rStyle w:val="CharDivText"/>
        </w:rPr>
        <w:t>General</w:t>
      </w:r>
      <w:bookmarkEnd w:id="469"/>
    </w:p>
    <w:p>
      <w:pPr>
        <w:pStyle w:val="Footnoteheading"/>
      </w:pPr>
      <w:r>
        <w:tab/>
        <w:t>[Heading inserted: No. 42 of 2004 s. 130.]</w:t>
      </w:r>
    </w:p>
    <w:p>
      <w:pPr>
        <w:pStyle w:val="Heading5"/>
      </w:pPr>
      <w:bookmarkStart w:id="470" w:name="_Toc33534625"/>
      <w:r>
        <w:rPr>
          <w:rStyle w:val="CharSectno"/>
        </w:rPr>
        <w:t>261</w:t>
      </w:r>
      <w:r>
        <w:t>.</w:t>
      </w:r>
      <w:r>
        <w:tab/>
        <w:t>Terms used</w:t>
      </w:r>
      <w:bookmarkEnd w:id="470"/>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No. 42 of 2004 s. 130.]</w:t>
      </w:r>
    </w:p>
    <w:p>
      <w:pPr>
        <w:pStyle w:val="Heading5"/>
      </w:pPr>
      <w:bookmarkStart w:id="471" w:name="_Toc33534626"/>
      <w:r>
        <w:rPr>
          <w:rStyle w:val="CharSectno"/>
        </w:rPr>
        <w:t>262</w:t>
      </w:r>
      <w:r>
        <w:t>.</w:t>
      </w:r>
      <w:r>
        <w:tab/>
        <w:t>Costs to which this Part applies</w:t>
      </w:r>
      <w:bookmarkEnd w:id="471"/>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No. 42 of 2004 s. 130.]</w:t>
      </w:r>
    </w:p>
    <w:p>
      <w:pPr>
        <w:pStyle w:val="Heading5"/>
      </w:pPr>
      <w:bookmarkStart w:id="472" w:name="_Toc33534627"/>
      <w:r>
        <w:rPr>
          <w:rStyle w:val="CharSectno"/>
        </w:rPr>
        <w:t>263</w:t>
      </w:r>
      <w:r>
        <w:t>.</w:t>
      </w:r>
      <w:r>
        <w:tab/>
        <w:t xml:space="preserve">This Part prevails over </w:t>
      </w:r>
      <w:r>
        <w:rPr>
          <w:i/>
        </w:rPr>
        <w:t>Legal Profession Act 2008</w:t>
      </w:r>
      <w:bookmarkEnd w:id="472"/>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r>
        <w:tab/>
        <w:t>[Section 263 inserted: No. 42 of 2004 s. 130; amended: No. 21 of 2008 s. 713(3).]</w:t>
      </w:r>
    </w:p>
    <w:p>
      <w:pPr>
        <w:pStyle w:val="Heading3"/>
      </w:pPr>
      <w:bookmarkStart w:id="473" w:name="_Toc33534628"/>
      <w:r>
        <w:rPr>
          <w:rStyle w:val="CharDivNo"/>
        </w:rPr>
        <w:t>Division 2</w:t>
      </w:r>
      <w:r>
        <w:t> — </w:t>
      </w:r>
      <w:r>
        <w:rPr>
          <w:rStyle w:val="CharDivText"/>
        </w:rPr>
        <w:t>Costs of parties in proceedings and costs of proceedings</w:t>
      </w:r>
      <w:bookmarkEnd w:id="473"/>
    </w:p>
    <w:p>
      <w:pPr>
        <w:pStyle w:val="Footnoteheading"/>
      </w:pPr>
      <w:r>
        <w:tab/>
        <w:t>[Heading inserted: No. 42 of 2004 s. 130.]</w:t>
      </w:r>
    </w:p>
    <w:p>
      <w:pPr>
        <w:pStyle w:val="Heading5"/>
      </w:pPr>
      <w:bookmarkStart w:id="474" w:name="_Toc33534629"/>
      <w:r>
        <w:rPr>
          <w:rStyle w:val="CharSectno"/>
        </w:rPr>
        <w:t>264</w:t>
      </w:r>
      <w:r>
        <w:t>.</w:t>
      </w:r>
      <w:r>
        <w:tab/>
        <w:t>Costs to be determined by dispute resolution authority</w:t>
      </w:r>
      <w:bookmarkEnd w:id="474"/>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No. 42 of 2004 s. 130; amended: No. 21 of 2008 s. 713(4).]</w:t>
      </w:r>
    </w:p>
    <w:p>
      <w:pPr>
        <w:pStyle w:val="Heading5"/>
      </w:pPr>
      <w:bookmarkStart w:id="475" w:name="_Toc33534630"/>
      <w:r>
        <w:rPr>
          <w:rStyle w:val="CharSectno"/>
        </w:rPr>
        <w:t>265</w:t>
      </w:r>
      <w:r>
        <w:t>.</w:t>
      </w:r>
      <w:r>
        <w:tab/>
        <w:t>Costs unreasonably incurred by representative</w:t>
      </w:r>
      <w:bookmarkEnd w:id="475"/>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No. 42 of 2004 s. 130.]</w:t>
      </w:r>
    </w:p>
    <w:p>
      <w:pPr>
        <w:pStyle w:val="Heading5"/>
      </w:pPr>
      <w:bookmarkStart w:id="476" w:name="_Toc33534631"/>
      <w:r>
        <w:rPr>
          <w:rStyle w:val="CharSectno"/>
        </w:rPr>
        <w:t>266</w:t>
      </w:r>
      <w:r>
        <w:t>.</w:t>
      </w:r>
      <w:r>
        <w:tab/>
        <w:t>Agent’s costs</w:t>
      </w:r>
      <w:bookmarkEnd w:id="476"/>
    </w:p>
    <w:p>
      <w:pPr>
        <w:pStyle w:val="Subsection"/>
      </w:pPr>
      <w:r>
        <w:tab/>
      </w:r>
      <w:r>
        <w:tab/>
        <w:t>An agent is not entitled to be paid or recover any amount for an agent service unless the agent is a registered agent.</w:t>
      </w:r>
    </w:p>
    <w:p>
      <w:pPr>
        <w:pStyle w:val="Footnotesection"/>
      </w:pPr>
      <w:r>
        <w:tab/>
        <w:t>[Section 266 inserted: No. 42 of 2004 s. 130.]</w:t>
      </w:r>
    </w:p>
    <w:p>
      <w:pPr>
        <w:pStyle w:val="Heading5"/>
      </w:pPr>
      <w:bookmarkStart w:id="477" w:name="_Toc33534632"/>
      <w:r>
        <w:rPr>
          <w:rStyle w:val="CharSectno"/>
        </w:rPr>
        <w:t>267</w:t>
      </w:r>
      <w:r>
        <w:t>.</w:t>
      </w:r>
      <w:r>
        <w:tab/>
        <w:t>Appeal costs</w:t>
      </w:r>
      <w:bookmarkEnd w:id="477"/>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No. 31 of 2011 s. 20.]</w:t>
      </w:r>
    </w:p>
    <w:p>
      <w:pPr>
        <w:pStyle w:val="Heading5"/>
      </w:pPr>
      <w:bookmarkStart w:id="478" w:name="_Toc33534633"/>
      <w:r>
        <w:rPr>
          <w:rStyle w:val="CharSectno"/>
        </w:rPr>
        <w:t>268</w:t>
      </w:r>
      <w:r>
        <w:t>.</w:t>
      </w:r>
      <w:r>
        <w:tab/>
        <w:t>Regulations for assessment of costs</w:t>
      </w:r>
      <w:bookmarkEnd w:id="478"/>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r>
        <w:tab/>
        <w:t>[Section 268 inserted: No. 42 of 2004 s. 130; amended: No. 21 of 2008 s. 713(5) and (6); No. 31 of 2011 s. 67.]</w:t>
      </w:r>
    </w:p>
    <w:p>
      <w:pPr>
        <w:pStyle w:val="Heading3"/>
        <w:spacing w:before="200"/>
      </w:pPr>
      <w:bookmarkStart w:id="479" w:name="_Toc33534634"/>
      <w:r>
        <w:rPr>
          <w:rStyle w:val="CharDivNo"/>
        </w:rPr>
        <w:t>Division 3</w:t>
      </w:r>
      <w:r>
        <w:t> — </w:t>
      </w:r>
      <w:r>
        <w:rPr>
          <w:rStyle w:val="CharDivText"/>
        </w:rPr>
        <w:t>Maximum costs</w:t>
      </w:r>
      <w:bookmarkEnd w:id="479"/>
    </w:p>
    <w:p>
      <w:pPr>
        <w:pStyle w:val="Footnoteheading"/>
        <w:spacing w:before="100"/>
      </w:pPr>
      <w:r>
        <w:tab/>
        <w:t>[Heading inserted: No. 42 of 2004 s. 130.]</w:t>
      </w:r>
    </w:p>
    <w:p>
      <w:pPr>
        <w:pStyle w:val="Heading5"/>
        <w:spacing w:before="180"/>
      </w:pPr>
      <w:bookmarkStart w:id="480" w:name="_Toc33534635"/>
      <w:r>
        <w:rPr>
          <w:rStyle w:val="CharSectno"/>
        </w:rPr>
        <w:t>269</w:t>
      </w:r>
      <w:r>
        <w:t>.</w:t>
      </w:r>
      <w:r>
        <w:tab/>
        <w:t>Costs Committee, membership of</w:t>
      </w:r>
      <w:bookmarkEnd w:id="480"/>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a presiding member who is to be a member of WorkCover WA; and</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No. 42 of 2004 s. 130; amended: No. 21 of 2008 s. 713(7).]</w:t>
      </w:r>
    </w:p>
    <w:p>
      <w:pPr>
        <w:pStyle w:val="Heading5"/>
      </w:pPr>
      <w:bookmarkStart w:id="481" w:name="_Toc33534636"/>
      <w:r>
        <w:rPr>
          <w:rStyle w:val="CharSectno"/>
        </w:rPr>
        <w:t>270A</w:t>
      </w:r>
      <w:r>
        <w:t>.</w:t>
      </w:r>
      <w:r>
        <w:tab/>
        <w:t>Remuneration of Committee members</w:t>
      </w:r>
      <w:bookmarkEnd w:id="481"/>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The fees and allowances mentioned in subsection (1) are to be paid by WorkCover WA from moneys standing to the credit of the General Account.</w:t>
      </w:r>
    </w:p>
    <w:p>
      <w:pPr>
        <w:pStyle w:val="Footnotesection"/>
        <w:spacing w:before="100"/>
        <w:ind w:left="890" w:hanging="890"/>
      </w:pPr>
      <w:r>
        <w:tab/>
        <w:t>[Section 270A inserted: No. 31 of 2011 s. 121.]</w:t>
      </w:r>
    </w:p>
    <w:p>
      <w:pPr>
        <w:pStyle w:val="Heading5"/>
        <w:spacing w:before="200"/>
      </w:pPr>
      <w:bookmarkStart w:id="482" w:name="_Toc33534637"/>
      <w:r>
        <w:rPr>
          <w:rStyle w:val="CharSectno"/>
        </w:rPr>
        <w:t>270</w:t>
      </w:r>
      <w:r>
        <w:t>.</w:t>
      </w:r>
      <w:r>
        <w:tab/>
        <w:t>Constitution and procedure of Costs Committee</w:t>
      </w:r>
      <w:bookmarkEnd w:id="482"/>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if not prescribed by the regulations, may be as directed in writing by WorkCover WA.</w:t>
      </w:r>
    </w:p>
    <w:p>
      <w:pPr>
        <w:pStyle w:val="Subsection"/>
        <w:spacing w:before="140"/>
      </w:pPr>
      <w:r>
        <w:tab/>
        <w:t>(2)</w:t>
      </w:r>
      <w:r>
        <w:tab/>
        <w:t>To the extent that the procedure of the Costs Committee is not prescribed by the regulations or directed by WorkCover WA, the Costs Committee may determine its own procedure.</w:t>
      </w:r>
    </w:p>
    <w:p>
      <w:pPr>
        <w:pStyle w:val="Footnotesection"/>
        <w:spacing w:before="100"/>
        <w:ind w:left="890" w:hanging="890"/>
      </w:pPr>
      <w:r>
        <w:tab/>
        <w:t>[Section 270 inserted: No. 42 of 2004 s. 130.]</w:t>
      </w:r>
    </w:p>
    <w:p>
      <w:pPr>
        <w:pStyle w:val="Heading5"/>
        <w:spacing w:before="200"/>
      </w:pPr>
      <w:bookmarkStart w:id="483" w:name="_Toc33534638"/>
      <w:r>
        <w:rPr>
          <w:rStyle w:val="CharSectno"/>
        </w:rPr>
        <w:t>271</w:t>
      </w:r>
      <w:r>
        <w:t>.</w:t>
      </w:r>
      <w:r>
        <w:tab/>
        <w:t>Determinations as to maximum costs</w:t>
      </w:r>
      <w:bookmarkEnd w:id="483"/>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No. 42 of 2004 s. 130; amended: No. 21 of 2008 s. 713(8).]</w:t>
      </w:r>
    </w:p>
    <w:p>
      <w:pPr>
        <w:pStyle w:val="Heading5"/>
      </w:pPr>
      <w:bookmarkStart w:id="484" w:name="_Toc33534639"/>
      <w:r>
        <w:rPr>
          <w:rStyle w:val="CharSectno"/>
        </w:rPr>
        <w:t>272</w:t>
      </w:r>
      <w:r>
        <w:t>.</w:t>
      </w:r>
      <w:r>
        <w:tab/>
        <w:t>Making determinations</w:t>
      </w:r>
      <w:bookmarkEnd w:id="484"/>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No. 42 of 2004 s. 130.]</w:t>
      </w:r>
    </w:p>
    <w:p>
      <w:pPr>
        <w:pStyle w:val="Heading5"/>
      </w:pPr>
      <w:bookmarkStart w:id="485" w:name="_Toc33534640"/>
      <w:r>
        <w:rPr>
          <w:rStyle w:val="CharSectno"/>
        </w:rPr>
        <w:t>273</w:t>
      </w:r>
      <w:r>
        <w:t>.</w:t>
      </w:r>
      <w:r>
        <w:tab/>
        <w:t>Approval and publication of determinations</w:t>
      </w:r>
      <w:bookmarkEnd w:id="485"/>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No. 42 of 2004 s. 130.]</w:t>
      </w:r>
    </w:p>
    <w:p>
      <w:pPr>
        <w:pStyle w:val="Heading5"/>
        <w:spacing w:before="200"/>
      </w:pPr>
      <w:bookmarkStart w:id="486" w:name="_Toc33534641"/>
      <w:r>
        <w:rPr>
          <w:rStyle w:val="CharSectno"/>
        </w:rPr>
        <w:t>274</w:t>
      </w:r>
      <w:r>
        <w:t>.</w:t>
      </w:r>
      <w:r>
        <w:tab/>
        <w:t>Effect of costs determinations</w:t>
      </w:r>
      <w:bookmarkEnd w:id="486"/>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No. 42 of 2004 s. 130.]</w:t>
      </w:r>
    </w:p>
    <w:p>
      <w:pPr>
        <w:pStyle w:val="Heading5"/>
        <w:spacing w:before="200"/>
      </w:pPr>
      <w:bookmarkStart w:id="487" w:name="_Toc33534642"/>
      <w:r>
        <w:rPr>
          <w:rStyle w:val="CharSectno"/>
        </w:rPr>
        <w:t>275</w:t>
      </w:r>
      <w:r>
        <w:t>.</w:t>
      </w:r>
      <w:r>
        <w:tab/>
        <w:t>Agreement as to costs, limits on</w:t>
      </w:r>
      <w:bookmarkEnd w:id="487"/>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No. 42 of 2004 s. 130.]</w:t>
      </w:r>
    </w:p>
    <w:p>
      <w:pPr>
        <w:pStyle w:val="Heading5"/>
      </w:pPr>
      <w:bookmarkStart w:id="488" w:name="_Toc33534643"/>
      <w:r>
        <w:rPr>
          <w:rStyle w:val="CharSectno"/>
        </w:rPr>
        <w:t>276</w:t>
      </w:r>
      <w:r>
        <w:t>.</w:t>
      </w:r>
      <w:r>
        <w:tab/>
        <w:t>Division does not affect s. 87 in relation to Part IV actions</w:t>
      </w:r>
      <w:bookmarkEnd w:id="488"/>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No. 42 of 2004 s. 130.]</w:t>
      </w:r>
    </w:p>
    <w:p>
      <w:pPr>
        <w:pStyle w:val="Heading2"/>
      </w:pPr>
      <w:bookmarkStart w:id="489" w:name="_Toc33534644"/>
      <w:r>
        <w:rPr>
          <w:rStyle w:val="CharPartNo"/>
        </w:rPr>
        <w:t>Part XVI</w:t>
      </w:r>
      <w:r>
        <w:rPr>
          <w:rStyle w:val="CharDivNo"/>
        </w:rPr>
        <w:t> </w:t>
      </w:r>
      <w:r>
        <w:t>—</w:t>
      </w:r>
      <w:r>
        <w:rPr>
          <w:rStyle w:val="CharDivText"/>
        </w:rPr>
        <w:t> </w:t>
      </w:r>
      <w:r>
        <w:rPr>
          <w:rStyle w:val="CharPartText"/>
        </w:rPr>
        <w:t>Registered agents</w:t>
      </w:r>
      <w:bookmarkEnd w:id="489"/>
    </w:p>
    <w:p>
      <w:pPr>
        <w:pStyle w:val="Footnoteheading"/>
      </w:pPr>
      <w:r>
        <w:tab/>
        <w:t>[Heading inserted: No. 42 of 2004 s. 130.]</w:t>
      </w:r>
    </w:p>
    <w:p>
      <w:pPr>
        <w:pStyle w:val="Heading5"/>
      </w:pPr>
      <w:bookmarkStart w:id="490" w:name="_Toc33534645"/>
      <w:r>
        <w:rPr>
          <w:rStyle w:val="CharSectno"/>
        </w:rPr>
        <w:t>277</w:t>
      </w:r>
      <w:r>
        <w:t>.</w:t>
      </w:r>
      <w:r>
        <w:tab/>
        <w:t>Registration of agents</w:t>
      </w:r>
      <w:bookmarkEnd w:id="490"/>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No. 42 of 2004 s. 130; amended: No. 16 of 2005 s. 28; No. 31 of 2011 s. 122.]</w:t>
      </w:r>
    </w:p>
    <w:p>
      <w:pPr>
        <w:pStyle w:val="Ednotepart"/>
      </w:pPr>
      <w:r>
        <w:t>[Part XVII (s. 278-291) deleted: No. 31 of 2011 s. 21.]</w:t>
      </w:r>
    </w:p>
    <w:p>
      <w:pPr>
        <w:pStyle w:val="Heading2"/>
      </w:pPr>
      <w:bookmarkStart w:id="491" w:name="_Toc33534646"/>
      <w:r>
        <w:rPr>
          <w:rStyle w:val="CharPartNo"/>
        </w:rPr>
        <w:t>Part XVIII</w:t>
      </w:r>
      <w:r>
        <w:rPr>
          <w:rStyle w:val="CharDivNo"/>
        </w:rPr>
        <w:t> </w:t>
      </w:r>
      <w:r>
        <w:t>—</w:t>
      </w:r>
      <w:r>
        <w:rPr>
          <w:rStyle w:val="CharDivText"/>
        </w:rPr>
        <w:t> </w:t>
      </w:r>
      <w:r>
        <w:rPr>
          <w:rStyle w:val="CharPartText"/>
        </w:rPr>
        <w:t>Regulations, rules and practice notes</w:t>
      </w:r>
      <w:bookmarkEnd w:id="491"/>
    </w:p>
    <w:p>
      <w:pPr>
        <w:pStyle w:val="Footnoteheading"/>
      </w:pPr>
      <w:r>
        <w:tab/>
        <w:t>[Heading inserted: No. 42 of 2004 s. 130.]</w:t>
      </w:r>
    </w:p>
    <w:p>
      <w:pPr>
        <w:pStyle w:val="Heading5"/>
      </w:pPr>
      <w:bookmarkStart w:id="492" w:name="_Toc33534647"/>
      <w:r>
        <w:rPr>
          <w:rStyle w:val="CharSectno"/>
        </w:rPr>
        <w:t>292</w:t>
      </w:r>
      <w:r>
        <w:t>.</w:t>
      </w:r>
      <w:r>
        <w:tab/>
        <w:t>Regulations</w:t>
      </w:r>
      <w:bookmarkEnd w:id="492"/>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The Governor, on the recommendation of WorkCover WA,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No. 42 of 2004 s. 130; amended: No. 77 of 2006 Sch. 1 cl. 189(9); No. 31 of 2011 s. 68.]</w:t>
      </w:r>
    </w:p>
    <w:p>
      <w:pPr>
        <w:pStyle w:val="Heading5"/>
      </w:pPr>
      <w:bookmarkStart w:id="493" w:name="_Toc33534648"/>
      <w:r>
        <w:rPr>
          <w:rStyle w:val="CharSectno"/>
        </w:rPr>
        <w:t>293A</w:t>
      </w:r>
      <w:r>
        <w:t>.</w:t>
      </w:r>
      <w:r>
        <w:tab/>
        <w:t>Conciliation rules</w:t>
      </w:r>
      <w:bookmarkEnd w:id="493"/>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No. 31 of 2011 s. 22.]</w:t>
      </w:r>
    </w:p>
    <w:p>
      <w:pPr>
        <w:pStyle w:val="Heading5"/>
      </w:pPr>
      <w:bookmarkStart w:id="494" w:name="_Toc33534649"/>
      <w:r>
        <w:rPr>
          <w:rStyle w:val="CharSectno"/>
        </w:rPr>
        <w:t>293B</w:t>
      </w:r>
      <w:r>
        <w:t>.</w:t>
      </w:r>
      <w:r>
        <w:tab/>
        <w:t>Arbitration rules</w:t>
      </w:r>
      <w:bookmarkEnd w:id="494"/>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No. 31 of 2011 s. 22.]</w:t>
      </w:r>
    </w:p>
    <w:p>
      <w:pPr>
        <w:pStyle w:val="Heading5"/>
      </w:pPr>
      <w:bookmarkStart w:id="495" w:name="_Toc33534650"/>
      <w:r>
        <w:rPr>
          <w:rStyle w:val="CharSectno"/>
        </w:rPr>
        <w:t>293</w:t>
      </w:r>
      <w:r>
        <w:t>.</w:t>
      </w:r>
      <w:r>
        <w:tab/>
      </w:r>
      <w:r>
        <w:rPr>
          <w:bCs/>
        </w:rPr>
        <w:t>General provisions about rules</w:t>
      </w:r>
      <w:bookmarkEnd w:id="495"/>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t>deleted]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No. 42 of 2004 s. 130; amended: No. 31 of 2011 s. 23.]</w:t>
      </w:r>
    </w:p>
    <w:p>
      <w:pPr>
        <w:pStyle w:val="Heading5"/>
      </w:pPr>
      <w:bookmarkStart w:id="496" w:name="_Toc33534651"/>
      <w:r>
        <w:rPr>
          <w:rStyle w:val="CharSectno"/>
        </w:rPr>
        <w:t>294</w:t>
      </w:r>
      <w:r>
        <w:t>.</w:t>
      </w:r>
      <w:r>
        <w:tab/>
        <w:t>Practice notes</w:t>
      </w:r>
      <w:bookmarkEnd w:id="496"/>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No. 31 of 2011 s. 24.]</w:t>
      </w:r>
    </w:p>
    <w:p>
      <w:pPr>
        <w:pStyle w:val="Heading2"/>
      </w:pPr>
      <w:bookmarkStart w:id="497" w:name="_Toc33534652"/>
      <w:r>
        <w:rPr>
          <w:rStyle w:val="CharPartNo"/>
        </w:rPr>
        <w:t>Part XIX</w:t>
      </w:r>
      <w:r>
        <w:rPr>
          <w:rStyle w:val="CharDivNo"/>
        </w:rPr>
        <w:t> </w:t>
      </w:r>
      <w:r>
        <w:t>—</w:t>
      </w:r>
      <w:r>
        <w:rPr>
          <w:rStyle w:val="CharDivText"/>
        </w:rPr>
        <w:t> </w:t>
      </w:r>
      <w:r>
        <w:rPr>
          <w:rStyle w:val="CharPartText"/>
        </w:rPr>
        <w:t>Miscellaneous</w:t>
      </w:r>
      <w:bookmarkEnd w:id="497"/>
    </w:p>
    <w:p>
      <w:pPr>
        <w:pStyle w:val="Footnoteheading"/>
      </w:pPr>
      <w:r>
        <w:tab/>
        <w:t>[Part XIX heading, formerly Part XII heading, renumbered: No. 42 of 2004 s. 154(2).]</w:t>
      </w:r>
    </w:p>
    <w:p>
      <w:pPr>
        <w:pStyle w:val="Heading5"/>
        <w:rPr>
          <w:snapToGrid w:val="0"/>
        </w:rPr>
      </w:pPr>
      <w:bookmarkStart w:id="498" w:name="_Toc33534653"/>
      <w:r>
        <w:rPr>
          <w:rStyle w:val="CharSectno"/>
        </w:rPr>
        <w:t>295</w:t>
      </w:r>
      <w:r>
        <w:rPr>
          <w:snapToGrid w:val="0"/>
        </w:rPr>
        <w:t>.</w:t>
      </w:r>
      <w:r>
        <w:rPr>
          <w:snapToGrid w:val="0"/>
        </w:rPr>
        <w:tab/>
        <w:t>WorkCover WA’s staff etc.</w:t>
      </w:r>
      <w:bookmarkEnd w:id="498"/>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[Section 295, formerly section 177, amended: No. 86 of 1986 s. 5; No. 72 of 1992 s. 16(5); No. 32 of 1994 s. 19; No. 42 of 2004 s. 150 and 152 and renumbered as section 295: No. 42 of 2004 s. 154(1).]</w:t>
      </w:r>
    </w:p>
    <w:p>
      <w:pPr>
        <w:pStyle w:val="Heading5"/>
      </w:pPr>
      <w:bookmarkStart w:id="499" w:name="_Toc33534654"/>
      <w:r>
        <w:rPr>
          <w:rStyle w:val="CharSectno"/>
        </w:rPr>
        <w:t>296</w:t>
      </w:r>
      <w:r>
        <w:t>.</w:t>
      </w:r>
      <w:r>
        <w:tab/>
        <w:t>Delegation by chief executive officer</w:t>
      </w:r>
      <w:bookmarkEnd w:id="499"/>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No. 42 of 2004 s. 131 and renumbered as section 296: No. 42 of 2004 s. 154(1).]</w:t>
      </w:r>
    </w:p>
    <w:p>
      <w:pPr>
        <w:pStyle w:val="Heading5"/>
        <w:spacing w:before="120"/>
        <w:rPr>
          <w:snapToGrid w:val="0"/>
        </w:rPr>
      </w:pPr>
      <w:bookmarkStart w:id="500" w:name="_Toc33534655"/>
      <w:r>
        <w:rPr>
          <w:rStyle w:val="CharSectno"/>
        </w:rPr>
        <w:t>297</w:t>
      </w:r>
      <w:r>
        <w:rPr>
          <w:snapToGrid w:val="0"/>
        </w:rPr>
        <w:t>.</w:t>
      </w:r>
      <w:r>
        <w:rPr>
          <w:snapToGrid w:val="0"/>
        </w:rPr>
        <w:tab/>
        <w:t>Agreements and receipts under this Act exempt from duty</w:t>
      </w:r>
      <w:bookmarkEnd w:id="500"/>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No. 42 of 2004 s. 154(1); amended: No. 12 of 2008 Sch. 1 cl. 42.]</w:t>
      </w:r>
    </w:p>
    <w:p>
      <w:pPr>
        <w:pStyle w:val="Heading5"/>
        <w:spacing w:before="120"/>
        <w:rPr>
          <w:snapToGrid w:val="0"/>
        </w:rPr>
      </w:pPr>
      <w:bookmarkStart w:id="501" w:name="_Toc33534656"/>
      <w:r>
        <w:rPr>
          <w:rStyle w:val="CharSectno"/>
        </w:rPr>
        <w:t>298</w:t>
      </w:r>
      <w:r>
        <w:rPr>
          <w:snapToGrid w:val="0"/>
        </w:rPr>
        <w:t>.</w:t>
      </w:r>
      <w:r>
        <w:rPr>
          <w:snapToGrid w:val="0"/>
        </w:rPr>
        <w:tab/>
        <w:t>Ships, detention of</w:t>
      </w:r>
      <w:bookmarkEnd w:id="501"/>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No. 34 of 1999 s. 57; No. 42 of 2004 s. 150 and renumbered as section 298: No. 42 of 2004 s. 154(1); amended: No. 59 of 2004 s. 133.]</w:t>
      </w:r>
    </w:p>
    <w:p>
      <w:pPr>
        <w:pStyle w:val="Heading5"/>
        <w:spacing w:before="120"/>
        <w:rPr>
          <w:snapToGrid w:val="0"/>
        </w:rPr>
      </w:pPr>
      <w:bookmarkStart w:id="502" w:name="_Toc33534657"/>
      <w:r>
        <w:rPr>
          <w:rStyle w:val="CharSectno"/>
        </w:rPr>
        <w:t>299</w:t>
      </w:r>
      <w:r>
        <w:rPr>
          <w:snapToGrid w:val="0"/>
        </w:rPr>
        <w:t>.</w:t>
      </w:r>
      <w:r>
        <w:rPr>
          <w:snapToGrid w:val="0"/>
        </w:rPr>
        <w:tab/>
        <w:t>Judicial notice</w:t>
      </w:r>
      <w:bookmarkEnd w:id="502"/>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6</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No. 48 of 1993 s. 28(1); No. 42 of 2004 s. 132 and 150 and renumbered as section 299: No. 42 of 2004 s. 154(1); No. 31 of 2011 s. 69.]</w:t>
      </w:r>
    </w:p>
    <w:p>
      <w:pPr>
        <w:pStyle w:val="Heading5"/>
      </w:pPr>
      <w:bookmarkStart w:id="503" w:name="_Toc33534658"/>
      <w:r>
        <w:rPr>
          <w:rStyle w:val="CharSectno"/>
        </w:rPr>
        <w:t>300</w:t>
      </w:r>
      <w:r>
        <w:t>.</w:t>
      </w:r>
      <w:r>
        <w:tab/>
        <w:t>District Court to give information to WorkCover WA</w:t>
      </w:r>
      <w:bookmarkEnd w:id="503"/>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No. 42 of 2004 s. 133 and renumbered as section 300: No. 42 of 2004 s. 154(1).]</w:t>
      </w:r>
    </w:p>
    <w:p>
      <w:pPr>
        <w:pStyle w:val="Heading5"/>
        <w:rPr>
          <w:snapToGrid w:val="0"/>
        </w:rPr>
      </w:pPr>
      <w:bookmarkStart w:id="504" w:name="_Toc33534659"/>
      <w:r>
        <w:rPr>
          <w:rStyle w:val="CharSectno"/>
        </w:rPr>
        <w:t>301</w:t>
      </w:r>
      <w:r>
        <w:rPr>
          <w:snapToGrid w:val="0"/>
        </w:rPr>
        <w:t>.</w:t>
      </w:r>
      <w:r>
        <w:rPr>
          <w:snapToGrid w:val="0"/>
        </w:rPr>
        <w:tab/>
        <w:t>Contracting out prohibited</w:t>
      </w:r>
      <w:bookmarkEnd w:id="504"/>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No. 42 of 2004 s. 154(1).]</w:t>
      </w:r>
    </w:p>
    <w:p>
      <w:pPr>
        <w:pStyle w:val="Heading5"/>
        <w:rPr>
          <w:snapToGrid w:val="0"/>
        </w:rPr>
      </w:pPr>
      <w:bookmarkStart w:id="505" w:name="_Toc33534660"/>
      <w:r>
        <w:rPr>
          <w:rStyle w:val="CharSectno"/>
        </w:rPr>
        <w:t>302</w:t>
      </w:r>
      <w:r>
        <w:rPr>
          <w:snapToGrid w:val="0"/>
        </w:rPr>
        <w:t>.</w:t>
      </w:r>
      <w:r>
        <w:rPr>
          <w:snapToGrid w:val="0"/>
        </w:rPr>
        <w:tab/>
        <w:t>Deductions from wages towards compensation not lawful</w:t>
      </w:r>
      <w:bookmarkEnd w:id="505"/>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No. 34 of 1999 s. 49; renumbered as section 302: No. 42 of 2004 s. 154(1).]</w:t>
      </w:r>
    </w:p>
    <w:p>
      <w:pPr>
        <w:pStyle w:val="Heading5"/>
        <w:rPr>
          <w:snapToGrid w:val="0"/>
        </w:rPr>
      </w:pPr>
      <w:bookmarkStart w:id="506" w:name="_Toc33534661"/>
      <w:r>
        <w:rPr>
          <w:rStyle w:val="CharSectno"/>
        </w:rPr>
        <w:t>303</w:t>
      </w:r>
      <w:r>
        <w:rPr>
          <w:snapToGrid w:val="0"/>
        </w:rPr>
        <w:t>.</w:t>
      </w:r>
      <w:r>
        <w:rPr>
          <w:snapToGrid w:val="0"/>
        </w:rPr>
        <w:tab/>
        <w:t>Compensation payments not assignable</w:t>
      </w:r>
      <w:bookmarkEnd w:id="506"/>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No. 48 of 1993 s. 28(1); No. 34 of 1999 s. 50; No. 42 of 2004 s. 134 and renumbered as section 303: No. 42 of 2004 s. 154(1).]</w:t>
      </w:r>
    </w:p>
    <w:p>
      <w:pPr>
        <w:pStyle w:val="Heading5"/>
      </w:pPr>
      <w:bookmarkStart w:id="507" w:name="_Toc33534662"/>
      <w:r>
        <w:rPr>
          <w:rStyle w:val="CharSectno"/>
        </w:rPr>
        <w:t>303A</w:t>
      </w:r>
      <w:r>
        <w:t>.</w:t>
      </w:r>
      <w:r>
        <w:tab/>
        <w:t>Making employment conditional on avoidance arrangement</w:t>
      </w:r>
      <w:bookmarkEnd w:id="507"/>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No. 16 of 2005 s. 14.]</w:t>
      </w:r>
    </w:p>
    <w:p>
      <w:pPr>
        <w:pStyle w:val="Heading5"/>
      </w:pPr>
      <w:bookmarkStart w:id="508" w:name="_Toc33534663"/>
      <w:r>
        <w:rPr>
          <w:rStyle w:val="CharSectno"/>
        </w:rPr>
        <w:t>304</w:t>
      </w:r>
      <w:r>
        <w:t>.</w:t>
      </w:r>
      <w:r>
        <w:tab/>
        <w:t>Protection from personal liability</w:t>
      </w:r>
      <w:bookmarkEnd w:id="508"/>
    </w:p>
    <w:p>
      <w:pPr>
        <w:pStyle w:val="Subsection"/>
      </w:pPr>
      <w:r>
        <w:tab/>
        <w:t>(1)</w:t>
      </w:r>
      <w:r>
        <w:tab/>
        <w:t>This section applies to —</w:t>
      </w:r>
    </w:p>
    <w:p>
      <w:pPr>
        <w:pStyle w:val="Indenta"/>
      </w:pPr>
      <w:r>
        <w:tab/>
        <w:t>(a)</w:t>
      </w:r>
      <w:r>
        <w:tab/>
        <w:t>WorkCover WA; and</w:t>
      </w:r>
    </w:p>
    <w:p>
      <w:pPr>
        <w:pStyle w:val="Indenta"/>
      </w:pPr>
      <w:r>
        <w:tab/>
        <w:t>(b)</w:t>
      </w:r>
      <w:r>
        <w:tab/>
        <w:t>a member of the governing body of WorkCover WA; and</w:t>
      </w:r>
    </w:p>
    <w:p>
      <w:pPr>
        <w:pStyle w:val="Indenta"/>
      </w:pPr>
      <w:r>
        <w:tab/>
        <w:t>(c)</w:t>
      </w:r>
      <w:r>
        <w:tab/>
        <w:t>an officer of WorkCover WA;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No. 42 of 2004 s. 135 and renumbered as section 304: No. 42 of 2004 s. 154(1); amended: No. 31 of 2011 s. 70.]</w:t>
      </w:r>
    </w:p>
    <w:p>
      <w:pPr>
        <w:pStyle w:val="Heading5"/>
      </w:pPr>
      <w:bookmarkStart w:id="509" w:name="_Toc33534664"/>
      <w:r>
        <w:rPr>
          <w:rStyle w:val="CharSectno"/>
        </w:rPr>
        <w:t>305</w:t>
      </w:r>
      <w:r>
        <w:t>.</w:t>
      </w:r>
      <w:r>
        <w:tab/>
        <w:t>Immunity of conciliation officers, arbitrators etc.</w:t>
      </w:r>
      <w:bookmarkEnd w:id="509"/>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No. 42 of 2004 s. 135 and renumbered as section 305: No. 42 of 2004 s. 154(1); amended: No. 31 of 2011 s. 71.]</w:t>
      </w:r>
    </w:p>
    <w:p>
      <w:pPr>
        <w:pStyle w:val="Heading5"/>
      </w:pPr>
      <w:bookmarkStart w:id="510" w:name="_Toc33534665"/>
      <w:r>
        <w:rPr>
          <w:rStyle w:val="CharSectno"/>
        </w:rPr>
        <w:t>306</w:t>
      </w:r>
      <w:r>
        <w:t>.</w:t>
      </w:r>
      <w:r>
        <w:tab/>
        <w:t>Protection for compliance with this Act</w:t>
      </w:r>
      <w:bookmarkEnd w:id="510"/>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spacing w:before="100"/>
      </w:pPr>
      <w:r>
        <w:tab/>
        <w:t>[Section 306, inserted as section 186: No. 42 of 2004 s. 135 and renumbered as section 306: No. 42 of 2004 s. 154(1).]</w:t>
      </w:r>
    </w:p>
    <w:p>
      <w:pPr>
        <w:pStyle w:val="Heading5"/>
        <w:spacing w:before="180"/>
      </w:pPr>
      <w:bookmarkStart w:id="511" w:name="_Toc33534666"/>
      <w:r>
        <w:rPr>
          <w:rStyle w:val="CharSectno"/>
        </w:rPr>
        <w:t>307</w:t>
      </w:r>
      <w:r>
        <w:t>.</w:t>
      </w:r>
      <w:r>
        <w:tab/>
        <w:t>Protection from liability for publishing decisions etc. of dispute resolution authority</w:t>
      </w:r>
      <w:bookmarkEnd w:id="511"/>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 No. 42 of 2004 s. 135 and renumbered as section 307: No. 42 of 2004 s. 154(1).]</w:t>
      </w:r>
    </w:p>
    <w:p>
      <w:pPr>
        <w:pStyle w:val="Heading5"/>
        <w:spacing w:before="180"/>
        <w:rPr>
          <w:snapToGrid w:val="0"/>
        </w:rPr>
      </w:pPr>
      <w:bookmarkStart w:id="512" w:name="_Toc33534667"/>
      <w:r>
        <w:rPr>
          <w:rStyle w:val="CharSectno"/>
        </w:rPr>
        <w:t>308</w:t>
      </w:r>
      <w:r>
        <w:rPr>
          <w:snapToGrid w:val="0"/>
        </w:rPr>
        <w:t>.</w:t>
      </w:r>
      <w:r>
        <w:rPr>
          <w:snapToGrid w:val="0"/>
        </w:rPr>
        <w:tab/>
        <w:t>Fraud</w:t>
      </w:r>
      <w:bookmarkEnd w:id="512"/>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 No. 34 of 1999 s. 51; renumbered as section 308: No. 42 of 2004 s. 154(1).]</w:t>
      </w:r>
    </w:p>
    <w:p>
      <w:pPr>
        <w:pStyle w:val="Heading5"/>
        <w:spacing w:before="180"/>
      </w:pPr>
      <w:bookmarkStart w:id="513" w:name="_Toc33534668"/>
      <w:r>
        <w:rPr>
          <w:rStyle w:val="CharSectno"/>
        </w:rPr>
        <w:t>309</w:t>
      </w:r>
      <w:r>
        <w:t>.</w:t>
      </w:r>
      <w:r>
        <w:tab/>
        <w:t>Who can prosecute offences</w:t>
      </w:r>
      <w:bookmarkEnd w:id="513"/>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10"/>
        <w:ind w:left="890" w:hanging="890"/>
      </w:pPr>
      <w:r>
        <w:tab/>
        <w:t>[Section 309, inserted as section 188B: No. 42 of 2004 s. 137 and renumbered as section 309: No. 42 of 2004 s. 154(1); amended: No. 84 of 2004 s. 80.]</w:t>
      </w:r>
    </w:p>
    <w:p>
      <w:pPr>
        <w:pStyle w:val="Heading5"/>
      </w:pPr>
      <w:bookmarkStart w:id="514" w:name="_Toc33534669"/>
      <w:r>
        <w:rPr>
          <w:rStyle w:val="CharSectno"/>
        </w:rPr>
        <w:t>310</w:t>
      </w:r>
      <w:r>
        <w:t>.</w:t>
      </w:r>
      <w:r>
        <w:tab/>
        <w:t>Time limit for prosecutions</w:t>
      </w:r>
      <w:bookmarkEnd w:id="514"/>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No. 42 of 2004 s. 137 and renumbered as section 310: No. 42 of 2004 s. 154(1).]</w:t>
      </w:r>
    </w:p>
    <w:p>
      <w:pPr>
        <w:pStyle w:val="Heading5"/>
        <w:rPr>
          <w:snapToGrid w:val="0"/>
        </w:rPr>
      </w:pPr>
      <w:bookmarkStart w:id="515" w:name="_Toc33534670"/>
      <w:r>
        <w:rPr>
          <w:rStyle w:val="CharSectno"/>
        </w:rPr>
        <w:t>311</w:t>
      </w:r>
      <w:r>
        <w:rPr>
          <w:snapToGrid w:val="0"/>
        </w:rPr>
        <w:t>.</w:t>
      </w:r>
      <w:r>
        <w:rPr>
          <w:snapToGrid w:val="0"/>
        </w:rPr>
        <w:tab/>
        <w:t>General penalty</w:t>
      </w:r>
      <w:bookmarkEnd w:id="515"/>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No. 34 of 1999 s. 57; renumbered as section 311: No. 42 of 2004 s. 154(1).]</w:t>
      </w:r>
    </w:p>
    <w:p>
      <w:pPr>
        <w:pStyle w:val="Heading5"/>
        <w:rPr>
          <w:snapToGrid w:val="0"/>
        </w:rPr>
      </w:pPr>
      <w:bookmarkStart w:id="516" w:name="_Toc33534671"/>
      <w:r>
        <w:rPr>
          <w:rStyle w:val="CharSectno"/>
        </w:rPr>
        <w:t>312</w:t>
      </w:r>
      <w:r>
        <w:rPr>
          <w:snapToGrid w:val="0"/>
        </w:rPr>
        <w:t>.</w:t>
      </w:r>
      <w:r>
        <w:rPr>
          <w:snapToGrid w:val="0"/>
        </w:rPr>
        <w:tab/>
        <w:t>Fines, application of</w:t>
      </w:r>
      <w:bookmarkEnd w:id="516"/>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[Section 312, formerly section 190, amended: No. 78 of 1995 s. 138; No. 42 of 2004 s. 150 and renumbered as section 312: No. 42 of 2004 s. 154(1); amended: No. 77 of 2006 Sch. 1 cl. 189(9).]</w:t>
      </w:r>
    </w:p>
    <w:p>
      <w:pPr>
        <w:pStyle w:val="Heading5"/>
        <w:rPr>
          <w:snapToGrid w:val="0"/>
        </w:rPr>
      </w:pPr>
      <w:bookmarkStart w:id="517" w:name="_Toc33534672"/>
      <w:r>
        <w:rPr>
          <w:rStyle w:val="CharSectno"/>
        </w:rPr>
        <w:t>313</w:t>
      </w:r>
      <w:r>
        <w:rPr>
          <w:snapToGrid w:val="0"/>
        </w:rPr>
        <w:t>.</w:t>
      </w:r>
      <w:r>
        <w:rPr>
          <w:snapToGrid w:val="0"/>
        </w:rPr>
        <w:tab/>
        <w:t>Offences under Acts about workplace safety not affected</w:t>
      </w:r>
      <w:bookmarkEnd w:id="517"/>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No. 42 of 2004 s. 154(1).]</w:t>
      </w:r>
    </w:p>
    <w:p>
      <w:pPr>
        <w:pStyle w:val="Heading5"/>
      </w:pPr>
      <w:bookmarkStart w:id="518" w:name="_Toc33534673"/>
      <w:r>
        <w:rPr>
          <w:rStyle w:val="CharSectno"/>
        </w:rPr>
        <w:t>314</w:t>
      </w:r>
      <w:r>
        <w:t>.</w:t>
      </w:r>
      <w:r>
        <w:tab/>
        <w:t>WorkCover WA may specify form of sending information</w:t>
      </w:r>
      <w:bookmarkEnd w:id="518"/>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No. 34 of 1999 s. 52; amended: No. 42 of 2004 s. 138 and 150 and renumbered as section 314: No. 42 of 2004 s. 154(1).]</w:t>
      </w:r>
    </w:p>
    <w:p>
      <w:pPr>
        <w:pStyle w:val="Heading5"/>
      </w:pPr>
      <w:bookmarkStart w:id="519" w:name="_Toc33534674"/>
      <w:r>
        <w:rPr>
          <w:rStyle w:val="CharSectno"/>
        </w:rPr>
        <w:t>315</w:t>
      </w:r>
      <w:r>
        <w:t>.</w:t>
      </w:r>
      <w:r>
        <w:tab/>
        <w:t>Prescribed amount and Amounts A and C, publication of</w:t>
      </w:r>
      <w:bookmarkEnd w:id="519"/>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No. 34 of 1999 s. 32(11); renumbered as 192A: No. 74 of 2003 s. 134(4); amended: No. 42 of 2004 s. 139 and renumbered as section 315: No. 42 of 2004 s. 154(1).]</w:t>
      </w:r>
    </w:p>
    <w:p>
      <w:pPr>
        <w:pStyle w:val="Heading2"/>
        <w:keepLines/>
      </w:pPr>
      <w:bookmarkStart w:id="520" w:name="_Toc33534675"/>
      <w:r>
        <w:rPr>
          <w:rStyle w:val="CharPartNo"/>
        </w:rPr>
        <w:t>Part XX</w:t>
      </w:r>
      <w:r>
        <w:rPr>
          <w:rStyle w:val="CharDivNo"/>
        </w:rPr>
        <w:t> </w:t>
      </w:r>
      <w:r>
        <w:t>—</w:t>
      </w:r>
      <w:r>
        <w:rPr>
          <w:rStyle w:val="CharDivText"/>
        </w:rPr>
        <w:t> </w:t>
      </w:r>
      <w:r>
        <w:rPr>
          <w:rStyle w:val="CharPartText"/>
        </w:rPr>
        <w:t>Repeal, savings, and transitional</w:t>
      </w:r>
      <w:bookmarkEnd w:id="520"/>
    </w:p>
    <w:p>
      <w:pPr>
        <w:pStyle w:val="Footnoteheading"/>
        <w:keepLines/>
      </w:pPr>
      <w:r>
        <w:tab/>
        <w:t>[Part XX heading, formerly Part XIII heading, renumbered: No. 42 of 2004 s. 154(3).]</w:t>
      </w:r>
    </w:p>
    <w:p>
      <w:pPr>
        <w:pStyle w:val="Heading5"/>
        <w:rPr>
          <w:snapToGrid w:val="0"/>
        </w:rPr>
      </w:pPr>
      <w:bookmarkStart w:id="521" w:name="_Toc33534676"/>
      <w:r>
        <w:rPr>
          <w:rStyle w:val="CharSectno"/>
        </w:rPr>
        <w:t>316</w:t>
      </w:r>
      <w:r>
        <w:rPr>
          <w:snapToGrid w:val="0"/>
        </w:rPr>
        <w:t>.</w:t>
      </w:r>
      <w:r>
        <w:rPr>
          <w:snapToGrid w:val="0"/>
        </w:rPr>
        <w:tab/>
        <w:t>Terms used</w:t>
      </w:r>
      <w:bookmarkEnd w:id="521"/>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w:t>
      </w:r>
    </w:p>
    <w:p>
      <w:pPr>
        <w:pStyle w:val="Footnotesection"/>
      </w:pPr>
      <w:r>
        <w:tab/>
        <w:t>[Section 316, formerly section 193, renumbered as section 316: No. 42 of 2004 s. 154(1).]</w:t>
      </w:r>
    </w:p>
    <w:p>
      <w:pPr>
        <w:pStyle w:val="Heading5"/>
      </w:pPr>
      <w:bookmarkStart w:id="522" w:name="_Toc33534677"/>
      <w:r>
        <w:rPr>
          <w:rStyle w:val="CharSectno"/>
        </w:rPr>
        <w:t>317</w:t>
      </w:r>
      <w:r>
        <w:t>.</w:t>
      </w:r>
      <w:r>
        <w:tab/>
        <w:t>Repeal</w:t>
      </w:r>
      <w:bookmarkEnd w:id="522"/>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No. 42 of 2004 s. 154(1).]</w:t>
      </w:r>
    </w:p>
    <w:p>
      <w:pPr>
        <w:pStyle w:val="Heading5"/>
        <w:rPr>
          <w:snapToGrid w:val="0"/>
        </w:rPr>
      </w:pPr>
      <w:bookmarkStart w:id="523" w:name="_Toc33534678"/>
      <w:r>
        <w:rPr>
          <w:rStyle w:val="CharSectno"/>
        </w:rPr>
        <w:t>318</w:t>
      </w:r>
      <w:r>
        <w:rPr>
          <w:snapToGrid w:val="0"/>
        </w:rPr>
        <w:t>.</w:t>
      </w:r>
      <w:r>
        <w:rPr>
          <w:snapToGrid w:val="0"/>
        </w:rPr>
        <w:tab/>
      </w:r>
      <w:r>
        <w:rPr>
          <w:i/>
          <w:snapToGrid w:val="0"/>
        </w:rPr>
        <w:t>Interpretation Act 1918</w:t>
      </w:r>
      <w:r>
        <w:rPr>
          <w:snapToGrid w:val="0"/>
        </w:rPr>
        <w:t>, application of</w:t>
      </w:r>
      <w:bookmarkEnd w:id="523"/>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7</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No. 42 of 2004 s. 154(1).]</w:t>
      </w:r>
    </w:p>
    <w:p>
      <w:pPr>
        <w:pStyle w:val="Heading5"/>
        <w:rPr>
          <w:snapToGrid w:val="0"/>
        </w:rPr>
      </w:pPr>
      <w:bookmarkStart w:id="524" w:name="_Toc33534679"/>
      <w:r>
        <w:rPr>
          <w:rStyle w:val="CharSectno"/>
        </w:rPr>
        <w:t>319</w:t>
      </w:r>
      <w:r>
        <w:rPr>
          <w:snapToGrid w:val="0"/>
        </w:rPr>
        <w:t>.</w:t>
      </w:r>
      <w:r>
        <w:rPr>
          <w:snapToGrid w:val="0"/>
        </w:rPr>
        <w:tab/>
        <w:t>Act does not renew liability or entitlement</w:t>
      </w:r>
      <w:bookmarkEnd w:id="524"/>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No. 42 of 2004 s. 154(1).]</w:t>
      </w:r>
    </w:p>
    <w:p>
      <w:pPr>
        <w:pStyle w:val="Heading5"/>
        <w:rPr>
          <w:snapToGrid w:val="0"/>
        </w:rPr>
      </w:pPr>
      <w:bookmarkStart w:id="525" w:name="_Toc33534680"/>
      <w:r>
        <w:rPr>
          <w:rStyle w:val="CharSectno"/>
        </w:rPr>
        <w:t>320</w:t>
      </w:r>
      <w:r>
        <w:rPr>
          <w:snapToGrid w:val="0"/>
        </w:rPr>
        <w:t>.</w:t>
      </w:r>
      <w:r>
        <w:rPr>
          <w:snapToGrid w:val="0"/>
        </w:rPr>
        <w:tab/>
        <w:t>Moneys paid under repealed Act taken into account</w:t>
      </w:r>
      <w:bookmarkEnd w:id="525"/>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No. 42 of 2004 s. 146 and 147 and renumbered as section 320: No. 42 of 2004 s. 154(1).]</w:t>
      </w:r>
    </w:p>
    <w:p>
      <w:pPr>
        <w:pStyle w:val="Heading5"/>
        <w:rPr>
          <w:snapToGrid w:val="0"/>
        </w:rPr>
      </w:pPr>
      <w:bookmarkStart w:id="526" w:name="_Toc33534681"/>
      <w:r>
        <w:rPr>
          <w:rStyle w:val="CharSectno"/>
        </w:rPr>
        <w:t>321</w:t>
      </w:r>
      <w:r>
        <w:rPr>
          <w:snapToGrid w:val="0"/>
        </w:rPr>
        <w:t>.</w:t>
      </w:r>
      <w:r>
        <w:rPr>
          <w:snapToGrid w:val="0"/>
        </w:rPr>
        <w:tab/>
        <w:t>Compensation for Sch. 2 injuries</w:t>
      </w:r>
      <w:bookmarkEnd w:id="526"/>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No. 42 of 2004 s. 154(1).]</w:t>
      </w:r>
    </w:p>
    <w:p>
      <w:pPr>
        <w:pStyle w:val="Heading5"/>
        <w:rPr>
          <w:snapToGrid w:val="0"/>
        </w:rPr>
      </w:pPr>
      <w:bookmarkStart w:id="527" w:name="_Toc33534682"/>
      <w:r>
        <w:rPr>
          <w:rStyle w:val="CharSectno"/>
        </w:rPr>
        <w:t>322</w:t>
      </w:r>
      <w:r>
        <w:rPr>
          <w:snapToGrid w:val="0"/>
        </w:rPr>
        <w:t>.</w:t>
      </w:r>
      <w:r>
        <w:rPr>
          <w:snapToGrid w:val="0"/>
        </w:rPr>
        <w:tab/>
        <w:t>Child’s allowance</w:t>
      </w:r>
      <w:bookmarkEnd w:id="527"/>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No. 42 of 2004 s. 154(1).]</w:t>
      </w:r>
    </w:p>
    <w:p>
      <w:pPr>
        <w:pStyle w:val="Heading5"/>
        <w:rPr>
          <w:snapToGrid w:val="0"/>
        </w:rPr>
      </w:pPr>
      <w:bookmarkStart w:id="528" w:name="_Toc33534683"/>
      <w:r>
        <w:rPr>
          <w:rStyle w:val="CharSectno"/>
        </w:rPr>
        <w:t>323</w:t>
      </w:r>
      <w:r>
        <w:rPr>
          <w:snapToGrid w:val="0"/>
        </w:rPr>
        <w:t>.</w:t>
      </w:r>
      <w:r>
        <w:rPr>
          <w:snapToGrid w:val="0"/>
        </w:rPr>
        <w:tab/>
        <w:t>Continuation of office holders, agreements etc.</w:t>
      </w:r>
      <w:bookmarkEnd w:id="528"/>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8</w:t>
      </w:r>
      <w:r>
        <w:rPr>
          <w:snapToGrid w:val="0"/>
        </w:rPr>
        <w:t xml:space="preserve"> as if his service under and subject to the repealed Act were service under and subject to this Act.</w:t>
      </w:r>
    </w:p>
    <w:p>
      <w:pPr>
        <w:pStyle w:val="Footnotesection"/>
      </w:pPr>
      <w:r>
        <w:tab/>
        <w:t>[Section 323, formerly section 201, amended: No. 42 of 2004 s. 150 and renumbered as section 323: No. 42 of 2004 s. 154(1); No. 77 of 2006 Sch. 1 cl. 189(8) and (9).]</w:t>
      </w:r>
    </w:p>
    <w:p>
      <w:pPr>
        <w:pStyle w:val="Heading5"/>
        <w:rPr>
          <w:snapToGrid w:val="0"/>
        </w:rPr>
      </w:pPr>
      <w:bookmarkStart w:id="529" w:name="_Toc33534684"/>
      <w:r>
        <w:rPr>
          <w:rStyle w:val="CharSectno"/>
        </w:rPr>
        <w:t>324</w:t>
      </w:r>
      <w:r>
        <w:rPr>
          <w:snapToGrid w:val="0"/>
        </w:rPr>
        <w:t>.</w:t>
      </w:r>
      <w:r>
        <w:rPr>
          <w:snapToGrid w:val="0"/>
        </w:rPr>
        <w:tab/>
        <w:t>References to Board, Supplementary Board or officers</w:t>
      </w:r>
      <w:bookmarkEnd w:id="529"/>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No. 42 of 2004 s. 154(1).]</w:t>
      </w:r>
    </w:p>
    <w:p>
      <w:pPr>
        <w:pStyle w:val="Ednotesection"/>
        <w:outlineLvl w:val="9"/>
      </w:pPr>
      <w:r>
        <w:t>[Former s. 203 omitted under the Reprints Act 1984 s. 7(4)(e).]</w:t>
      </w:r>
    </w:p>
    <w:p>
      <w:pPr>
        <w:pStyle w:val="Heading5"/>
      </w:pPr>
      <w:bookmarkStart w:id="530" w:name="_Toc33534685"/>
      <w:r>
        <w:rPr>
          <w:rStyle w:val="CharSectno"/>
        </w:rPr>
        <w:t>325</w:t>
      </w:r>
      <w:r>
        <w:t>.</w:t>
      </w:r>
      <w:r>
        <w:tab/>
        <w:t>Transitional provisions (Sch. 8)</w:t>
      </w:r>
      <w:bookmarkEnd w:id="530"/>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No. 31 of 2011 s. 72.]</w:t>
      </w:r>
    </w:p>
    <w:p>
      <w:pPr>
        <w:pStyle w:val="yFootnoteheading"/>
      </w:pPr>
      <w:r>
        <w:tab/>
        <w:t>[Heading deleted: No. 19 of 2010 s. 42(3).]</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531" w:name="_Toc33534686"/>
      <w:r>
        <w:rPr>
          <w:rStyle w:val="CharSchNo"/>
        </w:rPr>
        <w:t>Schedule 1</w:t>
      </w:r>
      <w:r>
        <w:rPr>
          <w:rStyle w:val="CharSDivNo"/>
        </w:rPr>
        <w:t> </w:t>
      </w:r>
      <w:r>
        <w:t>—</w:t>
      </w:r>
      <w:r>
        <w:rPr>
          <w:rStyle w:val="CharSDivText"/>
        </w:rPr>
        <w:t> </w:t>
      </w:r>
      <w:r>
        <w:rPr>
          <w:rStyle w:val="CharSchText"/>
        </w:rPr>
        <w:t>Compensation entitlements</w:t>
      </w:r>
      <w:bookmarkEnd w:id="531"/>
    </w:p>
    <w:p>
      <w:pPr>
        <w:pStyle w:val="yShoulderClause"/>
      </w:pPr>
      <w:r>
        <w:rPr>
          <w:szCs w:val="22"/>
        </w:rPr>
        <w:t>[s. 18(1)]</w:t>
      </w:r>
    </w:p>
    <w:p>
      <w:pPr>
        <w:pStyle w:val="yFootnoteheading"/>
      </w:pPr>
      <w:r>
        <w:tab/>
        <w:t xml:space="preserve">[Heading inserted: No. 42 of 2004 s. 141(1); </w:t>
      </w:r>
      <w:r>
        <w:rPr>
          <w:snapToGrid w:val="0"/>
        </w:rPr>
        <w:t>amended: No. 19 of 2010 s. 4; No. 8 of 2018 s. 10(1)</w:t>
      </w:r>
      <w:r>
        <w:t>.]</w:t>
      </w:r>
    </w:p>
    <w:p>
      <w:pPr>
        <w:pStyle w:val="yEdnotesection"/>
      </w:pPr>
      <w:r>
        <w:t>[(1)</w:t>
      </w:r>
      <w:r>
        <w:noBreakHyphen/>
        <w:t>(5)</w:t>
      </w:r>
      <w:r>
        <w:tab/>
        <w:t>Deleted: No. 8 of 2018 s. 10(2).]</w:t>
      </w:r>
    </w:p>
    <w:p>
      <w:pPr>
        <w:pStyle w:val="yEdnotesection"/>
      </w:pPr>
      <w:r>
        <w:t>[</w:t>
      </w:r>
      <w:r>
        <w:rPr>
          <w:b/>
        </w:rPr>
        <w:t>6.</w:t>
      </w:r>
      <w:r>
        <w:rPr>
          <w:b/>
        </w:rPr>
        <w:tab/>
      </w:r>
      <w:r>
        <w:t>Deleted: No. 34 of 1999 s. 53(b).]</w:t>
      </w:r>
    </w:p>
    <w:p>
      <w:pPr>
        <w:pStyle w:val="yHeading5"/>
        <w:rPr>
          <w:snapToGrid w:val="0"/>
        </w:rPr>
      </w:pPr>
      <w:bookmarkStart w:id="532" w:name="_Toc33534687"/>
      <w:r>
        <w:rPr>
          <w:rStyle w:val="CharSClsNo"/>
        </w:rPr>
        <w:t>7</w:t>
      </w:r>
      <w:r>
        <w:rPr>
          <w:snapToGrid w:val="0"/>
        </w:rPr>
        <w:t>.</w:t>
      </w:r>
      <w:r>
        <w:rPr>
          <w:snapToGrid w:val="0"/>
        </w:rPr>
        <w:tab/>
        <w:t>Total or partial incapacity</w:t>
      </w:r>
      <w:bookmarkEnd w:id="532"/>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No. 85 of 1986 s. 12(1)(a); No. 48 of 1993 s. 28(1); No. 34 of 1999 s. 32(12); No. 42 of 2004 s. 141(5) and (6), 146, 147, 149, 150 and 154(4); No. 31 of 2011 s. 123(1).]</w:t>
      </w:r>
    </w:p>
    <w:p>
      <w:pPr>
        <w:pStyle w:val="yHeading5"/>
        <w:rPr>
          <w:snapToGrid w:val="0"/>
        </w:rPr>
      </w:pPr>
      <w:bookmarkStart w:id="533" w:name="_Toc33534688"/>
      <w:r>
        <w:rPr>
          <w:rStyle w:val="CharSClsNo"/>
        </w:rPr>
        <w:t>8</w:t>
      </w:r>
      <w:r>
        <w:rPr>
          <w:snapToGrid w:val="0"/>
        </w:rPr>
        <w:t>.</w:t>
      </w:r>
      <w:r>
        <w:rPr>
          <w:snapToGrid w:val="0"/>
        </w:rPr>
        <w:tab/>
        <w:t>Deemed total incapacity</w:t>
      </w:r>
      <w:bookmarkEnd w:id="533"/>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No. 42 of 2004 s. 141(7) and 147.]</w:t>
      </w:r>
    </w:p>
    <w:p>
      <w:pPr>
        <w:pStyle w:val="yHeading5"/>
        <w:rPr>
          <w:snapToGrid w:val="0"/>
        </w:rPr>
      </w:pPr>
      <w:bookmarkStart w:id="534" w:name="_Toc33534689"/>
      <w:r>
        <w:rPr>
          <w:rStyle w:val="CharSClsNo"/>
        </w:rPr>
        <w:t>9</w:t>
      </w:r>
      <w:r>
        <w:rPr>
          <w:snapToGrid w:val="0"/>
        </w:rPr>
        <w:t>.</w:t>
      </w:r>
      <w:r>
        <w:rPr>
          <w:snapToGrid w:val="0"/>
        </w:rPr>
        <w:tab/>
        <w:t>No incapacity — medical expenses</w:t>
      </w:r>
      <w:bookmarkEnd w:id="534"/>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No. 42 of 2004 s. 141(8) and 147.]</w:t>
      </w:r>
    </w:p>
    <w:p>
      <w:pPr>
        <w:pStyle w:val="yHeading5"/>
        <w:rPr>
          <w:snapToGrid w:val="0"/>
        </w:rPr>
      </w:pPr>
      <w:bookmarkStart w:id="535" w:name="_Toc33534690"/>
      <w:r>
        <w:rPr>
          <w:rStyle w:val="CharSClsNo"/>
        </w:rPr>
        <w:t>10</w:t>
      </w:r>
      <w:r>
        <w:rPr>
          <w:snapToGrid w:val="0"/>
        </w:rPr>
        <w:t>.</w:t>
      </w:r>
      <w:r>
        <w:rPr>
          <w:snapToGrid w:val="0"/>
        </w:rPr>
        <w:tab/>
        <w:t>Absence from work for medical attendance</w:t>
      </w:r>
      <w:bookmarkEnd w:id="535"/>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536" w:name="_Toc33534691"/>
      <w:r>
        <w:rPr>
          <w:rStyle w:val="CharSClsNo"/>
        </w:rPr>
        <w:t>11</w:t>
      </w:r>
      <w:r>
        <w:rPr>
          <w:snapToGrid w:val="0"/>
        </w:rPr>
        <w:t>.</w:t>
      </w:r>
      <w:r>
        <w:rPr>
          <w:snapToGrid w:val="0"/>
        </w:rPr>
        <w:tab/>
        <w:t>Terms used</w:t>
      </w:r>
      <w:bookmarkEnd w:id="536"/>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t xml:space="preserve">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rPr>
          <w:snapToGrid w:val="0"/>
        </w:rPr>
        <w:t xml:space="preserve"> weekly payments:  Amount B but not more than Amount C or less than Amount E;</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85% of Amount B, or a lesser amount determined in accordance with the regulations, but not more than Amount C or less than Amount E.</w:t>
      </w:r>
    </w:p>
    <w:p>
      <w:pPr>
        <w:pStyle w:val="ySubsection"/>
      </w:pPr>
      <w:r>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w:t>
      </w:r>
      <w:r>
        <w:rPr>
          <w:vertAlign w:val="superscript"/>
        </w:rPr>
        <w:t>th</w:t>
      </w:r>
      <w:r>
        <w:t>,</w:t>
      </w:r>
      <w:r>
        <w:rPr>
          <w:snapToGrid w:val="0"/>
        </w:rPr>
        <w:t xml:space="preserve"> 26</w:t>
      </w:r>
      <w:r>
        <w:rPr>
          <w:snapToGrid w:val="0"/>
          <w:vertAlign w:val="superscript"/>
        </w:rPr>
        <w:t>th</w:t>
      </w:r>
      <w:r>
        <w:rPr>
          <w:snapToGrid w:val="0"/>
        </w:rPr>
        <w:t xml:space="preserve"> or 52</w:t>
      </w:r>
      <w:r>
        <w:rPr>
          <w:snapToGrid w:val="0"/>
          <w:vertAlign w:val="superscript"/>
        </w:rPr>
        <w:t>nd</w:t>
      </w:r>
      <w:r>
        <w:rPr>
          <w:snapToGrid w:val="0"/>
        </w:rPr>
        <w:t>, or after such other numbers of weekly payments as are prescribed.</w:t>
      </w:r>
    </w:p>
    <w:p>
      <w:pPr>
        <w:pStyle w:val="yFootnotesection"/>
      </w:pPr>
      <w:r>
        <w:tab/>
        <w:t>[Clause 11 inserted: No. 34 of 1999 s. 32(13); amended: No. 42 of 2004 s. 141(9)</w:t>
      </w:r>
      <w:r>
        <w:noBreakHyphen/>
        <w:t>(14) and 147; No. 16 of 2005 s. 15.]</w:t>
      </w:r>
    </w:p>
    <w:p>
      <w:pPr>
        <w:pStyle w:val="yEdnotesection"/>
        <w:outlineLvl w:val="9"/>
      </w:pPr>
      <w:r>
        <w:t>[</w:t>
      </w:r>
      <w:r>
        <w:rPr>
          <w:b/>
        </w:rPr>
        <w:t>11A.</w:t>
      </w:r>
      <w:r>
        <w:tab/>
        <w:t>Deleted: No. 34 of 1999 s. 32(13).]</w:t>
      </w:r>
    </w:p>
    <w:p>
      <w:pPr>
        <w:pStyle w:val="yHeading5"/>
        <w:rPr>
          <w:snapToGrid w:val="0"/>
        </w:rPr>
      </w:pPr>
      <w:bookmarkStart w:id="537" w:name="_Toc33534692"/>
      <w:r>
        <w:rPr>
          <w:rStyle w:val="CharSClsNo"/>
        </w:rPr>
        <w:t>12</w:t>
      </w:r>
      <w:r>
        <w:rPr>
          <w:snapToGrid w:val="0"/>
        </w:rPr>
        <w:t>.</w:t>
      </w:r>
      <w:r>
        <w:rPr>
          <w:snapToGrid w:val="0"/>
        </w:rPr>
        <w:tab/>
        <w:t>Part</w:t>
      </w:r>
      <w:r>
        <w:rPr>
          <w:snapToGrid w:val="0"/>
        </w:rPr>
        <w:noBreakHyphen/>
        <w:t>time worker, deductions in respect of</w:t>
      </w:r>
      <w:bookmarkEnd w:id="537"/>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No. 34 of 1999 s. 32(14) and (19); No. 42 of 2004 s. 147.]</w:t>
      </w:r>
    </w:p>
    <w:p>
      <w:pPr>
        <w:pStyle w:val="yHeading5"/>
        <w:rPr>
          <w:snapToGrid w:val="0"/>
        </w:rPr>
      </w:pPr>
      <w:bookmarkStart w:id="538" w:name="_Toc33534693"/>
      <w:r>
        <w:rPr>
          <w:rStyle w:val="CharSClsNo"/>
        </w:rPr>
        <w:t>13</w:t>
      </w:r>
      <w:r>
        <w:rPr>
          <w:snapToGrid w:val="0"/>
        </w:rPr>
        <w:t>.</w:t>
      </w:r>
      <w:r>
        <w:rPr>
          <w:snapToGrid w:val="0"/>
        </w:rPr>
        <w:tab/>
        <w:t>Concurrent contracts, deductions in respect of</w:t>
      </w:r>
      <w:bookmarkEnd w:id="538"/>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 No. 34 of 1999 s. 32(15)</w:t>
      </w:r>
      <w:r>
        <w:noBreakHyphen/>
        <w:t>(17) and (19); No. 42 of 2004 s. 147.]</w:t>
      </w:r>
    </w:p>
    <w:p>
      <w:pPr>
        <w:pStyle w:val="yHeading5"/>
        <w:rPr>
          <w:snapToGrid w:val="0"/>
        </w:rPr>
      </w:pPr>
      <w:bookmarkStart w:id="539" w:name="_Toc33534694"/>
      <w:r>
        <w:rPr>
          <w:rStyle w:val="CharSClsNo"/>
        </w:rPr>
        <w:t>14</w:t>
      </w:r>
      <w:r>
        <w:rPr>
          <w:snapToGrid w:val="0"/>
        </w:rPr>
        <w:t>.</w:t>
      </w:r>
      <w:r>
        <w:rPr>
          <w:snapToGrid w:val="0"/>
        </w:rPr>
        <w:tab/>
        <w:t>Casual or seasonal worker, weekly earnings of</w:t>
      </w:r>
      <w:bookmarkEnd w:id="539"/>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540" w:name="_Toc33534695"/>
      <w:r>
        <w:rPr>
          <w:rStyle w:val="CharSClsNo"/>
        </w:rPr>
        <w:t>15</w:t>
      </w:r>
      <w:r>
        <w:rPr>
          <w:snapToGrid w:val="0"/>
        </w:rPr>
        <w:t>.</w:t>
      </w:r>
      <w:r>
        <w:rPr>
          <w:snapToGrid w:val="0"/>
        </w:rPr>
        <w:tab/>
        <w:t>Paid board and lodging, effect on earnings</w:t>
      </w:r>
      <w:bookmarkEnd w:id="540"/>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 No. 34 of 1999 s. 53(c).]</w:t>
      </w:r>
    </w:p>
    <w:p>
      <w:pPr>
        <w:pStyle w:val="yHeading5"/>
      </w:pPr>
      <w:bookmarkStart w:id="541" w:name="_Toc33534696"/>
      <w:r>
        <w:rPr>
          <w:rStyle w:val="CharSClsNo"/>
        </w:rPr>
        <w:t>16A</w:t>
      </w:r>
      <w:r>
        <w:t>.</w:t>
      </w:r>
      <w:r>
        <w:tab/>
        <w:t>Weekly earnings of jockeys</w:t>
      </w:r>
      <w:bookmarkEnd w:id="541"/>
    </w:p>
    <w:p>
      <w:pPr>
        <w:pStyle w:val="ySubsection"/>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 No. 45 of 2012 s. 6.]</w:t>
      </w:r>
    </w:p>
    <w:p>
      <w:pPr>
        <w:pStyle w:val="yHeading5"/>
        <w:rPr>
          <w:snapToGrid w:val="0"/>
        </w:rPr>
      </w:pPr>
      <w:bookmarkStart w:id="542" w:name="_Toc33534697"/>
      <w:r>
        <w:rPr>
          <w:rStyle w:val="CharSClsNo"/>
        </w:rPr>
        <w:t>16</w:t>
      </w:r>
      <w:r>
        <w:rPr>
          <w:snapToGrid w:val="0"/>
        </w:rPr>
        <w:t>.</w:t>
      </w:r>
      <w:r>
        <w:rPr>
          <w:snapToGrid w:val="0"/>
        </w:rPr>
        <w:tab/>
        <w:t>Varying weekly payments</w:t>
      </w:r>
      <w:bookmarkEnd w:id="542"/>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 No. 44 of 1985 s. 41; amended: No. 34 of 1999 s. 32(18) and (19); No. 42 of 2004 s. 147; No. 31 of 2011 s. 123(8).]</w:t>
      </w:r>
    </w:p>
    <w:p>
      <w:pPr>
        <w:pStyle w:val="yHeading5"/>
        <w:rPr>
          <w:snapToGrid w:val="0"/>
        </w:rPr>
      </w:pPr>
      <w:bookmarkStart w:id="543" w:name="_Toc33534698"/>
      <w:r>
        <w:rPr>
          <w:rStyle w:val="CharSClsNo"/>
        </w:rPr>
        <w:t>17</w:t>
      </w:r>
      <w:r>
        <w:rPr>
          <w:snapToGrid w:val="0"/>
        </w:rPr>
        <w:t>.</w:t>
      </w:r>
      <w:r>
        <w:rPr>
          <w:snapToGrid w:val="0"/>
        </w:rPr>
        <w:tab/>
        <w:t>Medical and other expenses</w:t>
      </w:r>
      <w:bookmarkEnd w:id="543"/>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Ednotepara"/>
      </w:pPr>
      <w:r>
        <w:tab/>
        <w:t>[(2)</w:t>
      </w:r>
      <w:r>
        <w:tab/>
        <w:t>deleted]</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No. 44 of 1985 s. 41(1)(c); No. 85 of 1986 s. 12(1)(b); No. 96 of 1990 s. 48(1)(b) and (c); No. 34 of 1999 s. 53(a); No. 42 of 2004 s. 141(15), 146 and 147; No. 8 of 2018 s. 10(3).]</w:t>
      </w:r>
    </w:p>
    <w:p>
      <w:pPr>
        <w:pStyle w:val="yHeading5"/>
        <w:rPr>
          <w:snapToGrid w:val="0"/>
        </w:rPr>
      </w:pPr>
      <w:bookmarkStart w:id="544" w:name="_Toc33534699"/>
      <w:r>
        <w:rPr>
          <w:rStyle w:val="CharSClsNo"/>
        </w:rPr>
        <w:t>18</w:t>
      </w:r>
      <w:r>
        <w:rPr>
          <w:snapToGrid w:val="0"/>
        </w:rPr>
        <w:t>.</w:t>
      </w:r>
      <w:r>
        <w:rPr>
          <w:snapToGrid w:val="0"/>
        </w:rPr>
        <w:tab/>
        <w:t>Hospital charges, amount of</w:t>
      </w:r>
      <w:bookmarkEnd w:id="544"/>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zCs w:val="22"/>
        </w:rPr>
        <w:t xml:space="preserve">Health Services Act 2016 </w:t>
      </w:r>
      <w:r>
        <w:rPr>
          <w:snapToGrid w:val="0"/>
        </w:rPr>
        <w:t>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No. 48 of 1993 s. 28(1); No. 103 of 1994 s. 18; No. 42 of 2004 s. 149; No. 11 of 2016 s. 306.]</w:t>
      </w:r>
    </w:p>
    <w:p>
      <w:pPr>
        <w:pStyle w:val="yHeading5"/>
        <w:rPr>
          <w:snapToGrid w:val="0"/>
        </w:rPr>
      </w:pPr>
      <w:bookmarkStart w:id="545" w:name="_Toc33534700"/>
      <w:r>
        <w:rPr>
          <w:rStyle w:val="CharSClsNo"/>
        </w:rPr>
        <w:t>18A</w:t>
      </w:r>
      <w:r>
        <w:rPr>
          <w:snapToGrid w:val="0"/>
        </w:rPr>
        <w:t>.</w:t>
      </w:r>
      <w:r>
        <w:rPr>
          <w:snapToGrid w:val="0"/>
        </w:rPr>
        <w:tab/>
        <w:t>Expenses exceeding those provided by cl. 17(1)</w:t>
      </w:r>
      <w:bookmarkEnd w:id="545"/>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No. 85 of 1986 s. 12(1)(c); amended: No. 96 of 1990 s. 48(1)(d); No. 72 of 1992 s. 23; No. 48 of 1993 s. 28(1); No. 42 of 2004 s. 141(16)</w:t>
      </w:r>
      <w:r>
        <w:noBreakHyphen/>
        <w:t>(23) and 149; No. 31 of 2011 s. 123(9)</w:t>
      </w:r>
      <w:r>
        <w:noBreakHyphen/>
        <w:t>(16).]</w:t>
      </w:r>
    </w:p>
    <w:p>
      <w:pPr>
        <w:pStyle w:val="yHeading5"/>
      </w:pPr>
      <w:bookmarkStart w:id="546" w:name="_Toc33534701"/>
      <w:r>
        <w:rPr>
          <w:rStyle w:val="CharSClsNo"/>
        </w:rPr>
        <w:t>18B</w:t>
      </w:r>
      <w:r>
        <w:t>.</w:t>
      </w:r>
      <w:r>
        <w:tab/>
        <w:t>Final day for cl. 18A(1b) application</w:t>
      </w:r>
      <w:bookmarkEnd w:id="546"/>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No. 42 of 2004 s. 141(24).]</w:t>
      </w:r>
    </w:p>
    <w:p>
      <w:pPr>
        <w:pStyle w:val="yHeading5"/>
      </w:pPr>
      <w:bookmarkStart w:id="547" w:name="_Toc33534702"/>
      <w:r>
        <w:rPr>
          <w:rStyle w:val="CharSClsNo"/>
        </w:rPr>
        <w:t>18C</w:t>
      </w:r>
      <w:r>
        <w:t>.</w:t>
      </w:r>
      <w:r>
        <w:tab/>
        <w:t>Degree of permanent whole of person impairment, dispute as to</w:t>
      </w:r>
      <w:bookmarkEnd w:id="547"/>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spacing w:before="100"/>
      </w:pPr>
      <w:r>
        <w:tab/>
        <w:t>[Clause 18C inserted: No. 42 of 2004 s. 141(24).]</w:t>
      </w:r>
    </w:p>
    <w:p>
      <w:pPr>
        <w:pStyle w:val="yHeading5"/>
      </w:pPr>
      <w:bookmarkStart w:id="548" w:name="_Toc33534703"/>
      <w:r>
        <w:rPr>
          <w:rStyle w:val="CharSClsNo"/>
        </w:rPr>
        <w:t>18D</w:t>
      </w:r>
      <w:r>
        <w:t>.</w:t>
      </w:r>
      <w:r>
        <w:tab/>
        <w:t>Interim payment of expenses exceeding those provided by cl. 17(1)</w:t>
      </w:r>
      <w:bookmarkEnd w:id="548"/>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40"/>
      </w:pPr>
      <w:r>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No. 42 of 2004 s. 141(25); amended: No. 31 of 2011 s. 123(17).]</w:t>
      </w:r>
    </w:p>
    <w:p>
      <w:pPr>
        <w:pStyle w:val="yHeading5"/>
        <w:rPr>
          <w:snapToGrid w:val="0"/>
        </w:rPr>
      </w:pPr>
      <w:bookmarkStart w:id="549" w:name="_Toc33534704"/>
      <w:r>
        <w:rPr>
          <w:rStyle w:val="CharSClsNo"/>
        </w:rPr>
        <w:t>19</w:t>
      </w:r>
      <w:r>
        <w:rPr>
          <w:snapToGrid w:val="0"/>
        </w:rPr>
        <w:t>.</w:t>
      </w:r>
      <w:r>
        <w:rPr>
          <w:snapToGrid w:val="0"/>
        </w:rPr>
        <w:tab/>
        <w:t>Travelling expenses</w:t>
      </w:r>
      <w:bookmarkEnd w:id="549"/>
    </w:p>
    <w:p>
      <w:pPr>
        <w:pStyle w:val="ySubsection"/>
        <w:rPr>
          <w:snapToGrid w:val="0"/>
        </w:rPr>
      </w:pPr>
      <w:r>
        <w:rPr>
          <w:snapToGrid w:val="0"/>
        </w:rPr>
        <w:tab/>
        <w:t>(1)</w:t>
      </w:r>
      <w:r>
        <w:rPr>
          <w:snapToGrid w:val="0"/>
        </w:rPr>
        <w:tab/>
        <w:t xml:space="preserve">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w:t>
      </w:r>
      <w:r>
        <w:rPr>
          <w:snapToGrid w:val="0"/>
          <w:szCs w:val="22"/>
        </w:rPr>
        <w:t>treatment,</w:t>
      </w:r>
      <w:r>
        <w:rPr>
          <w:szCs w:val="22"/>
        </w:rPr>
        <w:t xml:space="preserve"> attendance,</w:t>
      </w:r>
      <w:r>
        <w:rPr>
          <w:snapToGrid w:val="0"/>
        </w:rPr>
        <w:t xml:space="preserv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 xml:space="preserve">The amounts to cover the cost of meals and lodging shall not be payable to any worker who has no </w:t>
      </w:r>
      <w:r>
        <w:t>person mentioned in Schedule 1A clause 2 who is dependent on the earnings of the worker, unless the</w:t>
      </w:r>
      <w:r>
        <w:rPr>
          <w:snapToGrid w:val="0"/>
        </w:rPr>
        <w:t xml:space="preserve"> worker has incurred costs for meals and lodging in excess of that which he would have incurred had he remained at his home, and then only to the amount of that excess.</w:t>
      </w:r>
    </w:p>
    <w:p>
      <w:pPr>
        <w:pStyle w:val="yFootnotesection"/>
      </w:pPr>
      <w:r>
        <w:tab/>
        <w:t>[Clause 19 amended: No. 34 of 1999 s. 53(d); No. 31 of 2011 s. 123(18); No. 8 of 2018 s. 10(4) and 16.]</w:t>
      </w:r>
    </w:p>
    <w:p>
      <w:pPr>
        <w:pStyle w:val="yScheduleHeading"/>
        <w:outlineLvl w:val="9"/>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551" w:name="_Toc33534705"/>
      <w:r>
        <w:rPr>
          <w:rStyle w:val="CharSchNo"/>
        </w:rPr>
        <w:t>Schedule 1A</w:t>
      </w:r>
      <w:r>
        <w:t> — </w:t>
      </w:r>
      <w:r>
        <w:rPr>
          <w:rStyle w:val="CharSchText"/>
        </w:rPr>
        <w:t>Compensation entitlements when worker has died</w:t>
      </w:r>
      <w:bookmarkEnd w:id="551"/>
    </w:p>
    <w:p>
      <w:pPr>
        <w:pStyle w:val="yShoulderClause"/>
      </w:pPr>
      <w:r>
        <w:t>[s. 18(2)]</w:t>
      </w:r>
    </w:p>
    <w:p>
      <w:pPr>
        <w:pStyle w:val="yFootnoteheading"/>
      </w:pPr>
      <w:r>
        <w:tab/>
        <w:t>[Heading inserted: No. 8 of 2018 s. 11.]</w:t>
      </w:r>
    </w:p>
    <w:p>
      <w:pPr>
        <w:pStyle w:val="yHeading3"/>
      </w:pPr>
      <w:bookmarkStart w:id="552" w:name="_Toc33534706"/>
      <w:r>
        <w:rPr>
          <w:rStyle w:val="CharSDivNo"/>
        </w:rPr>
        <w:t>Division 1</w:t>
      </w:r>
      <w:r>
        <w:t> — </w:t>
      </w:r>
      <w:r>
        <w:rPr>
          <w:rStyle w:val="CharSDivText"/>
        </w:rPr>
        <w:t>Application and terms used</w:t>
      </w:r>
      <w:bookmarkEnd w:id="552"/>
    </w:p>
    <w:p>
      <w:pPr>
        <w:pStyle w:val="yFootnoteheading"/>
      </w:pPr>
      <w:r>
        <w:tab/>
        <w:t>[Heading inserted: No. 8 of 2018 s. 11.]</w:t>
      </w:r>
    </w:p>
    <w:p>
      <w:pPr>
        <w:pStyle w:val="yHeading5"/>
      </w:pPr>
      <w:bookmarkStart w:id="553" w:name="_Toc33534707"/>
      <w:r>
        <w:rPr>
          <w:rStyle w:val="CharSClsNo"/>
        </w:rPr>
        <w:t>1</w:t>
      </w:r>
      <w:r>
        <w:t>.</w:t>
      </w:r>
      <w:r>
        <w:tab/>
        <w:t>Application of Schedule</w:t>
      </w:r>
      <w:bookmarkEnd w:id="553"/>
    </w:p>
    <w:p>
      <w:pPr>
        <w:pStyle w:val="ySubsection"/>
      </w:pPr>
      <w:r>
        <w:tab/>
      </w:r>
      <w:r>
        <w:tab/>
        <w:t xml:space="preserve">This Schedule applies if — </w:t>
      </w:r>
    </w:p>
    <w:p>
      <w:pPr>
        <w:pStyle w:val="yIndenta"/>
      </w:pPr>
      <w:r>
        <w:tab/>
        <w:t>(a)</w:t>
      </w:r>
      <w:r>
        <w:tab/>
        <w:t xml:space="preserve">an </w:t>
      </w:r>
      <w:r>
        <w:rPr>
          <w:rStyle w:val="CharDefText"/>
        </w:rPr>
        <w:t>injury</w:t>
      </w:r>
      <w:r>
        <w:t xml:space="preserve"> of a </w:t>
      </w:r>
      <w:r>
        <w:rPr>
          <w:rStyle w:val="CharDefText"/>
        </w:rPr>
        <w:t>worker</w:t>
      </w:r>
      <w:r>
        <w:t xml:space="preserve"> occurs; and</w:t>
      </w:r>
    </w:p>
    <w:p>
      <w:pPr>
        <w:pStyle w:val="yIndenta"/>
      </w:pPr>
      <w:r>
        <w:tab/>
        <w:t>(b)</w:t>
      </w:r>
      <w:r>
        <w:tab/>
        <w:t xml:space="preserve">the worker dies on or after the day on which the </w:t>
      </w:r>
      <w:r>
        <w:rPr>
          <w:i/>
        </w:rPr>
        <w:t>Workers’ Compensation and Injury Management Amendment Act 2018</w:t>
      </w:r>
      <w:r>
        <w:t xml:space="preserve"> section 6 comes into operation.</w:t>
      </w:r>
    </w:p>
    <w:p>
      <w:pPr>
        <w:pStyle w:val="yFootnotesection"/>
      </w:pPr>
      <w:r>
        <w:tab/>
        <w:t>[Clause 1 inserted: No. 8 of 2018 s. 11.]</w:t>
      </w:r>
    </w:p>
    <w:p>
      <w:pPr>
        <w:pStyle w:val="yHeading5"/>
      </w:pPr>
      <w:bookmarkStart w:id="554" w:name="_Toc33534708"/>
      <w:r>
        <w:rPr>
          <w:rStyle w:val="CharSClsNo"/>
        </w:rPr>
        <w:t>2</w:t>
      </w:r>
      <w:r>
        <w:t>.</w:t>
      </w:r>
      <w:r>
        <w:tab/>
        <w:t>Partners, children and prescribed family members</w:t>
      </w:r>
      <w:bookmarkEnd w:id="554"/>
    </w:p>
    <w:p>
      <w:pPr>
        <w:pStyle w:val="ySubsection"/>
      </w:pPr>
      <w:r>
        <w:tab/>
        <w:t>(1)</w:t>
      </w:r>
      <w:r>
        <w:tab/>
        <w:t xml:space="preserve">A person is a </w:t>
      </w:r>
      <w:r>
        <w:rPr>
          <w:rStyle w:val="CharDefText"/>
        </w:rPr>
        <w:t>partner</w:t>
      </w:r>
      <w:r>
        <w:t xml:space="preserve"> if — </w:t>
      </w:r>
    </w:p>
    <w:p>
      <w:pPr>
        <w:pStyle w:val="yIndenta"/>
      </w:pPr>
      <w:r>
        <w:tab/>
        <w:t>(a)</w:t>
      </w:r>
      <w:r>
        <w:tab/>
        <w:t>the worker is the spouse or de facto partner of the person; or</w:t>
      </w:r>
    </w:p>
    <w:p>
      <w:pPr>
        <w:pStyle w:val="yIndenta"/>
      </w:pPr>
      <w:r>
        <w:tab/>
        <w:t>(b)</w:t>
      </w:r>
      <w:r>
        <w:tab/>
        <w:t>the worker has previously been a spouse or de facto partner of the person.</w:t>
      </w:r>
    </w:p>
    <w:p>
      <w:pPr>
        <w:pStyle w:val="ySubsection"/>
      </w:pPr>
      <w:r>
        <w:tab/>
        <w:t>(2)</w:t>
      </w:r>
      <w:r>
        <w:tab/>
        <w:t xml:space="preserve">A person, of any age, is a </w:t>
      </w:r>
      <w:r>
        <w:rPr>
          <w:rStyle w:val="CharDefText"/>
        </w:rPr>
        <w:t>child</w:t>
      </w:r>
      <w:r>
        <w:t xml:space="preserve"> if — </w:t>
      </w:r>
    </w:p>
    <w:p>
      <w:pPr>
        <w:pStyle w:val="yIndenta"/>
      </w:pPr>
      <w:r>
        <w:tab/>
        <w:t>(a)</w:t>
      </w:r>
      <w:r>
        <w:tab/>
        <w:t>the worker is a parent of the person; or</w:t>
      </w:r>
    </w:p>
    <w:p>
      <w:pPr>
        <w:pStyle w:val="yIndenta"/>
      </w:pPr>
      <w:r>
        <w:tab/>
        <w:t>(b)</w:t>
      </w:r>
      <w:r>
        <w:tab/>
        <w:t>the worker is a step</w:t>
      </w:r>
      <w:r>
        <w:noBreakHyphen/>
        <w:t>parent of the person (whether the person was legally adopted by the worker or not),</w:t>
      </w:r>
    </w:p>
    <w:p>
      <w:pPr>
        <w:pStyle w:val="ySubsection"/>
      </w:pPr>
      <w:r>
        <w:tab/>
      </w:r>
      <w:r>
        <w:tab/>
        <w:t xml:space="preserve">and </w:t>
      </w:r>
      <w:r>
        <w:rPr>
          <w:rStyle w:val="CharDefText"/>
        </w:rPr>
        <w:t>children</w:t>
      </w:r>
      <w:r>
        <w:t xml:space="preserve"> has a corresponding meaning.</w:t>
      </w:r>
    </w:p>
    <w:p>
      <w:pPr>
        <w:pStyle w:val="ySubsection"/>
      </w:pPr>
      <w:r>
        <w:tab/>
        <w:t>(3)</w:t>
      </w:r>
      <w:r>
        <w:tab/>
        <w:t xml:space="preserve">A person is a </w:t>
      </w:r>
      <w:r>
        <w:rPr>
          <w:rStyle w:val="CharDefText"/>
        </w:rPr>
        <w:t>prescribed family member</w:t>
      </w:r>
      <w:r>
        <w:t xml:space="preserve"> if — </w:t>
      </w:r>
    </w:p>
    <w:p>
      <w:pPr>
        <w:pStyle w:val="yIndenta"/>
      </w:pPr>
      <w:r>
        <w:tab/>
        <w:t>(a)</w:t>
      </w:r>
      <w:r>
        <w:tab/>
        <w:t>the person is a parent of the worker; or</w:t>
      </w:r>
    </w:p>
    <w:p>
      <w:pPr>
        <w:pStyle w:val="yIndenta"/>
      </w:pPr>
      <w:r>
        <w:tab/>
        <w:t>(b)</w:t>
      </w:r>
      <w:r>
        <w:tab/>
        <w:t>the person is a step</w:t>
      </w:r>
      <w:r>
        <w:noBreakHyphen/>
        <w:t>parent of the worker (whether the worker was legally adopted or not); or</w:t>
      </w:r>
    </w:p>
    <w:p>
      <w:pPr>
        <w:pStyle w:val="yIndenta"/>
      </w:pPr>
      <w:r>
        <w:tab/>
        <w:t>(c)</w:t>
      </w:r>
      <w:r>
        <w:tab/>
        <w:t>the worker stands in the place of a parent to the person; or</w:t>
      </w:r>
    </w:p>
    <w:p>
      <w:pPr>
        <w:pStyle w:val="yIndenta"/>
      </w:pPr>
      <w:r>
        <w:tab/>
        <w:t>(d)</w:t>
      </w:r>
      <w:r>
        <w:tab/>
        <w:t>the person stands in the place of a parent to the worker; or</w:t>
      </w:r>
    </w:p>
    <w:p>
      <w:pPr>
        <w:pStyle w:val="yIndenta"/>
      </w:pPr>
      <w:r>
        <w:tab/>
        <w:t>(e)</w:t>
      </w:r>
      <w:r>
        <w:tab/>
        <w:t>the person is a sibling or half</w:t>
      </w:r>
      <w:r>
        <w:noBreakHyphen/>
        <w:t>sibling of the worker; or</w:t>
      </w:r>
    </w:p>
    <w:p>
      <w:pPr>
        <w:pStyle w:val="yIndenta"/>
      </w:pPr>
      <w:r>
        <w:tab/>
        <w:t>(f)</w:t>
      </w:r>
      <w:r>
        <w:tab/>
        <w:t>the worker is a grandparent of the person; or</w:t>
      </w:r>
    </w:p>
    <w:p>
      <w:pPr>
        <w:pStyle w:val="yIndenta"/>
      </w:pPr>
      <w:r>
        <w:tab/>
        <w:t>(g)</w:t>
      </w:r>
      <w:r>
        <w:tab/>
        <w:t>the person is a grandparent of the worker.</w:t>
      </w:r>
    </w:p>
    <w:p>
      <w:pPr>
        <w:pStyle w:val="yFootnotesection"/>
      </w:pPr>
      <w:r>
        <w:tab/>
        <w:t>[Clause 2 inserted: No. 8 of 2018 s. 11.]</w:t>
      </w:r>
    </w:p>
    <w:p>
      <w:pPr>
        <w:pStyle w:val="yHeading5"/>
      </w:pPr>
      <w:bookmarkStart w:id="555" w:name="_Toc33534709"/>
      <w:r>
        <w:rPr>
          <w:rStyle w:val="CharSClsNo"/>
        </w:rPr>
        <w:t>3</w:t>
      </w:r>
      <w:r>
        <w:t>.</w:t>
      </w:r>
      <w:r>
        <w:tab/>
        <w:t>Dependants</w:t>
      </w:r>
      <w:bookmarkEnd w:id="555"/>
    </w:p>
    <w:p>
      <w:pPr>
        <w:pStyle w:val="ySubsection"/>
      </w:pPr>
      <w:r>
        <w:tab/>
      </w:r>
      <w:r>
        <w:tab/>
        <w:t xml:space="preserve">A person who is a partner, child or prescribed family member is a </w:t>
      </w:r>
      <w:r>
        <w:rPr>
          <w:rStyle w:val="CharDefText"/>
        </w:rPr>
        <w:t>dependant</w:t>
      </w:r>
      <w:r>
        <w:t xml:space="preserve"> if the person — </w:t>
      </w:r>
    </w:p>
    <w:p>
      <w:pPr>
        <w:pStyle w:val="yIndenta"/>
      </w:pPr>
      <w:r>
        <w:tab/>
        <w:t>(a)</w:t>
      </w:r>
      <w:r>
        <w:tab/>
        <w:t>was wholly or in part dependent upon the earnings of the worker at the time of the worker’s death; or</w:t>
      </w:r>
    </w:p>
    <w:p>
      <w:pPr>
        <w:pStyle w:val="yIndenta"/>
      </w:pPr>
      <w:r>
        <w:tab/>
        <w:t>(b)</w:t>
      </w:r>
      <w:r>
        <w:tab/>
        <w:t>would have been wholly or in part dependent upon the earnings of the worker at the time of the worker’s death if the injury had not occurred.</w:t>
      </w:r>
    </w:p>
    <w:p>
      <w:pPr>
        <w:pStyle w:val="yFootnotesection"/>
      </w:pPr>
      <w:r>
        <w:tab/>
        <w:t>[Clause 3 inserted: No. 8 of 2018 s. 11.]</w:t>
      </w:r>
    </w:p>
    <w:p>
      <w:pPr>
        <w:pStyle w:val="yHeading5"/>
      </w:pPr>
      <w:bookmarkStart w:id="556" w:name="_Toc33534710"/>
      <w:r>
        <w:rPr>
          <w:rStyle w:val="CharSClsNo"/>
        </w:rPr>
        <w:t>4</w:t>
      </w:r>
      <w:r>
        <w:t>.</w:t>
      </w:r>
      <w:r>
        <w:tab/>
        <w:t>Lump sum entitlement</w:t>
      </w:r>
      <w:bookmarkEnd w:id="556"/>
    </w:p>
    <w:p>
      <w:pPr>
        <w:pStyle w:val="ySubsection"/>
      </w:pPr>
      <w:r>
        <w:tab/>
      </w:r>
      <w:r>
        <w:tab/>
        <w:t xml:space="preserve">The </w:t>
      </w:r>
      <w:r>
        <w:rPr>
          <w:rStyle w:val="CharDefText"/>
        </w:rPr>
        <w:t>lump sum entitlement</w:t>
      </w:r>
      <w:r>
        <w:t xml:space="preserve"> (</w:t>
      </w:r>
      <w:r>
        <w:rPr>
          <w:rStyle w:val="CharDefText"/>
        </w:rPr>
        <w:t>LSE</w:t>
      </w:r>
      <w:r>
        <w:t>) is the amount equal to 250% of the prescribed amount calculated as at the date of the worker’s death.</w:t>
      </w:r>
    </w:p>
    <w:p>
      <w:pPr>
        <w:pStyle w:val="yFootnotesection"/>
      </w:pPr>
      <w:r>
        <w:tab/>
        <w:t>[Clause 4 inserted: No. 8 of 2018 s. 11.]</w:t>
      </w:r>
    </w:p>
    <w:p>
      <w:pPr>
        <w:pStyle w:val="yHeading5"/>
      </w:pPr>
      <w:bookmarkStart w:id="557" w:name="_Toc33534711"/>
      <w:r>
        <w:rPr>
          <w:rStyle w:val="CharSClsNo"/>
        </w:rPr>
        <w:t>5</w:t>
      </w:r>
      <w:r>
        <w:t>.</w:t>
      </w:r>
      <w:r>
        <w:tab/>
        <w:t>Child’s allowance</w:t>
      </w:r>
      <w:bookmarkEnd w:id="557"/>
    </w:p>
    <w:p>
      <w:pPr>
        <w:pStyle w:val="ySubsection"/>
      </w:pPr>
      <w:r>
        <w:tab/>
      </w:r>
      <w:r>
        <w:tab/>
        <w:t xml:space="preserve">The </w:t>
      </w:r>
      <w:r>
        <w:rPr>
          <w:rStyle w:val="CharDefText"/>
        </w:rPr>
        <w:t>child’s allowance</w:t>
      </w:r>
      <w:r>
        <w:t xml:space="preserve"> is — </w:t>
      </w:r>
    </w:p>
    <w:p>
      <w:pPr>
        <w:pStyle w:val="yIndenta"/>
      </w:pPr>
      <w:r>
        <w:tab/>
        <w:t>(a)</w:t>
      </w:r>
      <w:r>
        <w:tab/>
        <w:t>the amount of $133 per week; or</w:t>
      </w:r>
    </w:p>
    <w:p>
      <w:pPr>
        <w:pStyle w:val="yIndenta"/>
      </w:pPr>
      <w:r>
        <w:tab/>
        <w:t>(b)</w:t>
      </w:r>
      <w:r>
        <w:tab/>
        <w:t>if regulations made for the purposes of this clause prescribe a different amount per week or provide for a different amount per week to be determined in accordance with the regulations, that amount.</w:t>
      </w:r>
    </w:p>
    <w:p>
      <w:pPr>
        <w:pStyle w:val="yFootnotesection"/>
      </w:pPr>
      <w:r>
        <w:tab/>
        <w:t>[Clause 5 inserted: No. 8 of 2018 s. 11.]</w:t>
      </w:r>
    </w:p>
    <w:p>
      <w:pPr>
        <w:pStyle w:val="yHeading3"/>
      </w:pPr>
      <w:bookmarkStart w:id="558" w:name="_Toc33534712"/>
      <w:r>
        <w:rPr>
          <w:rStyle w:val="CharSDivNo"/>
        </w:rPr>
        <w:t>Division 2</w:t>
      </w:r>
      <w:r>
        <w:t> — </w:t>
      </w:r>
      <w:r>
        <w:rPr>
          <w:rStyle w:val="CharSDivText"/>
        </w:rPr>
        <w:t>Entitlements if the worker’s death results from the injury</w:t>
      </w:r>
      <w:bookmarkEnd w:id="558"/>
    </w:p>
    <w:p>
      <w:pPr>
        <w:pStyle w:val="yFootnoteheading"/>
        <w:keepNext/>
      </w:pPr>
      <w:r>
        <w:tab/>
        <w:t>[Heading inserted: No. 8 of 2018 s. 11.]</w:t>
      </w:r>
    </w:p>
    <w:p>
      <w:pPr>
        <w:pStyle w:val="yHeading5"/>
      </w:pPr>
      <w:bookmarkStart w:id="559" w:name="_Toc33534713"/>
      <w:r>
        <w:rPr>
          <w:rStyle w:val="CharSClsNo"/>
        </w:rPr>
        <w:t>6</w:t>
      </w:r>
      <w:r>
        <w:t>.</w:t>
      </w:r>
      <w:r>
        <w:tab/>
        <w:t>Application of this Division</w:t>
      </w:r>
      <w:bookmarkEnd w:id="559"/>
    </w:p>
    <w:p>
      <w:pPr>
        <w:pStyle w:val="ySubsection"/>
      </w:pPr>
      <w:r>
        <w:tab/>
      </w:r>
      <w:r>
        <w:tab/>
        <w:t>This Division applies if the worker’s death results from the injury.</w:t>
      </w:r>
    </w:p>
    <w:p>
      <w:pPr>
        <w:pStyle w:val="yFootnotesection"/>
      </w:pPr>
      <w:r>
        <w:tab/>
        <w:t>[Clause 6 inserted: No. 8 of 2018 s. 11.]</w:t>
      </w:r>
    </w:p>
    <w:p>
      <w:pPr>
        <w:pStyle w:val="yHeading5"/>
      </w:pPr>
      <w:bookmarkStart w:id="560" w:name="_Toc33534714"/>
      <w:r>
        <w:rPr>
          <w:rStyle w:val="CharSClsNo"/>
        </w:rPr>
        <w:t>7</w:t>
      </w:r>
      <w:r>
        <w:t>.</w:t>
      </w:r>
      <w:r>
        <w:tab/>
        <w:t>Lump sum compensation for partners, children and others</w:t>
      </w:r>
      <w:bookmarkEnd w:id="560"/>
    </w:p>
    <w:p>
      <w:pPr>
        <w:pStyle w:val="ySubsection"/>
      </w:pPr>
      <w:r>
        <w:tab/>
        <w:t>(1)</w:t>
      </w:r>
      <w:r>
        <w:tab/>
        <w:t xml:space="preserve">If the worker dies leaving — </w:t>
      </w:r>
    </w:p>
    <w:p>
      <w:pPr>
        <w:pStyle w:val="yIndenta"/>
      </w:pPr>
      <w:r>
        <w:tab/>
        <w:t>(a)</w:t>
      </w:r>
      <w:r>
        <w:tab/>
        <w:t>a person described in column 1 of item 1 or 9 in the Table who is a dependant; or</w:t>
      </w:r>
    </w:p>
    <w:p>
      <w:pPr>
        <w:pStyle w:val="yIndenta"/>
      </w:pPr>
      <w:r>
        <w:tab/>
        <w:t>(b)</w:t>
      </w:r>
      <w:r>
        <w:tab/>
        <w:t xml:space="preserve">persons described in column 1 of item 2, 3, 4, 5, 6, 7, 8 or 10 in the Table each of whom is a dependant, </w:t>
      </w:r>
    </w:p>
    <w:p>
      <w:pPr>
        <w:pStyle w:val="ySubsection"/>
      </w:pPr>
      <w:r>
        <w:tab/>
      </w:r>
      <w:r>
        <w:tab/>
        <w:t>the person or each of those persons is entitled to, or to a portion of, the lump sum entitlement as determined in accordance with column 2 of that item.</w:t>
      </w:r>
    </w:p>
    <w:p>
      <w:pPr>
        <w:pStyle w:val="yTHeadingNAm"/>
      </w:pPr>
      <w:r>
        <w:t>Table</w:t>
      </w:r>
    </w:p>
    <w:tbl>
      <w:tblPr>
        <w:tblW w:w="6076"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835"/>
        <w:gridCol w:w="2533"/>
      </w:tblGrid>
      <w:tr>
        <w:trPr>
          <w:tblHeader/>
        </w:trPr>
        <w:tc>
          <w:tcPr>
            <w:tcW w:w="708" w:type="dxa"/>
          </w:tcPr>
          <w:p>
            <w:pPr>
              <w:pStyle w:val="yTableNAm"/>
            </w:pPr>
            <w:r>
              <w:rPr>
                <w:b/>
              </w:rPr>
              <w:t>Item</w:t>
            </w:r>
          </w:p>
        </w:tc>
        <w:tc>
          <w:tcPr>
            <w:tcW w:w="2835" w:type="dxa"/>
          </w:tcPr>
          <w:p>
            <w:pPr>
              <w:pStyle w:val="yTableNAm"/>
            </w:pPr>
            <w:r>
              <w:rPr>
                <w:b/>
              </w:rPr>
              <w:t>Column 1</w:t>
            </w:r>
          </w:p>
          <w:p>
            <w:pPr>
              <w:pStyle w:val="yTableNAm"/>
            </w:pPr>
            <w:r>
              <w:t>Dependant or dependants</w:t>
            </w:r>
          </w:p>
        </w:tc>
        <w:tc>
          <w:tcPr>
            <w:tcW w:w="2533" w:type="dxa"/>
          </w:tcPr>
          <w:p>
            <w:pPr>
              <w:pStyle w:val="yTableNAm"/>
            </w:pPr>
            <w:r>
              <w:rPr>
                <w:b/>
              </w:rPr>
              <w:t>Column 2</w:t>
            </w:r>
          </w:p>
          <w:p>
            <w:pPr>
              <w:pStyle w:val="yTableNAm"/>
            </w:pPr>
            <w:r>
              <w:t>Compensation</w:t>
            </w:r>
          </w:p>
        </w:tc>
      </w:tr>
      <w:tr>
        <w:tc>
          <w:tcPr>
            <w:tcW w:w="708" w:type="dxa"/>
          </w:tcPr>
          <w:p>
            <w:pPr>
              <w:pStyle w:val="yTableNAm"/>
            </w:pPr>
            <w:r>
              <w:t>1.</w:t>
            </w:r>
          </w:p>
        </w:tc>
        <w:tc>
          <w:tcPr>
            <w:tcW w:w="2835" w:type="dxa"/>
          </w:tcPr>
          <w:p>
            <w:pPr>
              <w:pStyle w:val="yTableNAm"/>
            </w:pPr>
            <w:r>
              <w:t>Partners: 1</w:t>
            </w:r>
            <w:r>
              <w:br/>
            </w:r>
          </w:p>
          <w:p>
            <w:pPr>
              <w:pStyle w:val="yTableNAm"/>
            </w:pPr>
            <w:r>
              <w:t>Children: 0</w:t>
            </w:r>
          </w:p>
        </w:tc>
        <w:tc>
          <w:tcPr>
            <w:tcW w:w="2533" w:type="dxa"/>
          </w:tcPr>
          <w:p>
            <w:pPr>
              <w:pStyle w:val="yTableNAm"/>
            </w:pPr>
            <w:r>
              <w:t>100% of the LSE to the partner</w:t>
            </w:r>
          </w:p>
        </w:tc>
      </w:tr>
      <w:tr>
        <w:tc>
          <w:tcPr>
            <w:tcW w:w="708" w:type="dxa"/>
          </w:tcPr>
          <w:p>
            <w:pPr>
              <w:pStyle w:val="yTableNAm"/>
            </w:pPr>
            <w:r>
              <w:t>2.</w:t>
            </w:r>
          </w:p>
        </w:tc>
        <w:tc>
          <w:tcPr>
            <w:tcW w:w="2835" w:type="dxa"/>
          </w:tcPr>
          <w:p>
            <w:pPr>
              <w:pStyle w:val="yTableNAm"/>
            </w:pPr>
            <w:r>
              <w:t>Partners: 1</w:t>
            </w:r>
            <w:r>
              <w:br/>
            </w:r>
          </w:p>
          <w:p>
            <w:pPr>
              <w:pStyle w:val="yTableNAm"/>
            </w:pPr>
            <w:r>
              <w:t>Children: 1</w:t>
            </w:r>
          </w:p>
        </w:tc>
        <w:tc>
          <w:tcPr>
            <w:tcW w:w="2533" w:type="dxa"/>
          </w:tcPr>
          <w:p>
            <w:pPr>
              <w:pStyle w:val="yTableNAm"/>
            </w:pPr>
            <w:r>
              <w:t>90% of the LSE to the partner</w:t>
            </w:r>
          </w:p>
          <w:p>
            <w:pPr>
              <w:pStyle w:val="yTableNAm"/>
            </w:pPr>
            <w:r>
              <w:t>10% of the LSE to the child</w:t>
            </w:r>
          </w:p>
        </w:tc>
      </w:tr>
      <w:tr>
        <w:tc>
          <w:tcPr>
            <w:tcW w:w="708" w:type="dxa"/>
          </w:tcPr>
          <w:p>
            <w:pPr>
              <w:pStyle w:val="yTableNAm"/>
            </w:pPr>
            <w:r>
              <w:t>3.</w:t>
            </w:r>
          </w:p>
        </w:tc>
        <w:tc>
          <w:tcPr>
            <w:tcW w:w="2835" w:type="dxa"/>
          </w:tcPr>
          <w:p>
            <w:pPr>
              <w:pStyle w:val="yTableNAm"/>
            </w:pPr>
            <w:r>
              <w:t>Partners: 1</w:t>
            </w:r>
            <w:r>
              <w:br/>
            </w:r>
          </w:p>
          <w:p>
            <w:pPr>
              <w:pStyle w:val="yTableNAm"/>
            </w:pPr>
            <w:r>
              <w:t>Children: 2 to 5</w:t>
            </w:r>
          </w:p>
        </w:tc>
        <w:tc>
          <w:tcPr>
            <w:tcW w:w="2533" w:type="dxa"/>
          </w:tcPr>
          <w:p>
            <w:pPr>
              <w:pStyle w:val="yTableNAm"/>
            </w:pPr>
            <w:r>
              <w:t>5% of the LSE to each child</w:t>
            </w:r>
          </w:p>
          <w:p>
            <w:pPr>
              <w:pStyle w:val="yTableNAm"/>
            </w:pPr>
            <w:r>
              <w:t>Balance of the LSE to the partner</w:t>
            </w:r>
          </w:p>
        </w:tc>
      </w:tr>
      <w:tr>
        <w:tc>
          <w:tcPr>
            <w:tcW w:w="708" w:type="dxa"/>
          </w:tcPr>
          <w:p>
            <w:pPr>
              <w:pStyle w:val="yTableNAm"/>
            </w:pPr>
            <w:r>
              <w:t>4.</w:t>
            </w:r>
          </w:p>
        </w:tc>
        <w:tc>
          <w:tcPr>
            <w:tcW w:w="2835" w:type="dxa"/>
          </w:tcPr>
          <w:p>
            <w:pPr>
              <w:pStyle w:val="yTableNAm"/>
            </w:pPr>
            <w:r>
              <w:t>Partners: 1</w:t>
            </w:r>
            <w:r>
              <w:br/>
            </w:r>
          </w:p>
          <w:p>
            <w:pPr>
              <w:pStyle w:val="yTableNAm"/>
            </w:pPr>
            <w:r>
              <w:t>Children: 6 or more</w:t>
            </w:r>
          </w:p>
        </w:tc>
        <w:tc>
          <w:tcPr>
            <w:tcW w:w="2533" w:type="dxa"/>
          </w:tcPr>
          <w:p>
            <w:pPr>
              <w:pStyle w:val="yTableNAm"/>
            </w:pPr>
            <w:r>
              <w:t>75% of the LSE to the partner</w:t>
            </w:r>
          </w:p>
          <w:p>
            <w:pPr>
              <w:pStyle w:val="yTableNAm"/>
            </w:pPr>
            <w:r>
              <w:t>25% of the LSE divided equally between the children</w:t>
            </w:r>
          </w:p>
        </w:tc>
      </w:tr>
      <w:tr>
        <w:tc>
          <w:tcPr>
            <w:tcW w:w="708" w:type="dxa"/>
          </w:tcPr>
          <w:p>
            <w:pPr>
              <w:pStyle w:val="yTableNAm"/>
            </w:pPr>
            <w:r>
              <w:t>5.</w:t>
            </w:r>
          </w:p>
        </w:tc>
        <w:tc>
          <w:tcPr>
            <w:tcW w:w="2835" w:type="dxa"/>
          </w:tcPr>
          <w:p>
            <w:pPr>
              <w:pStyle w:val="yTableNAm"/>
            </w:pPr>
            <w:r>
              <w:t>Partners: 2 or more</w:t>
            </w:r>
          </w:p>
          <w:p>
            <w:pPr>
              <w:pStyle w:val="yTableNAm"/>
            </w:pPr>
            <w:r>
              <w:t>Children: None</w:t>
            </w:r>
          </w:p>
        </w:tc>
        <w:tc>
          <w:tcPr>
            <w:tcW w:w="2533" w:type="dxa"/>
          </w:tcPr>
          <w:p>
            <w:pPr>
              <w:pStyle w:val="yTableNAm"/>
            </w:pPr>
            <w:r>
              <w:t>100% of the LSE divided so that each partner receives an amount proportionate to the loss of financial support suffered by that partner</w:t>
            </w:r>
          </w:p>
        </w:tc>
      </w:tr>
      <w:tr>
        <w:tc>
          <w:tcPr>
            <w:tcW w:w="708" w:type="dxa"/>
          </w:tcPr>
          <w:p>
            <w:pPr>
              <w:pStyle w:val="yTableNAm"/>
            </w:pPr>
            <w:r>
              <w:t>6.</w:t>
            </w:r>
          </w:p>
        </w:tc>
        <w:tc>
          <w:tcPr>
            <w:tcW w:w="2835" w:type="dxa"/>
          </w:tcPr>
          <w:p>
            <w:pPr>
              <w:pStyle w:val="yTableNAm"/>
            </w:pPr>
            <w:r>
              <w:t>Partners: 2 or more</w:t>
            </w:r>
            <w:r>
              <w:br/>
            </w:r>
            <w:r>
              <w:br/>
            </w:r>
            <w:r>
              <w:br/>
            </w:r>
            <w:r>
              <w:br/>
            </w:r>
            <w:r>
              <w:br/>
            </w:r>
            <w:r>
              <w:br/>
            </w:r>
          </w:p>
          <w:p>
            <w:pPr>
              <w:pStyle w:val="yTableNAm"/>
            </w:pPr>
            <w:r>
              <w:t>Children: 1</w:t>
            </w:r>
          </w:p>
        </w:tc>
        <w:tc>
          <w:tcPr>
            <w:tcW w:w="2533" w:type="dxa"/>
          </w:tcPr>
          <w:p>
            <w:pPr>
              <w:pStyle w:val="yTableNAm"/>
            </w:pPr>
            <w:r>
              <w:t>90% of the LSE divided between the partners so that each partner receives an amount proportionate to the loss of financial support suffered by that partner</w:t>
            </w:r>
          </w:p>
          <w:p>
            <w:pPr>
              <w:pStyle w:val="yTableNAm"/>
            </w:pPr>
            <w:r>
              <w:t>10% of the LSE to the child</w:t>
            </w:r>
          </w:p>
        </w:tc>
      </w:tr>
      <w:tr>
        <w:tc>
          <w:tcPr>
            <w:tcW w:w="708" w:type="dxa"/>
          </w:tcPr>
          <w:p>
            <w:pPr>
              <w:pStyle w:val="yTableNAm"/>
            </w:pPr>
            <w:r>
              <w:t>7.</w:t>
            </w:r>
          </w:p>
        </w:tc>
        <w:tc>
          <w:tcPr>
            <w:tcW w:w="2835" w:type="dxa"/>
          </w:tcPr>
          <w:p>
            <w:pPr>
              <w:pStyle w:val="yTableNAm"/>
            </w:pPr>
            <w:r>
              <w:t>Partners: 2 or more</w:t>
            </w:r>
            <w:r>
              <w:br/>
            </w:r>
          </w:p>
          <w:p>
            <w:pPr>
              <w:pStyle w:val="yTableNAm"/>
            </w:pPr>
            <w:r>
              <w:t>Children: 2 to 5</w:t>
            </w:r>
          </w:p>
        </w:tc>
        <w:tc>
          <w:tcPr>
            <w:tcW w:w="2533" w:type="dxa"/>
          </w:tcPr>
          <w:p>
            <w:pPr>
              <w:pStyle w:val="yTableNAm"/>
            </w:pPr>
            <w:r>
              <w:t>5% of the LSE to each child</w:t>
            </w:r>
          </w:p>
          <w:p>
            <w:pPr>
              <w:pStyle w:val="yTableNAm"/>
            </w:pPr>
            <w:r>
              <w:t>Balance of the LSE divided between the partners so that each partner receives an amount proportionate to the loss of financial support suffered by that partner</w:t>
            </w:r>
          </w:p>
        </w:tc>
      </w:tr>
      <w:tr>
        <w:trPr>
          <w:cantSplit/>
        </w:trPr>
        <w:tc>
          <w:tcPr>
            <w:tcW w:w="708" w:type="dxa"/>
          </w:tcPr>
          <w:p>
            <w:pPr>
              <w:pStyle w:val="yTableNAm"/>
            </w:pPr>
            <w:r>
              <w:t>8.</w:t>
            </w:r>
          </w:p>
        </w:tc>
        <w:tc>
          <w:tcPr>
            <w:tcW w:w="2835" w:type="dxa"/>
          </w:tcPr>
          <w:p>
            <w:pPr>
              <w:pStyle w:val="yTableNAm"/>
            </w:pPr>
            <w:r>
              <w:t>Partners: 2 or more</w:t>
            </w:r>
            <w:r>
              <w:br/>
            </w:r>
            <w:r>
              <w:br/>
            </w:r>
            <w:r>
              <w:br/>
            </w:r>
            <w:r>
              <w:br/>
            </w:r>
            <w:r>
              <w:br/>
            </w:r>
            <w:r>
              <w:br/>
            </w:r>
          </w:p>
          <w:p>
            <w:pPr>
              <w:pStyle w:val="yTableNAm"/>
            </w:pPr>
            <w:r>
              <w:t>Children: 6 or more</w:t>
            </w:r>
          </w:p>
        </w:tc>
        <w:tc>
          <w:tcPr>
            <w:tcW w:w="2533" w:type="dxa"/>
          </w:tcPr>
          <w:p>
            <w:pPr>
              <w:pStyle w:val="yTableNAm"/>
            </w:pPr>
            <w:r>
              <w:t>75% of the LSE divided between the partners so that each partner receives an amount proportionate to the loss of financial support suffered by that partner</w:t>
            </w:r>
          </w:p>
          <w:p>
            <w:pPr>
              <w:pStyle w:val="yTableNAm"/>
            </w:pPr>
            <w:r>
              <w:t>25% of the LSE divided equally between the children</w:t>
            </w:r>
          </w:p>
        </w:tc>
      </w:tr>
      <w:tr>
        <w:tc>
          <w:tcPr>
            <w:tcW w:w="708" w:type="dxa"/>
          </w:tcPr>
          <w:p>
            <w:pPr>
              <w:pStyle w:val="yTableNAm"/>
            </w:pPr>
            <w:r>
              <w:t>9.</w:t>
            </w:r>
          </w:p>
        </w:tc>
        <w:tc>
          <w:tcPr>
            <w:tcW w:w="2835" w:type="dxa"/>
          </w:tcPr>
          <w:p>
            <w:pPr>
              <w:pStyle w:val="yTableNAm"/>
            </w:pPr>
            <w:r>
              <w:t>Partners: None</w:t>
            </w:r>
          </w:p>
          <w:p>
            <w:pPr>
              <w:pStyle w:val="yTableNAm"/>
            </w:pPr>
            <w:r>
              <w:t>Children: 1</w:t>
            </w:r>
          </w:p>
        </w:tc>
        <w:tc>
          <w:tcPr>
            <w:tcW w:w="2533" w:type="dxa"/>
          </w:tcPr>
          <w:p>
            <w:pPr>
              <w:pStyle w:val="yTableNAm"/>
            </w:pPr>
            <w:r>
              <w:t>100% of the LSE to the child</w:t>
            </w:r>
          </w:p>
        </w:tc>
      </w:tr>
      <w:tr>
        <w:tc>
          <w:tcPr>
            <w:tcW w:w="708" w:type="dxa"/>
          </w:tcPr>
          <w:p>
            <w:pPr>
              <w:pStyle w:val="yTableNAm"/>
            </w:pPr>
            <w:r>
              <w:t>10.</w:t>
            </w:r>
          </w:p>
        </w:tc>
        <w:tc>
          <w:tcPr>
            <w:tcW w:w="2835" w:type="dxa"/>
          </w:tcPr>
          <w:p>
            <w:pPr>
              <w:pStyle w:val="yTableNAm"/>
            </w:pPr>
            <w:r>
              <w:t>Partners: None</w:t>
            </w:r>
          </w:p>
          <w:p>
            <w:pPr>
              <w:pStyle w:val="yTableNAm"/>
            </w:pPr>
            <w:r>
              <w:t>Children: 2 or more</w:t>
            </w:r>
          </w:p>
        </w:tc>
        <w:tc>
          <w:tcPr>
            <w:tcW w:w="2533" w:type="dxa"/>
          </w:tcPr>
          <w:p>
            <w:pPr>
              <w:pStyle w:val="yTableNAm"/>
            </w:pPr>
            <w:r>
              <w:t>100% of the LSE divided equally between the children</w:t>
            </w:r>
          </w:p>
        </w:tc>
      </w:tr>
    </w:tbl>
    <w:p>
      <w:pPr>
        <w:pStyle w:val="ySubsection"/>
        <w:spacing w:before="120"/>
      </w:pPr>
      <w:r>
        <w:tab/>
        <w:t>(2)</w:t>
      </w:r>
      <w:r>
        <w:tab/>
        <w:t>The compensation for a partner or child under subclause (1) applies whether or not the worker dies also leaving any prescribed family member who is a dependant.</w:t>
      </w:r>
    </w:p>
    <w:p>
      <w:pPr>
        <w:pStyle w:val="ySubsection"/>
        <w:spacing w:before="120"/>
      </w:pPr>
      <w:r>
        <w:tab/>
        <w:t>(3)</w:t>
      </w:r>
      <w:r>
        <w:tab/>
        <w:t>If the worker dies not leaving a partner or child who is a dependant but leaving 1 prescribed family member who is a dependant, that prescribed family member is entitled to an amount that is reasonable and proportionate to the loss of financial support suffered by the prescribed family member, but not exceeding the lump sum entitlement.</w:t>
      </w:r>
    </w:p>
    <w:p>
      <w:pPr>
        <w:pStyle w:val="ySubsection"/>
        <w:spacing w:before="120"/>
      </w:pPr>
      <w:r>
        <w:tab/>
        <w:t>(4)</w:t>
      </w:r>
      <w:r>
        <w:tab/>
        <w:t>If the worker dies not leaving a partner or child who is a dependant but leaving 2 or more prescribed family members who are dependants, each of those prescribed family members is entitled to an amount that is reasonable and proportionate to the loss of financial support suffered by the prescribed family member, but not exceeding, in total, the lump sum entitlement.</w:t>
      </w:r>
    </w:p>
    <w:p>
      <w:pPr>
        <w:pStyle w:val="yFootnotesection"/>
      </w:pPr>
      <w:r>
        <w:tab/>
        <w:t>[Clause 7 inserted: No. 8 of 2018 s. 11.]</w:t>
      </w:r>
    </w:p>
    <w:p>
      <w:pPr>
        <w:pStyle w:val="yHeading5"/>
      </w:pPr>
      <w:bookmarkStart w:id="561" w:name="_Toc33534715"/>
      <w:r>
        <w:rPr>
          <w:rStyle w:val="CharSClsNo"/>
        </w:rPr>
        <w:t>8</w:t>
      </w:r>
      <w:r>
        <w:t>.</w:t>
      </w:r>
      <w:r>
        <w:tab/>
        <w:t>Allowance for children</w:t>
      </w:r>
      <w:bookmarkEnd w:id="561"/>
    </w:p>
    <w:p>
      <w:pPr>
        <w:pStyle w:val="ySubsection"/>
      </w:pPr>
      <w:r>
        <w:tab/>
        <w:t>(1)</w:t>
      </w:r>
      <w:r>
        <w:tab/>
        <w:t>This clause applies to a child left by the worker when the worker dies.</w:t>
      </w:r>
    </w:p>
    <w:p>
      <w:pPr>
        <w:pStyle w:val="ySubsection"/>
      </w:pPr>
      <w:r>
        <w:tab/>
        <w:t>(2)</w:t>
      </w:r>
      <w:r>
        <w:tab/>
        <w:t xml:space="preserve">An </w:t>
      </w:r>
      <w:r>
        <w:rPr>
          <w:rStyle w:val="CharDefText"/>
        </w:rPr>
        <w:t>eligible child</w:t>
      </w:r>
      <w:r>
        <w:t xml:space="preserve"> is a child who is a dependant and — </w:t>
      </w:r>
    </w:p>
    <w:p>
      <w:pPr>
        <w:pStyle w:val="yIndenta"/>
      </w:pPr>
      <w:r>
        <w:tab/>
        <w:t>(a)</w:t>
      </w:r>
      <w:r>
        <w:tab/>
        <w:t>is under the age of 16 years; or</w:t>
      </w:r>
    </w:p>
    <w:p>
      <w:pPr>
        <w:pStyle w:val="yIndenta"/>
      </w:pPr>
      <w:r>
        <w:tab/>
        <w:t>(b)</w:t>
      </w:r>
      <w:r>
        <w:tab/>
        <w:t>has attained the age of 16 years but is under the age of 21 years and is a full</w:t>
      </w:r>
      <w:r>
        <w:noBreakHyphen/>
        <w:t>time student; or</w:t>
      </w:r>
    </w:p>
    <w:p>
      <w:pPr>
        <w:pStyle w:val="yIndenta"/>
      </w:pPr>
      <w:r>
        <w:tab/>
        <w:t>(c)</w:t>
      </w:r>
      <w:r>
        <w:tab/>
        <w:t>is the subject of a determination that is in force under subclause (5) or (6).</w:t>
      </w:r>
    </w:p>
    <w:p>
      <w:pPr>
        <w:pStyle w:val="ySubsection"/>
      </w:pPr>
      <w:r>
        <w:tab/>
        <w:t>(3)</w:t>
      </w:r>
      <w:r>
        <w:tab/>
        <w:t>Each eligible child is entitled to the child’s allowance.</w:t>
      </w:r>
    </w:p>
    <w:p>
      <w:pPr>
        <w:pStyle w:val="ySubsection"/>
      </w:pPr>
      <w:r>
        <w:tab/>
        <w:t>(4)</w:t>
      </w:r>
      <w:r>
        <w:tab/>
        <w:t>The child’s allowance is in addition to, and does not affect, any compensation for the eligible child under clause 7(1) of this Schedule.</w:t>
      </w:r>
    </w:p>
    <w:p>
      <w:pPr>
        <w:pStyle w:val="ySubsection"/>
      </w:pPr>
      <w:r>
        <w:tab/>
        <w:t>(5)</w:t>
      </w:r>
      <w:r>
        <w:tab/>
        <w:t>An arbitrator may, in the arbitrator’s absolute discretion, determine in an order referred to in section 72J(1) that a child who is under the age of 21 years but has attained the age of 16 years and is not a full</w:t>
      </w:r>
      <w:r>
        <w:noBreakHyphen/>
        <w:t>time student should receive the child’s allowance by reason of circumstances.</w:t>
      </w:r>
    </w:p>
    <w:p>
      <w:pPr>
        <w:pStyle w:val="ySubsection"/>
      </w:pPr>
      <w:r>
        <w:tab/>
        <w:t>(6)</w:t>
      </w:r>
      <w:r>
        <w:tab/>
        <w:t xml:space="preserve">If — </w:t>
      </w:r>
    </w:p>
    <w:p>
      <w:pPr>
        <w:pStyle w:val="yIndenta"/>
      </w:pPr>
      <w:r>
        <w:tab/>
        <w:t>(a)</w:t>
      </w:r>
      <w:r>
        <w:tab/>
        <w:t>the eligibility of a child who has attained the age of 16 years to receive the child’s allowance under an order referred to in section 72J(1) ceases because the child is not a full</w:t>
      </w:r>
      <w:r>
        <w:noBreakHyphen/>
        <w:t>time student; and</w:t>
      </w:r>
    </w:p>
    <w:p>
      <w:pPr>
        <w:pStyle w:val="yIndenta"/>
      </w:pPr>
      <w:r>
        <w:tab/>
        <w:t>(b)</w:t>
      </w:r>
      <w:r>
        <w:tab/>
        <w:t>the child is under the age of 21 years,</w:t>
      </w:r>
    </w:p>
    <w:p>
      <w:pPr>
        <w:pStyle w:val="ySubsection"/>
      </w:pPr>
      <w:r>
        <w:tab/>
      </w:r>
      <w:r>
        <w:tab/>
        <w:t>on application being made to the Registrar an arbitrator may, in the arbitrator’s absolute discretion, determine that the child should continue to receive the child’s allowance by reason of circumstances.</w:t>
      </w:r>
    </w:p>
    <w:p>
      <w:pPr>
        <w:pStyle w:val="ySubsection"/>
      </w:pPr>
      <w:r>
        <w:tab/>
        <w:t>(7)</w:t>
      </w:r>
      <w:r>
        <w:tab/>
        <w:t>On application being made to the Registrar an arbitrator may, in the arbitrator’s absolute discretion, revoke a determination made under subclause (5) or (6).</w:t>
      </w:r>
    </w:p>
    <w:p>
      <w:pPr>
        <w:pStyle w:val="yFootnotesection"/>
      </w:pPr>
      <w:r>
        <w:tab/>
        <w:t>[Clause 8 inserted: No. 8 of 2018 s. 11.]</w:t>
      </w:r>
    </w:p>
    <w:p>
      <w:pPr>
        <w:pStyle w:val="yHeading5"/>
      </w:pPr>
      <w:bookmarkStart w:id="562" w:name="_Toc33534716"/>
      <w:r>
        <w:rPr>
          <w:rStyle w:val="CharSClsNo"/>
        </w:rPr>
        <w:t>9</w:t>
      </w:r>
      <w:r>
        <w:t>.</w:t>
      </w:r>
      <w:r>
        <w:tab/>
        <w:t>Funeral and medical expenses</w:t>
      </w:r>
      <w:bookmarkEnd w:id="562"/>
    </w:p>
    <w:p>
      <w:pPr>
        <w:pStyle w:val="ySubsection"/>
        <w:keepNext/>
      </w:pPr>
      <w:r>
        <w:tab/>
        <w:t>(1)</w:t>
      </w:r>
      <w:r>
        <w:tab/>
        <w:t xml:space="preserve">In this clause — </w:t>
      </w:r>
    </w:p>
    <w:p>
      <w:pPr>
        <w:pStyle w:val="yDefstart"/>
      </w:pPr>
      <w:r>
        <w:tab/>
      </w:r>
      <w:r>
        <w:rPr>
          <w:rStyle w:val="CharDefText"/>
        </w:rPr>
        <w:t>funeral expenses</w:t>
      </w:r>
      <w:r>
        <w:t xml:space="preserve"> means expenses properly incurred in relation to the funeral and burial or cremation of the worker and includes fees and charges paid or payable to the Board or local government in which the care, control and management of a cemetery is vested under the </w:t>
      </w:r>
      <w:r>
        <w:rPr>
          <w:i/>
        </w:rPr>
        <w:t>Cemeteries Act 1986</w:t>
      </w:r>
      <w:r>
        <w:t>;</w:t>
      </w:r>
    </w:p>
    <w:p>
      <w:pPr>
        <w:pStyle w:val="yDefstart"/>
      </w:pPr>
      <w:r>
        <w:tab/>
      </w:r>
      <w:r>
        <w:rPr>
          <w:rStyle w:val="CharDefText"/>
        </w:rPr>
        <w:t>medical expenses</w:t>
      </w:r>
      <w:r>
        <w:t xml:space="preserve"> means expenses properly incurred from the time of the injury until the worker’s death in relation to a matter of a kind mentioned in Schedule 1 clause 17(1).</w:t>
      </w:r>
    </w:p>
    <w:p>
      <w:pPr>
        <w:pStyle w:val="ySubsection"/>
      </w:pPr>
      <w:r>
        <w:tab/>
        <w:t>(2)</w:t>
      </w:r>
      <w:r>
        <w:tab/>
        <w:t xml:space="preserve">A person who has incurred funeral expenses is entitled to the amount of the expenses incurred but not exceeding — </w:t>
      </w:r>
    </w:p>
    <w:p>
      <w:pPr>
        <w:pStyle w:val="yIndenta"/>
      </w:pPr>
      <w:r>
        <w:tab/>
        <w:t>(a)</w:t>
      </w:r>
      <w:r>
        <w:tab/>
        <w:t>the amount of $9 813; or</w:t>
      </w:r>
    </w:p>
    <w:p>
      <w:pPr>
        <w:pStyle w:val="yIndenta"/>
      </w:pPr>
      <w:r>
        <w:tab/>
        <w:t>(b)</w:t>
      </w:r>
      <w:r>
        <w:tab/>
        <w:t>if regulations made for the purposes of this subclause prescribe a different amount or provide for a different amount to be determined in accordance with the regulations, that amount.</w:t>
      </w:r>
    </w:p>
    <w:p>
      <w:pPr>
        <w:pStyle w:val="ySubsection"/>
      </w:pPr>
      <w:r>
        <w:tab/>
        <w:t>(3)</w:t>
      </w:r>
      <w:r>
        <w:tab/>
        <w:t>A person who has incurred medical expenses is entitled to the amount of the expenses incurred to the extent that those expenses are reasonable and have not been the subject of compensation paid in accordance with Schedule 1 clause 17.</w:t>
      </w:r>
    </w:p>
    <w:p>
      <w:pPr>
        <w:pStyle w:val="yFootnotesection"/>
      </w:pPr>
      <w:r>
        <w:tab/>
        <w:t>[Clause 9 inserted: No. 8 of 2018 s. 11.]</w:t>
      </w:r>
    </w:p>
    <w:p>
      <w:pPr>
        <w:pStyle w:val="yHeading3"/>
      </w:pPr>
      <w:bookmarkStart w:id="563" w:name="_Toc33534717"/>
      <w:r>
        <w:rPr>
          <w:rStyle w:val="CharSDivNo"/>
        </w:rPr>
        <w:t>Division 3</w:t>
      </w:r>
      <w:r>
        <w:t> — </w:t>
      </w:r>
      <w:r>
        <w:rPr>
          <w:rStyle w:val="CharSDivText"/>
        </w:rPr>
        <w:t>Entitlements if the worker’s death does not result from the injury</w:t>
      </w:r>
      <w:bookmarkEnd w:id="563"/>
    </w:p>
    <w:p>
      <w:pPr>
        <w:pStyle w:val="yFootnoteheading"/>
      </w:pPr>
      <w:r>
        <w:tab/>
        <w:t>[Heading inserted: No. 8 of 2018 s. 11.]</w:t>
      </w:r>
    </w:p>
    <w:p>
      <w:pPr>
        <w:pStyle w:val="yHeading5"/>
      </w:pPr>
      <w:bookmarkStart w:id="564" w:name="_Toc33534718"/>
      <w:r>
        <w:rPr>
          <w:rStyle w:val="CharSClsNo"/>
        </w:rPr>
        <w:t>10</w:t>
      </w:r>
      <w:r>
        <w:t>.</w:t>
      </w:r>
      <w:r>
        <w:tab/>
        <w:t>Application of this Division</w:t>
      </w:r>
      <w:bookmarkEnd w:id="564"/>
    </w:p>
    <w:p>
      <w:pPr>
        <w:pStyle w:val="ySubsection"/>
      </w:pPr>
      <w:r>
        <w:tab/>
      </w:r>
      <w:r>
        <w:tab/>
        <w:t xml:space="preserve">This Division applies if — </w:t>
      </w:r>
    </w:p>
    <w:p>
      <w:pPr>
        <w:pStyle w:val="yIndenta"/>
      </w:pPr>
      <w:r>
        <w:tab/>
        <w:t>(a)</w:t>
      </w:r>
      <w:r>
        <w:tab/>
        <w:t>the worker’s death does not result from the injury; and</w:t>
      </w:r>
    </w:p>
    <w:p>
      <w:pPr>
        <w:pStyle w:val="yIndenta"/>
      </w:pPr>
      <w:r>
        <w:tab/>
        <w:t>(b)</w:t>
      </w:r>
      <w:r>
        <w:tab/>
        <w:t>the worker has been in receipt of, or was entitled to receive, weekly payments for not less than 6 months immediately preceding the worker’s death; and</w:t>
      </w:r>
    </w:p>
    <w:p>
      <w:pPr>
        <w:pStyle w:val="yIndenta"/>
      </w:pPr>
      <w:r>
        <w:tab/>
        <w:t>(c)</w:t>
      </w:r>
      <w:r>
        <w:tab/>
        <w:t>no order for payment of a lump sum in redemption has been made under section 67; and</w:t>
      </w:r>
    </w:p>
    <w:p>
      <w:pPr>
        <w:pStyle w:val="yIndenta"/>
      </w:pPr>
      <w:r>
        <w:tab/>
        <w:t>(d)</w:t>
      </w:r>
      <w:r>
        <w:tab/>
        <w:t>no memorandum of agreement for payment of a lump sum in redemption has been recorded under section 76; and</w:t>
      </w:r>
    </w:p>
    <w:p>
      <w:pPr>
        <w:pStyle w:val="yIndenta"/>
      </w:pPr>
      <w:r>
        <w:tab/>
        <w:t>(e)</w:t>
      </w:r>
      <w:r>
        <w:tab/>
        <w:t>no memorandum of the terms of a settlement has been filed under section 92(f).</w:t>
      </w:r>
    </w:p>
    <w:p>
      <w:pPr>
        <w:pStyle w:val="yFootnotesection"/>
      </w:pPr>
      <w:r>
        <w:tab/>
        <w:t>[Clause 10 inserted: No. 8 of 2018 s. 11.]</w:t>
      </w:r>
    </w:p>
    <w:p>
      <w:pPr>
        <w:pStyle w:val="yHeading5"/>
      </w:pPr>
      <w:bookmarkStart w:id="565" w:name="_Toc33534719"/>
      <w:r>
        <w:rPr>
          <w:rStyle w:val="CharSClsNo"/>
        </w:rPr>
        <w:t>11</w:t>
      </w:r>
      <w:r>
        <w:t>.</w:t>
      </w:r>
      <w:r>
        <w:tab/>
        <w:t>Lump sum compensation for partners and children</w:t>
      </w:r>
      <w:bookmarkEnd w:id="565"/>
    </w:p>
    <w:p>
      <w:pPr>
        <w:pStyle w:val="ySubsection"/>
      </w:pPr>
      <w:r>
        <w:tab/>
        <w:t>(1)</w:t>
      </w:r>
      <w:r>
        <w:tab/>
        <w:t xml:space="preserve">In this clause — </w:t>
      </w:r>
    </w:p>
    <w:p>
      <w:pPr>
        <w:pStyle w:val="yDefstart"/>
      </w:pPr>
      <w:r>
        <w:tab/>
      </w:r>
      <w:r>
        <w:rPr>
          <w:rStyle w:val="CharDefText"/>
        </w:rPr>
        <w:t>aggregated amount</w:t>
      </w:r>
      <w:r>
        <w:t xml:space="preserve"> means the aggregate of weekly payments for total incapacity of the worker at a rate calculated and varied as at the date of the worker’s death for a period of 1 year after the worker’s death;</w:t>
      </w:r>
    </w:p>
    <w:p>
      <w:pPr>
        <w:pStyle w:val="yDefstart"/>
      </w:pPr>
      <w:r>
        <w:tab/>
      </w:r>
      <w:r>
        <w:rPr>
          <w:rStyle w:val="CharDefText"/>
        </w:rPr>
        <w:t>eligible person</w:t>
      </w:r>
      <w:r>
        <w:t xml:space="preserve"> means a person who is a partner or child and is a dependant.</w:t>
      </w:r>
    </w:p>
    <w:p>
      <w:pPr>
        <w:pStyle w:val="ySubsection"/>
      </w:pPr>
      <w:r>
        <w:tab/>
        <w:t>(2)</w:t>
      </w:r>
      <w:r>
        <w:tab/>
        <w:t>If the worker dies leaving 1 eligible person, that eligible person is entitled to the aggregated amount.</w:t>
      </w:r>
    </w:p>
    <w:p>
      <w:pPr>
        <w:pStyle w:val="ySubsection"/>
      </w:pPr>
      <w:r>
        <w:tab/>
        <w:t>(3)</w:t>
      </w:r>
      <w:r>
        <w:tab/>
        <w:t xml:space="preserve">If the worker dies leaving 2 or more eligible persons, each of those eligible persons is entitled to a portion of the aggregated amount determined as if — </w:t>
      </w:r>
    </w:p>
    <w:p>
      <w:pPr>
        <w:pStyle w:val="yIndenta"/>
      </w:pPr>
      <w:r>
        <w:tab/>
        <w:t>(a)</w:t>
      </w:r>
      <w:r>
        <w:tab/>
        <w:t>item 2, 3, 4, 5, 6, 7, 8 or 10 in the Table to clause 7(1) of this Schedule, whichever is relevant, applied; and</w:t>
      </w:r>
    </w:p>
    <w:p>
      <w:pPr>
        <w:pStyle w:val="yIndenta"/>
      </w:pPr>
      <w:r>
        <w:tab/>
        <w:t>(b)</w:t>
      </w:r>
      <w:r>
        <w:tab/>
        <w:t>any reference to the LSE in column 2 of that item was a reference to the aggregated amount.</w:t>
      </w:r>
    </w:p>
    <w:p>
      <w:pPr>
        <w:pStyle w:val="yFootnotesection"/>
      </w:pPr>
      <w:r>
        <w:tab/>
        <w:t>[Clause 11 inserted: No. 8 of 2018 s. 11.]</w:t>
      </w:r>
    </w:p>
    <w:p>
      <w:pPr>
        <w:pStyle w:val="yScheduleHeading"/>
        <w:outlineLvl w:val="9"/>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yScheduleHeading"/>
      </w:pPr>
      <w:bookmarkStart w:id="566" w:name="_Toc33534720"/>
      <w:r>
        <w:rPr>
          <w:rStyle w:val="CharSchNo"/>
        </w:rPr>
        <w:t>Schedule 2</w:t>
      </w:r>
      <w:r>
        <w:t> —</w:t>
      </w:r>
      <w:r>
        <w:rPr>
          <w:rStyle w:val="CharSDivText"/>
        </w:rPr>
        <w:t> </w:t>
      </w:r>
      <w:r>
        <w:rPr>
          <w:rStyle w:val="CharSchText"/>
        </w:rPr>
        <w:t>Table of compensation payable</w:t>
      </w:r>
      <w:bookmarkEnd w:id="566"/>
    </w:p>
    <w:p>
      <w:pPr>
        <w:pStyle w:val="yShoulderClause"/>
      </w:pPr>
      <w:r>
        <w:rPr>
          <w:snapToGrid w:val="0"/>
        </w:rPr>
        <w:t>[s. 24]</w:t>
      </w:r>
    </w:p>
    <w:p>
      <w:pPr>
        <w:pStyle w:val="yFootnoteheading"/>
      </w:pPr>
      <w:r>
        <w:tab/>
        <w:t xml:space="preserve">[Heading inserted: No. 42 of 2004 s. 142(1); </w:t>
      </w:r>
      <w:r>
        <w:rPr>
          <w:snapToGrid w:val="0"/>
        </w:rPr>
        <w:t>amended: No. 19 of 2010 s. 4</w:t>
      </w:r>
      <w:r>
        <w:t>.]</w:t>
      </w:r>
    </w:p>
    <w:p>
      <w:pPr>
        <w:pStyle w:val="yHeading2"/>
        <w:spacing w:before="200"/>
      </w:pPr>
      <w:bookmarkStart w:id="567" w:name="_Toc33534721"/>
      <w:r>
        <w:rPr>
          <w:rStyle w:val="CharSDivNo"/>
          <w:sz w:val="28"/>
        </w:rPr>
        <w:t>Part 1</w:t>
      </w:r>
      <w:bookmarkEnd w:id="567"/>
    </w:p>
    <w:p>
      <w:pPr>
        <w:pStyle w:val="yFootnoteheading"/>
        <w:spacing w:after="40"/>
      </w:pPr>
      <w:r>
        <w:tab/>
        <w:t>[Heading inserted: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No. 44 of 1985 s. 42; No. 48 of 1993 s. 20; No. 34 of 1999 s. 54; No. 42 of 2004 s. 142(2).]</w:t>
      </w:r>
    </w:p>
    <w:p>
      <w:pPr>
        <w:pStyle w:val="yHeading2"/>
      </w:pPr>
      <w:bookmarkStart w:id="568" w:name="_Toc33534722"/>
      <w:r>
        <w:rPr>
          <w:rStyle w:val="CharSDivNo"/>
          <w:sz w:val="28"/>
        </w:rPr>
        <w:t>Part 2</w:t>
      </w:r>
      <w:bookmarkEnd w:id="568"/>
    </w:p>
    <w:p>
      <w:pPr>
        <w:pStyle w:val="yFootnoteheading"/>
        <w:keepNext/>
        <w:spacing w:after="120"/>
      </w:pPr>
      <w:r>
        <w:tab/>
        <w:t>[Heading inserted: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No. 42 of 2004 s. 142(3).]</w:t>
      </w:r>
    </w:p>
    <w:p>
      <w:pPr>
        <w:tabs>
          <w:tab w:val="right" w:pos="882"/>
        </w:tabs>
        <w:sectPr>
          <w:headerReference w:type="even" r:id="rId30"/>
          <w:headerReference w:type="default" r:id="rId31"/>
          <w:footerReference w:type="even" r:id="rId32"/>
          <w:footerReference w:type="default" r:id="rId33"/>
          <w:pgSz w:w="11907" w:h="16840" w:code="9"/>
          <w:pgMar w:top="2381" w:right="2410" w:bottom="3544" w:left="2410" w:header="720" w:footer="3379" w:gutter="0"/>
          <w:cols w:space="720"/>
          <w:noEndnote/>
          <w:docGrid w:linePitch="326"/>
        </w:sectPr>
      </w:pPr>
    </w:p>
    <w:p>
      <w:pPr>
        <w:pStyle w:val="yScheduleHeading"/>
      </w:pPr>
      <w:bookmarkStart w:id="569" w:name="_Toc33534723"/>
      <w:r>
        <w:rPr>
          <w:rStyle w:val="CharSchNo"/>
        </w:rPr>
        <w:t>Schedule 3</w:t>
      </w:r>
      <w:r>
        <w:t> — </w:t>
      </w:r>
      <w:r>
        <w:rPr>
          <w:rStyle w:val="CharSchText"/>
        </w:rPr>
        <w:t>Specified industrial diseases</w:t>
      </w:r>
      <w:bookmarkEnd w:id="569"/>
    </w:p>
    <w:p>
      <w:pPr>
        <w:pStyle w:val="yShoulderClause"/>
        <w:rPr>
          <w:snapToGrid w:val="0"/>
        </w:rPr>
      </w:pPr>
      <w:r>
        <w:rPr>
          <w:snapToGrid w:val="0"/>
        </w:rPr>
        <w:t>[s. 32]</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 No. 44 of 1985 s. 43; No. 48 of 1993 s. 42; (see Orders made under s. 45</w:t>
      </w:r>
      <w:r>
        <w:rPr>
          <w:vertAlign w:val="superscript"/>
        </w:rPr>
        <w:t> 5</w:t>
      </w:r>
      <w:r>
        <w:t>); No. 31 of 2011 s. 124.]</w:t>
      </w:r>
    </w:p>
    <w:p>
      <w:pPr>
        <w:pStyle w:val="yScheduleHeading"/>
      </w:pPr>
      <w:bookmarkStart w:id="570" w:name="_Toc33534724"/>
      <w:r>
        <w:rPr>
          <w:rStyle w:val="CharSchNo"/>
        </w:rPr>
        <w:t>Schedule 4A</w:t>
      </w:r>
      <w:r>
        <w:t> — </w:t>
      </w:r>
      <w:r>
        <w:rPr>
          <w:rStyle w:val="CharSchText"/>
        </w:rPr>
        <w:t>Specified diseases for firefighters</w:t>
      </w:r>
      <w:bookmarkEnd w:id="570"/>
    </w:p>
    <w:p>
      <w:pPr>
        <w:pStyle w:val="yShoulderClause"/>
        <w:spacing w:after="80"/>
      </w:pPr>
      <w:r>
        <w:t xml:space="preserve"> [s. 49A and 49C(1)(c)]</w:t>
      </w:r>
    </w:p>
    <w:p>
      <w:pPr>
        <w:pStyle w:val="yFootnoteheading"/>
        <w:spacing w:after="60"/>
      </w:pPr>
      <w:r>
        <w:tab/>
        <w:t>[Heading inserted: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 No. 21 of 2013 s. 5.]</w:t>
      </w:r>
    </w:p>
    <w:p>
      <w:pPr>
        <w:pStyle w:val="yScheduleHeading"/>
      </w:pPr>
      <w:bookmarkStart w:id="571" w:name="_Toc33534725"/>
      <w:r>
        <w:rPr>
          <w:rStyle w:val="CharSchNo"/>
        </w:rPr>
        <w:t>Schedule 4</w:t>
      </w:r>
      <w:r>
        <w:t> — </w:t>
      </w:r>
      <w:r>
        <w:rPr>
          <w:rStyle w:val="CharSchText"/>
        </w:rPr>
        <w:t>Specified losses of functions</w:t>
      </w:r>
      <w:bookmarkEnd w:id="571"/>
    </w:p>
    <w:p>
      <w:pPr>
        <w:pStyle w:val="yShoulderClause"/>
        <w:rPr>
          <w:snapToGrid w:val="0"/>
        </w:rPr>
      </w:pPr>
      <w:r>
        <w:rPr>
          <w:snapToGrid w:val="0"/>
        </w:rPr>
        <w:t>[s. 49]</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yScheduleHeading"/>
      </w:pPr>
      <w:bookmarkStart w:id="572" w:name="_Toc33534726"/>
      <w:r>
        <w:rPr>
          <w:rStyle w:val="CharSchNo"/>
        </w:rPr>
        <w:t>Schedule 5</w:t>
      </w:r>
      <w:r>
        <w:rPr>
          <w:rStyle w:val="CharSDivNo"/>
        </w:rPr>
        <w:t> </w:t>
      </w:r>
      <w:r>
        <w:t>— </w:t>
      </w:r>
      <w:r>
        <w:rPr>
          <w:rStyle w:val="CharSchText"/>
        </w:rPr>
        <w:t>Exceptions to cessation of weekly payments by reason of age</w:t>
      </w:r>
      <w:bookmarkEnd w:id="572"/>
    </w:p>
    <w:p>
      <w:pPr>
        <w:pStyle w:val="yShoulderClause"/>
        <w:rPr>
          <w:snapToGrid w:val="0"/>
        </w:rPr>
      </w:pPr>
      <w:r>
        <w:rPr>
          <w:snapToGrid w:val="0"/>
        </w:rPr>
        <w:t>[s. 56]</w:t>
      </w:r>
    </w:p>
    <w:p>
      <w:pPr>
        <w:pStyle w:val="yHeading5"/>
        <w:outlineLvl w:val="0"/>
        <w:rPr>
          <w:snapToGrid w:val="0"/>
        </w:rPr>
      </w:pPr>
      <w:bookmarkStart w:id="573" w:name="_Toc33534727"/>
      <w:r>
        <w:rPr>
          <w:rStyle w:val="CharSClsNo"/>
        </w:rPr>
        <w:t>1</w:t>
      </w:r>
      <w:r>
        <w:rPr>
          <w:snapToGrid w:val="0"/>
        </w:rPr>
        <w:t>.</w:t>
      </w:r>
      <w:r>
        <w:rPr>
          <w:snapToGrid w:val="0"/>
        </w:rPr>
        <w:tab/>
        <w:t>Terms used</w:t>
      </w:r>
      <w:bookmarkEnd w:id="573"/>
    </w:p>
    <w:p>
      <w:pPr>
        <w:pStyle w:val="ySubsection"/>
        <w:rPr>
          <w:snapToGrid w:val="0"/>
        </w:rPr>
      </w:pPr>
      <w:r>
        <w:rPr>
          <w:snapToGrid w:val="0"/>
        </w:rPr>
        <w:tab/>
        <w:t>(1)</w:t>
      </w:r>
      <w:r>
        <w:rPr>
          <w:snapToGrid w:val="0"/>
        </w:rPr>
        <w:tab/>
        <w:t>In this Schedule —</w:t>
      </w:r>
    </w:p>
    <w:p>
      <w:pPr>
        <w:pStyle w:val="yDefstart"/>
      </w:pPr>
      <w:r>
        <w:tab/>
      </w:r>
      <w:r>
        <w:rPr>
          <w:rStyle w:val="CharDefText"/>
        </w:rPr>
        <w:t>de facto partner</w:t>
      </w:r>
      <w:r>
        <w:t xml:space="preserve"> includes a former de facto partner of a worker;</w:t>
      </w:r>
    </w:p>
    <w:p>
      <w:pPr>
        <w:pStyle w:val="yDefstart"/>
      </w:pPr>
      <w:r>
        <w:tab/>
      </w:r>
      <w:r>
        <w:rPr>
          <w:rStyle w:val="CharDefText"/>
        </w:rPr>
        <w:t>proclaimed date</w:t>
      </w:r>
      <w:r>
        <w:t xml:space="preserve"> means the date on which this Schedule comes into operation;</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tab/>
      </w:r>
      <w:r>
        <w:rPr>
          <w:rStyle w:val="CharDefText"/>
        </w:rPr>
        <w:t>spouse</w:t>
      </w:r>
      <w:r>
        <w:t xml:space="preserve"> includes a former spouse of a worker;</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No. 34 of 1999 s. 55(1); No. 28 of 2003 s. 216(1); No. 8 of 2018 s. 12(1).]</w:t>
      </w:r>
    </w:p>
    <w:p>
      <w:pPr>
        <w:pStyle w:val="yHeading5"/>
        <w:outlineLvl w:val="9"/>
      </w:pPr>
      <w:bookmarkStart w:id="574" w:name="_Toc33534728"/>
      <w:r>
        <w:rPr>
          <w:rStyle w:val="CharSClsNo"/>
        </w:rPr>
        <w:t>1A</w:t>
      </w:r>
      <w:r>
        <w:t>.</w:t>
      </w:r>
      <w:r>
        <w:tab/>
        <w:t>Successive lung diseases to be regarded as one</w:t>
      </w:r>
      <w:bookmarkEnd w:id="574"/>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 No. 34 of 1999 s. 55(2); amended: No. 42 of 2004 s. 147 and 148(1).]</w:t>
      </w:r>
    </w:p>
    <w:p>
      <w:pPr>
        <w:pStyle w:val="yHeading5"/>
        <w:outlineLvl w:val="0"/>
        <w:rPr>
          <w:snapToGrid w:val="0"/>
        </w:rPr>
      </w:pPr>
      <w:bookmarkStart w:id="575" w:name="_Toc33534729"/>
      <w:r>
        <w:rPr>
          <w:rStyle w:val="CharSClsNo"/>
        </w:rPr>
        <w:t>2</w:t>
      </w:r>
      <w:r>
        <w:rPr>
          <w:snapToGrid w:val="0"/>
        </w:rPr>
        <w:t>.</w:t>
      </w:r>
      <w:r>
        <w:rPr>
          <w:snapToGrid w:val="0"/>
        </w:rPr>
        <w:tab/>
        <w:t>Worker who would have worked after age 65</w:t>
      </w:r>
      <w:bookmarkEnd w:id="575"/>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 No. 96 of 1990 s. 49(a); No. 48 of 1993 s. 28(1); No. 42 of 2004 s. 147 and 149.]</w:t>
      </w:r>
    </w:p>
    <w:p>
      <w:pPr>
        <w:pStyle w:val="yHeading5"/>
        <w:outlineLvl w:val="0"/>
        <w:rPr>
          <w:snapToGrid w:val="0"/>
        </w:rPr>
      </w:pPr>
      <w:bookmarkStart w:id="576" w:name="_Toc33534730"/>
      <w:r>
        <w:rPr>
          <w:rStyle w:val="CharSClsNo"/>
        </w:rPr>
        <w:t>3</w:t>
      </w:r>
      <w:r>
        <w:rPr>
          <w:snapToGrid w:val="0"/>
        </w:rPr>
        <w:t>.</w:t>
      </w:r>
      <w:r>
        <w:rPr>
          <w:snapToGrid w:val="0"/>
        </w:rPr>
        <w:tab/>
        <w:t>Incapacity for work resulting from pneumoconiosis, mesothelioma and lung cancer, weekly payments for</w:t>
      </w:r>
      <w:bookmarkEnd w:id="576"/>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Workers’ Compensation and Assistance Amendment Act 1984</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Workers’ Compensation and Assistance Amendment Act 1984</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Workers’ Compensation and Assistance Amendment Act 1990</w:t>
      </w:r>
      <w:r>
        <w:rPr>
          <w:snapToGrid w:val="0"/>
        </w:rPr>
        <w:t>.</w:t>
      </w:r>
    </w:p>
    <w:p>
      <w:pPr>
        <w:pStyle w:val="yFootnotesection"/>
        <w:spacing w:before="80"/>
        <w:rPr>
          <w:iCs/>
        </w:rPr>
      </w:pPr>
      <w:r>
        <w:rPr>
          <w:iCs/>
        </w:rPr>
        <w:tab/>
        <w:t>[Clause 3 inserted: No. 104 of 1984 s. 8; amended: No. 96 of 1990 s. 49(b); No. 42 of 2004 s. 147 and 148(1).]</w:t>
      </w:r>
    </w:p>
    <w:p>
      <w:pPr>
        <w:pStyle w:val="yHeading5"/>
        <w:outlineLvl w:val="0"/>
        <w:rPr>
          <w:snapToGrid w:val="0"/>
        </w:rPr>
      </w:pPr>
      <w:bookmarkStart w:id="577" w:name="_Toc33534731"/>
      <w:r>
        <w:rPr>
          <w:rStyle w:val="CharSClsNo"/>
        </w:rPr>
        <w:t>4</w:t>
      </w:r>
      <w:r>
        <w:rPr>
          <w:snapToGrid w:val="0"/>
        </w:rPr>
        <w:t>.</w:t>
      </w:r>
      <w:r>
        <w:rPr>
          <w:snapToGrid w:val="0"/>
        </w:rPr>
        <w:tab/>
        <w:t>Worker entitled under cl. 3 may elect to take redemption amount as lump sum or to get supplementary amount weekly</w:t>
      </w:r>
      <w:bookmarkEnd w:id="577"/>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Workers’ Compensation and Assistance Amendment Act 1984</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Workers’ Compensation and Assistance Amendment Act 1984</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Workers’ Compensation and Assistance Amendment Act 1984</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 No. 104 of 1984 s. 8; amended: No. 96 of 1990 s. 49(c).]</w:t>
      </w:r>
    </w:p>
    <w:p>
      <w:pPr>
        <w:pStyle w:val="yHeading5"/>
        <w:outlineLvl w:val="0"/>
        <w:rPr>
          <w:snapToGrid w:val="0"/>
        </w:rPr>
      </w:pPr>
      <w:bookmarkStart w:id="578" w:name="_Toc33534732"/>
      <w:r>
        <w:rPr>
          <w:rStyle w:val="CharSClsNo"/>
        </w:rPr>
        <w:t>5</w:t>
      </w:r>
      <w:r>
        <w:rPr>
          <w:snapToGrid w:val="0"/>
        </w:rPr>
        <w:t>.</w:t>
      </w:r>
      <w:r>
        <w:rPr>
          <w:snapToGrid w:val="0"/>
        </w:rPr>
        <w:tab/>
        <w:t>Requirements for election under cl. 4</w:t>
      </w:r>
      <w:bookmarkEnd w:id="578"/>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 No. 104 of 1984 s. 8; amended: No. 48 of 1993 s. 28(1); No. 42 of 2004 s. 143(1) and 147.]</w:t>
      </w:r>
    </w:p>
    <w:p>
      <w:pPr>
        <w:pStyle w:val="yHeading5"/>
        <w:outlineLvl w:val="0"/>
        <w:rPr>
          <w:snapToGrid w:val="0"/>
        </w:rPr>
      </w:pPr>
      <w:bookmarkStart w:id="579" w:name="_Toc33534733"/>
      <w:r>
        <w:rPr>
          <w:rStyle w:val="CharSClsNo"/>
        </w:rPr>
        <w:t>6</w:t>
      </w:r>
      <w:r>
        <w:rPr>
          <w:snapToGrid w:val="0"/>
        </w:rPr>
        <w:t>.</w:t>
      </w:r>
      <w:r>
        <w:rPr>
          <w:snapToGrid w:val="0"/>
        </w:rPr>
        <w:tab/>
        <w:t>Effect of receiving the redemption amount as a lump sum</w:t>
      </w:r>
      <w:bookmarkEnd w:id="579"/>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6 inserted: No. 104 of 1984 s. 8; amended: No. 42 of 2004 s. 143(2) and 147; No. 8 of 2018 s. 12(2).]</w:t>
      </w:r>
    </w:p>
    <w:p>
      <w:pPr>
        <w:pStyle w:val="yHeading5"/>
        <w:outlineLvl w:val="0"/>
        <w:rPr>
          <w:snapToGrid w:val="0"/>
        </w:rPr>
      </w:pPr>
      <w:bookmarkStart w:id="580" w:name="_Toc33534734"/>
      <w:r>
        <w:rPr>
          <w:rStyle w:val="CharSClsNo"/>
        </w:rPr>
        <w:t>7</w:t>
      </w:r>
      <w:r>
        <w:rPr>
          <w:snapToGrid w:val="0"/>
        </w:rPr>
        <w:t>.</w:t>
      </w:r>
      <w:r>
        <w:rPr>
          <w:snapToGrid w:val="0"/>
        </w:rPr>
        <w:tab/>
        <w:t>Effect of receiving supplementary amount weekly</w:t>
      </w:r>
      <w:bookmarkEnd w:id="580"/>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7 inserted: No. 104 of 1984 s. 8; amended: No. 28 of 2003 s. 216(2); No. 42 of 2004 s. 147, 149 and 150; No. 8 of 2018 s. 12(3).]</w:t>
      </w:r>
    </w:p>
    <w:p>
      <w:pPr>
        <w:pStyle w:val="yHeading5"/>
        <w:outlineLvl w:val="0"/>
        <w:rPr>
          <w:snapToGrid w:val="0"/>
        </w:rPr>
      </w:pPr>
      <w:bookmarkStart w:id="581" w:name="_Toc33534735"/>
      <w:r>
        <w:rPr>
          <w:rStyle w:val="CharSClsNo"/>
        </w:rPr>
        <w:t>8</w:t>
      </w:r>
      <w:r>
        <w:rPr>
          <w:snapToGrid w:val="0"/>
        </w:rPr>
        <w:t>.</w:t>
      </w:r>
      <w:r>
        <w:rPr>
          <w:snapToGrid w:val="0"/>
        </w:rPr>
        <w:tab/>
        <w:t>Payment of supplementary amount weekly</w:t>
      </w:r>
      <w:bookmarkEnd w:id="581"/>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No. 104 of 1984 s. 8; amended: No. 96 of 1990 s. 49(d); No. 42 of 2004 s. 147.]</w:t>
      </w:r>
    </w:p>
    <w:p>
      <w:pPr>
        <w:pStyle w:val="yHeading5"/>
        <w:keepNext w:val="0"/>
        <w:keepLines w:val="0"/>
        <w:outlineLvl w:val="0"/>
        <w:rPr>
          <w:snapToGrid w:val="0"/>
        </w:rPr>
      </w:pPr>
      <w:bookmarkStart w:id="582" w:name="_Toc33534736"/>
      <w:r>
        <w:rPr>
          <w:rStyle w:val="CharSClsNo"/>
        </w:rPr>
        <w:t>9</w:t>
      </w:r>
      <w:r>
        <w:rPr>
          <w:snapToGrid w:val="0"/>
        </w:rPr>
        <w:t>.</w:t>
      </w:r>
      <w:r>
        <w:rPr>
          <w:snapToGrid w:val="0"/>
        </w:rPr>
        <w:tab/>
        <w:t>Death of a worker before 8 Mar 1991 — dependent spouse’s entitlements</w:t>
      </w:r>
      <w:bookmarkEnd w:id="582"/>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Workers’ Compensation and Assistance Amendment Act 1990</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No. 96 of 1990 s. 49(e); amended: No. 42 of 2004 s. 147.]</w:t>
      </w:r>
    </w:p>
    <w:p>
      <w:pPr>
        <w:pStyle w:val="yScheduleHeading"/>
      </w:pPr>
      <w:bookmarkStart w:id="583" w:name="_Toc33534737"/>
      <w:r>
        <w:rPr>
          <w:rStyle w:val="CharSchNo"/>
        </w:rPr>
        <w:t>Schedule 6</w:t>
      </w:r>
      <w:r>
        <w:rPr>
          <w:rStyle w:val="CharSDivNo"/>
        </w:rPr>
        <w:t> </w:t>
      </w:r>
      <w:r>
        <w:t>— </w:t>
      </w:r>
      <w:r>
        <w:rPr>
          <w:rStyle w:val="CharSchText"/>
        </w:rPr>
        <w:t>Adjacent areas</w:t>
      </w:r>
      <w:bookmarkEnd w:id="583"/>
    </w:p>
    <w:p>
      <w:pPr>
        <w:pStyle w:val="yShoulderClause"/>
      </w:pPr>
      <w:r>
        <w:t>[s. 20]</w:t>
      </w:r>
    </w:p>
    <w:p>
      <w:pPr>
        <w:pStyle w:val="yFootnoteheading"/>
        <w:tabs>
          <w:tab w:val="left" w:pos="851"/>
        </w:tabs>
      </w:pPr>
      <w:r>
        <w:tab/>
        <w:t>[Heading inserted: No. 36 of 2004 s. 13.]</w:t>
      </w:r>
    </w:p>
    <w:p>
      <w:pPr>
        <w:pStyle w:val="yHeading5"/>
        <w:outlineLvl w:val="0"/>
      </w:pPr>
      <w:bookmarkStart w:id="584" w:name="_Toc33534738"/>
      <w:r>
        <w:rPr>
          <w:rStyle w:val="CharSClsNo"/>
        </w:rPr>
        <w:t>1</w:t>
      </w:r>
      <w:r>
        <w:t>.</w:t>
      </w:r>
      <w:r>
        <w:tab/>
        <w:t>Terms used</w:t>
      </w:r>
      <w:bookmarkEnd w:id="584"/>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(Timor Sea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No. 36 of 2004 s. 13; amended: No. 42 of 2010 s. 186(2) and (3).]</w:t>
      </w:r>
    </w:p>
    <w:p>
      <w:pPr>
        <w:pStyle w:val="yHeading5"/>
        <w:outlineLvl w:val="0"/>
      </w:pPr>
      <w:bookmarkStart w:id="585" w:name="_Toc33534739"/>
      <w:r>
        <w:rPr>
          <w:rStyle w:val="CharSClsNo"/>
        </w:rPr>
        <w:t>2</w:t>
      </w:r>
      <w:r>
        <w:t>.</w:t>
      </w:r>
      <w:r>
        <w:tab/>
        <w:t>Adjacent areas defined</w:t>
      </w:r>
      <w:bookmarkEnd w:id="585"/>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the Coral Sea area (within the meaning of section 7(2) of the Petroleum Act) other than the territorial sea within the Coral Sea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1 to the Petroleum Act in relation to Western Australia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1 to the Petroleum Act in relation to the Northern Territory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the offshore area for the Territory of Ashmore and Cartier Islands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No. 36 of 2004 s. 13; amended: No. 42 of 2010 s. 186(4)-(8).]</w:t>
      </w:r>
    </w:p>
    <w:p>
      <w:pPr>
        <w:pStyle w:val="yScheduleHeading"/>
      </w:pPr>
      <w:bookmarkStart w:id="586" w:name="_Toc33534740"/>
      <w:r>
        <w:rPr>
          <w:rStyle w:val="CharSchNo"/>
        </w:rPr>
        <w:t>Schedule 7</w:t>
      </w:r>
      <w:r>
        <w:rPr>
          <w:rStyle w:val="CharSDivNo"/>
        </w:rPr>
        <w:t> </w:t>
      </w:r>
      <w:r>
        <w:t>— </w:t>
      </w:r>
      <w:r>
        <w:rPr>
          <w:rStyle w:val="CharSchText"/>
        </w:rPr>
        <w:t>Noise induced hearing loss</w:t>
      </w:r>
      <w:bookmarkEnd w:id="586"/>
    </w:p>
    <w:p>
      <w:pPr>
        <w:pStyle w:val="yShoulderClause"/>
        <w:spacing w:before="80"/>
        <w:rPr>
          <w:snapToGrid w:val="0"/>
        </w:rPr>
      </w:pPr>
      <w:r>
        <w:rPr>
          <w:snapToGrid w:val="0"/>
        </w:rPr>
        <w:t>[s. 24A]</w:t>
      </w:r>
    </w:p>
    <w:p>
      <w:pPr>
        <w:pStyle w:val="yFootnoteheading"/>
        <w:spacing w:before="40"/>
        <w:rPr>
          <w:snapToGrid w:val="0"/>
        </w:rPr>
      </w:pPr>
      <w:r>
        <w:tab/>
        <w:t>[Heading inserted: No. 36 of 1988 s. 12.]</w:t>
      </w:r>
    </w:p>
    <w:p>
      <w:pPr>
        <w:pStyle w:val="yHeading5"/>
        <w:outlineLvl w:val="0"/>
        <w:rPr>
          <w:snapToGrid w:val="0"/>
        </w:rPr>
      </w:pPr>
      <w:bookmarkStart w:id="587" w:name="_Toc33534741"/>
      <w:r>
        <w:rPr>
          <w:rStyle w:val="CharSClsNo"/>
        </w:rPr>
        <w:t>1</w:t>
      </w:r>
      <w:r>
        <w:rPr>
          <w:snapToGrid w:val="0"/>
        </w:rPr>
        <w:t>.</w:t>
      </w:r>
      <w:r>
        <w:rPr>
          <w:snapToGrid w:val="0"/>
        </w:rPr>
        <w:tab/>
        <w:t>Terms used</w:t>
      </w:r>
      <w:bookmarkEnd w:id="587"/>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p>
    <w:p>
      <w:pPr>
        <w:pStyle w:val="yFootnotesection"/>
      </w:pPr>
      <w:r>
        <w:tab/>
        <w:t>[Clause 1 inserted: No. 36 of 1988 s. 12.]</w:t>
      </w:r>
    </w:p>
    <w:p>
      <w:pPr>
        <w:pStyle w:val="yHeading5"/>
        <w:outlineLvl w:val="0"/>
        <w:rPr>
          <w:snapToGrid w:val="0"/>
        </w:rPr>
      </w:pPr>
      <w:bookmarkStart w:id="588" w:name="_Toc33534742"/>
      <w:r>
        <w:rPr>
          <w:rStyle w:val="CharSClsNo"/>
        </w:rPr>
        <w:t>2</w:t>
      </w:r>
      <w:r>
        <w:rPr>
          <w:snapToGrid w:val="0"/>
        </w:rPr>
        <w:t>.</w:t>
      </w:r>
      <w:r>
        <w:rPr>
          <w:snapToGrid w:val="0"/>
        </w:rPr>
        <w:tab/>
        <w:t>Audiometric tests, when some workers have to undergo</w:t>
      </w:r>
      <w:bookmarkEnd w:id="588"/>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No. 36 of 1988 s. 12.]</w:t>
      </w:r>
    </w:p>
    <w:p>
      <w:pPr>
        <w:pStyle w:val="yHeading5"/>
        <w:outlineLvl w:val="0"/>
        <w:rPr>
          <w:snapToGrid w:val="0"/>
        </w:rPr>
      </w:pPr>
      <w:bookmarkStart w:id="589" w:name="_Toc33534743"/>
      <w:r>
        <w:rPr>
          <w:rStyle w:val="CharSClsNo"/>
        </w:rPr>
        <w:t>3</w:t>
      </w:r>
      <w:r>
        <w:rPr>
          <w:snapToGrid w:val="0"/>
        </w:rPr>
        <w:t>.</w:t>
      </w:r>
      <w:r>
        <w:rPr>
          <w:snapToGrid w:val="0"/>
        </w:rPr>
        <w:tab/>
        <w:t>Employer to arrange and pay for audiometric test</w:t>
      </w:r>
      <w:bookmarkEnd w:id="589"/>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No. 36 of 1988 s. 12.]</w:t>
      </w:r>
    </w:p>
    <w:p>
      <w:pPr>
        <w:pStyle w:val="yHeading5"/>
        <w:outlineLvl w:val="0"/>
        <w:rPr>
          <w:snapToGrid w:val="0"/>
        </w:rPr>
      </w:pPr>
      <w:bookmarkStart w:id="590" w:name="_Toc33534744"/>
      <w:r>
        <w:rPr>
          <w:rStyle w:val="CharSClsNo"/>
        </w:rPr>
        <w:t>4</w:t>
      </w:r>
      <w:r>
        <w:rPr>
          <w:snapToGrid w:val="0"/>
        </w:rPr>
        <w:t>.</w:t>
      </w:r>
      <w:r>
        <w:rPr>
          <w:snapToGrid w:val="0"/>
        </w:rPr>
        <w:tab/>
        <w:t>Carrying out of audiometric tests</w:t>
      </w:r>
      <w:bookmarkEnd w:id="590"/>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No. 36 of 1988 s. 12; amended: No. 42 of 2004 s. 150 and 152.]</w:t>
      </w:r>
    </w:p>
    <w:p>
      <w:pPr>
        <w:pStyle w:val="yHeading5"/>
        <w:outlineLvl w:val="0"/>
        <w:rPr>
          <w:snapToGrid w:val="0"/>
        </w:rPr>
      </w:pPr>
      <w:bookmarkStart w:id="591" w:name="_Toc33534745"/>
      <w:r>
        <w:rPr>
          <w:rStyle w:val="CharSClsNo"/>
        </w:rPr>
        <w:t>5</w:t>
      </w:r>
      <w:r>
        <w:rPr>
          <w:snapToGrid w:val="0"/>
        </w:rPr>
        <w:t>.</w:t>
      </w:r>
      <w:r>
        <w:rPr>
          <w:snapToGrid w:val="0"/>
        </w:rPr>
        <w:tab/>
        <w:t>Communication and storage of audiometric test results</w:t>
      </w:r>
      <w:bookmarkEnd w:id="591"/>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No. 36 of 1988 s. 12; amended: No. 48 of 1993 s. 43; No. 34 of 1999 s. 56(1); No. 42 of 2004 s. 144(1) and 150.]</w:t>
      </w:r>
    </w:p>
    <w:p>
      <w:pPr>
        <w:pStyle w:val="yHeading5"/>
        <w:outlineLvl w:val="0"/>
      </w:pPr>
      <w:bookmarkStart w:id="592" w:name="_Toc33534746"/>
      <w:r>
        <w:rPr>
          <w:rStyle w:val="CharSClsNo"/>
        </w:rPr>
        <w:t>6</w:t>
      </w:r>
      <w:r>
        <w:t>.</w:t>
      </w:r>
      <w:r>
        <w:tab/>
        <w:t>Referring questions about hearing loss etc. to medical assessment panel</w:t>
      </w:r>
      <w:bookmarkEnd w:id="592"/>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No. 42 of 2004 s. 144(2); amended: No. 31 of 2011 s. 73.]</w:t>
      </w:r>
    </w:p>
    <w:p>
      <w:pPr>
        <w:pStyle w:val="yHeading5"/>
        <w:outlineLvl w:val="0"/>
        <w:rPr>
          <w:snapToGrid w:val="0"/>
        </w:rPr>
      </w:pPr>
      <w:bookmarkStart w:id="593" w:name="_Toc33534747"/>
      <w:r>
        <w:rPr>
          <w:rStyle w:val="CharSClsNo"/>
        </w:rPr>
        <w:t>7</w:t>
      </w:r>
      <w:r>
        <w:rPr>
          <w:snapToGrid w:val="0"/>
        </w:rPr>
        <w:t>.</w:t>
      </w:r>
      <w:r>
        <w:rPr>
          <w:snapToGrid w:val="0"/>
        </w:rPr>
        <w:tab/>
        <w:t>Re</w:t>
      </w:r>
      <w:r>
        <w:rPr>
          <w:snapToGrid w:val="0"/>
        </w:rPr>
        <w:noBreakHyphen/>
        <w:t>test of person’s hearing</w:t>
      </w:r>
      <w:bookmarkEnd w:id="593"/>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No. 36 of 1988 s. 12; amended: No. 49 of 1996 s. 64; No. 42 of 2004 s. 144(3) and 150; No. 77 of 2006 Sch. 1 cl. 189(9).]</w:t>
      </w:r>
    </w:p>
    <w:p>
      <w:pPr>
        <w:pStyle w:val="yHeading5"/>
        <w:outlineLvl w:val="0"/>
        <w:rPr>
          <w:snapToGrid w:val="0"/>
        </w:rPr>
      </w:pPr>
      <w:bookmarkStart w:id="594" w:name="_Toc33534748"/>
      <w:r>
        <w:rPr>
          <w:rStyle w:val="CharSClsNo"/>
        </w:rPr>
        <w:t>8</w:t>
      </w:r>
      <w:r>
        <w:rPr>
          <w:snapToGrid w:val="0"/>
        </w:rPr>
        <w:t>.</w:t>
      </w:r>
      <w:r>
        <w:rPr>
          <w:snapToGrid w:val="0"/>
        </w:rPr>
        <w:tab/>
        <w:t>Determining extent of hearing loss</w:t>
      </w:r>
      <w:bookmarkEnd w:id="594"/>
    </w:p>
    <w:p>
      <w:pPr>
        <w:pStyle w:val="ySubsection"/>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No. 36 of 1988 s. 12; amended: No. 48 of 1993 s. 28(1); No. 34 of 1999 s. 56(3); No. 42 of 2004 s. 144(4) and (5) and 150.]</w:t>
      </w:r>
    </w:p>
    <w:p>
      <w:pPr>
        <w:pStyle w:val="yHeading5"/>
        <w:outlineLvl w:val="0"/>
        <w:rPr>
          <w:snapToGrid w:val="0"/>
        </w:rPr>
      </w:pPr>
      <w:bookmarkStart w:id="595" w:name="_Toc33534749"/>
      <w:r>
        <w:rPr>
          <w:rStyle w:val="CharSClsNo"/>
        </w:rPr>
        <w:t>9</w:t>
      </w:r>
      <w:r>
        <w:rPr>
          <w:snapToGrid w:val="0"/>
        </w:rPr>
        <w:t>.</w:t>
      </w:r>
      <w:r>
        <w:rPr>
          <w:snapToGrid w:val="0"/>
        </w:rPr>
        <w:tab/>
        <w:t>Audiometric test not conclusive proof that hearing loss is noise induced</w:t>
      </w:r>
      <w:bookmarkEnd w:id="595"/>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No. 36 of 1988 s. 12.]</w:t>
      </w:r>
    </w:p>
    <w:p>
      <w:pPr>
        <w:pStyle w:val="yHeading5"/>
        <w:outlineLvl w:val="0"/>
        <w:rPr>
          <w:snapToGrid w:val="0"/>
        </w:rPr>
      </w:pPr>
      <w:bookmarkStart w:id="596" w:name="_Toc33534750"/>
      <w:r>
        <w:rPr>
          <w:rStyle w:val="CharSClsNo"/>
        </w:rPr>
        <w:t>10</w:t>
      </w:r>
      <w:r>
        <w:rPr>
          <w:snapToGrid w:val="0"/>
        </w:rPr>
        <w:t>.</w:t>
      </w:r>
      <w:r>
        <w:rPr>
          <w:snapToGrid w:val="0"/>
        </w:rPr>
        <w:tab/>
        <w:t>Workplaces to be prescribed</w:t>
      </w:r>
      <w:bookmarkEnd w:id="596"/>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No. 36 of 1988 s. 12.]</w:t>
      </w:r>
    </w:p>
    <w:p>
      <w:pPr>
        <w:pStyle w:val="yScheduleHeading"/>
      </w:pPr>
      <w:bookmarkStart w:id="597" w:name="_Toc33534751"/>
      <w:r>
        <w:rPr>
          <w:rStyle w:val="CharSchNo"/>
        </w:rPr>
        <w:t>Schedule 8</w:t>
      </w:r>
      <w:r>
        <w:t> — </w:t>
      </w:r>
      <w:r>
        <w:rPr>
          <w:rStyle w:val="CharSchText"/>
        </w:rPr>
        <w:t>Transitional provisions</w:t>
      </w:r>
      <w:bookmarkEnd w:id="597"/>
    </w:p>
    <w:p>
      <w:pPr>
        <w:pStyle w:val="yShoulderClause"/>
      </w:pPr>
      <w:r>
        <w:t>[s. 325]</w:t>
      </w:r>
    </w:p>
    <w:p>
      <w:pPr>
        <w:pStyle w:val="yFootnoteheading"/>
        <w:spacing w:before="40"/>
        <w:rPr>
          <w:snapToGrid w:val="0"/>
        </w:rPr>
      </w:pPr>
      <w:r>
        <w:tab/>
        <w:t>[Heading inserted: No. 31 of 2011 s. 74.]</w:t>
      </w:r>
    </w:p>
    <w:p>
      <w:pPr>
        <w:pStyle w:val="yHeading3"/>
      </w:pPr>
      <w:bookmarkStart w:id="598" w:name="_Toc33534752"/>
      <w:r>
        <w:rPr>
          <w:rStyle w:val="CharSDivNo"/>
        </w:rPr>
        <w:t>Division 1</w:t>
      </w:r>
      <w:r>
        <w:t> — </w:t>
      </w:r>
      <w:r>
        <w:rPr>
          <w:rStyle w:val="CharSDivText"/>
        </w:rPr>
        <w:t>Workers’ Compensation and Injury Management Amendment Act 2011</w:t>
      </w:r>
      <w:bookmarkEnd w:id="598"/>
    </w:p>
    <w:p>
      <w:pPr>
        <w:pStyle w:val="yFootnoteheading"/>
        <w:spacing w:before="40"/>
        <w:rPr>
          <w:snapToGrid w:val="0"/>
        </w:rPr>
      </w:pPr>
      <w:r>
        <w:tab/>
        <w:t>[Heading inserted: No. 8 of 2018 s. 13.]</w:t>
      </w:r>
    </w:p>
    <w:p>
      <w:pPr>
        <w:pStyle w:val="yHeading5"/>
      </w:pPr>
      <w:bookmarkStart w:id="599" w:name="_Toc33534753"/>
      <w:r>
        <w:rPr>
          <w:rStyle w:val="CharSClsNo"/>
        </w:rPr>
        <w:t>1</w:t>
      </w:r>
      <w:r>
        <w:t>.</w:t>
      </w:r>
      <w:r>
        <w:tab/>
        <w:t>Terms used</w:t>
      </w:r>
      <w:bookmarkEnd w:id="599"/>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No. 31 of 2011 s. 74.]</w:t>
      </w:r>
    </w:p>
    <w:p>
      <w:pPr>
        <w:pStyle w:val="yHeading5"/>
      </w:pPr>
      <w:bookmarkStart w:id="600" w:name="_Toc33534754"/>
      <w:r>
        <w:rPr>
          <w:rStyle w:val="CharSClsNo"/>
        </w:rPr>
        <w:t>2</w:t>
      </w:r>
      <w:r>
        <w:t>.</w:t>
      </w:r>
      <w:r>
        <w:tab/>
        <w:t>Pending arbitration proceedings</w:t>
      </w:r>
      <w:bookmarkEnd w:id="600"/>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No. 31 of 2011 s. 74.]</w:t>
      </w:r>
    </w:p>
    <w:p>
      <w:pPr>
        <w:pStyle w:val="yHeading5"/>
      </w:pPr>
      <w:bookmarkStart w:id="601" w:name="_Toc33534755"/>
      <w:r>
        <w:rPr>
          <w:rStyle w:val="CharSClsNo"/>
        </w:rPr>
        <w:t>3</w:t>
      </w:r>
      <w:r>
        <w:t>.</w:t>
      </w:r>
      <w:r>
        <w:tab/>
        <w:t>Pending Part XII applications</w:t>
      </w:r>
      <w:bookmarkEnd w:id="601"/>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No. 31 of 2011 s. 74.]</w:t>
      </w:r>
    </w:p>
    <w:p>
      <w:pPr>
        <w:pStyle w:val="yHeading5"/>
      </w:pPr>
      <w:bookmarkStart w:id="602" w:name="_Toc33534756"/>
      <w:r>
        <w:rPr>
          <w:rStyle w:val="CharSClsNo"/>
        </w:rPr>
        <w:t>4</w:t>
      </w:r>
      <w:r>
        <w:t>.</w:t>
      </w:r>
      <w:r>
        <w:tab/>
        <w:t>DRD records</w:t>
      </w:r>
      <w:bookmarkEnd w:id="602"/>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No. 31 of 2011 s. 74.]</w:t>
      </w:r>
    </w:p>
    <w:p>
      <w:pPr>
        <w:pStyle w:val="yHeading5"/>
      </w:pPr>
      <w:bookmarkStart w:id="603" w:name="_Toc33534757"/>
      <w:r>
        <w:rPr>
          <w:rStyle w:val="CharSClsNo"/>
        </w:rPr>
        <w:t>5</w:t>
      </w:r>
      <w:r>
        <w:t>.</w:t>
      </w:r>
      <w:r>
        <w:tab/>
        <w:t>Pending Part XIII matters</w:t>
      </w:r>
      <w:bookmarkEnd w:id="603"/>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No. 31 of 2011 s. 74.]</w:t>
      </w:r>
    </w:p>
    <w:p>
      <w:pPr>
        <w:pStyle w:val="yHeading5"/>
      </w:pPr>
      <w:bookmarkStart w:id="604" w:name="_Toc33534758"/>
      <w:r>
        <w:rPr>
          <w:rStyle w:val="CharSClsNo"/>
        </w:rPr>
        <w:t>6</w:t>
      </w:r>
      <w:r>
        <w:t>.</w:t>
      </w:r>
      <w:r>
        <w:tab/>
        <w:t>Pending Court of Appeal matters</w:t>
      </w:r>
      <w:bookmarkEnd w:id="604"/>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No. 31 of 2011 s. 74.]</w:t>
      </w:r>
    </w:p>
    <w:p>
      <w:pPr>
        <w:pStyle w:val="yHeading5"/>
      </w:pPr>
      <w:bookmarkStart w:id="605" w:name="_Toc33534759"/>
      <w:r>
        <w:rPr>
          <w:rStyle w:val="CharSClsNo"/>
        </w:rPr>
        <w:t>7</w:t>
      </w:r>
      <w:r>
        <w:t>.</w:t>
      </w:r>
      <w:r>
        <w:tab/>
        <w:t>Further Court of Appeal matters</w:t>
      </w:r>
      <w:bookmarkEnd w:id="605"/>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No. 31 of 2011 s. 74.]</w:t>
      </w:r>
    </w:p>
    <w:p>
      <w:pPr>
        <w:pStyle w:val="yHeading5"/>
      </w:pPr>
      <w:bookmarkStart w:id="606" w:name="_Toc33534760"/>
      <w:r>
        <w:rPr>
          <w:rStyle w:val="CharSClsNo"/>
        </w:rPr>
        <w:t>8</w:t>
      </w:r>
      <w:r>
        <w:t>.</w:t>
      </w:r>
      <w:r>
        <w:tab/>
        <w:t>Continuation of Commissioner’s appointment</w:t>
      </w:r>
      <w:bookmarkEnd w:id="606"/>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No. 31 of 2011 s. 74.]</w:t>
      </w:r>
    </w:p>
    <w:p>
      <w:pPr>
        <w:pStyle w:val="yHeading3"/>
        <w:rPr>
          <w:i/>
        </w:rPr>
      </w:pPr>
      <w:bookmarkStart w:id="607" w:name="_Toc33534761"/>
      <w:r>
        <w:rPr>
          <w:rStyle w:val="CharSDivNo"/>
        </w:rPr>
        <w:t>Division 2</w:t>
      </w:r>
      <w:r>
        <w:t> — </w:t>
      </w:r>
      <w:r>
        <w:rPr>
          <w:rStyle w:val="CharSDivText"/>
        </w:rPr>
        <w:t>Workers’ Compensation and Injury Management Amendment Act 2018</w:t>
      </w:r>
      <w:bookmarkEnd w:id="607"/>
    </w:p>
    <w:p>
      <w:pPr>
        <w:pStyle w:val="yFootnoteheading"/>
        <w:spacing w:before="40"/>
        <w:rPr>
          <w:snapToGrid w:val="0"/>
        </w:rPr>
      </w:pPr>
      <w:r>
        <w:tab/>
        <w:t>[Heading inserted: No. 8 of 2018 s. 14.]</w:t>
      </w:r>
    </w:p>
    <w:p>
      <w:pPr>
        <w:pStyle w:val="yHeading5"/>
      </w:pPr>
      <w:bookmarkStart w:id="608" w:name="_Toc33534762"/>
      <w:r>
        <w:rPr>
          <w:rStyle w:val="CharSClsNo"/>
        </w:rPr>
        <w:t>9</w:t>
      </w:r>
      <w:r>
        <w:t>.</w:t>
      </w:r>
      <w:r>
        <w:tab/>
        <w:t>Terms used</w:t>
      </w:r>
      <w:bookmarkEnd w:id="608"/>
    </w:p>
    <w:p>
      <w:pPr>
        <w:pStyle w:val="ySubsection"/>
      </w:pPr>
      <w:r>
        <w:tab/>
      </w:r>
      <w:r>
        <w:tab/>
        <w:t xml:space="preserve">In this Division — </w:t>
      </w:r>
    </w:p>
    <w:p>
      <w:pPr>
        <w:pStyle w:val="yDefstart"/>
      </w:pPr>
      <w:r>
        <w:tab/>
      </w:r>
      <w:r>
        <w:rPr>
          <w:rStyle w:val="CharDefText"/>
        </w:rPr>
        <w:t>commencement day</w:t>
      </w:r>
      <w:r>
        <w:t xml:space="preserve"> means the day of the coming into operation of the </w:t>
      </w:r>
      <w:r>
        <w:rPr>
          <w:i/>
        </w:rPr>
        <w:t>Workers’ Compensation and Injury Management Amendment Act 2018</w:t>
      </w:r>
      <w:r>
        <w:t xml:space="preserve"> section 6;</w:t>
      </w:r>
    </w:p>
    <w:p>
      <w:pPr>
        <w:pStyle w:val="yDefstart"/>
      </w:pPr>
      <w:r>
        <w:tab/>
      </w:r>
      <w:r>
        <w:rPr>
          <w:rStyle w:val="CharDefText"/>
        </w:rPr>
        <w:t>former provisions</w:t>
      </w:r>
      <w:r>
        <w:t xml:space="preserve"> means the following as in force before the commencement day — </w:t>
      </w:r>
    </w:p>
    <w:p>
      <w:pPr>
        <w:pStyle w:val="Defpara"/>
      </w:pPr>
      <w:r>
        <w:rPr>
          <w:sz w:val="22"/>
        </w:rPr>
        <w:tab/>
        <w:t>(a)</w:t>
      </w:r>
      <w:r>
        <w:rPr>
          <w:sz w:val="22"/>
        </w:rPr>
        <w:tab/>
        <w:t xml:space="preserve">the definitions in section 5(1) of </w:t>
      </w:r>
      <w:r>
        <w:rPr>
          <w:b/>
          <w:i/>
          <w:sz w:val="22"/>
        </w:rPr>
        <w:t>child’s allowance</w:t>
      </w:r>
      <w:r>
        <w:rPr>
          <w:sz w:val="22"/>
        </w:rPr>
        <w:t xml:space="preserve">, </w:t>
      </w:r>
      <w:r>
        <w:rPr>
          <w:b/>
          <w:i/>
          <w:sz w:val="22"/>
        </w:rPr>
        <w:t>de facto partner</w:t>
      </w:r>
      <w:r>
        <w:rPr>
          <w:sz w:val="22"/>
        </w:rPr>
        <w:t xml:space="preserve">, </w:t>
      </w:r>
      <w:r>
        <w:rPr>
          <w:b/>
          <w:i/>
          <w:sz w:val="22"/>
        </w:rPr>
        <w:t>dependants</w:t>
      </w:r>
      <w:r>
        <w:rPr>
          <w:sz w:val="22"/>
        </w:rPr>
        <w:t xml:space="preserve">, </w:t>
      </w:r>
      <w:r>
        <w:rPr>
          <w:b/>
          <w:i/>
          <w:sz w:val="22"/>
        </w:rPr>
        <w:t>member of a family</w:t>
      </w:r>
      <w:r>
        <w:rPr>
          <w:sz w:val="22"/>
        </w:rPr>
        <w:t xml:space="preserve">, </w:t>
      </w:r>
      <w:r>
        <w:rPr>
          <w:b/>
          <w:i/>
          <w:sz w:val="22"/>
        </w:rPr>
        <w:t>notional residual entitlement</w:t>
      </w:r>
      <w:r>
        <w:rPr>
          <w:sz w:val="22"/>
        </w:rPr>
        <w:t xml:space="preserve">, </w:t>
      </w:r>
      <w:r>
        <w:rPr>
          <w:b/>
          <w:i/>
          <w:sz w:val="22"/>
        </w:rPr>
        <w:t>NRE amount</w:t>
      </w:r>
      <w:r>
        <w:rPr>
          <w:sz w:val="22"/>
        </w:rPr>
        <w:t xml:space="preserve"> and </w:t>
      </w:r>
      <w:r>
        <w:rPr>
          <w:b/>
          <w:i/>
          <w:sz w:val="22"/>
        </w:rPr>
        <w:t>spouse</w:t>
      </w:r>
      <w:r>
        <w:rPr>
          <w:sz w:val="22"/>
        </w:rPr>
        <w:t>;</w:t>
      </w:r>
    </w:p>
    <w:p>
      <w:pPr>
        <w:pStyle w:val="Defpara"/>
      </w:pPr>
      <w:r>
        <w:rPr>
          <w:sz w:val="22"/>
        </w:rPr>
        <w:tab/>
        <w:t>(b)</w:t>
      </w:r>
      <w:r>
        <w:rPr>
          <w:sz w:val="22"/>
        </w:rPr>
        <w:tab/>
        <w:t>sections 18 and 218;</w:t>
      </w:r>
    </w:p>
    <w:p>
      <w:pPr>
        <w:pStyle w:val="Defpara"/>
      </w:pPr>
      <w:r>
        <w:rPr>
          <w:sz w:val="22"/>
        </w:rPr>
        <w:tab/>
        <w:t>(c)</w:t>
      </w:r>
      <w:r>
        <w:rPr>
          <w:sz w:val="22"/>
        </w:rPr>
        <w:tab/>
        <w:t>Schedule 1 heading and clauses 1 to 5 and 17(2);</w:t>
      </w:r>
    </w:p>
    <w:p>
      <w:pPr>
        <w:pStyle w:val="Defpara"/>
        <w:rPr>
          <w:sz w:val="22"/>
        </w:rPr>
      </w:pPr>
      <w:r>
        <w:rPr>
          <w:sz w:val="22"/>
        </w:rPr>
        <w:tab/>
        <w:t>(d)</w:t>
      </w:r>
      <w:r>
        <w:rPr>
          <w:sz w:val="22"/>
        </w:rPr>
        <w:tab/>
        <w:t>Schedule 5 clauses 6(c) and 7(c).</w:t>
      </w:r>
    </w:p>
    <w:p>
      <w:pPr>
        <w:pStyle w:val="yFootnotesection"/>
      </w:pPr>
      <w:r>
        <w:tab/>
        <w:t>[Clause 9 inserted: No. 8 of 2018 s. 14.]</w:t>
      </w:r>
    </w:p>
    <w:p>
      <w:pPr>
        <w:pStyle w:val="yHeading5"/>
      </w:pPr>
      <w:bookmarkStart w:id="609" w:name="_Toc33534763"/>
      <w:r>
        <w:rPr>
          <w:rStyle w:val="CharSClsNo"/>
        </w:rPr>
        <w:t>10</w:t>
      </w:r>
      <w:r>
        <w:t>.</w:t>
      </w:r>
      <w:r>
        <w:tab/>
        <w:t>Former provisions apply to deaths before commencement day</w:t>
      </w:r>
      <w:bookmarkEnd w:id="609"/>
    </w:p>
    <w:p>
      <w:pPr>
        <w:pStyle w:val="ySubsection"/>
      </w:pPr>
      <w:r>
        <w:tab/>
        <w:t>(1)</w:t>
      </w:r>
      <w:r>
        <w:tab/>
        <w:t>Except as provided in subclause (2), if an injury of a worker occurred and the worker died before the commencement day, the former provisions apply in relation to the injury and death as if they were still in force.</w:t>
      </w:r>
    </w:p>
    <w:p>
      <w:pPr>
        <w:pStyle w:val="ySubsection"/>
      </w:pPr>
      <w:r>
        <w:tab/>
        <w:t>(2)</w:t>
      </w:r>
      <w:r>
        <w:tab/>
        <w:t>On and from the commencement day the child’s allowance that a person is entitled to receive under the former provisions as applied by subclause (1) is the child’s allowance as defined in Schedule 1A clause 5.</w:t>
      </w:r>
    </w:p>
    <w:p>
      <w:pPr>
        <w:pStyle w:val="PermNoteHeading"/>
      </w:pPr>
      <w:r>
        <w:tab/>
        <w:t>Note for this clause:</w:t>
      </w:r>
    </w:p>
    <w:p>
      <w:pPr>
        <w:pStyle w:val="PermNoteText"/>
      </w:pPr>
      <w:r>
        <w:tab/>
      </w:r>
      <w:r>
        <w:tab/>
        <w:t xml:space="preserve">The former provisions are set out in Reprint 11 of the </w:t>
      </w:r>
      <w:r>
        <w:rPr>
          <w:i/>
        </w:rPr>
        <w:t>Workers’ Compensation and Injury Management Act 1981</w:t>
      </w:r>
      <w:r>
        <w:t xml:space="preserve"> as at 13 February 2015.</w:t>
      </w:r>
    </w:p>
    <w:p>
      <w:pPr>
        <w:pStyle w:val="yFootnotesection"/>
      </w:pPr>
      <w:r>
        <w:tab/>
        <w:t>[Clause 10 inserted: No. 8 of 2018 s. 14.]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7"/>
          <w:headerReference w:type="default" r:id="rId38"/>
          <w:headerReference w:type="first" r:id="rId39"/>
          <w:type w:val="continuous"/>
          <w:pgSz w:w="11907" w:h="16840" w:code="9"/>
          <w:pgMar w:top="2376" w:right="2404" w:bottom="3544" w:left="2404" w:header="709" w:footer="3379" w:gutter="0"/>
          <w:cols w:space="720"/>
          <w:noEndnote/>
          <w:docGrid w:linePitch="326"/>
        </w:sectPr>
      </w:pPr>
    </w:p>
    <w:p>
      <w:pPr>
        <w:pStyle w:val="nHeading2"/>
      </w:pPr>
      <w:bookmarkStart w:id="610" w:name="_Toc33534764"/>
      <w:r>
        <w:t>Notes</w:t>
      </w:r>
      <w:bookmarkEnd w:id="610"/>
    </w:p>
    <w:p>
      <w:pPr>
        <w:pStyle w:val="nStatement"/>
      </w:pPr>
      <w:r>
        <w:t xml:space="preserve">This is a compilation of the </w:t>
      </w:r>
      <w:r>
        <w:rPr>
          <w:i/>
          <w:noProof/>
        </w:rPr>
        <w:t>Workers’ Compensation and Injury Management Act 1981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11" w:name="_Toc33534765"/>
      <w:r>
        <w:t>Compilation table</w:t>
      </w:r>
      <w:bookmarkEnd w:id="611"/>
    </w:p>
    <w:tbl>
      <w:tblPr>
        <w:tblW w:w="7116" w:type="dxa"/>
        <w:tblInd w:w="28" w:type="dxa"/>
        <w:tblLayout w:type="fixed"/>
        <w:tblCellMar>
          <w:left w:w="56" w:type="dxa"/>
          <w:right w:w="56" w:type="dxa"/>
        </w:tblCellMar>
        <w:tblLook w:val="0000" w:firstRow="0" w:lastRow="0" w:firstColumn="0" w:lastColumn="0" w:noHBand="0" w:noVBand="0"/>
      </w:tblPr>
      <w:tblGrid>
        <w:gridCol w:w="28"/>
        <w:gridCol w:w="2240"/>
        <w:gridCol w:w="26"/>
        <w:gridCol w:w="1108"/>
        <w:gridCol w:w="26"/>
        <w:gridCol w:w="1110"/>
        <w:gridCol w:w="24"/>
        <w:gridCol w:w="2527"/>
        <w:gridCol w:w="27"/>
      </w:tblGrid>
      <w:tr>
        <w:trPr>
          <w:gridBefore w:val="1"/>
          <w:wBefore w:w="28" w:type="dxa"/>
          <w:cantSplit/>
          <w:tblHeader/>
        </w:trPr>
        <w:tc>
          <w:tcPr>
            <w:tcW w:w="2266"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6" w:type="dxa"/>
            <w:gridSpan w:val="2"/>
            <w:tcBorders>
              <w:top w:val="single" w:sz="8" w:space="0" w:color="auto"/>
            </w:tcBorders>
          </w:tcPr>
          <w:p>
            <w:pPr>
              <w:pStyle w:val="nTable"/>
              <w:spacing w:after="40"/>
            </w:pPr>
            <w:r>
              <w:rPr>
                <w:i/>
              </w:rPr>
              <w:t>Workers’ Compensation and Assistance Act 1981</w:t>
            </w:r>
            <w:r>
              <w:rPr>
                <w:vertAlign w:val="superscript"/>
              </w:rPr>
              <w:t> 9</w:t>
            </w:r>
          </w:p>
        </w:tc>
        <w:tc>
          <w:tcPr>
            <w:tcW w:w="1134" w:type="dxa"/>
            <w:gridSpan w:val="2"/>
            <w:tcBorders>
              <w:top w:val="single" w:sz="8" w:space="0" w:color="auto"/>
            </w:tcBorders>
          </w:tcPr>
          <w:p>
            <w:pPr>
              <w:pStyle w:val="nTable"/>
              <w:spacing w:after="40"/>
            </w:pPr>
            <w:r>
              <w:t>86 of 1981</w:t>
            </w:r>
          </w:p>
        </w:tc>
        <w:tc>
          <w:tcPr>
            <w:tcW w:w="1134" w:type="dxa"/>
            <w:gridSpan w:val="2"/>
            <w:tcBorders>
              <w:top w:val="single" w:sz="8" w:space="0" w:color="auto"/>
            </w:tcBorders>
          </w:tcPr>
          <w:p>
            <w:pPr>
              <w:pStyle w:val="nTable"/>
              <w:spacing w:after="40"/>
            </w:pPr>
            <w:r>
              <w:t>23 Nov 1981</w:t>
            </w:r>
          </w:p>
        </w:tc>
        <w:tc>
          <w:tcPr>
            <w:tcW w:w="2554" w:type="dxa"/>
            <w:gridSpan w:val="2"/>
            <w:tcBorders>
              <w:top w:val="single" w:sz="8" w:space="0" w:color="auto"/>
            </w:tcBorders>
          </w:tcPr>
          <w:p>
            <w:pPr>
              <w:pStyle w:val="nTable"/>
              <w:spacing w:after="40"/>
            </w:pPr>
            <w:r>
              <w:t xml:space="preserve">3 May 1982 (see s. 2 and </w:t>
            </w:r>
            <w:r>
              <w:rPr>
                <w:i/>
              </w:rPr>
              <w:t>Gazette</w:t>
            </w:r>
            <w:r>
              <w:t xml:space="preserve"> 8 Apr 1982 p. 1205)</w:t>
            </w:r>
          </w:p>
        </w:tc>
      </w:tr>
      <w:tr>
        <w:trPr>
          <w:gridBefore w:val="1"/>
          <w:wBefore w:w="28" w:type="dxa"/>
          <w:cantSplit/>
        </w:trPr>
        <w:tc>
          <w:tcPr>
            <w:tcW w:w="2266" w:type="dxa"/>
            <w:gridSpan w:val="2"/>
          </w:tcPr>
          <w:p>
            <w:pPr>
              <w:pStyle w:val="nTable"/>
              <w:spacing w:after="40"/>
            </w:pPr>
            <w:r>
              <w:rPr>
                <w:i/>
              </w:rPr>
              <w:t>Workers’ Compensation and Assistance Amendment Act 1983</w:t>
            </w:r>
          </w:p>
        </w:tc>
        <w:tc>
          <w:tcPr>
            <w:tcW w:w="1134" w:type="dxa"/>
            <w:gridSpan w:val="2"/>
          </w:tcPr>
          <w:p>
            <w:pPr>
              <w:pStyle w:val="nTable"/>
              <w:spacing w:after="40"/>
            </w:pPr>
            <w:r>
              <w:t>16 of 1983</w:t>
            </w:r>
          </w:p>
        </w:tc>
        <w:tc>
          <w:tcPr>
            <w:tcW w:w="1134" w:type="dxa"/>
            <w:gridSpan w:val="2"/>
          </w:tcPr>
          <w:p>
            <w:pPr>
              <w:pStyle w:val="nTable"/>
              <w:spacing w:after="40"/>
            </w:pPr>
            <w:r>
              <w:t>7 Nov 1983</w:t>
            </w:r>
          </w:p>
        </w:tc>
        <w:tc>
          <w:tcPr>
            <w:tcW w:w="2554" w:type="dxa"/>
            <w:gridSpan w:val="2"/>
          </w:tcPr>
          <w:p>
            <w:pPr>
              <w:pStyle w:val="nTable"/>
              <w:spacing w:after="40"/>
            </w:pPr>
            <w:r>
              <w:t>7 Nov 1983</w:t>
            </w:r>
          </w:p>
        </w:tc>
      </w:tr>
      <w:tr>
        <w:trPr>
          <w:gridBefore w:val="1"/>
          <w:wBefore w:w="28" w:type="dxa"/>
          <w:cantSplit/>
        </w:trPr>
        <w:tc>
          <w:tcPr>
            <w:tcW w:w="2266" w:type="dxa"/>
            <w:gridSpan w:val="2"/>
          </w:tcPr>
          <w:p>
            <w:pPr>
              <w:pStyle w:val="nTable"/>
              <w:spacing w:after="40"/>
            </w:pPr>
            <w:r>
              <w:rPr>
                <w:i/>
              </w:rPr>
              <w:t>Workers’ Compensation and Assistance Amendment Act (No. 2) 1983</w:t>
            </w:r>
          </w:p>
        </w:tc>
        <w:tc>
          <w:tcPr>
            <w:tcW w:w="1134" w:type="dxa"/>
            <w:gridSpan w:val="2"/>
          </w:tcPr>
          <w:p>
            <w:pPr>
              <w:pStyle w:val="nTable"/>
              <w:spacing w:after="40"/>
            </w:pPr>
            <w:r>
              <w:t>79 of 1983</w:t>
            </w:r>
          </w:p>
        </w:tc>
        <w:tc>
          <w:tcPr>
            <w:tcW w:w="1134" w:type="dxa"/>
            <w:gridSpan w:val="2"/>
          </w:tcPr>
          <w:p>
            <w:pPr>
              <w:pStyle w:val="nTable"/>
              <w:spacing w:after="40"/>
            </w:pPr>
            <w:r>
              <w:t>22 Dec 1983</w:t>
            </w:r>
          </w:p>
        </w:tc>
        <w:tc>
          <w:tcPr>
            <w:tcW w:w="2554" w:type="dxa"/>
            <w:gridSpan w:val="2"/>
          </w:tcPr>
          <w:p>
            <w:pPr>
              <w:pStyle w:val="nTable"/>
              <w:spacing w:after="40"/>
            </w:pPr>
            <w:r>
              <w:t>22 Dec 1983</w:t>
            </w:r>
          </w:p>
        </w:tc>
      </w:tr>
      <w:tr>
        <w:trPr>
          <w:gridBefore w:val="1"/>
          <w:wBefore w:w="28" w:type="dxa"/>
          <w:cantSplit/>
        </w:trPr>
        <w:tc>
          <w:tcPr>
            <w:tcW w:w="2266" w:type="dxa"/>
            <w:gridSpan w:val="2"/>
          </w:tcPr>
          <w:p>
            <w:pPr>
              <w:pStyle w:val="nTable"/>
              <w:spacing w:after="40"/>
            </w:pPr>
            <w:r>
              <w:rPr>
                <w:i/>
              </w:rPr>
              <w:t>Health Legislation Amendment Act 1984</w:t>
            </w:r>
            <w:r>
              <w:t xml:space="preserve"> Pt. XXIV</w:t>
            </w:r>
          </w:p>
        </w:tc>
        <w:tc>
          <w:tcPr>
            <w:tcW w:w="1134" w:type="dxa"/>
            <w:gridSpan w:val="2"/>
          </w:tcPr>
          <w:p>
            <w:pPr>
              <w:pStyle w:val="nTable"/>
              <w:spacing w:after="40"/>
            </w:pPr>
            <w:r>
              <w:t>28 of 1984</w:t>
            </w:r>
          </w:p>
        </w:tc>
        <w:tc>
          <w:tcPr>
            <w:tcW w:w="1134" w:type="dxa"/>
            <w:gridSpan w:val="2"/>
          </w:tcPr>
          <w:p>
            <w:pPr>
              <w:pStyle w:val="nTable"/>
              <w:spacing w:after="40"/>
            </w:pPr>
            <w:r>
              <w:t xml:space="preserve">31 May 1984 </w:t>
            </w:r>
          </w:p>
        </w:tc>
        <w:tc>
          <w:tcPr>
            <w:tcW w:w="2554" w:type="dxa"/>
            <w:gridSpan w:val="2"/>
          </w:tcPr>
          <w:p>
            <w:pPr>
              <w:pStyle w:val="nTable"/>
              <w:spacing w:after="40"/>
            </w:pPr>
            <w:r>
              <w:t xml:space="preserve">1 Jul 1984 (see s. 2 and </w:t>
            </w:r>
            <w:r>
              <w:rPr>
                <w:i/>
              </w:rPr>
              <w:t>Gazette</w:t>
            </w:r>
            <w:r>
              <w:t xml:space="preserve"> 15 Jun 1984 p. 1629)</w:t>
            </w:r>
          </w:p>
        </w:tc>
      </w:tr>
      <w:tr>
        <w:trPr>
          <w:gridBefore w:val="1"/>
          <w:wBefore w:w="28" w:type="dxa"/>
          <w:cantSplit/>
        </w:trPr>
        <w:tc>
          <w:tcPr>
            <w:tcW w:w="2266" w:type="dxa"/>
            <w:gridSpan w:val="2"/>
          </w:tcPr>
          <w:p>
            <w:pPr>
              <w:pStyle w:val="nTable"/>
              <w:spacing w:after="40"/>
            </w:pPr>
            <w:r>
              <w:rPr>
                <w:i/>
              </w:rPr>
              <w:t>Workers’ Compensation and Assistance Amendment Act 1984</w:t>
            </w:r>
            <w:r>
              <w:rPr>
                <w:vertAlign w:val="superscript"/>
              </w:rPr>
              <w:t> 10</w:t>
            </w:r>
          </w:p>
        </w:tc>
        <w:tc>
          <w:tcPr>
            <w:tcW w:w="1134" w:type="dxa"/>
            <w:gridSpan w:val="2"/>
          </w:tcPr>
          <w:p>
            <w:pPr>
              <w:pStyle w:val="nTable"/>
              <w:spacing w:after="40"/>
            </w:pPr>
            <w:r>
              <w:t>104 of 1984</w:t>
            </w:r>
          </w:p>
        </w:tc>
        <w:tc>
          <w:tcPr>
            <w:tcW w:w="1134" w:type="dxa"/>
            <w:gridSpan w:val="2"/>
          </w:tcPr>
          <w:p>
            <w:pPr>
              <w:pStyle w:val="nTable"/>
              <w:spacing w:after="40"/>
            </w:pPr>
            <w:r>
              <w:t>19 Dec 1984</w:t>
            </w:r>
          </w:p>
        </w:tc>
        <w:tc>
          <w:tcPr>
            <w:tcW w:w="2554" w:type="dxa"/>
            <w:gridSpan w:val="2"/>
          </w:tcPr>
          <w:p>
            <w:pPr>
              <w:pStyle w:val="nTable"/>
              <w:spacing w:after="40"/>
            </w:pPr>
            <w:r>
              <w:t>19 Dec 1984 (see s. 2)</w:t>
            </w:r>
          </w:p>
        </w:tc>
      </w:tr>
      <w:tr>
        <w:trPr>
          <w:gridBefore w:val="1"/>
          <w:wBefore w:w="28" w:type="dxa"/>
          <w:cantSplit/>
        </w:trPr>
        <w:tc>
          <w:tcPr>
            <w:tcW w:w="2266" w:type="dxa"/>
            <w:gridSpan w:val="2"/>
          </w:tcPr>
          <w:p>
            <w:pPr>
              <w:pStyle w:val="nTable"/>
              <w:rPr>
                <w:i/>
              </w:rPr>
            </w:pPr>
            <w:r>
              <w:rPr>
                <w:i/>
              </w:rPr>
              <w:t>Workers’ Compensation and Assistance Amendment Act 1985</w:t>
            </w:r>
            <w:r>
              <w:rPr>
                <w:vertAlign w:val="superscript"/>
              </w:rPr>
              <w:t> 11</w:t>
            </w:r>
            <w:r>
              <w:rPr>
                <w:vertAlign w:val="superscript"/>
              </w:rPr>
              <w:noBreakHyphen/>
              <w:t>14</w:t>
            </w:r>
          </w:p>
        </w:tc>
        <w:tc>
          <w:tcPr>
            <w:tcW w:w="1134" w:type="dxa"/>
            <w:gridSpan w:val="2"/>
          </w:tcPr>
          <w:p>
            <w:pPr>
              <w:pStyle w:val="nTable"/>
            </w:pPr>
            <w:r>
              <w:t>44 of 1985</w:t>
            </w:r>
          </w:p>
        </w:tc>
        <w:tc>
          <w:tcPr>
            <w:tcW w:w="1134" w:type="dxa"/>
            <w:gridSpan w:val="2"/>
          </w:tcPr>
          <w:p>
            <w:pPr>
              <w:pStyle w:val="nTable"/>
            </w:pPr>
            <w:r>
              <w:t>20 May 1985</w:t>
            </w:r>
          </w:p>
        </w:tc>
        <w:tc>
          <w:tcPr>
            <w:tcW w:w="2554" w:type="dxa"/>
            <w:gridSpan w:val="2"/>
          </w:tcPr>
          <w:p>
            <w:pPr>
              <w:pStyle w:val="nTable"/>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p>
        </w:tc>
      </w:tr>
      <w:tr>
        <w:trPr>
          <w:gridBefore w:val="1"/>
          <w:wBefore w:w="28" w:type="dxa"/>
          <w:cantSplit/>
        </w:trPr>
        <w:tc>
          <w:tcPr>
            <w:tcW w:w="2266" w:type="dxa"/>
            <w:gridSpan w:val="2"/>
          </w:tcPr>
          <w:p>
            <w:pPr>
              <w:pStyle w:val="nTable"/>
              <w:spacing w:after="40"/>
              <w:rPr>
                <w:vertAlign w:val="superscript"/>
              </w:rPr>
            </w:pPr>
          </w:p>
        </w:tc>
        <w:tc>
          <w:tcPr>
            <w:tcW w:w="1134" w:type="dxa"/>
            <w:gridSpan w:val="2"/>
          </w:tcPr>
          <w:p>
            <w:pPr>
              <w:pStyle w:val="nTable"/>
              <w:keepNext/>
              <w:keepLines/>
              <w:spacing w:after="40"/>
            </w:pPr>
          </w:p>
        </w:tc>
        <w:tc>
          <w:tcPr>
            <w:tcW w:w="1134" w:type="dxa"/>
            <w:gridSpan w:val="2"/>
          </w:tcPr>
          <w:p>
            <w:pPr>
              <w:pStyle w:val="nTable"/>
              <w:keepNext/>
              <w:keepLines/>
              <w:spacing w:after="40"/>
            </w:pPr>
          </w:p>
        </w:tc>
        <w:tc>
          <w:tcPr>
            <w:tcW w:w="2554" w:type="dxa"/>
            <w:gridSpan w:val="2"/>
          </w:tcPr>
          <w:p>
            <w:pPr>
              <w:pStyle w:val="nTable"/>
              <w:spacing w:after="40"/>
            </w:pPr>
            <w:r>
              <w:t xml:space="preserve">s. 38: 25 Jul 1986 (see s. 2(2) and </w:t>
            </w:r>
            <w:r>
              <w:rPr>
                <w:i/>
              </w:rPr>
              <w:t>Gazette</w:t>
            </w:r>
            <w:r>
              <w:t xml:space="preserve"> 25 Jul 1986 p. 2453)</w:t>
            </w:r>
          </w:p>
        </w:tc>
      </w:tr>
      <w:tr>
        <w:trPr>
          <w:gridBefore w:val="1"/>
          <w:wBefore w:w="28" w:type="dxa"/>
          <w:cantSplit/>
        </w:trPr>
        <w:tc>
          <w:tcPr>
            <w:tcW w:w="2266" w:type="dxa"/>
            <w:gridSpan w:val="2"/>
          </w:tcPr>
          <w:p>
            <w:pPr>
              <w:pStyle w:val="nTable"/>
              <w:spacing w:after="40"/>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4" w:type="dxa"/>
            <w:gridSpan w:val="2"/>
          </w:tcPr>
          <w:p>
            <w:pPr>
              <w:pStyle w:val="nTable"/>
              <w:spacing w:after="40"/>
            </w:pPr>
            <w:r>
              <w:t xml:space="preserve">1 Jul 1986 (see s. 2 and </w:t>
            </w:r>
            <w:r>
              <w:rPr>
                <w:i/>
              </w:rPr>
              <w:t>Gazette</w:t>
            </w:r>
            <w:r>
              <w:t xml:space="preserve"> 30 Jun 1986 p. 2255)</w:t>
            </w:r>
          </w:p>
        </w:tc>
      </w:tr>
      <w:tr>
        <w:trPr>
          <w:gridBefore w:val="1"/>
          <w:wBefore w:w="28" w:type="dxa"/>
          <w:cantSplit/>
        </w:trPr>
        <w:tc>
          <w:tcPr>
            <w:tcW w:w="2266" w:type="dxa"/>
            <w:gridSpan w:val="2"/>
          </w:tcPr>
          <w:p>
            <w:pPr>
              <w:pStyle w:val="nTable"/>
              <w:spacing w:after="40"/>
              <w:rPr>
                <w:vertAlign w:val="superscript"/>
              </w:rPr>
            </w:pPr>
            <w:r>
              <w:rPr>
                <w:i/>
              </w:rPr>
              <w:t>Workers’ Compensation and Assistance Amendment Act 1986</w:t>
            </w:r>
            <w:r>
              <w:t> </w:t>
            </w:r>
            <w:r>
              <w:rPr>
                <w:vertAlign w:val="superscript"/>
              </w:rPr>
              <w:t>15</w:t>
            </w:r>
          </w:p>
        </w:tc>
        <w:tc>
          <w:tcPr>
            <w:tcW w:w="1134" w:type="dxa"/>
            <w:gridSpan w:val="2"/>
          </w:tcPr>
          <w:p>
            <w:pPr>
              <w:pStyle w:val="nTable"/>
              <w:spacing w:after="40"/>
            </w:pPr>
            <w:r>
              <w:t>33 of 1986</w:t>
            </w:r>
          </w:p>
        </w:tc>
        <w:tc>
          <w:tcPr>
            <w:tcW w:w="1134" w:type="dxa"/>
            <w:gridSpan w:val="2"/>
          </w:tcPr>
          <w:p>
            <w:pPr>
              <w:pStyle w:val="nTable"/>
              <w:spacing w:after="40"/>
            </w:pPr>
            <w:r>
              <w:t>1 Aug 1986</w:t>
            </w:r>
          </w:p>
        </w:tc>
        <w:tc>
          <w:tcPr>
            <w:tcW w:w="2554" w:type="dxa"/>
            <w:gridSpan w:val="2"/>
          </w:tcPr>
          <w:p>
            <w:pPr>
              <w:pStyle w:val="nTable"/>
              <w:spacing w:after="40"/>
            </w:pPr>
            <w:r>
              <w:t>1 Aug 1986 (see s. 2)</w:t>
            </w:r>
          </w:p>
        </w:tc>
      </w:tr>
      <w:tr>
        <w:trPr>
          <w:gridBefore w:val="1"/>
          <w:wBefore w:w="28" w:type="dxa"/>
          <w:cantSplit/>
        </w:trPr>
        <w:tc>
          <w:tcPr>
            <w:tcW w:w="2266" w:type="dxa"/>
            <w:gridSpan w:val="2"/>
          </w:tcPr>
          <w:p>
            <w:pPr>
              <w:pStyle w:val="nTable"/>
              <w:spacing w:after="40"/>
            </w:pPr>
            <w:r>
              <w:rPr>
                <w:i/>
              </w:rPr>
              <w:t>State Government Insurance Commission Act 1986</w:t>
            </w:r>
            <w:r>
              <w:t xml:space="preserve"> s. 46(2)</w:t>
            </w:r>
          </w:p>
        </w:tc>
        <w:tc>
          <w:tcPr>
            <w:tcW w:w="1134" w:type="dxa"/>
            <w:gridSpan w:val="2"/>
          </w:tcPr>
          <w:p>
            <w:pPr>
              <w:pStyle w:val="nTable"/>
              <w:spacing w:after="40"/>
            </w:pPr>
            <w:r>
              <w:t>51 of 1986</w:t>
            </w:r>
          </w:p>
        </w:tc>
        <w:tc>
          <w:tcPr>
            <w:tcW w:w="1134" w:type="dxa"/>
            <w:gridSpan w:val="2"/>
          </w:tcPr>
          <w:p>
            <w:pPr>
              <w:pStyle w:val="nTable"/>
              <w:spacing w:after="40"/>
            </w:pPr>
            <w:r>
              <w:t>5 Aug 1986</w:t>
            </w:r>
          </w:p>
        </w:tc>
        <w:tc>
          <w:tcPr>
            <w:tcW w:w="2554" w:type="dxa"/>
            <w:gridSpan w:val="2"/>
          </w:tcPr>
          <w:p>
            <w:pPr>
              <w:pStyle w:val="nTable"/>
              <w:spacing w:after="40"/>
            </w:pPr>
            <w:r>
              <w:t xml:space="preserve">1 Jan 1987 (see s. 2 and </w:t>
            </w:r>
            <w:r>
              <w:rPr>
                <w:i/>
              </w:rPr>
              <w:t>Gazette</w:t>
            </w:r>
            <w:r>
              <w:t xml:space="preserve"> 19 Dec 1986 p. 4859)</w:t>
            </w:r>
          </w:p>
        </w:tc>
      </w:tr>
      <w:tr>
        <w:trPr>
          <w:gridBefore w:val="1"/>
          <w:wBefore w:w="28" w:type="dxa"/>
          <w:cantSplit/>
        </w:trPr>
        <w:tc>
          <w:tcPr>
            <w:tcW w:w="2266" w:type="dxa"/>
            <w:gridSpan w:val="2"/>
          </w:tcPr>
          <w:p>
            <w:pPr>
              <w:pStyle w:val="nTable"/>
              <w:spacing w:after="40"/>
            </w:pPr>
            <w:r>
              <w:rPr>
                <w:i/>
              </w:rPr>
              <w:t>Workers’ Compensation and Assistance Amendment Act (No. 2) 1986</w:t>
            </w:r>
          </w:p>
        </w:tc>
        <w:tc>
          <w:tcPr>
            <w:tcW w:w="1134" w:type="dxa"/>
            <w:gridSpan w:val="2"/>
          </w:tcPr>
          <w:p>
            <w:pPr>
              <w:pStyle w:val="nTable"/>
              <w:keepNext/>
              <w:spacing w:after="40"/>
            </w:pPr>
            <w:r>
              <w:t>85 of 1986</w:t>
            </w:r>
          </w:p>
        </w:tc>
        <w:tc>
          <w:tcPr>
            <w:tcW w:w="1134" w:type="dxa"/>
            <w:gridSpan w:val="2"/>
          </w:tcPr>
          <w:p>
            <w:pPr>
              <w:pStyle w:val="nTable"/>
              <w:keepNext/>
              <w:spacing w:after="40"/>
            </w:pPr>
            <w:r>
              <w:t>5 Dec 1986</w:t>
            </w:r>
          </w:p>
        </w:tc>
        <w:tc>
          <w:tcPr>
            <w:tcW w:w="2554" w:type="dxa"/>
            <w:gridSpan w:val="2"/>
          </w:tcPr>
          <w:p>
            <w:pPr>
              <w:pStyle w:val="nTable"/>
              <w:keepNext/>
              <w:spacing w:after="40"/>
            </w:pPr>
            <w:r>
              <w:t>Act other than s. 7 and 11: 5 Dec 1986 (see s. 2(1));</w:t>
            </w:r>
            <w:r>
              <w:br/>
              <w:t xml:space="preserve">s. 7 and 11: 22 May 1987 (see s. 2(2) and </w:t>
            </w:r>
            <w:r>
              <w:rPr>
                <w:i/>
              </w:rPr>
              <w:t>Gazette</w:t>
            </w:r>
            <w:r>
              <w:t xml:space="preserve"> 22 May 1987 p. 2167) </w:t>
            </w:r>
          </w:p>
        </w:tc>
      </w:tr>
      <w:tr>
        <w:trPr>
          <w:gridBefore w:val="1"/>
          <w:wBefore w:w="28" w:type="dxa"/>
          <w:cantSplit/>
        </w:trPr>
        <w:tc>
          <w:tcPr>
            <w:tcW w:w="2266" w:type="dxa"/>
            <w:gridSpan w:val="2"/>
          </w:tcPr>
          <w:p>
            <w:pPr>
              <w:pStyle w:val="nTable"/>
              <w:spacing w:after="40"/>
            </w:pPr>
            <w:r>
              <w:rPr>
                <w:i/>
              </w:rPr>
              <w:t>Acts Amendment (Workers’ Compensation and Assistance) Act 1986</w:t>
            </w:r>
            <w:r>
              <w:t xml:space="preserve"> Pt. III</w:t>
            </w:r>
          </w:p>
        </w:tc>
        <w:tc>
          <w:tcPr>
            <w:tcW w:w="1134" w:type="dxa"/>
            <w:gridSpan w:val="2"/>
          </w:tcPr>
          <w:p>
            <w:pPr>
              <w:pStyle w:val="nTable"/>
              <w:spacing w:after="40"/>
            </w:pPr>
            <w:r>
              <w:t>86 of 1986</w:t>
            </w:r>
          </w:p>
        </w:tc>
        <w:tc>
          <w:tcPr>
            <w:tcW w:w="1134" w:type="dxa"/>
            <w:gridSpan w:val="2"/>
          </w:tcPr>
          <w:p>
            <w:pPr>
              <w:pStyle w:val="nTable"/>
              <w:spacing w:after="40"/>
            </w:pPr>
            <w:r>
              <w:t>5 Dec 1986</w:t>
            </w:r>
          </w:p>
        </w:tc>
        <w:tc>
          <w:tcPr>
            <w:tcW w:w="2554" w:type="dxa"/>
            <w:gridSpan w:val="2"/>
          </w:tcPr>
          <w:p>
            <w:pPr>
              <w:pStyle w:val="nTable"/>
              <w:spacing w:after="40"/>
            </w:pPr>
            <w:r>
              <w:t>2 Jan 1987</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gridBefore w:val="1"/>
          <w:wBefore w:w="28" w:type="dxa"/>
          <w:cantSplit/>
        </w:trPr>
        <w:tc>
          <w:tcPr>
            <w:tcW w:w="2266" w:type="dxa"/>
            <w:gridSpan w:val="2"/>
          </w:tcPr>
          <w:p>
            <w:pPr>
              <w:pStyle w:val="nTable"/>
              <w:spacing w:after="40"/>
            </w:pPr>
            <w:r>
              <w:rPr>
                <w:i/>
              </w:rPr>
              <w:t>Workers’ Compensation and Assistance Amendment Act 1987</w:t>
            </w:r>
            <w:r>
              <w:t> </w:t>
            </w:r>
            <w:r>
              <w:rPr>
                <w:vertAlign w:val="superscript"/>
              </w:rPr>
              <w:t>16</w:t>
            </w:r>
          </w:p>
        </w:tc>
        <w:tc>
          <w:tcPr>
            <w:tcW w:w="1134" w:type="dxa"/>
            <w:gridSpan w:val="2"/>
          </w:tcPr>
          <w:p>
            <w:pPr>
              <w:pStyle w:val="nTable"/>
              <w:spacing w:after="40"/>
            </w:pPr>
            <w:r>
              <w:t>21 of 1987</w:t>
            </w:r>
          </w:p>
        </w:tc>
        <w:tc>
          <w:tcPr>
            <w:tcW w:w="1134" w:type="dxa"/>
            <w:gridSpan w:val="2"/>
          </w:tcPr>
          <w:p>
            <w:pPr>
              <w:pStyle w:val="nTable"/>
              <w:spacing w:after="40"/>
            </w:pPr>
            <w:r>
              <w:t>25 Jun 1987</w:t>
            </w:r>
          </w:p>
        </w:tc>
        <w:tc>
          <w:tcPr>
            <w:tcW w:w="2554" w:type="dxa"/>
            <w:gridSpan w:val="2"/>
          </w:tcPr>
          <w:p>
            <w:pPr>
              <w:pStyle w:val="nTable"/>
              <w:spacing w:after="40"/>
            </w:pPr>
            <w:r>
              <w:t>23 Jul 1987</w:t>
            </w:r>
          </w:p>
        </w:tc>
      </w:tr>
      <w:tr>
        <w:trPr>
          <w:gridBefore w:val="1"/>
          <w:wBefore w:w="28" w:type="dxa"/>
          <w:cantSplit/>
        </w:trPr>
        <w:tc>
          <w:tcPr>
            <w:tcW w:w="2266" w:type="dxa"/>
            <w:gridSpan w:val="2"/>
          </w:tcPr>
          <w:p>
            <w:pPr>
              <w:pStyle w:val="nTable"/>
              <w:spacing w:after="40"/>
            </w:pPr>
            <w:r>
              <w:rPr>
                <w:i/>
              </w:rPr>
              <w:t>Acts Amendment (Legal Practitioners, Costs and Taxation) Act 1987</w:t>
            </w:r>
            <w:r>
              <w:t xml:space="preserve"> Pt. VII</w:t>
            </w:r>
          </w:p>
        </w:tc>
        <w:tc>
          <w:tcPr>
            <w:tcW w:w="1134" w:type="dxa"/>
            <w:gridSpan w:val="2"/>
          </w:tcPr>
          <w:p>
            <w:pPr>
              <w:pStyle w:val="nTable"/>
              <w:spacing w:after="40"/>
            </w:pPr>
            <w:r>
              <w:t>65 of 1987</w:t>
            </w:r>
          </w:p>
        </w:tc>
        <w:tc>
          <w:tcPr>
            <w:tcW w:w="1134" w:type="dxa"/>
            <w:gridSpan w:val="2"/>
          </w:tcPr>
          <w:p>
            <w:pPr>
              <w:pStyle w:val="nTable"/>
              <w:spacing w:after="40"/>
            </w:pPr>
            <w:r>
              <w:t>1 Dec 1987</w:t>
            </w:r>
          </w:p>
        </w:tc>
        <w:tc>
          <w:tcPr>
            <w:tcW w:w="2554" w:type="dxa"/>
            <w:gridSpan w:val="2"/>
          </w:tcPr>
          <w:p>
            <w:pPr>
              <w:pStyle w:val="nTable"/>
              <w:spacing w:after="40"/>
            </w:pPr>
            <w:r>
              <w:t xml:space="preserve">12 Feb 1988 (see s. 2(2) and </w:t>
            </w:r>
            <w:r>
              <w:rPr>
                <w:i/>
              </w:rPr>
              <w:t>Gazette</w:t>
            </w:r>
            <w:r>
              <w:t xml:space="preserve"> 12 Feb 1988 p. 397)</w:t>
            </w:r>
          </w:p>
        </w:tc>
      </w:tr>
      <w:tr>
        <w:trPr>
          <w:gridBefore w:val="1"/>
          <w:wBefore w:w="28" w:type="dxa"/>
          <w:cantSplit/>
        </w:trPr>
        <w:tc>
          <w:tcPr>
            <w:tcW w:w="2266" w:type="dxa"/>
            <w:gridSpan w:val="2"/>
          </w:tcPr>
          <w:p>
            <w:pPr>
              <w:pStyle w:val="nTable"/>
              <w:spacing w:after="40"/>
            </w:pPr>
            <w:r>
              <w:rPr>
                <w:i/>
              </w:rPr>
              <w:t>Workers’ Compensation and Assistance Amendment Act 1988</w:t>
            </w:r>
            <w:r>
              <w:t xml:space="preserve"> Pt. 2</w:t>
            </w:r>
          </w:p>
        </w:tc>
        <w:tc>
          <w:tcPr>
            <w:tcW w:w="1134" w:type="dxa"/>
            <w:gridSpan w:val="2"/>
          </w:tcPr>
          <w:p>
            <w:pPr>
              <w:pStyle w:val="nTable"/>
              <w:spacing w:after="40"/>
            </w:pPr>
            <w:r>
              <w:t>36 of 1988</w:t>
            </w:r>
          </w:p>
        </w:tc>
        <w:tc>
          <w:tcPr>
            <w:tcW w:w="1134" w:type="dxa"/>
            <w:gridSpan w:val="2"/>
          </w:tcPr>
          <w:p>
            <w:pPr>
              <w:pStyle w:val="nTable"/>
              <w:spacing w:after="40"/>
            </w:pPr>
            <w:r>
              <w:t>24 Nov 1988</w:t>
            </w:r>
          </w:p>
        </w:tc>
        <w:tc>
          <w:tcPr>
            <w:tcW w:w="2554" w:type="dxa"/>
            <w:gridSpan w:val="2"/>
          </w:tcPr>
          <w:p>
            <w:pPr>
              <w:pStyle w:val="nTable"/>
              <w:spacing w:after="40"/>
            </w:pPr>
            <w:r>
              <w:t xml:space="preserve">1 Mar 1991 (see s. 2 and </w:t>
            </w:r>
            <w:r>
              <w:rPr>
                <w:i/>
              </w:rPr>
              <w:t>Gazette</w:t>
            </w:r>
            <w:r>
              <w:t xml:space="preserve"> 1 Mar 1991 p. 967)</w:t>
            </w:r>
          </w:p>
        </w:tc>
      </w:tr>
      <w:tr>
        <w:trPr>
          <w:gridBefore w:val="1"/>
          <w:wBefore w:w="28" w:type="dxa"/>
          <w:cantSplit/>
        </w:trPr>
        <w:tc>
          <w:tcPr>
            <w:tcW w:w="2266" w:type="dxa"/>
            <w:gridSpan w:val="2"/>
          </w:tcPr>
          <w:p>
            <w:pPr>
              <w:pStyle w:val="nTable"/>
              <w:spacing w:after="40"/>
            </w:pPr>
            <w:r>
              <w:rPr>
                <w:i/>
              </w:rPr>
              <w:t>Workers’ Compensation and Assistance Amendment Act 1990</w:t>
            </w:r>
            <w:r>
              <w:t> </w:t>
            </w:r>
            <w:r>
              <w:rPr>
                <w:vertAlign w:val="superscript"/>
              </w:rPr>
              <w:t>17, 18</w:t>
            </w:r>
          </w:p>
        </w:tc>
        <w:tc>
          <w:tcPr>
            <w:tcW w:w="1134" w:type="dxa"/>
            <w:gridSpan w:val="2"/>
          </w:tcPr>
          <w:p>
            <w:pPr>
              <w:pStyle w:val="nTable"/>
              <w:spacing w:after="40"/>
            </w:pPr>
            <w:r>
              <w:t>96 of 1990</w:t>
            </w:r>
          </w:p>
        </w:tc>
        <w:tc>
          <w:tcPr>
            <w:tcW w:w="1134" w:type="dxa"/>
            <w:gridSpan w:val="2"/>
          </w:tcPr>
          <w:p>
            <w:pPr>
              <w:pStyle w:val="nTable"/>
              <w:spacing w:after="40"/>
            </w:pPr>
            <w:r>
              <w:t>22 Dec 1990</w:t>
            </w:r>
          </w:p>
        </w:tc>
        <w:tc>
          <w:tcPr>
            <w:tcW w:w="2554" w:type="dxa"/>
            <w:gridSpan w:val="2"/>
          </w:tcPr>
          <w:p>
            <w:pPr>
              <w:pStyle w:val="nTable"/>
              <w:spacing w:after="40"/>
            </w:pPr>
            <w:r>
              <w:t>s. 1 and 2: 22 Dec 1990;</w:t>
            </w:r>
            <w:r>
              <w:br/>
              <w:t xml:space="preserve">Act other than s. 1 and 2: 8 Mar 1991 (see s. 2 and </w:t>
            </w:r>
            <w:r>
              <w:rPr>
                <w:i/>
              </w:rPr>
              <w:t>Gazette</w:t>
            </w:r>
            <w:r>
              <w:t xml:space="preserve"> 8 Mar 1991 p. 1030)</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gridBefore w:val="1"/>
          <w:wBefore w:w="28" w:type="dxa"/>
          <w:cantSplit/>
        </w:trPr>
        <w:tc>
          <w:tcPr>
            <w:tcW w:w="2266" w:type="dxa"/>
            <w:gridSpan w:val="2"/>
          </w:tcPr>
          <w:p>
            <w:pPr>
              <w:pStyle w:val="nTable"/>
              <w:spacing w:after="40"/>
            </w:pPr>
            <w:r>
              <w:rPr>
                <w:i/>
              </w:rPr>
              <w:t>Acts Amendment (Parliamentary, Electorate and Gubernatorial Staff) Act 1992</w:t>
            </w:r>
            <w:r>
              <w:t xml:space="preserve"> Pt. 6</w:t>
            </w:r>
          </w:p>
        </w:tc>
        <w:tc>
          <w:tcPr>
            <w:tcW w:w="1134" w:type="dxa"/>
            <w:gridSpan w:val="2"/>
          </w:tcPr>
          <w:p>
            <w:pPr>
              <w:pStyle w:val="nTable"/>
              <w:spacing w:after="40"/>
            </w:pPr>
            <w:r>
              <w:t>40 of 1992</w:t>
            </w:r>
          </w:p>
        </w:tc>
        <w:tc>
          <w:tcPr>
            <w:tcW w:w="1134" w:type="dxa"/>
            <w:gridSpan w:val="2"/>
          </w:tcPr>
          <w:p>
            <w:pPr>
              <w:pStyle w:val="nTable"/>
              <w:spacing w:after="40"/>
            </w:pPr>
            <w:r>
              <w:t>2 Oct 1992</w:t>
            </w:r>
          </w:p>
        </w:tc>
        <w:tc>
          <w:tcPr>
            <w:tcW w:w="2554" w:type="dxa"/>
            <w:gridSpan w:val="2"/>
          </w:tcPr>
          <w:p>
            <w:pPr>
              <w:pStyle w:val="nTable"/>
              <w:spacing w:after="40"/>
            </w:pPr>
            <w:r>
              <w:t xml:space="preserve">3 Nov 1992 (see s. 2 and </w:t>
            </w:r>
            <w:r>
              <w:rPr>
                <w:i/>
              </w:rPr>
              <w:t>Gazette</w:t>
            </w:r>
            <w:r>
              <w:t xml:space="preserve"> 3 Nov 1992 p. 5389)</w:t>
            </w:r>
          </w:p>
        </w:tc>
      </w:tr>
      <w:tr>
        <w:trPr>
          <w:gridBefore w:val="1"/>
          <w:wBefore w:w="28" w:type="dxa"/>
          <w:cantSplit/>
        </w:trPr>
        <w:tc>
          <w:tcPr>
            <w:tcW w:w="2266" w:type="dxa"/>
            <w:gridSpan w:val="2"/>
          </w:tcPr>
          <w:p>
            <w:pPr>
              <w:pStyle w:val="nTable"/>
              <w:spacing w:after="40"/>
            </w:pPr>
            <w:r>
              <w:rPr>
                <w:i/>
              </w:rPr>
              <w:t>Workers’ Compensation and Rehabilitation Amendment Act (No. 2) 1992</w:t>
            </w:r>
          </w:p>
        </w:tc>
        <w:tc>
          <w:tcPr>
            <w:tcW w:w="1134" w:type="dxa"/>
            <w:gridSpan w:val="2"/>
          </w:tcPr>
          <w:p>
            <w:pPr>
              <w:pStyle w:val="nTable"/>
              <w:spacing w:after="40"/>
            </w:pPr>
            <w:r>
              <w:t>72 of 1992</w:t>
            </w:r>
          </w:p>
        </w:tc>
        <w:tc>
          <w:tcPr>
            <w:tcW w:w="1134" w:type="dxa"/>
            <w:gridSpan w:val="2"/>
          </w:tcPr>
          <w:p>
            <w:pPr>
              <w:pStyle w:val="nTable"/>
              <w:spacing w:after="40"/>
            </w:pPr>
            <w:r>
              <w:t>15 Dec 1992</w:t>
            </w:r>
          </w:p>
        </w:tc>
        <w:tc>
          <w:tcPr>
            <w:tcW w:w="2554" w:type="dxa"/>
            <w:gridSpan w:val="2"/>
          </w:tcPr>
          <w:p>
            <w:pPr>
              <w:pStyle w:val="nTable"/>
              <w:spacing w:after="4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gridBefore w:val="1"/>
          <w:wBefore w:w="28" w:type="dxa"/>
          <w:cantSplit/>
        </w:trPr>
        <w:tc>
          <w:tcPr>
            <w:tcW w:w="2266" w:type="dxa"/>
            <w:gridSpan w:val="2"/>
          </w:tcPr>
          <w:p>
            <w:pPr>
              <w:pStyle w:val="nTable"/>
              <w:spacing w:after="40"/>
            </w:pPr>
            <w:r>
              <w:rPr>
                <w:i/>
              </w:rPr>
              <w:t>Employers’ Indemnity Supplementation Fund Amendment Act 1993</w:t>
            </w:r>
            <w:r>
              <w:t xml:space="preserve"> s. 14</w:t>
            </w:r>
          </w:p>
        </w:tc>
        <w:tc>
          <w:tcPr>
            <w:tcW w:w="1134" w:type="dxa"/>
            <w:gridSpan w:val="2"/>
          </w:tcPr>
          <w:p>
            <w:pPr>
              <w:pStyle w:val="nTable"/>
              <w:spacing w:after="40"/>
            </w:pPr>
            <w:r>
              <w:t>1 of 1993</w:t>
            </w:r>
          </w:p>
        </w:tc>
        <w:tc>
          <w:tcPr>
            <w:tcW w:w="1134" w:type="dxa"/>
            <w:gridSpan w:val="2"/>
          </w:tcPr>
          <w:p>
            <w:pPr>
              <w:pStyle w:val="nTable"/>
              <w:spacing w:after="40"/>
            </w:pPr>
            <w:r>
              <w:t>19 Jul 1993</w:t>
            </w:r>
          </w:p>
        </w:tc>
        <w:tc>
          <w:tcPr>
            <w:tcW w:w="2554" w:type="dxa"/>
            <w:gridSpan w:val="2"/>
          </w:tcPr>
          <w:p>
            <w:pPr>
              <w:pStyle w:val="nTable"/>
              <w:spacing w:after="40"/>
            </w:pPr>
            <w:r>
              <w:t>19 Jul 1993 (see s. 2)</w:t>
            </w:r>
          </w:p>
        </w:tc>
      </w:tr>
      <w:tr>
        <w:trPr>
          <w:gridBefore w:val="1"/>
          <w:wBefore w:w="28" w:type="dxa"/>
          <w:cantSplit/>
        </w:trPr>
        <w:tc>
          <w:tcPr>
            <w:tcW w:w="2266"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4" w:type="dxa"/>
            <w:gridSpan w:val="2"/>
          </w:tcPr>
          <w:p>
            <w:pPr>
              <w:pStyle w:val="nTable"/>
              <w:spacing w:after="40"/>
            </w:pPr>
            <w:r>
              <w:t>1 Jul 1993 (see s. 2(1))</w:t>
            </w:r>
          </w:p>
        </w:tc>
      </w:tr>
      <w:tr>
        <w:trPr>
          <w:gridBefore w:val="1"/>
          <w:wBefore w:w="28" w:type="dxa"/>
          <w:cantSplit/>
        </w:trPr>
        <w:tc>
          <w:tcPr>
            <w:tcW w:w="2266" w:type="dxa"/>
            <w:gridSpan w:val="2"/>
          </w:tcPr>
          <w:p>
            <w:pPr>
              <w:pStyle w:val="nTable"/>
              <w:spacing w:after="40"/>
            </w:pPr>
            <w:r>
              <w:rPr>
                <w:i/>
              </w:rPr>
              <w:t>Mines Regulation Amendment Act 1993</w:t>
            </w:r>
            <w:r>
              <w:t xml:space="preserve"> s. 13</w:t>
            </w:r>
          </w:p>
        </w:tc>
        <w:tc>
          <w:tcPr>
            <w:tcW w:w="1134" w:type="dxa"/>
            <w:gridSpan w:val="2"/>
          </w:tcPr>
          <w:p>
            <w:pPr>
              <w:pStyle w:val="nTable"/>
              <w:spacing w:after="40"/>
            </w:pPr>
            <w:r>
              <w:t>30 of 1993</w:t>
            </w:r>
          </w:p>
        </w:tc>
        <w:tc>
          <w:tcPr>
            <w:tcW w:w="1134" w:type="dxa"/>
            <w:gridSpan w:val="2"/>
          </w:tcPr>
          <w:p>
            <w:pPr>
              <w:pStyle w:val="nTable"/>
              <w:spacing w:after="40"/>
            </w:pPr>
            <w:r>
              <w:t>16 Dec 1993</w:t>
            </w:r>
          </w:p>
        </w:tc>
        <w:tc>
          <w:tcPr>
            <w:tcW w:w="2554" w:type="dxa"/>
            <w:gridSpan w:val="2"/>
          </w:tcPr>
          <w:p>
            <w:pPr>
              <w:pStyle w:val="nTable"/>
              <w:spacing w:after="40"/>
            </w:pPr>
            <w:r>
              <w:t xml:space="preserve">24 Dec 1993 (see s. 2 and </w:t>
            </w:r>
            <w:r>
              <w:rPr>
                <w:i/>
              </w:rPr>
              <w:t>Gazette</w:t>
            </w:r>
            <w:r>
              <w:t xml:space="preserve"> 24 Dec 1993 p. 6796)</w:t>
            </w:r>
          </w:p>
        </w:tc>
      </w:tr>
      <w:tr>
        <w:trPr>
          <w:gridBefore w:val="1"/>
          <w:wBefore w:w="28" w:type="dxa"/>
          <w:cantSplit/>
        </w:trPr>
        <w:tc>
          <w:tcPr>
            <w:tcW w:w="2266" w:type="dxa"/>
            <w:gridSpan w:val="2"/>
            <w:tcBorders>
              <w:bottom w:val="nil"/>
            </w:tcBorders>
          </w:tcPr>
          <w:p>
            <w:pPr>
              <w:pStyle w:val="nTable"/>
              <w:spacing w:after="40"/>
            </w:pPr>
            <w:r>
              <w:rPr>
                <w:i/>
              </w:rPr>
              <w:t>Workers’ Compensation and Rehabilitation Amendment Act 1993</w:t>
            </w:r>
            <w:r>
              <w:t> </w:t>
            </w:r>
            <w:r>
              <w:rPr>
                <w:vertAlign w:val="superscript"/>
              </w:rPr>
              <w:t>19-26</w:t>
            </w:r>
          </w:p>
        </w:tc>
        <w:tc>
          <w:tcPr>
            <w:tcW w:w="1134" w:type="dxa"/>
            <w:gridSpan w:val="2"/>
          </w:tcPr>
          <w:p>
            <w:pPr>
              <w:pStyle w:val="nTable"/>
              <w:spacing w:after="40"/>
            </w:pPr>
            <w:r>
              <w:t>48 of 1993</w:t>
            </w:r>
            <w:r>
              <w:br/>
              <w:t>(as amended by No. 34 of 1999 Pt. 3 and No. 42 of 2004 s. 172)</w:t>
            </w:r>
          </w:p>
        </w:tc>
        <w:tc>
          <w:tcPr>
            <w:tcW w:w="1134" w:type="dxa"/>
            <w:gridSpan w:val="2"/>
          </w:tcPr>
          <w:p>
            <w:pPr>
              <w:pStyle w:val="nTable"/>
              <w:spacing w:after="40"/>
            </w:pPr>
            <w:r>
              <w:t>20 Dec 1993</w:t>
            </w:r>
          </w:p>
        </w:tc>
        <w:tc>
          <w:tcPr>
            <w:tcW w:w="2554" w:type="dxa"/>
            <w:gridSpan w:val="2"/>
          </w:tcPr>
          <w:p>
            <w:pPr>
              <w:pStyle w:val="nTable"/>
              <w:spacing w:after="4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gridBefore w:val="1"/>
          <w:wBefore w:w="28" w:type="dxa"/>
          <w:cantSplit/>
        </w:trPr>
        <w:tc>
          <w:tcPr>
            <w:tcW w:w="7088" w:type="dxa"/>
            <w:gridSpan w:val="8"/>
            <w:tcBorders>
              <w:bottom w:val="nil"/>
            </w:tcBorders>
          </w:tcPr>
          <w:p>
            <w:pPr>
              <w:pStyle w:val="nTable"/>
              <w:spacing w:after="4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gridBefore w:val="1"/>
          <w:wBefore w:w="28" w:type="dxa"/>
          <w:cantSplit/>
        </w:trPr>
        <w:tc>
          <w:tcPr>
            <w:tcW w:w="2266" w:type="dxa"/>
            <w:gridSpan w:val="2"/>
          </w:tcPr>
          <w:p>
            <w:pPr>
              <w:pStyle w:val="nTable"/>
              <w:spacing w:after="4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4" w:type="dxa"/>
            <w:gridSpan w:val="2"/>
          </w:tcPr>
          <w:p>
            <w:pPr>
              <w:pStyle w:val="nTable"/>
              <w:spacing w:after="40"/>
            </w:pPr>
            <w:r>
              <w:t xml:space="preserve">1 Oct 1994 (see s. 2 and </w:t>
            </w:r>
            <w:r>
              <w:rPr>
                <w:i/>
              </w:rPr>
              <w:t>Gazette</w:t>
            </w:r>
            <w:r>
              <w:t xml:space="preserve"> 30 Sep 1994 p. 4948)</w:t>
            </w:r>
          </w:p>
        </w:tc>
      </w:tr>
      <w:tr>
        <w:trPr>
          <w:gridBefore w:val="1"/>
          <w:wBefore w:w="28" w:type="dxa"/>
          <w:cantSplit/>
        </w:trPr>
        <w:tc>
          <w:tcPr>
            <w:tcW w:w="2266" w:type="dxa"/>
            <w:gridSpan w:val="2"/>
          </w:tcPr>
          <w:p>
            <w:pPr>
              <w:pStyle w:val="nTable"/>
              <w:spacing w:after="40"/>
            </w:pPr>
            <w:r>
              <w:rPr>
                <w:i/>
              </w:rPr>
              <w:t>Mines Safety and Inspection Act 1994</w:t>
            </w:r>
            <w:r>
              <w:t xml:space="preserve"> s. 109</w:t>
            </w:r>
          </w:p>
        </w:tc>
        <w:tc>
          <w:tcPr>
            <w:tcW w:w="1134" w:type="dxa"/>
            <w:gridSpan w:val="2"/>
          </w:tcPr>
          <w:p>
            <w:pPr>
              <w:pStyle w:val="nTable"/>
              <w:spacing w:after="40"/>
            </w:pPr>
            <w:r>
              <w:t>62 of 1994</w:t>
            </w:r>
          </w:p>
        </w:tc>
        <w:tc>
          <w:tcPr>
            <w:tcW w:w="1134" w:type="dxa"/>
            <w:gridSpan w:val="2"/>
          </w:tcPr>
          <w:p>
            <w:pPr>
              <w:pStyle w:val="nTable"/>
              <w:spacing w:after="40"/>
            </w:pPr>
            <w:r>
              <w:t>7 Nov 1994</w:t>
            </w:r>
          </w:p>
        </w:tc>
        <w:tc>
          <w:tcPr>
            <w:tcW w:w="2554" w:type="dxa"/>
            <w:gridSpan w:val="2"/>
          </w:tcPr>
          <w:p>
            <w:pPr>
              <w:pStyle w:val="nTable"/>
              <w:spacing w:after="40"/>
            </w:pPr>
            <w:r>
              <w:t xml:space="preserve">9 Dec 1995 (see s. 2 and </w:t>
            </w:r>
            <w:r>
              <w:rPr>
                <w:i/>
              </w:rPr>
              <w:t>Gazette</w:t>
            </w:r>
            <w:r>
              <w:t xml:space="preserve"> 8 Dec 1995 p. 5935)</w:t>
            </w:r>
          </w:p>
        </w:tc>
      </w:tr>
      <w:tr>
        <w:trPr>
          <w:gridBefore w:val="1"/>
          <w:wBefore w:w="28" w:type="dxa"/>
          <w:cantSplit/>
        </w:trPr>
        <w:tc>
          <w:tcPr>
            <w:tcW w:w="2266" w:type="dxa"/>
            <w:gridSpan w:val="2"/>
          </w:tcPr>
          <w:p>
            <w:pPr>
              <w:pStyle w:val="nTable"/>
              <w:spacing w:after="40"/>
            </w:pPr>
            <w:r>
              <w:rPr>
                <w:i/>
              </w:rPr>
              <w:t>Hospitals Amendment Act 1994</w:t>
            </w:r>
            <w:r>
              <w:t xml:space="preserve"> s. 18</w:t>
            </w:r>
          </w:p>
        </w:tc>
        <w:tc>
          <w:tcPr>
            <w:tcW w:w="1134" w:type="dxa"/>
            <w:gridSpan w:val="2"/>
          </w:tcPr>
          <w:p>
            <w:pPr>
              <w:pStyle w:val="nTable"/>
              <w:spacing w:after="40"/>
            </w:pPr>
            <w:r>
              <w:t>103 of 1994</w:t>
            </w:r>
          </w:p>
        </w:tc>
        <w:tc>
          <w:tcPr>
            <w:tcW w:w="1134" w:type="dxa"/>
            <w:gridSpan w:val="2"/>
          </w:tcPr>
          <w:p>
            <w:pPr>
              <w:pStyle w:val="nTable"/>
              <w:spacing w:after="40"/>
            </w:pPr>
            <w:r>
              <w:t>11 Jan 1995</w:t>
            </w:r>
          </w:p>
        </w:tc>
        <w:tc>
          <w:tcPr>
            <w:tcW w:w="2554" w:type="dxa"/>
            <w:gridSpan w:val="2"/>
          </w:tcPr>
          <w:p>
            <w:pPr>
              <w:pStyle w:val="nTable"/>
              <w:spacing w:after="40"/>
            </w:pPr>
            <w:r>
              <w:t xml:space="preserve">3 Feb 1995 (see s. 2 and </w:t>
            </w:r>
            <w:r>
              <w:rPr>
                <w:i/>
              </w:rPr>
              <w:t>Gazette</w:t>
            </w:r>
            <w:r>
              <w:t xml:space="preserve"> 3 Feb 1995 p. 333)</w:t>
            </w:r>
          </w:p>
        </w:tc>
      </w:tr>
      <w:tr>
        <w:trPr>
          <w:gridBefore w:val="1"/>
          <w:wBefore w:w="28" w:type="dxa"/>
          <w:cantSplit/>
        </w:trPr>
        <w:tc>
          <w:tcPr>
            <w:tcW w:w="2266" w:type="dxa"/>
            <w:gridSpan w:val="2"/>
          </w:tcPr>
          <w:p>
            <w:pPr>
              <w:pStyle w:val="nTable"/>
              <w:spacing w:after="40"/>
            </w:pPr>
            <w:r>
              <w:rPr>
                <w:i/>
              </w:rPr>
              <w:t>Occupational Safety and Health Legislation Amendment Act 1995</w:t>
            </w:r>
            <w:r>
              <w:t xml:space="preserve"> s. 48</w:t>
            </w:r>
          </w:p>
        </w:tc>
        <w:tc>
          <w:tcPr>
            <w:tcW w:w="1134" w:type="dxa"/>
            <w:gridSpan w:val="2"/>
          </w:tcPr>
          <w:p>
            <w:pPr>
              <w:pStyle w:val="nTable"/>
              <w:spacing w:after="40"/>
            </w:pPr>
            <w:r>
              <w:t>30 of 1995</w:t>
            </w:r>
          </w:p>
        </w:tc>
        <w:tc>
          <w:tcPr>
            <w:tcW w:w="1134" w:type="dxa"/>
            <w:gridSpan w:val="2"/>
          </w:tcPr>
          <w:p>
            <w:pPr>
              <w:pStyle w:val="nTable"/>
              <w:spacing w:after="40"/>
            </w:pPr>
            <w:r>
              <w:t>11 Sep 1995</w:t>
            </w:r>
          </w:p>
        </w:tc>
        <w:tc>
          <w:tcPr>
            <w:tcW w:w="2554" w:type="dxa"/>
            <w:gridSpan w:val="2"/>
          </w:tcPr>
          <w:p>
            <w:pPr>
              <w:pStyle w:val="nTable"/>
              <w:spacing w:after="40"/>
            </w:pPr>
            <w:r>
              <w:t xml:space="preserve">1 Oct 1995 (see s. 2 and </w:t>
            </w:r>
            <w:r>
              <w:rPr>
                <w:i/>
              </w:rPr>
              <w:t>Gazette</w:t>
            </w:r>
            <w:r>
              <w:t xml:space="preserve"> 15 Sep 1995 p. 4301)</w:t>
            </w:r>
          </w:p>
        </w:tc>
      </w:tr>
      <w:tr>
        <w:trPr>
          <w:gridBefore w:val="1"/>
          <w:wBefore w:w="28" w:type="dxa"/>
          <w:cantSplit/>
        </w:trPr>
        <w:tc>
          <w:tcPr>
            <w:tcW w:w="2266" w:type="dxa"/>
            <w:gridSpan w:val="2"/>
          </w:tcPr>
          <w:p>
            <w:pPr>
              <w:pStyle w:val="nTable"/>
              <w:spacing w:after="40"/>
            </w:pPr>
            <w:r>
              <w:rPr>
                <w:i/>
              </w:rPr>
              <w:t>Sentencing (Consequential Provisions) Act 1995</w:t>
            </w:r>
            <w:r>
              <w:t xml:space="preserve"> Pt. 84</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4" w:type="dxa"/>
            <w:gridSpan w:val="2"/>
          </w:tcPr>
          <w:p>
            <w:pPr>
              <w:pStyle w:val="nTable"/>
              <w:spacing w:after="40"/>
            </w:pPr>
            <w:r>
              <w:t xml:space="preserve">4 Nov 1996 (see s. 2 and </w:t>
            </w:r>
            <w:r>
              <w:rPr>
                <w:i/>
              </w:rPr>
              <w:t>Gazette</w:t>
            </w:r>
            <w:r>
              <w:t xml:space="preserve"> 25 Oct 1996 p. 5632)</w:t>
            </w:r>
          </w:p>
        </w:tc>
      </w:tr>
      <w:tr>
        <w:trPr>
          <w:gridBefore w:val="1"/>
          <w:wBefore w:w="28" w:type="dxa"/>
          <w:cantSplit/>
        </w:trPr>
        <w:tc>
          <w:tcPr>
            <w:tcW w:w="2266"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4" w:type="dxa"/>
            <w:gridSpan w:val="2"/>
          </w:tcPr>
          <w:p>
            <w:pPr>
              <w:pStyle w:val="nTable"/>
              <w:spacing w:after="40"/>
            </w:pPr>
            <w:r>
              <w:t>1 Jul 1996 (see s. 2)</w:t>
            </w:r>
          </w:p>
        </w:tc>
      </w:tr>
      <w:tr>
        <w:trPr>
          <w:gridBefore w:val="1"/>
          <w:wBefore w:w="28" w:type="dxa"/>
          <w:cantSplit/>
        </w:trPr>
        <w:tc>
          <w:tcPr>
            <w:tcW w:w="2266"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4" w:type="dxa"/>
            <w:gridSpan w:val="2"/>
          </w:tcPr>
          <w:p>
            <w:pPr>
              <w:pStyle w:val="nTable"/>
              <w:spacing w:after="40"/>
            </w:pPr>
            <w:r>
              <w:t>25 Oct 1996 (see s. 2(1))</w:t>
            </w:r>
          </w:p>
        </w:tc>
      </w:tr>
      <w:tr>
        <w:trPr>
          <w:gridBefore w:val="1"/>
          <w:wBefore w:w="28" w:type="dxa"/>
          <w:cantSplit/>
        </w:trPr>
        <w:tc>
          <w:tcPr>
            <w:tcW w:w="2266" w:type="dxa"/>
            <w:gridSpan w:val="2"/>
          </w:tcPr>
          <w:p>
            <w:pPr>
              <w:pStyle w:val="nTable"/>
              <w:spacing w:after="40"/>
              <w:rPr>
                <w:i/>
                <w:vertAlign w:val="superscript"/>
              </w:rPr>
            </w:pPr>
            <w:r>
              <w:rPr>
                <w:i/>
                <w:snapToGrid w:val="0"/>
              </w:rPr>
              <w:t>Acts Amendment (ICWA) Act 1996</w:t>
            </w:r>
            <w:r>
              <w:rPr>
                <w:snapToGrid w:val="0"/>
              </w:rPr>
              <w:t xml:space="preserve"> Sch. 1 it. 16</w:t>
            </w:r>
            <w:r>
              <w:t> </w:t>
            </w:r>
            <w:r>
              <w:rPr>
                <w:vertAlign w:val="superscript"/>
              </w:rPr>
              <w:t>27</w:t>
            </w:r>
          </w:p>
        </w:tc>
        <w:tc>
          <w:tcPr>
            <w:tcW w:w="1134" w:type="dxa"/>
            <w:gridSpan w:val="2"/>
          </w:tcPr>
          <w:p>
            <w:pPr>
              <w:pStyle w:val="nTable"/>
              <w:spacing w:after="40"/>
            </w:pPr>
            <w:r>
              <w:t>45 of 1996</w:t>
            </w:r>
            <w:r>
              <w:br/>
              <w:t>(as amended by No. 42 of 2004 s. 155)</w:t>
            </w:r>
          </w:p>
        </w:tc>
        <w:tc>
          <w:tcPr>
            <w:tcW w:w="1134" w:type="dxa"/>
            <w:gridSpan w:val="2"/>
          </w:tcPr>
          <w:p>
            <w:pPr>
              <w:pStyle w:val="nTable"/>
              <w:spacing w:after="40"/>
            </w:pPr>
            <w:r>
              <w:t>25 Oct 1996</w:t>
            </w:r>
          </w:p>
        </w:tc>
        <w:tc>
          <w:tcPr>
            <w:tcW w:w="2554" w:type="dxa"/>
            <w:gridSpan w:val="2"/>
          </w:tcPr>
          <w:p>
            <w:pPr>
              <w:pStyle w:val="nTable"/>
              <w:spacing w:after="40"/>
            </w:pPr>
            <w:r>
              <w:t xml:space="preserve">1 Jul 2012 (see s. 2 and </w:t>
            </w:r>
            <w:r>
              <w:rPr>
                <w:i/>
              </w:rPr>
              <w:t>Gazette</w:t>
            </w:r>
            <w:r>
              <w:t xml:space="preserve"> 8 Jun 2012 p. 2385)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Workers’ Compensation and Rehabilitation Amendment Act (No. 2) 1999</w:t>
            </w:r>
            <w:r>
              <w:t> </w:t>
            </w:r>
            <w:r>
              <w:rPr>
                <w:vertAlign w:val="superscript"/>
              </w:rPr>
              <w:t>28</w:t>
            </w:r>
          </w:p>
        </w:tc>
        <w:tc>
          <w:tcPr>
            <w:tcW w:w="1134" w:type="dxa"/>
            <w:gridSpan w:val="2"/>
          </w:tcPr>
          <w:p>
            <w:pPr>
              <w:pStyle w:val="nTable"/>
              <w:spacing w:after="40"/>
            </w:pPr>
            <w:r>
              <w:t>33 of 1999</w:t>
            </w:r>
          </w:p>
        </w:tc>
        <w:tc>
          <w:tcPr>
            <w:tcW w:w="1134" w:type="dxa"/>
            <w:gridSpan w:val="2"/>
          </w:tcPr>
          <w:p>
            <w:pPr>
              <w:pStyle w:val="nTable"/>
              <w:spacing w:after="40"/>
            </w:pPr>
            <w:r>
              <w:t>5 Oct 1999</w:t>
            </w:r>
          </w:p>
        </w:tc>
        <w:tc>
          <w:tcPr>
            <w:tcW w:w="2554" w:type="dxa"/>
            <w:gridSpan w:val="2"/>
          </w:tcPr>
          <w:p>
            <w:pPr>
              <w:pStyle w:val="nTable"/>
              <w:spacing w:after="40"/>
            </w:pPr>
            <w:r>
              <w:t>5 Oct 1999 (see s. 2)</w:t>
            </w:r>
          </w:p>
        </w:tc>
      </w:tr>
      <w:tr>
        <w:trPr>
          <w:gridBefore w:val="1"/>
          <w:wBefore w:w="28" w:type="dxa"/>
          <w:cantSplit/>
        </w:trPr>
        <w:tc>
          <w:tcPr>
            <w:tcW w:w="2266" w:type="dxa"/>
            <w:gridSpan w:val="2"/>
          </w:tcPr>
          <w:p>
            <w:pPr>
              <w:pStyle w:val="nTable"/>
              <w:spacing w:after="40"/>
            </w:pPr>
            <w:r>
              <w:rPr>
                <w:i/>
              </w:rPr>
              <w:t>Workers’ Compensation and Rehabilitation Amendment Act 1999</w:t>
            </w:r>
            <w:r>
              <w:rPr>
                <w:vertAlign w:val="superscript"/>
              </w:rPr>
              <w:t> 29-31</w:t>
            </w:r>
          </w:p>
        </w:tc>
        <w:tc>
          <w:tcPr>
            <w:tcW w:w="1134" w:type="dxa"/>
            <w:gridSpan w:val="2"/>
          </w:tcPr>
          <w:p>
            <w:pPr>
              <w:pStyle w:val="nTable"/>
              <w:spacing w:after="40"/>
            </w:pPr>
            <w:r>
              <w:t>34 of 1999</w:t>
            </w:r>
            <w:r>
              <w:br/>
              <w:t>(as amended by No. 37 of 1999 s. 3) (as affected by No. 35 of 2004 Pt. 2)</w:t>
            </w:r>
          </w:p>
        </w:tc>
        <w:tc>
          <w:tcPr>
            <w:tcW w:w="1134" w:type="dxa"/>
            <w:gridSpan w:val="2"/>
          </w:tcPr>
          <w:p>
            <w:pPr>
              <w:pStyle w:val="nTable"/>
              <w:spacing w:after="40"/>
            </w:pPr>
            <w:r>
              <w:t>5 Oct 1999</w:t>
            </w:r>
          </w:p>
        </w:tc>
        <w:tc>
          <w:tcPr>
            <w:tcW w:w="2554" w:type="dxa"/>
            <w:gridSpan w:val="2"/>
          </w:tcPr>
          <w:p>
            <w:pPr>
              <w:pStyle w:val="nTable"/>
              <w:spacing w:after="40"/>
            </w:pPr>
            <w:r>
              <w:t>s. 5, 14, 15, 32, 48(a)(iv), 53(a), (c) and (d)(ii): 5 Oct 1999 (see s. 2(1));</w:t>
            </w:r>
            <w:r>
              <w:br/>
              <w:t xml:space="preserve">Act other than s. 5, 14, 15, 32, 48(a)(iv), 53(a), (c) and (d)(ii): 15 Oct 1999 (see s. 2(2) and </w:t>
            </w:r>
            <w:r>
              <w:rPr>
                <w:i/>
              </w:rPr>
              <w:t>Gazette</w:t>
            </w:r>
            <w:r>
              <w:t xml:space="preserve"> 15 Oct 1999 p. 4889 (correction in </w:t>
            </w:r>
            <w:r>
              <w:rPr>
                <w:i/>
              </w:rPr>
              <w:t>Gazette</w:t>
            </w:r>
            <w:r>
              <w:t xml:space="preserve"> 19 Nov 1999 p. 5797))</w:t>
            </w:r>
          </w:p>
        </w:tc>
      </w:tr>
      <w:tr>
        <w:trPr>
          <w:gridBefore w:val="1"/>
          <w:wBefore w:w="28" w:type="dxa"/>
          <w:cantSplit/>
        </w:trPr>
        <w:tc>
          <w:tcPr>
            <w:tcW w:w="2266" w:type="dxa"/>
            <w:gridSpan w:val="2"/>
          </w:tcPr>
          <w:p>
            <w:pPr>
              <w:pStyle w:val="nTable"/>
              <w:spacing w:after="40"/>
              <w:rPr>
                <w:i/>
              </w:rPr>
            </w:pPr>
            <w:r>
              <w:rPr>
                <w:i/>
              </w:rPr>
              <w:t>Workers’ Compensation and Rehabilitation Amendment Act 2000</w:t>
            </w:r>
          </w:p>
        </w:tc>
        <w:tc>
          <w:tcPr>
            <w:tcW w:w="1134" w:type="dxa"/>
            <w:gridSpan w:val="2"/>
          </w:tcPr>
          <w:p>
            <w:pPr>
              <w:pStyle w:val="nTable"/>
              <w:spacing w:after="40"/>
            </w:pPr>
            <w:r>
              <w:t>44 of 2000</w:t>
            </w:r>
          </w:p>
        </w:tc>
        <w:tc>
          <w:tcPr>
            <w:tcW w:w="1134" w:type="dxa"/>
            <w:gridSpan w:val="2"/>
          </w:tcPr>
          <w:p>
            <w:pPr>
              <w:pStyle w:val="nTable"/>
              <w:spacing w:after="40"/>
            </w:pPr>
            <w:r>
              <w:t>17 Nov 2000</w:t>
            </w:r>
          </w:p>
        </w:tc>
        <w:tc>
          <w:tcPr>
            <w:tcW w:w="2554" w:type="dxa"/>
            <w:gridSpan w:val="2"/>
          </w:tcPr>
          <w:p>
            <w:pPr>
              <w:pStyle w:val="nTable"/>
              <w:spacing w:after="40"/>
            </w:pPr>
            <w:r>
              <w:t>Act other than s. 1, 2 and 4(2)(b): 5 Oct 1999 (see s. 2(1));</w:t>
            </w:r>
            <w:r>
              <w:br/>
              <w:t>s. 1, 2 and 4(2)(b): 17 Nov 2000 (see s. 2(2))</w:t>
            </w:r>
          </w:p>
        </w:tc>
      </w:tr>
      <w:tr>
        <w:trPr>
          <w:gridBefore w:val="1"/>
          <w:wBefore w:w="28" w:type="dxa"/>
          <w:cantSplit/>
        </w:trPr>
        <w:tc>
          <w:tcPr>
            <w:tcW w:w="2266" w:type="dxa"/>
            <w:gridSpan w:val="2"/>
          </w:tcPr>
          <w:p>
            <w:pPr>
              <w:pStyle w:val="nTable"/>
              <w:spacing w:after="40"/>
              <w:rPr>
                <w:i/>
              </w:rPr>
            </w:pPr>
            <w:r>
              <w:rPr>
                <w:i/>
              </w:rPr>
              <w:t>Corporations (Consequential Amendments) Act 2001</w:t>
            </w:r>
            <w:r>
              <w:t xml:space="preserve"> Pt. 57</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4"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Acts Amendment (Equality of Status) Act 2003</w:t>
            </w:r>
            <w:r>
              <w:t xml:space="preserve"> Pt. 63</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4" w:type="dxa"/>
            <w:gridSpan w:val="2"/>
          </w:tcPr>
          <w:p>
            <w:pPr>
              <w:pStyle w:val="nTable"/>
              <w:spacing w:after="40"/>
            </w:pPr>
            <w:r>
              <w:t xml:space="preserve">1 Jul 2003 (see s. 2 and </w:t>
            </w:r>
            <w:r>
              <w:rPr>
                <w:i/>
              </w:rPr>
              <w:t xml:space="preserve">Gazette </w:t>
            </w:r>
            <w:r>
              <w:t>30 Jun 2003 p. 2579)</w:t>
            </w:r>
          </w:p>
        </w:tc>
      </w:tr>
      <w:tr>
        <w:trPr>
          <w:gridBefore w:val="1"/>
          <w:wBefore w:w="28" w:type="dxa"/>
          <w:cantSplit/>
        </w:trPr>
        <w:tc>
          <w:tcPr>
            <w:tcW w:w="2266" w:type="dxa"/>
            <w:gridSpan w:val="2"/>
          </w:tcPr>
          <w:p>
            <w:pPr>
              <w:pStyle w:val="nTable"/>
              <w:spacing w:after="40"/>
              <w:rPr>
                <w:i/>
              </w:rPr>
            </w:pPr>
            <w:r>
              <w:rPr>
                <w:i/>
              </w:rPr>
              <w:t>Racing and Gambling Legislation Amendment and Repeal Act 2003</w:t>
            </w:r>
            <w:r>
              <w:t xml:space="preserve"> Pt. 15</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4" w:type="dxa"/>
            <w:gridSpan w:val="2"/>
          </w:tcPr>
          <w:p>
            <w:pPr>
              <w:pStyle w:val="nTable"/>
              <w:spacing w:after="40"/>
            </w:pPr>
            <w:r>
              <w:t xml:space="preserve">1 Aug 2003 (see s. 2 and </w:t>
            </w:r>
            <w:r>
              <w:rPr>
                <w:i/>
              </w:rPr>
              <w:t>Gazette</w:t>
            </w:r>
            <w:r>
              <w:t xml:space="preserve"> 29 Jul 2003 p. 3259)</w:t>
            </w:r>
          </w:p>
        </w:tc>
      </w:tr>
      <w:tr>
        <w:trPr>
          <w:gridBefore w:val="1"/>
          <w:wBefore w:w="28" w:type="dxa"/>
          <w:cantSplit/>
        </w:trPr>
        <w:tc>
          <w:tcPr>
            <w:tcW w:w="2266" w:type="dxa"/>
            <w:gridSpan w:val="2"/>
          </w:tcPr>
          <w:p>
            <w:pPr>
              <w:pStyle w:val="nTable"/>
              <w:spacing w:after="40"/>
              <w:rPr>
                <w:vertAlign w:val="superscript"/>
              </w:rPr>
            </w:pPr>
            <w:r>
              <w:rPr>
                <w:i/>
              </w:rPr>
              <w:t>Acts Amendment and Repeal (Courts and Legal Practice) Act 2003</w:t>
            </w:r>
            <w:r>
              <w:t xml:space="preserve"> s. 72 and 96</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4" w:type="dxa"/>
            <w:gridSpan w:val="2"/>
          </w:tcPr>
          <w:p>
            <w:pPr>
              <w:pStyle w:val="nTable"/>
              <w:spacing w:after="40"/>
            </w:pPr>
            <w:r>
              <w:t xml:space="preserve">1 Jan 2004 (see s. 2 and </w:t>
            </w:r>
            <w:r>
              <w:rPr>
                <w:i/>
              </w:rPr>
              <w:t>Gazette</w:t>
            </w:r>
            <w:r>
              <w:t xml:space="preserve"> 30 Dec 2003 p. 5722)</w:t>
            </w:r>
          </w:p>
        </w:tc>
      </w:tr>
      <w:tr>
        <w:trPr>
          <w:gridBefore w:val="1"/>
          <w:wBefore w:w="28" w:type="dxa"/>
          <w:cantSplit/>
        </w:trPr>
        <w:tc>
          <w:tcPr>
            <w:tcW w:w="2266" w:type="dxa"/>
            <w:gridSpan w:val="2"/>
          </w:tcPr>
          <w:p>
            <w:pPr>
              <w:pStyle w:val="nTable"/>
              <w:spacing w:after="40"/>
            </w:pPr>
            <w:r>
              <w:rPr>
                <w:i/>
              </w:rPr>
              <w:t>Statutes (Repeals and Minor Amendments) Act 2003</w:t>
            </w:r>
            <w:r>
              <w:t xml:space="preserve"> s. 134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4" w:type="dxa"/>
            <w:gridSpan w:val="2"/>
          </w:tcPr>
          <w:p>
            <w:pPr>
              <w:pStyle w:val="nTable"/>
              <w:spacing w:after="40"/>
            </w:pPr>
            <w:r>
              <w:t>15 Dec 2003 (see s. 2)</w:t>
            </w:r>
          </w:p>
        </w:tc>
      </w:tr>
      <w:tr>
        <w:trPr>
          <w:gridBefore w:val="1"/>
          <w:wBefore w:w="28" w:type="dxa"/>
          <w:cantSplit/>
        </w:trPr>
        <w:tc>
          <w:tcPr>
            <w:tcW w:w="2266" w:type="dxa"/>
            <w:gridSpan w:val="2"/>
          </w:tcPr>
          <w:p>
            <w:pPr>
              <w:pStyle w:val="nTable"/>
              <w:spacing w:after="40"/>
            </w:pPr>
            <w:r>
              <w:rPr>
                <w:i/>
              </w:rPr>
              <w:t>Workers’ Compensation (Common Law Proceedings) Act 2004</w:t>
            </w:r>
            <w:r>
              <w:t xml:space="preserve"> </w:t>
            </w:r>
          </w:p>
        </w:tc>
        <w:tc>
          <w:tcPr>
            <w:tcW w:w="1134" w:type="dxa"/>
            <w:gridSpan w:val="2"/>
          </w:tcPr>
          <w:p>
            <w:pPr>
              <w:pStyle w:val="nTable"/>
              <w:spacing w:after="40"/>
            </w:pPr>
            <w:r>
              <w:t>35 of 2004</w:t>
            </w:r>
          </w:p>
        </w:tc>
        <w:tc>
          <w:tcPr>
            <w:tcW w:w="1134" w:type="dxa"/>
            <w:gridSpan w:val="2"/>
          </w:tcPr>
          <w:p>
            <w:pPr>
              <w:pStyle w:val="nTable"/>
              <w:spacing w:after="40"/>
            </w:pPr>
            <w:r>
              <w:t>25 Oct 2004</w:t>
            </w:r>
          </w:p>
        </w:tc>
        <w:tc>
          <w:tcPr>
            <w:tcW w:w="2554" w:type="dxa"/>
            <w:gridSpan w:val="2"/>
          </w:tcPr>
          <w:p>
            <w:pPr>
              <w:pStyle w:val="nTable"/>
              <w:spacing w:after="40"/>
            </w:pPr>
            <w:r>
              <w:t>s. 5(1) and (2): 5 Oct 1999 (see s. 2(2));</w:t>
            </w:r>
            <w:r>
              <w:br/>
              <w:t>Act other than s. 5(1) and (2): 25 Oct 2004 (see s. 2(1))</w:t>
            </w:r>
          </w:p>
        </w:tc>
      </w:tr>
      <w:tr>
        <w:trPr>
          <w:gridBefore w:val="1"/>
          <w:wBefore w:w="28" w:type="dxa"/>
          <w:cantSplit/>
        </w:trPr>
        <w:tc>
          <w:tcPr>
            <w:tcW w:w="2266" w:type="dxa"/>
            <w:gridSpan w:val="2"/>
          </w:tcPr>
          <w:p>
            <w:pPr>
              <w:pStyle w:val="nTable"/>
              <w:spacing w:after="40"/>
              <w:rPr>
                <w:vertAlign w:val="superscript"/>
              </w:rPr>
            </w:pPr>
            <w:r>
              <w:rPr>
                <w:i/>
              </w:rPr>
              <w:t>Workers’ Compensation and Rehabilitation Amendment (Cross Border) Act 2004</w:t>
            </w:r>
            <w:r>
              <w:rPr>
                <w:vertAlign w:val="superscript"/>
              </w:rPr>
              <w:t> 32</w:t>
            </w:r>
          </w:p>
        </w:tc>
        <w:tc>
          <w:tcPr>
            <w:tcW w:w="1134" w:type="dxa"/>
            <w:gridSpan w:val="2"/>
          </w:tcPr>
          <w:p>
            <w:pPr>
              <w:pStyle w:val="nTable"/>
              <w:spacing w:after="40"/>
            </w:pPr>
            <w:r>
              <w:t>36 of 2004 (as amended by this Act s. 16, 17(5) and 19)</w:t>
            </w:r>
          </w:p>
        </w:tc>
        <w:tc>
          <w:tcPr>
            <w:tcW w:w="1134" w:type="dxa"/>
            <w:gridSpan w:val="2"/>
          </w:tcPr>
          <w:p>
            <w:pPr>
              <w:pStyle w:val="nTable"/>
              <w:spacing w:after="40"/>
            </w:pPr>
            <w:r>
              <w:t>28 Oct 2004</w:t>
            </w:r>
          </w:p>
        </w:tc>
        <w:tc>
          <w:tcPr>
            <w:tcW w:w="2554" w:type="dxa"/>
            <w:gridSpan w:val="2"/>
          </w:tcPr>
          <w:p>
            <w:pPr>
              <w:pStyle w:val="nTable"/>
              <w:spacing w:after="4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rPr>
          <w:gridBefore w:val="1"/>
          <w:wBefore w:w="28" w:type="dxa"/>
        </w:trPr>
        <w:tc>
          <w:tcPr>
            <w:tcW w:w="2266" w:type="dxa"/>
            <w:gridSpan w:val="2"/>
          </w:tcPr>
          <w:p>
            <w:pPr>
              <w:pStyle w:val="nTable"/>
              <w:spacing w:after="40"/>
              <w:rPr>
                <w:i/>
              </w:rPr>
            </w:pPr>
            <w:r>
              <w:rPr>
                <w:i/>
                <w:snapToGrid w:val="0"/>
              </w:rPr>
              <w:t>Workers’ Compensation Reform Act 2004 </w:t>
            </w:r>
            <w:r>
              <w:rPr>
                <w:snapToGrid w:val="0"/>
                <w:vertAlign w:val="superscript"/>
              </w:rPr>
              <w:t xml:space="preserve"> 33, 34</w:t>
            </w:r>
          </w:p>
        </w:tc>
        <w:tc>
          <w:tcPr>
            <w:tcW w:w="1134" w:type="dxa"/>
            <w:gridSpan w:val="2"/>
          </w:tcPr>
          <w:p>
            <w:pPr>
              <w:pStyle w:val="nTable"/>
              <w:spacing w:after="40"/>
            </w:pPr>
            <w:r>
              <w:t>42 of 2004</w:t>
            </w:r>
            <w:r>
              <w:br/>
              <w:t>(as amended by No. 16 of 2005 s. 4</w:t>
            </w:r>
            <w:r>
              <w:noBreakHyphen/>
              <w:t>7)</w:t>
            </w:r>
          </w:p>
        </w:tc>
        <w:tc>
          <w:tcPr>
            <w:tcW w:w="1134" w:type="dxa"/>
            <w:gridSpan w:val="2"/>
          </w:tcPr>
          <w:p>
            <w:pPr>
              <w:pStyle w:val="nTable"/>
              <w:spacing w:after="40"/>
            </w:pPr>
            <w:r>
              <w:t>9 Nov 2004</w:t>
            </w:r>
          </w:p>
        </w:tc>
        <w:tc>
          <w:tcPr>
            <w:tcW w:w="2554" w:type="dxa"/>
            <w:gridSpan w:val="2"/>
          </w:tcPr>
          <w:p>
            <w:pPr>
              <w:pStyle w:val="nTable"/>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138, 140, 141(4)(a), (5)(a), (8)</w:t>
            </w:r>
            <w:r>
              <w:noBreakHyphen/>
              <w:t>(14), (15)(a), (c) and (d), and (21), 143(2), 150</w:t>
            </w:r>
            <w:r>
              <w:noBreakHyphen/>
              <w:t xml:space="preserve">153 and Pt. 4 (other than Div. 3): 4 Jan 2005 (see s. 2 and </w:t>
            </w:r>
            <w:r>
              <w:rPr>
                <w:i/>
              </w:rPr>
              <w:t>Gazette</w:t>
            </w:r>
            <w:r>
              <w:t xml:space="preserve"> 31 Dec 2004 p. 7131);</w:t>
            </w:r>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p>
        </w:tc>
      </w:tr>
      <w:tr>
        <w:trPr>
          <w:gridBefore w:val="1"/>
          <w:wBefore w:w="28" w:type="dxa"/>
          <w:cantSplit/>
        </w:trPr>
        <w:tc>
          <w:tcPr>
            <w:tcW w:w="2266" w:type="dxa"/>
            <w:gridSpan w:val="2"/>
          </w:tcPr>
          <w:p>
            <w:pPr>
              <w:pStyle w:val="nTable"/>
              <w:spacing w:before="0" w:after="40"/>
              <w:rPr>
                <w:i/>
                <w:snapToGrid w:val="0"/>
              </w:rPr>
            </w:pPr>
          </w:p>
        </w:tc>
        <w:tc>
          <w:tcPr>
            <w:tcW w:w="1134" w:type="dxa"/>
            <w:gridSpan w:val="2"/>
          </w:tcPr>
          <w:p>
            <w:pPr>
              <w:pStyle w:val="nTable"/>
              <w:spacing w:before="0" w:after="40"/>
              <w:rPr>
                <w:snapToGrid w:val="0"/>
              </w:rPr>
            </w:pPr>
          </w:p>
        </w:tc>
        <w:tc>
          <w:tcPr>
            <w:tcW w:w="1134" w:type="dxa"/>
            <w:gridSpan w:val="2"/>
          </w:tcPr>
          <w:p>
            <w:pPr>
              <w:pStyle w:val="nTable"/>
              <w:spacing w:before="0" w:after="40"/>
            </w:pPr>
          </w:p>
        </w:tc>
        <w:tc>
          <w:tcPr>
            <w:tcW w:w="2554" w:type="dxa"/>
            <w:gridSpan w:val="2"/>
          </w:tcPr>
          <w:p>
            <w:pPr>
              <w:pStyle w:val="nTable"/>
              <w:spacing w:before="0" w:after="40"/>
              <w:rPr>
                <w:snapToGrid w:val="0"/>
              </w:rPr>
            </w:pPr>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gridBefore w:val="1"/>
          <w:wBefore w:w="28" w:type="dxa"/>
          <w:cantSplit/>
        </w:trPr>
        <w:tc>
          <w:tcPr>
            <w:tcW w:w="2266" w:type="dxa"/>
            <w:gridSpan w:val="2"/>
          </w:tcPr>
          <w:p>
            <w:pPr>
              <w:pStyle w:val="nTable"/>
              <w:spacing w:after="40"/>
              <w:rPr>
                <w:i/>
                <w:snapToGrid w:val="0"/>
              </w:rPr>
            </w:pPr>
            <w:r>
              <w:rPr>
                <w:i/>
                <w:snapToGrid w:val="0"/>
              </w:rPr>
              <w:t>Acts Amendment (Court of Appeal) Act 2004</w:t>
            </w:r>
            <w:r>
              <w:rPr>
                <w:snapToGrid w:val="0"/>
              </w:rPr>
              <w:t xml:space="preserve"> s. 37 (Sch. 1 cl. 28)</w:t>
            </w:r>
            <w:r>
              <w:rPr>
                <w:snapToGrid w:val="0"/>
                <w:vertAlign w:val="superscript"/>
              </w:rPr>
              <w:t> 35</w:t>
            </w:r>
          </w:p>
        </w:tc>
        <w:tc>
          <w:tcPr>
            <w:tcW w:w="1134" w:type="dxa"/>
            <w:gridSpan w:val="2"/>
          </w:tcPr>
          <w:p>
            <w:pPr>
              <w:pStyle w:val="nTable"/>
              <w:spacing w:after="40"/>
            </w:pPr>
            <w:r>
              <w:rPr>
                <w:snapToGrid w:val="0"/>
              </w:rPr>
              <w:t>45 of 2004</w:t>
            </w:r>
            <w:r>
              <w:rPr>
                <w:snapToGrid w:val="0"/>
              </w:rPr>
              <w:br/>
              <w:t>(as amended by No. 16 of 2005 s. 31)</w:t>
            </w:r>
          </w:p>
        </w:tc>
        <w:tc>
          <w:tcPr>
            <w:tcW w:w="1134" w:type="dxa"/>
            <w:gridSpan w:val="2"/>
          </w:tcPr>
          <w:p>
            <w:pPr>
              <w:pStyle w:val="nTable"/>
              <w:spacing w:after="40"/>
            </w:pPr>
            <w:r>
              <w:t>9 Nov 2004</w:t>
            </w:r>
          </w:p>
        </w:tc>
        <w:tc>
          <w:tcPr>
            <w:tcW w:w="2554"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8" w:type="dxa"/>
          <w:cantSplit/>
        </w:trPr>
        <w:tc>
          <w:tcPr>
            <w:tcW w:w="2266" w:type="dxa"/>
            <w:gridSpan w:val="2"/>
          </w:tcPr>
          <w:p>
            <w:pPr>
              <w:pStyle w:val="nTable"/>
              <w:spacing w:after="40"/>
              <w:rPr>
                <w:i/>
                <w:snapToGrid w:val="0"/>
              </w:rPr>
            </w:pPr>
            <w:r>
              <w:rPr>
                <w:i/>
              </w:rPr>
              <w:t xml:space="preserve">Courts Legislation Amendment and Repeal Act 2004 </w:t>
            </w:r>
            <w:r>
              <w:t>Pt. 19</w:t>
            </w:r>
          </w:p>
        </w:tc>
        <w:tc>
          <w:tcPr>
            <w:tcW w:w="1134" w:type="dxa"/>
            <w:gridSpan w:val="2"/>
          </w:tcPr>
          <w:p>
            <w:pPr>
              <w:pStyle w:val="nTable"/>
              <w:spacing w:after="40"/>
              <w:rPr>
                <w:snapToGrid w:val="0"/>
              </w:rPr>
            </w:pPr>
            <w:r>
              <w:t>59 of 2004</w:t>
            </w:r>
          </w:p>
        </w:tc>
        <w:tc>
          <w:tcPr>
            <w:tcW w:w="1134" w:type="dxa"/>
            <w:gridSpan w:val="2"/>
          </w:tcPr>
          <w:p>
            <w:pPr>
              <w:pStyle w:val="nTable"/>
              <w:spacing w:after="40"/>
            </w:pPr>
            <w:r>
              <w:t>23 Nov 2004</w:t>
            </w:r>
          </w:p>
        </w:tc>
        <w:tc>
          <w:tcPr>
            <w:tcW w:w="2554" w:type="dxa"/>
            <w:gridSpan w:val="2"/>
          </w:tcPr>
          <w:p>
            <w:pPr>
              <w:pStyle w:val="nTable"/>
              <w:spacing w:after="40"/>
              <w:rPr>
                <w:snapToGrid w:val="0"/>
              </w:rPr>
            </w:pPr>
            <w:r>
              <w:t xml:space="preserve">1 May 2005 (see s. 2 and </w:t>
            </w:r>
            <w:r>
              <w:rPr>
                <w:i/>
              </w:rPr>
              <w:t>Gazette</w:t>
            </w:r>
            <w:r>
              <w:t xml:space="preserve"> 31 Dec 2004 p. 7128)</w:t>
            </w:r>
          </w:p>
        </w:tc>
      </w:tr>
      <w:tr>
        <w:trPr>
          <w:gridBefore w:val="1"/>
          <w:wBefore w:w="28" w:type="dxa"/>
          <w:cantSplit/>
        </w:trPr>
        <w:tc>
          <w:tcPr>
            <w:tcW w:w="2266" w:type="dxa"/>
            <w:gridSpan w:val="2"/>
          </w:tcPr>
          <w:p>
            <w:pPr>
              <w:pStyle w:val="nTable"/>
              <w:spacing w:after="40"/>
              <w:rPr>
                <w:i/>
                <w:vertAlign w:val="superscript"/>
              </w:rPr>
            </w:pPr>
            <w:r>
              <w:rPr>
                <w:i/>
                <w:snapToGrid w:val="0"/>
              </w:rPr>
              <w:t>Criminal Procedure and Appeals (Consequential and Other Provisions) Act 2004</w:t>
            </w:r>
            <w:r>
              <w:rPr>
                <w:snapToGrid w:val="0"/>
              </w:rPr>
              <w:t xml:space="preserve"> s. 78 and 80 (Sch. 2 cl. 156 and 157) </w:t>
            </w:r>
            <w:r>
              <w:rPr>
                <w:snapToGrid w:val="0"/>
                <w:vertAlign w:val="superscript"/>
              </w:rPr>
              <w:t>36</w:t>
            </w:r>
          </w:p>
        </w:tc>
        <w:tc>
          <w:tcPr>
            <w:tcW w:w="1134" w:type="dxa"/>
            <w:gridSpan w:val="2"/>
          </w:tcPr>
          <w:p>
            <w:pPr>
              <w:pStyle w:val="nTable"/>
              <w:spacing w:after="40"/>
            </w:pPr>
            <w:r>
              <w:t xml:space="preserve">84 of 2004 </w:t>
            </w:r>
            <w:r>
              <w:rPr>
                <w:snapToGrid w:val="0"/>
              </w:rPr>
              <w:t>(as amended by No. 2 of 2008 s. 78(10))</w:t>
            </w:r>
          </w:p>
        </w:tc>
        <w:tc>
          <w:tcPr>
            <w:tcW w:w="1134" w:type="dxa"/>
            <w:gridSpan w:val="2"/>
          </w:tcPr>
          <w:p>
            <w:pPr>
              <w:pStyle w:val="nTable"/>
              <w:spacing w:after="40"/>
            </w:pPr>
            <w:r>
              <w:t>16 Dec 2004</w:t>
            </w:r>
          </w:p>
        </w:tc>
        <w:tc>
          <w:tcPr>
            <w:tcW w:w="2554" w:type="dxa"/>
            <w:gridSpan w:val="2"/>
          </w:tcPr>
          <w:p>
            <w:pPr>
              <w:pStyle w:val="nTable"/>
              <w:spacing w:after="4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28" w:type="dxa"/>
          <w:cantSplit/>
        </w:trPr>
        <w:tc>
          <w:tcPr>
            <w:tcW w:w="7088" w:type="dxa"/>
            <w:gridSpan w:val="8"/>
          </w:tcPr>
          <w:p>
            <w:pPr>
              <w:pStyle w:val="nTable"/>
              <w:spacing w:after="4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gridBefore w:val="1"/>
          <w:wBefore w:w="28" w:type="dxa"/>
          <w:cantSplit/>
        </w:trPr>
        <w:tc>
          <w:tcPr>
            <w:tcW w:w="2266" w:type="dxa"/>
            <w:gridSpan w:val="2"/>
          </w:tcPr>
          <w:p>
            <w:pPr>
              <w:pStyle w:val="nTable"/>
              <w:spacing w:after="40"/>
              <w:rPr>
                <w:snapToGrid w:val="0"/>
                <w:vertAlign w:val="superscript"/>
              </w:rPr>
            </w:pPr>
            <w:r>
              <w:rPr>
                <w:i/>
                <w:snapToGrid w:val="0"/>
              </w:rPr>
              <w:t xml:space="preserve">Workers’ Compensation Legislation Amendment Act 2005 </w:t>
            </w:r>
            <w:r>
              <w:rPr>
                <w:snapToGrid w:val="0"/>
              </w:rPr>
              <w:t>Pt. 3, 4 and s. 32 </w:t>
            </w:r>
            <w:r>
              <w:rPr>
                <w:snapToGrid w:val="0"/>
                <w:vertAlign w:val="superscript"/>
              </w:rPr>
              <w:t>37, 38</w:t>
            </w:r>
          </w:p>
        </w:tc>
        <w:tc>
          <w:tcPr>
            <w:tcW w:w="1134" w:type="dxa"/>
            <w:gridSpan w:val="2"/>
          </w:tcPr>
          <w:p>
            <w:pPr>
              <w:pStyle w:val="nTable"/>
              <w:spacing w:after="40"/>
              <w:rPr>
                <w:snapToGrid w:val="0"/>
              </w:rPr>
            </w:pPr>
            <w:r>
              <w:rPr>
                <w:snapToGrid w:val="0"/>
              </w:rPr>
              <w:t>16 of 2005</w:t>
            </w:r>
          </w:p>
        </w:tc>
        <w:tc>
          <w:tcPr>
            <w:tcW w:w="1134" w:type="dxa"/>
            <w:gridSpan w:val="2"/>
          </w:tcPr>
          <w:p>
            <w:pPr>
              <w:pStyle w:val="nTable"/>
              <w:spacing w:after="40"/>
            </w:pPr>
            <w:r>
              <w:t>27 Sep 2005</w:t>
            </w:r>
          </w:p>
        </w:tc>
        <w:tc>
          <w:tcPr>
            <w:tcW w:w="2554" w:type="dxa"/>
            <w:gridSpan w:val="2"/>
          </w:tcPr>
          <w:p>
            <w:pPr>
              <w:pStyle w:val="nTable"/>
              <w:spacing w:after="40"/>
              <w:rPr>
                <w:snapToGrid w:val="0"/>
              </w:rPr>
            </w:pPr>
            <w:r>
              <w:t>s. 30(1) and (2): 1 Jul 2005 (see s. 2(2));</w:t>
            </w:r>
            <w:r>
              <w:br/>
              <w:t>s. 30(3): 27 Sep 2005 (see s. 2(1));</w:t>
            </w:r>
            <w:r>
              <w:br/>
              <w:t>Pt. 3 and s. 32: 14 Nov 2005 (see s. 2(3))</w:t>
            </w:r>
          </w:p>
        </w:tc>
      </w:tr>
      <w:tr>
        <w:trPr>
          <w:gridBefore w:val="1"/>
          <w:wBefore w:w="28" w:type="dxa"/>
        </w:trPr>
        <w:tc>
          <w:tcPr>
            <w:tcW w:w="2266"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Pt. 9</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4" w:type="dxa"/>
            <w:gridSpan w:val="2"/>
          </w:tcPr>
          <w:p>
            <w:pPr>
              <w:pStyle w:val="nTable"/>
              <w:spacing w:after="40"/>
              <w:rPr>
                <w:snapToGrid w:val="0"/>
              </w:rPr>
            </w:pPr>
            <w:r>
              <w:rPr>
                <w:snapToGrid w:val="0"/>
              </w:rPr>
              <w:t>15 Nov 2005 (see s. 2(2))</w:t>
            </w:r>
          </w:p>
        </w:tc>
      </w:tr>
      <w:tr>
        <w:trPr>
          <w:gridBefore w:val="1"/>
          <w:wBefore w:w="28" w:type="dxa"/>
          <w:cantSplit/>
        </w:trPr>
        <w:tc>
          <w:tcPr>
            <w:tcW w:w="2266" w:type="dxa"/>
            <w:gridSpan w:val="2"/>
          </w:tcPr>
          <w:p>
            <w:pPr>
              <w:pStyle w:val="nTable"/>
              <w:spacing w:after="40"/>
              <w:rPr>
                <w:i/>
                <w:snapToGrid w:val="0"/>
              </w:rPr>
            </w:pPr>
            <w:r>
              <w:rPr>
                <w:i/>
              </w:rPr>
              <w:t xml:space="preserve">Chiropractors Act 2005 </w:t>
            </w:r>
            <w:r>
              <w:t>Sch. 3 cl. 8</w:t>
            </w:r>
            <w:r>
              <w:rPr>
                <w:vertAlign w:val="superscript"/>
              </w:rPr>
              <w:t> 39</w:t>
            </w:r>
          </w:p>
        </w:tc>
        <w:tc>
          <w:tcPr>
            <w:tcW w:w="1134" w:type="dxa"/>
            <w:gridSpan w:val="2"/>
          </w:tcPr>
          <w:p>
            <w:pPr>
              <w:pStyle w:val="nTable"/>
              <w:spacing w:after="40"/>
              <w:rPr>
                <w:snapToGrid w:val="0"/>
              </w:rPr>
            </w:pPr>
            <w:r>
              <w:rPr>
                <w:snapToGrid w:val="0"/>
              </w:rPr>
              <w:t>31 of 2005</w:t>
            </w:r>
          </w:p>
        </w:tc>
        <w:tc>
          <w:tcPr>
            <w:tcW w:w="1134" w:type="dxa"/>
            <w:gridSpan w:val="2"/>
          </w:tcPr>
          <w:p>
            <w:pPr>
              <w:pStyle w:val="nTable"/>
              <w:spacing w:after="40"/>
            </w:pPr>
            <w:r>
              <w:t>12 Dec 2005</w:t>
            </w:r>
          </w:p>
        </w:tc>
        <w:tc>
          <w:tcPr>
            <w:tcW w:w="2554" w:type="dxa"/>
            <w:gridSpan w:val="2"/>
          </w:tcPr>
          <w:p>
            <w:pPr>
              <w:pStyle w:val="nTable"/>
              <w:spacing w:after="40"/>
              <w:rPr>
                <w:snapToGrid w:val="0"/>
              </w:rPr>
            </w:pPr>
            <w:r>
              <w:rPr>
                <w:snapToGrid w:val="0"/>
              </w:rPr>
              <w:t xml:space="preserve">1 Aug 2007 (see s. 2 and </w:t>
            </w:r>
            <w:r>
              <w:rPr>
                <w:i/>
                <w:iCs/>
                <w:snapToGrid w:val="0"/>
              </w:rPr>
              <w:t>Gazette</w:t>
            </w:r>
            <w:r>
              <w:rPr>
                <w:snapToGrid w:val="0"/>
              </w:rPr>
              <w:t xml:space="preserve"> 31 Jul 2007 p. 3789)</w:t>
            </w:r>
          </w:p>
        </w:tc>
      </w:tr>
      <w:tr>
        <w:trPr>
          <w:gridBefore w:val="1"/>
          <w:wBefore w:w="28" w:type="dxa"/>
          <w:cantSplit/>
        </w:trPr>
        <w:tc>
          <w:tcPr>
            <w:tcW w:w="7088" w:type="dxa"/>
            <w:gridSpan w:val="8"/>
          </w:tcPr>
          <w:p>
            <w:pPr>
              <w:pStyle w:val="nTable"/>
              <w:spacing w:after="4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r>
              <w:t>and the</w:t>
            </w:r>
            <w:r>
              <w:rPr>
                <w:i/>
              </w:rPr>
              <w:t xml:space="preserve"> Chiropractors Act 2005</w:t>
            </w:r>
            <w:r>
              <w:t>)</w:t>
            </w:r>
          </w:p>
        </w:tc>
      </w:tr>
      <w:tr>
        <w:trPr>
          <w:gridBefore w:val="1"/>
          <w:wBefore w:w="28" w:type="dxa"/>
        </w:trPr>
        <w:tc>
          <w:tcPr>
            <w:tcW w:w="2266" w:type="dxa"/>
            <w:gridSpan w:val="2"/>
          </w:tcPr>
          <w:p>
            <w:pPr>
              <w:pStyle w:val="nTable"/>
              <w:spacing w:after="40"/>
              <w:rPr>
                <w:snapToGrid w:val="0"/>
              </w:rPr>
            </w:pPr>
            <w:r>
              <w:rPr>
                <w:i/>
                <w:snapToGrid w:val="0"/>
              </w:rPr>
              <w:t xml:space="preserve">Financial Legislation Amendment and Repeal Act 2006 </w:t>
            </w:r>
            <w:r>
              <w:rPr>
                <w:snapToGrid w:val="0"/>
              </w:rPr>
              <w:t>s. 4 and Sch. 1 cl. 189</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4"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28" w:type="dxa"/>
        </w:trPr>
        <w:tc>
          <w:tcPr>
            <w:tcW w:w="2266" w:type="dxa"/>
            <w:gridSpan w:val="2"/>
          </w:tcPr>
          <w:p>
            <w:pPr>
              <w:pStyle w:val="nTable"/>
              <w:spacing w:after="40"/>
              <w:rPr>
                <w:i/>
                <w:snapToGrid w:val="0"/>
              </w:rPr>
            </w:pPr>
            <w:r>
              <w:rPr>
                <w:i/>
                <w:snapToGrid w:val="0"/>
              </w:rPr>
              <w:t>Criminal Law and Evidence Amendment Act 2008</w:t>
            </w:r>
            <w:r>
              <w:rPr>
                <w:iCs/>
                <w:snapToGrid w:val="0"/>
              </w:rPr>
              <w:t xml:space="preserve"> s. 73</w:t>
            </w:r>
          </w:p>
        </w:tc>
        <w:tc>
          <w:tcPr>
            <w:tcW w:w="1134" w:type="dxa"/>
            <w:gridSpan w:val="2"/>
          </w:tcPr>
          <w:p>
            <w:pPr>
              <w:pStyle w:val="nTable"/>
              <w:spacing w:after="40"/>
              <w:rPr>
                <w:snapToGrid w:val="0"/>
              </w:rPr>
            </w:pPr>
            <w:r>
              <w:t>2 of 2008</w:t>
            </w:r>
          </w:p>
        </w:tc>
        <w:tc>
          <w:tcPr>
            <w:tcW w:w="1134" w:type="dxa"/>
            <w:gridSpan w:val="2"/>
          </w:tcPr>
          <w:p>
            <w:pPr>
              <w:pStyle w:val="nTable"/>
              <w:spacing w:after="40"/>
            </w:pPr>
            <w:r>
              <w:t>12 Mar 2008</w:t>
            </w:r>
          </w:p>
        </w:tc>
        <w:tc>
          <w:tcPr>
            <w:tcW w:w="2554"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gridBefore w:val="1"/>
          <w:wBefore w:w="28" w:type="dxa"/>
          <w:cantSplit/>
        </w:trPr>
        <w:tc>
          <w:tcPr>
            <w:tcW w:w="2266" w:type="dxa"/>
            <w:gridSpan w:val="2"/>
          </w:tcPr>
          <w:p>
            <w:pPr>
              <w:pStyle w:val="nTable"/>
              <w:spacing w:after="40"/>
              <w:rPr>
                <w:iCs/>
                <w:vertAlign w:val="superscript"/>
              </w:rPr>
            </w:pPr>
            <w:r>
              <w:rPr>
                <w:i/>
              </w:rPr>
              <w:t>Duties Legislation Amendment Act 2008</w:t>
            </w:r>
            <w:r>
              <w:rPr>
                <w:iCs/>
              </w:rPr>
              <w:t xml:space="preserve"> Sch. 1 cl. 42</w:t>
            </w:r>
          </w:p>
        </w:tc>
        <w:tc>
          <w:tcPr>
            <w:tcW w:w="1134" w:type="dxa"/>
            <w:gridSpan w:val="2"/>
          </w:tcPr>
          <w:p>
            <w:pPr>
              <w:pStyle w:val="nTable"/>
              <w:spacing w:after="40"/>
            </w:pPr>
            <w:r>
              <w:t>12 of 2008</w:t>
            </w:r>
          </w:p>
        </w:tc>
        <w:tc>
          <w:tcPr>
            <w:tcW w:w="1134" w:type="dxa"/>
            <w:gridSpan w:val="2"/>
          </w:tcPr>
          <w:p>
            <w:pPr>
              <w:pStyle w:val="nTable"/>
              <w:spacing w:after="40"/>
            </w:pPr>
            <w:r>
              <w:t>14 Apr 2008</w:t>
            </w:r>
          </w:p>
        </w:tc>
        <w:tc>
          <w:tcPr>
            <w:tcW w:w="2554" w:type="dxa"/>
            <w:gridSpan w:val="2"/>
          </w:tcPr>
          <w:p>
            <w:pPr>
              <w:pStyle w:val="nTable"/>
              <w:spacing w:after="40"/>
            </w:pPr>
            <w:r>
              <w:t>1 Jul 2008 (see s. 2(d))</w:t>
            </w:r>
          </w:p>
        </w:tc>
      </w:tr>
      <w:tr>
        <w:trPr>
          <w:gridBefore w:val="1"/>
          <w:wBefore w:w="28" w:type="dxa"/>
        </w:trPr>
        <w:tc>
          <w:tcPr>
            <w:tcW w:w="2266" w:type="dxa"/>
            <w:gridSpan w:val="2"/>
          </w:tcPr>
          <w:p>
            <w:pPr>
              <w:pStyle w:val="nTable"/>
              <w:spacing w:after="40"/>
              <w:rPr>
                <w:i/>
                <w:snapToGrid w:val="0"/>
              </w:rPr>
            </w:pPr>
            <w:r>
              <w:rPr>
                <w:i/>
                <w:iCs/>
                <w:snapToGrid w:val="0"/>
              </w:rPr>
              <w:t>Legal Profession Act 2008</w:t>
            </w:r>
            <w:r>
              <w:rPr>
                <w:i/>
                <w:snapToGrid w:val="0"/>
              </w:rPr>
              <w:t xml:space="preserve"> </w:t>
            </w:r>
            <w:r>
              <w:rPr>
                <w:iCs/>
                <w:snapToGrid w:val="0"/>
              </w:rPr>
              <w:t>s. 713</w:t>
            </w:r>
          </w:p>
        </w:tc>
        <w:tc>
          <w:tcPr>
            <w:tcW w:w="1134" w:type="dxa"/>
            <w:gridSpan w:val="2"/>
          </w:tcPr>
          <w:p>
            <w:pPr>
              <w:pStyle w:val="nTable"/>
              <w:spacing w:after="40"/>
            </w:pPr>
            <w:r>
              <w:t>21 of 2008</w:t>
            </w:r>
          </w:p>
        </w:tc>
        <w:tc>
          <w:tcPr>
            <w:tcW w:w="1134" w:type="dxa"/>
            <w:gridSpan w:val="2"/>
          </w:tcPr>
          <w:p>
            <w:pPr>
              <w:pStyle w:val="nTable"/>
              <w:spacing w:after="40"/>
            </w:pPr>
            <w:r>
              <w:t>27 May 2008</w:t>
            </w:r>
          </w:p>
        </w:tc>
        <w:tc>
          <w:tcPr>
            <w:tcW w:w="2554"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8" w:type="dxa"/>
        </w:trPr>
        <w:tc>
          <w:tcPr>
            <w:tcW w:w="2266" w:type="dxa"/>
            <w:gridSpan w:val="2"/>
          </w:tcPr>
          <w:p>
            <w:pPr>
              <w:pStyle w:val="nTable"/>
              <w:spacing w:after="40"/>
              <w:rPr>
                <w:i/>
              </w:rPr>
            </w:pPr>
            <w:r>
              <w:rPr>
                <w:i/>
                <w:snapToGrid w:val="0"/>
              </w:rPr>
              <w:t>Medical Practitioners Act 2008</w:t>
            </w:r>
            <w:r>
              <w:t xml:space="preserve"> Sch. 3 cl. 54</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4"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Before w:val="1"/>
          <w:wBefore w:w="28" w:type="dxa"/>
          <w:cantSplit/>
        </w:trPr>
        <w:tc>
          <w:tcPr>
            <w:tcW w:w="7088" w:type="dxa"/>
            <w:gridSpan w:val="8"/>
          </w:tcPr>
          <w:p>
            <w:pPr>
              <w:pStyle w:val="nTable"/>
              <w:spacing w:after="40"/>
              <w:rPr>
                <w:snapToGrid w:val="0"/>
              </w:rPr>
            </w:pPr>
            <w:r>
              <w:rPr>
                <w:b/>
              </w:rPr>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ind w:right="113"/>
              <w:rPr>
                <w:iCs/>
              </w:rPr>
            </w:pPr>
            <w:r>
              <w:rPr>
                <w:i/>
              </w:rPr>
              <w:t>Statutes (Repeals and Miscellaneous Amendments) Act 2009</w:t>
            </w:r>
            <w:r>
              <w:rPr>
                <w:iCs/>
              </w:rPr>
              <w:t xml:space="preserve"> s. 139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4" w:type="dxa"/>
            <w:gridSpan w:val="2"/>
          </w:tcPr>
          <w:p>
            <w:pPr>
              <w:pStyle w:val="nTable"/>
              <w:spacing w:after="40"/>
            </w:pPr>
            <w:r>
              <w:t>22 May 2009 (see s. 2(b))</w:t>
            </w:r>
          </w:p>
        </w:tc>
      </w:tr>
      <w:tr>
        <w:trPr>
          <w:gridBefore w:val="1"/>
          <w:wBefore w:w="28" w:type="dxa"/>
          <w:cantSplit/>
        </w:trPr>
        <w:tc>
          <w:tcPr>
            <w:tcW w:w="2266" w:type="dxa"/>
            <w:gridSpan w:val="2"/>
          </w:tcPr>
          <w:p>
            <w:pPr>
              <w:pStyle w:val="nTable"/>
              <w:spacing w:after="40"/>
              <w:rPr>
                <w:iCs/>
                <w:snapToGrid w:val="0"/>
              </w:rPr>
            </w:pPr>
            <w:r>
              <w:rPr>
                <w:i/>
                <w:snapToGrid w:val="0"/>
              </w:rPr>
              <w:t>Acts Amendment (Bankruptcy) Act 2009</w:t>
            </w:r>
            <w:r>
              <w:rPr>
                <w:iCs/>
                <w:snapToGrid w:val="0"/>
              </w:rPr>
              <w:t xml:space="preserve"> s. 94</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4" w:type="dxa"/>
            <w:gridSpan w:val="2"/>
          </w:tcPr>
          <w:p>
            <w:pPr>
              <w:pStyle w:val="nTable"/>
              <w:spacing w:after="40"/>
            </w:pPr>
            <w:r>
              <w:t>17 Sep 2009 (see s. 2(b))</w:t>
            </w:r>
          </w:p>
        </w:tc>
      </w:tr>
      <w:tr>
        <w:trPr>
          <w:gridBefore w:val="1"/>
          <w:wBefore w:w="28" w:type="dxa"/>
          <w:cantSplit/>
        </w:trPr>
        <w:tc>
          <w:tcPr>
            <w:tcW w:w="2266" w:type="dxa"/>
            <w:gridSpan w:val="2"/>
          </w:tcPr>
          <w:p>
            <w:pPr>
              <w:pStyle w:val="nTable"/>
              <w:spacing w:after="40"/>
              <w:ind w:right="113"/>
              <w:rPr>
                <w:i/>
              </w:rPr>
            </w:pPr>
            <w:r>
              <w:rPr>
                <w:i/>
                <w:snapToGrid w:val="0"/>
              </w:rPr>
              <w:t>Police Amendment Act 2009</w:t>
            </w:r>
            <w:r>
              <w:rPr>
                <w:i/>
                <w:iCs/>
                <w:snapToGrid w:val="0"/>
              </w:rPr>
              <w:t xml:space="preserve"> </w:t>
            </w:r>
            <w:r>
              <w:rPr>
                <w:snapToGrid w:val="0"/>
              </w:rPr>
              <w:t>s. 25</w:t>
            </w:r>
          </w:p>
        </w:tc>
        <w:tc>
          <w:tcPr>
            <w:tcW w:w="1134" w:type="dxa"/>
            <w:gridSpan w:val="2"/>
          </w:tcPr>
          <w:p>
            <w:pPr>
              <w:pStyle w:val="nTable"/>
              <w:spacing w:after="40"/>
            </w:pPr>
            <w:r>
              <w:rPr>
                <w:snapToGrid w:val="0"/>
              </w:rPr>
              <w:t>42 of 2009</w:t>
            </w:r>
          </w:p>
        </w:tc>
        <w:tc>
          <w:tcPr>
            <w:tcW w:w="1134" w:type="dxa"/>
            <w:gridSpan w:val="2"/>
          </w:tcPr>
          <w:p>
            <w:pPr>
              <w:pStyle w:val="nTable"/>
              <w:spacing w:after="40"/>
            </w:pPr>
            <w:r>
              <w:rPr>
                <w:snapToGrid w:val="0"/>
              </w:rPr>
              <w:t>3 Dec 2009</w:t>
            </w:r>
          </w:p>
        </w:tc>
        <w:tc>
          <w:tcPr>
            <w:tcW w:w="2554" w:type="dxa"/>
            <w:gridSpan w:val="2"/>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gridBefore w:val="1"/>
          <w:wBefore w:w="28" w:type="dxa"/>
          <w:cantSplit/>
        </w:trPr>
        <w:tc>
          <w:tcPr>
            <w:tcW w:w="2266"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4" w:type="dxa"/>
            <w:gridSpan w:val="2"/>
          </w:tcPr>
          <w:p>
            <w:pPr>
              <w:pStyle w:val="nTable"/>
              <w:spacing w:after="40"/>
            </w:pPr>
            <w:r>
              <w:t>4 Dec 2009 (see s. 2(b))</w:t>
            </w:r>
          </w:p>
        </w:tc>
      </w:tr>
      <w:tr>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 42(3) and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4"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6"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50</w:t>
            </w:r>
          </w:p>
        </w:tc>
        <w:tc>
          <w:tcPr>
            <w:tcW w:w="1134" w:type="dxa"/>
            <w:gridSpan w:val="2"/>
          </w:tcPr>
          <w:p>
            <w:pPr>
              <w:pStyle w:val="nTable"/>
              <w:spacing w:after="40"/>
            </w:pPr>
            <w:r>
              <w:rPr>
                <w:snapToGrid w:val="0"/>
              </w:rPr>
              <w:t>35 of 2010</w:t>
            </w:r>
          </w:p>
        </w:tc>
        <w:tc>
          <w:tcPr>
            <w:tcW w:w="1134" w:type="dxa"/>
            <w:gridSpan w:val="2"/>
          </w:tcPr>
          <w:p>
            <w:pPr>
              <w:pStyle w:val="nTable"/>
              <w:spacing w:after="40"/>
              <w:rPr>
                <w:snapToGrid w:val="0"/>
              </w:rPr>
            </w:pPr>
            <w:r>
              <w:rPr>
                <w:snapToGrid w:val="0"/>
              </w:rPr>
              <w:t>30 Aug 2010</w:t>
            </w:r>
          </w:p>
        </w:tc>
        <w:tc>
          <w:tcPr>
            <w:tcW w:w="2554"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wBefore w:w="28" w:type="dxa"/>
          <w:cantSplit/>
        </w:trPr>
        <w:tc>
          <w:tcPr>
            <w:tcW w:w="2266"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4"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2266" w:type="dxa"/>
            <w:gridSpan w:val="2"/>
          </w:tcPr>
          <w:p>
            <w:pPr>
              <w:pStyle w:val="nTable"/>
              <w:spacing w:after="4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gridSpan w:val="2"/>
          </w:tcPr>
          <w:p>
            <w:pPr>
              <w:pStyle w:val="nTable"/>
              <w:spacing w:after="40"/>
              <w:rPr>
                <w:snapToGrid w:val="0"/>
              </w:rPr>
            </w:pPr>
            <w:r>
              <w:rPr>
                <w:snapToGrid w:val="0"/>
              </w:rPr>
              <w:t>42 of 2010</w:t>
            </w:r>
          </w:p>
        </w:tc>
        <w:tc>
          <w:tcPr>
            <w:tcW w:w="1134" w:type="dxa"/>
            <w:gridSpan w:val="2"/>
          </w:tcPr>
          <w:p>
            <w:pPr>
              <w:pStyle w:val="nTable"/>
              <w:spacing w:after="40"/>
              <w:rPr>
                <w:snapToGrid w:val="0"/>
              </w:rPr>
            </w:pPr>
            <w:r>
              <w:rPr>
                <w:snapToGrid w:val="0"/>
              </w:rPr>
              <w:t>28 Oct 2010</w:t>
            </w:r>
          </w:p>
        </w:tc>
        <w:tc>
          <w:tcPr>
            <w:tcW w:w="2554" w:type="dxa"/>
            <w:gridSpan w:val="2"/>
          </w:tcPr>
          <w:p>
            <w:pPr>
              <w:pStyle w:val="nTable"/>
              <w:spacing w:after="40"/>
              <w:rPr>
                <w:snapToGrid w:val="0"/>
              </w:rPr>
            </w:pPr>
            <w:r>
              <w:rPr>
                <w:snapToGrid w:val="0"/>
              </w:rPr>
              <w:t xml:space="preserve">25 May 2011 (see s. 2(b) and </w:t>
            </w:r>
            <w:r>
              <w:rPr>
                <w:i/>
                <w:snapToGrid w:val="0"/>
              </w:rPr>
              <w:t>Gazette</w:t>
            </w:r>
            <w:r>
              <w:rPr>
                <w:snapToGrid w:val="0"/>
              </w:rPr>
              <w:t xml:space="preserve"> 24 May 2011 p. 1892)</w:t>
            </w:r>
          </w:p>
        </w:tc>
      </w:tr>
      <w:tr>
        <w:trPr>
          <w:gridBefore w:val="1"/>
          <w:wBefore w:w="28" w:type="dxa"/>
          <w:cantSplit/>
        </w:trPr>
        <w:tc>
          <w:tcPr>
            <w:tcW w:w="7088" w:type="dxa"/>
            <w:gridSpan w:val="8"/>
          </w:tcPr>
          <w:p>
            <w:pPr>
              <w:pStyle w:val="nTable"/>
              <w:spacing w:after="4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and the </w:t>
            </w:r>
            <w:r>
              <w:rPr>
                <w:i/>
                <w:iCs/>
                <w:snapToGrid w:val="0"/>
              </w:rPr>
              <w:t>Petroleum and Energy Legislation Amendment Act 2010</w:t>
            </w:r>
            <w:r>
              <w:t>)</w:t>
            </w:r>
          </w:p>
        </w:tc>
      </w:tr>
      <w:tr>
        <w:trPr>
          <w:gridBefore w:val="1"/>
          <w:wBefore w:w="28" w:type="dxa"/>
          <w:cantSplit/>
        </w:trPr>
        <w:tc>
          <w:tcPr>
            <w:tcW w:w="2266" w:type="dxa"/>
            <w:gridSpan w:val="2"/>
          </w:tcPr>
          <w:p>
            <w:pPr>
              <w:pStyle w:val="nTable"/>
              <w:spacing w:after="40"/>
              <w:ind w:right="113"/>
              <w:rPr>
                <w:iCs/>
                <w:snapToGrid w:val="0"/>
              </w:rPr>
            </w:pPr>
            <w:r>
              <w:rPr>
                <w:i/>
                <w:snapToGrid w:val="0"/>
              </w:rPr>
              <w:t>Workers’ Compensation and Injury Management Amendment Act 2011</w:t>
            </w:r>
          </w:p>
        </w:tc>
        <w:tc>
          <w:tcPr>
            <w:tcW w:w="1134" w:type="dxa"/>
            <w:gridSpan w:val="2"/>
          </w:tcPr>
          <w:p>
            <w:pPr>
              <w:pStyle w:val="nTable"/>
              <w:spacing w:after="40"/>
              <w:rPr>
                <w:snapToGrid w:val="0"/>
              </w:rPr>
            </w:pPr>
            <w:r>
              <w:t>31 of 2011</w:t>
            </w:r>
          </w:p>
        </w:tc>
        <w:tc>
          <w:tcPr>
            <w:tcW w:w="1134" w:type="dxa"/>
            <w:gridSpan w:val="2"/>
          </w:tcPr>
          <w:p>
            <w:pPr>
              <w:pStyle w:val="nTable"/>
              <w:spacing w:after="40"/>
              <w:rPr>
                <w:snapToGrid w:val="0"/>
              </w:rPr>
            </w:pPr>
            <w:r>
              <w:t>31 Aug 2011</w:t>
            </w:r>
          </w:p>
        </w:tc>
        <w:tc>
          <w:tcPr>
            <w:tcW w:w="2554" w:type="dxa"/>
            <w:gridSpan w:val="2"/>
          </w:tcPr>
          <w:p>
            <w:pPr>
              <w:pStyle w:val="nTable"/>
              <w:spacing w:after="4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7 and 27</w:t>
            </w:r>
          </w:p>
        </w:tc>
        <w:tc>
          <w:tcPr>
            <w:tcW w:w="1134" w:type="dxa"/>
            <w:gridSpan w:val="2"/>
            <w:shd w:val="clear" w:color="auto" w:fill="auto"/>
          </w:tcPr>
          <w:p>
            <w:pPr>
              <w:pStyle w:val="nTable"/>
              <w:spacing w:after="40"/>
            </w:pPr>
            <w:r>
              <w:rPr>
                <w:snapToGrid w:val="0"/>
              </w:rPr>
              <w:t>47 of 2011</w:t>
            </w:r>
          </w:p>
        </w:tc>
        <w:tc>
          <w:tcPr>
            <w:tcW w:w="1134" w:type="dxa"/>
            <w:gridSpan w:val="2"/>
            <w:shd w:val="clear" w:color="auto" w:fill="auto"/>
          </w:tcPr>
          <w:p>
            <w:pPr>
              <w:pStyle w:val="nTable"/>
              <w:spacing w:after="40"/>
            </w:pPr>
            <w:r>
              <w:rPr>
                <w:snapToGrid w:val="0"/>
              </w:rPr>
              <w:t>25 Oct 2011</w:t>
            </w:r>
          </w:p>
        </w:tc>
        <w:tc>
          <w:tcPr>
            <w:tcW w:w="2554" w:type="dxa"/>
            <w:gridSpan w:val="2"/>
            <w:shd w:val="clear" w:color="auto" w:fill="auto"/>
          </w:tcPr>
          <w:p>
            <w:pPr>
              <w:pStyle w:val="nTable"/>
              <w:spacing w:after="40"/>
              <w:rPr>
                <w:snapToGrid w:val="0"/>
              </w:rPr>
            </w:pPr>
            <w:r>
              <w:rPr>
                <w:snapToGrid w:val="0"/>
              </w:rPr>
              <w:t>26 Oct 2011 (see s. 2(b))</w:t>
            </w:r>
          </w:p>
        </w:tc>
      </w:tr>
      <w:tr>
        <w:trPr>
          <w:gridBefore w:val="1"/>
          <w:wBefore w:w="28" w:type="dxa"/>
          <w:cantSplit/>
        </w:trPr>
        <w:tc>
          <w:tcPr>
            <w:tcW w:w="7088" w:type="dxa"/>
            <w:gridSpan w:val="8"/>
            <w:shd w:val="clear" w:color="auto" w:fill="auto"/>
          </w:tcPr>
          <w:p>
            <w:pPr>
              <w:pStyle w:val="nTable"/>
              <w:spacing w:after="4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2012</w:t>
            </w:r>
            <w:r>
              <w:rPr>
                <w:snapToGrid w:val="0"/>
              </w:rPr>
              <w:t> </w:t>
            </w:r>
            <w:r>
              <w:rPr>
                <w:snapToGrid w:val="0"/>
                <w:vertAlign w:val="superscript"/>
              </w:rPr>
              <w:t>40</w:t>
            </w:r>
          </w:p>
        </w:tc>
        <w:tc>
          <w:tcPr>
            <w:tcW w:w="1134" w:type="dxa"/>
            <w:gridSpan w:val="2"/>
            <w:shd w:val="clear" w:color="auto" w:fill="auto"/>
          </w:tcPr>
          <w:p>
            <w:pPr>
              <w:pStyle w:val="nTable"/>
              <w:keepNext/>
              <w:spacing w:after="40"/>
            </w:pPr>
            <w:r>
              <w:t>12 of 2012</w:t>
            </w:r>
          </w:p>
        </w:tc>
        <w:tc>
          <w:tcPr>
            <w:tcW w:w="1134" w:type="dxa"/>
            <w:gridSpan w:val="2"/>
            <w:shd w:val="clear" w:color="auto" w:fill="auto"/>
          </w:tcPr>
          <w:p>
            <w:pPr>
              <w:pStyle w:val="nTable"/>
              <w:keepNext/>
              <w:spacing w:after="40"/>
            </w:pPr>
            <w:r>
              <w:t>3 Jul 2012</w:t>
            </w:r>
          </w:p>
        </w:tc>
        <w:tc>
          <w:tcPr>
            <w:tcW w:w="2554" w:type="dxa"/>
            <w:gridSpan w:val="2"/>
            <w:shd w:val="clear" w:color="auto" w:fill="auto"/>
          </w:tcPr>
          <w:p>
            <w:pPr>
              <w:pStyle w:val="nTable"/>
              <w:keepNext/>
              <w:spacing w:after="40"/>
            </w:pPr>
            <w:r>
              <w:rPr>
                <w:snapToGrid w:val="0"/>
              </w:rPr>
              <w:t>s. 1 and 2: 3 Jul 2012 (see s. 2(a));</w:t>
            </w:r>
            <w:r>
              <w:rPr>
                <w:snapToGrid w:val="0"/>
              </w:rPr>
              <w:br/>
              <w:t xml:space="preserve">Act other than s. 1 and 2: 1 Aug 2012 (see s. 2(b) and </w:t>
            </w:r>
            <w:r>
              <w:rPr>
                <w:i/>
                <w:snapToGrid w:val="0"/>
              </w:rPr>
              <w:t>Gazette</w:t>
            </w:r>
            <w:r>
              <w:rPr>
                <w:snapToGrid w:val="0"/>
              </w:rPr>
              <w:t xml:space="preserve"> </w:t>
            </w:r>
            <w:r>
              <w:t>27 Jul 2012 p. 3663)</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(Jockeys) Act 2012</w:t>
            </w:r>
          </w:p>
        </w:tc>
        <w:tc>
          <w:tcPr>
            <w:tcW w:w="1134" w:type="dxa"/>
            <w:gridSpan w:val="2"/>
            <w:shd w:val="clear" w:color="auto" w:fill="auto"/>
          </w:tcPr>
          <w:p>
            <w:pPr>
              <w:pStyle w:val="nTable"/>
              <w:keepNext/>
              <w:spacing w:after="40"/>
            </w:pPr>
            <w:r>
              <w:t>45 of 2012</w:t>
            </w:r>
          </w:p>
        </w:tc>
        <w:tc>
          <w:tcPr>
            <w:tcW w:w="1134" w:type="dxa"/>
            <w:gridSpan w:val="2"/>
            <w:shd w:val="clear" w:color="auto" w:fill="auto"/>
          </w:tcPr>
          <w:p>
            <w:pPr>
              <w:pStyle w:val="nTable"/>
              <w:keepNext/>
              <w:spacing w:after="40"/>
            </w:pPr>
            <w:r>
              <w:t>20 Nov 2012</w:t>
            </w:r>
          </w:p>
        </w:tc>
        <w:tc>
          <w:tcPr>
            <w:tcW w:w="2554" w:type="dxa"/>
            <w:gridSpan w:val="2"/>
            <w:shd w:val="clear" w:color="auto" w:fill="auto"/>
          </w:tcPr>
          <w:p>
            <w:pPr>
              <w:pStyle w:val="nTable"/>
              <w:keepNext/>
              <w:spacing w:after="40"/>
              <w:rPr>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2013</w:t>
            </w:r>
          </w:p>
        </w:tc>
        <w:tc>
          <w:tcPr>
            <w:tcW w:w="1134" w:type="dxa"/>
            <w:gridSpan w:val="2"/>
            <w:shd w:val="clear" w:color="auto" w:fill="auto"/>
          </w:tcPr>
          <w:p>
            <w:pPr>
              <w:pStyle w:val="nTable"/>
              <w:keepNext/>
              <w:spacing w:after="40"/>
            </w:pPr>
            <w:r>
              <w:t>21 of 2013</w:t>
            </w:r>
          </w:p>
        </w:tc>
        <w:tc>
          <w:tcPr>
            <w:tcW w:w="1134" w:type="dxa"/>
            <w:gridSpan w:val="2"/>
            <w:shd w:val="clear" w:color="auto" w:fill="auto"/>
          </w:tcPr>
          <w:p>
            <w:pPr>
              <w:pStyle w:val="nTable"/>
              <w:keepNext/>
              <w:spacing w:after="40"/>
            </w:pPr>
            <w:r>
              <w:t>12 Nov 2013</w:t>
            </w:r>
          </w:p>
        </w:tc>
        <w:tc>
          <w:tcPr>
            <w:tcW w:w="2554" w:type="dxa"/>
            <w:gridSpan w:val="2"/>
            <w:shd w:val="clear" w:color="auto" w:fill="auto"/>
          </w:tcPr>
          <w:p>
            <w:pPr>
              <w:pStyle w:val="nTable"/>
              <w:keepNext/>
              <w:spacing w:after="40"/>
              <w:rPr>
                <w:snapToGrid w:val="0"/>
              </w:rPr>
            </w:pPr>
            <w:r>
              <w:rPr>
                <w:snapToGrid w:val="0"/>
              </w:rPr>
              <w:t>s. 1 and 2: 12 Nov 2013 (see s. 2(a));</w:t>
            </w:r>
            <w:r>
              <w:rPr>
                <w:snapToGrid w:val="0"/>
              </w:rPr>
              <w:br/>
              <w:t xml:space="preserve">Act other than s. 1 and 2: </w:t>
            </w:r>
            <w:r>
              <w:t>13 Nov 2013 (see s. 2(b))</w:t>
            </w:r>
          </w:p>
        </w:tc>
      </w:tr>
      <w:tr>
        <w:trPr>
          <w:gridAfter w:val="1"/>
          <w:wAfter w:w="27" w:type="dxa"/>
          <w:cantSplit/>
        </w:trPr>
        <w:tc>
          <w:tcPr>
            <w:tcW w:w="2268"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191</w:t>
            </w:r>
          </w:p>
        </w:tc>
        <w:tc>
          <w:tcPr>
            <w:tcW w:w="1134" w:type="dxa"/>
            <w:gridSpan w:val="2"/>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rPr>
          <w:gridBefore w:val="1"/>
          <w:wBefore w:w="28" w:type="dxa"/>
          <w:cantSplit/>
        </w:trPr>
        <w:tc>
          <w:tcPr>
            <w:tcW w:w="7088" w:type="dxa"/>
            <w:gridSpan w:val="8"/>
            <w:shd w:val="clear" w:color="auto" w:fill="auto"/>
          </w:tcPr>
          <w:p>
            <w:pPr>
              <w:pStyle w:val="nTable"/>
              <w:keepNext/>
              <w:spacing w:after="40"/>
              <w:rPr>
                <w:snapToGrid w:val="0"/>
              </w:rPr>
            </w:pPr>
            <w:r>
              <w:rPr>
                <w:b/>
              </w:rPr>
              <w:t xml:space="preserve">Reprint 11: The </w:t>
            </w:r>
            <w:r>
              <w:rPr>
                <w:b/>
                <w:i/>
              </w:rPr>
              <w:t>Workers’ Compensation and Injury Management Act 1981</w:t>
            </w:r>
            <w:r>
              <w:rPr>
                <w:b/>
              </w:rPr>
              <w:t xml:space="preserve"> as at 13 Feb 2015</w:t>
            </w:r>
            <w:r>
              <w:t xml:space="preserve"> (includes amendments listed above except those in the </w:t>
            </w:r>
            <w:r>
              <w:rPr>
                <w:i/>
                <w:noProof/>
                <w:snapToGrid w:val="0"/>
              </w:rPr>
              <w:t>Medicines and Poisons Act 2014</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306</w:t>
            </w:r>
          </w:p>
        </w:tc>
        <w:tc>
          <w:tcPr>
            <w:tcW w:w="1134" w:type="dxa"/>
            <w:gridSpan w:val="2"/>
            <w:shd w:val="clear" w:color="auto" w:fill="auto"/>
          </w:tcPr>
          <w:p>
            <w:pPr>
              <w:pStyle w:val="nTable"/>
              <w:keepNext/>
              <w:spacing w:after="40"/>
            </w:pPr>
            <w:r>
              <w:t>11 of 2016</w:t>
            </w:r>
          </w:p>
        </w:tc>
        <w:tc>
          <w:tcPr>
            <w:tcW w:w="1134" w:type="dxa"/>
            <w:gridSpan w:val="2"/>
            <w:shd w:val="clear" w:color="auto" w:fill="auto"/>
          </w:tcPr>
          <w:p>
            <w:pPr>
              <w:pStyle w:val="nTable"/>
              <w:keepNext/>
              <w:spacing w:after="40"/>
            </w:pPr>
            <w:r>
              <w:t>26 May 2016</w:t>
            </w:r>
          </w:p>
        </w:tc>
        <w:tc>
          <w:tcPr>
            <w:tcW w:w="2554" w:type="dxa"/>
            <w:gridSpan w:val="2"/>
            <w:shd w:val="clear" w:color="auto" w:fill="auto"/>
          </w:tcPr>
          <w:p>
            <w:pPr>
              <w:pStyle w:val="nTable"/>
              <w:keepNext/>
              <w:spacing w:after="40"/>
              <w:rPr>
                <w:snapToGrid w:val="0"/>
              </w:rPr>
            </w:pPr>
            <w:r>
              <w:rPr>
                <w:snapToGrid w:val="0"/>
              </w:rPr>
              <w:t xml:space="preserve">1 Jul 2016 (see s. 2(b) and </w:t>
            </w:r>
            <w:r>
              <w:rPr>
                <w:i/>
                <w:snapToGrid w:val="0"/>
              </w:rPr>
              <w:t>Gazette</w:t>
            </w:r>
            <w:r>
              <w:rPr>
                <w:snapToGrid w:val="0"/>
              </w:rPr>
              <w:t xml:space="preserve"> 24 Jun 2016 p. 2291)</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 xml:space="preserve">Firefighters and Emergency Volunteers Legislation Amendment (Compensation) Act 2016 </w:t>
            </w:r>
            <w:r>
              <w:rPr>
                <w:snapToGrid w:val="0"/>
              </w:rPr>
              <w:t>Pt. 4</w:t>
            </w:r>
            <w:r>
              <w:rPr>
                <w:i/>
                <w:snapToGrid w:val="0"/>
              </w:rPr>
              <w:t> </w:t>
            </w:r>
          </w:p>
        </w:tc>
        <w:tc>
          <w:tcPr>
            <w:tcW w:w="1134" w:type="dxa"/>
            <w:gridSpan w:val="2"/>
            <w:shd w:val="clear" w:color="auto" w:fill="auto"/>
          </w:tcPr>
          <w:p>
            <w:pPr>
              <w:pStyle w:val="nTable"/>
              <w:keepNext/>
              <w:spacing w:after="40"/>
            </w:pPr>
            <w:r>
              <w:t>28 of 2016</w:t>
            </w:r>
          </w:p>
        </w:tc>
        <w:tc>
          <w:tcPr>
            <w:tcW w:w="1134" w:type="dxa"/>
            <w:gridSpan w:val="2"/>
            <w:shd w:val="clear" w:color="auto" w:fill="auto"/>
          </w:tcPr>
          <w:p>
            <w:pPr>
              <w:pStyle w:val="nTable"/>
              <w:keepNext/>
              <w:spacing w:after="40"/>
            </w:pPr>
            <w:r>
              <w:t>21 Sep 2016</w:t>
            </w:r>
          </w:p>
        </w:tc>
        <w:tc>
          <w:tcPr>
            <w:tcW w:w="2554" w:type="dxa"/>
            <w:gridSpan w:val="2"/>
            <w:shd w:val="clear" w:color="auto" w:fill="auto"/>
          </w:tcPr>
          <w:p>
            <w:pPr>
              <w:pStyle w:val="nTable"/>
              <w:keepNext/>
              <w:spacing w:after="40"/>
              <w:rPr>
                <w:snapToGrid w:val="0"/>
              </w:rPr>
            </w:pPr>
            <w:r>
              <w:rPr>
                <w:snapToGrid w:val="0"/>
              </w:rPr>
              <w:t xml:space="preserve">21 Jan 2017 (see s. 2(b) and </w:t>
            </w:r>
            <w:r>
              <w:rPr>
                <w:i/>
                <w:snapToGrid w:val="0"/>
              </w:rPr>
              <w:t xml:space="preserve">Gazette </w:t>
            </w:r>
            <w:r>
              <w:rPr>
                <w:snapToGrid w:val="0"/>
              </w:rPr>
              <w:t>20 Jan 2017 p. 647)</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Act 2016</w:t>
            </w:r>
            <w:r>
              <w:rPr>
                <w:snapToGrid w:val="0"/>
              </w:rPr>
              <w:t xml:space="preserve"> Pt. 2 Div. 4</w:t>
            </w:r>
          </w:p>
        </w:tc>
        <w:tc>
          <w:tcPr>
            <w:tcW w:w="1134" w:type="dxa"/>
            <w:gridSpan w:val="2"/>
            <w:shd w:val="clear" w:color="auto" w:fill="auto"/>
          </w:tcPr>
          <w:p>
            <w:pPr>
              <w:pStyle w:val="nTable"/>
              <w:keepNext/>
              <w:spacing w:after="40"/>
            </w:pPr>
            <w:r>
              <w:t>50 of 2016</w:t>
            </w:r>
          </w:p>
        </w:tc>
        <w:tc>
          <w:tcPr>
            <w:tcW w:w="1134" w:type="dxa"/>
            <w:gridSpan w:val="2"/>
            <w:shd w:val="clear" w:color="auto" w:fill="auto"/>
          </w:tcPr>
          <w:p>
            <w:pPr>
              <w:pStyle w:val="nTable"/>
              <w:keepNext/>
              <w:spacing w:after="40"/>
            </w:pPr>
            <w:r>
              <w:t>28 Nov 2016</w:t>
            </w:r>
          </w:p>
        </w:tc>
        <w:tc>
          <w:tcPr>
            <w:tcW w:w="2554" w:type="dxa"/>
            <w:gridSpan w:val="2"/>
            <w:shd w:val="clear" w:color="auto" w:fill="auto"/>
          </w:tcPr>
          <w:p>
            <w:pPr>
              <w:pStyle w:val="nTable"/>
              <w:keepNext/>
              <w:spacing w:after="40"/>
              <w:rPr>
                <w:snapToGrid w:val="0"/>
              </w:rPr>
            </w:pPr>
            <w:r>
              <w:rPr>
                <w:snapToGrid w:val="0"/>
              </w:rPr>
              <w:t>29 Nov 2016 (see s. 2(b))</w:t>
            </w:r>
          </w:p>
        </w:tc>
      </w:tr>
      <w:tr>
        <w:trPr>
          <w:gridBefore w:val="1"/>
          <w:wBefore w:w="28" w:type="dxa"/>
          <w:cantSplit/>
        </w:trPr>
        <w:tc>
          <w:tcPr>
            <w:tcW w:w="7088" w:type="dxa"/>
            <w:gridSpan w:val="8"/>
            <w:shd w:val="clear" w:color="auto" w:fill="auto"/>
          </w:tcPr>
          <w:p>
            <w:pPr>
              <w:pStyle w:val="nTable"/>
              <w:spacing w:after="40"/>
              <w:rPr>
                <w:snapToGrid w:val="0"/>
              </w:rPr>
            </w:pPr>
            <w:r>
              <w:rPr>
                <w:b/>
                <w:snapToGrid w:val="0"/>
              </w:rPr>
              <w:t xml:space="preserve">Reprint 12: The </w:t>
            </w:r>
            <w:r>
              <w:rPr>
                <w:b/>
                <w:i/>
                <w:noProof/>
                <w:snapToGrid w:val="0"/>
              </w:rPr>
              <w:t>Workers’ Compensation and Injury Management Act 1981</w:t>
            </w:r>
            <w:r>
              <w:rPr>
                <w:b/>
                <w:snapToGrid w:val="0"/>
              </w:rPr>
              <w:t xml:space="preserve"> as at 24 Nov 2017</w:t>
            </w:r>
            <w:r>
              <w:rPr>
                <w:snapToGrid w:val="0"/>
              </w:rPr>
              <w:t xml:space="preserve"> (includes amendments listed above)</w:t>
            </w:r>
          </w:p>
        </w:tc>
      </w:tr>
      <w:tr>
        <w:trPr>
          <w:gridBefore w:val="1"/>
          <w:wBefore w:w="28" w:type="dxa"/>
          <w:cantSplit/>
        </w:trPr>
        <w:tc>
          <w:tcPr>
            <w:tcW w:w="2266" w:type="dxa"/>
            <w:gridSpan w:val="2"/>
            <w:tcBorders>
              <w:bottom w:val="single" w:sz="4" w:space="0" w:color="auto"/>
            </w:tcBorders>
            <w:shd w:val="clear" w:color="auto" w:fill="auto"/>
          </w:tcPr>
          <w:p>
            <w:pPr>
              <w:pStyle w:val="nTable"/>
              <w:spacing w:after="40"/>
              <w:ind w:right="113"/>
              <w:rPr>
                <w:snapToGrid w:val="0"/>
                <w:vertAlign w:val="superscript"/>
              </w:rPr>
            </w:pPr>
            <w:r>
              <w:rPr>
                <w:i/>
              </w:rPr>
              <w:t>Workers’ Compensation and Injury Management Amendment Act 2018</w:t>
            </w:r>
          </w:p>
        </w:tc>
        <w:tc>
          <w:tcPr>
            <w:tcW w:w="1134" w:type="dxa"/>
            <w:gridSpan w:val="2"/>
            <w:tcBorders>
              <w:bottom w:val="single" w:sz="4" w:space="0" w:color="auto"/>
            </w:tcBorders>
            <w:shd w:val="clear" w:color="auto" w:fill="auto"/>
          </w:tcPr>
          <w:p>
            <w:pPr>
              <w:pStyle w:val="nTable"/>
              <w:keepNext/>
              <w:spacing w:after="40"/>
            </w:pPr>
            <w:r>
              <w:t>8 of 2018</w:t>
            </w:r>
          </w:p>
        </w:tc>
        <w:tc>
          <w:tcPr>
            <w:tcW w:w="1134" w:type="dxa"/>
            <w:gridSpan w:val="2"/>
            <w:tcBorders>
              <w:bottom w:val="single" w:sz="4" w:space="0" w:color="auto"/>
            </w:tcBorders>
            <w:shd w:val="clear" w:color="auto" w:fill="auto"/>
          </w:tcPr>
          <w:p>
            <w:pPr>
              <w:pStyle w:val="nTable"/>
              <w:keepNext/>
              <w:spacing w:after="40"/>
            </w:pPr>
            <w:r>
              <w:t>20 Jun 2018</w:t>
            </w:r>
          </w:p>
        </w:tc>
        <w:tc>
          <w:tcPr>
            <w:tcW w:w="2554" w:type="dxa"/>
            <w:gridSpan w:val="2"/>
            <w:tcBorders>
              <w:bottom w:val="single" w:sz="4" w:space="0" w:color="auto"/>
            </w:tcBorders>
            <w:shd w:val="clear" w:color="auto" w:fill="auto"/>
          </w:tcPr>
          <w:p>
            <w:pPr>
              <w:pStyle w:val="nTable"/>
              <w:keepNext/>
              <w:spacing w:after="40"/>
              <w:rPr>
                <w:snapToGrid w:val="0"/>
              </w:rPr>
            </w:pPr>
            <w:r>
              <w:rPr>
                <w:snapToGrid w:val="0"/>
              </w:rPr>
              <w:t>Pt. 1: 20 Jun 2018 (see s. 2(a));</w:t>
            </w:r>
            <w:r>
              <w:rPr>
                <w:snapToGrid w:val="0"/>
              </w:rPr>
              <w:br/>
              <w:t>Pt. 3: 21 Jun 2018 (see s. 2(b));</w:t>
            </w:r>
            <w:r>
              <w:rPr>
                <w:snapToGrid w:val="0"/>
              </w:rPr>
              <w:br/>
              <w:t xml:space="preserve">Act other than Pt. 1 and 3: </w:t>
            </w:r>
            <w:r>
              <w:t xml:space="preserve">1 Jul 2018 (see s. 2(c) and </w:t>
            </w:r>
            <w:r>
              <w:rPr>
                <w:i/>
              </w:rPr>
              <w:t>Gazette</w:t>
            </w:r>
            <w:r>
              <w:t xml:space="preserve"> 29 Jun 2018 p. 2433)</w:t>
            </w:r>
          </w:p>
        </w:tc>
      </w:tr>
    </w:tbl>
    <w:p>
      <w:pPr>
        <w:pStyle w:val="nHeading3"/>
      </w:pPr>
      <w:bookmarkStart w:id="612" w:name="_Toc33534766"/>
      <w:r>
        <w:t>Uncommenced provisions table</w:t>
      </w:r>
      <w:bookmarkEnd w:id="612"/>
    </w:p>
    <w:p>
      <w:pPr>
        <w:pStyle w:val="nStatement"/>
        <w:keepNext/>
        <w:spacing w:after="240"/>
      </w:pPr>
      <w:r>
        <w:t xml:space="preserve">To view the text of the uncommenced provisions see </w:t>
      </w:r>
      <w:r>
        <w:rPr>
          <w:i/>
        </w:rPr>
        <w:t>Acts as passed</w:t>
      </w:r>
      <w:r>
        <w:t xml:space="preserve"> on the WA Legislation website.</w:t>
      </w:r>
    </w:p>
    <w:tbl>
      <w:tblPr>
        <w:tblW w:w="7100" w:type="dxa"/>
        <w:tblInd w:w="56" w:type="dxa"/>
        <w:tblLayout w:type="fixed"/>
        <w:tblCellMar>
          <w:left w:w="56" w:type="dxa"/>
          <w:right w:w="56" w:type="dxa"/>
        </w:tblCellMar>
        <w:tblLook w:val="0000" w:firstRow="0" w:lastRow="0" w:firstColumn="0" w:lastColumn="0" w:noHBand="0" w:noVBand="0"/>
      </w:tblPr>
      <w:tblGrid>
        <w:gridCol w:w="2272"/>
        <w:gridCol w:w="1138"/>
        <w:gridCol w:w="1139"/>
        <w:gridCol w:w="2551"/>
      </w:tblGrid>
      <w:tr>
        <w:trPr>
          <w:cantSplit/>
          <w:tblHeader/>
        </w:trPr>
        <w:tc>
          <w:tcPr>
            <w:tcW w:w="2272"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2" w:type="dxa"/>
          </w:tcPr>
          <w:p>
            <w:pPr>
              <w:pStyle w:val="nTable"/>
              <w:spacing w:after="40"/>
              <w:ind w:right="113"/>
              <w:rPr>
                <w:snapToGrid w:val="0"/>
                <w:vertAlign w:val="superscript"/>
              </w:rPr>
            </w:pPr>
            <w:r>
              <w:rPr>
                <w:i/>
                <w:snapToGrid w:val="0"/>
              </w:rPr>
              <w:t xml:space="preserve">State Superannuation (Transitional and Consequential Provisions) Act 2000 </w:t>
            </w:r>
            <w:r>
              <w:rPr>
                <w:snapToGrid w:val="0"/>
              </w:rPr>
              <w:t>s. 74</w:t>
            </w:r>
          </w:p>
        </w:tc>
        <w:tc>
          <w:tcPr>
            <w:tcW w:w="1138" w:type="dxa"/>
          </w:tcPr>
          <w:p>
            <w:pPr>
              <w:pStyle w:val="nTable"/>
              <w:keepNext/>
              <w:spacing w:after="40"/>
            </w:pPr>
            <w:r>
              <w:t>43 of 2000</w:t>
            </w:r>
            <w:r>
              <w:br/>
              <w:t>(as amended by No. 42 of 2004 s. 174)</w:t>
            </w:r>
          </w:p>
        </w:tc>
        <w:tc>
          <w:tcPr>
            <w:tcW w:w="1139" w:type="dxa"/>
          </w:tcPr>
          <w:p>
            <w:pPr>
              <w:pStyle w:val="nTable"/>
              <w:keepNext/>
              <w:spacing w:after="40"/>
            </w:pPr>
            <w:r>
              <w:t>2 Nov 2000</w:t>
            </w:r>
          </w:p>
        </w:tc>
        <w:tc>
          <w:tcPr>
            <w:tcW w:w="2551" w:type="dxa"/>
          </w:tcPr>
          <w:p>
            <w:pPr>
              <w:pStyle w:val="nTable"/>
              <w:keepNext/>
              <w:spacing w:after="40"/>
            </w:pPr>
            <w:r>
              <w:t>To be proclaimed (see s. 2(2))</w:t>
            </w:r>
          </w:p>
        </w:tc>
      </w:tr>
      <w:tr>
        <w:trPr>
          <w:cantSplit/>
        </w:trPr>
        <w:tc>
          <w:tcPr>
            <w:tcW w:w="2272" w:type="dxa"/>
            <w:shd w:val="clear" w:color="auto" w:fill="auto"/>
          </w:tcPr>
          <w:p>
            <w:pPr>
              <w:pStyle w:val="nTable"/>
              <w:spacing w:after="40"/>
              <w:ind w:right="113"/>
              <w:rPr>
                <w:i/>
                <w:snapToGrid w:val="0"/>
              </w:rPr>
            </w:pPr>
            <w:r>
              <w:rPr>
                <w:i/>
                <w:snapToGrid w:val="0"/>
              </w:rPr>
              <w:t xml:space="preserve">Workers’ Compensation and Injury Management Amendment Act 2011 </w:t>
            </w:r>
            <w:r>
              <w:rPr>
                <w:snapToGrid w:val="0"/>
              </w:rPr>
              <w:t>s. 123(2)</w:t>
            </w:r>
            <w:r>
              <w:rPr>
                <w:snapToGrid w:val="0"/>
              </w:rPr>
              <w:noBreakHyphen/>
              <w:t>(7)</w:t>
            </w:r>
          </w:p>
        </w:tc>
        <w:tc>
          <w:tcPr>
            <w:tcW w:w="1138" w:type="dxa"/>
            <w:shd w:val="clear" w:color="auto" w:fill="auto"/>
          </w:tcPr>
          <w:p>
            <w:pPr>
              <w:pStyle w:val="nTable"/>
              <w:keepNext/>
              <w:spacing w:after="40"/>
            </w:pPr>
            <w:r>
              <w:t>31 of 2011</w:t>
            </w:r>
          </w:p>
        </w:tc>
        <w:tc>
          <w:tcPr>
            <w:tcW w:w="1139" w:type="dxa"/>
            <w:shd w:val="clear" w:color="auto" w:fill="auto"/>
          </w:tcPr>
          <w:p>
            <w:pPr>
              <w:pStyle w:val="nTable"/>
              <w:keepNext/>
              <w:spacing w:after="40"/>
            </w:pPr>
            <w:r>
              <w:t>31 Aug 2011</w:t>
            </w:r>
          </w:p>
        </w:tc>
        <w:tc>
          <w:tcPr>
            <w:tcW w:w="2551" w:type="dxa"/>
            <w:shd w:val="clear" w:color="auto" w:fill="auto"/>
          </w:tcPr>
          <w:p>
            <w:pPr>
              <w:pStyle w:val="nTable"/>
              <w:keepNext/>
              <w:spacing w:after="40"/>
            </w:pPr>
            <w:r>
              <w:t>To be proclaimed (see s. 2(b))</w:t>
            </w:r>
          </w:p>
        </w:tc>
      </w:tr>
      <w:tr>
        <w:trPr>
          <w:cantSplit/>
        </w:trPr>
        <w:tc>
          <w:tcPr>
            <w:tcW w:w="2272" w:type="dxa"/>
            <w:tcBorders>
              <w:bottom w:val="single" w:sz="4" w:space="0" w:color="auto"/>
            </w:tcBorders>
            <w:shd w:val="clear" w:color="auto" w:fill="auto"/>
          </w:tcPr>
          <w:p>
            <w:pPr>
              <w:pStyle w:val="nTable"/>
              <w:spacing w:after="40"/>
              <w:ind w:right="113"/>
              <w:rPr>
                <w:i/>
                <w:snapToGrid w:val="0"/>
              </w:rPr>
            </w:pPr>
            <w:r>
              <w:rPr>
                <w:i/>
              </w:rPr>
              <w:t>TAB (Disposal) Act 2019</w:t>
            </w:r>
            <w:r>
              <w:t xml:space="preserve"> s. 160</w:t>
            </w:r>
          </w:p>
        </w:tc>
        <w:tc>
          <w:tcPr>
            <w:tcW w:w="1138" w:type="dxa"/>
            <w:tcBorders>
              <w:bottom w:val="single" w:sz="4" w:space="0" w:color="auto"/>
            </w:tcBorders>
            <w:shd w:val="clear" w:color="auto" w:fill="auto"/>
          </w:tcPr>
          <w:p>
            <w:pPr>
              <w:pStyle w:val="nTable"/>
              <w:spacing w:after="40"/>
            </w:pPr>
            <w:r>
              <w:t>21 of 2019</w:t>
            </w:r>
          </w:p>
        </w:tc>
        <w:tc>
          <w:tcPr>
            <w:tcW w:w="1139" w:type="dxa"/>
            <w:tcBorders>
              <w:bottom w:val="single" w:sz="4" w:space="0" w:color="auto"/>
            </w:tcBorders>
            <w:shd w:val="clear" w:color="auto" w:fill="auto"/>
          </w:tcPr>
          <w:p>
            <w:pPr>
              <w:pStyle w:val="nTable"/>
              <w:spacing w:after="40"/>
            </w:pPr>
            <w:r>
              <w:t>18 Sep 2019</w:t>
            </w:r>
          </w:p>
        </w:tc>
        <w:tc>
          <w:tcPr>
            <w:tcW w:w="2551" w:type="dxa"/>
            <w:tcBorders>
              <w:bottom w:val="single" w:sz="4" w:space="0" w:color="auto"/>
            </w:tcBorders>
            <w:shd w:val="clear" w:color="auto" w:fill="auto"/>
          </w:tcPr>
          <w:p>
            <w:pPr>
              <w:pStyle w:val="nTable"/>
              <w:spacing w:after="40"/>
            </w:pPr>
            <w:r>
              <w:t>To be proclaimed (see s. 2(1)(b)(xiii))</w:t>
            </w:r>
          </w:p>
        </w:tc>
      </w:tr>
    </w:tbl>
    <w:p>
      <w:pPr>
        <w:pStyle w:val="nHeading3"/>
      </w:pPr>
      <w:bookmarkStart w:id="613" w:name="_Toc33534767"/>
      <w:r>
        <w:t>Other notes</w:t>
      </w:r>
      <w:bookmarkEnd w:id="613"/>
    </w:p>
    <w:p>
      <w:pPr>
        <w:pStyle w:val="nNote"/>
        <w:spacing w:before="160"/>
        <w:rPr>
          <w:snapToGrid w:val="0"/>
        </w:rPr>
      </w:pPr>
      <w:r>
        <w:rPr>
          <w:snapToGrid w:val="0"/>
          <w:vertAlign w:val="superscript"/>
        </w:rPr>
        <w:t>1</w:t>
      </w:r>
      <w:r>
        <w:rPr>
          <w:snapToGrid w:val="0"/>
        </w:rPr>
        <w:tab/>
        <w:t>Footnote no longer applicable.</w:t>
      </w:r>
    </w:p>
    <w:p>
      <w:pPr>
        <w:pStyle w:val="nNote"/>
        <w:spacing w:before="160"/>
        <w:rPr>
          <w:snapToGrid w:val="0"/>
        </w:rPr>
      </w:pPr>
      <w:r>
        <w:rPr>
          <w:snapToGrid w:val="0"/>
          <w:vertAlign w:val="superscript"/>
        </w:rPr>
        <w:t>2</w:t>
      </w:r>
      <w:r>
        <w:rPr>
          <w:snapToGrid w:val="0"/>
        </w:rPr>
        <w:tab/>
        <w:t xml:space="preserve">The </w:t>
      </w:r>
      <w:r>
        <w:rPr>
          <w:i/>
          <w:snapToGrid w:val="0"/>
        </w:rPr>
        <w:t>Workers’ Compensation Act Amendment Act (No. 2) 1977</w:t>
      </w:r>
      <w:r>
        <w:rPr>
          <w:snapToGrid w:val="0"/>
        </w:rPr>
        <w:t xml:space="preserve"> s. 3 became operative on 28 Nov 1977.</w:t>
      </w:r>
    </w:p>
    <w:p>
      <w:pPr>
        <w:pStyle w:val="nNote"/>
        <w:rPr>
          <w:snapToGrid w:val="0"/>
        </w:rPr>
      </w:pPr>
      <w:r>
        <w:rPr>
          <w:snapToGrid w:val="0"/>
          <w:vertAlign w:val="superscript"/>
        </w:rPr>
        <w:t>3</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Note"/>
        <w:rPr>
          <w:iCs/>
        </w:rPr>
      </w:pPr>
      <w:r>
        <w:rPr>
          <w:vertAlign w:val="superscript"/>
        </w:rPr>
        <w:t>4</w:t>
      </w:r>
      <w:r>
        <w:rPr>
          <w:vertAlign w:val="superscript"/>
        </w:rPr>
        <w:tab/>
      </w:r>
      <w:r>
        <w:t xml:space="preserve">Repealed by the </w:t>
      </w:r>
      <w:r>
        <w:rPr>
          <w:i/>
          <w:iCs/>
        </w:rPr>
        <w:t xml:space="preserve">Statute Stocktake Act 1999 </w:t>
      </w:r>
      <w:r>
        <w:t>(Cwlth)</w:t>
      </w:r>
      <w:r>
        <w:rPr>
          <w:iCs/>
        </w:rPr>
        <w:t>.</w:t>
      </w:r>
    </w:p>
    <w:p>
      <w:pPr>
        <w:pStyle w:val="nNote"/>
        <w:keepNext/>
      </w:pPr>
      <w:r>
        <w:rPr>
          <w:snapToGrid w:val="0"/>
          <w:vertAlign w:val="superscript"/>
        </w:rPr>
        <w:t>5</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keepNext/>
              <w:jc w:val="center"/>
              <w:rPr>
                <w:b/>
                <w:bCs/>
              </w:rPr>
            </w:pPr>
            <w:r>
              <w:rPr>
                <w:b/>
                <w:bCs/>
              </w:rPr>
              <w:t>Column 1</w:t>
            </w:r>
          </w:p>
          <w:p>
            <w:pPr>
              <w:pStyle w:val="nzTable"/>
              <w:keepNext/>
              <w:jc w:val="center"/>
              <w:rPr>
                <w:b/>
                <w:bCs/>
              </w:rPr>
            </w:pPr>
            <w:r>
              <w:rPr>
                <w:b/>
                <w:bCs/>
              </w:rPr>
              <w:t>Description of Disease</w:t>
            </w:r>
          </w:p>
        </w:tc>
        <w:tc>
          <w:tcPr>
            <w:tcW w:w="2976" w:type="dxa"/>
          </w:tcPr>
          <w:p>
            <w:pPr>
              <w:pStyle w:val="nzTable"/>
              <w:keepNext/>
              <w:jc w:val="center"/>
              <w:rPr>
                <w:b/>
                <w:bCs/>
              </w:rPr>
            </w:pPr>
            <w:r>
              <w:rPr>
                <w:b/>
                <w:bCs/>
              </w:rPr>
              <w:t>Column 2</w:t>
            </w:r>
          </w:p>
          <w:p>
            <w:pPr>
              <w:pStyle w:val="nzTable"/>
              <w:keepNext/>
              <w:jc w:val="center"/>
              <w:rPr>
                <w:b/>
                <w:bCs/>
              </w:rPr>
            </w:pPr>
            <w:r>
              <w:rPr>
                <w:b/>
                <w:bCs/>
              </w:rPr>
              <w:t>Description of Process</w:t>
            </w:r>
          </w:p>
        </w:tc>
      </w:tr>
      <w:tr>
        <w:tc>
          <w:tcPr>
            <w:tcW w:w="2388" w:type="dxa"/>
          </w:tcPr>
          <w:p>
            <w:pPr>
              <w:pStyle w:val="nzTable"/>
              <w:keepNext/>
            </w:pPr>
            <w:r>
              <w:t xml:space="preserve">Pleural plaques (diffuse pleural fibrosis) </w:t>
            </w:r>
          </w:p>
        </w:tc>
        <w:tc>
          <w:tcPr>
            <w:tcW w:w="2976" w:type="dxa"/>
          </w:tcPr>
          <w:p>
            <w:pPr>
              <w:pStyle w:val="nzTable"/>
              <w:keepNext/>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Note"/>
      </w:pPr>
      <w:r>
        <w:rPr>
          <w:vertAlign w:val="superscript"/>
        </w:rPr>
        <w:t>6</w:t>
      </w:r>
      <w:r>
        <w:rPr>
          <w:vertAlign w:val="superscript"/>
        </w:rPr>
        <w:tab/>
      </w:r>
      <w:r>
        <w:t>Repealed by s. 317 of this Act.</w:t>
      </w:r>
    </w:p>
    <w:p>
      <w:pPr>
        <w:pStyle w:val="nNote"/>
        <w:rPr>
          <w:snapToGrid w:val="0"/>
        </w:rPr>
      </w:pPr>
      <w:r>
        <w:rPr>
          <w:snapToGrid w:val="0"/>
          <w:vertAlign w:val="superscript"/>
        </w:rPr>
        <w:t>7</w:t>
      </w:r>
      <w:r>
        <w:rPr>
          <w:snapToGrid w:val="0"/>
        </w:rPr>
        <w:tab/>
        <w:t xml:space="preserve">Repealed by the </w:t>
      </w:r>
      <w:r>
        <w:rPr>
          <w:i/>
          <w:snapToGrid w:val="0"/>
        </w:rPr>
        <w:t xml:space="preserve">Interpretation Act 1984 </w:t>
      </w:r>
      <w:r>
        <w:rPr>
          <w:snapToGrid w:val="0"/>
        </w:rPr>
        <w:t>s. 77.</w:t>
      </w:r>
    </w:p>
    <w:p>
      <w:pPr>
        <w:pStyle w:val="nNote"/>
        <w:rPr>
          <w:snapToGrid w:val="0"/>
        </w:rPr>
      </w:pPr>
      <w:r>
        <w:rPr>
          <w:snapToGrid w:val="0"/>
          <w:vertAlign w:val="superscript"/>
        </w:rPr>
        <w:t>8</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rPr>
          <w:snapToGrid w:val="0"/>
        </w:rPr>
      </w:pPr>
      <w:r>
        <w:rPr>
          <w:snapToGrid w:val="0"/>
          <w:vertAlign w:val="superscript"/>
        </w:rPr>
        <w:t>9</w:t>
      </w:r>
      <w:r>
        <w:rPr>
          <w:snapToGrid w:val="0"/>
        </w:rPr>
        <w:tab/>
        <w:t xml:space="preserve">Now known as the </w:t>
      </w:r>
      <w:r>
        <w:rPr>
          <w:i/>
          <w:snapToGrid w:val="0"/>
        </w:rPr>
        <w:t>Workers’ Compensation and Injury Management Act 1981</w:t>
      </w:r>
      <w:r>
        <w:rPr>
          <w:snapToGrid w:val="0"/>
        </w:rPr>
        <w:t>; short title changed (see note under s. 1).</w:t>
      </w:r>
    </w:p>
    <w:p>
      <w:pPr>
        <w:pStyle w:val="nNote"/>
        <w:rPr>
          <w:snapToGrid w:val="0"/>
        </w:rPr>
      </w:pPr>
      <w:r>
        <w:rPr>
          <w:snapToGrid w:val="0"/>
          <w:vertAlign w:val="superscript"/>
        </w:rPr>
        <w:t>10</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Note"/>
        <w:rPr>
          <w:snapToGrid w:val="0"/>
        </w:rPr>
      </w:pPr>
      <w:r>
        <w:rPr>
          <w:snapToGrid w:val="0"/>
          <w:vertAlign w:val="superscript"/>
        </w:rPr>
        <w:t>11</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Note"/>
        <w:keepNext/>
        <w:rPr>
          <w:snapToGrid w:val="0"/>
        </w:rPr>
      </w:pPr>
      <w:r>
        <w:rPr>
          <w:snapToGrid w:val="0"/>
          <w:vertAlign w:val="superscript"/>
        </w:rPr>
        <w:t>12</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Note"/>
        <w:rPr>
          <w:iCs/>
          <w:snapToGrid w:val="0"/>
        </w:rPr>
      </w:pPr>
      <w:r>
        <w:rPr>
          <w:snapToGrid w:val="0"/>
          <w:vertAlign w:val="superscript"/>
        </w:rPr>
        <w:t>13</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Note"/>
        <w:rPr>
          <w:iCs/>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Note"/>
        <w:rPr>
          <w:snapToGrid w:val="0"/>
        </w:rPr>
      </w:pPr>
      <w:r>
        <w:rPr>
          <w:snapToGrid w:val="0"/>
          <w:vertAlign w:val="superscript"/>
        </w:rPr>
        <w:t>15</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Note"/>
        <w:rPr>
          <w:snapToGrid w:val="0"/>
        </w:rPr>
      </w:pPr>
      <w:r>
        <w:rPr>
          <w:snapToGrid w:val="0"/>
          <w:vertAlign w:val="superscript"/>
        </w:rPr>
        <w:t>16</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Note"/>
        <w:keepNext/>
        <w:rPr>
          <w:snapToGrid w:val="0"/>
        </w:rPr>
      </w:pPr>
      <w:r>
        <w:rPr>
          <w:snapToGrid w:val="0"/>
          <w:vertAlign w:val="superscript"/>
        </w:rPr>
        <w:t>17</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Note"/>
        <w:keepNext/>
        <w:spacing w:before="160"/>
        <w:rPr>
          <w:snapToGrid w:val="0"/>
        </w:rPr>
      </w:pPr>
      <w:r>
        <w:rPr>
          <w:snapToGrid w:val="0"/>
          <w:vertAlign w:val="superscript"/>
        </w:rPr>
        <w:t>18</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Note"/>
        <w:keepNext/>
        <w:rPr>
          <w:snapToGrid w:val="0"/>
        </w:rPr>
      </w:pPr>
      <w:r>
        <w:rPr>
          <w:snapToGrid w:val="0"/>
          <w:vertAlign w:val="superscript"/>
        </w:rPr>
        <w:t>19</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Note"/>
        <w:keepNext/>
        <w:keepLines/>
        <w:rPr>
          <w:snapToGrid w:val="0"/>
        </w:rPr>
      </w:pPr>
      <w:r>
        <w:rPr>
          <w:snapToGrid w:val="0"/>
          <w:vertAlign w:val="superscript"/>
        </w:rPr>
        <w:t>20</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Note"/>
        <w:keepNext/>
        <w:keepLines/>
        <w:rPr>
          <w:snapToGrid w:val="0"/>
        </w:rPr>
      </w:pPr>
      <w:r>
        <w:rPr>
          <w:snapToGrid w:val="0"/>
          <w:vertAlign w:val="superscript"/>
        </w:rPr>
        <w:t>21</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Note"/>
        <w:keepNext/>
        <w:rPr>
          <w:snapToGrid w:val="0"/>
        </w:rPr>
      </w:pPr>
      <w:r>
        <w:rPr>
          <w:snapToGrid w:val="0"/>
          <w:vertAlign w:val="superscript"/>
        </w:rPr>
        <w:t>22</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Note"/>
        <w:rPr>
          <w:snapToGrid w:val="0"/>
        </w:rPr>
      </w:pPr>
      <w:r>
        <w:rPr>
          <w:snapToGrid w:val="0"/>
          <w:vertAlign w:val="superscript"/>
        </w:rPr>
        <w:t>23</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Note"/>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Note"/>
        <w:keepLines/>
        <w:rPr>
          <w:snapToGrid w:val="0"/>
        </w:rPr>
      </w:pPr>
      <w:r>
        <w:rPr>
          <w:snapToGrid w:val="0"/>
          <w:vertAlign w:val="superscript"/>
        </w:rPr>
        <w:t>25</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Note"/>
        <w:rPr>
          <w:snapToGrid w:val="0"/>
        </w:rPr>
      </w:pPr>
      <w:r>
        <w:rPr>
          <w:snapToGrid w:val="0"/>
          <w:vertAlign w:val="superscript"/>
        </w:rPr>
        <w:t>26</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and 30 which sought to amend s. 73(1), (4) and (6) are not included because of amendments to s. 73 made by Sch. 1 cl. 16 of that Act.</w:t>
      </w:r>
    </w:p>
    <w:p>
      <w:pPr>
        <w:pStyle w:val="nNote"/>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are not included because of amendments made by Sch. 1 cl. 27 of that Act.</w:t>
      </w:r>
    </w:p>
    <w:p>
      <w:pPr>
        <w:pStyle w:val="nNote"/>
        <w:rPr>
          <w:snapToGrid w:val="0"/>
        </w:rPr>
      </w:pPr>
      <w:r>
        <w:rPr>
          <w:snapToGrid w:val="0"/>
          <w:vertAlign w:val="superscript"/>
        </w:rPr>
        <w:t>27</w:t>
      </w:r>
      <w:r>
        <w:rPr>
          <w:snapToGrid w:val="0"/>
        </w:rPr>
        <w:tab/>
        <w:t xml:space="preserve">The amendments in the </w:t>
      </w:r>
      <w:r>
        <w:rPr>
          <w:i/>
          <w:snapToGrid w:val="0"/>
        </w:rPr>
        <w:t>Acts Amendment (ICWA) Act 1996</w:t>
      </w:r>
      <w:r>
        <w:rPr>
          <w:snapToGrid w:val="0"/>
        </w:rPr>
        <w:t xml:space="preserve"> Sch. 1 it. 16 which sought to amend s. 95, 147 and 154 are not included because those sections were deleted by the </w:t>
      </w:r>
      <w:r>
        <w:rPr>
          <w:i/>
          <w:snapToGrid w:val="0"/>
        </w:rPr>
        <w:t>Workers’ Compensation Reform Act 2004</w:t>
      </w:r>
      <w:r>
        <w:rPr>
          <w:snapToGrid w:val="0"/>
        </w:rPr>
        <w:t xml:space="preserve"> s. 155.</w:t>
      </w:r>
    </w:p>
    <w:p>
      <w:pPr>
        <w:pStyle w:val="nNote"/>
        <w:rPr>
          <w:iCs/>
        </w:rPr>
      </w:pPr>
      <w:r>
        <w:rPr>
          <w:snapToGrid w:val="0"/>
          <w:vertAlign w:val="superscript"/>
        </w:rPr>
        <w:t>28</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Note"/>
        <w:spacing w:before="140"/>
      </w:pPr>
      <w:r>
        <w:rPr>
          <w:snapToGrid w:val="0"/>
          <w:vertAlign w:val="superscript"/>
        </w:rPr>
        <w:t>29</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No. 37 of 1999 s. 3.]</w:t>
      </w:r>
    </w:p>
    <w:p>
      <w:pPr>
        <w:pStyle w:val="BlankClose"/>
      </w:pPr>
    </w:p>
    <w:p>
      <w:pPr>
        <w:pStyle w:val="nNote"/>
        <w:keepNext/>
      </w:pPr>
      <w:r>
        <w:rPr>
          <w:snapToGrid w:val="0"/>
          <w:vertAlign w:val="superscript"/>
        </w:rPr>
        <w:t>30</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Note"/>
        <w:keepNext/>
      </w:pPr>
      <w:r>
        <w:rPr>
          <w:vertAlign w:val="superscript"/>
        </w:rPr>
        <w:t>31</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Note"/>
        <w:keepLines/>
        <w:spacing w:before="140"/>
      </w:pPr>
      <w:r>
        <w:rPr>
          <w:vertAlign w:val="superscript"/>
        </w:rPr>
        <w:t>32</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keepNext/>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No. 36 of 2004 s. 16, 17(5) and 19.]</w:t>
      </w:r>
    </w:p>
    <w:p>
      <w:pPr>
        <w:pStyle w:val="BlankClose"/>
      </w:pPr>
    </w:p>
    <w:p>
      <w:pPr>
        <w:pStyle w:val="nNote"/>
      </w:pPr>
      <w:r>
        <w:rPr>
          <w:vertAlign w:val="superscript"/>
        </w:rPr>
        <w:t>33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t>Part 4 — 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Note"/>
        <w:keepLines/>
        <w:spacing w:before="120"/>
      </w:pPr>
      <w:r>
        <w:rPr>
          <w:vertAlign w:val="superscript"/>
        </w:rPr>
        <w:t>34</w:t>
      </w:r>
      <w:r>
        <w:tab/>
        <w:t xml:space="preserve">The amendments in the </w:t>
      </w:r>
      <w:r>
        <w:rPr>
          <w:i/>
        </w:rPr>
        <w:t>Workers’ Compensation Reform Act 2004</w:t>
      </w:r>
      <w:r>
        <w:t xml:space="preserve"> s. 146, 147 and 148(2) which sought to amend s. 15 are not included because s. 15 was deleted by the </w:t>
      </w:r>
      <w:r>
        <w:rPr>
          <w:i/>
        </w:rPr>
        <w:t>Workers’ Compensation and Rehabilitation Amendment (Cross Border) Act 2004</w:t>
      </w:r>
      <w:r>
        <w:t xml:space="preserve"> s. 5.</w:t>
      </w:r>
    </w:p>
    <w:p>
      <w:pPr>
        <w:pStyle w:val="nNote"/>
        <w:spacing w:before="120"/>
      </w:pPr>
      <w:r>
        <w:tab/>
        <w:t xml:space="preserve">The amendments in the </w:t>
      </w:r>
      <w:r>
        <w:rPr>
          <w:i/>
        </w:rPr>
        <w:t>Workers’ Compensation Reform Act 2004</w:t>
      </w:r>
      <w:r>
        <w:t xml:space="preserve"> s. 146 and 147 which sought to amend s. 16(1a) are not included because s. 16(1a) was deleted by the </w:t>
      </w:r>
      <w:r>
        <w:rPr>
          <w:i/>
        </w:rPr>
        <w:t>Workers’ Compensation and Rehabilitation Amendment (Cross Border) Act 2004</w:t>
      </w:r>
      <w:r>
        <w:t xml:space="preserve"> s. 6(1).</w:t>
      </w:r>
    </w:p>
    <w:p>
      <w:pPr>
        <w:pStyle w:val="nNote"/>
        <w:spacing w:before="120"/>
      </w:pPr>
      <w:r>
        <w:tab/>
        <w:t xml:space="preserve">The amendments in the </w:t>
      </w:r>
      <w:r>
        <w:rPr>
          <w:i/>
        </w:rPr>
        <w:t>Workers’ Compensation Reform Act 2004</w:t>
      </w:r>
      <w:r>
        <w:t xml:space="preserve"> s. 148(1) which sought to amend s. 16(2) are not included because of amendments to s. 16(2) made by the </w:t>
      </w:r>
      <w:r>
        <w:rPr>
          <w:i/>
        </w:rPr>
        <w:t>Workers’ Compensation and Rehabilitation Amendment (Cross Border) Act 2004</w:t>
      </w:r>
      <w:r>
        <w:t xml:space="preserve"> s. 6(2).</w:t>
      </w:r>
    </w:p>
    <w:p>
      <w:pPr>
        <w:pStyle w:val="nNote"/>
        <w:spacing w:before="120"/>
      </w:pPr>
      <w:r>
        <w:tab/>
        <w:t xml:space="preserve">The amendments in the </w:t>
      </w:r>
      <w:r>
        <w:rPr>
          <w:i/>
        </w:rPr>
        <w:t>Workers’ Compensation Reform Act 2004</w:t>
      </w:r>
      <w:r>
        <w:t xml:space="preserve"> s. 147 which sought to amend s. 23 are not included because s. 23 was replaced by the </w:t>
      </w:r>
      <w:r>
        <w:rPr>
          <w:i/>
        </w:rPr>
        <w:t>Workers’ Compensation and Rehabilitation Amendment (Cross Border) Act 2004</w:t>
      </w:r>
      <w:r>
        <w:t xml:space="preserve"> s. 8.</w:t>
      </w:r>
    </w:p>
    <w:p>
      <w:pPr>
        <w:pStyle w:val="nNote"/>
        <w:keepLines/>
        <w:spacing w:before="120"/>
        <w:rPr>
          <w:snapToGrid w:val="0"/>
        </w:rPr>
      </w:pPr>
      <w:r>
        <w:rPr>
          <w:vertAlign w:val="superscript"/>
        </w:rPr>
        <w:t>35</w:t>
      </w:r>
      <w:r>
        <w:rPr>
          <w:vertAlign w:val="superscript"/>
        </w:rPr>
        <w:tab/>
      </w:r>
      <w:r>
        <w:rPr>
          <w:snapToGrid w:val="0"/>
        </w:rPr>
        <w:t xml:space="preserve">The amendments in 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are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Note"/>
        <w:keepLines/>
      </w:pPr>
      <w:r>
        <w:rPr>
          <w:vertAlign w:val="superscript"/>
        </w:rPr>
        <w:t>36</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Note"/>
        <w:rPr>
          <w:snapToGrid w:val="0"/>
        </w:rPr>
      </w:pPr>
      <w:r>
        <w:rPr>
          <w:vertAlign w:val="superscript"/>
        </w:rPr>
        <w:t>37</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Note"/>
        <w:keepNext/>
        <w:keepLines/>
      </w:pPr>
      <w:r>
        <w:rPr>
          <w:vertAlign w:val="superscript"/>
        </w:rPr>
        <w:t>38</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Note"/>
        <w:rPr>
          <w:iCs/>
          <w:snapToGrid w:val="0"/>
        </w:rPr>
      </w:pPr>
      <w:r>
        <w:rPr>
          <w:vertAlign w:val="superscript"/>
        </w:rPr>
        <w:t>39</w:t>
      </w:r>
      <w:r>
        <w:rPr>
          <w:snapToGrid w:val="0"/>
        </w:rPr>
        <w:tab/>
        <w:t xml:space="preserve">The amendment in the </w:t>
      </w:r>
      <w:r>
        <w:rPr>
          <w:i/>
          <w:iCs/>
          <w:snapToGrid w:val="0"/>
        </w:rPr>
        <w:t>Chiropractors Act 2005</w:t>
      </w:r>
      <w:r>
        <w:rPr>
          <w:snapToGrid w:val="0"/>
        </w:rPr>
        <w:t xml:space="preserve"> s. 109 which sought to amend s. 176(1b)(d) is not included because s. 176 was replaced by the </w:t>
      </w:r>
      <w:r>
        <w:rPr>
          <w:i/>
          <w:snapToGrid w:val="0"/>
        </w:rPr>
        <w:t>Workers’ Compensation Reform Act 2004</w:t>
      </w:r>
      <w:r>
        <w:rPr>
          <w:iCs/>
          <w:snapToGrid w:val="0"/>
        </w:rPr>
        <w:t xml:space="preserve"> s. 130 before the amendment purported to come into operation.</w:t>
      </w:r>
    </w:p>
    <w:p>
      <w:pPr>
        <w:pStyle w:val="nNote"/>
        <w:keepNext/>
        <w:rPr>
          <w:snapToGrid w:val="0"/>
        </w:rPr>
      </w:pPr>
      <w:bookmarkStart w:id="614" w:name="Start_Cursor"/>
      <w:bookmarkEnd w:id="614"/>
      <w:r>
        <w:rPr>
          <w:snapToGrid w:val="0"/>
          <w:vertAlign w:val="superscript"/>
        </w:rPr>
        <w:t>40</w:t>
      </w:r>
      <w:r>
        <w:rPr>
          <w:snapToGrid w:val="0"/>
        </w:rPr>
        <w:tab/>
      </w:r>
      <w:r>
        <w:t>The</w:t>
      </w:r>
      <w:r>
        <w:rPr>
          <w:snapToGrid w:val="0"/>
        </w:rPr>
        <w:t xml:space="preserve"> </w:t>
      </w:r>
      <w:r>
        <w:rPr>
          <w:i/>
          <w:snapToGrid w:val="0"/>
        </w:rPr>
        <w:t xml:space="preserve">Workers’ Compensation and Injury Management Amendment Act 2012 </w:t>
      </w:r>
      <w:r>
        <w:rPr>
          <w:snapToGrid w:val="0"/>
        </w:rPr>
        <w:t>Pt. 3 reads as follows:</w:t>
      </w:r>
    </w:p>
    <w:p>
      <w:pPr>
        <w:pStyle w:val="BlankOpen"/>
      </w:pPr>
    </w:p>
    <w:p>
      <w:pPr>
        <w:pStyle w:val="nzHeading2"/>
        <w:spacing w:before="0"/>
      </w:pPr>
      <w:r>
        <w:t>Part 3</w:t>
      </w:r>
      <w:r>
        <w:rPr>
          <w:rStyle w:val="CharDivNo"/>
        </w:rPr>
        <w:t> </w:t>
      </w:r>
      <w:r>
        <w:t>—</w:t>
      </w:r>
      <w:r>
        <w:rPr>
          <w:rStyle w:val="CharDivText"/>
        </w:rPr>
        <w:t> </w:t>
      </w:r>
      <w: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t>15</w:t>
      </w:r>
      <w:r>
        <w:t>.</w:t>
      </w:r>
      <w:r>
        <w:tab/>
        <w:t>Validity of terms, conditions and exclusions of insurance policies effected during the transitional period</w:t>
      </w:r>
    </w:p>
    <w:p>
      <w:pPr>
        <w:pStyle w:val="nzSubsection"/>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keepNext w:val="0"/>
        <w:keepLines w:val="0"/>
        <w:rPr>
          <w:sz w:val="20"/>
          <w:szCs w:val="20"/>
        </w:rPr>
      </w:pPr>
    </w:p>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nHeading2"/>
        <w:rPr>
          <w:sz w:val="28"/>
        </w:rPr>
      </w:pPr>
      <w:bookmarkStart w:id="616" w:name="_Toc33534768"/>
      <w:r>
        <w:rPr>
          <w:sz w:val="28"/>
        </w:rPr>
        <w:t>Defined terms</w:t>
      </w:r>
      <w:bookmarkEnd w:id="6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medical examination</w:t>
      </w:r>
      <w:r>
        <w:tab/>
        <w:t>66A(1)</w:t>
      </w:r>
    </w:p>
    <w:p>
      <w:pPr>
        <w:pStyle w:val="DefinedTerms"/>
      </w:pPr>
      <w:r>
        <w:t>adjacent area</w:t>
      </w:r>
      <w:r>
        <w:tab/>
        <w:t>Sch. 6 cl. 2(1), 2(2), 2(3) &amp; 2(4)</w:t>
      </w:r>
    </w:p>
    <w:p>
      <w:pPr>
        <w:pStyle w:val="DefinedTerms"/>
      </w:pPr>
      <w:r>
        <w:t>agent</w:t>
      </w:r>
      <w:r>
        <w:tab/>
        <w:t>261</w:t>
      </w:r>
    </w:p>
    <w:p>
      <w:pPr>
        <w:pStyle w:val="DefinedTerms"/>
      </w:pPr>
      <w:r>
        <w:t>agent service</w:t>
      </w:r>
      <w:r>
        <w:tab/>
        <w:t>261</w:t>
      </w:r>
    </w:p>
    <w:p>
      <w:pPr>
        <w:pStyle w:val="DefinedTerms"/>
      </w:pPr>
      <w:r>
        <w:t>aggregated amount</w:t>
      </w:r>
      <w:r>
        <w:tab/>
        <w:t>Sch. 1A cl. 11(1)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amended provisions</w:t>
      </w:r>
      <w:r>
        <w:tab/>
        <w:t>Sch. 8 cl. 1</w:t>
      </w:r>
    </w:p>
    <w:p>
      <w:pPr>
        <w:pStyle w:val="DefinedTerms"/>
      </w:pPr>
      <w:r>
        <w:t>amending Act</w:t>
      </w:r>
      <w:r>
        <w:tab/>
        <w:t>Sch. 8 cl. 1</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application</w:t>
      </w:r>
      <w:r>
        <w:tab/>
        <w:t>72L(1)</w:t>
      </w:r>
    </w:p>
    <w:p>
      <w:pPr>
        <w:pStyle w:val="DefinedTerms"/>
      </w:pPr>
      <w:r>
        <w:t>application for conciliation</w:t>
      </w:r>
      <w:r>
        <w:tab/>
        <w:t>5(1)</w:t>
      </w:r>
    </w:p>
    <w:p>
      <w:pPr>
        <w:pStyle w:val="DefinedTerms"/>
      </w:pPr>
      <w:r>
        <w:t>approved</w:t>
      </w:r>
      <w:r>
        <w:tab/>
        <w:t>72C</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arbitration rules</w:t>
      </w:r>
      <w:r>
        <w:tab/>
        <w:t>5(1), 293B(1)</w:t>
      </w:r>
    </w:p>
    <w:p>
      <w:pPr>
        <w:pStyle w:val="DefinedTerms"/>
      </w:pPr>
      <w:r>
        <w:t>Arbitration Service</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certificate of outcome</w:t>
      </w:r>
      <w:r>
        <w:tab/>
        <w:t>182ZE</w:t>
      </w:r>
    </w:p>
    <w:p>
      <w:pPr>
        <w:pStyle w:val="DefinedTerms"/>
      </w:pPr>
      <w:r>
        <w:t>Chairman of WorkCover WA</w:t>
      </w:r>
      <w:r>
        <w:tab/>
        <w:t>5(1)</w:t>
      </w:r>
    </w:p>
    <w:p>
      <w:pPr>
        <w:pStyle w:val="DefinedTerms"/>
      </w:pPr>
      <w:r>
        <w:t>chief executive officer</w:t>
      </w:r>
      <w:r>
        <w:tab/>
        <w:t>5(1)</w:t>
      </w:r>
    </w:p>
    <w:p>
      <w:pPr>
        <w:pStyle w:val="DefinedTerms"/>
      </w:pPr>
      <w:r>
        <w:t>child</w:t>
      </w:r>
      <w:r>
        <w:tab/>
        <w:t>Sch. 1A cl. 2(2)</w:t>
      </w:r>
    </w:p>
    <w:p>
      <w:pPr>
        <w:pStyle w:val="DefinedTerms"/>
      </w:pPr>
      <w:r>
        <w:t>child’s allowance</w:t>
      </w:r>
      <w:r>
        <w:tab/>
        <w:t>72J(1), Sch. 1A cl. 5</w:t>
      </w:r>
    </w:p>
    <w:p>
      <w:pPr>
        <w:pStyle w:val="DefinedTerms"/>
      </w:pPr>
      <w:r>
        <w:t>children</w:t>
      </w:r>
      <w:r>
        <w:tab/>
        <w:t>Sch. 1A cl. 2(2)</w:t>
      </w:r>
    </w:p>
    <w:p>
      <w:pPr>
        <w:pStyle w:val="DefinedTerms"/>
      </w:pPr>
      <w:r>
        <w:t>chiropractor</w:t>
      </w:r>
      <w:r>
        <w:tab/>
        <w:t>5(1)</w:t>
      </w:r>
    </w:p>
    <w:p>
      <w:pPr>
        <w:pStyle w:val="DefinedTerms"/>
      </w:pPr>
      <w:r>
        <w:t>claim</w:t>
      </w:r>
      <w:r>
        <w:tab/>
        <w:t>72C</w:t>
      </w:r>
    </w:p>
    <w:p>
      <w:pPr>
        <w:pStyle w:val="DefinedTerms"/>
      </w:pPr>
      <w:r>
        <w:t>claim for compensation by way of weekly payments</w:t>
      </w:r>
      <w:r>
        <w:tab/>
        <w:t>93M(2)</w:t>
      </w:r>
    </w:p>
    <w:p>
      <w:pPr>
        <w:pStyle w:val="DefinedTerms"/>
      </w:pPr>
      <w:r>
        <w:t>claimant</w:t>
      </w:r>
      <w:r>
        <w:tab/>
        <w:t>72C</w:t>
      </w:r>
    </w:p>
    <w:p>
      <w:pPr>
        <w:pStyle w:val="DefinedTerms"/>
      </w:pPr>
      <w:r>
        <w:t>clause</w:t>
      </w:r>
      <w:r>
        <w:tab/>
        <w:t>5(1), 72C</w:t>
      </w:r>
    </w:p>
    <w:p>
      <w:pPr>
        <w:pStyle w:val="DefinedTerms"/>
      </w:pPr>
      <w:r>
        <w:t>code</w:t>
      </w:r>
      <w:r>
        <w:tab/>
        <w:t>155</w:t>
      </w:r>
    </w:p>
    <w:p>
      <w:pPr>
        <w:pStyle w:val="DefinedTerms"/>
      </w:pPr>
      <w:r>
        <w:t>commencement day</w:t>
      </w:r>
      <w:r>
        <w:tab/>
        <w:t>93EA(4), 93EB(4), Sch. 8 cl. 1 &amp; 9</w:t>
      </w:r>
    </w:p>
    <w:p>
      <w:pPr>
        <w:pStyle w:val="DefinedTerms"/>
      </w:pPr>
      <w:r>
        <w:t>Commissioner</w:t>
      </w:r>
      <w:r>
        <w:tab/>
        <w:t>Sch. 8 cl. 1</w:t>
      </w:r>
    </w:p>
    <w:p>
      <w:pPr>
        <w:pStyle w:val="DefinedTerms"/>
      </w:pPr>
      <w:r>
        <w:t>company</w:t>
      </w:r>
      <w:r>
        <w:tab/>
        <w:t>5(1), 10A(1), 175AA(1)</w:t>
      </w:r>
    </w:p>
    <w:p>
      <w:pPr>
        <w:pStyle w:val="DefinedTerms"/>
      </w:pPr>
      <w:r>
        <w:t xml:space="preserve">compensable injury </w:t>
      </w:r>
      <w:r>
        <w:tab/>
        <w:t>159</w:t>
      </w:r>
    </w:p>
    <w:p>
      <w:pPr>
        <w:pStyle w:val="DefinedTerms"/>
      </w:pPr>
      <w:r>
        <w:t>compensation order</w:t>
      </w:r>
      <w:r>
        <w:tab/>
        <w:t>72I(1), 72J(1)</w:t>
      </w:r>
    </w:p>
    <w:p>
      <w:pPr>
        <w:pStyle w:val="DefinedTerms"/>
      </w:pPr>
      <w:r>
        <w:t>compound discount table</w:t>
      </w:r>
      <w:r>
        <w:tab/>
        <w:t>68(4)</w:t>
      </w:r>
    </w:p>
    <w:p>
      <w:pPr>
        <w:pStyle w:val="DefinedTerms"/>
      </w:pPr>
      <w:r>
        <w:t>conciliation agreement</w:t>
      </w:r>
      <w:r>
        <w:tab/>
        <w:t>182ZE</w:t>
      </w:r>
    </w:p>
    <w:p>
      <w:pPr>
        <w:pStyle w:val="DefinedTerms"/>
      </w:pPr>
      <w:r>
        <w:t>conciliation decision</w:t>
      </w:r>
      <w:r>
        <w:tab/>
        <w:t>182ZE</w:t>
      </w:r>
    </w:p>
    <w:p>
      <w:pPr>
        <w:pStyle w:val="DefinedTerms"/>
      </w:pPr>
      <w:r>
        <w:t>conciliation officer</w:t>
      </w:r>
      <w:r>
        <w:tab/>
        <w:t>5(1), 182G(3)</w:t>
      </w:r>
    </w:p>
    <w:p>
      <w:pPr>
        <w:pStyle w:val="DefinedTerms"/>
      </w:pPr>
      <w:r>
        <w:t>conciliation rules</w:t>
      </w:r>
      <w:r>
        <w:tab/>
        <w:t>5(1), 293A(1)</w:t>
      </w:r>
    </w:p>
    <w:p>
      <w:pPr>
        <w:pStyle w:val="DefinedTerms"/>
      </w:pPr>
      <w:r>
        <w:t>Conciliation Service</w:t>
      </w:r>
      <w:r>
        <w:tab/>
        <w:t>5(1)</w:t>
      </w:r>
    </w:p>
    <w:p>
      <w:pPr>
        <w:pStyle w:val="DefinedTerms"/>
      </w:pPr>
      <w:r>
        <w:t>continental shelf</w:t>
      </w:r>
      <w:r>
        <w:tab/>
        <w:t>Sch. 6 cl. 1</w:t>
      </w:r>
    </w:p>
    <w:p>
      <w:pPr>
        <w:pStyle w:val="DefinedTerms"/>
      </w:pPr>
      <w:r>
        <w:t>contract of insurance</w:t>
      </w:r>
      <w:r>
        <w:tab/>
        <w:t>5(1)</w:t>
      </w:r>
    </w:p>
    <w:p>
      <w:pPr>
        <w:pStyle w:val="DefinedTerms"/>
      </w:pPr>
      <w:r>
        <w:t>contractor</w:t>
      </w:r>
      <w:r>
        <w:tab/>
        <w:t>175(1) &amp; (6)</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 182ZH(1)</w:t>
      </w:r>
    </w:p>
    <w:p>
      <w:pPr>
        <w:pStyle w:val="DefinedTerms"/>
      </w:pPr>
      <w:r>
        <w:t>Crown</w:t>
      </w:r>
      <w:r>
        <w:tab/>
        <w:t>14(1)</w:t>
      </w:r>
    </w:p>
    <w:p>
      <w:pPr>
        <w:pStyle w:val="DefinedTerms"/>
      </w:pPr>
      <w:r>
        <w:t>damages</w:t>
      </w:r>
      <w:r>
        <w:tab/>
        <w:t>72K(1), 93A, 159</w:t>
      </w:r>
    </w:p>
    <w:p>
      <w:pPr>
        <w:pStyle w:val="DefinedTerms"/>
      </w:pPr>
      <w:r>
        <w:t>date of injury</w:t>
      </w:r>
      <w:r>
        <w:tab/>
        <w:t>49A</w:t>
      </w:r>
    </w:p>
    <w:p>
      <w:pPr>
        <w:pStyle w:val="DefinedTerms"/>
      </w:pPr>
      <w:r>
        <w:t>de facto partner</w:t>
      </w:r>
      <w:r>
        <w:tab/>
        <w:t>Sch. 5 cl. 1(1)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deemed worker</w:t>
      </w:r>
      <w:r>
        <w:tab/>
        <w:t>159</w:t>
      </w:r>
    </w:p>
    <w:p>
      <w:pPr>
        <w:pStyle w:val="DefinedTerms"/>
      </w:pPr>
      <w:r>
        <w:t>defendant</w:t>
      </w:r>
      <w:r>
        <w:tab/>
        <w:t>92, 93(1)</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pPr>
      <w:r>
        <w:t>degree of permanent whole of person impairment</w:t>
      </w:r>
      <w:r>
        <w:tab/>
      </w:r>
      <w:r>
        <w:br/>
      </w:r>
      <w:r>
        <w:tab/>
        <w:t>93H(1), 158(1), Sch. 1 cl. 18C(3)</w:t>
      </w:r>
    </w:p>
    <w:p>
      <w:pPr>
        <w:pStyle w:val="DefinedTerms"/>
      </w:pPr>
      <w:r>
        <w:t>dentist</w:t>
      </w:r>
      <w:r>
        <w:tab/>
        <w:t>5(1)</w:t>
      </w:r>
    </w:p>
    <w:p>
      <w:pPr>
        <w:pStyle w:val="DefinedTerms"/>
      </w:pPr>
      <w:r>
        <w:t>dependant</w:t>
      </w:r>
      <w:r>
        <w:tab/>
        <w:t>5(1), 72I(1), 72J(1), Sch. 1A cl. 3</w:t>
      </w:r>
    </w:p>
    <w:p>
      <w:pPr>
        <w:pStyle w:val="DefinedTerms"/>
      </w:pPr>
      <w:r>
        <w:t>designation</w:t>
      </w:r>
      <w:r>
        <w:tab/>
        <w:t>182C(1), 182ZR(1)</w:t>
      </w:r>
    </w:p>
    <w:p>
      <w:pPr>
        <w:pStyle w:val="DefinedTerms"/>
      </w:pPr>
      <w:r>
        <w:t>determined</w:t>
      </w:r>
      <w:r>
        <w:tab/>
        <w:t>93E(1)</w:t>
      </w:r>
    </w:p>
    <w:p>
      <w:pPr>
        <w:pStyle w:val="DefinedTerms"/>
      </w:pPr>
      <w:r>
        <w:t>direction</w:t>
      </w:r>
      <w:r>
        <w:tab/>
        <w:t>182M(1)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 182E(1), Sch. 8 cl. 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w:t>
      </w:r>
    </w:p>
    <w:p>
      <w:pPr>
        <w:pStyle w:val="DefinedTerms"/>
      </w:pPr>
      <w:r>
        <w:t>DRD</w:t>
      </w:r>
      <w:r>
        <w:tab/>
        <w:t>Sch. 8 cl. 1</w:t>
      </w:r>
    </w:p>
    <w:p>
      <w:pPr>
        <w:pStyle w:val="DefinedTerms"/>
      </w:pPr>
      <w:r>
        <w:t>DRD records</w:t>
      </w:r>
      <w:r>
        <w:tab/>
        <w:t>Sch. 8 cl. 4(1)</w:t>
      </w:r>
    </w:p>
    <w:p>
      <w:pPr>
        <w:pStyle w:val="DefinedTerms"/>
      </w:pPr>
      <w:r>
        <w:t>DRD Rules</w:t>
      </w:r>
      <w:r>
        <w:tab/>
        <w:t>Sch. 8 cl. 1</w:t>
      </w:r>
    </w:p>
    <w:p>
      <w:pPr>
        <w:pStyle w:val="DefinedTerms"/>
      </w:pPr>
      <w:r>
        <w:t>drug of addiction</w:t>
      </w:r>
      <w:r>
        <w:tab/>
        <w:t>5(1)</w:t>
      </w:r>
    </w:p>
    <w:p>
      <w:pPr>
        <w:pStyle w:val="DefinedTerms"/>
      </w:pPr>
      <w:r>
        <w:t>E</w:t>
      </w:r>
      <w:r>
        <w:tab/>
        <w:t>175AA(1), 303A(1)</w:t>
      </w:r>
    </w:p>
    <w:p>
      <w:pPr>
        <w:pStyle w:val="DefinedTerms"/>
      </w:pPr>
      <w:r>
        <w:t>earnings</w:t>
      </w:r>
      <w:r>
        <w:tab/>
        <w:t>5(1), 10A(1), Sch. 1 cl. 11(2)</w:t>
      </w:r>
    </w:p>
    <w:p>
      <w:pPr>
        <w:pStyle w:val="DefinedTerms"/>
      </w:pPr>
      <w:r>
        <w:t>election registration day</w:t>
      </w:r>
      <w:r>
        <w:tab/>
        <w:t>93H(1)</w:t>
      </w:r>
    </w:p>
    <w:p>
      <w:pPr>
        <w:pStyle w:val="DefinedTerms"/>
      </w:pPr>
      <w:r>
        <w:t>eligible child</w:t>
      </w:r>
      <w:r>
        <w:tab/>
        <w:t>Sch. 1A cl. 8(2)</w:t>
      </w:r>
    </w:p>
    <w:p>
      <w:pPr>
        <w:pStyle w:val="DefinedTerms"/>
      </w:pPr>
      <w:r>
        <w:t>eligible person</w:t>
      </w:r>
      <w:r>
        <w:tab/>
        <w:t>Sch. 1A cl. 11(1)</w:t>
      </w:r>
    </w:p>
    <w:p>
      <w:pPr>
        <w:pStyle w:val="DefinedTerms"/>
      </w:pPr>
      <w:r>
        <w:t>employer</w:t>
      </w:r>
      <w:r>
        <w:tab/>
        <w:t>5(1), 59(1), 93AC, 154A(2)</w:t>
      </w:r>
    </w:p>
    <w:p>
      <w:pPr>
        <w:pStyle w:val="DefinedTerms"/>
      </w:pPr>
      <w:r>
        <w:t>estimate</w:t>
      </w:r>
      <w:r>
        <w:tab/>
        <w:t>5(1)</w:t>
      </w:r>
    </w:p>
    <w:p>
      <w:pPr>
        <w:pStyle w:val="DefinedTerms"/>
      </w:pPr>
      <w:r>
        <w:t>event</w:t>
      </w:r>
      <w:r>
        <w:tab/>
        <w:t>93H(2), 158(2), Sch. 1 cl. 18C(4)</w:t>
      </w:r>
    </w:p>
    <w:p>
      <w:pPr>
        <w:pStyle w:val="DefinedTerms"/>
      </w:pPr>
      <w:r>
        <w:t>FES employment</w:t>
      </w:r>
      <w:r>
        <w:tab/>
        <w:t>49A</w:t>
      </w:r>
    </w:p>
    <w:p>
      <w:pPr>
        <w:pStyle w:val="DefinedTerms"/>
      </w:pPr>
      <w:r>
        <w:t>firefighting employment</w:t>
      </w:r>
      <w:r>
        <w:tab/>
        <w:t>49A</w:t>
      </w:r>
    </w:p>
    <w:p>
      <w:pPr>
        <w:pStyle w:val="DefinedTerms"/>
      </w:pPr>
      <w:r>
        <w:t>former Board</w:t>
      </w:r>
      <w:r>
        <w:tab/>
        <w:t>316</w:t>
      </w:r>
    </w:p>
    <w:p>
      <w:pPr>
        <w:pStyle w:val="DefinedTerms"/>
      </w:pPr>
      <w:r>
        <w:t>former provisions</w:t>
      </w:r>
      <w:r>
        <w:tab/>
        <w:t>Sch. 8 cl. 1 &amp; 9</w:t>
      </w:r>
    </w:p>
    <w:p>
      <w:pPr>
        <w:pStyle w:val="DefinedTerms"/>
      </w:pPr>
      <w:r>
        <w:t>former Supplementary Board</w:t>
      </w:r>
      <w:r>
        <w:tab/>
        <w:t>316</w:t>
      </w:r>
    </w:p>
    <w:p>
      <w:pPr>
        <w:pStyle w:val="DefinedTerms"/>
      </w:pPr>
      <w:r>
        <w:t>full amount</w:t>
      </w:r>
      <w:r>
        <w:tab/>
        <w:t>31D(1)</w:t>
      </w:r>
    </w:p>
    <w:p>
      <w:pPr>
        <w:pStyle w:val="DefinedTerms"/>
      </w:pPr>
      <w:r>
        <w:t>funeral expenses</w:t>
      </w:r>
      <w:r>
        <w:tab/>
        <w:t>Sch. 1A cl. 9(1)</w:t>
      </w:r>
    </w:p>
    <w:p>
      <w:pPr>
        <w:pStyle w:val="DefinedTerms"/>
      </w:pPr>
      <w:r>
        <w:t>General Account</w:t>
      </w:r>
      <w:r>
        <w:tab/>
        <w:t>5(1)</w:t>
      </w:r>
    </w:p>
    <w:p>
      <w:pPr>
        <w:pStyle w:val="DefinedTerms"/>
      </w:pPr>
      <w:r>
        <w:t>hazardous fire</w:t>
      </w:r>
      <w:r>
        <w:tab/>
        <w:t>49A</w:t>
      </w:r>
    </w:p>
    <w:p>
      <w:pPr>
        <w:pStyle w:val="DefinedTerms"/>
      </w:pPr>
      <w:r>
        <w:t>hazardous firefighting employment</w:t>
      </w:r>
      <w:r>
        <w:tab/>
        <w:t>49A</w:t>
      </w:r>
    </w:p>
    <w:p>
      <w:pPr>
        <w:pStyle w:val="DefinedTerms"/>
      </w:pPr>
      <w:r>
        <w:t>hearing</w:t>
      </w:r>
      <w:r>
        <w:tab/>
        <w:t>259(1)</w:t>
      </w:r>
    </w:p>
    <w:p>
      <w:pPr>
        <w:pStyle w:val="DefinedTerms"/>
      </w:pPr>
      <w:r>
        <w:t>HIV</w:t>
      </w:r>
      <w:r>
        <w:tab/>
        <w:t>31F(1), 93Q(8)</w:t>
      </w:r>
    </w:p>
    <w:p>
      <w:pPr>
        <w:pStyle w:val="DefinedTerms"/>
      </w:pPr>
      <w:r>
        <w:t>impairment</w:t>
      </w:r>
      <w:r>
        <w:tab/>
        <w:t>31G(1)</w:t>
      </w:r>
    </w:p>
    <w:p>
      <w:pPr>
        <w:pStyle w:val="DefinedTerms"/>
      </w:pPr>
      <w:r>
        <w:t>in respect of the injury or injuries</w:t>
      </w:r>
      <w:r>
        <w:tab/>
        <w:t>93P(3)</w:t>
      </w:r>
    </w:p>
    <w:p>
      <w:pPr>
        <w:pStyle w:val="DefinedTerms"/>
      </w:pPr>
      <w:r>
        <w:t>incorporated insurance office</w:t>
      </w:r>
      <w:r>
        <w:tab/>
        <w:t>161(1)</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 182R(1)</w:t>
      </w:r>
    </w:p>
    <w:p>
      <w:pPr>
        <w:pStyle w:val="DefinedTerms"/>
      </w:pPr>
      <w:r>
        <w:t>injury</w:t>
      </w:r>
      <w:r>
        <w:tab/>
        <w:t>5(1), 93AC, 180(1), Sch. 1A cl. 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insurable damages</w:t>
      </w:r>
      <w:r>
        <w:tab/>
        <w:t>159</w:t>
      </w:r>
    </w:p>
    <w:p>
      <w:pPr>
        <w:pStyle w:val="DefinedTerms"/>
      </w:pPr>
      <w:r>
        <w:t xml:space="preserve">Insurance Commission of Western Australia </w:t>
      </w:r>
      <w:r>
        <w:tab/>
        <w:t>5(1)</w:t>
      </w:r>
    </w:p>
    <w:p>
      <w:pPr>
        <w:pStyle w:val="DefinedTerms"/>
      </w:pPr>
      <w:r>
        <w:t>jockey</w:t>
      </w:r>
      <w:r>
        <w:tab/>
        <w:t>Sch. 1 cl. 16A(1)</w:t>
      </w:r>
    </w:p>
    <w:p>
      <w:pPr>
        <w:pStyle w:val="DefinedTerms"/>
      </w:pPr>
      <w:r>
        <w:t>Joint Petroleum Development Area</w:t>
      </w:r>
      <w:r>
        <w:tab/>
        <w:t>Sch. 6 cl. 1</w:t>
      </w:r>
    </w:p>
    <w:p>
      <w:pPr>
        <w:pStyle w:val="DefinedTerms"/>
      </w:pPr>
      <w:r>
        <w:t>judgment</w:t>
      </w:r>
      <w:r>
        <w:tab/>
        <w:t>72K(1)</w:t>
      </w:r>
    </w:p>
    <w:p>
      <w:pPr>
        <w:pStyle w:val="DefinedTerms"/>
      </w:pPr>
      <w:r>
        <w:t>Legal Costs Committee</w:t>
      </w:r>
      <w:r>
        <w:tab/>
        <w:t>269(1)</w:t>
      </w:r>
    </w:p>
    <w:p>
      <w:pPr>
        <w:pStyle w:val="DefinedTerms"/>
      </w:pPr>
      <w:r>
        <w:t>legal service</w:t>
      </w:r>
      <w:r>
        <w:tab/>
        <w:t>261</w:t>
      </w:r>
    </w:p>
    <w:p>
      <w:pPr>
        <w:pStyle w:val="DefinedTerms"/>
      </w:pPr>
      <w:r>
        <w:t>liable</w:t>
      </w:r>
      <w:r>
        <w:tab/>
        <w:t>159</w:t>
      </w:r>
    </w:p>
    <w:p>
      <w:pPr>
        <w:pStyle w:val="DefinedTerms"/>
      </w:pPr>
      <w:r>
        <w:t>licensed facility</w:t>
      </w:r>
      <w:r>
        <w:tab/>
        <w:t>11A(1)</w:t>
      </w:r>
    </w:p>
    <w:p>
      <w:pPr>
        <w:pStyle w:val="DefinedTerms"/>
      </w:pPr>
      <w:r>
        <w:t>licensed jockey</w:t>
      </w:r>
      <w:r>
        <w:tab/>
        <w:t>11A(1)</w:t>
      </w:r>
    </w:p>
    <w:p>
      <w:pPr>
        <w:pStyle w:val="DefinedTerms"/>
      </w:pPr>
      <w:r>
        <w:t>licensed trainer</w:t>
      </w:r>
      <w:r>
        <w:tab/>
        <w:t>11A(1)</w:t>
      </w:r>
    </w:p>
    <w:p>
      <w:pPr>
        <w:pStyle w:val="DefinedTerms"/>
      </w:pPr>
      <w:r>
        <w:t>loss of</w:t>
      </w:r>
      <w:r>
        <w:tab/>
        <w:t>25</w:t>
      </w:r>
    </w:p>
    <w:p>
      <w:pPr>
        <w:pStyle w:val="DefinedTerms"/>
      </w:pPr>
      <w:r>
        <w:t>LPI</w:t>
      </w:r>
      <w:r>
        <w:tab/>
        <w:t>5(1), 93F(8)</w:t>
      </w:r>
    </w:p>
    <w:p>
      <w:pPr>
        <w:pStyle w:val="DefinedTerms"/>
      </w:pPr>
      <w:r>
        <w:t>LSE</w:t>
      </w:r>
      <w:r>
        <w:tab/>
        <w:t>Sch. 1A cl. 4</w:t>
      </w:r>
    </w:p>
    <w:p>
      <w:pPr>
        <w:pStyle w:val="DefinedTerms"/>
      </w:pPr>
      <w:r>
        <w:t>lump sum entitlement</w:t>
      </w:r>
      <w:r>
        <w:tab/>
        <w:t>Sch. 1A cl. 4</w:t>
      </w:r>
    </w:p>
    <w:p>
      <w:pPr>
        <w:pStyle w:val="DefinedTerms"/>
      </w:pPr>
      <w:r>
        <w:t>March CPI</w:t>
      </w:r>
      <w:r>
        <w:tab/>
        <w:t>5A(2)</w:t>
      </w:r>
    </w:p>
    <w:p>
      <w:pPr>
        <w:pStyle w:val="DefinedTerms"/>
      </w:pPr>
      <w:r>
        <w:t>medical assessment panel</w:t>
      </w:r>
      <w:r>
        <w:tab/>
        <w:t>5(1)</w:t>
      </w:r>
    </w:p>
    <w:p>
      <w:pPr>
        <w:pStyle w:val="DefinedTerms"/>
      </w:pPr>
      <w:r>
        <w:t>medical expenses</w:t>
      </w:r>
      <w:r>
        <w:tab/>
        <w:t>Sch. 1A cl. 9(1)</w:t>
      </w:r>
    </w:p>
    <w:p>
      <w:pPr>
        <w:pStyle w:val="DefinedTerms"/>
      </w:pPr>
      <w:r>
        <w:t>medical practitioner</w:t>
      </w:r>
      <w:r>
        <w:tab/>
        <w:t>5(1)</w:t>
      </w:r>
    </w:p>
    <w:p>
      <w:pPr>
        <w:pStyle w:val="DefinedTerms"/>
      </w:pPr>
      <w:r>
        <w:t>medical report</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 xml:space="preserve">new information </w:t>
      </w:r>
      <w:r>
        <w:tab/>
        <w:t>217A(1)</w:t>
      </w:r>
    </w:p>
    <w:p>
      <w:pPr>
        <w:pStyle w:val="DefinedTerms"/>
      </w:pPr>
      <w:r>
        <w:t>new Supplementary Board</w:t>
      </w:r>
      <w:r>
        <w:tab/>
        <w:t>316</w:t>
      </w:r>
    </w:p>
    <w:p>
      <w:pPr>
        <w:pStyle w:val="DefinedTerms"/>
      </w:pPr>
      <w:r>
        <w:t>noise induced hearing loss</w:t>
      </w:r>
      <w:r>
        <w:tab/>
        <w:t>5(1)</w:t>
      </w:r>
    </w:p>
    <w:p>
      <w:pPr>
        <w:pStyle w:val="DefinedTerms"/>
      </w:pPr>
      <w:r>
        <w:t>non</w:t>
      </w:r>
      <w:r>
        <w:noBreakHyphen/>
        <w:t>FES employment</w:t>
      </w:r>
      <w:r>
        <w:tab/>
        <w:t>49A</w:t>
      </w:r>
    </w:p>
    <w:p>
      <w:pPr>
        <w:pStyle w:val="DefinedTerms"/>
      </w:pPr>
      <w:r>
        <w:t>normal evaluation</w:t>
      </w:r>
      <w:r>
        <w:tab/>
        <w:t>93M(5), 93N(6), 146C(3)</w:t>
      </w:r>
    </w:p>
    <w:p>
      <w:pPr>
        <w:pStyle w:val="DefinedTerms"/>
      </w:pPr>
      <w:r>
        <w:t>notifiable person</w:t>
      </w:r>
      <w:r>
        <w:tab/>
        <w:t>182(2)</w:t>
      </w:r>
    </w:p>
    <w:p>
      <w:pPr>
        <w:pStyle w:val="DefinedTerms"/>
      </w:pPr>
      <w:r>
        <w:t>notification day</w:t>
      </w:r>
      <w:r>
        <w:tab/>
        <w:t>93EC</w:t>
      </w:r>
    </w:p>
    <w:p>
      <w:pPr>
        <w:pStyle w:val="DefinedTerms"/>
      </w:pPr>
      <w:r>
        <w:t>order</w:t>
      </w:r>
      <w:r>
        <w:tab/>
        <w:t>72L(1)</w:t>
      </w:r>
    </w:p>
    <w:p>
      <w:pPr>
        <w:pStyle w:val="DefinedTerms"/>
      </w:pPr>
      <w:r>
        <w:t>overtime</w:t>
      </w:r>
      <w:r>
        <w:tab/>
        <w:t>Sch. 1 cl. 11(2)</w:t>
      </w:r>
    </w:p>
    <w:p>
      <w:pPr>
        <w:pStyle w:val="DefinedTerms"/>
      </w:pPr>
      <w:r>
        <w:t>parliamentary purposes</w:t>
      </w:r>
      <w:r>
        <w:tab/>
        <w:t>111A(4)</w:t>
      </w:r>
    </w:p>
    <w:p>
      <w:pPr>
        <w:pStyle w:val="DefinedTerms"/>
      </w:pPr>
      <w:r>
        <w:t>participate</w:t>
      </w:r>
      <w:r>
        <w:tab/>
        <w:t>5(1)</w:t>
      </w:r>
    </w:p>
    <w:p>
      <w:pPr>
        <w:pStyle w:val="DefinedTerms"/>
      </w:pPr>
      <w:r>
        <w:t>partner</w:t>
      </w:r>
      <w:r>
        <w:tab/>
        <w:t>Sch. 1A cl. 2(1)</w:t>
      </w:r>
    </w:p>
    <w:p>
      <w:pPr>
        <w:pStyle w:val="DefinedTerms"/>
      </w:pPr>
      <w:r>
        <w:t>party</w:t>
      </w:r>
      <w:r>
        <w:tab/>
        <w:t>5(1)</w:t>
      </w:r>
    </w:p>
    <w:p>
      <w:pPr>
        <w:pStyle w:val="DefinedTerms"/>
      </w:pPr>
      <w:r>
        <w:t>pending arbitration proceeding</w:t>
      </w:r>
      <w:r>
        <w:tab/>
        <w:t>Sch. 8 cl. 1</w:t>
      </w:r>
    </w:p>
    <w:p>
      <w:pPr>
        <w:pStyle w:val="DefinedTerms"/>
      </w:pPr>
      <w:r>
        <w:t>pending Court of Appeal matter</w:t>
      </w:r>
      <w:r>
        <w:tab/>
        <w:t>Sch. 8 cl. 1</w:t>
      </w:r>
    </w:p>
    <w:p>
      <w:pPr>
        <w:pStyle w:val="DefinedTerms"/>
      </w:pPr>
      <w:r>
        <w:t>pending Part XII application</w:t>
      </w:r>
      <w:r>
        <w:tab/>
        <w:t>Sch. 8 cl. 1</w:t>
      </w:r>
    </w:p>
    <w:p>
      <w:pPr>
        <w:pStyle w:val="DefinedTerms"/>
      </w:pPr>
      <w:r>
        <w:t>pending Part XIII matter</w:t>
      </w:r>
      <w:r>
        <w:tab/>
        <w:t>Sch. 8 cl. 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Commonwealth award or agreement</w:t>
      </w:r>
      <w:r>
        <w:tab/>
        <w:t>83(2A)</w:t>
      </w:r>
    </w:p>
    <w:p>
      <w:pPr>
        <w:pStyle w:val="DefinedTerms"/>
      </w:pPr>
      <w:r>
        <w:t>prescribed family member</w:t>
      </w:r>
      <w:r>
        <w:tab/>
        <w:t>Sch. 1A cl. 2(3)</w:t>
      </w:r>
    </w:p>
    <w:p>
      <w:pPr>
        <w:pStyle w:val="DefinedTerms"/>
      </w:pPr>
      <w:r>
        <w:t>prescribed workplace</w:t>
      </w:r>
      <w:r>
        <w:tab/>
        <w:t>Sch. 7 cl. 1</w:t>
      </w:r>
    </w:p>
    <w:p>
      <w:pPr>
        <w:pStyle w:val="DefinedTerms"/>
      </w:pPr>
      <w:r>
        <w:t>primary power</w:t>
      </w:r>
      <w:r>
        <w:tab/>
        <w:t>212</w:t>
      </w:r>
    </w:p>
    <w:p>
      <w:pPr>
        <w:pStyle w:val="DefinedTerms"/>
      </w:pPr>
      <w:r>
        <w:t>principal</w:t>
      </w:r>
      <w:r>
        <w:tab/>
        <w:t>175(1), 175(6)</w:t>
      </w:r>
    </w:p>
    <w:p>
      <w:pPr>
        <w:pStyle w:val="DefinedTerms"/>
      </w:pPr>
      <w:r>
        <w:t>proclaimed date</w:t>
      </w:r>
      <w:r>
        <w:tab/>
        <w:t>4(1), 316, Sch. 5 cl. 1(1), Sch. 7 cl. 1</w:t>
      </w:r>
    </w:p>
    <w:p>
      <w:pPr>
        <w:pStyle w:val="DefinedTerms"/>
      </w:pPr>
      <w:r>
        <w:t>prohibited drug</w:t>
      </w:r>
      <w:r>
        <w:tab/>
        <w:t>31F(1), 93Q(8)</w:t>
      </w:r>
    </w:p>
    <w:p>
      <w:pPr>
        <w:pStyle w:val="DefinedTerms"/>
      </w:pPr>
      <w:r>
        <w:t>prohibited person</w:t>
      </w:r>
      <w:r>
        <w:tab/>
        <w:t>182S(4), 195(4A)</w:t>
      </w:r>
    </w:p>
    <w:p>
      <w:pPr>
        <w:pStyle w:val="DefinedTerms"/>
      </w:pPr>
      <w:r>
        <w:t>qualifying period</w:t>
      </w:r>
      <w:r>
        <w:tab/>
        <w:t>49A</w:t>
      </w:r>
    </w:p>
    <w:p>
      <w:pPr>
        <w:pStyle w:val="DefinedTerms"/>
      </w:pPr>
      <w:r>
        <w:t>reasonable expenses referred to in clause 17(1)</w:t>
      </w:r>
      <w:r>
        <w:tab/>
        <w:t>Sch. 1 cl. 18A(1AA) &amp; 18D(1A)</w:t>
      </w:r>
    </w:p>
    <w:p>
      <w:pPr>
        <w:pStyle w:val="DefinedTerms"/>
      </w:pPr>
      <w:r>
        <w:t>redemption amount</w:t>
      </w:r>
      <w:r>
        <w:tab/>
        <w:t>Sch. 5 cl. 1(1)</w:t>
      </w:r>
    </w:p>
    <w:p>
      <w:pPr>
        <w:pStyle w:val="DefinedTerms"/>
      </w:pPr>
      <w:r>
        <w:t>registered agent</w:t>
      </w:r>
      <w:r>
        <w:tab/>
        <w:t>5(1)</w:t>
      </w:r>
    </w:p>
    <w:p>
      <w:pPr>
        <w:pStyle w:val="DefinedTerms"/>
      </w:pPr>
      <w:r>
        <w:t>registered club</w:t>
      </w:r>
      <w:r>
        <w:tab/>
        <w:t>11A(1)</w:t>
      </w:r>
    </w:p>
    <w:p>
      <w:pPr>
        <w:pStyle w:val="DefinedTerms"/>
      </w:pPr>
      <w:r>
        <w:t>Registrar</w:t>
      </w:r>
      <w:r>
        <w:tab/>
        <w:t>5(1)</w:t>
      </w:r>
    </w:p>
    <w:p>
      <w:pPr>
        <w:pStyle w:val="DefinedTerms"/>
      </w:pPr>
      <w:r>
        <w:t>relevant authority</w:t>
      </w:r>
      <w:r>
        <w:tab/>
        <w:t>144</w:t>
      </w:r>
    </w:p>
    <w:p>
      <w:pPr>
        <w:pStyle w:val="DefinedTerms"/>
      </w:pPr>
      <w:r>
        <w:t>relevant Commonwealth award</w:t>
      </w:r>
      <w:r>
        <w:tab/>
        <w:t>Sch. 1 cl. 16A(1)</w:t>
      </w:r>
    </w:p>
    <w:p>
      <w:pPr>
        <w:pStyle w:val="DefinedTerms"/>
      </w:pPr>
      <w:r>
        <w:t>relevant day</w:t>
      </w:r>
      <w:r>
        <w:tab/>
        <w:t>11A(1), Sch. 5 cl. 3(8)</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remuneration</w:t>
      </w:r>
      <w:r>
        <w:tab/>
        <w:t>159</w:t>
      </w:r>
    </w:p>
    <w:p>
      <w:pPr>
        <w:pStyle w:val="DefinedTerms"/>
      </w:pPr>
      <w:r>
        <w:t>repealed Act</w:t>
      </w:r>
      <w:r>
        <w:tab/>
        <w:t>5(1)</w:t>
      </w:r>
    </w:p>
    <w:p>
      <w:pPr>
        <w:pStyle w:val="DefinedTerms"/>
      </w:pPr>
      <w:r>
        <w:t>representative</w:t>
      </w:r>
      <w:r>
        <w:tab/>
        <w:t>265(1)</w:t>
      </w:r>
    </w:p>
    <w:p>
      <w:pPr>
        <w:pStyle w:val="DefinedTerms"/>
      </w:pPr>
      <w:r>
        <w:t>response</w:t>
      </w:r>
      <w:r>
        <w:tab/>
        <w:t>72H(1)</w:t>
      </w:r>
    </w:p>
    <w:p>
      <w:pPr>
        <w:pStyle w:val="DefinedTerms"/>
      </w:pPr>
      <w:r>
        <w:t>response period</w:t>
      </w:r>
      <w:r>
        <w:tab/>
        <w:t>72H(1)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rule</w:t>
      </w:r>
      <w:r>
        <w:tab/>
        <w:t>293(1)</w:t>
      </w:r>
    </w:p>
    <w:p>
      <w:pPr>
        <w:pStyle w:val="DefinedTerms"/>
      </w:pPr>
      <w:r>
        <w:t>rules</w:t>
      </w:r>
      <w:r>
        <w:tab/>
        <w:t>293(1)</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settlement</w:t>
      </w:r>
      <w:r>
        <w:tab/>
        <w:t>72K(1)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specified disease</w:t>
      </w:r>
      <w:r>
        <w:tab/>
        <w:t>49A</w:t>
      </w:r>
    </w:p>
    <w:p>
      <w:pPr>
        <w:pStyle w:val="DefinedTerms"/>
      </w:pPr>
      <w:r>
        <w:t>spouse</w:t>
      </w:r>
      <w:r>
        <w:tab/>
        <w:t>Sch. 5 cl. 1(1)</w:t>
      </w:r>
    </w:p>
    <w:p>
      <w:pPr>
        <w:pStyle w:val="DefinedTerms"/>
      </w:pPr>
      <w:r>
        <w:t>State</w:t>
      </w:r>
      <w:r>
        <w:tab/>
        <w:t>5(1), 20(1)</w:t>
      </w:r>
    </w:p>
    <w:p>
      <w:pPr>
        <w:pStyle w:val="DefinedTerms"/>
      </w:pPr>
      <w:r>
        <w:t>State’s legislation about damages for a work related injury</w:t>
      </w:r>
      <w:r>
        <w:tab/>
        <w:t>93AE</w:t>
      </w:r>
    </w:p>
    <w:p>
      <w:pPr>
        <w:pStyle w:val="DefinedTerms"/>
      </w:pPr>
      <w:r>
        <w:t>statutory expenses</w:t>
      </w:r>
      <w:r>
        <w:tab/>
        <w:t>182K(4)</w:t>
      </w:r>
    </w:p>
    <w:p>
      <w:pPr>
        <w:pStyle w:val="DefinedTerms"/>
      </w:pPr>
      <w:r>
        <w:t>subsequent proceeding</w:t>
      </w:r>
      <w:r>
        <w:tab/>
        <w:t>182ZM(1)</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pPr>
      <w:r>
        <w:t>trust moneys</w:t>
      </w:r>
      <w:r>
        <w:tab/>
        <w:t>72K(1)</w:t>
      </w:r>
    </w:p>
    <w:p>
      <w:pPr>
        <w:pStyle w:val="DefinedTerms"/>
      </w:pPr>
      <w:r>
        <w:t>vocational rehabilitation</w:t>
      </w:r>
      <w:r>
        <w:tab/>
        <w:t>5(1)</w:t>
      </w:r>
    </w:p>
    <w:p>
      <w:pPr>
        <w:pStyle w:val="DefinedTerms"/>
      </w:pPr>
      <w:r>
        <w:t>W</w:t>
      </w:r>
      <w:r>
        <w:tab/>
        <w:t>175AA(1)</w:t>
      </w:r>
    </w:p>
    <w:p>
      <w:pPr>
        <w:pStyle w:val="DefinedTerms"/>
      </w:pPr>
      <w:r>
        <w:t>weekly earnings</w:t>
      </w:r>
      <w:r>
        <w:tab/>
        <w:t>Sch. 1 cl. 11(1) &amp;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r>
        <w:t>WorkCover WA</w:t>
      </w:r>
      <w:r>
        <w:tab/>
        <w:t>5(1), 314(2)</w:t>
      </w:r>
    </w:p>
    <w:p>
      <w:pPr>
        <w:pStyle w:val="DefinedTerms"/>
      </w:pPr>
      <w:r>
        <w:t>worker</w:t>
      </w:r>
      <w:r>
        <w:tab/>
        <w:t>5(1), 8, 9, 10, 11A(2), 93AC, Sch. 1A cl. 1</w:t>
      </w:r>
    </w:p>
    <w:p>
      <w:pPr>
        <w:pStyle w:val="DefinedTerms"/>
      </w:pPr>
      <w:r>
        <w:t>workers’ compensation cover</w:t>
      </w:r>
      <w:r>
        <w:tab/>
        <w:t>170(7)</w:t>
      </w:r>
    </w:p>
    <w:p>
      <w:pPr>
        <w:pStyle w:val="DefinedTerms"/>
      </w:pPr>
      <w:r>
        <w:t>working director</w:t>
      </w:r>
      <w:r>
        <w:tab/>
        <w:t>10A(1)</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385</w:t>
    </w:r>
    <w:r>
      <w:rPr>
        <w:sz w:val="20"/>
      </w:rPr>
      <w:fldChar w:fldCharType="end"/>
    </w:r>
  </w:p>
  <w:p>
    <w:pPr>
      <w:pStyle w:val="Footer"/>
      <w:tabs>
        <w:tab w:val="center" w:pos="3600"/>
        <w:tab w:val="right" w:pos="7087"/>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459</w:t>
    </w:r>
    <w:r>
      <w:rPr>
        <w:sz w:val="20"/>
      </w:rPr>
      <w:fldChar w:fldCharType="end"/>
    </w:r>
  </w:p>
  <w:p>
    <w:pPr>
      <w:pStyle w:val="Footer"/>
      <w:tabs>
        <w:tab w:val="center" w:pos="3600"/>
        <w:tab w:val="right" w:pos="7087"/>
      </w:tabs>
      <w:rPr>
        <w:sz w:val="16"/>
      </w:rPr>
    </w:pPr>
    <w:r>
      <w:rPr>
        <w:sz w:val="16"/>
      </w:rPr>
      <w:tab/>
      <w:t>Published on www.legislation.wa.gov.au</w:t>
    </w:r>
    <w:r>
      <w:rPr>
        <w:sz w:val="16"/>
      </w:rPr>
      <w:tab/>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7" w:type="dxa"/>
      <w:tblLayout w:type="fixed"/>
      <w:tblCellMar>
        <w:left w:w="72" w:type="dxa"/>
        <w:right w:w="72" w:type="dxa"/>
      </w:tblCellMar>
      <w:tblLook w:val="0000" w:firstRow="0" w:lastRow="0" w:firstColumn="0" w:lastColumn="0" w:noHBand="0" w:noVBand="0"/>
    </w:tblPr>
    <w:tblGrid>
      <w:gridCol w:w="5715"/>
      <w:gridCol w:w="1552"/>
    </w:tblGrid>
    <w:tr>
      <w:trPr>
        <w:cantSplit/>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r>
    <w:t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r>
  </w:tbl>
  <w:p>
    <w:pPr>
      <w:pStyle w:val="Header"/>
      <w:pBdr>
        <w:top w:val="single" w:sz="4" w:space="1" w:color="auto"/>
      </w:pBdr>
    </w:pPr>
    <w:bookmarkStart w:id="550" w:name="Schedule"/>
    <w:bookmarkEnd w:id="55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7" w:type="dxa"/>
      <w:tblLayout w:type="fixed"/>
      <w:tblCellMar>
        <w:left w:w="72" w:type="dxa"/>
        <w:right w:w="72" w:type="dxa"/>
      </w:tblCellMar>
      <w:tblLook w:val="0000" w:firstRow="0" w:lastRow="0" w:firstColumn="0" w:lastColumn="0" w:noHBand="0" w:noVBand="0"/>
    </w:tblPr>
    <w:tblGrid>
      <w:gridCol w:w="5715"/>
      <w:gridCol w:w="1552"/>
    </w:tblGrid>
    <w:tr>
      <w:trPr>
        <w:cantSplit/>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p>
      </w:tc>
    </w:tr>
    <w:t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 when worker has died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Entitlements if the worker’s death does not result from the injury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96"/>
    </w:tblGrid>
    <w:tr>
      <w:trPr>
        <w:cantSplit/>
      </w:trPr>
      <w:tc>
        <w:tcPr>
          <w:tcW w:w="72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Compensation entitlements when worker has died</w:t>
          </w:r>
          <w:r>
            <w:fldChar w:fldCharType="end"/>
          </w:r>
        </w:p>
      </w:tc>
      <w:tc>
        <w:tcPr>
          <w:tcW w:w="1496"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Entitlements if the worker’s death does not result from the injury</w:t>
          </w:r>
          <w:r>
            <w:fldChar w:fldCharType="end"/>
          </w:r>
        </w:p>
      </w:tc>
      <w:tc>
        <w:tcPr>
          <w:tcW w:w="1496"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96"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Specified losses of functions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Specified losses of functions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r>
            <w:rPr>
              <w:b/>
            </w:rPr>
            <w:t xml:space="preserve"> </w:t>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15" w:name="Compilation"/>
    <w:bookmarkEnd w:id="615"/>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7" w:name="DefinedTerms"/>
    <w:bookmarkEnd w:id="617"/>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8" w:name="Coversheet"/>
    <w:bookmarkEnd w:id="6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1"/>
  </w:num>
  <w:num w:numId="28">
    <w:abstractNumId w:val="12"/>
  </w:num>
  <w:num w:numId="29">
    <w:abstractNumId w:val="20"/>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7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095825"/>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 w:name="WAFER_20161129151446" w:val="RemoveTocBookmarks,UpdateStyles,ResetPageSize"/>
    <w:docVar w:name="WAFER_20161129151446_GUID" w:val="8902b61c-e5e7-48df-b760-a70de4c6c1b8"/>
    <w:docVar w:name="WAFER_20170119134615" w:val="RemoveTocBookmarks,RemoveUnusedBookmarks,RemoveLanguageTags,UsedStyles,ResetPageSize"/>
    <w:docVar w:name="WAFER_20170119134615_GUID" w:val="1108c343-3e27-48e0-8bba-45a7f4f72b8f"/>
    <w:docVar w:name="WAFER_20170815091216" w:val="RemoveTocBookmarks,RemoveUnusedBookmarks,RemoveLanguageTags,UsedStyles,ResetPageSize,RemoveCustomizations"/>
    <w:docVar w:name="WAFER_20170815091216_GUID" w:val="7c0189e4-cea3-455f-9711-4196cc34833c"/>
    <w:docVar w:name="WAFER_20171012113954" w:val="RemoveTocBookmarks,RemoveUnusedBookmarks,RemoveLanguageTags,UsedStyles,RemoveTrackChanges"/>
    <w:docVar w:name="WAFER_20171012113954_GUID" w:val="1992767f-72b6-4f86-8162-6c87fe79a3b1"/>
    <w:docVar w:name="WAFER_20171012114016" w:val="RemoveTocBookmarks,RemoveLanguageTags,RemoveTrackChanges,RunningHeaders"/>
    <w:docVar w:name="WAFER_20171012114016_GUID" w:val="ef68b82f-9caa-447d-9cf3-8ed86e32d247"/>
    <w:docVar w:name="WAFER_20180621113218" w:val="RemoveTocBookmarks,RemoveUnusedBookmarks,RemoveLanguageTags,UsedStyles,ResetPageSize"/>
    <w:docVar w:name="WAFER_20180621113218_GUID" w:val="bcd6f0c3-51eb-4df4-929c-5106279be0de"/>
    <w:docVar w:name="WAFER_20180628151036" w:val="RemoveTocBookmarks,RemoveUnusedBookmarks,RemoveLanguageTags,UsedStyles,ResetPageSize"/>
    <w:docVar w:name="WAFER_20180628151036_GUID" w:val="a5f29460-1c03-4632-b195-f599462b093d"/>
    <w:docVar w:name="WAFER_202002120958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5825_GUID" w:val="49c68bf6-8c89-4a78-9291-9762aca782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7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header" Target="header25.xml"/><Relationship Id="rId47" Type="http://schemas.openxmlformats.org/officeDocument/2006/relationships/footer" Target="footer10.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header" Target="header21.xml"/><Relationship Id="rId46"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2.png"/><Relationship Id="rId49"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43" Type="http://schemas.openxmlformats.org/officeDocument/2006/relationships/header" Target="header26.xml"/><Relationship Id="rId48" Type="http://schemas.openxmlformats.org/officeDocument/2006/relationships/header" Target="header29.xml"/><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486</Pages>
  <Words>130033</Words>
  <Characters>624160</Characters>
  <Application>Microsoft Office Word</Application>
  <DocSecurity>0</DocSecurity>
  <Lines>16425</Lines>
  <Paragraphs>8379</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745814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1981 - 12-d0-01</dc:title>
  <dc:subject/>
  <dc:creator/>
  <cp:keywords/>
  <dc:description/>
  <cp:lastModifiedBy>svcMRProcess</cp:lastModifiedBy>
  <cp:revision>4</cp:revision>
  <cp:lastPrinted>2018-06-29T07:42:00Z</cp:lastPrinted>
  <dcterms:created xsi:type="dcterms:W3CDTF">2020-02-25T06:42:00Z</dcterms:created>
  <dcterms:modified xsi:type="dcterms:W3CDTF">2020-02-25T06:42:00Z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DocumentType">
    <vt:lpwstr>Act</vt:lpwstr>
  </property>
  <property fmtid="{D5CDD505-2E9C-101B-9397-08002B2CF9AE}" pid="4" name="OwlsUID">
    <vt:i4>915</vt:i4>
  </property>
  <property fmtid="{D5CDD505-2E9C-101B-9397-08002B2CF9AE}" pid="5" name="ReprintedAsAt">
    <vt:filetime>2017-11-23T16:00:00Z</vt:filetime>
  </property>
  <property fmtid="{D5CDD505-2E9C-101B-9397-08002B2CF9AE}" pid="6" name="ReprintNo">
    <vt:lpwstr>12</vt:lpwstr>
  </property>
  <property fmtid="{D5CDD505-2E9C-101B-9397-08002B2CF9AE}" pid="7" name="AsAtDate">
    <vt:lpwstr>18 Sep 2019</vt:lpwstr>
  </property>
  <property fmtid="{D5CDD505-2E9C-101B-9397-08002B2CF9AE}" pid="8" name="Suffix">
    <vt:lpwstr>12-d0-01</vt:lpwstr>
  </property>
  <property fmtid="{D5CDD505-2E9C-101B-9397-08002B2CF9AE}" pid="9" name="CommencementDate">
    <vt:lpwstr>20190918</vt:lpwstr>
  </property>
</Properties>
</file>