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Greyhound Racing Association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Greyhound Racing Association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_Toc32398382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_Toc32398383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_Toc32398384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Greyhound Racing Association</w:t>
      </w:r>
    </w:p>
    <w:p>
      <w:pPr>
        <w:pStyle w:val="TOC8"/>
        <w:rPr>
          <w:rFonts w:asciiTheme="minorHAnsi" w:eastAsiaTheme="minorEastAsia" w:hAnsiTheme="minorHAnsi" w:cstheme="minorBidi"/>
          <w:szCs w:val="22"/>
        </w:rPr>
      </w:pPr>
      <w:r>
        <w:t>5</w:t>
      </w:r>
      <w:r>
        <w:rPr>
          <w:snapToGrid w:val="0"/>
        </w:rPr>
        <w:t>.</w:t>
      </w:r>
      <w:r>
        <w:rPr>
          <w:snapToGrid w:val="0"/>
        </w:rPr>
        <w:tab/>
        <w:t xml:space="preserve">Establishment of </w:t>
      </w:r>
      <w:r>
        <w:t>Association</w:t>
      </w:r>
      <w:r>
        <w:tab/>
      </w:r>
      <w:r>
        <w:fldChar w:fldCharType="begin"/>
      </w:r>
      <w:r>
        <w:instrText xml:space="preserve"> PAGEREF _Toc32398386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 xml:space="preserve">Association </w:t>
      </w:r>
      <w:r>
        <w:rPr>
          <w:snapToGrid w:val="0"/>
        </w:rPr>
        <w:t>does not represent the Crown</w:t>
      </w:r>
      <w:r>
        <w:tab/>
      </w:r>
      <w:r>
        <w:fldChar w:fldCharType="begin"/>
      </w:r>
      <w:r>
        <w:instrText xml:space="preserve"> PAGEREF _Toc32398387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w:t>
      </w:r>
      <w:r>
        <w:t>Association</w:t>
      </w:r>
      <w:r>
        <w:tab/>
      </w:r>
      <w:r>
        <w:fldChar w:fldCharType="begin"/>
      </w:r>
      <w:r>
        <w:instrText xml:space="preserve"> PAGEREF _Toc32398388 \h </w:instrText>
      </w:r>
      <w:r>
        <w:fldChar w:fldCharType="separate"/>
      </w:r>
      <w:r>
        <w:t>5</w:t>
      </w:r>
      <w:r>
        <w:fldChar w:fldCharType="end"/>
      </w:r>
    </w:p>
    <w:p>
      <w:pPr>
        <w:pStyle w:val="TOC8"/>
        <w:rPr>
          <w:rFonts w:asciiTheme="minorHAnsi" w:eastAsiaTheme="minorEastAsia" w:hAnsiTheme="minorHAnsi" w:cstheme="minorBidi"/>
          <w:szCs w:val="22"/>
        </w:rPr>
      </w:pPr>
      <w:r>
        <w:t>7A.</w:t>
      </w:r>
      <w:r>
        <w:tab/>
        <w:t>Powers of the Association</w:t>
      </w:r>
      <w:r>
        <w:tab/>
      </w:r>
      <w:r>
        <w:fldChar w:fldCharType="begin"/>
      </w:r>
      <w:r>
        <w:instrText xml:space="preserve"> PAGEREF _Toc32398389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Delegation</w:t>
      </w:r>
      <w:r>
        <w:tab/>
      </w:r>
      <w:r>
        <w:fldChar w:fldCharType="begin"/>
      </w:r>
      <w:r>
        <w:instrText xml:space="preserve"> PAGEREF _Toc32398390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The board, Chairman, Deputy Chairman and staff of the Association</w:t>
      </w:r>
    </w:p>
    <w:p>
      <w:pPr>
        <w:pStyle w:val="TOC8"/>
        <w:rPr>
          <w:rFonts w:asciiTheme="minorHAnsi" w:eastAsiaTheme="minorEastAsia" w:hAnsiTheme="minorHAnsi" w:cstheme="minorBidi"/>
          <w:szCs w:val="22"/>
        </w:rPr>
      </w:pPr>
      <w:r>
        <w:t>9</w:t>
      </w:r>
      <w:r>
        <w:rPr>
          <w:snapToGrid w:val="0"/>
        </w:rPr>
        <w:t>.</w:t>
      </w:r>
      <w:r>
        <w:rPr>
          <w:snapToGrid w:val="0"/>
        </w:rPr>
        <w:tab/>
        <w:t>The board</w:t>
      </w:r>
      <w:r>
        <w:tab/>
      </w:r>
      <w:r>
        <w:fldChar w:fldCharType="begin"/>
      </w:r>
      <w:r>
        <w:instrText xml:space="preserve"> PAGEREF _Toc32398392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Functions, duties and powers</w:t>
      </w:r>
      <w:r>
        <w:tab/>
      </w:r>
      <w:r>
        <w:fldChar w:fldCharType="begin"/>
      </w:r>
      <w:r>
        <w:instrText xml:space="preserve"> PAGEREF _Toc32398393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subject to Minister</w:t>
      </w:r>
      <w:r>
        <w:tab/>
      </w:r>
      <w:r>
        <w:fldChar w:fldCharType="begin"/>
      </w:r>
      <w:r>
        <w:instrText xml:space="preserve"> PAGEREF _Toc32398394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Composition of board</w:t>
      </w:r>
      <w:r>
        <w:tab/>
      </w:r>
      <w:r>
        <w:fldChar w:fldCharType="begin"/>
      </w:r>
      <w:r>
        <w:instrText xml:space="preserve"> PAGEREF _Toc32398395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Chairman and Deputy Chairman of </w:t>
      </w:r>
      <w:r>
        <w:t>Association</w:t>
      </w:r>
      <w:r>
        <w:tab/>
      </w:r>
      <w:r>
        <w:fldChar w:fldCharType="begin"/>
      </w:r>
      <w:r>
        <w:instrText xml:space="preserve"> PAGEREF _Toc32398396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Schedule 1 applicable to board</w:t>
      </w:r>
      <w:r>
        <w:tab/>
      </w:r>
      <w:r>
        <w:fldChar w:fldCharType="begin"/>
      </w:r>
      <w:r>
        <w:instrText xml:space="preserve"> PAGEREF _Toc32398397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Staff of </w:t>
      </w:r>
      <w:r>
        <w:t>Association</w:t>
      </w:r>
      <w:r>
        <w:tab/>
      </w:r>
      <w:r>
        <w:fldChar w:fldCharType="begin"/>
      </w:r>
      <w:r>
        <w:instrText xml:space="preserve"> PAGEREF _Toc32398398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Finance</w:t>
      </w:r>
    </w:p>
    <w:p>
      <w:pPr>
        <w:pStyle w:val="TOC8"/>
        <w:rPr>
          <w:rFonts w:asciiTheme="minorHAnsi" w:eastAsiaTheme="minorEastAsia" w:hAnsiTheme="minorHAnsi" w:cstheme="minorBidi"/>
          <w:szCs w:val="22"/>
        </w:rPr>
      </w:pPr>
      <w:r>
        <w:t>16</w:t>
      </w:r>
      <w:r>
        <w:rPr>
          <w:snapToGrid w:val="0"/>
        </w:rPr>
        <w:t>.</w:t>
      </w:r>
      <w:r>
        <w:rPr>
          <w:snapToGrid w:val="0"/>
        </w:rPr>
        <w:tab/>
        <w:t>The Fund</w:t>
      </w:r>
      <w:r>
        <w:tab/>
      </w:r>
      <w:r>
        <w:fldChar w:fldCharType="begin"/>
      </w:r>
      <w:r>
        <w:instrText xml:space="preserve"> PAGEREF _Toc32398400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Investment</w:t>
      </w:r>
      <w:r>
        <w:tab/>
      </w:r>
      <w:r>
        <w:fldChar w:fldCharType="begin"/>
      </w:r>
      <w:r>
        <w:instrText xml:space="preserve"> PAGEREF _Toc32398401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of</w:t>
      </w:r>
      <w:r>
        <w:rPr>
          <w:i/>
        </w:rPr>
        <w:t xml:space="preserve"> Financial Management Act 2006</w:t>
      </w:r>
      <w:r>
        <w:t xml:space="preserve"> and the </w:t>
      </w:r>
      <w:r>
        <w:rPr>
          <w:i/>
        </w:rPr>
        <w:t>Auditor General Act 2006</w:t>
      </w:r>
      <w:r>
        <w:tab/>
      </w:r>
      <w:r>
        <w:fldChar w:fldCharType="begin"/>
      </w:r>
      <w:r>
        <w:instrText xml:space="preserve"> PAGEREF _Toc32398402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enforcement</w:t>
      </w:r>
    </w:p>
    <w:p>
      <w:pPr>
        <w:pStyle w:val="TOC8"/>
        <w:rPr>
          <w:rFonts w:asciiTheme="minorHAnsi" w:eastAsiaTheme="minorEastAsia" w:hAnsiTheme="minorHAnsi" w:cstheme="minorBidi"/>
          <w:szCs w:val="22"/>
        </w:rPr>
      </w:pPr>
      <w:r>
        <w:t>21.</w:t>
      </w:r>
      <w:r>
        <w:tab/>
        <w:t>Preventing performance of powers and functions</w:t>
      </w:r>
      <w:r>
        <w:tab/>
      </w:r>
      <w:r>
        <w:fldChar w:fldCharType="begin"/>
      </w:r>
      <w:r>
        <w:instrText xml:space="preserve"> PAGEREF _Toc32398404 \h </w:instrText>
      </w:r>
      <w:r>
        <w:fldChar w:fldCharType="separate"/>
      </w:r>
      <w:r>
        <w:t>12</w:t>
      </w:r>
      <w:r>
        <w:fldChar w:fldCharType="end"/>
      </w:r>
    </w:p>
    <w:p>
      <w:pPr>
        <w:pStyle w:val="TOC8"/>
        <w:rPr>
          <w:rFonts w:asciiTheme="minorHAnsi" w:eastAsiaTheme="minorEastAsia" w:hAnsiTheme="minorHAnsi" w:cstheme="minorBidi"/>
          <w:szCs w:val="22"/>
        </w:rPr>
      </w:pPr>
      <w:r>
        <w:t>22.</w:t>
      </w:r>
      <w:r>
        <w:tab/>
        <w:t>False or misleading statements</w:t>
      </w:r>
      <w:r>
        <w:tab/>
      </w:r>
      <w:r>
        <w:fldChar w:fldCharType="begin"/>
      </w:r>
      <w:r>
        <w:instrText xml:space="preserve"> PAGEREF _Toc32398405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32</w:t>
      </w:r>
      <w:r>
        <w:rPr>
          <w:snapToGrid w:val="0"/>
        </w:rPr>
        <w:t>.</w:t>
      </w:r>
      <w:r>
        <w:rPr>
          <w:snapToGrid w:val="0"/>
        </w:rPr>
        <w:tab/>
        <w:t>Information and annual report</w:t>
      </w:r>
      <w:r>
        <w:tab/>
      </w:r>
      <w:r>
        <w:fldChar w:fldCharType="begin"/>
      </w:r>
      <w:r>
        <w:instrText xml:space="preserve"> PAGEREF _Toc32398407 \h </w:instrText>
      </w:r>
      <w:r>
        <w:fldChar w:fldCharType="separate"/>
      </w:r>
      <w:r>
        <w:t>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Recovery of money</w:t>
      </w:r>
      <w:r>
        <w:tab/>
      </w:r>
      <w:r>
        <w:fldChar w:fldCharType="begin"/>
      </w:r>
      <w:r>
        <w:instrText xml:space="preserve"> PAGEREF _Toc32398408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How legal proceedings taken</w:t>
      </w:r>
      <w:r>
        <w:tab/>
      </w:r>
      <w:r>
        <w:fldChar w:fldCharType="begin"/>
      </w:r>
      <w:r>
        <w:instrText xml:space="preserve"> PAGEREF _Toc32398409 \h </w:instrText>
      </w:r>
      <w:r>
        <w:fldChar w:fldCharType="separate"/>
      </w:r>
      <w:r>
        <w:t>13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Protection from liability etc.</w:t>
      </w:r>
      <w:r>
        <w:tab/>
      </w:r>
      <w:r>
        <w:fldChar w:fldCharType="begin"/>
      </w:r>
      <w:r>
        <w:instrText xml:space="preserve"> PAGEREF _Toc32398410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Publication of proceedings, etc., of greyhound racing inquiries privileged</w:t>
      </w:r>
      <w:r>
        <w:tab/>
      </w:r>
      <w:r>
        <w:fldChar w:fldCharType="begin"/>
      </w:r>
      <w:r>
        <w:instrText xml:space="preserve"> PAGEREF _Toc32398411 \h </w:instrText>
      </w:r>
      <w:r>
        <w:fldChar w:fldCharType="separate"/>
      </w:r>
      <w:r>
        <w:t>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_Toc32398412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VIII — Repeal, transitional and saving</w:t>
      </w:r>
    </w:p>
    <w:p>
      <w:pPr>
        <w:pStyle w:val="TOC8"/>
        <w:rPr>
          <w:rFonts w:asciiTheme="minorHAnsi" w:eastAsiaTheme="minorEastAsia" w:hAnsiTheme="minorHAnsi" w:cstheme="minorBidi"/>
          <w:szCs w:val="22"/>
        </w:rPr>
      </w:pPr>
      <w:r>
        <w:t>40</w:t>
      </w:r>
      <w:r>
        <w:rPr>
          <w:snapToGrid w:val="0"/>
        </w:rPr>
        <w:t>.</w:t>
      </w:r>
      <w:r>
        <w:rPr>
          <w:snapToGrid w:val="0"/>
        </w:rPr>
        <w:tab/>
        <w:t>Conduct of greyhound racing at Cannington race course</w:t>
      </w:r>
      <w:r>
        <w:tab/>
      </w:r>
      <w:r>
        <w:fldChar w:fldCharType="begin"/>
      </w:r>
      <w:r>
        <w:instrText xml:space="preserve"> PAGEREF _Toc32398414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board</w:t>
      </w:r>
    </w:p>
    <w:p>
      <w:pPr>
        <w:pStyle w:val="TOC8"/>
        <w:rPr>
          <w:rFonts w:asciiTheme="minorHAnsi" w:eastAsiaTheme="minorEastAsia" w:hAnsiTheme="minorHAnsi" w:cstheme="minorBidi"/>
          <w:szCs w:val="22"/>
        </w:rPr>
      </w:pPr>
      <w:r>
        <w:t>1.</w:t>
      </w:r>
      <w:r>
        <w:tab/>
        <w:t>Term of office of member</w:t>
      </w:r>
      <w:r>
        <w:tab/>
      </w:r>
      <w:r>
        <w:fldChar w:fldCharType="begin"/>
      </w:r>
      <w:r>
        <w:instrText xml:space="preserve"> PAGEREF _Toc32398416 \h </w:instrText>
      </w:r>
      <w:r>
        <w:fldChar w:fldCharType="separate"/>
      </w:r>
      <w:r>
        <w:t>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 of Chairman and Deputy Chairman</w:t>
      </w:r>
      <w:r>
        <w:tab/>
      </w:r>
      <w:r>
        <w:fldChar w:fldCharType="begin"/>
      </w:r>
      <w:r>
        <w:instrText xml:space="preserve"> PAGEREF _Toc32398417 \h </w:instrText>
      </w:r>
      <w:r>
        <w:fldChar w:fldCharType="separate"/>
      </w:r>
      <w:r>
        <w:t>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Meetings of the board</w:t>
      </w:r>
      <w:r>
        <w:tab/>
      </w:r>
      <w:r>
        <w:fldChar w:fldCharType="begin"/>
      </w:r>
      <w:r>
        <w:instrText xml:space="preserve"> PAGEREF _Toc32398418 \h </w:instrText>
      </w:r>
      <w:r>
        <w:fldChar w:fldCharType="separate"/>
      </w:r>
      <w:r>
        <w:t>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w:t>
      </w:r>
      <w:r>
        <w:tab/>
      </w:r>
      <w:r>
        <w:fldChar w:fldCharType="begin"/>
      </w:r>
      <w:r>
        <w:instrText xml:space="preserve"> PAGEREF _Toc32398419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acts</w:t>
      </w:r>
      <w:r>
        <w:tab/>
      </w:r>
      <w:r>
        <w:fldChar w:fldCharType="begin"/>
      </w:r>
      <w:r>
        <w:instrText xml:space="preserve"> PAGEREF _Toc32398420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as to take</w:t>
      </w:r>
      <w:r>
        <w:noBreakHyphen/>
        <w:t>over by Association of conduct of operations at Cannington race course</w:t>
      </w:r>
    </w:p>
    <w:p>
      <w:pPr>
        <w:pStyle w:val="TOC8"/>
        <w:rPr>
          <w:rFonts w:asciiTheme="minorHAnsi" w:eastAsiaTheme="minorEastAsia" w:hAnsiTheme="minorHAnsi" w:cstheme="minorBidi"/>
          <w:szCs w:val="22"/>
        </w:rPr>
      </w:pPr>
      <w:r>
        <w:t>1</w:t>
      </w:r>
      <w:r>
        <w:rPr>
          <w:snapToGrid w:val="0"/>
        </w:rPr>
        <w:t>.</w:t>
      </w:r>
      <w:r>
        <w:rPr>
          <w:snapToGrid w:val="0"/>
        </w:rPr>
        <w:tab/>
        <w:t>Definitions of terms in this Schedule</w:t>
      </w:r>
      <w:r>
        <w:tab/>
      </w:r>
      <w:r>
        <w:fldChar w:fldCharType="begin"/>
      </w:r>
      <w:r>
        <w:instrText xml:space="preserve"> PAGEREF _Toc32398422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Lease of Cannington race course</w:t>
      </w:r>
      <w:r>
        <w:tab/>
      </w:r>
      <w:r>
        <w:fldChar w:fldCharType="begin"/>
      </w:r>
      <w:r>
        <w:instrText xml:space="preserve"> PAGEREF _Toc32398423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Termination of licence and permit</w:t>
      </w:r>
      <w:r>
        <w:tab/>
      </w:r>
      <w:r>
        <w:fldChar w:fldCharType="begin"/>
      </w:r>
      <w:r>
        <w:instrText xml:space="preserve"> PAGEREF _Toc32398424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Transfer of assets, liabilities, obligations and staff of club</w:t>
      </w:r>
      <w:r>
        <w:tab/>
      </w:r>
      <w:r>
        <w:fldChar w:fldCharType="begin"/>
      </w:r>
      <w:r>
        <w:instrText xml:space="preserve"> PAGEREF _Toc32398425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Staff</w:t>
      </w:r>
      <w:r>
        <w:tab/>
      </w:r>
      <w:r>
        <w:fldChar w:fldCharType="begin"/>
      </w:r>
      <w:r>
        <w:instrText xml:space="preserve"> PAGEREF _Toc32398426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_Toc32398428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_Toc32398429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_Toc32398430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pPr>
      <w:r>
        <w:t>Western Australian Greyhound Racing Association Act 1981</w:t>
      </w:r>
    </w:p>
    <w:p>
      <w:pPr>
        <w:pStyle w:val="LongTitle"/>
        <w:rPr>
          <w:snapToGrid w:val="0"/>
        </w:rPr>
      </w:pPr>
      <w:r>
        <w:rPr>
          <w:snapToGrid w:val="0"/>
        </w:rPr>
        <w:t>An Act relating to greyhound racing; establishing the Western Australian Greyhound Racing Association; and for incidental and other purposes.</w:t>
      </w:r>
    </w:p>
    <w:p>
      <w:pPr>
        <w:pStyle w:val="Footnotesection"/>
      </w:pPr>
      <w:r>
        <w:tab/>
        <w:t>[Long title amended: No. 23 of 1998 s. 16(1); No. 35 of 2003 s. 196.]</w:t>
      </w:r>
    </w:p>
    <w:p>
      <w:pPr>
        <w:pStyle w:val="Heading2"/>
      </w:pPr>
      <w:bookmarkStart w:id="3" w:name="_Toc32398330"/>
      <w:bookmarkStart w:id="4" w:name="_Toc32398381"/>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39838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rPr>
        <w:t>.</w:t>
      </w:r>
    </w:p>
    <w:p>
      <w:pPr>
        <w:pStyle w:val="Footnotesection"/>
      </w:pPr>
      <w:r>
        <w:tab/>
        <w:t>[Section 1 amended: No. 23 of 1998 s. 16(1); No. 35 of 2003 s. 197.]</w:t>
      </w:r>
    </w:p>
    <w:p>
      <w:pPr>
        <w:pStyle w:val="Heading5"/>
        <w:rPr>
          <w:snapToGrid w:val="0"/>
        </w:rPr>
      </w:pPr>
      <w:bookmarkStart w:id="6" w:name="_Toc3239838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date or dates as is or are respectively fixed by proclamation.</w:t>
      </w:r>
    </w:p>
    <w:p>
      <w:pPr>
        <w:pStyle w:val="Ednotesection"/>
      </w:pPr>
      <w:r>
        <w:t>[</w:t>
      </w:r>
      <w:r>
        <w:rPr>
          <w:b/>
        </w:rPr>
        <w:t>3.</w:t>
      </w:r>
      <w:r>
        <w:tab/>
        <w:t>Deleted: No. 35 of 2003 s. 198.]</w:t>
      </w:r>
    </w:p>
    <w:p>
      <w:pPr>
        <w:pStyle w:val="Heading5"/>
        <w:rPr>
          <w:snapToGrid w:val="0"/>
        </w:rPr>
      </w:pPr>
      <w:bookmarkStart w:id="7" w:name="_Toc32398384"/>
      <w:r>
        <w:rPr>
          <w:rStyle w:val="CharSectno"/>
        </w:rPr>
        <w:t>4</w:t>
      </w:r>
      <w:r>
        <w:rPr>
          <w:snapToGrid w:val="0"/>
        </w:rPr>
        <w:t>.</w:t>
      </w:r>
      <w:r>
        <w:rPr>
          <w:snapToGrid w:val="0"/>
        </w:rPr>
        <w:tab/>
        <w:t>Interpretation</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Association</w:t>
      </w:r>
      <w:r>
        <w:t xml:space="preserve"> means the Western Australian Greyhound Racing Association established by this Act;</w:t>
      </w:r>
    </w:p>
    <w:p>
      <w:pPr>
        <w:pStyle w:val="Defstart"/>
      </w:pPr>
      <w:r>
        <w:rPr>
          <w:b/>
        </w:rPr>
        <w:tab/>
      </w:r>
      <w:r>
        <w:rPr>
          <w:rStyle w:val="CharDefText"/>
        </w:rPr>
        <w:t>Chairman</w:t>
      </w:r>
      <w:r>
        <w:t xml:space="preserve"> means Chairman of the Association;</w:t>
      </w:r>
    </w:p>
    <w:p>
      <w:pPr>
        <w:pStyle w:val="Defstart"/>
      </w:pPr>
      <w:r>
        <w:rPr>
          <w:b/>
        </w:rPr>
        <w:tab/>
      </w:r>
      <w:r>
        <w:rPr>
          <w:rStyle w:val="CharDefText"/>
        </w:rPr>
        <w:t>Chief Executive Officer</w:t>
      </w:r>
      <w:r>
        <w:t xml:space="preserve"> means Chief Executive Officer of the Association;</w:t>
      </w:r>
    </w:p>
    <w:p>
      <w:pPr>
        <w:pStyle w:val="Defstart"/>
      </w:pPr>
      <w:r>
        <w:rPr>
          <w:b/>
        </w:rPr>
        <w:tab/>
      </w:r>
      <w:r>
        <w:rPr>
          <w:rStyle w:val="CharDefText"/>
        </w:rPr>
        <w:t>Deputy Chairman</w:t>
      </w:r>
      <w:r>
        <w:t xml:space="preserve"> means Deputy Chairman of the Association;</w:t>
      </w:r>
    </w:p>
    <w:p>
      <w:pPr>
        <w:pStyle w:val="Defstart"/>
      </w:pPr>
      <w:r>
        <w:rPr>
          <w:b/>
        </w:rPr>
        <w:tab/>
      </w:r>
      <w:r>
        <w:rPr>
          <w:rStyle w:val="CharDefText"/>
        </w:rPr>
        <w:t>Fund</w:t>
      </w:r>
      <w:r>
        <w:t xml:space="preserve"> means the Western Australian Greyhound Racing Association Fund established and maintained under section 16;</w:t>
      </w:r>
    </w:p>
    <w:p>
      <w:pPr>
        <w:pStyle w:val="Defstart"/>
      </w:pPr>
      <w:r>
        <w:rPr>
          <w:b/>
        </w:rPr>
        <w:tab/>
      </w:r>
      <w:r>
        <w:rPr>
          <w:rStyle w:val="CharDefText"/>
        </w:rPr>
        <w:t>greyhound racing</w:t>
      </w:r>
      <w:r>
        <w:t xml:space="preserve"> means racing between greyhounds in competitive pursuit of an artificial lure;</w:t>
      </w:r>
    </w:p>
    <w:p>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pPr>
        <w:pStyle w:val="Defstart"/>
      </w:pPr>
      <w:r>
        <w:rPr>
          <w:b/>
        </w:rPr>
        <w:tab/>
      </w:r>
      <w:r>
        <w:rPr>
          <w:rStyle w:val="CharDefText"/>
        </w:rPr>
        <w:t>lessee</w:t>
      </w:r>
      <w:r>
        <w:t xml:space="preserve"> means lessee of a greyhound;</w:t>
      </w:r>
    </w:p>
    <w:p>
      <w:pPr>
        <w:pStyle w:val="Defstart"/>
      </w:pPr>
      <w:r>
        <w:tab/>
      </w:r>
      <w:r>
        <w:rPr>
          <w:rStyle w:val="CharDefText"/>
        </w:rPr>
        <w:t>licensed</w:t>
      </w:r>
      <w:r>
        <w:t>, in relation to a race course, means licensed by RWWA under the RWWA Act;</w:t>
      </w:r>
    </w:p>
    <w:p>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pPr>
        <w:pStyle w:val="Defstart"/>
      </w:pPr>
      <w:r>
        <w:rPr>
          <w:b/>
        </w:rPr>
        <w:tab/>
      </w:r>
      <w:r>
        <w:rPr>
          <w:rStyle w:val="CharDefText"/>
        </w:rPr>
        <w:t>owner</w:t>
      </w:r>
      <w:r>
        <w:t xml:space="preserve"> means owner of a greyhound;</w:t>
      </w:r>
    </w:p>
    <w:p>
      <w:pPr>
        <w:pStyle w:val="Defstart"/>
      </w:pPr>
      <w:r>
        <w:rPr>
          <w:b/>
        </w:rPr>
        <w:tab/>
      </w:r>
      <w:r>
        <w:rPr>
          <w:rStyle w:val="CharDefText"/>
        </w:rPr>
        <w:t>race course</w:t>
      </w:r>
      <w:r>
        <w:t xml:space="preserve"> means any place at which greyhound racing is or may be conducted;</w:t>
      </w:r>
    </w:p>
    <w:p>
      <w:pPr>
        <w:pStyle w:val="Defstart"/>
      </w:pPr>
      <w:r>
        <w:rPr>
          <w:b/>
        </w:rPr>
        <w:tab/>
      </w:r>
      <w:r>
        <w:rPr>
          <w:rStyle w:val="CharDefText"/>
        </w:rPr>
        <w:t>race meeting</w:t>
      </w:r>
      <w:r>
        <w:t xml:space="preserve"> means a meeting for greyhound racing;</w:t>
      </w:r>
    </w:p>
    <w:p>
      <w:pPr>
        <w:pStyle w:val="Defstart"/>
      </w:pPr>
      <w:r>
        <w:tab/>
      </w:r>
      <w:r>
        <w:rPr>
          <w:rStyle w:val="CharDefText"/>
        </w:rPr>
        <w:t>registered</w:t>
      </w:r>
      <w:r>
        <w:t xml:space="preserve"> means registered by RWWA under the RWWA Act;</w:t>
      </w:r>
    </w:p>
    <w:p>
      <w:pPr>
        <w:pStyle w:val="Defstart"/>
      </w:pPr>
      <w:r>
        <w:tab/>
      </w:r>
      <w:r>
        <w:rPr>
          <w:rStyle w:val="CharDefText"/>
        </w:rPr>
        <w:t>rules of racing</w:t>
      </w:r>
      <w:r>
        <w:t xml:space="preserve"> means rules made by RWWA under section 45 of the RWWA Act;</w:t>
      </w:r>
    </w:p>
    <w:p>
      <w:pPr>
        <w:pStyle w:val="Defstart"/>
      </w:pPr>
      <w:r>
        <w:rPr>
          <w:b/>
        </w:rP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trainer</w:t>
      </w:r>
      <w:r>
        <w:t xml:space="preserve"> means trainer of a greyhound.</w:t>
      </w:r>
    </w:p>
    <w:p>
      <w:pPr>
        <w:pStyle w:val="Footnotesection"/>
      </w:pPr>
      <w:r>
        <w:tab/>
        <w:t>[Section 4 amended: No. 23 of 1998 s. 4, 16(1) and 17(1); No. 35 of 2003 s. 199 and 218.]</w:t>
      </w:r>
    </w:p>
    <w:p>
      <w:pPr>
        <w:pStyle w:val="Heading2"/>
      </w:pPr>
      <w:bookmarkStart w:id="8" w:name="_Toc32398334"/>
      <w:bookmarkStart w:id="9" w:name="_Toc32398385"/>
      <w:r>
        <w:rPr>
          <w:rStyle w:val="CharPartNo"/>
        </w:rPr>
        <w:t>Part II</w:t>
      </w:r>
      <w:r>
        <w:rPr>
          <w:rStyle w:val="CharDivNo"/>
        </w:rPr>
        <w:t> </w:t>
      </w:r>
      <w:r>
        <w:t>—</w:t>
      </w:r>
      <w:r>
        <w:rPr>
          <w:rStyle w:val="CharDivText"/>
        </w:rPr>
        <w:t> </w:t>
      </w:r>
      <w:r>
        <w:rPr>
          <w:rStyle w:val="CharPartText"/>
        </w:rPr>
        <w:t>Western Australian Greyhound Racing Association</w:t>
      </w:r>
      <w:bookmarkEnd w:id="8"/>
      <w:bookmarkEnd w:id="9"/>
    </w:p>
    <w:p>
      <w:pPr>
        <w:pStyle w:val="Footnoteheading"/>
      </w:pPr>
      <w:r>
        <w:tab/>
        <w:t>[Heading amended: No. 23 of 1998 s. 16(1); No. 35 of 2003 s. 200.]</w:t>
      </w:r>
    </w:p>
    <w:p>
      <w:pPr>
        <w:pStyle w:val="Heading5"/>
        <w:spacing w:before="260"/>
        <w:rPr>
          <w:snapToGrid w:val="0"/>
        </w:rPr>
      </w:pPr>
      <w:bookmarkStart w:id="10" w:name="_Toc32398386"/>
      <w:r>
        <w:rPr>
          <w:rStyle w:val="CharSectno"/>
        </w:rPr>
        <w:t>5</w:t>
      </w:r>
      <w:r>
        <w:rPr>
          <w:snapToGrid w:val="0"/>
        </w:rPr>
        <w:t>.</w:t>
      </w:r>
      <w:r>
        <w:rPr>
          <w:snapToGrid w:val="0"/>
        </w:rPr>
        <w:tab/>
        <w:t xml:space="preserve">Establishment of </w:t>
      </w:r>
      <w:r>
        <w:t>Association</w:t>
      </w:r>
      <w:bookmarkEnd w:id="10"/>
    </w:p>
    <w:p>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pPr>
        <w:pStyle w:val="Indenta"/>
        <w:rPr>
          <w:snapToGrid w:val="0"/>
        </w:rPr>
      </w:pPr>
      <w:r>
        <w:rPr>
          <w:snapToGrid w:val="0"/>
        </w:rPr>
        <w:tab/>
        <w:t>(a)</w:t>
      </w:r>
      <w:r>
        <w:rPr>
          <w:snapToGrid w:val="0"/>
        </w:rPr>
        <w:tab/>
        <w:t>sue and be sued in any court;</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enter into agreements, guarantees, indemnities and other contractual arrangements;</w:t>
      </w:r>
    </w:p>
    <w:p>
      <w:pPr>
        <w:pStyle w:val="Indenta"/>
        <w:rPr>
          <w:snapToGrid w:val="0"/>
        </w:rPr>
      </w:pPr>
      <w:r>
        <w:rPr>
          <w:snapToGrid w:val="0"/>
        </w:rPr>
        <w:tab/>
        <w:t>(d)</w:t>
      </w:r>
      <w:r>
        <w:rPr>
          <w:snapToGrid w:val="0"/>
        </w:rPr>
        <w:tab/>
        <w:t>borrow money;</w:t>
      </w:r>
    </w:p>
    <w:p>
      <w:pPr>
        <w:pStyle w:val="Indenta"/>
        <w:rPr>
          <w:snapToGrid w:val="0"/>
        </w:rPr>
      </w:pPr>
      <w:r>
        <w:rPr>
          <w:snapToGrid w:val="0"/>
        </w:rPr>
        <w:tab/>
        <w:t>(e)</w:t>
      </w:r>
      <w:r>
        <w:rPr>
          <w:snapToGrid w:val="0"/>
        </w:rPr>
        <w:tab/>
        <w:t>mortgage or charge any of its property as security for the repayment of any money borrowed; and</w:t>
      </w:r>
    </w:p>
    <w:p>
      <w:pPr>
        <w:pStyle w:val="Indenta"/>
        <w:rPr>
          <w:snapToGrid w:val="0"/>
        </w:rPr>
      </w:pPr>
      <w:r>
        <w:rPr>
          <w:snapToGrid w:val="0"/>
        </w:rPr>
        <w:tab/>
        <w:t>(f)</w:t>
      </w:r>
      <w:r>
        <w:rPr>
          <w:snapToGrid w:val="0"/>
        </w:rPr>
        <w:tab/>
        <w:t>do and suffer all such other acts and things as bodies corporate may lawfully do and suffer.</w:t>
      </w:r>
    </w:p>
    <w:p>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pPr>
        <w:pStyle w:val="Subsection"/>
        <w:keepNext/>
        <w:keepLines/>
      </w:pPr>
      <w:r>
        <w:tab/>
        <w:t>(6)</w:t>
      </w:r>
      <w:r>
        <w:tab/>
        <w:t>The Association is a racing club eligible for registration under the RWWA Act and, if so registered, the board is taken to be the committee of the racing club.</w:t>
      </w:r>
    </w:p>
    <w:p>
      <w:pPr>
        <w:pStyle w:val="Footnotesection"/>
      </w:pPr>
      <w:r>
        <w:tab/>
        <w:t>[Section 5 amended: No. 23 of 1998 s. 16(1); No. 35 of 2003 s. 201 and 218.]</w:t>
      </w:r>
    </w:p>
    <w:p>
      <w:pPr>
        <w:pStyle w:val="Heading5"/>
        <w:rPr>
          <w:snapToGrid w:val="0"/>
        </w:rPr>
      </w:pPr>
      <w:bookmarkStart w:id="11" w:name="_Toc32398387"/>
      <w:r>
        <w:rPr>
          <w:rStyle w:val="CharSectno"/>
        </w:rPr>
        <w:t>6</w:t>
      </w:r>
      <w:r>
        <w:rPr>
          <w:snapToGrid w:val="0"/>
        </w:rPr>
        <w:t>.</w:t>
      </w:r>
      <w:r>
        <w:rPr>
          <w:snapToGrid w:val="0"/>
        </w:rPr>
        <w:tab/>
      </w:r>
      <w:r>
        <w:t xml:space="preserve">Association </w:t>
      </w:r>
      <w:r>
        <w:rPr>
          <w:snapToGrid w:val="0"/>
        </w:rPr>
        <w:t>does not represent the Crown</w:t>
      </w:r>
      <w:bookmarkEnd w:id="11"/>
    </w:p>
    <w:p>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pPr>
        <w:pStyle w:val="Footnotesection"/>
      </w:pPr>
      <w:r>
        <w:tab/>
        <w:t>[Section 6 amended: No. 23 of 1998 s. 16(1); No. 35 of 2003 s. 218.]</w:t>
      </w:r>
    </w:p>
    <w:p>
      <w:pPr>
        <w:pStyle w:val="Heading5"/>
        <w:rPr>
          <w:snapToGrid w:val="0"/>
        </w:rPr>
      </w:pPr>
      <w:bookmarkStart w:id="12" w:name="_Toc32398388"/>
      <w:r>
        <w:rPr>
          <w:rStyle w:val="CharSectno"/>
        </w:rPr>
        <w:t>7</w:t>
      </w:r>
      <w:r>
        <w:rPr>
          <w:snapToGrid w:val="0"/>
        </w:rPr>
        <w:t>.</w:t>
      </w:r>
      <w:r>
        <w:rPr>
          <w:snapToGrid w:val="0"/>
        </w:rPr>
        <w:tab/>
        <w:t>Functions of </w:t>
      </w:r>
      <w:r>
        <w:t>Association</w:t>
      </w:r>
      <w:bookmarkEnd w:id="12"/>
    </w:p>
    <w:p>
      <w:pPr>
        <w:pStyle w:val="Subsection"/>
        <w:rPr>
          <w:snapToGrid w:val="0"/>
        </w:rPr>
      </w:pPr>
      <w:r>
        <w:rPr>
          <w:snapToGrid w:val="0"/>
        </w:rPr>
        <w:tab/>
      </w:r>
      <w:r>
        <w:rPr>
          <w:snapToGrid w:val="0"/>
        </w:rPr>
        <w:tab/>
        <w:t xml:space="preserve">The functions of the </w:t>
      </w:r>
      <w:r>
        <w:t xml:space="preserve">Association </w:t>
      </w:r>
      <w:r>
        <w:rPr>
          <w:snapToGrid w:val="0"/>
        </w:rPr>
        <w:t>are —</w:t>
      </w:r>
    </w:p>
    <w:p>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pPr>
        <w:pStyle w:val="Indenta"/>
        <w:rPr>
          <w:snapToGrid w:val="0"/>
        </w:rPr>
      </w:pPr>
      <w:r>
        <w:rPr>
          <w:snapToGrid w:val="0"/>
        </w:rPr>
        <w:tab/>
        <w:t>(b)</w:t>
      </w:r>
      <w:r>
        <w:rPr>
          <w:snapToGrid w:val="0"/>
        </w:rPr>
        <w:tab/>
        <w:t>to conduct greyhound racing and provide facilities to enable greyhounds to compete in trials and be trained in racing;</w:t>
      </w:r>
    </w:p>
    <w:p>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pPr>
        <w:pStyle w:val="Footnotesection"/>
      </w:pPr>
      <w:r>
        <w:tab/>
        <w:t>[Section 7 amended: No. 23 of 1998 s. 5 and 16(1); No. 35 of 2003 s. 202 and 218.]</w:t>
      </w:r>
    </w:p>
    <w:p>
      <w:pPr>
        <w:pStyle w:val="Heading5"/>
        <w:rPr>
          <w:b w:val="0"/>
        </w:rPr>
      </w:pPr>
      <w:bookmarkStart w:id="13" w:name="_Toc32398389"/>
      <w:r>
        <w:rPr>
          <w:rStyle w:val="CharSectno"/>
        </w:rPr>
        <w:t>7A</w:t>
      </w:r>
      <w:r>
        <w:t>.</w:t>
      </w:r>
      <w:r>
        <w:tab/>
        <w:t>Powers of the Association</w:t>
      </w:r>
      <w:bookmarkEnd w:id="13"/>
    </w:p>
    <w:p>
      <w:pPr>
        <w:pStyle w:val="Subsection"/>
      </w:pPr>
      <w:r>
        <w:tab/>
        <w:t>(1)</w:t>
      </w:r>
      <w:r>
        <w:tab/>
        <w:t>The Association has all the powers it needs to perform its functions.</w:t>
      </w:r>
    </w:p>
    <w:p>
      <w:pPr>
        <w:pStyle w:val="Ednotesubsection"/>
      </w:pPr>
      <w:r>
        <w:tab/>
        <w:t>[(2)</w:t>
      </w:r>
      <w:r>
        <w:tab/>
        <w:t>deleted]</w:t>
      </w:r>
    </w:p>
    <w:p>
      <w:pPr>
        <w:pStyle w:val="Footnotesection"/>
      </w:pPr>
      <w:r>
        <w:tab/>
        <w:t>[Section 7A inserted: No. 23 of 1998 s. 6; amended: No. 35 of 2003 s. 203 and 218.]</w:t>
      </w:r>
    </w:p>
    <w:p>
      <w:pPr>
        <w:pStyle w:val="Ednotesection"/>
      </w:pPr>
      <w:r>
        <w:t>[</w:t>
      </w:r>
      <w:r>
        <w:rPr>
          <w:b/>
        </w:rPr>
        <w:t>7B.</w:t>
      </w:r>
      <w:r>
        <w:rPr>
          <w:b/>
        </w:rPr>
        <w:tab/>
      </w:r>
      <w:r>
        <w:t>Deleted: No. 35 of 2003 s. 204.]</w:t>
      </w:r>
    </w:p>
    <w:p>
      <w:pPr>
        <w:pStyle w:val="Heading5"/>
        <w:rPr>
          <w:snapToGrid w:val="0"/>
        </w:rPr>
      </w:pPr>
      <w:bookmarkStart w:id="14" w:name="_Toc32398390"/>
      <w:r>
        <w:rPr>
          <w:rStyle w:val="CharSectno"/>
        </w:rPr>
        <w:t>8</w:t>
      </w:r>
      <w:r>
        <w:rPr>
          <w:snapToGrid w:val="0"/>
        </w:rPr>
        <w:t>.</w:t>
      </w:r>
      <w:r>
        <w:rPr>
          <w:snapToGrid w:val="0"/>
        </w:rPr>
        <w:tab/>
        <w:t>Delegation</w:t>
      </w:r>
      <w:bookmarkEnd w:id="14"/>
    </w:p>
    <w:p>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pPr>
        <w:pStyle w:val="Footnotesection"/>
      </w:pPr>
      <w:r>
        <w:tab/>
        <w:t>[Section 8 amended: No. 23 of 1998 s. 7, 16(1) and 17(1); No. 35 of 2003 s. 205 and 218.]</w:t>
      </w:r>
    </w:p>
    <w:p>
      <w:pPr>
        <w:pStyle w:val="Heading2"/>
      </w:pPr>
      <w:bookmarkStart w:id="15" w:name="_Toc32398340"/>
      <w:bookmarkStart w:id="16" w:name="_Toc32398391"/>
      <w:r>
        <w:rPr>
          <w:rStyle w:val="CharPartNo"/>
        </w:rPr>
        <w:t>Part III</w:t>
      </w:r>
      <w:r>
        <w:rPr>
          <w:rStyle w:val="CharDivNo"/>
        </w:rPr>
        <w:t> </w:t>
      </w:r>
      <w:r>
        <w:t>—</w:t>
      </w:r>
      <w:r>
        <w:rPr>
          <w:rStyle w:val="CharDivText"/>
        </w:rPr>
        <w:t> </w:t>
      </w:r>
      <w:r>
        <w:rPr>
          <w:rStyle w:val="CharPartText"/>
        </w:rPr>
        <w:t>The board, Chairman, Deputy Chairman and staff of the Association</w:t>
      </w:r>
      <w:bookmarkEnd w:id="15"/>
      <w:bookmarkEnd w:id="16"/>
    </w:p>
    <w:p>
      <w:pPr>
        <w:pStyle w:val="Footnoteheading"/>
      </w:pPr>
      <w:r>
        <w:tab/>
        <w:t>[Heading amended: No. 23 of 1998 s. 16(1) and 17(1); No. 35 of 2003 s. 200.]</w:t>
      </w:r>
    </w:p>
    <w:p>
      <w:pPr>
        <w:pStyle w:val="Heading5"/>
        <w:rPr>
          <w:snapToGrid w:val="0"/>
        </w:rPr>
      </w:pPr>
      <w:bookmarkStart w:id="17" w:name="_Toc32398392"/>
      <w:r>
        <w:rPr>
          <w:rStyle w:val="CharSectno"/>
        </w:rPr>
        <w:t>9</w:t>
      </w:r>
      <w:r>
        <w:rPr>
          <w:snapToGrid w:val="0"/>
        </w:rPr>
        <w:t>.</w:t>
      </w:r>
      <w:r>
        <w:rPr>
          <w:snapToGrid w:val="0"/>
        </w:rPr>
        <w:tab/>
        <w:t>The board</w:t>
      </w:r>
      <w:bookmarkEnd w:id="17"/>
    </w:p>
    <w:p>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pPr>
        <w:pStyle w:val="Footnotesection"/>
      </w:pPr>
      <w:r>
        <w:tab/>
        <w:t>[Section 9 amended: No. 23 of 1998 s. 16(1) and 17(1); No. 35 of 2003 s. 218.]</w:t>
      </w:r>
    </w:p>
    <w:p>
      <w:pPr>
        <w:pStyle w:val="Heading5"/>
        <w:rPr>
          <w:snapToGrid w:val="0"/>
        </w:rPr>
      </w:pPr>
      <w:bookmarkStart w:id="18" w:name="_Toc32398393"/>
      <w:r>
        <w:rPr>
          <w:rStyle w:val="CharSectno"/>
        </w:rPr>
        <w:t>10</w:t>
      </w:r>
      <w:r>
        <w:rPr>
          <w:snapToGrid w:val="0"/>
        </w:rPr>
        <w:t>.</w:t>
      </w:r>
      <w:r>
        <w:rPr>
          <w:snapToGrid w:val="0"/>
        </w:rPr>
        <w:tab/>
        <w:t>Functions, duties and powers</w:t>
      </w:r>
      <w:bookmarkEnd w:id="18"/>
    </w:p>
    <w:p>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pPr>
        <w:pStyle w:val="Footnotesection"/>
      </w:pPr>
      <w:r>
        <w:tab/>
        <w:t>[Section 10 amended: No. 23 of 1998 s. 16(1) and 17(1); No. 35 of 2003 s. 218.]</w:t>
      </w:r>
    </w:p>
    <w:p>
      <w:pPr>
        <w:pStyle w:val="Heading5"/>
        <w:rPr>
          <w:snapToGrid w:val="0"/>
        </w:rPr>
      </w:pPr>
      <w:bookmarkStart w:id="19" w:name="_Toc32398394"/>
      <w:r>
        <w:rPr>
          <w:rStyle w:val="CharSectno"/>
        </w:rPr>
        <w:t>11</w:t>
      </w:r>
      <w:r>
        <w:rPr>
          <w:snapToGrid w:val="0"/>
        </w:rPr>
        <w:t>.</w:t>
      </w:r>
      <w:r>
        <w:rPr>
          <w:snapToGrid w:val="0"/>
        </w:rPr>
        <w:tab/>
        <w:t>Board subject to Minister</w:t>
      </w:r>
      <w:bookmarkEnd w:id="19"/>
    </w:p>
    <w:p>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Footnotesection"/>
      </w:pPr>
      <w:r>
        <w:tab/>
        <w:t>[Section 11 amended: No. 23 of 1998 s. 17(1).]</w:t>
      </w:r>
    </w:p>
    <w:p>
      <w:pPr>
        <w:pStyle w:val="Heading5"/>
        <w:rPr>
          <w:snapToGrid w:val="0"/>
        </w:rPr>
      </w:pPr>
      <w:bookmarkStart w:id="20" w:name="_Toc32398395"/>
      <w:r>
        <w:rPr>
          <w:rStyle w:val="CharSectno"/>
        </w:rPr>
        <w:t>12</w:t>
      </w:r>
      <w:r>
        <w:rPr>
          <w:snapToGrid w:val="0"/>
        </w:rPr>
        <w:t>.</w:t>
      </w:r>
      <w:r>
        <w:rPr>
          <w:snapToGrid w:val="0"/>
        </w:rPr>
        <w:tab/>
        <w:t>Composition of board</w:t>
      </w:r>
      <w:bookmarkEnd w:id="20"/>
    </w:p>
    <w:p>
      <w:pPr>
        <w:pStyle w:val="Subsection"/>
        <w:spacing w:before="120"/>
        <w:rPr>
          <w:snapToGrid w:val="0"/>
        </w:rPr>
      </w:pPr>
      <w:r>
        <w:rPr>
          <w:snapToGrid w:val="0"/>
        </w:rPr>
        <w:tab/>
      </w:r>
      <w:r>
        <w:rPr>
          <w:snapToGrid w:val="0"/>
        </w:rPr>
        <w:tab/>
        <w:t>The board shall consist of 5 members appointed by the Minister.</w:t>
      </w:r>
    </w:p>
    <w:p>
      <w:pPr>
        <w:pStyle w:val="Footnotesection"/>
      </w:pPr>
      <w:r>
        <w:tab/>
        <w:t>[Section 12 amended: No. 23 of 1998 s. 17(1); No. 35 of 2003 s. 206.]</w:t>
      </w:r>
    </w:p>
    <w:p>
      <w:pPr>
        <w:pStyle w:val="Heading5"/>
        <w:rPr>
          <w:snapToGrid w:val="0"/>
        </w:rPr>
      </w:pPr>
      <w:bookmarkStart w:id="21" w:name="_Toc32398396"/>
      <w:r>
        <w:rPr>
          <w:rStyle w:val="CharSectno"/>
        </w:rPr>
        <w:t>13</w:t>
      </w:r>
      <w:r>
        <w:rPr>
          <w:snapToGrid w:val="0"/>
        </w:rPr>
        <w:t>.</w:t>
      </w:r>
      <w:r>
        <w:rPr>
          <w:snapToGrid w:val="0"/>
        </w:rPr>
        <w:tab/>
        <w:t xml:space="preserve">Chairman and Deputy Chairman of </w:t>
      </w:r>
      <w:r>
        <w:t>Association</w:t>
      </w:r>
      <w:bookmarkEnd w:id="21"/>
    </w:p>
    <w:p>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pPr>
        <w:pStyle w:val="Footnotesection"/>
      </w:pPr>
      <w:r>
        <w:tab/>
        <w:t>[Section 13 amended: No. 23 of 1998 s. 16(1) and 17(1); No. 35 of 2003 s. 207 and 218.]</w:t>
      </w:r>
    </w:p>
    <w:p>
      <w:pPr>
        <w:pStyle w:val="Heading5"/>
        <w:rPr>
          <w:snapToGrid w:val="0"/>
        </w:rPr>
      </w:pPr>
      <w:bookmarkStart w:id="22" w:name="_Toc32398397"/>
      <w:r>
        <w:rPr>
          <w:rStyle w:val="CharSectno"/>
        </w:rPr>
        <w:t>14</w:t>
      </w:r>
      <w:r>
        <w:rPr>
          <w:snapToGrid w:val="0"/>
        </w:rPr>
        <w:t>.</w:t>
      </w:r>
      <w:r>
        <w:rPr>
          <w:snapToGrid w:val="0"/>
        </w:rPr>
        <w:tab/>
        <w:t>Schedule 1 applicable to board</w:t>
      </w:r>
      <w:bookmarkEnd w:id="22"/>
    </w:p>
    <w:p>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pPr>
        <w:pStyle w:val="Footnotesection"/>
      </w:pPr>
      <w:r>
        <w:tab/>
        <w:t>[Section 14 amended: No. 23 of 1998 s. 17(1)].</w:t>
      </w:r>
    </w:p>
    <w:p>
      <w:pPr>
        <w:pStyle w:val="Heading5"/>
        <w:rPr>
          <w:snapToGrid w:val="0"/>
        </w:rPr>
      </w:pPr>
      <w:bookmarkStart w:id="23" w:name="_Toc32398398"/>
      <w:r>
        <w:rPr>
          <w:rStyle w:val="CharSectno"/>
        </w:rPr>
        <w:t>15</w:t>
      </w:r>
      <w:r>
        <w:rPr>
          <w:snapToGrid w:val="0"/>
        </w:rPr>
        <w:t>.</w:t>
      </w:r>
      <w:r>
        <w:rPr>
          <w:snapToGrid w:val="0"/>
        </w:rPr>
        <w:tab/>
        <w:t xml:space="preserve">Staff of </w:t>
      </w:r>
      <w:r>
        <w:t>Association</w:t>
      </w:r>
      <w:bookmarkEnd w:id="23"/>
    </w:p>
    <w:p>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pPr>
        <w:pStyle w:val="Footnotesection"/>
      </w:pPr>
      <w:r>
        <w:tab/>
        <w:t>[Section 15 amended: No. 32 of 1994 s. 3(2); No. 23 of 1998 s. 8 and 16(1); No. 35 of 2003 s. 208 and 218.]</w:t>
      </w:r>
    </w:p>
    <w:p>
      <w:pPr>
        <w:pStyle w:val="Heading2"/>
      </w:pPr>
      <w:bookmarkStart w:id="24" w:name="_Toc32398348"/>
      <w:bookmarkStart w:id="25" w:name="_Toc32398399"/>
      <w:r>
        <w:rPr>
          <w:rStyle w:val="CharPartNo"/>
        </w:rPr>
        <w:t>Part IV</w:t>
      </w:r>
      <w:r>
        <w:rPr>
          <w:rStyle w:val="CharDivNo"/>
        </w:rPr>
        <w:t> </w:t>
      </w:r>
      <w:r>
        <w:t>—</w:t>
      </w:r>
      <w:r>
        <w:rPr>
          <w:rStyle w:val="CharDivText"/>
        </w:rPr>
        <w:t> </w:t>
      </w:r>
      <w:r>
        <w:rPr>
          <w:rStyle w:val="CharPartText"/>
        </w:rPr>
        <w:t>Finance</w:t>
      </w:r>
      <w:bookmarkEnd w:id="24"/>
      <w:bookmarkEnd w:id="25"/>
    </w:p>
    <w:p>
      <w:pPr>
        <w:pStyle w:val="Heading5"/>
        <w:spacing w:before="260"/>
        <w:rPr>
          <w:snapToGrid w:val="0"/>
        </w:rPr>
      </w:pPr>
      <w:bookmarkStart w:id="26" w:name="_Toc32398400"/>
      <w:r>
        <w:rPr>
          <w:rStyle w:val="CharSectno"/>
        </w:rPr>
        <w:t>16</w:t>
      </w:r>
      <w:r>
        <w:rPr>
          <w:snapToGrid w:val="0"/>
        </w:rPr>
        <w:t>.</w:t>
      </w:r>
      <w:r>
        <w:rPr>
          <w:snapToGrid w:val="0"/>
        </w:rPr>
        <w:tab/>
        <w:t>The Fund</w:t>
      </w:r>
      <w:bookmarkEnd w:id="26"/>
    </w:p>
    <w:p>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pPr>
        <w:pStyle w:val="Subsection"/>
        <w:spacing w:before="180"/>
        <w:rPr>
          <w:snapToGrid w:val="0"/>
        </w:rPr>
      </w:pPr>
      <w:r>
        <w:rPr>
          <w:snapToGrid w:val="0"/>
        </w:rPr>
        <w:tab/>
        <w:t>(2)</w:t>
      </w:r>
      <w:r>
        <w:rPr>
          <w:snapToGrid w:val="0"/>
        </w:rPr>
        <w:tab/>
        <w:t>There shall be paid to the credit of the Fund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pPr>
        <w:pStyle w:val="Indenta"/>
        <w:rPr>
          <w:snapToGrid w:val="0"/>
        </w:rPr>
      </w:pPr>
      <w:r>
        <w:rPr>
          <w:snapToGrid w:val="0"/>
        </w:rPr>
        <w:tab/>
        <w:t>(c)</w:t>
      </w:r>
      <w:r>
        <w:rPr>
          <w:snapToGrid w:val="0"/>
        </w:rPr>
        <w:tab/>
        <w:t>any moneys borrowed by the</w:t>
      </w:r>
      <w:r>
        <w:t xml:space="preserve"> Association</w:t>
      </w:r>
      <w:r>
        <w:rPr>
          <w:snapToGrid w:val="0"/>
        </w:rPr>
        <w:t>.</w:t>
      </w:r>
    </w:p>
    <w:p>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pPr>
        <w:pStyle w:val="Subsection"/>
        <w:spacing w:before="180"/>
        <w:rPr>
          <w:snapToGrid w:val="0"/>
        </w:rPr>
      </w:pPr>
      <w:r>
        <w:rPr>
          <w:snapToGrid w:val="0"/>
        </w:rPr>
        <w:tab/>
        <w:t>(4)</w:t>
      </w:r>
      <w:r>
        <w:rPr>
          <w:snapToGrid w:val="0"/>
        </w:rPr>
        <w:tab/>
        <w:t>All expenses, including —</w:t>
      </w:r>
    </w:p>
    <w:p>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pPr>
        <w:pStyle w:val="Footnotesection"/>
      </w:pPr>
      <w:r>
        <w:tab/>
        <w:t>[Section 16 amended: No. 23 of 1998 s. 9, 16(1) and 17(1); No. 35 of 2003 s. 209 and 218.]</w:t>
      </w:r>
    </w:p>
    <w:p>
      <w:pPr>
        <w:pStyle w:val="Ednotesection"/>
        <w:spacing w:before="260"/>
        <w:ind w:left="890" w:hanging="890"/>
      </w:pPr>
      <w:r>
        <w:t>[</w:t>
      </w:r>
      <w:r>
        <w:rPr>
          <w:b/>
        </w:rPr>
        <w:t>17.</w:t>
      </w:r>
      <w:r>
        <w:rPr>
          <w:b/>
        </w:rPr>
        <w:tab/>
      </w:r>
      <w:r>
        <w:t>Deleted: No. 35 of 2003 s. 210.]</w:t>
      </w:r>
    </w:p>
    <w:p>
      <w:pPr>
        <w:pStyle w:val="Heading5"/>
        <w:spacing w:before="260"/>
        <w:rPr>
          <w:snapToGrid w:val="0"/>
        </w:rPr>
      </w:pPr>
      <w:bookmarkStart w:id="27" w:name="_Toc32398401"/>
      <w:r>
        <w:rPr>
          <w:rStyle w:val="CharSectno"/>
        </w:rPr>
        <w:t>18</w:t>
      </w:r>
      <w:r>
        <w:rPr>
          <w:snapToGrid w:val="0"/>
        </w:rPr>
        <w:t>.</w:t>
      </w:r>
      <w:r>
        <w:rPr>
          <w:snapToGrid w:val="0"/>
        </w:rPr>
        <w:tab/>
        <w:t>Investment</w:t>
      </w:r>
      <w:bookmarkEnd w:id="27"/>
    </w:p>
    <w:p>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pPr>
        <w:pStyle w:val="Footnotesection"/>
      </w:pPr>
      <w:r>
        <w:tab/>
        <w:t>[Section 18 amended: No. 23 of 1998 s. 16(1); No. 35 of 2003 s. 218.]</w:t>
      </w:r>
    </w:p>
    <w:p>
      <w:pPr>
        <w:pStyle w:val="Heading5"/>
        <w:rPr>
          <w:snapToGrid w:val="0"/>
        </w:rPr>
      </w:pPr>
      <w:bookmarkStart w:id="28" w:name="_Toc32398402"/>
      <w:r>
        <w:rPr>
          <w:rStyle w:val="CharSectno"/>
        </w:rPr>
        <w:t>19</w:t>
      </w:r>
      <w:r>
        <w:rPr>
          <w:snapToGrid w:val="0"/>
        </w:rPr>
        <w:t>.</w:t>
      </w:r>
      <w:r>
        <w:rPr>
          <w:snapToGrid w:val="0"/>
        </w:rPr>
        <w:tab/>
        <w:t>Application of</w:t>
      </w:r>
      <w:r>
        <w:rPr>
          <w:i/>
        </w:rPr>
        <w:t xml:space="preserve"> Financial Management Act 2006</w:t>
      </w:r>
      <w:r>
        <w:t xml:space="preserve"> and the </w:t>
      </w:r>
      <w:r>
        <w:rPr>
          <w:i/>
        </w:rPr>
        <w:t>Auditor General Act 2006</w:t>
      </w:r>
      <w:bookmarkEnd w:id="28"/>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pPr>
        <w:pStyle w:val="Footnotesection"/>
      </w:pPr>
      <w:r>
        <w:tab/>
        <w:t>[Section 19 inserted: No. 98 of 1985 s. 3; amended: No. 23 of 1998 s. 16(1); No. 35 of 2003 s. 218; No. 77 of 2006 s. 17.]</w:t>
      </w:r>
    </w:p>
    <w:p>
      <w:pPr>
        <w:pStyle w:val="Ednotesection"/>
      </w:pPr>
      <w:r>
        <w:t>[</w:t>
      </w:r>
      <w:r>
        <w:rPr>
          <w:b/>
        </w:rPr>
        <w:t>20.</w:t>
      </w:r>
      <w:r>
        <w:t xml:space="preserve"> </w:t>
      </w:r>
      <w:r>
        <w:tab/>
        <w:t>Deleted: No. 98 of 1985 s. 3.]</w:t>
      </w:r>
    </w:p>
    <w:p>
      <w:pPr>
        <w:pStyle w:val="Heading2"/>
      </w:pPr>
      <w:bookmarkStart w:id="29" w:name="_Toc32398352"/>
      <w:bookmarkStart w:id="30" w:name="_Toc32398403"/>
      <w:r>
        <w:rPr>
          <w:rStyle w:val="CharPartNo"/>
        </w:rPr>
        <w:t>Part V</w:t>
      </w:r>
      <w:r>
        <w:t xml:space="preserve"> — </w:t>
      </w:r>
      <w:r>
        <w:rPr>
          <w:rStyle w:val="CharPartText"/>
        </w:rPr>
        <w:t>Offences and enforcement</w:t>
      </w:r>
      <w:bookmarkEnd w:id="29"/>
      <w:bookmarkEnd w:id="30"/>
    </w:p>
    <w:p>
      <w:pPr>
        <w:pStyle w:val="Footnoteheading"/>
      </w:pPr>
      <w:r>
        <w:tab/>
        <w:t>[Heading inserted: No. 23 of 1998 s. 11.]</w:t>
      </w:r>
    </w:p>
    <w:p>
      <w:pPr>
        <w:pStyle w:val="Heading5"/>
      </w:pPr>
      <w:bookmarkStart w:id="31" w:name="_Toc32398404"/>
      <w:r>
        <w:rPr>
          <w:rStyle w:val="CharSectno"/>
        </w:rPr>
        <w:t>21</w:t>
      </w:r>
      <w:r>
        <w:t>.</w:t>
      </w:r>
      <w:r>
        <w:tab/>
        <w:t>Preventing performance of powers and functions</w:t>
      </w:r>
      <w:bookmarkEnd w:id="31"/>
    </w:p>
    <w:p>
      <w:pPr>
        <w:pStyle w:val="Subsection"/>
      </w:pPr>
      <w:r>
        <w:tab/>
      </w:r>
      <w:r>
        <w:tab/>
        <w:t>A person shall not obstruct, threaten or insult the Association, the board, a member of the board or an officer, employee or agent of the Association.</w:t>
      </w:r>
    </w:p>
    <w:p>
      <w:pPr>
        <w:pStyle w:val="Penstart"/>
      </w:pPr>
      <w:r>
        <w:tab/>
        <w:t>Penalty: $5 000.</w:t>
      </w:r>
    </w:p>
    <w:p>
      <w:pPr>
        <w:pStyle w:val="Footnotesection"/>
      </w:pPr>
      <w:r>
        <w:tab/>
        <w:t>[Section 21 inserted: No. 35 of 2003 s. 211.]</w:t>
      </w:r>
    </w:p>
    <w:p>
      <w:pPr>
        <w:pStyle w:val="Heading5"/>
      </w:pPr>
      <w:bookmarkStart w:id="32" w:name="_Toc32398405"/>
      <w:r>
        <w:rPr>
          <w:rStyle w:val="CharSectno"/>
        </w:rPr>
        <w:t>22</w:t>
      </w:r>
      <w:r>
        <w:t>.</w:t>
      </w:r>
      <w:r>
        <w:tab/>
        <w:t>False or misleading statements</w:t>
      </w:r>
      <w:bookmarkEnd w:id="32"/>
    </w:p>
    <w:p>
      <w:pPr>
        <w:pStyle w:val="Subsection"/>
      </w:pPr>
      <w:r>
        <w:tab/>
        <w:t>(1)</w:t>
      </w:r>
      <w:r>
        <w:tab/>
        <w:t>A person shall not, in relation to greyhound racing, make a statement, whether oral or written, which is false or which is, or is likely to be, misleading.</w:t>
      </w:r>
    </w:p>
    <w:p>
      <w:pPr>
        <w:pStyle w:val="Penstart"/>
      </w:pPr>
      <w:r>
        <w:tab/>
        <w:t>Penalty: $5 000.</w:t>
      </w:r>
    </w:p>
    <w:p>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pPr>
        <w:pStyle w:val="Footnotesection"/>
      </w:pPr>
      <w:r>
        <w:tab/>
        <w:t>[Section 22 inserted: No. 23 of 1998 s. 11; amended: No. 35 of 2003 s. 212.]</w:t>
      </w:r>
    </w:p>
    <w:p>
      <w:pPr>
        <w:pStyle w:val="Ednotesection"/>
      </w:pPr>
      <w:r>
        <w:t>[</w:t>
      </w:r>
      <w:r>
        <w:rPr>
          <w:b/>
        </w:rPr>
        <w:t>23.</w:t>
      </w:r>
      <w:r>
        <w:tab/>
        <w:t>Deleted: No. 35 of 2003 s. 213.]</w:t>
      </w:r>
    </w:p>
    <w:p>
      <w:pPr>
        <w:pStyle w:val="Ednotesection"/>
      </w:pPr>
      <w:r>
        <w:t>[</w:t>
      </w:r>
      <w:r>
        <w:rPr>
          <w:b/>
        </w:rPr>
        <w:t>24</w:t>
      </w:r>
      <w:r>
        <w:rPr>
          <w:b/>
        </w:rPr>
        <w:noBreakHyphen/>
        <w:t>26.</w:t>
      </w:r>
      <w:r>
        <w:tab/>
        <w:t>Deleted: No. 23 of 1998 s. 11.]</w:t>
      </w:r>
    </w:p>
    <w:p>
      <w:pPr>
        <w:pStyle w:val="Ednotepart"/>
      </w:pPr>
      <w:r>
        <w:t>[Part VI (s. 27</w:t>
      </w:r>
      <w:r>
        <w:noBreakHyphen/>
        <w:t>31) deleted: No. 35 of 2003 s. 214.]</w:t>
      </w:r>
    </w:p>
    <w:p>
      <w:pPr>
        <w:pStyle w:val="Heading2"/>
      </w:pPr>
      <w:bookmarkStart w:id="33" w:name="_Toc32398355"/>
      <w:bookmarkStart w:id="34" w:name="_Toc32398406"/>
      <w:r>
        <w:rPr>
          <w:rStyle w:val="CharPartNo"/>
        </w:rPr>
        <w:t>Part VII</w:t>
      </w:r>
      <w:r>
        <w:rPr>
          <w:rStyle w:val="CharDivNo"/>
        </w:rPr>
        <w:t> </w:t>
      </w:r>
      <w:r>
        <w:t>—</w:t>
      </w:r>
      <w:r>
        <w:rPr>
          <w:rStyle w:val="CharDivText"/>
        </w:rPr>
        <w:t> </w:t>
      </w:r>
      <w:r>
        <w:rPr>
          <w:rStyle w:val="CharPartText"/>
        </w:rPr>
        <w:t>Miscellaneous</w:t>
      </w:r>
      <w:bookmarkEnd w:id="33"/>
      <w:bookmarkEnd w:id="34"/>
    </w:p>
    <w:p>
      <w:pPr>
        <w:pStyle w:val="Heading5"/>
        <w:rPr>
          <w:snapToGrid w:val="0"/>
        </w:rPr>
      </w:pPr>
      <w:bookmarkStart w:id="35" w:name="_Toc32398407"/>
      <w:r>
        <w:rPr>
          <w:rStyle w:val="CharSectno"/>
        </w:rPr>
        <w:t>32</w:t>
      </w:r>
      <w:r>
        <w:rPr>
          <w:snapToGrid w:val="0"/>
        </w:rPr>
        <w:t>.</w:t>
      </w:r>
      <w:r>
        <w:rPr>
          <w:snapToGrid w:val="0"/>
        </w:rPr>
        <w:tab/>
        <w:t>Information and annual report</w:t>
      </w:r>
      <w:bookmarkEnd w:id="35"/>
    </w:p>
    <w:p>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pPr>
        <w:pStyle w:val="Ednotesubsection"/>
      </w:pPr>
      <w:r>
        <w:tab/>
        <w:t>[(2), (3)</w:t>
      </w:r>
      <w:r>
        <w:tab/>
        <w:t>deleted]</w:t>
      </w:r>
    </w:p>
    <w:p>
      <w:pPr>
        <w:pStyle w:val="Footnotesection"/>
      </w:pPr>
      <w:r>
        <w:tab/>
        <w:t>[Section 32 amended: No. 98 of 1985 s. 3; No. 23 of 1998 s. 16(1) and 17(1); No. 35 of 2003 s. 218.]</w:t>
      </w:r>
    </w:p>
    <w:p>
      <w:pPr>
        <w:pStyle w:val="Heading5"/>
        <w:rPr>
          <w:snapToGrid w:val="0"/>
        </w:rPr>
      </w:pPr>
      <w:bookmarkStart w:id="36" w:name="_Toc32398408"/>
      <w:r>
        <w:rPr>
          <w:rStyle w:val="CharSectno"/>
        </w:rPr>
        <w:t>33</w:t>
      </w:r>
      <w:r>
        <w:rPr>
          <w:snapToGrid w:val="0"/>
        </w:rPr>
        <w:t>.</w:t>
      </w:r>
      <w:r>
        <w:rPr>
          <w:snapToGrid w:val="0"/>
        </w:rPr>
        <w:tab/>
        <w:t>Recovery of money</w:t>
      </w:r>
      <w:bookmarkEnd w:id="36"/>
    </w:p>
    <w:p>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pPr>
        <w:pStyle w:val="Footnotesection"/>
      </w:pPr>
      <w:r>
        <w:tab/>
        <w:t>[Section 33 amended: No. 23 of 1998 s. 16(1); No. 35 of 2003 s. 218.]</w:t>
      </w:r>
    </w:p>
    <w:p>
      <w:pPr>
        <w:pStyle w:val="Heading5"/>
        <w:rPr>
          <w:snapToGrid w:val="0"/>
        </w:rPr>
      </w:pPr>
      <w:bookmarkStart w:id="37" w:name="_Toc32398409"/>
      <w:r>
        <w:rPr>
          <w:rStyle w:val="CharSectno"/>
        </w:rPr>
        <w:t>34</w:t>
      </w:r>
      <w:r>
        <w:rPr>
          <w:snapToGrid w:val="0"/>
        </w:rPr>
        <w:t>.</w:t>
      </w:r>
      <w:r>
        <w:rPr>
          <w:snapToGrid w:val="0"/>
        </w:rPr>
        <w:tab/>
        <w:t>How legal proceedings taken</w:t>
      </w:r>
      <w:bookmarkEnd w:id="37"/>
    </w:p>
    <w:p>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pPr>
        <w:pStyle w:val="Footnotesection"/>
      </w:pPr>
      <w:r>
        <w:tab/>
        <w:t>[Section 34 amended: No. 23 of 1998 s. 16(1) and 17(1); No. 35 of 2003 s. 218.]</w:t>
      </w:r>
    </w:p>
    <w:p>
      <w:pPr>
        <w:pStyle w:val="Heading5"/>
        <w:rPr>
          <w:snapToGrid w:val="0"/>
        </w:rPr>
      </w:pPr>
      <w:bookmarkStart w:id="38" w:name="_Toc32398410"/>
      <w:r>
        <w:rPr>
          <w:rStyle w:val="CharSectno"/>
        </w:rPr>
        <w:t>35</w:t>
      </w:r>
      <w:r>
        <w:rPr>
          <w:snapToGrid w:val="0"/>
        </w:rPr>
        <w:t>.</w:t>
      </w:r>
      <w:r>
        <w:rPr>
          <w:snapToGrid w:val="0"/>
        </w:rPr>
        <w:tab/>
        <w:t>Protection from liability etc.</w:t>
      </w:r>
      <w:bookmarkEnd w:id="38"/>
    </w:p>
    <w:p>
      <w:pPr>
        <w:pStyle w:val="Subsection"/>
        <w:keepNext/>
        <w:keepLines/>
        <w:rPr>
          <w:snapToGrid w:val="0"/>
        </w:rPr>
      </w:pPr>
      <w:r>
        <w:rPr>
          <w:snapToGrid w:val="0"/>
        </w:rPr>
        <w:tab/>
      </w:r>
      <w:r>
        <w:rPr>
          <w:snapToGrid w:val="0"/>
        </w:rPr>
        <w:tab/>
        <w:t>A matter or thing done or omitted by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an officer, employee or agent of the</w:t>
      </w:r>
      <w:r>
        <w:t xml:space="preserve"> Association</w:t>
      </w:r>
      <w:r>
        <w:rPr>
          <w:snapToGrid w:val="0"/>
        </w:rPr>
        <w:t>; or</w:t>
      </w:r>
    </w:p>
    <w:p>
      <w:pPr>
        <w:pStyle w:val="Indenta"/>
        <w:rPr>
          <w:snapToGrid w:val="0"/>
        </w:rPr>
      </w:pPr>
      <w:r>
        <w:rPr>
          <w:snapToGrid w:val="0"/>
        </w:rPr>
        <w:tab/>
        <w:t>(c)</w:t>
      </w:r>
      <w:r>
        <w:rPr>
          <w:snapToGrid w:val="0"/>
        </w:rPr>
        <w:tab/>
        <w:t>a person who otherwise performs a function under this Act,</w:t>
      </w:r>
    </w:p>
    <w:p>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Footnotesection"/>
      </w:pPr>
      <w:r>
        <w:tab/>
        <w:t>[Section 35 inserted: No. 23 of 1998 s. 12; amended: No. 35 of 2003 s. 215 and 218.]</w:t>
      </w:r>
    </w:p>
    <w:p>
      <w:pPr>
        <w:pStyle w:val="Heading5"/>
        <w:rPr>
          <w:snapToGrid w:val="0"/>
        </w:rPr>
      </w:pPr>
      <w:bookmarkStart w:id="39" w:name="_Toc32398411"/>
      <w:r>
        <w:rPr>
          <w:rStyle w:val="CharSectno"/>
        </w:rPr>
        <w:t>36</w:t>
      </w:r>
      <w:r>
        <w:rPr>
          <w:snapToGrid w:val="0"/>
        </w:rPr>
        <w:t>.</w:t>
      </w:r>
      <w:r>
        <w:rPr>
          <w:snapToGrid w:val="0"/>
        </w:rPr>
        <w:tab/>
        <w:t>Publication of proceedings, etc., of greyhound racing inquiries privileged</w:t>
      </w:r>
      <w:bookmarkEnd w:id="39"/>
    </w:p>
    <w:p>
      <w:pPr>
        <w:pStyle w:val="Subsection"/>
        <w:rPr>
          <w:snapToGrid w:val="0"/>
        </w:rPr>
      </w:pPr>
      <w:r>
        <w:rPr>
          <w:snapToGrid w:val="0"/>
        </w:rPr>
        <w:tab/>
      </w:r>
      <w:r>
        <w:rPr>
          <w:snapToGrid w:val="0"/>
        </w:rPr>
        <w:tab/>
        <w:t>Without limiting the operation of section 35 no action, claim or demand whatever lies against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any registered greyhound racing club or any managing body, member, officer, employee or agent of such a club;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pPr>
        <w:pStyle w:val="Footnotesection"/>
      </w:pPr>
      <w:r>
        <w:tab/>
        <w:t>[Section 36 amended: No. 23 of 1998 s. 13, 16(1), 17(1) and (2); No. 35 of 2003 s. 216.]</w:t>
      </w:r>
    </w:p>
    <w:p>
      <w:pPr>
        <w:pStyle w:val="Heading5"/>
        <w:rPr>
          <w:snapToGrid w:val="0"/>
        </w:rPr>
      </w:pPr>
      <w:bookmarkStart w:id="40" w:name="_Toc32398412"/>
      <w:r>
        <w:rPr>
          <w:rStyle w:val="CharSectno"/>
        </w:rPr>
        <w:t>37</w:t>
      </w:r>
      <w:r>
        <w:rPr>
          <w:snapToGrid w:val="0"/>
        </w:rPr>
        <w:t>.</w:t>
      </w:r>
      <w:r>
        <w:rPr>
          <w:snapToGrid w:val="0"/>
        </w:rPr>
        <w:tab/>
        <w:t>Regulations</w:t>
      </w:r>
      <w:bookmarkEnd w:id="40"/>
    </w:p>
    <w:p>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pPr>
        <w:pStyle w:val="Ednotesection"/>
        <w:keepLines/>
      </w:pPr>
      <w:r>
        <w:t>[</w:t>
      </w:r>
      <w:r>
        <w:rPr>
          <w:b/>
        </w:rPr>
        <w:t>38.</w:t>
      </w:r>
      <w:r>
        <w:tab/>
        <w:t>Deleted: No. 23 of 1998 s. 14.]</w:t>
      </w:r>
    </w:p>
    <w:p>
      <w:pPr>
        <w:pStyle w:val="Heading2"/>
      </w:pPr>
      <w:bookmarkStart w:id="41" w:name="_Toc32398362"/>
      <w:bookmarkStart w:id="42" w:name="_Toc32398413"/>
      <w:r>
        <w:rPr>
          <w:rStyle w:val="CharPartNo"/>
        </w:rPr>
        <w:t>Part VIII</w:t>
      </w:r>
      <w:r>
        <w:rPr>
          <w:rStyle w:val="CharDivNo"/>
        </w:rPr>
        <w:t> </w:t>
      </w:r>
      <w:r>
        <w:t>—</w:t>
      </w:r>
      <w:r>
        <w:rPr>
          <w:rStyle w:val="CharDivText"/>
        </w:rPr>
        <w:t> </w:t>
      </w:r>
      <w:r>
        <w:rPr>
          <w:rStyle w:val="CharPartText"/>
        </w:rPr>
        <w:t>Repeal, transitional and saving</w:t>
      </w:r>
      <w:bookmarkEnd w:id="41"/>
      <w:bookmarkEnd w:id="42"/>
    </w:p>
    <w:p>
      <w:pPr>
        <w:pStyle w:val="Ednotesection"/>
      </w:pPr>
      <w:r>
        <w:t>[</w:t>
      </w:r>
      <w:r>
        <w:rPr>
          <w:b/>
        </w:rPr>
        <w:t>39.</w:t>
      </w:r>
      <w:r>
        <w:tab/>
        <w:t>Omitted under the Reprints Act 1984 s. 7(4)(f).]</w:t>
      </w:r>
    </w:p>
    <w:p>
      <w:pPr>
        <w:pStyle w:val="Heading5"/>
        <w:rPr>
          <w:snapToGrid w:val="0"/>
        </w:rPr>
      </w:pPr>
      <w:bookmarkStart w:id="43" w:name="_Toc32398414"/>
      <w:r>
        <w:rPr>
          <w:rStyle w:val="CharSectno"/>
        </w:rPr>
        <w:t>40</w:t>
      </w:r>
      <w:r>
        <w:rPr>
          <w:snapToGrid w:val="0"/>
        </w:rPr>
        <w:t>.</w:t>
      </w:r>
      <w:r>
        <w:rPr>
          <w:snapToGrid w:val="0"/>
        </w:rPr>
        <w:tab/>
        <w:t>Conduct of greyhound racing at Cannington race course</w:t>
      </w:r>
      <w:bookmarkEnd w:id="43"/>
    </w:p>
    <w:p>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pPr>
        <w:pStyle w:val="Footnotesection"/>
      </w:pPr>
      <w:r>
        <w:tab/>
        <w:t>[Section 40 amended: No. 23 of 1998 s. 16(1); No. 35 of 2003 s. 218.]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4" w:name="_Toc32398364"/>
      <w:bookmarkStart w:id="45" w:name="_Toc32398415"/>
      <w:r>
        <w:rPr>
          <w:rStyle w:val="CharSchNo"/>
        </w:rPr>
        <w:t>Schedule 1</w:t>
      </w:r>
      <w:r>
        <w:t> — </w:t>
      </w:r>
      <w:r>
        <w:rPr>
          <w:rStyle w:val="CharSchText"/>
        </w:rPr>
        <w:t>Provisions as to board</w:t>
      </w:r>
      <w:bookmarkEnd w:id="44"/>
      <w:bookmarkEnd w:id="45"/>
    </w:p>
    <w:p>
      <w:pPr>
        <w:pStyle w:val="yShoulderClause"/>
        <w:rPr>
          <w:snapToGrid w:val="0"/>
        </w:rPr>
      </w:pPr>
      <w:r>
        <w:rPr>
          <w:snapToGrid w:val="0"/>
        </w:rPr>
        <w:t>[s. 14]</w:t>
      </w:r>
    </w:p>
    <w:p>
      <w:pPr>
        <w:pStyle w:val="yFootnoteheading"/>
        <w:rPr>
          <w:snapToGrid w:val="0"/>
        </w:rPr>
      </w:pPr>
      <w:r>
        <w:rPr>
          <w:snapToGrid w:val="0"/>
        </w:rPr>
        <w:tab/>
        <w:t>[Heading amended: No. 23 of 1998 s. 17(1); No. 19 of 2010 s. 4.]</w:t>
      </w:r>
    </w:p>
    <w:p>
      <w:pPr>
        <w:pStyle w:val="yHeading5"/>
      </w:pPr>
      <w:bookmarkStart w:id="46" w:name="_Toc32398416"/>
      <w:r>
        <w:rPr>
          <w:rStyle w:val="CharSClsNo"/>
        </w:rPr>
        <w:t>1</w:t>
      </w:r>
      <w:r>
        <w:t>.</w:t>
      </w:r>
      <w:r>
        <w:tab/>
        <w:t>Term of office of member</w:t>
      </w:r>
      <w:bookmarkEnd w:id="46"/>
    </w:p>
    <w:p>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pPr>
        <w:pStyle w:val="ySubsection"/>
        <w:rPr>
          <w:snapToGrid w:val="0"/>
        </w:rPr>
      </w:pPr>
      <w:r>
        <w:rPr>
          <w:snapToGrid w:val="0"/>
        </w:rPr>
        <w:tab/>
        <w:t>(2)</w:t>
      </w:r>
      <w:r>
        <w:rPr>
          <w:snapToGrid w:val="0"/>
        </w:rPr>
        <w:tab/>
        <w:t>The Minister may grant leave of absence to a member on such terms and conditions as the Minister determines.</w:t>
      </w:r>
    </w:p>
    <w:p>
      <w:pPr>
        <w:pStyle w:val="ySubsection"/>
        <w:rPr>
          <w:snapToGrid w:val="0"/>
        </w:rPr>
      </w:pPr>
      <w:r>
        <w:rPr>
          <w:snapToGrid w:val="0"/>
        </w:rPr>
        <w:tab/>
        <w:t>(3)</w:t>
      </w:r>
      <w:r>
        <w:rPr>
          <w:snapToGrid w:val="0"/>
        </w:rPr>
        <w:tab/>
        <w:t>The Minister may terminate the appointment of a member for inability, inefficiency, or misbehaviour.</w:t>
      </w:r>
    </w:p>
    <w:p>
      <w:pPr>
        <w:pStyle w:val="ySubsection"/>
        <w:rPr>
          <w:snapToGrid w:val="0"/>
        </w:rPr>
      </w:pPr>
      <w:r>
        <w:rPr>
          <w:snapToGrid w:val="0"/>
        </w:rPr>
        <w:tab/>
        <w:t>(4)</w:t>
      </w:r>
      <w:r>
        <w:rPr>
          <w:snapToGrid w:val="0"/>
        </w:rPr>
        <w:tab/>
        <w:t>The office of a member becomes vacant if —</w:t>
      </w:r>
    </w:p>
    <w:p>
      <w:pPr>
        <w:pStyle w:val="yIndenta"/>
        <w:rPr>
          <w:snapToGrid w:val="0"/>
        </w:rPr>
      </w:pPr>
      <w:r>
        <w:rPr>
          <w:snapToGrid w:val="0"/>
        </w:rPr>
        <w:tab/>
        <w:t>(a)</w:t>
      </w:r>
      <w:r>
        <w:rPr>
          <w:snapToGrid w:val="0"/>
        </w:rPr>
        <w:tab/>
        <w:t>his term of office expires; or</w:t>
      </w:r>
    </w:p>
    <w:p>
      <w:pPr>
        <w:pStyle w:val="yIndenta"/>
        <w:rPr>
          <w:snapToGrid w:val="0"/>
        </w:rPr>
      </w:pPr>
      <w:r>
        <w:rPr>
          <w:snapToGrid w:val="0"/>
        </w:rPr>
        <w:tab/>
        <w:t>(b)</w:t>
      </w:r>
      <w:r>
        <w:rPr>
          <w:snapToGrid w:val="0"/>
        </w:rPr>
        <w:tab/>
        <w:t>his appointment is terminated pursuant to subclause (3); or</w:t>
      </w:r>
    </w:p>
    <w:p>
      <w:pPr>
        <w:pStyle w:val="yIndenta"/>
      </w:pPr>
      <w:r>
        <w:tab/>
        <w:t>(c)</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he becomes permanently incapable of performing his duties as a member; or</w:t>
      </w:r>
    </w:p>
    <w:p>
      <w:pPr>
        <w:pStyle w:val="yIndenta"/>
        <w:rPr>
          <w:snapToGrid w:val="0"/>
        </w:rPr>
      </w:pPr>
      <w:r>
        <w:rPr>
          <w:snapToGrid w:val="0"/>
        </w:rPr>
        <w:tab/>
        <w:t>(e)</w:t>
      </w:r>
      <w:r>
        <w:rPr>
          <w:snapToGrid w:val="0"/>
        </w:rPr>
        <w:tab/>
        <w:t>he resigns his office by written notice addressed to the Minister; or</w:t>
      </w:r>
    </w:p>
    <w:p>
      <w:pPr>
        <w:pStyle w:val="yIndenta"/>
        <w:rPr>
          <w:snapToGrid w:val="0"/>
        </w:rPr>
      </w:pPr>
      <w:r>
        <w:rPr>
          <w:snapToGrid w:val="0"/>
        </w:rPr>
        <w:tab/>
        <w:t>(f)</w:t>
      </w:r>
      <w:r>
        <w:rPr>
          <w:snapToGrid w:val="0"/>
        </w:rPr>
        <w:tab/>
        <w:t>he absents himself, except on leave duly granted by the Minister from 3 consecutive meetings of the board.</w:t>
      </w:r>
    </w:p>
    <w:p>
      <w:pPr>
        <w:pStyle w:val="yFootnotesection"/>
      </w:pPr>
      <w:r>
        <w:tab/>
        <w:t>[Clause 1 amended: No. 42 of 1997 s. 8; No. 23 of 1998 s. 17(1); No. 35 of 2003 s. 217(1); No. 18 of 2009 s. 91.]</w:t>
      </w:r>
    </w:p>
    <w:p>
      <w:pPr>
        <w:pStyle w:val="yHeading5"/>
        <w:rPr>
          <w:snapToGrid w:val="0"/>
        </w:rPr>
      </w:pPr>
      <w:bookmarkStart w:id="47" w:name="_Toc32398417"/>
      <w:r>
        <w:rPr>
          <w:rStyle w:val="CharSClsNo"/>
        </w:rPr>
        <w:t>2</w:t>
      </w:r>
      <w:r>
        <w:rPr>
          <w:snapToGrid w:val="0"/>
        </w:rPr>
        <w:t>.</w:t>
      </w:r>
      <w:r>
        <w:rPr>
          <w:snapToGrid w:val="0"/>
        </w:rPr>
        <w:tab/>
        <w:t>Term of office of Chairman and Deputy Chairman</w:t>
      </w:r>
      <w:bookmarkEnd w:id="47"/>
    </w:p>
    <w:p>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pPr>
        <w:pStyle w:val="ySubsection"/>
        <w:keepNext/>
        <w:rPr>
          <w:snapToGrid w:val="0"/>
        </w:rPr>
      </w:pPr>
      <w:r>
        <w:rPr>
          <w:snapToGrid w:val="0"/>
        </w:rPr>
        <w:tab/>
        <w:t>(2)</w:t>
      </w:r>
      <w:r>
        <w:rPr>
          <w:snapToGrid w:val="0"/>
        </w:rPr>
        <w:tab/>
        <w:t>The office of the Chairman or Deputy Chairman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office as a member becomes vacant;</w:t>
      </w:r>
    </w:p>
    <w:p>
      <w:pPr>
        <w:pStyle w:val="yIndenta"/>
        <w:rPr>
          <w:snapToGrid w:val="0"/>
        </w:rPr>
      </w:pPr>
      <w:r>
        <w:rPr>
          <w:snapToGrid w:val="0"/>
        </w:rPr>
        <w:tab/>
        <w:t>(c)</w:t>
      </w:r>
      <w:r>
        <w:rPr>
          <w:snapToGrid w:val="0"/>
        </w:rPr>
        <w:tab/>
        <w:t>he resigns his office by written notice addressed to the Minister;</w:t>
      </w:r>
    </w:p>
    <w:p>
      <w:pPr>
        <w:pStyle w:val="yIndenta"/>
        <w:rPr>
          <w:snapToGrid w:val="0"/>
        </w:rPr>
      </w:pPr>
      <w:r>
        <w:rPr>
          <w:snapToGrid w:val="0"/>
        </w:rPr>
        <w:tab/>
        <w:t>(d)</w:t>
      </w:r>
      <w:r>
        <w:rPr>
          <w:snapToGrid w:val="0"/>
        </w:rPr>
        <w:tab/>
        <w:t>in the case of the Chairman, he ceases to be capable of continuing in his office pursuant to section 13(1); or</w:t>
      </w:r>
    </w:p>
    <w:p>
      <w:pPr>
        <w:pStyle w:val="yIndenta"/>
        <w:rPr>
          <w:snapToGrid w:val="0"/>
        </w:rPr>
      </w:pPr>
      <w:r>
        <w:rPr>
          <w:snapToGrid w:val="0"/>
        </w:rPr>
        <w:tab/>
        <w:t>(e)</w:t>
      </w:r>
      <w:r>
        <w:rPr>
          <w:snapToGrid w:val="0"/>
        </w:rPr>
        <w:tab/>
        <w:t>in the case of the Deputy Chairman, he is appointed to the office of Chairman.</w:t>
      </w:r>
    </w:p>
    <w:p>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pPr>
        <w:pStyle w:val="yHeading5"/>
        <w:rPr>
          <w:snapToGrid w:val="0"/>
        </w:rPr>
      </w:pPr>
      <w:bookmarkStart w:id="48" w:name="_Toc32398418"/>
      <w:r>
        <w:rPr>
          <w:rStyle w:val="CharSClsNo"/>
        </w:rPr>
        <w:t>3</w:t>
      </w:r>
      <w:r>
        <w:rPr>
          <w:snapToGrid w:val="0"/>
        </w:rPr>
        <w:t>.</w:t>
      </w:r>
      <w:r>
        <w:rPr>
          <w:snapToGrid w:val="0"/>
        </w:rPr>
        <w:tab/>
        <w:t>Meetings of the board</w:t>
      </w:r>
      <w:bookmarkEnd w:id="48"/>
    </w:p>
    <w:p>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pPr>
        <w:pStyle w:val="ySubsection"/>
        <w:rPr>
          <w:snapToGrid w:val="0"/>
        </w:rPr>
      </w:pPr>
      <w:r>
        <w:rPr>
          <w:snapToGrid w:val="0"/>
        </w:rPr>
        <w:tab/>
        <w:t>(6)</w:t>
      </w:r>
      <w:r>
        <w:rPr>
          <w:snapToGrid w:val="0"/>
        </w:rPr>
        <w:tab/>
        <w:t>The board shall cause accurate minutes to be kept of its proceedings at its meetings.</w:t>
      </w:r>
    </w:p>
    <w:p>
      <w:pPr>
        <w:pStyle w:val="ySubsection"/>
        <w:rPr>
          <w:snapToGrid w:val="0"/>
        </w:rPr>
      </w:pPr>
      <w:r>
        <w:rPr>
          <w:snapToGrid w:val="0"/>
        </w:rPr>
        <w:tab/>
        <w:t>(7)</w:t>
      </w:r>
      <w:r>
        <w:rPr>
          <w:snapToGrid w:val="0"/>
        </w:rPr>
        <w:tab/>
        <w:t>To the extent that it is not set out in this Schedule or in regulations the board shall determine its own procedure.</w:t>
      </w:r>
    </w:p>
    <w:p>
      <w:pPr>
        <w:pStyle w:val="yFootnotesection"/>
      </w:pPr>
      <w:r>
        <w:tab/>
        <w:t>[Clause 3 amended: No. 23 of 1998 s. 15 and 17(1).]</w:t>
      </w:r>
    </w:p>
    <w:p>
      <w:pPr>
        <w:pStyle w:val="yHeading5"/>
        <w:rPr>
          <w:snapToGrid w:val="0"/>
        </w:rPr>
      </w:pPr>
      <w:bookmarkStart w:id="49" w:name="_Toc32398419"/>
      <w:r>
        <w:rPr>
          <w:rStyle w:val="CharSClsNo"/>
        </w:rPr>
        <w:t>4</w:t>
      </w:r>
      <w:r>
        <w:rPr>
          <w:snapToGrid w:val="0"/>
        </w:rPr>
        <w:t>.</w:t>
      </w:r>
      <w:r>
        <w:rPr>
          <w:snapToGrid w:val="0"/>
        </w:rPr>
        <w:tab/>
        <w:t>Remuneration</w:t>
      </w:r>
      <w:bookmarkEnd w:id="49"/>
    </w:p>
    <w:p>
      <w:pPr>
        <w:pStyle w:val="ySubsection"/>
        <w:rPr>
          <w:snapToGrid w:val="0"/>
        </w:rPr>
      </w:pPr>
      <w:r>
        <w:rPr>
          <w:snapToGrid w:val="0"/>
        </w:rPr>
        <w:tab/>
        <w:t>(1)</w:t>
      </w:r>
      <w:r>
        <w:rPr>
          <w:snapToGrid w:val="0"/>
        </w:rPr>
        <w:tab/>
        <w:t>Members shall be entitled to be paid such remuneration and allowances as are determined by the Minister.</w:t>
      </w:r>
    </w:p>
    <w:p>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r>
        <w:tab/>
        <w:t>[Clause 4 amended: No. 32 of 1994 s. 3; No. 35 of 2003 s. 217(2).]</w:t>
      </w:r>
    </w:p>
    <w:p>
      <w:pPr>
        <w:pStyle w:val="yHeading5"/>
        <w:rPr>
          <w:snapToGrid w:val="0"/>
        </w:rPr>
      </w:pPr>
      <w:bookmarkStart w:id="50" w:name="_Toc32398420"/>
      <w:r>
        <w:rPr>
          <w:rStyle w:val="CharSClsNo"/>
        </w:rPr>
        <w:t>5</w:t>
      </w:r>
      <w:r>
        <w:rPr>
          <w:snapToGrid w:val="0"/>
        </w:rPr>
        <w:t>.</w:t>
      </w:r>
      <w:r>
        <w:rPr>
          <w:snapToGrid w:val="0"/>
        </w:rPr>
        <w:tab/>
        <w:t>Validity of acts</w:t>
      </w:r>
      <w:bookmarkEnd w:id="50"/>
    </w:p>
    <w:p>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pPr>
        <w:pStyle w:val="yFootnotesection"/>
      </w:pPr>
      <w:r>
        <w:tab/>
        <w:t>[Clause 5 amended: No. 23 of 1998 s. 17(1).]</w:t>
      </w:r>
    </w:p>
    <w:p>
      <w:pPr>
        <w:pStyle w:val="yEdnotesection"/>
      </w:pPr>
      <w:r>
        <w:t>[Schedule 2 omitted under the Reprints Act 1984 s. 7(4)(e).]</w:t>
      </w:r>
    </w:p>
    <w:p>
      <w:pPr>
        <w:pStyle w:val="yScheduleHeading"/>
      </w:pPr>
      <w:bookmarkStart w:id="51" w:name="_Toc32398370"/>
      <w:bookmarkStart w:id="52" w:name="_Toc32398421"/>
      <w:r>
        <w:rPr>
          <w:rStyle w:val="CharSchNo"/>
        </w:rPr>
        <w:t>Schedule 3</w:t>
      </w:r>
      <w:r>
        <w:t> — </w:t>
      </w:r>
      <w:r>
        <w:rPr>
          <w:rStyle w:val="CharSchText"/>
        </w:rPr>
        <w:t>Provisions as to take</w:t>
      </w:r>
      <w:r>
        <w:rPr>
          <w:rStyle w:val="CharSchText"/>
        </w:rPr>
        <w:noBreakHyphen/>
        <w:t>over by Association of conduct of operations at Cannington race course</w:t>
      </w:r>
      <w:bookmarkEnd w:id="51"/>
      <w:bookmarkEnd w:id="52"/>
    </w:p>
    <w:p>
      <w:pPr>
        <w:pStyle w:val="yShoulderClause"/>
        <w:rPr>
          <w:snapToGrid w:val="0"/>
        </w:rPr>
      </w:pPr>
      <w:r>
        <w:rPr>
          <w:snapToGrid w:val="0"/>
        </w:rPr>
        <w:t>[s. 40]</w:t>
      </w:r>
    </w:p>
    <w:p>
      <w:pPr>
        <w:pStyle w:val="yFootnoteheading"/>
        <w:rPr>
          <w:rStyle w:val="CharSClsNo"/>
        </w:rPr>
      </w:pPr>
      <w:r>
        <w:tab/>
        <w:t>[Heading amended: No. 19 of 2010 s. 4.]</w:t>
      </w:r>
    </w:p>
    <w:p>
      <w:pPr>
        <w:pStyle w:val="yHeading5"/>
        <w:rPr>
          <w:snapToGrid w:val="0"/>
        </w:rPr>
      </w:pPr>
      <w:bookmarkStart w:id="53" w:name="_Toc32398422"/>
      <w:r>
        <w:rPr>
          <w:rStyle w:val="CharSClsNo"/>
        </w:rPr>
        <w:t>1</w:t>
      </w:r>
      <w:r>
        <w:rPr>
          <w:snapToGrid w:val="0"/>
        </w:rPr>
        <w:t>.</w:t>
      </w:r>
      <w:r>
        <w:rPr>
          <w:snapToGrid w:val="0"/>
        </w:rPr>
        <w:tab/>
        <w:t>Definitions of terms in this Schedule</w:t>
      </w:r>
      <w:bookmarkEnd w:id="53"/>
    </w:p>
    <w:p>
      <w:pPr>
        <w:pStyle w:val="ySubsection"/>
        <w:rPr>
          <w:snapToGrid w:val="0"/>
        </w:rPr>
      </w:pPr>
      <w:r>
        <w:rPr>
          <w:snapToGrid w:val="0"/>
        </w:rPr>
        <w:tab/>
      </w:r>
      <w:r>
        <w:rPr>
          <w:snapToGrid w:val="0"/>
        </w:rPr>
        <w:tab/>
        <w:t>In this Schedule —</w:t>
      </w:r>
    </w:p>
    <w:p>
      <w:pPr>
        <w:pStyle w:val="yDefstart"/>
      </w:pPr>
      <w:r>
        <w:rPr>
          <w:b/>
        </w:rPr>
        <w:tab/>
      </w:r>
      <w:r>
        <w:rPr>
          <w:rStyle w:val="CharDefText"/>
        </w:rPr>
        <w:t>appointed day</w:t>
      </w:r>
      <w:r>
        <w:t xml:space="preserve"> means the day fixed by the Minister pursuant to section 40(1);</w:t>
      </w:r>
    </w:p>
    <w:p>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pPr>
        <w:pStyle w:val="yDefstart"/>
      </w:pPr>
      <w:r>
        <w:rPr>
          <w:b/>
        </w:rPr>
        <w:tab/>
      </w:r>
      <w:r>
        <w:rPr>
          <w:rStyle w:val="CharDefText"/>
        </w:rPr>
        <w:t>the club</w:t>
      </w:r>
      <w:r>
        <w:t xml:space="preserve"> means the Canning Greyhound Racing Association (W.A.) (Inc.);</w:t>
      </w:r>
    </w:p>
    <w:p>
      <w:pPr>
        <w:pStyle w:val="yDefstart"/>
      </w:pPr>
      <w:r>
        <w:rPr>
          <w:b/>
        </w:rPr>
        <w:tab/>
      </w:r>
      <w:r>
        <w:rPr>
          <w:rStyle w:val="CharDefText"/>
        </w:rPr>
        <w:t>the Society</w:t>
      </w:r>
      <w:r>
        <w:t xml:space="preserve"> means the Canning Agricultural Horticultural and Recreational Society (Inc.).</w:t>
      </w:r>
    </w:p>
    <w:p>
      <w:pPr>
        <w:pStyle w:val="yHeading5"/>
        <w:rPr>
          <w:snapToGrid w:val="0"/>
        </w:rPr>
      </w:pPr>
      <w:bookmarkStart w:id="54" w:name="_Toc32398423"/>
      <w:r>
        <w:rPr>
          <w:rStyle w:val="CharSClsNo"/>
        </w:rPr>
        <w:t>2</w:t>
      </w:r>
      <w:r>
        <w:rPr>
          <w:snapToGrid w:val="0"/>
        </w:rPr>
        <w:t>.</w:t>
      </w:r>
      <w:r>
        <w:rPr>
          <w:snapToGrid w:val="0"/>
        </w:rPr>
        <w:tab/>
        <w:t>Lease of Cannington race course</w:t>
      </w:r>
      <w:bookmarkEnd w:id="54"/>
    </w:p>
    <w:p>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pPr>
        <w:pStyle w:val="yHeading5"/>
        <w:rPr>
          <w:snapToGrid w:val="0"/>
        </w:rPr>
      </w:pPr>
      <w:bookmarkStart w:id="55" w:name="_Toc32398424"/>
      <w:r>
        <w:rPr>
          <w:rStyle w:val="CharSClsNo"/>
        </w:rPr>
        <w:t>3</w:t>
      </w:r>
      <w:r>
        <w:rPr>
          <w:snapToGrid w:val="0"/>
        </w:rPr>
        <w:t>.</w:t>
      </w:r>
      <w:r>
        <w:rPr>
          <w:snapToGrid w:val="0"/>
        </w:rPr>
        <w:tab/>
        <w:t>Termination of licence and permit</w:t>
      </w:r>
      <w:bookmarkEnd w:id="55"/>
    </w:p>
    <w:p>
      <w:pPr>
        <w:pStyle w:val="ySubsection"/>
        <w:rPr>
          <w:snapToGrid w:val="0"/>
        </w:rPr>
      </w:pPr>
      <w:r>
        <w:rPr>
          <w:snapToGrid w:val="0"/>
        </w:rPr>
        <w:tab/>
      </w:r>
      <w:r>
        <w:rPr>
          <w:snapToGrid w:val="0"/>
        </w:rPr>
        <w:tab/>
        <w:t>On or after the appointed day a licence or permit —</w:t>
      </w:r>
    </w:p>
    <w:p>
      <w:pPr>
        <w:pStyle w:val="yIndenta"/>
        <w:rPr>
          <w:snapToGrid w:val="0"/>
        </w:rPr>
      </w:pPr>
      <w:r>
        <w:rPr>
          <w:snapToGrid w:val="0"/>
        </w:rPr>
        <w:tab/>
        <w:t>(a)</w:t>
      </w:r>
      <w:r>
        <w:rPr>
          <w:snapToGrid w:val="0"/>
        </w:rPr>
        <w:tab/>
        <w:t>issued or deemed to have been issued under Part VI in respect of the Cannington race course; and</w:t>
      </w:r>
    </w:p>
    <w:p>
      <w:pPr>
        <w:pStyle w:val="yIndenta"/>
        <w:keepNext/>
        <w:rPr>
          <w:snapToGrid w:val="0"/>
        </w:rPr>
      </w:pPr>
      <w:r>
        <w:rPr>
          <w:snapToGrid w:val="0"/>
        </w:rPr>
        <w:tab/>
        <w:t>(b)</w:t>
      </w:r>
      <w:r>
        <w:rPr>
          <w:snapToGrid w:val="0"/>
        </w:rPr>
        <w:tab/>
        <w:t>in force immediately before that day,</w:t>
      </w:r>
    </w:p>
    <w:p>
      <w:pPr>
        <w:pStyle w:val="ySubsection"/>
        <w:rPr>
          <w:snapToGrid w:val="0"/>
        </w:rPr>
      </w:pPr>
      <w:r>
        <w:rPr>
          <w:snapToGrid w:val="0"/>
        </w:rPr>
        <w:tab/>
      </w:r>
      <w:r>
        <w:rPr>
          <w:snapToGrid w:val="0"/>
        </w:rPr>
        <w:tab/>
        <w:t>shall have no effect.</w:t>
      </w:r>
    </w:p>
    <w:p>
      <w:pPr>
        <w:pStyle w:val="yHeading5"/>
        <w:rPr>
          <w:snapToGrid w:val="0"/>
        </w:rPr>
      </w:pPr>
      <w:bookmarkStart w:id="56" w:name="_Toc32398425"/>
      <w:r>
        <w:rPr>
          <w:rStyle w:val="CharSClsNo"/>
        </w:rPr>
        <w:t>4</w:t>
      </w:r>
      <w:r>
        <w:rPr>
          <w:snapToGrid w:val="0"/>
        </w:rPr>
        <w:t>.</w:t>
      </w:r>
      <w:r>
        <w:rPr>
          <w:snapToGrid w:val="0"/>
        </w:rPr>
        <w:tab/>
        <w:t>Transfer of assets, liabilities, obligations and staff of club</w:t>
      </w:r>
      <w:bookmarkEnd w:id="56"/>
    </w:p>
    <w:p>
      <w:pPr>
        <w:pStyle w:val="ySubsection"/>
        <w:rPr>
          <w:snapToGrid w:val="0"/>
        </w:rPr>
      </w:pPr>
      <w:r>
        <w:rPr>
          <w:snapToGrid w:val="0"/>
        </w:rPr>
        <w:tab/>
        <w:t>(1)</w:t>
      </w:r>
      <w:r>
        <w:rPr>
          <w:snapToGrid w:val="0"/>
        </w:rPr>
        <w:tab/>
        <w:t>On the appointed day —</w:t>
      </w:r>
    </w:p>
    <w:p>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pPr>
        <w:pStyle w:val="yPenstart"/>
        <w:rPr>
          <w:snapToGrid w:val="0"/>
        </w:rPr>
      </w:pPr>
      <w:r>
        <w:rPr>
          <w:snapToGrid w:val="0"/>
        </w:rPr>
        <w:tab/>
        <w:t>Penalty: $1 000.</w:t>
      </w:r>
    </w:p>
    <w:p>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pPr>
        <w:pStyle w:val="yIndenta"/>
        <w:rPr>
          <w:snapToGrid w:val="0"/>
        </w:rPr>
      </w:pPr>
      <w:r>
        <w:rPr>
          <w:snapToGrid w:val="0"/>
        </w:rPr>
        <w:tab/>
        <w:t>(a)</w:t>
      </w:r>
      <w:r>
        <w:rPr>
          <w:snapToGrid w:val="0"/>
        </w:rPr>
        <w:tab/>
        <w:t>the Association were substituted for the club as a party to the agreement or instrument; and</w:t>
      </w:r>
    </w:p>
    <w:p>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pPr>
        <w:pStyle w:val="yHeading5"/>
        <w:rPr>
          <w:snapToGrid w:val="0"/>
        </w:rPr>
      </w:pPr>
      <w:bookmarkStart w:id="57" w:name="_Toc32398426"/>
      <w:r>
        <w:rPr>
          <w:rStyle w:val="CharSClsNo"/>
        </w:rPr>
        <w:t>5</w:t>
      </w:r>
      <w:r>
        <w:rPr>
          <w:snapToGrid w:val="0"/>
        </w:rPr>
        <w:t>.</w:t>
      </w:r>
      <w:r>
        <w:rPr>
          <w:snapToGrid w:val="0"/>
        </w:rPr>
        <w:tab/>
        <w:t>Staff</w:t>
      </w:r>
      <w:bookmarkEnd w:id="57"/>
    </w:p>
    <w:p>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9" w:name="_Toc32398376"/>
      <w:bookmarkStart w:id="60" w:name="_Toc32398427"/>
      <w:r>
        <w:t>Notes</w:t>
      </w:r>
      <w:bookmarkEnd w:id="59"/>
      <w:bookmarkEnd w:id="60"/>
    </w:p>
    <w:p>
      <w:pPr>
        <w:pStyle w:val="nStatement"/>
      </w:pPr>
      <w:r>
        <w:t xml:space="preserve">This is a compilation of the </w:t>
      </w:r>
      <w:r>
        <w:rPr>
          <w:i/>
          <w:noProof/>
        </w:rPr>
        <w:t>Western Australian Greyhound Racing Association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32398428"/>
      <w:r>
        <w:t>Compilation table</w:t>
      </w:r>
      <w:bookmarkEnd w:id="61"/>
    </w:p>
    <w:tbl>
      <w:tblPr>
        <w:tblW w:w="0" w:type="auto"/>
        <w:tblInd w:w="56" w:type="dxa"/>
        <w:tblLayout w:type="fixed"/>
        <w:tblCellMar>
          <w:left w:w="56" w:type="dxa"/>
          <w:right w:w="56" w:type="dxa"/>
        </w:tblCellMar>
        <w:tblLook w:val="0000" w:firstRow="0" w:lastRow="0" w:firstColumn="0" w:lastColumn="0" w:noHBand="0" w:noVBand="0"/>
      </w:tblPr>
      <w:tblGrid>
        <w:gridCol w:w="2269"/>
        <w:gridCol w:w="13"/>
        <w:gridCol w:w="1106"/>
        <w:gridCol w:w="15"/>
        <w:gridCol w:w="1134"/>
        <w:gridCol w:w="2551"/>
        <w:gridCol w:w="9"/>
      </w:tblGrid>
      <w:tr>
        <w:trPr>
          <w:gridAfter w:val="1"/>
          <w:wAfter w:w="9" w:type="dxa"/>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9" w:type="dxa"/>
          <w:cantSplit/>
        </w:trPr>
        <w:tc>
          <w:tcPr>
            <w:tcW w:w="2269" w:type="dxa"/>
            <w:tcBorders>
              <w:top w:val="single" w:sz="8" w:space="0" w:color="auto"/>
            </w:tcBorders>
          </w:tcPr>
          <w:p>
            <w:pPr>
              <w:pStyle w:val="nTable"/>
              <w:spacing w:after="40"/>
              <w:rPr>
                <w:iCs/>
              </w:rPr>
            </w:pPr>
            <w:r>
              <w:rPr>
                <w:i/>
              </w:rPr>
              <w:t>Western Australian Greyhound Racing Association Act 1981</w:t>
            </w:r>
            <w:r>
              <w:rPr>
                <w:iCs/>
                <w:vertAlign w:val="superscript"/>
              </w:rPr>
              <w:t> 5</w:t>
            </w:r>
          </w:p>
        </w:tc>
        <w:tc>
          <w:tcPr>
            <w:tcW w:w="1134" w:type="dxa"/>
            <w:gridSpan w:val="3"/>
            <w:tcBorders>
              <w:top w:val="single" w:sz="8" w:space="0" w:color="auto"/>
            </w:tcBorders>
          </w:tcPr>
          <w:p>
            <w:pPr>
              <w:pStyle w:val="nTable"/>
              <w:spacing w:after="40"/>
            </w:pPr>
            <w:r>
              <w:t>10 of 1981</w:t>
            </w:r>
          </w:p>
        </w:tc>
        <w:tc>
          <w:tcPr>
            <w:tcW w:w="1134" w:type="dxa"/>
            <w:tcBorders>
              <w:top w:val="single" w:sz="8" w:space="0" w:color="auto"/>
            </w:tcBorders>
          </w:tcPr>
          <w:p>
            <w:pPr>
              <w:pStyle w:val="nTable"/>
              <w:spacing w:after="40"/>
            </w:pPr>
            <w:r>
              <w:t>22 May 1981</w:t>
            </w:r>
          </w:p>
        </w:tc>
        <w:tc>
          <w:tcPr>
            <w:tcW w:w="2551" w:type="dxa"/>
            <w:tcBorders>
              <w:top w:val="single" w:sz="8" w:space="0" w:color="auto"/>
            </w:tcBorders>
          </w:tcPr>
          <w:p>
            <w:pPr>
              <w:pStyle w:val="nTable"/>
              <w:spacing w:after="40"/>
            </w:pPr>
            <w:r>
              <w:t xml:space="preserve">15 Jun 1981 (see s. 2 and </w:t>
            </w:r>
            <w:r>
              <w:rPr>
                <w:i/>
              </w:rPr>
              <w:t xml:space="preserve">Gazette </w:t>
            </w:r>
            <w:r>
              <w:t>12 Jun 1981 p. 2048)</w:t>
            </w:r>
          </w:p>
        </w:tc>
      </w:tr>
      <w:tr>
        <w:trPr>
          <w:gridAfter w:val="1"/>
          <w:wAfter w:w="9" w:type="dxa"/>
          <w:cantSplit/>
        </w:trPr>
        <w:tc>
          <w:tcPr>
            <w:tcW w:w="2269" w:type="dxa"/>
          </w:tcPr>
          <w:p>
            <w:pPr>
              <w:pStyle w:val="nTable"/>
              <w:spacing w:after="40"/>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After w:val="1"/>
          <w:wAfter w:w="9" w:type="dxa"/>
          <w:cantSplit/>
        </w:trPr>
        <w:tc>
          <w:tcPr>
            <w:tcW w:w="2269" w:type="dxa"/>
          </w:tcPr>
          <w:p>
            <w:pPr>
              <w:pStyle w:val="nTable"/>
              <w:spacing w:after="40"/>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9" w:type="dxa"/>
          <w:cantSplit/>
        </w:trPr>
        <w:tc>
          <w:tcPr>
            <w:tcW w:w="2269" w:type="dxa"/>
          </w:tcPr>
          <w:p>
            <w:pPr>
              <w:pStyle w:val="nTable"/>
              <w:spacing w:after="40"/>
            </w:pPr>
            <w:r>
              <w:rPr>
                <w:i/>
              </w:rPr>
              <w:t>Equal Opportunity Amendment Act (No. 3) 1997</w:t>
            </w:r>
            <w:r>
              <w:t xml:space="preserve"> s. 8</w:t>
            </w:r>
          </w:p>
        </w:tc>
        <w:tc>
          <w:tcPr>
            <w:tcW w:w="1134" w:type="dxa"/>
            <w:gridSpan w:val="3"/>
          </w:tcPr>
          <w:p>
            <w:pPr>
              <w:pStyle w:val="nTable"/>
              <w:spacing w:after="40"/>
            </w:pPr>
            <w:r>
              <w:t>42 of 1997</w:t>
            </w:r>
          </w:p>
        </w:tc>
        <w:tc>
          <w:tcPr>
            <w:tcW w:w="1134" w:type="dxa"/>
          </w:tcPr>
          <w:p>
            <w:pPr>
              <w:pStyle w:val="nTable"/>
              <w:spacing w:after="40"/>
            </w:pPr>
            <w:r>
              <w:t>9 Dec 1997</w:t>
            </w:r>
          </w:p>
        </w:tc>
        <w:tc>
          <w:tcPr>
            <w:tcW w:w="2551" w:type="dxa"/>
          </w:tcPr>
          <w:p>
            <w:pPr>
              <w:pStyle w:val="nTable"/>
              <w:spacing w:after="40"/>
            </w:pPr>
            <w:r>
              <w:t>6 Jan 1998 (see s. 2(1))</w:t>
            </w:r>
          </w:p>
        </w:tc>
      </w:tr>
      <w:tr>
        <w:trPr>
          <w:gridAfter w:val="1"/>
          <w:wAfter w:w="9" w:type="dxa"/>
          <w:cantSplit/>
        </w:trPr>
        <w:tc>
          <w:tcPr>
            <w:tcW w:w="2269" w:type="dxa"/>
          </w:tcPr>
          <w:p>
            <w:pPr>
              <w:pStyle w:val="nTable"/>
              <w:spacing w:after="40"/>
            </w:pPr>
            <w:r>
              <w:rPr>
                <w:i/>
              </w:rPr>
              <w:t>Western Australian Greyhound Racing Association Amendment Act 1998</w:t>
            </w:r>
            <w:r>
              <w:t> </w:t>
            </w:r>
            <w:r>
              <w:rPr>
                <w:vertAlign w:val="superscript"/>
              </w:rPr>
              <w:t>1, 2, 3</w:t>
            </w:r>
          </w:p>
        </w:tc>
        <w:tc>
          <w:tcPr>
            <w:tcW w:w="1134" w:type="dxa"/>
            <w:gridSpan w:val="3"/>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gridAfter w:val="1"/>
          <w:wAfter w:w="9" w:type="dxa"/>
          <w:cantSplit/>
        </w:trPr>
        <w:tc>
          <w:tcPr>
            <w:tcW w:w="7088" w:type="dxa"/>
            <w:gridSpan w:val="6"/>
          </w:tcPr>
          <w:p>
            <w:pPr>
              <w:pStyle w:val="nTable"/>
              <w:spacing w:after="40"/>
            </w:pPr>
            <w:r>
              <w:rPr>
                <w:b/>
              </w:rPr>
              <w:t xml:space="preserve">Reprint of the </w:t>
            </w:r>
            <w:r>
              <w:rPr>
                <w:b/>
                <w:i/>
              </w:rPr>
              <w:t xml:space="preserve">Western Australian Greyhound Racing Authority Act 1981 </w:t>
            </w:r>
            <w:r>
              <w:rPr>
                <w:b/>
              </w:rPr>
              <w:t>as at 1 Jan 1999</w:t>
            </w:r>
            <w:r>
              <w:t xml:space="preserve"> (includes amendments listed above)</w:t>
            </w:r>
          </w:p>
        </w:tc>
      </w:tr>
      <w:tr>
        <w:trPr>
          <w:gridAfter w:val="1"/>
          <w:wAfter w:w="9" w:type="dxa"/>
          <w:cantSplit/>
        </w:trPr>
        <w:tc>
          <w:tcPr>
            <w:tcW w:w="2269" w:type="dxa"/>
          </w:tcPr>
          <w:p>
            <w:pPr>
              <w:pStyle w:val="nTable"/>
              <w:spacing w:after="40"/>
              <w:rPr>
                <w:i/>
              </w:rPr>
            </w:pPr>
            <w:r>
              <w:rPr>
                <w:i/>
              </w:rPr>
              <w:t>Statutes (Repeals and Minor Amendments) Act 2000</w:t>
            </w:r>
            <w:r>
              <w:t xml:space="preserve"> s. 46</w:t>
            </w:r>
          </w:p>
        </w:tc>
        <w:tc>
          <w:tcPr>
            <w:tcW w:w="1134" w:type="dxa"/>
            <w:gridSpan w:val="3"/>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gridAfter w:val="1"/>
          <w:wAfter w:w="9" w:type="dxa"/>
          <w:cantSplit/>
        </w:trPr>
        <w:tc>
          <w:tcPr>
            <w:tcW w:w="2269" w:type="dxa"/>
          </w:tcPr>
          <w:p>
            <w:pPr>
              <w:pStyle w:val="nTable"/>
              <w:spacing w:after="40"/>
              <w:rPr>
                <w:i/>
              </w:rPr>
            </w:pPr>
            <w:r>
              <w:rPr>
                <w:i/>
              </w:rPr>
              <w:t>Racing and Gambling Legislation Amendment and Repeal Act 2003</w:t>
            </w:r>
            <w:r>
              <w:t xml:space="preserve"> Pt. 12 Div. 1</w:t>
            </w:r>
            <w:r>
              <w:rPr>
                <w:vertAlign w:val="superscript"/>
              </w:rPr>
              <w:t> 4</w:t>
            </w:r>
          </w:p>
        </w:tc>
        <w:tc>
          <w:tcPr>
            <w:tcW w:w="1134" w:type="dxa"/>
            <w:gridSpan w:val="3"/>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195</w:t>
            </w:r>
            <w:r>
              <w:noBreakHyphen/>
              <w:t>206, 207(1)(a) and (2), 208</w:t>
            </w:r>
            <w:r>
              <w:noBreakHyphen/>
              <w:t xml:space="preserve">218: 1 Aug 2003 (see s. 2 and </w:t>
            </w:r>
            <w:r>
              <w:rPr>
                <w:i/>
              </w:rPr>
              <w:t>Gazette</w:t>
            </w:r>
            <w:r>
              <w:t xml:space="preserve"> 29 Jul 2003 p. 3259);</w:t>
            </w:r>
            <w:r>
              <w:br/>
              <w:t xml:space="preserve">s. 207(1)(b): 30 Jan 2004 (see s. 2 and </w:t>
            </w:r>
            <w:r>
              <w:rPr>
                <w:i/>
              </w:rPr>
              <w:t>Gazette</w:t>
            </w:r>
            <w:r>
              <w:t xml:space="preserve"> 30 Jan 2004 p. 397)</w:t>
            </w:r>
          </w:p>
        </w:tc>
      </w:tr>
      <w:tr>
        <w:trPr>
          <w:gridAfter w:val="1"/>
          <w:wAfter w:w="9" w:type="dxa"/>
          <w:cantSplit/>
        </w:trPr>
        <w:tc>
          <w:tcPr>
            <w:tcW w:w="7088" w:type="dxa"/>
            <w:gridSpan w:val="6"/>
          </w:tcPr>
          <w:p>
            <w:pPr>
              <w:pStyle w:val="nTable"/>
              <w:spacing w:after="40"/>
            </w:pPr>
            <w:r>
              <w:rPr>
                <w:b/>
              </w:rPr>
              <w:t xml:space="preserve">Reprint 2: The </w:t>
            </w:r>
            <w:r>
              <w:rPr>
                <w:b/>
                <w:i/>
              </w:rPr>
              <w:t xml:space="preserve">Western Australian Greyhound Racing Association Act 1981 </w:t>
            </w:r>
            <w:r>
              <w:rPr>
                <w:b/>
              </w:rPr>
              <w:t>as at 10 Feb 2006</w:t>
            </w:r>
            <w:r>
              <w:t xml:space="preserve"> (includes amendments listed above)</w:t>
            </w:r>
          </w:p>
        </w:tc>
      </w:tr>
      <w:tr>
        <w:trPr>
          <w:gridAfter w:val="1"/>
          <w:wAfter w:w="9" w:type="dxa"/>
          <w:cantSplit/>
        </w:trPr>
        <w:tc>
          <w:tcPr>
            <w:tcW w:w="2269" w:type="dxa"/>
          </w:tcPr>
          <w:p>
            <w:pPr>
              <w:pStyle w:val="nTable"/>
              <w:spacing w:after="40"/>
              <w:rPr>
                <w:i/>
              </w:rPr>
            </w:pPr>
            <w:r>
              <w:rPr>
                <w:i/>
              </w:rPr>
              <w:t>Financial Legislation Amendment and Repeal Act 2006</w:t>
            </w:r>
            <w:r>
              <w:t xml:space="preserve"> s. 17</w:t>
            </w:r>
          </w:p>
        </w:tc>
        <w:tc>
          <w:tcPr>
            <w:tcW w:w="1134" w:type="dxa"/>
            <w:gridSpan w:val="3"/>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91</w:t>
            </w:r>
          </w:p>
        </w:tc>
        <w:tc>
          <w:tcPr>
            <w:tcW w:w="1134" w:type="dxa"/>
            <w:gridSpan w:val="3"/>
          </w:tcPr>
          <w:p>
            <w:pPr>
              <w:pStyle w:val="nTable"/>
              <w:spacing w:after="40"/>
            </w:pPr>
            <w:r>
              <w:t>18 of 2009</w:t>
            </w:r>
          </w:p>
        </w:tc>
        <w:tc>
          <w:tcPr>
            <w:tcW w:w="1134" w:type="dxa"/>
          </w:tcPr>
          <w:p>
            <w:pPr>
              <w:pStyle w:val="nTable"/>
              <w:spacing w:after="40"/>
            </w:pPr>
            <w:r>
              <w:t>16 Sep 2009</w:t>
            </w:r>
          </w:p>
        </w:tc>
        <w:tc>
          <w:tcPr>
            <w:tcW w:w="2560" w:type="dxa"/>
            <w:gridSpan w:val="2"/>
          </w:tcPr>
          <w:p>
            <w:pPr>
              <w:pStyle w:val="nTable"/>
              <w:spacing w:after="40"/>
            </w:pPr>
            <w:r>
              <w:t>17 Sep 2009 (see s. 2(b))</w:t>
            </w:r>
          </w:p>
        </w:tc>
      </w:tr>
      <w:tr>
        <w:trPr>
          <w:cantSplit/>
        </w:trPr>
        <w:tc>
          <w:tcPr>
            <w:tcW w:w="2282" w:type="dxa"/>
            <w:gridSpan w:val="2"/>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06" w:type="dxa"/>
            <w:tcBorders>
              <w:bottom w:val="single" w:sz="4" w:space="0" w:color="auto"/>
            </w:tcBorders>
          </w:tcPr>
          <w:p>
            <w:pPr>
              <w:pStyle w:val="nTable"/>
              <w:spacing w:after="40"/>
              <w:rPr>
                <w:snapToGrid w:val="0"/>
              </w:rPr>
            </w:pPr>
            <w:r>
              <w:rPr>
                <w:snapToGrid w:val="0"/>
              </w:rPr>
              <w:t>19 of 2010</w:t>
            </w:r>
          </w:p>
        </w:tc>
        <w:tc>
          <w:tcPr>
            <w:tcW w:w="1149" w:type="dxa"/>
            <w:gridSpan w:val="2"/>
            <w:tcBorders>
              <w:bottom w:val="single" w:sz="4" w:space="0" w:color="auto"/>
            </w:tcBorders>
          </w:tcPr>
          <w:p>
            <w:pPr>
              <w:pStyle w:val="nTable"/>
              <w:spacing w:after="40"/>
              <w:rPr>
                <w:snapToGrid w:val="0"/>
              </w:rPr>
            </w:pPr>
            <w:r>
              <w:rPr>
                <w:snapToGrid w:val="0"/>
              </w:rPr>
              <w:t>28 Jun 2010</w:t>
            </w:r>
          </w:p>
        </w:tc>
        <w:tc>
          <w:tcPr>
            <w:tcW w:w="2560"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Heading3"/>
      </w:pPr>
      <w:bookmarkStart w:id="62" w:name="_Toc32398429"/>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159</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Pr>
        <w:pStyle w:val="nHeading3"/>
      </w:pPr>
      <w:bookmarkStart w:id="63" w:name="_Toc32398430"/>
      <w:r>
        <w:t>Other notes</w:t>
      </w:r>
      <w:bookmarkEnd w:id="63"/>
    </w:p>
    <w:p>
      <w:pPr>
        <w:pStyle w:val="nNote"/>
        <w:keepNext/>
        <w:keepLines/>
      </w:pPr>
      <w:r>
        <w:rPr>
          <w:vertAlign w:val="superscript"/>
        </w:rPr>
        <w:t>1</w:t>
      </w:r>
      <w:r>
        <w:tab/>
        <w:t xml:space="preserve">The </w:t>
      </w:r>
      <w:r>
        <w:rPr>
          <w:i/>
        </w:rPr>
        <w:t>Western Australian Greyhound Racing Association Amendment Act 1998</w:t>
      </w:r>
      <w:r>
        <w:t xml:space="preserve"> s. 16(2), (3) and (4) read as follows:</w:t>
      </w:r>
    </w:p>
    <w:p>
      <w:pPr>
        <w:pStyle w:val="MiscOpen"/>
      </w:pPr>
      <w:r>
        <w:t>“</w:t>
      </w:r>
    </w:p>
    <w:p>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pPr>
        <w:pStyle w:val="nzSubsection"/>
      </w:pPr>
      <w:r>
        <w:tab/>
        <w:t>(4)</w:t>
      </w:r>
      <w:r>
        <w:tab/>
        <w:t>Where, in a written law (including the principal Act on or after the commencement of this Act) or in any document of any kind, there is —</w:t>
      </w:r>
    </w:p>
    <w:p>
      <w:pPr>
        <w:pStyle w:val="nzIndenta"/>
      </w:pPr>
      <w:r>
        <w:tab/>
        <w:t>(a)</w:t>
      </w:r>
      <w:r>
        <w:tab/>
        <w:t>a reference to the Western Australian Greyhound Racing Association; or</w:t>
      </w:r>
    </w:p>
    <w:p>
      <w:pPr>
        <w:pStyle w:val="nzIndenta"/>
      </w:pPr>
      <w:r>
        <w:tab/>
        <w:t>(b)</w:t>
      </w:r>
      <w:r>
        <w:tab/>
        <w:t>a reference that was directed by clause 7 of Schedule 2 to the principal Act to be read and construed as a reference to the Western Australian Greyhound Racing Association,</w:t>
      </w:r>
    </w:p>
    <w:p>
      <w:pPr>
        <w:pStyle w:val="nzSubsection"/>
      </w:pPr>
      <w:r>
        <w:tab/>
      </w:r>
      <w:r>
        <w:tab/>
        <w:t>that reference is, unless because of the context it would be inappropriate to do so, to be read and construed as if it had been amended to be a reference to the Western Australian Greyhound Racing Authority.</w:t>
      </w:r>
    </w:p>
    <w:p>
      <w:pPr>
        <w:pStyle w:val="MiscClose"/>
      </w:pPr>
      <w:r>
        <w:t>”.</w:t>
      </w:r>
    </w:p>
    <w:p>
      <w:pPr>
        <w:pStyle w:val="nNote"/>
      </w:pPr>
      <w:r>
        <w:rPr>
          <w:vertAlign w:val="superscript"/>
        </w:rPr>
        <w:t>2</w:t>
      </w:r>
      <w:r>
        <w:tab/>
        <w:t xml:space="preserve">The </w:t>
      </w:r>
      <w:r>
        <w:rPr>
          <w:i/>
        </w:rPr>
        <w:t>Western Australian Greyhound Racing Association Amendment Act 1998</w:t>
      </w:r>
      <w:r>
        <w:t xml:space="preserve"> s. 17(3) and (4) read as follows:</w:t>
      </w:r>
    </w:p>
    <w:p>
      <w:pPr>
        <w:pStyle w:val="MiscOpen"/>
      </w:pPr>
      <w:r>
        <w:t>“</w:t>
      </w:r>
    </w:p>
    <w:p>
      <w:pPr>
        <w:pStyle w:val="nzSubsection"/>
        <w:spacing w:before="0"/>
      </w:pPr>
      <w:r>
        <w:tab/>
        <w:t>(3)</w:t>
      </w:r>
      <w:r>
        <w:tab/>
        <w:t>The body renamed as the board by subsection (1) is the same body as the Committee previously established under section 9 of the principal Act.</w:t>
      </w:r>
    </w:p>
    <w:p>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pPr>
        <w:pStyle w:val="MiscClose"/>
      </w:pPr>
      <w:r>
        <w:t>”.</w:t>
      </w:r>
    </w:p>
    <w:p>
      <w:pPr>
        <w:pStyle w:val="nNote"/>
        <w:keepNext/>
      </w:pPr>
      <w:r>
        <w:rPr>
          <w:vertAlign w:val="superscript"/>
        </w:rPr>
        <w:t>3</w:t>
      </w:r>
      <w:r>
        <w:tab/>
        <w:t xml:space="preserve">The </w:t>
      </w:r>
      <w:r>
        <w:rPr>
          <w:i/>
        </w:rPr>
        <w:t>Western Australian Greyhound Racing Association Amendment Act 1998</w:t>
      </w:r>
      <w:r>
        <w:t xml:space="preserve"> s. 18 and 19 read as follows:</w:t>
      </w:r>
    </w:p>
    <w:p>
      <w:pPr>
        <w:pStyle w:val="MiscOpen"/>
      </w:pPr>
      <w:r>
        <w:t>“</w:t>
      </w:r>
    </w:p>
    <w:p>
      <w:pPr>
        <w:pStyle w:val="nzHeading5"/>
        <w:spacing w:before="0"/>
      </w:pPr>
      <w:r>
        <w:t>18.</w:t>
      </w:r>
      <w:r>
        <w:tab/>
        <w:t>Validation of rules</w:t>
      </w:r>
    </w:p>
    <w:p>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pPr>
        <w:pStyle w:val="nzHeading5"/>
        <w:spacing w:before="240"/>
      </w:pPr>
      <w:r>
        <w:t>19.</w:t>
      </w:r>
      <w:r>
        <w:tab/>
        <w:t>Transitional provision regarding rules</w:t>
      </w:r>
    </w:p>
    <w:p>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pPr>
        <w:pStyle w:val="MiscClose"/>
      </w:pPr>
      <w:r>
        <w:t>”.</w:t>
      </w:r>
    </w:p>
    <w:p>
      <w:pPr>
        <w:pStyle w:val="nNote"/>
      </w:pPr>
      <w:r>
        <w:rPr>
          <w:vertAlign w:val="superscript"/>
        </w:rPr>
        <w:t>4</w:t>
      </w:r>
      <w:r>
        <w:tab/>
        <w:t xml:space="preserve">The </w:t>
      </w:r>
      <w:r>
        <w:rPr>
          <w:i/>
        </w:rPr>
        <w:t>Racing and Gambling Legislation Amendment and Repeal Act 2003</w:t>
      </w:r>
      <w:r>
        <w:t xml:space="preserve"> s. 3, Pt. 2, s. 19 and Pt. 12 Div 2 read as follows:</w:t>
      </w:r>
    </w:p>
    <w:p>
      <w:pPr>
        <w:pStyle w:val="MiscOpen"/>
      </w:pPr>
      <w:r>
        <w:t>“</w:t>
      </w:r>
    </w:p>
    <w:p>
      <w:pPr>
        <w:pStyle w:val="nzHeading5"/>
        <w:spacing w:before="0"/>
      </w:pPr>
      <w:r>
        <w:rPr>
          <w:rStyle w:val="CharSectno"/>
        </w:rPr>
        <w:t>3</w:t>
      </w:r>
      <w:r>
        <w:t>.</w:t>
      </w:r>
      <w:r>
        <w:tab/>
        <w:t>Definitions</w:t>
      </w:r>
    </w:p>
    <w:p>
      <w:pPr>
        <w:pStyle w:val="nzSubsection"/>
      </w:pPr>
      <w:r>
        <w:tab/>
      </w:r>
      <w:r>
        <w:tab/>
        <w:t>In this Act —</w:t>
      </w:r>
    </w:p>
    <w:p>
      <w:pPr>
        <w:pStyle w:val="nzDefstart"/>
      </w:pPr>
      <w:r>
        <w:rPr>
          <w:b/>
        </w:rPr>
        <w:tab/>
      </w:r>
      <w:r>
        <w:rPr>
          <w:rStyle w:val="CharDefText"/>
        </w:rPr>
        <w:t>appointed day</w:t>
      </w:r>
      <w:r>
        <w:t xml:space="preserve"> means the day fixed by order under section 7;</w:t>
      </w:r>
    </w:p>
    <w:p>
      <w:pPr>
        <w:pStyle w:val="nzDefstart"/>
      </w:pPr>
      <w:r>
        <w:rPr>
          <w:b/>
        </w:rPr>
        <w:tab/>
      </w:r>
      <w:r>
        <w:rPr>
          <w:rStyle w:val="CharDefText"/>
        </w:rPr>
        <w:t>assets</w:t>
      </w:r>
      <w:r>
        <w:t xml:space="preserve"> means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r>
      <w:r>
        <w:rPr>
          <w:rStyle w:val="CharDefText"/>
        </w:rPr>
        <w:t>commencement day</w:t>
      </w:r>
      <w:r>
        <w:t xml:space="preserve"> means the day of which Part 1 of the RWWA Act comes into operation;</w:t>
      </w:r>
    </w:p>
    <w:p>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r>
      <w:r>
        <w:rPr>
          <w:rStyle w:val="CharDefText"/>
        </w:rPr>
        <w:t>right</w:t>
      </w:r>
      <w:r>
        <w:t xml:space="preserve"> means any right, power, privilege or immunity whether actual, contingent or prospective;</w:t>
      </w:r>
    </w:p>
    <w:p>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spacing w:before="60"/>
      </w:pPr>
      <w:r>
        <w:t>Part 2 — Transitional matters related to enactment of RWWA Act</w:t>
      </w:r>
    </w:p>
    <w:p>
      <w:pPr>
        <w:pStyle w:val="nzHeading5"/>
      </w:pPr>
      <w:r>
        <w:rPr>
          <w:rStyle w:val="CharSectno"/>
        </w:rPr>
        <w:t>4</w:t>
      </w:r>
      <w:r>
        <w:t>.</w:t>
      </w:r>
      <w:r>
        <w:tab/>
        <w:t>Definitions</w:t>
      </w:r>
    </w:p>
    <w:p>
      <w:pPr>
        <w:pStyle w:val="nzSubsection"/>
      </w:pPr>
      <w:r>
        <w:tab/>
        <w:t>(1)</w:t>
      </w:r>
      <w:r>
        <w:tab/>
        <w:t>In this Part, unless the contrary intention appears —</w:t>
      </w:r>
    </w:p>
    <w:p>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r>
      <w:r>
        <w:rPr>
          <w:rStyle w:val="CharDefText"/>
        </w:rPr>
        <w:t>old Rules of Harness Racing</w:t>
      </w:r>
      <w:r>
        <w:t xml:space="preserve"> means the Rules of Harness Racing 1999 made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pPr>
        <w:pStyle w:val="nzDefstart"/>
      </w:pPr>
      <w:r>
        <w:rPr>
          <w:b/>
        </w:rPr>
        <w:tab/>
      </w:r>
      <w:r>
        <w:rPr>
          <w:rStyle w:val="CharDefText"/>
        </w:rPr>
        <w:t>TAB</w:t>
      </w:r>
      <w:r>
        <w:t xml:space="preserve"> means the Totalisator Agency Board established under the </w:t>
      </w:r>
      <w:r>
        <w:rPr>
          <w:i/>
        </w:rPr>
        <w:t>Totalisator Agency Board Betting Act 1960</w:t>
      </w:r>
      <w:r>
        <w:t>;</w:t>
      </w:r>
    </w:p>
    <w:p>
      <w:pPr>
        <w:pStyle w:val="nzDefstart"/>
      </w:pPr>
      <w:r>
        <w:rPr>
          <w:b/>
        </w:rPr>
        <w:tab/>
      </w:r>
      <w:r>
        <w:rPr>
          <w:rStyle w:val="CharDefText"/>
        </w:rPr>
        <w:t>TABB Act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r>
        <w:rPr>
          <w:rStyle w:val="CharSectno"/>
        </w:rPr>
        <w:t>5</w:t>
      </w:r>
      <w:r>
        <w:t>.</w:t>
      </w:r>
      <w:r>
        <w:tab/>
        <w:t>First appointments to the board</w:t>
      </w:r>
    </w:p>
    <w:p>
      <w:pPr>
        <w:pStyle w:val="nzSubsection"/>
      </w:pPr>
      <w:r>
        <w:tab/>
        <w:t>(1)</w:t>
      </w:r>
      <w:r>
        <w:tab/>
        <w:t>Despite sections 11 and 12 of the RWWA Act, for the purpose of the first appointments of directors to the board —</w:t>
      </w:r>
    </w:p>
    <w:p>
      <w:pPr>
        <w:pStyle w:val="nzIndenta"/>
      </w:pPr>
      <w:r>
        <w:tab/>
        <w:t>(a)</w:t>
      </w:r>
      <w:r>
        <w:tab/>
        <w:t>the following bodies are eligible thoroughbred racing bodies for the purposes of sections 8(1)(b) and 11(2)(c) of the RWWA Act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the following bodies are eligible harness racing bodies for the purposes of sections 8(1)(c) and 11(2)(d) of the RWWA Act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the following bodies are eligible greyhound racing bodies for the purposes of sections 8(1)(d) and 11(2)(e) of the RWWA Act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r>
        <w:rPr>
          <w:rStyle w:val="CharSectno"/>
        </w:rPr>
        <w:t>6</w:t>
      </w:r>
      <w:r>
        <w:t>.</w:t>
      </w:r>
      <w:r>
        <w:tab/>
        <w:t>Acting CEO</w:t>
      </w:r>
    </w:p>
    <w:p>
      <w:pPr>
        <w:pStyle w:val="nzSubsection"/>
      </w:pPr>
      <w:r>
        <w:tab/>
      </w:r>
      <w:r>
        <w:tab/>
        <w:t>The Minister may appoint a person to act in the office of CEO under section 20 of the RWWA Act during the period before the board first appoints a CEO under that section.</w:t>
      </w:r>
    </w:p>
    <w:p>
      <w:pPr>
        <w:pStyle w:val="nzHeading5"/>
      </w:pPr>
      <w:r>
        <w:rPr>
          <w:rStyle w:val="CharSectno"/>
        </w:rPr>
        <w:t>7</w:t>
      </w:r>
      <w:r>
        <w:t>.</w:t>
      </w:r>
      <w:r>
        <w:tab/>
        <w:t>RWWA not to exercise gambling functions until appointed day</w:t>
      </w:r>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r>
        <w:rPr>
          <w:rStyle w:val="CharSectno"/>
        </w:rPr>
        <w:t>8</w:t>
      </w:r>
      <w:r>
        <w:t>.</w:t>
      </w:r>
      <w:r>
        <w:tab/>
        <w:t>Strategic development plan</w:t>
      </w:r>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r>
        <w:rPr>
          <w:rStyle w:val="CharSectno"/>
        </w:rPr>
        <w:t>9</w:t>
      </w:r>
      <w:r>
        <w:t>.</w:t>
      </w:r>
      <w:r>
        <w:tab/>
        <w:t>Statement of corporate intent</w:t>
      </w:r>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r>
        <w:rPr>
          <w:rStyle w:val="CharSectno"/>
        </w:rPr>
        <w:t>10</w:t>
      </w:r>
      <w:r>
        <w:t>.</w:t>
      </w:r>
      <w:r>
        <w:tab/>
        <w:t>Borrowing limits</w:t>
      </w:r>
    </w:p>
    <w:p>
      <w:pPr>
        <w:pStyle w:val="nzSubsection"/>
      </w:pPr>
      <w:r>
        <w:tab/>
      </w:r>
      <w:r>
        <w:tab/>
        <w:t>The first monetary limits under section 98 of the RWWA Act are to be determined in relation to the first financial year of RWWA to start on or after commencement day.</w:t>
      </w:r>
    </w:p>
    <w:p>
      <w:pPr>
        <w:pStyle w:val="nzHeading5"/>
      </w:pPr>
      <w:r>
        <w:rPr>
          <w:rStyle w:val="CharSectno"/>
        </w:rPr>
        <w:t>11</w:t>
      </w:r>
      <w:r>
        <w:t>.</w:t>
      </w:r>
      <w:r>
        <w:tab/>
        <w:t>Rules of racing — continuation and expiry</w:t>
      </w:r>
    </w:p>
    <w:p>
      <w:pPr>
        <w:pStyle w:val="nzSubsection"/>
        <w:keepNext/>
      </w:pPr>
      <w:r>
        <w:tab/>
        <w:t>(1)</w:t>
      </w:r>
      <w:r>
        <w:tab/>
        <w:t>Subject to subsection (5), the old Rules of Harness Racing continue in force with such changes as are necessary on and after commencement day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Subject to subsection (5), the old Rules of Racing continue in force with such changes as are necessary on and after commencement day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Subject to subsection (5), the old Greyhound Racing Rules continue in force with such changes as are necessary on and after commencement day —</w:t>
      </w:r>
    </w:p>
    <w:p>
      <w:pPr>
        <w:pStyle w:val="nzIndenta"/>
      </w:pPr>
      <w:r>
        <w:tab/>
        <w:t>(a)</w:t>
      </w:r>
      <w:r>
        <w:tab/>
        <w:t>to the extent that the rules relate to racing, as if the rules were made by RWWA as Rules of Greyhound Racing under section 45 of the RWWA Act; and</w:t>
      </w:r>
    </w:p>
    <w:p>
      <w:pPr>
        <w:pStyle w:val="nzIndenta"/>
        <w:keepNext/>
        <w:keepLines/>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r>
        <w:rPr>
          <w:rStyle w:val="CharSectno"/>
        </w:rPr>
        <w:t>12</w:t>
      </w:r>
      <w:r>
        <w:t>.</w:t>
      </w:r>
      <w:r>
        <w:tab/>
        <w:t>Licences, permits, approvals and registrations</w:t>
      </w:r>
    </w:p>
    <w:p>
      <w:pPr>
        <w:pStyle w:val="nzSubsection"/>
      </w:pPr>
      <w:r>
        <w:tab/>
        <w:t>(1)</w:t>
      </w:r>
      <w:r>
        <w:tab/>
        <w:t>In this section —</w:t>
      </w:r>
    </w:p>
    <w:p>
      <w:pPr>
        <w:pStyle w:val="nzDefstart"/>
      </w:pPr>
      <w:r>
        <w:tab/>
      </w:r>
      <w:r>
        <w:rPr>
          <w:rStyle w:val="CharDefText"/>
        </w:rPr>
        <w:t>authorisation</w:t>
      </w:r>
      <w:r>
        <w:t xml:space="preserve"> means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keepNext/>
      </w:pPr>
      <w:r>
        <w:tab/>
        <w:t>(l)</w:t>
      </w:r>
      <w:r>
        <w:tab/>
        <w:t>registration of colours;</w:t>
      </w:r>
    </w:p>
    <w:p>
      <w:pPr>
        <w:pStyle w:val="nzDefpara"/>
      </w:pPr>
      <w:r>
        <w:tab/>
        <w:t>(m)</w:t>
      </w:r>
      <w:r>
        <w:tab/>
        <w:t>any other licence, permit, approval or registration.</w:t>
      </w:r>
    </w:p>
    <w:p>
      <w:pPr>
        <w:pStyle w:val="nzSubsection"/>
      </w:pPr>
      <w:r>
        <w:tab/>
        <w:t>(2)</w:t>
      </w:r>
      <w:r>
        <w:tab/>
        <w:t>Subject to the RWWA Act, any authorisation given or issued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r>
        <w:rPr>
          <w:rStyle w:val="CharSectno"/>
        </w:rPr>
        <w:t>13</w:t>
      </w:r>
      <w:r>
        <w:t>.</w:t>
      </w:r>
      <w:r>
        <w:tab/>
        <w:t>Appointment of stewards and other officials</w:t>
      </w:r>
    </w:p>
    <w:p>
      <w:pPr>
        <w:pStyle w:val="nzSubsection"/>
      </w:pPr>
      <w:r>
        <w:tab/>
        <w:t>(1)</w:t>
      </w:r>
      <w:r>
        <w:tab/>
        <w:t>Subject to the RWWA Act and unless otherwise determined in writing by RWWA, any appointment of a steward or other racing official made under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Nothing in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operates so as to prevent or restrict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r>
        <w:rPr>
          <w:rStyle w:val="CharSectno"/>
        </w:rPr>
        <w:t>14</w:t>
      </w:r>
      <w:r>
        <w:t>.</w:t>
      </w:r>
      <w:r>
        <w:tab/>
        <w:t>Race meetings</w:t>
      </w:r>
    </w:p>
    <w:p>
      <w:pPr>
        <w:pStyle w:val="nzSubsection"/>
        <w:keepNext/>
        <w:keepLines/>
      </w:pPr>
      <w:r>
        <w:tab/>
      </w:r>
      <w:r>
        <w:tab/>
        <w:t>On and after commencement day a date or time for a race meeting that has been fixed by or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keepNext/>
        <w:keepLines/>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r>
        <w:rPr>
          <w:rStyle w:val="CharSectno"/>
        </w:rPr>
        <w:t>15</w:t>
      </w:r>
      <w:r>
        <w:t>.</w:t>
      </w:r>
      <w:r>
        <w:tab/>
        <w:t>Appeals</w:t>
      </w:r>
    </w:p>
    <w:p>
      <w:pPr>
        <w:pStyle w:val="nzSubsection"/>
      </w:pPr>
      <w:r>
        <w:tab/>
        <w:t>(1)</w:t>
      </w:r>
      <w:r>
        <w:tab/>
        <w:t>Any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A right of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r>
        <w:rPr>
          <w:rStyle w:val="CharSectno"/>
        </w:rPr>
        <w:t>16</w:t>
      </w:r>
      <w:r>
        <w:t>.</w:t>
      </w:r>
      <w:r>
        <w:tab/>
        <w:t>TAB Sports Betting Account</w:t>
      </w:r>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r>
        <w:rPr>
          <w:rStyle w:val="CharSectno"/>
        </w:rPr>
        <w:t>17</w:t>
      </w:r>
      <w:r>
        <w:t>.</w:t>
      </w:r>
      <w:r>
        <w:tab/>
        <w:t>Sports Betting Promotion Account</w:t>
      </w:r>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r>
        <w:rPr>
          <w:rStyle w:val="CharSectno"/>
        </w:rPr>
        <w:t>18</w:t>
      </w:r>
      <w:r>
        <w:t>.</w:t>
      </w:r>
      <w:r>
        <w:tab/>
        <w:t>Further transitional provisions may be made</w:t>
      </w:r>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In subsection (1) —</w:t>
      </w:r>
    </w:p>
    <w:p>
      <w:pPr>
        <w:pStyle w:val="nzDefstart"/>
      </w:pPr>
      <w:r>
        <w:rPr>
          <w:b/>
        </w:rPr>
        <w:tab/>
      </w:r>
      <w:r>
        <w:rPr>
          <w:rStyle w:val="CharDefText"/>
        </w:rPr>
        <w:t>transitional matter</w:t>
      </w:r>
      <w:r>
        <w:t xml:space="preserve"> means a matter that needs to be dealt with for the purpose of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Regulations made under subsection (1) may provide that specific provisions of the RWWA Act or an Act amended by this Act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In subsection (4) —</w:t>
      </w:r>
    </w:p>
    <w:p>
      <w:pPr>
        <w:pStyle w:val="nzDefstart"/>
      </w:pPr>
      <w:r>
        <w:rPr>
          <w:b/>
        </w:rPr>
        <w:tab/>
      </w:r>
      <w:r>
        <w:rPr>
          <w:rStyle w:val="CharDefText"/>
        </w:rPr>
        <w:t>specified</w:t>
      </w:r>
      <w:r>
        <w:t xml:space="preserve"> means specified or described in the regulations.</w:t>
      </w:r>
    </w:p>
    <w:p>
      <w:pPr>
        <w:pStyle w:val="nzSubsection"/>
        <w:keepNext/>
        <w:keepLines/>
      </w:pPr>
      <w:r>
        <w:tab/>
        <w:t>(6)</w:t>
      </w:r>
      <w:r>
        <w:tab/>
        <w:t>If regulations contain a provision referred to in subsection (4), the provision does not operate so as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w:t>
      </w:r>
    </w:p>
    <w:p>
      <w:pPr>
        <w:pStyle w:val="nzHeading5"/>
      </w:pPr>
      <w:r>
        <w:rPr>
          <w:rStyle w:val="CharSectno"/>
        </w:rPr>
        <w:t>219</w:t>
      </w:r>
      <w:r>
        <w:t>.</w:t>
      </w:r>
      <w:r>
        <w:tab/>
        <w:t>Renamed body is same body</w:t>
      </w:r>
    </w:p>
    <w:p>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pPr>
        <w:pStyle w:val="MiscClose"/>
      </w:pPr>
      <w:r>
        <w:t>”.</w:t>
      </w:r>
    </w:p>
    <w:p>
      <w:pPr>
        <w:pStyle w:val="nNote"/>
      </w:pPr>
      <w:r>
        <w:rPr>
          <w:vertAlign w:val="superscript"/>
        </w:rPr>
        <w:t>5</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65" w:name="_Toc32398380"/>
      <w:bookmarkStart w:id="66" w:name="_Toc32398431"/>
      <w:r>
        <w:rPr>
          <w:sz w:val="28"/>
        </w:rPr>
        <w:t>Defined terms</w:t>
      </w:r>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Sch. 3 cl. 1</w:t>
      </w:r>
    </w:p>
    <w:p>
      <w:pPr>
        <w:pStyle w:val="DefinedTerms"/>
      </w:pPr>
      <w:r>
        <w:t>Association</w:t>
      </w:r>
      <w:r>
        <w:tab/>
        <w:t>4</w:t>
      </w:r>
    </w:p>
    <w:p>
      <w:pPr>
        <w:pStyle w:val="DefinedTerms"/>
      </w:pPr>
      <w:r>
        <w:t>Cannington race course</w:t>
      </w:r>
      <w:r>
        <w:tab/>
        <w:t>Sch. 3 cl. 1</w:t>
      </w:r>
    </w:p>
    <w:p>
      <w:pPr>
        <w:pStyle w:val="DefinedTerms"/>
      </w:pPr>
      <w:r>
        <w:t>Chairman</w:t>
      </w:r>
      <w:r>
        <w:tab/>
        <w:t>4</w:t>
      </w:r>
    </w:p>
    <w:p>
      <w:pPr>
        <w:pStyle w:val="DefinedTerms"/>
      </w:pPr>
      <w:r>
        <w:t>Chief Executive Officer</w:t>
      </w:r>
      <w:r>
        <w:tab/>
        <w:t>4</w:t>
      </w:r>
    </w:p>
    <w:p>
      <w:pPr>
        <w:pStyle w:val="DefinedTerms"/>
      </w:pPr>
      <w:r>
        <w:t>Deputy Chairman</w:t>
      </w:r>
      <w:r>
        <w:tab/>
        <w:t>4</w:t>
      </w:r>
    </w:p>
    <w:p>
      <w:pPr>
        <w:pStyle w:val="DefinedTerms"/>
      </w:pPr>
      <w:r>
        <w:t>Fund</w:t>
      </w:r>
      <w:r>
        <w:tab/>
        <w:t>4</w:t>
      </w:r>
    </w:p>
    <w:p>
      <w:pPr>
        <w:pStyle w:val="DefinedTerms"/>
      </w:pPr>
      <w:r>
        <w:t>greyhound racing</w:t>
      </w:r>
      <w:r>
        <w:tab/>
        <w:t>4</w:t>
      </w:r>
    </w:p>
    <w:p>
      <w:pPr>
        <w:pStyle w:val="DefinedTerms"/>
      </w:pPr>
      <w:r>
        <w:t>greyhound racing club</w:t>
      </w:r>
      <w:r>
        <w:tab/>
        <w:t>4</w:t>
      </w:r>
    </w:p>
    <w:p>
      <w:pPr>
        <w:pStyle w:val="DefinedTerms"/>
      </w:pPr>
      <w:r>
        <w:t>greyhound trial track</w:t>
      </w:r>
      <w:r>
        <w:tab/>
        <w:t>4</w:t>
      </w:r>
    </w:p>
    <w:p>
      <w:pPr>
        <w:pStyle w:val="DefinedTerms"/>
      </w:pPr>
      <w:r>
        <w:t>lessee</w:t>
      </w:r>
      <w:r>
        <w:tab/>
        <w:t>4</w:t>
      </w:r>
    </w:p>
    <w:p>
      <w:pPr>
        <w:pStyle w:val="DefinedTerms"/>
      </w:pPr>
      <w:r>
        <w:t>licensed</w:t>
      </w:r>
      <w:r>
        <w:tab/>
        <w:t>4</w:t>
      </w:r>
    </w:p>
    <w:p>
      <w:pPr>
        <w:pStyle w:val="DefinedTerms"/>
      </w:pPr>
      <w:r>
        <w:t>member</w:t>
      </w:r>
      <w:r>
        <w:tab/>
        <w:t>4</w:t>
      </w:r>
    </w:p>
    <w:p>
      <w:pPr>
        <w:pStyle w:val="DefinedTerms"/>
      </w:pPr>
      <w:r>
        <w:t>owner</w:t>
      </w:r>
      <w:r>
        <w:tab/>
        <w:t>4</w:t>
      </w:r>
    </w:p>
    <w:p>
      <w:pPr>
        <w:pStyle w:val="DefinedTerms"/>
      </w:pPr>
      <w:r>
        <w:t>race course</w:t>
      </w:r>
      <w:r>
        <w:tab/>
        <w:t>4</w:t>
      </w:r>
    </w:p>
    <w:p>
      <w:pPr>
        <w:pStyle w:val="DefinedTerms"/>
      </w:pPr>
      <w:r>
        <w:t>race meeting</w:t>
      </w:r>
      <w:r>
        <w:tab/>
        <w:t>4</w:t>
      </w:r>
    </w:p>
    <w:p>
      <w:pPr>
        <w:pStyle w:val="DefinedTerms"/>
      </w:pPr>
      <w:r>
        <w:t>registered</w:t>
      </w:r>
      <w:r>
        <w:tab/>
        <w:t>4</w:t>
      </w:r>
    </w:p>
    <w:p>
      <w:pPr>
        <w:pStyle w:val="DefinedTerms"/>
      </w:pPr>
      <w:r>
        <w:t>rules of racing</w:t>
      </w:r>
      <w:r>
        <w:tab/>
        <w:t>4</w:t>
      </w:r>
    </w:p>
    <w:p>
      <w:pPr>
        <w:pStyle w:val="DefinedTerms"/>
      </w:pPr>
      <w:r>
        <w:t>RWWA</w:t>
      </w:r>
      <w:r>
        <w:tab/>
        <w:t>4</w:t>
      </w:r>
    </w:p>
    <w:p>
      <w:pPr>
        <w:pStyle w:val="DefinedTerms"/>
      </w:pPr>
      <w:r>
        <w:t>RWWA Act</w:t>
      </w:r>
      <w:r>
        <w:tab/>
        <w:t>4</w:t>
      </w:r>
    </w:p>
    <w:p>
      <w:pPr>
        <w:pStyle w:val="DefinedTerms"/>
      </w:pPr>
      <w:r>
        <w:t>the club</w:t>
      </w:r>
      <w:r>
        <w:tab/>
        <w:t>Sch. 3 cl. 1</w:t>
      </w:r>
    </w:p>
    <w:p>
      <w:pPr>
        <w:pStyle w:val="DefinedTerms"/>
      </w:pPr>
      <w:r>
        <w:t>the Society</w:t>
      </w:r>
      <w:r>
        <w:tab/>
        <w:t>Sch. 3 cl. 1</w:t>
      </w:r>
    </w:p>
    <w:p>
      <w:pPr>
        <w:pStyle w:val="DefinedTerms"/>
      </w:pPr>
      <w:r>
        <w:t>trainer</w:t>
      </w:r>
      <w:r>
        <w:tab/>
        <w:t>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Greyhound Racing Association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Greyhound Racing Association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0643"/>
    <w:docVar w:name="WAFER_20140204120407" w:val="RemoveTocBookmarks,RemoveUnusedBookmarks,RemoveLanguageTags,UsedStyles,ResetPageSize,UpdateArrangement"/>
    <w:docVar w:name="WAFER_20140204120407_GUID" w:val="d483a3a8-e73a-4374-8a67-55689daf2ac7"/>
    <w:docVar w:name="WAFER_20140204122654" w:val="RemoveTocBookmarks,RunningHeaders"/>
    <w:docVar w:name="WAFER_20140204122654_GUID" w:val="7c7d3027-0f84-4b5e-9a77-be2659f11cca"/>
    <w:docVar w:name="WAFER_20150713160256" w:val="ResetPageSize,UpdateArrangement,UpdateNTable"/>
    <w:docVar w:name="WAFER_20150713160256_GUID" w:val="31f277f8-ab47-4e55-9a45-77d2c4daa7fe"/>
    <w:docVar w:name="WAFER_20151110121651" w:val="UpdateStyles,UsedStyles"/>
    <w:docVar w:name="WAFER_20151110121651_GUID" w:val="b3c51295-5c2d-4f7d-92bc-c253e0b9e6ed"/>
    <w:docVar w:name="WAFER_202002121106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0643_GUID" w:val="06f11407-98a5-44eb-9e92-c3a353dd78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8984</Words>
  <Characters>42497</Characters>
  <Application>Microsoft Office Word</Application>
  <DocSecurity>0</DocSecurity>
  <Lines>1214</Lines>
  <Paragraphs>725</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
  <LinksUpToDate>false</LinksUpToDate>
  <CharactersWithSpaces>50756</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1981 - 02-f0-01</dc:title>
  <dc:subject/>
  <dc:creator/>
  <cp:keywords/>
  <dc:description/>
  <cp:lastModifiedBy>svcMRProcess</cp:lastModifiedBy>
  <cp:revision>4</cp:revision>
  <cp:lastPrinted>2006-02-20T00:59:00Z</cp:lastPrinted>
  <dcterms:created xsi:type="dcterms:W3CDTF">2020-02-25T06:25:00Z</dcterms:created>
  <dcterms:modified xsi:type="dcterms:W3CDTF">2020-02-25T06:25:00Z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DocumentType">
    <vt:lpwstr>Act</vt:lpwstr>
  </property>
  <property fmtid="{D5CDD505-2E9C-101B-9397-08002B2CF9AE}" pid="4" name="OwlsUID">
    <vt:i4>887</vt:i4>
  </property>
  <property fmtid="{D5CDD505-2E9C-101B-9397-08002B2CF9AE}" pid="5" name="ReprintNo">
    <vt:lpwstr>2</vt:lpwstr>
  </property>
  <property fmtid="{D5CDD505-2E9C-101B-9397-08002B2CF9AE}" pid="6" name="CommencementDate">
    <vt:lpwstr>20190918</vt:lpwstr>
  </property>
  <property fmtid="{D5CDD505-2E9C-101B-9397-08002B2CF9AE}" pid="7" name="AsAtDate">
    <vt:lpwstr>18 Sep 2019</vt:lpwstr>
  </property>
  <property fmtid="{D5CDD505-2E9C-101B-9397-08002B2CF9AE}" pid="8" name="Suffix">
    <vt:lpwstr>02-f0-01</vt:lpwstr>
  </property>
</Properties>
</file>