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Duties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Duties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_Toc32485188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_Toc32485189 \h </w:instrText>
      </w:r>
      <w:r>
        <w:fldChar w:fldCharType="separate"/>
      </w:r>
      <w:r>
        <w:t>1</w:t>
      </w:r>
      <w:r>
        <w:fldChar w:fldCharType="end"/>
      </w:r>
    </w:p>
    <w:p>
      <w:pPr>
        <w:pStyle w:val="TOC8"/>
        <w:rPr>
          <w:rFonts w:asciiTheme="minorHAnsi" w:eastAsiaTheme="minorEastAsia" w:hAnsiTheme="minorHAnsi" w:cstheme="minorBidi"/>
          <w:szCs w:val="22"/>
        </w:rPr>
      </w:pPr>
      <w:r>
        <w:t>2A.</w:t>
      </w:r>
      <w:r>
        <w:tab/>
        <w:t>Listed entity demergers and hybrid demergers</w:t>
      </w:r>
      <w:r>
        <w:tab/>
      </w:r>
      <w:r>
        <w:fldChar w:fldCharType="begin"/>
      </w:r>
      <w:r>
        <w:instrText xml:space="preserve"> PAGEREF _Toc32485190 \h </w:instrText>
      </w:r>
      <w:r>
        <w:fldChar w:fldCharType="separate"/>
      </w:r>
      <w:r>
        <w:t>1</w:t>
      </w:r>
      <w:r>
        <w:fldChar w:fldCharType="end"/>
      </w:r>
    </w:p>
    <w:p>
      <w:pPr>
        <w:pStyle w:val="TOC8"/>
        <w:rPr>
          <w:rFonts w:asciiTheme="minorHAnsi" w:eastAsiaTheme="minorEastAsia" w:hAnsiTheme="minorHAnsi" w:cstheme="minorBidi"/>
          <w:szCs w:val="22"/>
        </w:rPr>
      </w:pPr>
      <w:r>
        <w:t>3.</w:t>
      </w:r>
      <w:r>
        <w:tab/>
        <w:t>Financial markets prescribed (Act s. 3)</w:t>
      </w:r>
      <w:r>
        <w:tab/>
      </w:r>
      <w:r>
        <w:fldChar w:fldCharType="begin"/>
      </w:r>
      <w:r>
        <w:instrText xml:space="preserve"> PAGEREF _Toc32485191 \h </w:instrText>
      </w:r>
      <w:r>
        <w:fldChar w:fldCharType="separate"/>
      </w:r>
      <w:r>
        <w:t>3</w:t>
      </w:r>
      <w:r>
        <w:fldChar w:fldCharType="end"/>
      </w:r>
    </w:p>
    <w:p>
      <w:pPr>
        <w:pStyle w:val="TOC8"/>
        <w:rPr>
          <w:rFonts w:asciiTheme="minorHAnsi" w:eastAsiaTheme="minorEastAsia" w:hAnsiTheme="minorHAnsi" w:cstheme="minorBidi"/>
          <w:szCs w:val="22"/>
        </w:rPr>
      </w:pPr>
      <w:r>
        <w:t>4.</w:t>
      </w:r>
      <w:r>
        <w:tab/>
        <w:t>Excluded transactions prescribed (Act s. 11(2))</w:t>
      </w:r>
      <w:r>
        <w:tab/>
      </w:r>
      <w:r>
        <w:fldChar w:fldCharType="begin"/>
      </w:r>
      <w:r>
        <w:instrText xml:space="preserve"> PAGEREF _Toc32485192 \h </w:instrText>
      </w:r>
      <w:r>
        <w:fldChar w:fldCharType="separate"/>
      </w:r>
      <w:r>
        <w:t>3</w:t>
      </w:r>
      <w:r>
        <w:fldChar w:fldCharType="end"/>
      </w:r>
    </w:p>
    <w:p>
      <w:pPr>
        <w:pStyle w:val="TOC8"/>
        <w:rPr>
          <w:rFonts w:asciiTheme="minorHAnsi" w:eastAsiaTheme="minorEastAsia" w:hAnsiTheme="minorHAnsi" w:cstheme="minorBidi"/>
          <w:szCs w:val="22"/>
        </w:rPr>
      </w:pPr>
      <w:r>
        <w:t>4A.</w:t>
      </w:r>
      <w:r>
        <w:tab/>
        <w:t>Special dutiable property prescribed (Act s. 18(h))</w:t>
      </w:r>
      <w:r>
        <w:tab/>
      </w:r>
      <w:r>
        <w:fldChar w:fldCharType="begin"/>
      </w:r>
      <w:r>
        <w:instrText xml:space="preserve"> PAGEREF _Toc32485193 \h </w:instrText>
      </w:r>
      <w:r>
        <w:fldChar w:fldCharType="separate"/>
      </w:r>
      <w:r>
        <w:t>5</w:t>
      </w:r>
      <w:r>
        <w:fldChar w:fldCharType="end"/>
      </w:r>
    </w:p>
    <w:p>
      <w:pPr>
        <w:pStyle w:val="TOC8"/>
        <w:rPr>
          <w:rFonts w:asciiTheme="minorHAnsi" w:eastAsiaTheme="minorEastAsia" w:hAnsiTheme="minorHAnsi" w:cstheme="minorBidi"/>
          <w:szCs w:val="22"/>
        </w:rPr>
      </w:pPr>
      <w:r>
        <w:t>4B.</w:t>
      </w:r>
      <w:r>
        <w:tab/>
        <w:t>Dutiable transactions on which nominal duty is chargeable prescribed (Act s. 140)</w:t>
      </w:r>
      <w:r>
        <w:tab/>
      </w:r>
      <w:r>
        <w:fldChar w:fldCharType="begin"/>
      </w:r>
      <w:r>
        <w:instrText xml:space="preserve"> PAGEREF _Toc32485194 \h </w:instrText>
      </w:r>
      <w:r>
        <w:fldChar w:fldCharType="separate"/>
      </w:r>
      <w:r>
        <w:t>5</w:t>
      </w:r>
      <w:r>
        <w:fldChar w:fldCharType="end"/>
      </w:r>
    </w:p>
    <w:p>
      <w:pPr>
        <w:pStyle w:val="TOC8"/>
        <w:rPr>
          <w:rFonts w:asciiTheme="minorHAnsi" w:eastAsiaTheme="minorEastAsia" w:hAnsiTheme="minorHAnsi" w:cstheme="minorBidi"/>
          <w:szCs w:val="22"/>
        </w:rPr>
      </w:pPr>
      <w:r>
        <w:t>5.</w:t>
      </w:r>
      <w:r>
        <w:tab/>
        <w:t>Circumstances in which persons acquiring interests under 1 arrangement or in concert are not related persons prescribed (Act s. 162(1A)(b))</w:t>
      </w:r>
      <w:r>
        <w:tab/>
      </w:r>
      <w:r>
        <w:fldChar w:fldCharType="begin"/>
      </w:r>
      <w:r>
        <w:instrText xml:space="preserve"> PAGEREF _Toc32485195 \h </w:instrText>
      </w:r>
      <w:r>
        <w:fldChar w:fldCharType="separate"/>
      </w:r>
      <w:r>
        <w:t>6</w:t>
      </w:r>
      <w:r>
        <w:fldChar w:fldCharType="end"/>
      </w:r>
    </w:p>
    <w:p>
      <w:pPr>
        <w:pStyle w:val="TOC8"/>
        <w:rPr>
          <w:rFonts w:asciiTheme="minorHAnsi" w:eastAsiaTheme="minorEastAsia" w:hAnsiTheme="minorHAnsi" w:cstheme="minorBidi"/>
          <w:szCs w:val="22"/>
        </w:rPr>
      </w:pPr>
      <w:r>
        <w:t>6.</w:t>
      </w:r>
      <w:r>
        <w:tab/>
        <w:t>Classes of new vehicles prescribed (Act s. 237(1)(b))</w:t>
      </w:r>
      <w:r>
        <w:tab/>
      </w:r>
      <w:r>
        <w:fldChar w:fldCharType="begin"/>
      </w:r>
      <w:r>
        <w:instrText xml:space="preserve"> PAGEREF _Toc32485196 \h </w:instrText>
      </w:r>
      <w:r>
        <w:fldChar w:fldCharType="separate"/>
      </w:r>
      <w:r>
        <w:t>7</w:t>
      </w:r>
      <w:r>
        <w:fldChar w:fldCharType="end"/>
      </w:r>
    </w:p>
    <w:p>
      <w:pPr>
        <w:pStyle w:val="TOC8"/>
        <w:rPr>
          <w:rFonts w:asciiTheme="minorHAnsi" w:eastAsiaTheme="minorEastAsia" w:hAnsiTheme="minorHAnsi" w:cstheme="minorBidi"/>
          <w:szCs w:val="22"/>
        </w:rPr>
      </w:pPr>
      <w:r>
        <w:t>7.</w:t>
      </w:r>
      <w:r>
        <w:tab/>
        <w:t>Classes of vehicles, persons and purposes prescribed (Act s. 244)</w:t>
      </w:r>
      <w:r>
        <w:tab/>
      </w:r>
      <w:r>
        <w:fldChar w:fldCharType="begin"/>
      </w:r>
      <w:r>
        <w:instrText xml:space="preserve"> PAGEREF _Toc32485197 \h </w:instrText>
      </w:r>
      <w:r>
        <w:fldChar w:fldCharType="separate"/>
      </w:r>
      <w:r>
        <w:t>7</w:t>
      </w:r>
      <w:r>
        <w:fldChar w:fldCharType="end"/>
      </w:r>
    </w:p>
    <w:p>
      <w:pPr>
        <w:pStyle w:val="TOC8"/>
        <w:rPr>
          <w:rFonts w:asciiTheme="minorHAnsi" w:eastAsiaTheme="minorEastAsia" w:hAnsiTheme="minorHAnsi" w:cstheme="minorBidi"/>
          <w:szCs w:val="22"/>
        </w:rPr>
      </w:pPr>
      <w:r>
        <w:t>8.</w:t>
      </w:r>
      <w:r>
        <w:tab/>
        <w:t>Records prescribed (Act s. 256(a))</w:t>
      </w:r>
      <w:r>
        <w:tab/>
      </w:r>
      <w:r>
        <w:fldChar w:fldCharType="begin"/>
      </w:r>
      <w:r>
        <w:instrText xml:space="preserve"> PAGEREF _Toc32485198 \h </w:instrText>
      </w:r>
      <w:r>
        <w:fldChar w:fldCharType="separate"/>
      </w:r>
      <w:r>
        <w:t>9</w:t>
      </w:r>
      <w:r>
        <w:fldChar w:fldCharType="end"/>
      </w:r>
    </w:p>
    <w:p>
      <w:pPr>
        <w:pStyle w:val="TOC8"/>
        <w:rPr>
          <w:rFonts w:asciiTheme="minorHAnsi" w:eastAsiaTheme="minorEastAsia" w:hAnsiTheme="minorHAnsi" w:cstheme="minorBidi"/>
          <w:szCs w:val="22"/>
        </w:rPr>
      </w:pPr>
      <w:r>
        <w:t>8A.</w:t>
      </w:r>
      <w:r>
        <w:tab/>
        <w:t>Events that do not result in automatic revocation of exemption for relevant reconstruction transaction prescribed (Act s. 264A(3)(b))</w:t>
      </w:r>
      <w:r>
        <w:tab/>
      </w:r>
      <w:r>
        <w:fldChar w:fldCharType="begin"/>
      </w:r>
      <w:r>
        <w:instrText xml:space="preserve"> PAGEREF _Toc32485199 \h </w:instrText>
      </w:r>
      <w:r>
        <w:fldChar w:fldCharType="separate"/>
      </w:r>
      <w:r>
        <w:t>10</w:t>
      </w:r>
      <w:r>
        <w:fldChar w:fldCharType="end"/>
      </w:r>
    </w:p>
    <w:p>
      <w:pPr>
        <w:pStyle w:val="TOC8"/>
        <w:rPr>
          <w:rFonts w:asciiTheme="minorHAnsi" w:eastAsiaTheme="minorEastAsia" w:hAnsiTheme="minorHAnsi" w:cstheme="minorBidi"/>
          <w:szCs w:val="22"/>
        </w:rPr>
      </w:pPr>
      <w:r>
        <w:t>9A.</w:t>
      </w:r>
      <w:r>
        <w:tab/>
        <w:t>Records to be kept (Act s. 285(2))</w:t>
      </w:r>
      <w:r>
        <w:tab/>
      </w:r>
      <w:r>
        <w:fldChar w:fldCharType="begin"/>
      </w:r>
      <w:r>
        <w:instrText xml:space="preserve"> PAGEREF _Toc32485200 \h </w:instrText>
      </w:r>
      <w:r>
        <w:fldChar w:fldCharType="separate"/>
      </w:r>
      <w:r>
        <w:t>11</w:t>
      </w:r>
      <w:r>
        <w:fldChar w:fldCharType="end"/>
      </w:r>
    </w:p>
    <w:p>
      <w:pPr>
        <w:pStyle w:val="TOC8"/>
        <w:rPr>
          <w:rFonts w:asciiTheme="minorHAnsi" w:eastAsiaTheme="minorEastAsia" w:hAnsiTheme="minorHAnsi" w:cstheme="minorBidi"/>
          <w:szCs w:val="22"/>
        </w:rPr>
      </w:pPr>
      <w:r>
        <w:t>9.</w:t>
      </w:r>
      <w:r>
        <w:tab/>
        <w:t>Act Sch. 3 cl. 13(1) varied (Act Sch. 3 cl. 27(1)(b))</w:t>
      </w:r>
      <w:r>
        <w:tab/>
      </w:r>
      <w:r>
        <w:fldChar w:fldCharType="begin"/>
      </w:r>
      <w:r>
        <w:instrText xml:space="preserve"> PAGEREF _Toc32485201 \h </w:instrText>
      </w:r>
      <w:r>
        <w:fldChar w:fldCharType="separate"/>
      </w:r>
      <w:r>
        <w:t>11</w:t>
      </w:r>
      <w:r>
        <w:fldChar w:fldCharType="end"/>
      </w:r>
    </w:p>
    <w:p>
      <w:pPr>
        <w:pStyle w:val="TOC8"/>
        <w:rPr>
          <w:rFonts w:asciiTheme="minorHAnsi" w:eastAsiaTheme="minorEastAsia" w:hAnsiTheme="minorHAnsi" w:cstheme="minorBidi"/>
          <w:szCs w:val="22"/>
        </w:rPr>
      </w:pPr>
      <w:r>
        <w:t>10.</w:t>
      </w:r>
      <w:r>
        <w:tab/>
        <w:t>Consideration for the grant of a lease, ascertaining</w:t>
      </w:r>
      <w:r>
        <w:tab/>
      </w:r>
      <w:r>
        <w:fldChar w:fldCharType="begin"/>
      </w:r>
      <w:r>
        <w:instrText xml:space="preserve"> PAGEREF _Toc32485202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_Toc32485204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_Toc32485205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Duties Act 2008</w:t>
      </w:r>
    </w:p>
    <w:p>
      <w:pPr>
        <w:pStyle w:val="NameofActReg"/>
      </w:pPr>
      <w:r>
        <w:t>Duties Regulations 2008</w:t>
      </w:r>
    </w:p>
    <w:p>
      <w:pPr>
        <w:pStyle w:val="Heading5"/>
      </w:pPr>
      <w:bookmarkStart w:id="3" w:name="_Toc32485188"/>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5" w:name="_Toc3248518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6" w:name="_Toc32485190"/>
      <w:r>
        <w:rPr>
          <w:rStyle w:val="CharSectno"/>
        </w:rPr>
        <w:t>2A</w:t>
      </w:r>
      <w:r>
        <w:t>.</w:t>
      </w:r>
      <w:r>
        <w:tab/>
        <w:t>Listed entity demergers and hybrid demergers</w:t>
      </w:r>
      <w:bookmarkEnd w:id="6"/>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Heading5"/>
      </w:pPr>
      <w:bookmarkStart w:id="7" w:name="_Toc32485191"/>
      <w:r>
        <w:rPr>
          <w:rStyle w:val="CharSectno"/>
        </w:rPr>
        <w:t>3</w:t>
      </w:r>
      <w:r>
        <w:t>.</w:t>
      </w:r>
      <w:r>
        <w:tab/>
        <w:t>Financial markets prescribed (Act s. 3)</w:t>
      </w:r>
      <w:bookmarkEnd w:id="7"/>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8" w:name="_Toc32485192"/>
      <w:r>
        <w:t>4.</w:t>
      </w:r>
      <w:r>
        <w:tab/>
        <w:t>Excluded transactions prescribed (Act s. 11(2))</w:t>
      </w:r>
      <w:bookmarkEnd w:id="8"/>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Footnotesection"/>
        <w:spacing w:before="100"/>
        <w:ind w:left="890" w:hanging="890"/>
      </w:pPr>
      <w:r>
        <w:tab/>
        <w:t>[Regulation 4 inserted: Gazette 20 Sep 2013 p. 4363</w:t>
      </w:r>
      <w:r>
        <w:noBreakHyphen/>
        <w:t>4; amended: Gazette 24 May 2016 p. 1536.]</w:t>
      </w:r>
    </w:p>
    <w:p>
      <w:pPr>
        <w:pStyle w:val="Heading5"/>
        <w:pageBreakBefore/>
        <w:spacing w:before="0"/>
      </w:pPr>
      <w:bookmarkStart w:id="9" w:name="_Toc32485193"/>
      <w:r>
        <w:rPr>
          <w:rStyle w:val="CharSectno"/>
        </w:rPr>
        <w:t>4A</w:t>
      </w:r>
      <w:r>
        <w:t>.</w:t>
      </w:r>
      <w:r>
        <w:tab/>
        <w:t>Special dutiable property prescribed (Act s. 18(h))</w:t>
      </w:r>
      <w:bookmarkEnd w:id="9"/>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pPr>
      <w:bookmarkStart w:id="10" w:name="_Toc32485194"/>
      <w:r>
        <w:rPr>
          <w:rStyle w:val="CharSectno"/>
        </w:rPr>
        <w:t>4B</w:t>
      </w:r>
      <w:r>
        <w:t>.</w:t>
      </w:r>
      <w:r>
        <w:tab/>
        <w:t>Dutiable transactions on which nominal duty is chargeable prescribed (Act s. 140)</w:t>
      </w:r>
      <w:bookmarkEnd w:id="10"/>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old profit à 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Ednotesection"/>
      </w:pPr>
      <w:r>
        <w:t>[</w:t>
      </w:r>
      <w:r>
        <w:rPr>
          <w:b/>
        </w:rPr>
        <w:t>5A, 5B</w:t>
      </w:r>
      <w:r>
        <w:t>.</w:t>
      </w:r>
      <w:r>
        <w:tab/>
        <w:t>Deleted: Gazette 8 Oct 2019 p. 3619.]</w:t>
      </w:r>
    </w:p>
    <w:p>
      <w:pPr>
        <w:pStyle w:val="Heading5"/>
      </w:pPr>
      <w:bookmarkStart w:id="11" w:name="_Toc32485195"/>
      <w:r>
        <w:rPr>
          <w:rStyle w:val="CharSectno"/>
        </w:rPr>
        <w:t>5</w:t>
      </w:r>
      <w:r>
        <w:t>.</w:t>
      </w:r>
      <w:r>
        <w:tab/>
        <w:t>Circumstances in which persons acquiring interests under 1 arrangement or in concert are not related persons prescribed (Act s. 162(1A)(b))</w:t>
      </w:r>
      <w:bookmarkEnd w:id="11"/>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12" w:name="_Toc32485196"/>
      <w:r>
        <w:rPr>
          <w:rStyle w:val="CharSectno"/>
        </w:rPr>
        <w:t>6</w:t>
      </w:r>
      <w:r>
        <w:t>.</w:t>
      </w:r>
      <w:r>
        <w:tab/>
        <w:t>Classes of new vehicles prescribed (Act s. 237(1)(b))</w:t>
      </w:r>
      <w:bookmarkEnd w:id="12"/>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13" w:name="_Toc32485197"/>
      <w:r>
        <w:rPr>
          <w:rStyle w:val="CharSectno"/>
        </w:rPr>
        <w:t>7</w:t>
      </w:r>
      <w:r>
        <w:t>.</w:t>
      </w:r>
      <w:r>
        <w:tab/>
        <w:t>Classes of vehicles, persons and purposes prescribed (Act s. 244)</w:t>
      </w:r>
      <w:bookmarkEnd w:id="13"/>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14" w:name="_Toc32485198"/>
      <w:r>
        <w:rPr>
          <w:rStyle w:val="CharSectno"/>
        </w:rPr>
        <w:t>8</w:t>
      </w:r>
      <w:r>
        <w:t>.</w:t>
      </w:r>
      <w:r>
        <w:tab/>
        <w:t>Records prescribed (Act s. 256(a))</w:t>
      </w:r>
      <w:bookmarkEnd w:id="14"/>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15" w:name="_Toc32485199"/>
      <w:r>
        <w:rPr>
          <w:rStyle w:val="CharSectno"/>
        </w:rPr>
        <w:t>8A</w:t>
      </w:r>
      <w:r>
        <w:t>.</w:t>
      </w:r>
      <w:r>
        <w:tab/>
        <w:t>Events that do not result in automatic revocation of exemption for relevant reconstruction transaction prescribed (Act s. 264A(3)(b))</w:t>
      </w:r>
      <w:bookmarkEnd w:id="15"/>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16" w:name="_Toc32485200"/>
      <w:r>
        <w:rPr>
          <w:rStyle w:val="CharSectno"/>
        </w:rPr>
        <w:t>9A</w:t>
      </w:r>
      <w:r>
        <w:t>.</w:t>
      </w:r>
      <w:r>
        <w:tab/>
        <w:t>Records to be kept (Act s. 285(2))</w:t>
      </w:r>
      <w:bookmarkEnd w:id="16"/>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17" w:name="_Toc32485201"/>
      <w:r>
        <w:rPr>
          <w:rStyle w:val="CharSectno"/>
        </w:rPr>
        <w:t>9</w:t>
      </w:r>
      <w:r>
        <w:t>.</w:t>
      </w:r>
      <w:r>
        <w:tab/>
        <w:t>Act Sch. 3 cl. 13(1) varied (Act Sch. 3 cl. 27(1)(b))</w:t>
      </w:r>
      <w:bookmarkEnd w:id="17"/>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18" w:name="_Toc32485202"/>
      <w:r>
        <w:rPr>
          <w:rStyle w:val="CharSectno"/>
        </w:rPr>
        <w:t>10</w:t>
      </w:r>
      <w:r>
        <w:t>.</w:t>
      </w:r>
      <w:r>
        <w:tab/>
        <w:t>Consideration for the grant of a lease, ascertaining</w:t>
      </w:r>
      <w:bookmarkEnd w:id="18"/>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9" w:name="_Toc32485203"/>
      <w:r>
        <w:t>Notes</w:t>
      </w:r>
      <w:bookmarkEnd w:id="19"/>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 w:name="_Toc32485204"/>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single" w:sz="4" w:space="0" w:color="auto"/>
              <w:right w:val="nil"/>
            </w:tcBorders>
          </w:tcPr>
          <w:p>
            <w:pPr>
              <w:pStyle w:val="nTable"/>
              <w:keepNext/>
              <w:spacing w:after="40"/>
              <w:rPr>
                <w:noProof/>
                <w:snapToGrid w:val="0"/>
              </w:rPr>
            </w:pPr>
            <w:r>
              <w:rPr>
                <w:i/>
                <w:noProof/>
                <w:snapToGrid w:val="0"/>
              </w:rPr>
              <w:t xml:space="preserve">Duties Amendment Regulations 2019 </w:t>
            </w:r>
            <w:r>
              <w:rPr>
                <w:noProof/>
                <w:snapToGrid w:val="0"/>
              </w:rPr>
              <w:t>Pt. 1 and 2</w:t>
            </w:r>
          </w:p>
        </w:tc>
        <w:tc>
          <w:tcPr>
            <w:tcW w:w="1276" w:type="dxa"/>
            <w:tcBorders>
              <w:top w:val="nil"/>
              <w:left w:val="nil"/>
              <w:bottom w:val="single" w:sz="4" w:space="0" w:color="auto"/>
              <w:right w:val="nil"/>
            </w:tcBorders>
          </w:tcPr>
          <w:p>
            <w:pPr>
              <w:pStyle w:val="nTable"/>
              <w:keepNext/>
              <w:spacing w:after="40"/>
            </w:pPr>
            <w:r>
              <w:t>8 Oct 2019 p. 3617</w:t>
            </w:r>
            <w:r>
              <w:noBreakHyphen/>
              <w:t>21</w:t>
            </w:r>
          </w:p>
        </w:tc>
        <w:tc>
          <w:tcPr>
            <w:tcW w:w="2693" w:type="dxa"/>
            <w:tcBorders>
              <w:top w:val="nil"/>
              <w:left w:val="nil"/>
              <w:bottom w:val="single" w:sz="4" w:space="0" w:color="auto"/>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p>
        </w:tc>
      </w:tr>
    </w:tbl>
    <w:p>
      <w:pPr>
        <w:pStyle w:val="nHeading3"/>
      </w:pPr>
      <w:bookmarkStart w:id="21" w:name="_Toc32485205"/>
      <w:r>
        <w:t>Uncommenced provisions table</w:t>
      </w:r>
      <w:bookmarkEnd w:id="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Duties Amendment Regulations 2019</w:t>
            </w:r>
            <w:r>
              <w:rPr>
                <w:noProof/>
                <w:snapToGrid w:val="0"/>
              </w:rPr>
              <w:t xml:space="preserve"> Pt. 3</w:t>
            </w:r>
          </w:p>
        </w:tc>
        <w:tc>
          <w:tcPr>
            <w:tcW w:w="1276" w:type="dxa"/>
          </w:tcPr>
          <w:p>
            <w:pPr>
              <w:pStyle w:val="nTable"/>
              <w:spacing w:after="40"/>
            </w:pPr>
            <w:r>
              <w:t>8 Oct 2019 p. 3621</w:t>
            </w:r>
          </w:p>
        </w:tc>
        <w:tc>
          <w:tcPr>
            <w:tcW w:w="2693" w:type="dxa"/>
          </w:tcPr>
          <w:p>
            <w:pPr>
              <w:pStyle w:val="nTable"/>
              <w:spacing w:after="40"/>
            </w:pPr>
            <w:r>
              <w:rPr>
                <w:noProof/>
                <w:snapToGrid w:val="0"/>
              </w:rPr>
              <w:t xml:space="preserve">Operative on commencement of </w:t>
            </w:r>
            <w:r>
              <w:rPr>
                <w:i/>
                <w:noProof/>
                <w:snapToGrid w:val="0"/>
              </w:rPr>
              <w:t xml:space="preserve">Community Titles Act 2018 </w:t>
            </w:r>
            <w:r>
              <w:rPr>
                <w:noProof/>
                <w:snapToGrid w:val="0"/>
              </w:rPr>
              <w:t xml:space="preserve">s. 11 </w:t>
            </w:r>
            <w:r>
              <w:t>(see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3" w:name="_Toc32485206"/>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Minister</w:t>
      </w:r>
      <w:r>
        <w:tab/>
        <w:t>7(1)</w:t>
      </w:r>
    </w:p>
    <w:p>
      <w:pPr>
        <w:pStyle w:val="DefinedTerms"/>
      </w:pPr>
      <w:r>
        <w:t>demerged entity</w:t>
      </w:r>
      <w:r>
        <w:tab/>
        <w:t>2A(3), 2A(4)</w:t>
      </w:r>
    </w:p>
    <w:p>
      <w:pPr>
        <w:pStyle w:val="DefinedTerms"/>
      </w:pPr>
      <w:r>
        <w:t>entity</w:t>
      </w:r>
      <w:r>
        <w:tab/>
        <w:t>2A(1)</w:t>
      </w:r>
    </w:p>
    <w:p>
      <w:pPr>
        <w:pStyle w:val="DefinedTerms"/>
      </w:pPr>
      <w:r>
        <w:t>entity A</w:t>
      </w:r>
      <w:r>
        <w:tab/>
        <w:t>2A(2)</w:t>
      </w:r>
    </w:p>
    <w:p>
      <w:pPr>
        <w:pStyle w:val="DefinedTerms"/>
      </w:pPr>
      <w:r>
        <w:t>farming land</w:t>
      </w:r>
      <w:r>
        <w:tab/>
        <w:t>7(1)</w:t>
      </w:r>
    </w:p>
    <w:p>
      <w:pPr>
        <w:pStyle w:val="DefinedTerms"/>
      </w:pPr>
      <w:r>
        <w:t>hybrid demerger</w:t>
      </w:r>
      <w:r>
        <w:tab/>
        <w:t>2A(4)</w:t>
      </w:r>
    </w:p>
    <w:p>
      <w:pPr>
        <w:pStyle w:val="DefinedTerms"/>
      </w:pPr>
      <w:r>
        <w:t>listed entity</w:t>
      </w:r>
      <w:r>
        <w:tab/>
        <w:t>2A(1)</w:t>
      </w:r>
    </w:p>
    <w:p>
      <w:pPr>
        <w:pStyle w:val="DefinedTerms"/>
      </w:pPr>
      <w:r>
        <w:t>listed entity demerger</w:t>
      </w:r>
      <w:r>
        <w:tab/>
        <w:t>2A(3)</w:t>
      </w:r>
    </w:p>
    <w:p>
      <w:pPr>
        <w:pStyle w:val="DefinedTerms"/>
      </w:pPr>
      <w:r>
        <w:t>listed entity security holder</w:t>
      </w:r>
      <w:r>
        <w:tab/>
        <w:t>2A(3), 2A(4)</w:t>
      </w:r>
    </w:p>
    <w:p>
      <w:pPr>
        <w:pStyle w:val="DefinedTerms"/>
      </w:pPr>
      <w:r>
        <w:t>lot</w:t>
      </w:r>
      <w:r>
        <w:tab/>
        <w:t>4B(1)</w:t>
      </w:r>
    </w:p>
    <w:p>
      <w:pPr>
        <w:pStyle w:val="DefinedTerms"/>
      </w:pPr>
      <w:r>
        <w:t>new profit à prendre</w:t>
      </w:r>
      <w:r>
        <w:tab/>
        <w:t>4B(2)</w:t>
      </w:r>
    </w:p>
    <w:p>
      <w:pPr>
        <w:pStyle w:val="DefinedTerms"/>
      </w:pPr>
      <w:r>
        <w:t>old profit à prendre</w:t>
      </w:r>
      <w:r>
        <w:tab/>
        <w:t>4B(2)</w:t>
      </w:r>
    </w:p>
    <w:p>
      <w:pPr>
        <w:pStyle w:val="DefinedTerms"/>
      </w:pPr>
      <w:r>
        <w:t>security</w:t>
      </w:r>
      <w:r>
        <w:tab/>
        <w:t>2A(1)</w:t>
      </w:r>
    </w:p>
    <w:p>
      <w:pPr>
        <w:pStyle w:val="DefinedTerms"/>
      </w:pPr>
      <w:r>
        <w:t>timber sharefarming profit à prendre</w:t>
      </w:r>
      <w:r>
        <w:tab/>
        <w:t>4A(1), 4B(1)</w:t>
      </w:r>
    </w:p>
    <w:p>
      <w:pPr>
        <w:pStyle w:val="DefinedTerms"/>
      </w:pPr>
      <w:r>
        <w:t>tractor</w:t>
      </w:r>
      <w:r>
        <w:tab/>
        <w:t>7(1)</w:t>
      </w:r>
    </w:p>
    <w:p>
      <w:pPr>
        <w:pStyle w:val="DefinedTerms"/>
      </w:pPr>
      <w:r>
        <w:t>tractor plant</w:t>
      </w:r>
      <w:r>
        <w:tab/>
        <w:t>7(1)</w:t>
      </w:r>
    </w:p>
    <w:p>
      <w:pPr>
        <w:pStyle w:val="DefinedTerms"/>
      </w:pPr>
      <w:r>
        <w:t>wholly-owned subsidiary</w:t>
      </w:r>
      <w:r>
        <w:tab/>
        <w:t>2A(2)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lvlText w:val="%1."/>
      <w:lvlJc w:val="left"/>
      <w:pPr>
        <w:tabs>
          <w:tab w:val="num" w:pos="1492"/>
        </w:tabs>
        <w:ind w:left="1492" w:hanging="360"/>
      </w:pPr>
    </w:lvl>
  </w:abstractNum>
  <w:abstractNum w:abstractNumId="1">
    <w:nsid w:val="FFFFFF7D"/>
    <w:multiLevelType w:val="singleLevel"/>
    <w:tmpl w:val="CB365F2C"/>
    <w:lvl w:ilvl="0">
      <w:start w:val="1"/>
      <w:numFmt w:val="decimal"/>
      <w:lvlText w:val="%1."/>
      <w:lvlJc w:val="left"/>
      <w:pPr>
        <w:tabs>
          <w:tab w:val="num" w:pos="1209"/>
        </w:tabs>
        <w:ind w:left="1209" w:hanging="360"/>
      </w:pPr>
    </w:lvl>
  </w:abstractNum>
  <w:abstractNum w:abstractNumId="2">
    <w:nsid w:val="FFFFFF7E"/>
    <w:multiLevelType w:val="singleLevel"/>
    <w:tmpl w:val="BE868A08"/>
    <w:lvl w:ilvl="0">
      <w:start w:val="1"/>
      <w:numFmt w:val="decimal"/>
      <w:lvlText w:val="%1."/>
      <w:lvlJc w:val="left"/>
      <w:pPr>
        <w:tabs>
          <w:tab w:val="num" w:pos="926"/>
        </w:tabs>
        <w:ind w:left="926" w:hanging="360"/>
      </w:pPr>
    </w:lvl>
  </w:abstractNum>
  <w:abstractNum w:abstractNumId="3">
    <w:nsid w:val="FFFFFF7F"/>
    <w:multiLevelType w:val="singleLevel"/>
    <w:tmpl w:val="803AC0DE"/>
    <w:lvl w:ilvl="0">
      <w:start w:val="1"/>
      <w:numFmt w:val="decimal"/>
      <w:lvlText w:val="%1."/>
      <w:lvlJc w:val="left"/>
      <w:pPr>
        <w:tabs>
          <w:tab w:val="num" w:pos="643"/>
        </w:tabs>
        <w:ind w:left="643" w:hanging="360"/>
      </w:pPr>
    </w:lvl>
  </w:abstractNum>
  <w:abstractNum w:abstractNumId="4">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lvlText w:val="%1."/>
      <w:lvlJc w:val="left"/>
      <w:pPr>
        <w:tabs>
          <w:tab w:val="num" w:pos="360"/>
        </w:tabs>
        <w:ind w:left="360" w:hanging="360"/>
      </w:pPr>
    </w:lvl>
  </w:abstractNum>
  <w:abstractNum w:abstractNumId="9">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11718"/>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3367</Words>
  <Characters>17371</Characters>
  <Application>Microsoft Office Word</Application>
  <DocSecurity>0</DocSecurity>
  <Lines>542</Lines>
  <Paragraphs>319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2008 - 01-e0-01</dc:title>
  <dc:subject/>
  <dc:creator/>
  <cp:keywords/>
  <dc:description/>
  <cp:lastModifiedBy>svcMRProcess</cp:lastModifiedBy>
  <cp:revision>4</cp:revision>
  <cp:lastPrinted>2019-10-08T04:53:00Z</cp:lastPrinted>
  <dcterms:created xsi:type="dcterms:W3CDTF">2020-02-24T05:02:00Z</dcterms:created>
  <dcterms:modified xsi:type="dcterms:W3CDTF">2020-02-24T05:02:00Z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20191009</vt:lpwstr>
  </property>
  <property fmtid="{D5CDD505-2E9C-101B-9397-08002B2CF9AE}" pid="8" name="AsAtDate">
    <vt:lpwstr>09 Oct 2019</vt:lpwstr>
  </property>
  <property fmtid="{D5CDD505-2E9C-101B-9397-08002B2CF9AE}" pid="9" name="Suffix">
    <vt:lpwstr>01-e0-01</vt:lpwstr>
  </property>
</Properties>
</file>