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Debt Collectors Licensing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_Toc22915035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_Toc22915036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_Toc22915037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_Toc22915038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Licensing of debt collectors</w:t>
      </w:r>
      <w:r>
        <w:tab/>
      </w:r>
      <w:r>
        <w:fldChar w:fldCharType="begin"/>
      </w:r>
      <w:r>
        <w:instrText xml:space="preserve"> PAGEREF _Toc22915039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Licensees not to assume additional powers</w:t>
      </w:r>
      <w:r>
        <w:tab/>
      </w:r>
      <w:r>
        <w:fldChar w:fldCharType="begin"/>
      </w:r>
      <w:r>
        <w:instrText xml:space="preserve"> PAGEREF _Toc22915040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w:t>
      </w:r>
      <w:r>
        <w:tab/>
      </w:r>
      <w:r>
        <w:fldChar w:fldCharType="begin"/>
      </w:r>
      <w:r>
        <w:instrText xml:space="preserve"> PAGEREF _Toc22915041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licences</w:t>
      </w:r>
      <w:r>
        <w:tab/>
      </w:r>
      <w:r>
        <w:fldChar w:fldCharType="begin"/>
      </w:r>
      <w:r>
        <w:instrText xml:space="preserve"> PAGEREF _Toc22915042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Grounds on which licence refused</w:t>
      </w:r>
      <w:r>
        <w:tab/>
      </w:r>
      <w:r>
        <w:fldChar w:fldCharType="begin"/>
      </w:r>
      <w:r>
        <w:instrText xml:space="preserve"> PAGEREF _Toc22915043 \h </w:instrText>
      </w:r>
      <w:r>
        <w:fldChar w:fldCharType="separate"/>
      </w:r>
      <w:r>
        <w:t>6</w:t>
      </w:r>
      <w:r>
        <w:fldChar w:fldCharType="end"/>
      </w:r>
    </w:p>
    <w:p>
      <w:pPr>
        <w:pStyle w:val="TOC8"/>
        <w:rPr>
          <w:rFonts w:asciiTheme="minorHAnsi" w:eastAsiaTheme="minorEastAsia" w:hAnsiTheme="minorHAnsi" w:cstheme="minorBidi"/>
          <w:szCs w:val="22"/>
        </w:rPr>
      </w:pPr>
      <w:r>
        <w:t>10A.</w:t>
      </w:r>
      <w:r>
        <w:tab/>
        <w:t>Duration of licences</w:t>
      </w:r>
      <w:r>
        <w:tab/>
      </w:r>
      <w:r>
        <w:fldChar w:fldCharType="begin"/>
      </w:r>
      <w:r>
        <w:instrText xml:space="preserve"> PAGEREF _Toc22915044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Cancellation of licence</w:t>
      </w:r>
      <w:r>
        <w:tab/>
      </w:r>
      <w:r>
        <w:fldChar w:fldCharType="begin"/>
      </w:r>
      <w:r>
        <w:instrText xml:space="preserve"> PAGEREF _Toc22915045 \h </w:instrText>
      </w:r>
      <w:r>
        <w:fldChar w:fldCharType="separate"/>
      </w:r>
      <w:r>
        <w:t>7</w:t>
      </w:r>
      <w:r>
        <w:fldChar w:fldCharType="end"/>
      </w:r>
    </w:p>
    <w:p>
      <w:pPr>
        <w:pStyle w:val="TOC8"/>
        <w:rPr>
          <w:rFonts w:asciiTheme="minorHAnsi" w:eastAsiaTheme="minorEastAsia" w:hAnsiTheme="minorHAnsi" w:cstheme="minorBidi"/>
          <w:szCs w:val="22"/>
        </w:rPr>
      </w:pPr>
      <w:r>
        <w:t>11.</w:t>
      </w:r>
      <w:r>
        <w:tab/>
        <w:t>Review of Commissioner’s decision</w:t>
      </w:r>
      <w:r>
        <w:tab/>
      </w:r>
      <w:r>
        <w:fldChar w:fldCharType="begin"/>
      </w:r>
      <w:r>
        <w:instrText xml:space="preserve"> PAGEREF _Toc22915046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Register to be kept by Commissioner</w:t>
      </w:r>
      <w:r>
        <w:tab/>
      </w:r>
      <w:r>
        <w:fldChar w:fldCharType="begin"/>
      </w:r>
      <w:r>
        <w:instrText xml:space="preserve"> PAGEREF _Toc22915047 \h </w:instrText>
      </w:r>
      <w:r>
        <w:fldChar w:fldCharType="separate"/>
      </w:r>
      <w:r>
        <w:t>9</w:t>
      </w:r>
      <w:r>
        <w:fldChar w:fldCharType="end"/>
      </w:r>
    </w:p>
    <w:p>
      <w:pPr>
        <w:pStyle w:val="TOC8"/>
        <w:rPr>
          <w:rFonts w:asciiTheme="minorHAnsi" w:eastAsiaTheme="minorEastAsia" w:hAnsiTheme="minorHAnsi" w:cstheme="minorBidi"/>
          <w:szCs w:val="22"/>
        </w:rPr>
      </w:pPr>
      <w:r>
        <w:t>12A.</w:t>
      </w:r>
      <w:r>
        <w:tab/>
        <w:t>Matters to be included in annual report</w:t>
      </w:r>
      <w:r>
        <w:tab/>
      </w:r>
      <w:r>
        <w:fldChar w:fldCharType="begin"/>
      </w:r>
      <w:r>
        <w:instrText xml:space="preserve"> PAGEREF _Toc22915048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Unlicensed persons not to recover fees etc.</w:t>
      </w:r>
      <w:r>
        <w:tab/>
      </w:r>
      <w:r>
        <w:fldChar w:fldCharType="begin"/>
      </w:r>
      <w:r>
        <w:instrText xml:space="preserve"> PAGEREF _Toc22915049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of furnishing incorrect information in applications etc.</w:t>
      </w:r>
      <w:r>
        <w:tab/>
      </w:r>
      <w:r>
        <w:fldChar w:fldCharType="begin"/>
      </w:r>
      <w:r>
        <w:instrText xml:space="preserve"> PAGEREF _Toc22915050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of debt collectors in respect of trust money</w:t>
      </w:r>
      <w:r>
        <w:tab/>
      </w:r>
      <w:r>
        <w:fldChar w:fldCharType="begin"/>
      </w:r>
      <w:r>
        <w:instrText xml:space="preserve"> PAGEREF _Toc22915051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of bank Manager</w:t>
      </w:r>
      <w:r>
        <w:tab/>
      </w:r>
      <w:r>
        <w:fldChar w:fldCharType="begin"/>
      </w:r>
      <w:r>
        <w:instrText xml:space="preserve"> PAGEREF _Toc22915052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Duty of debt collector as to accounts</w:t>
      </w:r>
      <w:r>
        <w:tab/>
      </w:r>
      <w:r>
        <w:fldChar w:fldCharType="begin"/>
      </w:r>
      <w:r>
        <w:instrText xml:space="preserve"> PAGEREF _Toc22915053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Inspection of records</w:t>
      </w:r>
      <w:r>
        <w:tab/>
      </w:r>
      <w:r>
        <w:fldChar w:fldCharType="begin"/>
      </w:r>
      <w:r>
        <w:instrText xml:space="preserve"> PAGEREF _Toc22915054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appoint auditor to audit trust accounts</w:t>
      </w:r>
      <w:r>
        <w:tab/>
      </w:r>
      <w:r>
        <w:fldChar w:fldCharType="begin"/>
      </w:r>
      <w:r>
        <w:instrText xml:space="preserve"> PAGEREF _Toc22915055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Fidelity bond</w:t>
      </w:r>
      <w:r>
        <w:tab/>
      </w:r>
      <w:r>
        <w:fldChar w:fldCharType="begin"/>
      </w:r>
      <w:r>
        <w:instrText xml:space="preserve"> PAGEREF _Toc22915056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Termination of fidelity bond</w:t>
      </w:r>
      <w:r>
        <w:tab/>
      </w:r>
      <w:r>
        <w:fldChar w:fldCharType="begin"/>
      </w:r>
      <w:r>
        <w:instrText xml:space="preserve"> PAGEREF _Toc22915057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Penalty for offences generally</w:t>
      </w:r>
      <w:r>
        <w:tab/>
      </w:r>
      <w:r>
        <w:fldChar w:fldCharType="begin"/>
      </w:r>
      <w:r>
        <w:instrText xml:space="preserve"> PAGEREF _Toc22915058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 by corporation</w:t>
      </w:r>
      <w:r>
        <w:tab/>
      </w:r>
      <w:r>
        <w:fldChar w:fldCharType="begin"/>
      </w:r>
      <w:r>
        <w:instrText xml:space="preserve"> PAGEREF _Toc22915059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Evidentiary provision</w:t>
      </w:r>
      <w:r>
        <w:tab/>
      </w:r>
      <w:r>
        <w:fldChar w:fldCharType="begin"/>
      </w:r>
      <w:r>
        <w:instrText xml:space="preserve"> PAGEREF _Toc22915060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Saving of remedies</w:t>
      </w:r>
      <w:r>
        <w:tab/>
      </w:r>
      <w:r>
        <w:fldChar w:fldCharType="begin"/>
      </w:r>
      <w:r>
        <w:instrText xml:space="preserve"> PAGEREF _Toc22915061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_Toc22915062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_Toc22915064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_Toc22915065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3" w:name="_Toc22915035"/>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4" w:name="_Toc2291503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5" w:name="_Toc22915037"/>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6" w:name="_Toc22915038"/>
      <w:r>
        <w:rPr>
          <w:rStyle w:val="CharSectno"/>
        </w:rPr>
        <w:t>4</w:t>
      </w:r>
      <w:r>
        <w:rPr>
          <w:snapToGrid w:val="0"/>
        </w:rPr>
        <w:t>.</w:t>
      </w:r>
      <w:r>
        <w:rPr>
          <w:snapToGrid w:val="0"/>
        </w:rPr>
        <w:tab/>
        <w:t>Application of Act</w:t>
      </w:r>
      <w:bookmarkEnd w:id="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w:t>
      </w:r>
    </w:p>
    <w:p>
      <w:pPr>
        <w:pStyle w:val="Heading5"/>
        <w:rPr>
          <w:snapToGrid w:val="0"/>
        </w:rPr>
      </w:pPr>
      <w:bookmarkStart w:id="7" w:name="_Toc22915039"/>
      <w:r>
        <w:rPr>
          <w:rStyle w:val="CharSectno"/>
        </w:rPr>
        <w:t>5</w:t>
      </w:r>
      <w:r>
        <w:rPr>
          <w:snapToGrid w:val="0"/>
        </w:rPr>
        <w:t>.</w:t>
      </w:r>
      <w:r>
        <w:rPr>
          <w:snapToGrid w:val="0"/>
        </w:rPr>
        <w:tab/>
        <w:t>Licensing of debt collectors</w:t>
      </w:r>
      <w:bookmarkEnd w:id="7"/>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No. 113 of 1965 s. 8; No. 50 of 2003 s. 55(2).] </w:t>
      </w:r>
    </w:p>
    <w:p>
      <w:pPr>
        <w:pStyle w:val="Heading5"/>
        <w:spacing w:before="180"/>
        <w:rPr>
          <w:snapToGrid w:val="0"/>
        </w:rPr>
      </w:pPr>
      <w:bookmarkStart w:id="8" w:name="_Toc22915040"/>
      <w:r>
        <w:rPr>
          <w:rStyle w:val="CharSectno"/>
        </w:rPr>
        <w:t>6</w:t>
      </w:r>
      <w:r>
        <w:rPr>
          <w:snapToGrid w:val="0"/>
        </w:rPr>
        <w:t>.</w:t>
      </w:r>
      <w:r>
        <w:rPr>
          <w:snapToGrid w:val="0"/>
        </w:rPr>
        <w:tab/>
        <w:t>Licensees not to assume additional powers</w:t>
      </w:r>
      <w:bookmarkEnd w:id="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9" w:name="_Toc22915041"/>
      <w:r>
        <w:rPr>
          <w:rStyle w:val="CharSectno"/>
        </w:rPr>
        <w:t>7</w:t>
      </w:r>
      <w:r>
        <w:rPr>
          <w:snapToGrid w:val="0"/>
        </w:rPr>
        <w:t>.</w:t>
      </w:r>
      <w:r>
        <w:rPr>
          <w:snapToGrid w:val="0"/>
        </w:rPr>
        <w:tab/>
        <w:t>Licences</w:t>
      </w:r>
      <w:bookmarkEnd w:id="9"/>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10" w:name="_Toc22915042"/>
      <w:r>
        <w:rPr>
          <w:rStyle w:val="CharSectno"/>
        </w:rPr>
        <w:t>8</w:t>
      </w:r>
      <w:r>
        <w:rPr>
          <w:snapToGrid w:val="0"/>
        </w:rPr>
        <w:t>.</w:t>
      </w:r>
      <w:r>
        <w:rPr>
          <w:snapToGrid w:val="0"/>
        </w:rPr>
        <w:tab/>
        <w:t>Application for licences</w:t>
      </w:r>
      <w:bookmarkEnd w:id="10"/>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11" w:name="_Toc22915043"/>
      <w:r>
        <w:rPr>
          <w:rStyle w:val="CharSectno"/>
        </w:rPr>
        <w:t>9</w:t>
      </w:r>
      <w:r>
        <w:rPr>
          <w:snapToGrid w:val="0"/>
        </w:rPr>
        <w:t>.</w:t>
      </w:r>
      <w:r>
        <w:rPr>
          <w:snapToGrid w:val="0"/>
        </w:rPr>
        <w:tab/>
        <w:t>Grounds on which licence refused</w:t>
      </w:r>
      <w:bookmarkEnd w:id="11"/>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No. 55 of 2004 s. 222.]</w:t>
      </w:r>
    </w:p>
    <w:p>
      <w:pPr>
        <w:pStyle w:val="Heading5"/>
      </w:pPr>
      <w:bookmarkStart w:id="12" w:name="_Toc468453293"/>
      <w:bookmarkStart w:id="13" w:name="_Toc468458348"/>
      <w:bookmarkStart w:id="14" w:name="_Toc22915044"/>
      <w:r>
        <w:rPr>
          <w:rStyle w:val="CharSectno"/>
        </w:rPr>
        <w:t>10A</w:t>
      </w:r>
      <w:r>
        <w:t>.</w:t>
      </w:r>
      <w:r>
        <w:tab/>
        <w:t>Duration of licences</w:t>
      </w:r>
      <w:bookmarkEnd w:id="12"/>
      <w:bookmarkEnd w:id="13"/>
      <w:bookmarkEnd w:id="14"/>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15" w:name="_Toc22915045"/>
      <w:r>
        <w:rPr>
          <w:rStyle w:val="CharSectno"/>
        </w:rPr>
        <w:t>10</w:t>
      </w:r>
      <w:r>
        <w:rPr>
          <w:snapToGrid w:val="0"/>
        </w:rPr>
        <w:t>.</w:t>
      </w:r>
      <w:r>
        <w:rPr>
          <w:snapToGrid w:val="0"/>
        </w:rPr>
        <w:tab/>
        <w:t>Cancellation of licence</w:t>
      </w:r>
      <w:bookmarkEnd w:id="15"/>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No. 55 of 2004 s. 223.]</w:t>
      </w:r>
    </w:p>
    <w:p>
      <w:pPr>
        <w:pStyle w:val="Heading5"/>
      </w:pPr>
      <w:bookmarkStart w:id="16" w:name="_Toc22915046"/>
      <w:r>
        <w:rPr>
          <w:rStyle w:val="CharSectno"/>
        </w:rPr>
        <w:t>11</w:t>
      </w:r>
      <w:r>
        <w:t>.</w:t>
      </w:r>
      <w:r>
        <w:tab/>
        <w:t>Review of Commissioner’s decision</w:t>
      </w:r>
      <w:bookmarkEnd w:id="16"/>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17" w:name="_Toc22915047"/>
      <w:r>
        <w:rPr>
          <w:rStyle w:val="CharSectno"/>
        </w:rPr>
        <w:t>12</w:t>
      </w:r>
      <w:r>
        <w:rPr>
          <w:snapToGrid w:val="0"/>
        </w:rPr>
        <w:t>.</w:t>
      </w:r>
      <w:r>
        <w:rPr>
          <w:snapToGrid w:val="0"/>
        </w:rPr>
        <w:tab/>
        <w:t>Register to be kept by Commissioner</w:t>
      </w:r>
      <w:bookmarkEnd w:id="17"/>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18" w:name="_Toc22915048"/>
      <w:r>
        <w:rPr>
          <w:rStyle w:val="CharSectno"/>
        </w:rPr>
        <w:t>12A</w:t>
      </w:r>
      <w:r>
        <w:t>.</w:t>
      </w:r>
      <w:r>
        <w:tab/>
        <w:t>Matters to be included in annual report</w:t>
      </w:r>
      <w:bookmarkEnd w:id="18"/>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19" w:name="_Toc22915049"/>
      <w:r>
        <w:rPr>
          <w:rStyle w:val="CharSectno"/>
        </w:rPr>
        <w:t>13</w:t>
      </w:r>
      <w:r>
        <w:rPr>
          <w:snapToGrid w:val="0"/>
        </w:rPr>
        <w:t>.</w:t>
      </w:r>
      <w:r>
        <w:rPr>
          <w:snapToGrid w:val="0"/>
        </w:rPr>
        <w:tab/>
        <w:t>Unlicensed persons not to recover fees etc.</w:t>
      </w:r>
      <w:bookmarkEnd w:id="19"/>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20" w:name="_Toc22915050"/>
      <w:r>
        <w:rPr>
          <w:rStyle w:val="CharSectno"/>
        </w:rPr>
        <w:t>14</w:t>
      </w:r>
      <w:r>
        <w:rPr>
          <w:snapToGrid w:val="0"/>
        </w:rPr>
        <w:t>.</w:t>
      </w:r>
      <w:r>
        <w:rPr>
          <w:snapToGrid w:val="0"/>
        </w:rPr>
        <w:tab/>
        <w:t>Offence of furnishing incorrect information in applications etc.</w:t>
      </w:r>
      <w:bookmarkEnd w:id="20"/>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No. 113 of 1965 s. 8.] </w:t>
      </w:r>
    </w:p>
    <w:p>
      <w:pPr>
        <w:pStyle w:val="Heading5"/>
        <w:rPr>
          <w:snapToGrid w:val="0"/>
        </w:rPr>
      </w:pPr>
      <w:bookmarkStart w:id="21" w:name="_Toc22915051"/>
      <w:r>
        <w:rPr>
          <w:rStyle w:val="CharSectno"/>
        </w:rPr>
        <w:t>15</w:t>
      </w:r>
      <w:r>
        <w:rPr>
          <w:snapToGrid w:val="0"/>
        </w:rPr>
        <w:t>.</w:t>
      </w:r>
      <w:r>
        <w:rPr>
          <w:snapToGrid w:val="0"/>
        </w:rPr>
        <w:tab/>
        <w:t>Duty of debt collectors in respect of trust money</w:t>
      </w:r>
      <w:bookmarkEnd w:id="21"/>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w:t>
      </w:r>
    </w:p>
    <w:p>
      <w:pPr>
        <w:pStyle w:val="Heading5"/>
        <w:rPr>
          <w:snapToGrid w:val="0"/>
        </w:rPr>
      </w:pPr>
      <w:bookmarkStart w:id="22" w:name="_Toc22915052"/>
      <w:r>
        <w:rPr>
          <w:rStyle w:val="CharSectno"/>
        </w:rPr>
        <w:t>16</w:t>
      </w:r>
      <w:r>
        <w:rPr>
          <w:snapToGrid w:val="0"/>
        </w:rPr>
        <w:t>.</w:t>
      </w:r>
      <w:r>
        <w:rPr>
          <w:snapToGrid w:val="0"/>
        </w:rPr>
        <w:tab/>
        <w:t>Duty of bank Manager</w:t>
      </w:r>
      <w:bookmarkEnd w:id="22"/>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23" w:name="_Toc22915053"/>
      <w:r>
        <w:rPr>
          <w:rStyle w:val="CharSectno"/>
        </w:rPr>
        <w:t>17</w:t>
      </w:r>
      <w:r>
        <w:rPr>
          <w:snapToGrid w:val="0"/>
        </w:rPr>
        <w:t>.</w:t>
      </w:r>
      <w:r>
        <w:rPr>
          <w:snapToGrid w:val="0"/>
        </w:rPr>
        <w:tab/>
        <w:t>Duty of debt collector as to accounts</w:t>
      </w:r>
      <w:bookmarkEnd w:id="23"/>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24" w:name="_Toc22915054"/>
      <w:r>
        <w:rPr>
          <w:rStyle w:val="CharSectno"/>
        </w:rPr>
        <w:t>18</w:t>
      </w:r>
      <w:r>
        <w:rPr>
          <w:snapToGrid w:val="0"/>
        </w:rPr>
        <w:t>.</w:t>
      </w:r>
      <w:r>
        <w:rPr>
          <w:snapToGrid w:val="0"/>
        </w:rPr>
        <w:tab/>
        <w:t>Inspection of records</w:t>
      </w:r>
      <w:bookmarkEnd w:id="24"/>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25" w:name="_Toc22915055"/>
      <w:r>
        <w:rPr>
          <w:rStyle w:val="CharSectno"/>
        </w:rPr>
        <w:t>19</w:t>
      </w:r>
      <w:r>
        <w:rPr>
          <w:snapToGrid w:val="0"/>
        </w:rPr>
        <w:t>.</w:t>
      </w:r>
      <w:r>
        <w:rPr>
          <w:snapToGrid w:val="0"/>
        </w:rPr>
        <w:tab/>
        <w:t>Minister may appoint auditor to audit trust accounts</w:t>
      </w:r>
      <w:bookmarkEnd w:id="25"/>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26" w:name="_Toc22915056"/>
      <w:r>
        <w:rPr>
          <w:rStyle w:val="CharSectno"/>
        </w:rPr>
        <w:t>20</w:t>
      </w:r>
      <w:r>
        <w:rPr>
          <w:snapToGrid w:val="0"/>
        </w:rPr>
        <w:t>.</w:t>
      </w:r>
      <w:r>
        <w:rPr>
          <w:snapToGrid w:val="0"/>
        </w:rPr>
        <w:tab/>
        <w:t>Fidelity bond</w:t>
      </w:r>
      <w:bookmarkEnd w:id="26"/>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No. 113 of 1965 s. 8; No. 55 of 2004 s. 228.] </w:t>
      </w:r>
    </w:p>
    <w:p>
      <w:pPr>
        <w:pStyle w:val="Heading5"/>
        <w:rPr>
          <w:snapToGrid w:val="0"/>
        </w:rPr>
      </w:pPr>
      <w:bookmarkStart w:id="27" w:name="_Toc22915057"/>
      <w:r>
        <w:rPr>
          <w:rStyle w:val="CharSectno"/>
        </w:rPr>
        <w:t>21</w:t>
      </w:r>
      <w:r>
        <w:rPr>
          <w:snapToGrid w:val="0"/>
        </w:rPr>
        <w:t>.</w:t>
      </w:r>
      <w:r>
        <w:rPr>
          <w:snapToGrid w:val="0"/>
        </w:rPr>
        <w:tab/>
        <w:t>Termination of fidelity bond</w:t>
      </w:r>
      <w:bookmarkEnd w:id="27"/>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Heading5"/>
        <w:rPr>
          <w:snapToGrid w:val="0"/>
        </w:rPr>
      </w:pPr>
      <w:bookmarkStart w:id="28" w:name="_Toc22915058"/>
      <w:r>
        <w:rPr>
          <w:rStyle w:val="CharSectno"/>
        </w:rPr>
        <w:t>22</w:t>
      </w:r>
      <w:r>
        <w:rPr>
          <w:snapToGrid w:val="0"/>
        </w:rPr>
        <w:t>.</w:t>
      </w:r>
      <w:r>
        <w:rPr>
          <w:snapToGrid w:val="0"/>
        </w:rPr>
        <w:tab/>
        <w:t>Penalty for offences generally</w:t>
      </w:r>
      <w:bookmarkEnd w:id="2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No. 113 of 1965 s. 8.] </w:t>
      </w:r>
    </w:p>
    <w:p>
      <w:pPr>
        <w:pStyle w:val="Heading5"/>
        <w:rPr>
          <w:snapToGrid w:val="0"/>
        </w:rPr>
      </w:pPr>
      <w:bookmarkStart w:id="29" w:name="_Toc22915059"/>
      <w:r>
        <w:rPr>
          <w:rStyle w:val="CharSectno"/>
        </w:rPr>
        <w:t>23</w:t>
      </w:r>
      <w:r>
        <w:rPr>
          <w:snapToGrid w:val="0"/>
        </w:rPr>
        <w:t>.</w:t>
      </w:r>
      <w:r>
        <w:rPr>
          <w:snapToGrid w:val="0"/>
        </w:rPr>
        <w:tab/>
        <w:t>Offence by corporation</w:t>
      </w:r>
      <w:bookmarkEnd w:id="29"/>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30" w:name="_Toc22915060"/>
      <w:r>
        <w:rPr>
          <w:rStyle w:val="CharSectno"/>
        </w:rPr>
        <w:t>24</w:t>
      </w:r>
      <w:r>
        <w:rPr>
          <w:snapToGrid w:val="0"/>
        </w:rPr>
        <w:t>.</w:t>
      </w:r>
      <w:r>
        <w:rPr>
          <w:snapToGrid w:val="0"/>
        </w:rPr>
        <w:tab/>
        <w:t>Evidentiary provision</w:t>
      </w:r>
      <w:bookmarkEnd w:id="30"/>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31" w:name="_Toc22915061"/>
      <w:r>
        <w:rPr>
          <w:rStyle w:val="CharSectno"/>
        </w:rPr>
        <w:t>25</w:t>
      </w:r>
      <w:r>
        <w:rPr>
          <w:snapToGrid w:val="0"/>
        </w:rPr>
        <w:t>.</w:t>
      </w:r>
      <w:r>
        <w:rPr>
          <w:snapToGrid w:val="0"/>
        </w:rPr>
        <w:tab/>
        <w:t>Saving of remedies</w:t>
      </w:r>
      <w:bookmarkEnd w:id="31"/>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32" w:name="_Toc22915062"/>
      <w:r>
        <w:rPr>
          <w:rStyle w:val="CharSectno"/>
        </w:rPr>
        <w:t>26</w:t>
      </w:r>
      <w:r>
        <w:rPr>
          <w:snapToGrid w:val="0"/>
        </w:rPr>
        <w:t>.</w:t>
      </w:r>
      <w:r>
        <w:rPr>
          <w:snapToGrid w:val="0"/>
        </w:rPr>
        <w:tab/>
        <w:t>Regulations</w:t>
      </w:r>
      <w:bookmarkEnd w:id="32"/>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Subsection"/>
        <w:rPr>
          <w:snapToGrid w:val="0"/>
        </w:rPr>
      </w:pPr>
      <w:r>
        <w:tab/>
        <w:t>(2)</w:t>
      </w:r>
      <w:r>
        <w:tab/>
        <w:t xml:space="preserve">The </w:t>
      </w:r>
      <w:r>
        <w:rPr>
          <w:i/>
        </w:rPr>
        <w:t>Interpretation Act 1984</w:t>
      </w:r>
      <w:r>
        <w:t xml:space="preserve"> section 45(1) and (2) applies in respect of fees prescribed under this Act despite sections 3(3) and 45(3) of that Act.</w:t>
      </w:r>
    </w:p>
    <w:p>
      <w:pPr>
        <w:pStyle w:val="Footnotesection"/>
      </w:pPr>
      <w:r>
        <w:tab/>
        <w:t xml:space="preserve">[Section 26 amended: No. 113 of 1965 s. 8; No. 44 of 2016 s. 14.]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nHeading2"/>
      </w:pPr>
      <w:bookmarkStart w:id="33" w:name="_Toc486329234"/>
      <w:bookmarkStart w:id="34" w:name="_Toc486429849"/>
      <w:bookmarkStart w:id="35" w:name="_Toc22915063"/>
      <w:r>
        <w:t>Notes</w:t>
      </w:r>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6" w:name="_Toc22915064"/>
      <w:r>
        <w:rPr>
          <w:snapToGrid w:val="0"/>
        </w:rPr>
        <w:t>Compilation table</w:t>
      </w:r>
      <w:bookmarkEnd w:id="36"/>
    </w:p>
    <w:tbl>
      <w:tblPr>
        <w:tblW w:w="0" w:type="auto"/>
        <w:tblInd w:w="112" w:type="dxa"/>
        <w:tblLayout w:type="fixed"/>
        <w:tblCellMar>
          <w:left w:w="56" w:type="dxa"/>
          <w:right w:w="56" w:type="dxa"/>
        </w:tblCellMar>
        <w:tblLook w:val="0000" w:firstRow="0" w:lastRow="0" w:firstColumn="0" w:lastColumn="0" w:noHBand="0" w:noVBand="0"/>
      </w:tblPr>
      <w:tblGrid>
        <w:gridCol w:w="2212"/>
        <w:gridCol w:w="56"/>
        <w:gridCol w:w="1078"/>
        <w:gridCol w:w="56"/>
        <w:gridCol w:w="1078"/>
        <w:gridCol w:w="56"/>
        <w:gridCol w:w="2533"/>
        <w:gridCol w:w="18"/>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pPr>
            <w:r>
              <w:rPr>
                <w:i/>
              </w:rPr>
              <w:t>Debt Collectors Licensing Act 1964</w:t>
            </w:r>
          </w:p>
        </w:tc>
        <w:tc>
          <w:tcPr>
            <w:tcW w:w="1134" w:type="dxa"/>
            <w:gridSpan w:val="2"/>
          </w:tcPr>
          <w:p>
            <w:pPr>
              <w:pStyle w:val="nTable"/>
              <w:spacing w:after="40"/>
            </w:pPr>
            <w:r>
              <w:t>108 of 1964 (13 Eliz. No. 108)</w:t>
            </w:r>
          </w:p>
        </w:tc>
        <w:tc>
          <w:tcPr>
            <w:tcW w:w="1134" w:type="dxa"/>
            <w:gridSpan w:val="2"/>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gridSpan w:val="2"/>
          </w:tcPr>
          <w:p>
            <w:pPr>
              <w:pStyle w:val="nTable"/>
              <w:spacing w:after="40"/>
              <w:rPr>
                <w:i/>
              </w:rPr>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gridSpan w:val="2"/>
          </w:tcPr>
          <w:p>
            <w:pPr>
              <w:pStyle w:val="nTable"/>
              <w:spacing w:after="40"/>
            </w:pPr>
            <w:r>
              <w:rPr>
                <w:i/>
              </w:rPr>
              <w:t>Debt Collectors Licensing Act Amendment Act 1966</w:t>
            </w:r>
          </w:p>
        </w:tc>
        <w:tc>
          <w:tcPr>
            <w:tcW w:w="1134" w:type="dxa"/>
            <w:gridSpan w:val="2"/>
          </w:tcPr>
          <w:p>
            <w:pPr>
              <w:pStyle w:val="nTable"/>
              <w:spacing w:after="40"/>
            </w:pPr>
            <w:r>
              <w:t>21 of 1966</w:t>
            </w:r>
          </w:p>
        </w:tc>
        <w:tc>
          <w:tcPr>
            <w:tcW w:w="1134" w:type="dxa"/>
            <w:gridSpan w:val="2"/>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8"/>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gridSpan w:val="2"/>
          </w:tcPr>
          <w:p>
            <w:pPr>
              <w:pStyle w:val="nTable"/>
              <w:spacing w:after="40"/>
            </w:pPr>
            <w:r>
              <w:rPr>
                <w:i/>
              </w:rPr>
              <w:t>Acts Amendment and Repeal (Financial Sector Reform) Act 1999</w:t>
            </w:r>
            <w:r>
              <w:t xml:space="preserve"> s. 73</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8"/>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gridSpan w:val="2"/>
          </w:tcPr>
          <w:p>
            <w:pPr>
              <w:pStyle w:val="nTable"/>
              <w:spacing w:after="40"/>
              <w:rPr>
                <w:i/>
              </w:rPr>
            </w:pPr>
            <w:r>
              <w:rPr>
                <w:i/>
              </w:rPr>
              <w:t xml:space="preserve">Sentencing Legislation Amendment and Repeal Act 2003 </w:t>
            </w:r>
            <w:r>
              <w:t>s. 55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gridSpan w:val="2"/>
          </w:tcPr>
          <w:p>
            <w:pPr>
              <w:pStyle w:val="nTable"/>
              <w:spacing w:after="40"/>
            </w:pPr>
            <w:r>
              <w:rPr>
                <w:i/>
              </w:rPr>
              <w:t>Acts Amendment and Repeal (Courts and Legal Practice) Act 2003</w:t>
            </w:r>
            <w:r>
              <w:t xml:space="preserve"> s. 28</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gridSpan w:val="2"/>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2</w:t>
            </w:r>
          </w:p>
        </w:tc>
        <w:tc>
          <w:tcPr>
            <w:tcW w:w="1134" w:type="dxa"/>
            <w:gridSpan w:val="2"/>
          </w:tcPr>
          <w:p>
            <w:pPr>
              <w:pStyle w:val="nTable"/>
              <w:spacing w:after="40"/>
            </w:pPr>
            <w:r>
              <w:rPr>
                <w:snapToGrid w:val="0"/>
              </w:rPr>
              <w:t>59 of 2004 (as amended by No. 2 of 2008 s. 77(13))</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gridSpan w:val="2"/>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3, 4</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8"/>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gridSpan w:val="2"/>
          </w:tcPr>
          <w:p>
            <w:pPr>
              <w:pStyle w:val="nTable"/>
              <w:spacing w:after="40"/>
              <w:rPr>
                <w:i/>
              </w:rPr>
            </w:pPr>
            <w:r>
              <w:rPr>
                <w:i/>
                <w:snapToGrid w:val="0"/>
              </w:rPr>
              <w:t xml:space="preserve">Financial Legislation Amendment and Repeal Act 2006 </w:t>
            </w:r>
            <w:r>
              <w:rPr>
                <w:iCs/>
                <w:snapToGrid w:val="0"/>
              </w:rPr>
              <w:t>Sch. 1 cl. 44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gridSpan w:val="2"/>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gridSpan w:val="2"/>
          </w:tcPr>
          <w:p>
            <w:pPr>
              <w:pStyle w:val="nTable"/>
              <w:spacing w:after="40"/>
              <w:rPr>
                <w:snapToGrid w:val="0"/>
              </w:rPr>
            </w:pPr>
            <w:r>
              <w:t>58 of 2010</w:t>
            </w:r>
          </w:p>
        </w:tc>
        <w:tc>
          <w:tcPr>
            <w:tcW w:w="1134" w:type="dxa"/>
            <w:gridSpan w:val="2"/>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7"/>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12" w:type="dxa"/>
            <w:tcBorders>
              <w:bottom w:val="single" w:sz="4" w:space="0" w:color="auto"/>
            </w:tcBorders>
          </w:tcPr>
          <w:p>
            <w:pPr>
              <w:pStyle w:val="nTable"/>
              <w:spacing w:after="40"/>
              <w:rPr>
                <w:b/>
              </w:rPr>
            </w:pPr>
            <w:r>
              <w:rPr>
                <w:i/>
              </w:rPr>
              <w:t>Licensing Provisions Amendment Act 2016</w:t>
            </w:r>
            <w:r>
              <w:t xml:space="preserve"> Pt. 3</w:t>
            </w:r>
          </w:p>
        </w:tc>
        <w:tc>
          <w:tcPr>
            <w:tcW w:w="1134" w:type="dxa"/>
            <w:gridSpan w:val="2"/>
            <w:tcBorders>
              <w:bottom w:val="single" w:sz="4" w:space="0" w:color="auto"/>
            </w:tcBorders>
          </w:tcPr>
          <w:p>
            <w:pPr>
              <w:pStyle w:val="nTable"/>
              <w:spacing w:after="40"/>
              <w:rPr>
                <w:b/>
              </w:rPr>
            </w:pPr>
            <w:r>
              <w:t>44 of 2016</w:t>
            </w:r>
          </w:p>
        </w:tc>
        <w:tc>
          <w:tcPr>
            <w:tcW w:w="1134" w:type="dxa"/>
            <w:gridSpan w:val="2"/>
            <w:tcBorders>
              <w:bottom w:val="single" w:sz="4" w:space="0" w:color="auto"/>
            </w:tcBorders>
          </w:tcPr>
          <w:p>
            <w:pPr>
              <w:pStyle w:val="nTable"/>
              <w:spacing w:after="40"/>
              <w:rPr>
                <w:b/>
              </w:rPr>
            </w:pPr>
            <w:r>
              <w:t>1 Dec 2016</w:t>
            </w:r>
          </w:p>
        </w:tc>
        <w:tc>
          <w:tcPr>
            <w:tcW w:w="2589" w:type="dxa"/>
            <w:gridSpan w:val="2"/>
            <w:tcBorders>
              <w:bottom w:val="single" w:sz="4" w:space="0" w:color="auto"/>
            </w:tcBorders>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 w:name="_Toc22915065"/>
      <w:r>
        <w:rPr>
          <w:snapToGrid w:val="0"/>
        </w:rPr>
        <w:t>Provisions that have not come into operation</w:t>
      </w:r>
      <w:bookmarkEnd w:id="37"/>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2"/>
        <w:gridCol w:w="18"/>
      </w:tblGrid>
      <w:tr>
        <w:trPr>
          <w:gridAfter w:val="1"/>
          <w:wAfter w:w="18" w:type="dxa"/>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gridAfter w:val="1"/>
          <w:wAfter w:w="18" w:type="dxa"/>
          <w:cantSplit/>
        </w:trPr>
        <w:tc>
          <w:tcPr>
            <w:tcW w:w="2273" w:type="dxa"/>
            <w:tcBorders>
              <w:top w:val="single" w:sz="8"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5</w:t>
            </w:r>
          </w:p>
        </w:tc>
        <w:tc>
          <w:tcPr>
            <w:tcW w:w="1134" w:type="dxa"/>
            <w:tcBorders>
              <w:top w:val="single" w:sz="8" w:space="0" w:color="auto"/>
            </w:tcBorders>
          </w:tcPr>
          <w:p>
            <w:pPr>
              <w:pStyle w:val="nTable"/>
              <w:keepNext/>
              <w:spacing w:after="40"/>
            </w:pPr>
            <w:r>
              <w:t>56 of 1995</w:t>
            </w:r>
          </w:p>
        </w:tc>
        <w:tc>
          <w:tcPr>
            <w:tcW w:w="1134" w:type="dxa"/>
            <w:tcBorders>
              <w:top w:val="single" w:sz="8" w:space="0" w:color="auto"/>
            </w:tcBorders>
          </w:tcPr>
          <w:p>
            <w:pPr>
              <w:pStyle w:val="nTable"/>
              <w:keepNext/>
              <w:spacing w:after="40"/>
            </w:pPr>
            <w:r>
              <w:t>20 Dec 1995</w:t>
            </w:r>
          </w:p>
        </w:tc>
        <w:tc>
          <w:tcPr>
            <w:tcW w:w="2552" w:type="dxa"/>
            <w:tcBorders>
              <w:top w:val="single" w:sz="8" w:space="0" w:color="auto"/>
            </w:tcBorders>
          </w:tcPr>
          <w:p>
            <w:pPr>
              <w:pStyle w:val="nTable"/>
              <w:keepNext/>
              <w:spacing w:after="40"/>
            </w:pPr>
            <w:r>
              <w:t>To be proclaimed (see s. 2(2))</w:t>
            </w:r>
          </w:p>
        </w:tc>
      </w:tr>
      <w:tr>
        <w:trPr>
          <w:cantSplit/>
        </w:trPr>
        <w:tc>
          <w:tcPr>
            <w:tcW w:w="2273" w:type="dxa"/>
            <w:tcBorders>
              <w:bottom w:val="single" w:sz="4" w:space="0" w:color="auto"/>
            </w:tcBorders>
          </w:tcPr>
          <w:p>
            <w:pPr>
              <w:pStyle w:val="nTable"/>
              <w:spacing w:after="40"/>
              <w:rPr>
                <w:snapToGrid w:val="0"/>
                <w:vertAlign w:val="superscript"/>
              </w:rPr>
            </w:pPr>
            <w:r>
              <w:rPr>
                <w:i/>
              </w:rPr>
              <w:t xml:space="preserve">Consumer Protection Legislation Amendment Act 2019 </w:t>
            </w:r>
            <w:r>
              <w:t>Pt. 4</w:t>
            </w:r>
            <w:r>
              <w:rPr>
                <w:vertAlign w:val="superscript"/>
              </w:rPr>
              <w:t xml:space="preserve"> </w:t>
            </w:r>
            <w:r>
              <w:rPr>
                <w:snapToGrid w:val="0"/>
                <w:vertAlign w:val="superscript"/>
              </w:rPr>
              <w:t>7</w:t>
            </w:r>
          </w:p>
        </w:tc>
        <w:tc>
          <w:tcPr>
            <w:tcW w:w="1139" w:type="dxa"/>
            <w:tcBorders>
              <w:bottom w:val="single" w:sz="4" w:space="0" w:color="auto"/>
            </w:tcBorders>
          </w:tcPr>
          <w:p>
            <w:pPr>
              <w:pStyle w:val="nTable"/>
              <w:spacing w:after="40"/>
            </w:pPr>
            <w:r>
              <w:t>25 of 2019</w:t>
            </w:r>
          </w:p>
        </w:tc>
        <w:tc>
          <w:tcPr>
            <w:tcW w:w="1138" w:type="dxa"/>
            <w:tcBorders>
              <w:bottom w:val="single" w:sz="4" w:space="0" w:color="auto"/>
            </w:tcBorders>
          </w:tcPr>
          <w:p>
            <w:pPr>
              <w:pStyle w:val="nTable"/>
              <w:spacing w:after="40"/>
            </w:pPr>
            <w:r>
              <w:t>24 Oct 2019</w:t>
            </w:r>
          </w:p>
        </w:tc>
        <w:tc>
          <w:tcPr>
            <w:tcW w:w="2561" w:type="dxa"/>
            <w:gridSpan w:val="2"/>
            <w:tcBorders>
              <w:bottom w:val="single" w:sz="4" w:space="0" w:color="auto"/>
            </w:tcBorders>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keepNext/>
        <w:rPr>
          <w:iCs/>
        </w:rPr>
      </w:pPr>
      <w:r>
        <w:rPr>
          <w:iCs/>
          <w:vertAlign w:val="superscript"/>
        </w:rPr>
        <w:t>4</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Subsection"/>
        <w:keepNext/>
        <w:keepLines/>
        <w:rPr>
          <w:snapToGrid w:val="0"/>
        </w:rPr>
      </w:pPr>
      <w:r>
        <w:rPr>
          <w:snapToGrid w:val="0"/>
          <w:vertAlign w:val="superscript"/>
        </w:rPr>
        <w:t>5</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BlankOpen"/>
      </w:pP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BlankOpen"/>
      </w:pP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268" w:right="1140" w:hanging="567"/>
      </w:pPr>
      <w:r>
        <w:rPr>
          <w:b/>
        </w:rPr>
        <w:tab/>
      </w:r>
      <w:r>
        <w:rPr>
          <w:b/>
        </w:rPr>
        <w:tab/>
      </w:r>
      <w:r>
        <w:rPr>
          <w:b/>
          <w:i/>
        </w:rPr>
        <w:t>prescribed period</w:t>
      </w:r>
      <w:r>
        <w:rPr>
          <w:b/>
        </w:rPr>
        <w:t xml:space="preserve"> </w:t>
      </w:r>
      <w:r>
        <w:t>means a period of not less than 12 months prescribed by the regulations.</w:t>
      </w:r>
    </w:p>
    <w:p>
      <w:pPr>
        <w:pStyle w:val="BlankClose"/>
      </w:pPr>
    </w:p>
    <w:p>
      <w:pPr>
        <w:pStyle w:val="nzHeading5"/>
        <w:rPr>
          <w:spacing w:val="-2"/>
        </w:rPr>
      </w:pPr>
      <w:r>
        <w:rPr>
          <w:spacing w:val="-2"/>
        </w:rPr>
        <w:t>9.</w:t>
      </w:r>
      <w:r>
        <w:rPr>
          <w:spacing w:val="-2"/>
        </w:rPr>
        <w:tab/>
        <w:t>Section 12A inserted </w:t>
      </w:r>
      <w:r>
        <w:rPr>
          <w:spacing w:val="-2"/>
          <w:vertAlign w:val="superscript"/>
        </w:rPr>
        <w:t>6</w:t>
      </w:r>
    </w:p>
    <w:p>
      <w:pPr>
        <w:pStyle w:val="nzSubsection"/>
      </w:pPr>
      <w:r>
        <w:tab/>
      </w:r>
      <w:r>
        <w:tab/>
        <w:t xml:space="preserve">After section 12 of the principal Act the following section is inserted — </w:t>
      </w:r>
    </w:p>
    <w:p>
      <w:pPr>
        <w:pStyle w:val="BlankOpen"/>
      </w:pP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BlankClose"/>
      </w:pP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pStyle w:val="BlankOpen"/>
      </w:pP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BlankClose"/>
      </w:pPr>
    </w:p>
    <w:p>
      <w:pPr>
        <w:pStyle w:val="BlankClose"/>
      </w:pPr>
    </w:p>
    <w:p>
      <w:pPr>
        <w:pStyle w:val="nSubsection"/>
      </w:pPr>
      <w:r>
        <w:rPr>
          <w:snapToGrid w:val="0"/>
          <w:vertAlign w:val="superscript"/>
        </w:rPr>
        <w:t>6</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vertAlign w:val="superscript"/>
        </w:rPr>
        <w:t>7</w:t>
      </w:r>
      <w:r>
        <w:tab/>
        <w:t>On the date as at which this compilation was prepared</w:t>
      </w:r>
      <w:r>
        <w:rPr>
          <w:i/>
        </w:rPr>
        <w:t xml:space="preserve"> </w:t>
      </w:r>
      <w:r>
        <w:t xml:space="preserve">the </w:t>
      </w:r>
      <w:r>
        <w:rPr>
          <w:i/>
        </w:rPr>
        <w:t xml:space="preserve">Consumer Protection Legislation Amendment Act 2019 </w:t>
      </w:r>
      <w:r>
        <w:t xml:space="preserve">Pt. 4 </w:t>
      </w:r>
      <w:r>
        <w:rPr>
          <w:snapToGrid w:val="0"/>
        </w:rPr>
        <w:t>had not come into operation.  It reads as follows:</w:t>
      </w:r>
    </w:p>
    <w:p>
      <w:pPr>
        <w:pStyle w:val="BlankOpen"/>
      </w:pPr>
    </w:p>
    <w:p>
      <w:pPr>
        <w:pStyle w:val="nzHeading2"/>
      </w:pPr>
      <w:r>
        <w:rPr>
          <w:rStyle w:val="CharPartNo"/>
        </w:rPr>
        <w:t>Part 4</w:t>
      </w:r>
      <w:r>
        <w:rPr>
          <w:rStyle w:val="CharDivNo"/>
        </w:rPr>
        <w:t> </w:t>
      </w:r>
      <w:r>
        <w:t>—</w:t>
      </w:r>
      <w:r>
        <w:rPr>
          <w:rStyle w:val="CharDivText"/>
        </w:rPr>
        <w:t> </w:t>
      </w:r>
      <w:r>
        <w:rPr>
          <w:rStyle w:val="CharPartText"/>
          <w:i/>
        </w:rPr>
        <w:t>Debt Collectors Licensing Act 1964</w:t>
      </w:r>
      <w:r>
        <w:rPr>
          <w:rStyle w:val="CharPartText"/>
        </w:rPr>
        <w:t xml:space="preserve"> amended</w:t>
      </w:r>
    </w:p>
    <w:p>
      <w:pPr>
        <w:pStyle w:val="nzHeading5"/>
        <w:rPr>
          <w:snapToGrid w:val="0"/>
        </w:rPr>
      </w:pPr>
      <w:r>
        <w:rPr>
          <w:rStyle w:val="CharSectno"/>
        </w:rPr>
        <w:t>21</w:t>
      </w:r>
      <w:r>
        <w:rPr>
          <w:snapToGrid w:val="0"/>
        </w:rPr>
        <w:t>.</w:t>
      </w:r>
      <w:r>
        <w:rPr>
          <w:snapToGrid w:val="0"/>
        </w:rPr>
        <w:tab/>
        <w:t>Act amended</w:t>
      </w:r>
    </w:p>
    <w:p>
      <w:pPr>
        <w:pStyle w:val="nzSubsection"/>
      </w:pPr>
      <w:r>
        <w:tab/>
      </w:r>
      <w:r>
        <w:tab/>
        <w:t xml:space="preserve">This Part amends the </w:t>
      </w:r>
      <w:r>
        <w:rPr>
          <w:i/>
        </w:rPr>
        <w:t>Debt Collectors Licensing Act 1964</w:t>
      </w:r>
      <w:r>
        <w:t>.</w:t>
      </w:r>
    </w:p>
    <w:p>
      <w:pPr>
        <w:pStyle w:val="nzHeading5"/>
      </w:pPr>
      <w:r>
        <w:rPr>
          <w:rStyle w:val="CharSectno"/>
        </w:rPr>
        <w:t>22</w:t>
      </w:r>
      <w:r>
        <w:t>.</w:t>
      </w:r>
      <w:r>
        <w:tab/>
        <w:t>Section 14 amended</w:t>
      </w:r>
    </w:p>
    <w:p>
      <w:pPr>
        <w:pStyle w:val="nzSubsection"/>
      </w:pPr>
      <w:r>
        <w:tab/>
        <w:t>(1)</w:t>
      </w:r>
      <w:r>
        <w:tab/>
        <w:t>At the end of section 14(1) insert:</w:t>
      </w:r>
    </w:p>
    <w:p>
      <w:pPr>
        <w:pStyle w:val="BlankOpen"/>
      </w:pPr>
    </w:p>
    <w:p>
      <w:pPr>
        <w:pStyle w:val="nzPenstart"/>
      </w:pPr>
      <w:r>
        <w:tab/>
      </w:r>
      <w:r>
        <w:rPr>
          <w:snapToGrid w:val="0"/>
        </w:rPr>
        <w:t>Penalty for this subsection: a fine of $20 000.</w:t>
      </w:r>
    </w:p>
    <w:p>
      <w:pPr>
        <w:pStyle w:val="BlankClose"/>
      </w:pPr>
    </w:p>
    <w:p>
      <w:pPr>
        <w:pStyle w:val="nzSubsection"/>
      </w:pPr>
      <w:r>
        <w:tab/>
        <w:t>(2)</w:t>
      </w:r>
      <w:r>
        <w:tab/>
        <w:t>In section 14(2) delete the Penalty and insert:</w:t>
      </w:r>
    </w:p>
    <w:p>
      <w:pPr>
        <w:pStyle w:val="BlankOpen"/>
      </w:pPr>
    </w:p>
    <w:p>
      <w:pPr>
        <w:pStyle w:val="nzPenstart"/>
      </w:pPr>
      <w:r>
        <w:tab/>
      </w:r>
      <w:r>
        <w:rPr>
          <w:snapToGrid w:val="0"/>
        </w:rPr>
        <w:t>Penalty for this subsection: a fine of $20 000.</w:t>
      </w:r>
    </w:p>
    <w:p>
      <w:pPr>
        <w:pStyle w:val="BlankClose"/>
      </w:pPr>
    </w:p>
    <w:p>
      <w:pPr>
        <w:pStyle w:val="nzHeading5"/>
      </w:pPr>
      <w:r>
        <w:rPr>
          <w:rStyle w:val="CharSectno"/>
        </w:rPr>
        <w:t>23</w:t>
      </w:r>
      <w:r>
        <w:t>.</w:t>
      </w:r>
      <w:r>
        <w:tab/>
        <w:t>Section 17 amended</w:t>
      </w:r>
    </w:p>
    <w:p>
      <w:pPr>
        <w:pStyle w:val="nzSubsection"/>
      </w:pPr>
      <w:r>
        <w:tab/>
        <w:t>(1)</w:t>
      </w:r>
      <w:r>
        <w:tab/>
        <w:t>At the end of section 17(1) insert:</w:t>
      </w:r>
    </w:p>
    <w:p>
      <w:pPr>
        <w:pStyle w:val="BlankOpen"/>
      </w:pPr>
    </w:p>
    <w:p>
      <w:pPr>
        <w:pStyle w:val="nzPenstart"/>
      </w:pPr>
      <w:r>
        <w:tab/>
      </w:r>
      <w:r>
        <w:rPr>
          <w:snapToGrid w:val="0"/>
        </w:rPr>
        <w:t>Penalty for this subsection: a fine of $25 000.</w:t>
      </w:r>
    </w:p>
    <w:p>
      <w:pPr>
        <w:pStyle w:val="BlankClose"/>
      </w:pPr>
    </w:p>
    <w:p>
      <w:pPr>
        <w:pStyle w:val="nzSubsection"/>
      </w:pPr>
      <w:r>
        <w:tab/>
        <w:t>(2)</w:t>
      </w:r>
      <w:r>
        <w:tab/>
        <w:t>Delete section 17(3).</w:t>
      </w:r>
    </w:p>
    <w:p>
      <w:pPr>
        <w:pStyle w:val="nzHeading5"/>
      </w:pPr>
      <w:r>
        <w:rPr>
          <w:rStyle w:val="CharSectno"/>
        </w:rPr>
        <w:t>24</w:t>
      </w:r>
      <w:r>
        <w:t>.</w:t>
      </w:r>
      <w:r>
        <w:tab/>
        <w:t>Section 22 deleted</w:t>
      </w:r>
    </w:p>
    <w:p>
      <w:pPr>
        <w:pStyle w:val="nzSubsection"/>
      </w:pPr>
      <w:r>
        <w:tab/>
      </w:r>
      <w:r>
        <w:tab/>
        <w:t>Delete section 22.</w:t>
      </w:r>
    </w:p>
    <w:p>
      <w:pPr>
        <w:pStyle w:val="nzHeading5"/>
      </w:pPr>
      <w:r>
        <w:rPr>
          <w:rStyle w:val="CharSectno"/>
        </w:rPr>
        <w:t>25</w:t>
      </w:r>
      <w:r>
        <w:t>.</w:t>
      </w:r>
      <w:r>
        <w:tab/>
        <w:t>Various provisions amended</w:t>
      </w:r>
    </w:p>
    <w:p>
      <w:pPr>
        <w:pStyle w:val="nzSubsection"/>
      </w:pPr>
      <w:r>
        <w:tab/>
      </w:r>
      <w:r>
        <w:tab/>
        <w:t>At the end of the provisions listed in the Table insert:</w:t>
      </w:r>
    </w:p>
    <w:p>
      <w:pPr>
        <w:pStyle w:val="BlankOpen"/>
      </w:pPr>
    </w:p>
    <w:p>
      <w:pPr>
        <w:pStyle w:val="nzPenstart"/>
      </w:pPr>
      <w:r>
        <w:tab/>
      </w:r>
      <w:r>
        <w:rPr>
          <w:snapToGrid w:val="0"/>
        </w:rPr>
        <w:t>Penalty for this subsection: a fine of $25 000.</w:t>
      </w:r>
    </w:p>
    <w:p>
      <w:pPr>
        <w:pStyle w:val="BlankClose"/>
      </w:pPr>
    </w:p>
    <w:p>
      <w:pPr>
        <w:pStyle w:val="nz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9"/>
        <w:gridCol w:w="2679"/>
      </w:tblGrid>
      <w:tr>
        <w:tc>
          <w:tcPr>
            <w:tcW w:w="2679" w:type="dxa"/>
          </w:tcPr>
          <w:p>
            <w:pPr>
              <w:pStyle w:val="nzTableAm"/>
            </w:pPr>
            <w:r>
              <w:t>s. 6(2)</w:t>
            </w:r>
          </w:p>
        </w:tc>
        <w:tc>
          <w:tcPr>
            <w:tcW w:w="2679" w:type="dxa"/>
          </w:tcPr>
          <w:p>
            <w:pPr>
              <w:pStyle w:val="nzTableAm"/>
            </w:pPr>
            <w:r>
              <w:t>s. 16(1)</w:t>
            </w:r>
          </w:p>
        </w:tc>
      </w:tr>
      <w:tr>
        <w:tc>
          <w:tcPr>
            <w:tcW w:w="2679" w:type="dxa"/>
          </w:tcPr>
          <w:p>
            <w:pPr>
              <w:pStyle w:val="nzTableAm"/>
            </w:pPr>
            <w:r>
              <w:t>s. 18(4)</w:t>
            </w:r>
          </w:p>
        </w:tc>
        <w:tc>
          <w:tcPr>
            <w:tcW w:w="2679" w:type="dxa"/>
          </w:tcPr>
          <w:p>
            <w:pPr>
              <w:pStyle w:val="nzTableAm"/>
            </w:pPr>
          </w:p>
        </w:tc>
      </w:tr>
    </w:tbl>
    <w:p>
      <w:pPr>
        <w:pStyle w:val="nzHeading5"/>
      </w:pPr>
      <w:r>
        <w:rPr>
          <w:rStyle w:val="CharSectno"/>
        </w:rPr>
        <w:t>26</w:t>
      </w:r>
      <w:r>
        <w:t>.</w:t>
      </w:r>
      <w:r>
        <w:tab/>
        <w:t>Various penalties amended</w:t>
      </w:r>
    </w:p>
    <w:p>
      <w:pPr>
        <w:pStyle w:val="nzSubsection"/>
      </w:pPr>
      <w:r>
        <w:tab/>
      </w:r>
      <w:r>
        <w:tab/>
        <w:t>Amend the provisions listed in the Table as set out in the Table.</w:t>
      </w:r>
    </w:p>
    <w:p>
      <w:pPr>
        <w:pStyle w:val="nzTHeading"/>
      </w:pPr>
      <w:r>
        <w:t>Table</w:t>
      </w:r>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30"/>
        <w:gridCol w:w="2268"/>
        <w:gridCol w:w="2268"/>
      </w:tblGrid>
      <w:tr>
        <w:trPr>
          <w:trHeight w:val="23"/>
          <w:tblHeader/>
        </w:trPr>
        <w:tc>
          <w:tcPr>
            <w:tcW w:w="2230" w:type="dxa"/>
          </w:tcPr>
          <w:p>
            <w:pPr>
              <w:pStyle w:val="nzTableAm"/>
              <w:jc w:val="center"/>
              <w:rPr>
                <w:b/>
              </w:rPr>
            </w:pPr>
            <w:r>
              <w:rPr>
                <w:b/>
              </w:rPr>
              <w:t>Provision</w:t>
            </w:r>
          </w:p>
        </w:tc>
        <w:tc>
          <w:tcPr>
            <w:tcW w:w="2268" w:type="dxa"/>
          </w:tcPr>
          <w:p>
            <w:pPr>
              <w:pStyle w:val="nzTableAm"/>
              <w:jc w:val="center"/>
              <w:rPr>
                <w:b/>
              </w:rPr>
            </w:pPr>
            <w:r>
              <w:rPr>
                <w:b/>
              </w:rPr>
              <w:t>Delete</w:t>
            </w:r>
          </w:p>
        </w:tc>
        <w:tc>
          <w:tcPr>
            <w:tcW w:w="2268" w:type="dxa"/>
          </w:tcPr>
          <w:p>
            <w:pPr>
              <w:pStyle w:val="nzTableAm"/>
              <w:jc w:val="center"/>
              <w:rPr>
                <w:b/>
              </w:rPr>
            </w:pPr>
            <w:r>
              <w:rPr>
                <w:b/>
              </w:rPr>
              <w:t>Insert</w:t>
            </w:r>
          </w:p>
        </w:tc>
      </w:tr>
      <w:tr>
        <w:trPr>
          <w:trHeight w:val="23"/>
        </w:trPr>
        <w:tc>
          <w:tcPr>
            <w:tcW w:w="2230" w:type="dxa"/>
          </w:tcPr>
          <w:p>
            <w:pPr>
              <w:pStyle w:val="nzTableAm"/>
            </w:pPr>
            <w:r>
              <w:t>s. 5(2)</w:t>
            </w:r>
          </w:p>
        </w:tc>
        <w:tc>
          <w:tcPr>
            <w:tcW w:w="2268" w:type="dxa"/>
          </w:tcPr>
          <w:p>
            <w:pPr>
              <w:pStyle w:val="nzTableAm"/>
              <w:rPr>
                <w:sz w:val="22"/>
              </w:rPr>
            </w:pPr>
            <w:r>
              <w:t>Penalty: For an individual, $200.</w:t>
            </w:r>
            <w:r>
              <w:br/>
              <w:t>For a body corporate, $400.</w:t>
            </w:r>
          </w:p>
        </w:tc>
        <w:tc>
          <w:tcPr>
            <w:tcW w:w="2268" w:type="dxa"/>
          </w:tcPr>
          <w:p>
            <w:pPr>
              <w:pStyle w:val="nzTableAm"/>
              <w:rPr>
                <w:sz w:val="22"/>
              </w:rPr>
            </w:pPr>
            <w:r>
              <w:t>Penalty for this subsection: a fine of $50 000.</w:t>
            </w:r>
          </w:p>
        </w:tc>
      </w:tr>
      <w:tr>
        <w:trPr>
          <w:trHeight w:val="23"/>
        </w:trPr>
        <w:tc>
          <w:tcPr>
            <w:tcW w:w="2230" w:type="dxa"/>
          </w:tcPr>
          <w:p>
            <w:pPr>
              <w:pStyle w:val="nzTableAm"/>
            </w:pPr>
            <w:r>
              <w:t>s. 15(5)</w:t>
            </w:r>
          </w:p>
        </w:tc>
        <w:tc>
          <w:tcPr>
            <w:tcW w:w="2268" w:type="dxa"/>
          </w:tcPr>
          <w:p>
            <w:pPr>
              <w:pStyle w:val="nzTableAm"/>
              <w:rPr>
                <w:sz w:val="22"/>
              </w:rPr>
            </w:pPr>
            <w:r>
              <w:t xml:space="preserve">Penalty: </w:t>
            </w:r>
            <w:r>
              <w:rPr>
                <w:sz w:val="22"/>
              </w:rPr>
              <w:t>$200.</w:t>
            </w:r>
          </w:p>
        </w:tc>
        <w:tc>
          <w:tcPr>
            <w:tcW w:w="2268" w:type="dxa"/>
          </w:tcPr>
          <w:p>
            <w:pPr>
              <w:pStyle w:val="nzTableAm"/>
            </w:pPr>
            <w:r>
              <w:t>Penalty for this subsection: a fine of $25 000.</w:t>
            </w:r>
          </w:p>
        </w:tc>
      </w:tr>
      <w:tr>
        <w:trPr>
          <w:trHeight w:val="23"/>
        </w:trPr>
        <w:tc>
          <w:tcPr>
            <w:tcW w:w="2230" w:type="dxa"/>
          </w:tcPr>
          <w:p>
            <w:pPr>
              <w:pStyle w:val="nzTableAm"/>
            </w:pPr>
            <w:r>
              <w:t>s. 26(1)(h)</w:t>
            </w:r>
          </w:p>
        </w:tc>
        <w:tc>
          <w:tcPr>
            <w:tcW w:w="2268" w:type="dxa"/>
          </w:tcPr>
          <w:p>
            <w:pPr>
              <w:pStyle w:val="nzTableAm"/>
              <w:rPr>
                <w:snapToGrid w:val="0"/>
              </w:rPr>
            </w:pPr>
            <w:r>
              <w:rPr>
                <w:snapToGrid w:val="0"/>
              </w:rPr>
              <w:t>$200</w:t>
            </w:r>
          </w:p>
        </w:tc>
        <w:tc>
          <w:tcPr>
            <w:tcW w:w="2268" w:type="dxa"/>
          </w:tcPr>
          <w:p>
            <w:pPr>
              <w:pStyle w:val="nzTableAm"/>
            </w:pPr>
            <w:r>
              <w:rPr>
                <w:snapToGrid w:val="0"/>
              </w:rPr>
              <w:t>$5 000</w:t>
            </w:r>
          </w:p>
        </w:tc>
      </w:tr>
    </w:tbl>
    <w:p>
      <w:pPr>
        <w:pStyle w:val="nSubsection"/>
        <w:rPr>
          <w:snapToGrid w:val="0"/>
        </w:rPr>
      </w:pPr>
    </w:p>
    <w:p/>
    <w:p>
      <w:pPr>
        <w:sectPr>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pPr>
        <w:pStyle w:val="nHeading2"/>
        <w:rPr>
          <w:sz w:val="28"/>
        </w:rPr>
      </w:pPr>
      <w:bookmarkStart w:id="39" w:name="_Toc486329237"/>
      <w:bookmarkStart w:id="40" w:name="_Toc486429852"/>
      <w:bookmarkStart w:id="41" w:name="_Toc22915066"/>
      <w:r>
        <w:rPr>
          <w:sz w:val="28"/>
        </w:rPr>
        <w:t>Defined terms</w:t>
      </w:r>
      <w:bookmarkEnd w:id="39"/>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w:t>
      </w:r>
      <w:r>
        <w:tab/>
        <w:t>3</w:t>
      </w:r>
    </w:p>
    <w:p>
      <w:pPr>
        <w:pStyle w:val="DefinedTerms"/>
      </w:pPr>
      <w:r>
        <w:t>Commissioner</w:t>
      </w:r>
      <w:r>
        <w:tab/>
        <w:t>3</w:t>
      </w:r>
    </w:p>
    <w:p>
      <w:pPr>
        <w:pStyle w:val="DefinedTerms"/>
      </w:pPr>
      <w:r>
        <w:t>debt collector</w:t>
      </w:r>
      <w:r>
        <w:tab/>
        <w:t>3</w:t>
      </w:r>
    </w:p>
    <w:p>
      <w:pPr>
        <w:pStyle w:val="DefinedTerms"/>
      </w:pPr>
      <w:r>
        <w:t>licence</w:t>
      </w:r>
      <w:r>
        <w:tab/>
        <w:t>3</w:t>
      </w:r>
    </w:p>
    <w:p>
      <w:pPr>
        <w:pStyle w:val="DefinedTerms"/>
      </w:pPr>
      <w:r>
        <w:t>licensee</w:t>
      </w:r>
      <w:r>
        <w:tab/>
        <w:t>3, 16(2)</w:t>
      </w:r>
    </w:p>
    <w:p>
      <w:pPr>
        <w:pStyle w:val="DefinedTerms"/>
      </w:pPr>
      <w:r>
        <w:t>money</w:t>
      </w:r>
      <w:r>
        <w:tab/>
        <w:t>3</w:t>
      </w:r>
    </w:p>
    <w:p>
      <w:pPr>
        <w:pStyle w:val="DefinedTerms"/>
      </w:pPr>
      <w:r>
        <w:t>money received for or on behalf of any person</w:t>
      </w:r>
      <w:r>
        <w:tab/>
        <w:t>3</w:t>
      </w:r>
    </w:p>
    <w:p>
      <w:pPr>
        <w:pStyle w:val="DefinedTerms"/>
      </w:pPr>
      <w:r>
        <w:t>to pay into a trust account</w:t>
      </w:r>
      <w:r>
        <w:tab/>
        <w:t>3</w:t>
      </w:r>
    </w:p>
    <w:p>
      <w:pPr>
        <w:pStyle w:val="DefinedTerms"/>
      </w:pPr>
      <w:r>
        <w:t>trust account</w:t>
      </w:r>
      <w:r>
        <w:tab/>
        <w:t>3</w:t>
      </w:r>
    </w:p>
    <w:p>
      <w:pPr>
        <w:pStyle w:val="DefinedTerms"/>
      </w:pPr>
      <w:r>
        <w:t>trust money</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lvlText w:val="%1."/>
      <w:lvlJc w:val="left"/>
      <w:pPr>
        <w:tabs>
          <w:tab w:val="num" w:pos="1492"/>
        </w:tabs>
        <w:ind w:left="1492" w:hanging="360"/>
      </w:pPr>
    </w:lvl>
  </w:abstractNum>
  <w:abstractNum w:abstractNumId="1">
    <w:nsid w:val="FFFFFF7D"/>
    <w:multiLevelType w:val="singleLevel"/>
    <w:tmpl w:val="99BC7190"/>
    <w:lvl w:ilvl="0">
      <w:start w:val="1"/>
      <w:numFmt w:val="decimal"/>
      <w:lvlText w:val="%1."/>
      <w:lvlJc w:val="left"/>
      <w:pPr>
        <w:tabs>
          <w:tab w:val="num" w:pos="1209"/>
        </w:tabs>
        <w:ind w:left="1209" w:hanging="360"/>
      </w:pPr>
    </w:lvl>
  </w:abstractNum>
  <w:abstractNum w:abstractNumId="2">
    <w:nsid w:val="FFFFFF7E"/>
    <w:multiLevelType w:val="singleLevel"/>
    <w:tmpl w:val="B6D22916"/>
    <w:lvl w:ilvl="0">
      <w:start w:val="1"/>
      <w:numFmt w:val="decimal"/>
      <w:lvlText w:val="%1."/>
      <w:lvlJc w:val="left"/>
      <w:pPr>
        <w:tabs>
          <w:tab w:val="num" w:pos="926"/>
        </w:tabs>
        <w:ind w:left="926" w:hanging="360"/>
      </w:pPr>
    </w:lvl>
  </w:abstractNum>
  <w:abstractNum w:abstractNumId="3">
    <w:nsid w:val="FFFFFF7F"/>
    <w:multiLevelType w:val="singleLevel"/>
    <w:tmpl w:val="16400016"/>
    <w:lvl w:ilvl="0">
      <w:start w:val="1"/>
      <w:numFmt w:val="decimal"/>
      <w:lvlText w:val="%1."/>
      <w:lvlJc w:val="left"/>
      <w:pPr>
        <w:tabs>
          <w:tab w:val="num" w:pos="643"/>
        </w:tabs>
        <w:ind w:left="643" w:hanging="360"/>
      </w:pPr>
    </w:lvl>
  </w:abstractNum>
  <w:abstractNum w:abstractNumId="4">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lvlText w:val="%1."/>
      <w:lvlJc w:val="left"/>
      <w:pPr>
        <w:tabs>
          <w:tab w:val="num" w:pos="360"/>
        </w:tabs>
        <w:ind w:left="360" w:hanging="360"/>
      </w:pPr>
    </w:lvl>
  </w:abstractNum>
  <w:abstractNum w:abstractNumId="9">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2922"/>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7558</Words>
  <Characters>34847</Characters>
  <Application>Microsoft Office Word</Application>
  <DocSecurity>0</DocSecurity>
  <Lines>1055</Lines>
  <Paragraphs>565</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41840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1964 - 04-d0-02</dc:title>
  <dc:subject/>
  <dc:creator/>
  <cp:keywords/>
  <dc:description/>
  <cp:lastModifiedBy>svcMRProcess</cp:lastModifiedBy>
  <cp:revision>4</cp:revision>
  <cp:lastPrinted>2011-10-04T01:08:00Z</cp:lastPrinted>
  <dcterms:created xsi:type="dcterms:W3CDTF">2019-10-25T09:14:00Z</dcterms:created>
  <dcterms:modified xsi:type="dcterms:W3CDTF">2019-10-25T09:14:00Z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AsAtDate">
    <vt:lpwstr>24 Oct 2019</vt:lpwstr>
  </property>
  <property fmtid="{D5CDD505-2E9C-101B-9397-08002B2CF9AE}" pid="8" name="Suffix">
    <vt:lpwstr>04-d0-02</vt:lpwstr>
  </property>
  <property fmtid="{D5CDD505-2E9C-101B-9397-08002B2CF9AE}" pid="9" name="CommencementDate">
    <vt:lpwstr>20191024</vt:lpwstr>
  </property>
</Properties>
</file>